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3873958"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9B1779">
        <w:rPr>
          <w:caps w:val="0"/>
        </w:rPr>
        <w:t>4</w:t>
      </w:r>
      <w:r w:rsidR="00452E54">
        <w:rPr>
          <w:caps w:val="0"/>
        </w:rPr>
        <w:t>9</w:t>
      </w:r>
    </w:p>
    <w:p w14:paraId="0C6B487A" w14:textId="77777777" w:rsidR="00900037" w:rsidRPr="00013220" w:rsidRDefault="00900037" w:rsidP="002B6652">
      <w:pPr>
        <w:pStyle w:val="Subtitle"/>
        <w:ind w:left="-426" w:right="-623"/>
        <w:jc w:val="center"/>
        <w:rPr>
          <w:b/>
          <w:i w:val="0"/>
          <w:sz w:val="36"/>
          <w:szCs w:val="36"/>
        </w:rPr>
      </w:pPr>
    </w:p>
    <w:p w14:paraId="0AC82FDD" w14:textId="506D24C7" w:rsidR="00900037" w:rsidRPr="006F7EC0" w:rsidRDefault="00452E54" w:rsidP="006F7EC0">
      <w:pPr>
        <w:pStyle w:val="Title"/>
        <w:spacing w:before="200"/>
        <w:ind w:left="-426" w:right="-623"/>
        <w:jc w:val="center"/>
        <w:rPr>
          <w:caps w:val="0"/>
          <w:sz w:val="28"/>
          <w:szCs w:val="28"/>
        </w:rPr>
      </w:pPr>
      <w:r>
        <w:rPr>
          <w:caps w:val="0"/>
          <w:sz w:val="28"/>
          <w:szCs w:val="28"/>
        </w:rPr>
        <w:t xml:space="preserve">July </w:t>
      </w:r>
      <w:r w:rsidR="00960C5D">
        <w:rPr>
          <w:caps w:val="0"/>
          <w:sz w:val="28"/>
          <w:szCs w:val="28"/>
        </w:rPr>
        <w:t>2020</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960C5D">
        <w:rPr>
          <w:caps w:val="0"/>
          <w:sz w:val="28"/>
          <w:szCs w:val="28"/>
        </w:rPr>
        <w:t>2020</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6B60EBB"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237A61">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CD22AA">
      <w:pPr>
        <w:pStyle w:val="Heading4"/>
        <w:spacing w:after="120"/>
      </w:pPr>
      <w:r>
        <w:br w:type="page"/>
      </w:r>
      <w:r w:rsidRPr="00DD384D">
        <w:lastRenderedPageBreak/>
        <w:t>Executive Summary</w:t>
      </w:r>
    </w:p>
    <w:p w14:paraId="71A6161F" w14:textId="6611B67E"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960C5D">
        <w:t>4</w:t>
      </w:r>
      <w:r w:rsidR="00452E54">
        <w:t>9</w:t>
      </w:r>
      <w:r w:rsidR="00027EA9">
        <w:t xml:space="preserve"> </w:t>
      </w:r>
      <w:r>
        <w:t>with comparisons shown to the previous quarter.</w:t>
      </w:r>
    </w:p>
    <w:p w14:paraId="0BAB96E1" w14:textId="7E2F80AF" w:rsidR="00C7128D" w:rsidRPr="00C7128D" w:rsidRDefault="00C7128D" w:rsidP="00C7128D">
      <w:pPr>
        <w:spacing w:after="120" w:line="240" w:lineRule="auto"/>
        <w:ind w:right="-425"/>
        <w:jc w:val="both"/>
        <w:rPr>
          <w:sz w:val="16"/>
          <w:szCs w:val="16"/>
        </w:rPr>
      </w:pPr>
      <w:bookmarkStart w:id="0" w:name="_Hlk38021442"/>
      <w:r w:rsidRPr="00012B69">
        <w:rPr>
          <w:b/>
          <w:sz w:val="16"/>
          <w:szCs w:val="16"/>
        </w:rPr>
        <w:t>Table 1:</w:t>
      </w:r>
      <w:r w:rsidRPr="00012B69">
        <w:rPr>
          <w:sz w:val="16"/>
          <w:szCs w:val="16"/>
        </w:rPr>
        <w:t xml:space="preserve"> Activity from 1 </w:t>
      </w:r>
      <w:r w:rsidR="00452E54">
        <w:rPr>
          <w:sz w:val="16"/>
          <w:szCs w:val="16"/>
        </w:rPr>
        <w:t xml:space="preserve">April </w:t>
      </w:r>
      <w:r w:rsidR="004F7197">
        <w:rPr>
          <w:sz w:val="16"/>
          <w:szCs w:val="16"/>
        </w:rPr>
        <w:t>20</w:t>
      </w:r>
      <w:r w:rsidR="00FB0EE9">
        <w:rPr>
          <w:sz w:val="16"/>
          <w:szCs w:val="16"/>
        </w:rPr>
        <w:t>20</w:t>
      </w:r>
      <w:r>
        <w:rPr>
          <w:sz w:val="16"/>
          <w:szCs w:val="16"/>
        </w:rPr>
        <w:t xml:space="preserve"> to </w:t>
      </w:r>
      <w:r w:rsidR="004F7197">
        <w:rPr>
          <w:sz w:val="16"/>
          <w:szCs w:val="16"/>
        </w:rPr>
        <w:t>3</w:t>
      </w:r>
      <w:r w:rsidR="006F5610">
        <w:rPr>
          <w:sz w:val="16"/>
          <w:szCs w:val="16"/>
        </w:rPr>
        <w:t>0</w:t>
      </w:r>
      <w:r w:rsidR="00345227">
        <w:rPr>
          <w:sz w:val="16"/>
          <w:szCs w:val="16"/>
        </w:rPr>
        <w:t xml:space="preserve"> </w:t>
      </w:r>
      <w:r w:rsidR="00452E54">
        <w:rPr>
          <w:sz w:val="16"/>
          <w:szCs w:val="16"/>
        </w:rPr>
        <w:t xml:space="preserve">September </w:t>
      </w:r>
      <w:r w:rsidR="00111F45">
        <w:rPr>
          <w:sz w:val="16"/>
          <w:szCs w:val="16"/>
        </w:rPr>
        <w:t>2020</w:t>
      </w:r>
      <w:r w:rsidR="00881F6A">
        <w:rPr>
          <w:sz w:val="16"/>
          <w:szCs w:val="16"/>
        </w:rPr>
        <w:t>.</w:t>
      </w:r>
    </w:p>
    <w:tbl>
      <w:tblPr>
        <w:tblW w:w="9389" w:type="dxa"/>
        <w:tblInd w:w="103" w:type="dxa"/>
        <w:tblLook w:val="04A0" w:firstRow="1" w:lastRow="0" w:firstColumn="1" w:lastColumn="0" w:noHBand="0" w:noVBand="1"/>
      </w:tblPr>
      <w:tblGrid>
        <w:gridCol w:w="7405"/>
        <w:gridCol w:w="992"/>
        <w:gridCol w:w="992"/>
      </w:tblGrid>
      <w:tr w:rsidR="00452E54" w:rsidRPr="00650B45" w14:paraId="0784B417" w14:textId="77777777" w:rsidTr="00452E54">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452E54" w:rsidRPr="0040594D" w:rsidRDefault="00452E54" w:rsidP="00452E54">
            <w:pPr>
              <w:spacing w:before="60" w:line="240" w:lineRule="auto"/>
              <w:rPr>
                <w:rFonts w:cs="Arial"/>
                <w:b/>
                <w:bCs/>
                <w:lang w:eastAsia="en-AU"/>
              </w:rPr>
            </w:pPr>
            <w:r w:rsidRPr="0040594D">
              <w:rPr>
                <w:rFonts w:cs="Arial"/>
                <w:b/>
                <w:bCs/>
                <w:lang w:eastAsia="en-AU"/>
              </w:rPr>
              <w:t>Activity</w:t>
            </w:r>
            <w:r>
              <w:rPr>
                <w:rFonts w:cs="Arial"/>
                <w:b/>
                <w:bCs/>
                <w:lang w:eastAsia="en-AU"/>
              </w:rPr>
              <w:t xml:space="preserve"> for the quarter</w:t>
            </w:r>
          </w:p>
        </w:tc>
        <w:tc>
          <w:tcPr>
            <w:tcW w:w="992" w:type="dxa"/>
            <w:tcBorders>
              <w:top w:val="single" w:sz="4" w:space="0" w:color="auto"/>
              <w:left w:val="nil"/>
              <w:bottom w:val="single" w:sz="4" w:space="0" w:color="auto"/>
              <w:right w:val="single" w:sz="4" w:space="0" w:color="auto"/>
            </w:tcBorders>
          </w:tcPr>
          <w:p w14:paraId="63C0F0D4" w14:textId="59644F8D" w:rsidR="00452E54" w:rsidRPr="0040594D" w:rsidRDefault="00452E54" w:rsidP="00452E54">
            <w:pPr>
              <w:spacing w:before="60" w:line="240" w:lineRule="auto"/>
              <w:jc w:val="right"/>
              <w:rPr>
                <w:rFonts w:cs="Arial"/>
                <w:b/>
                <w:bCs/>
                <w:lang w:eastAsia="en-AU"/>
              </w:rPr>
            </w:pPr>
            <w:r w:rsidRPr="0040594D">
              <w:rPr>
                <w:rFonts w:cs="Arial"/>
                <w:b/>
                <w:bCs/>
                <w:lang w:eastAsia="en-AU"/>
              </w:rPr>
              <w:t xml:space="preserve">Qtr </w:t>
            </w:r>
            <w:r>
              <w:rPr>
                <w:rFonts w:cs="Arial"/>
                <w:b/>
                <w:bCs/>
                <w:lang w:eastAsia="en-AU"/>
              </w:rPr>
              <w:t>48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5C01450B" w:rsidR="00452E54" w:rsidRPr="0040594D" w:rsidRDefault="00452E54" w:rsidP="00452E54">
            <w:pPr>
              <w:spacing w:before="60" w:line="240" w:lineRule="auto"/>
              <w:jc w:val="right"/>
              <w:rPr>
                <w:rFonts w:cs="Arial"/>
                <w:b/>
                <w:bCs/>
                <w:lang w:eastAsia="en-AU"/>
              </w:rPr>
            </w:pPr>
            <w:r w:rsidRPr="0040594D">
              <w:rPr>
                <w:rFonts w:cs="Arial"/>
                <w:b/>
                <w:bCs/>
                <w:lang w:eastAsia="en-AU"/>
              </w:rPr>
              <w:t xml:space="preserve">Qtr </w:t>
            </w:r>
            <w:r>
              <w:rPr>
                <w:rFonts w:cs="Arial"/>
                <w:b/>
                <w:bCs/>
                <w:lang w:eastAsia="en-AU"/>
              </w:rPr>
              <w:t>49</w:t>
            </w:r>
          </w:p>
        </w:tc>
      </w:tr>
      <w:tr w:rsidR="005174DF" w:rsidRPr="00650B45" w14:paraId="2B1B5FCF" w14:textId="77777777" w:rsidTr="005174DF">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5174DF" w:rsidRPr="0040594D" w:rsidRDefault="005174DF" w:rsidP="005174DF">
            <w:pPr>
              <w:spacing w:line="240" w:lineRule="auto"/>
              <w:rPr>
                <w:rFonts w:cs="Arial"/>
                <w:lang w:eastAsia="en-AU"/>
              </w:rPr>
            </w:pPr>
            <w:r>
              <w:rPr>
                <w:rFonts w:cs="Arial"/>
                <w:lang w:eastAsia="en-AU"/>
              </w:rPr>
              <w:t>Total number of notices received by the Commission</w:t>
            </w:r>
            <w:r>
              <w:rPr>
                <w:rStyle w:val="FootnoteReference"/>
                <w:lang w:eastAsia="en-AU"/>
              </w:rPr>
              <w:footnoteReference w:id="2"/>
            </w:r>
          </w:p>
        </w:tc>
        <w:tc>
          <w:tcPr>
            <w:tcW w:w="992" w:type="dxa"/>
            <w:tcBorders>
              <w:top w:val="nil"/>
              <w:left w:val="nil"/>
              <w:bottom w:val="single" w:sz="4" w:space="0" w:color="auto"/>
              <w:right w:val="single" w:sz="4" w:space="0" w:color="auto"/>
            </w:tcBorders>
            <w:vAlign w:val="center"/>
          </w:tcPr>
          <w:p w14:paraId="6DBFD683" w14:textId="784CADAF" w:rsidR="005174DF" w:rsidRDefault="005174DF" w:rsidP="005174DF">
            <w:pPr>
              <w:spacing w:line="240" w:lineRule="auto"/>
              <w:jc w:val="right"/>
              <w:rPr>
                <w:rFonts w:cs="Arial"/>
              </w:rPr>
            </w:pPr>
            <w:r>
              <w:rPr>
                <w:rFonts w:cs="Arial"/>
              </w:rPr>
              <w:t>1,231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081A4DC6" w:rsidR="005174DF" w:rsidRDefault="005174DF" w:rsidP="005174DF">
            <w:pPr>
              <w:spacing w:line="240" w:lineRule="auto"/>
              <w:jc w:val="right"/>
              <w:rPr>
                <w:rFonts w:cs="Arial"/>
              </w:rPr>
            </w:pPr>
            <w:r>
              <w:rPr>
                <w:rFonts w:cs="Arial"/>
              </w:rPr>
              <w:t>2,372</w:t>
            </w:r>
          </w:p>
        </w:tc>
      </w:tr>
      <w:tr w:rsidR="005174DF" w:rsidRPr="00650B45" w14:paraId="624B7E23" w14:textId="77777777" w:rsidTr="005174DF">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27709ABE" w:rsidR="005174DF" w:rsidRDefault="005174DF" w:rsidP="005174DF">
            <w:pPr>
              <w:spacing w:line="240" w:lineRule="auto"/>
              <w:rPr>
                <w:rFonts w:cs="Arial"/>
                <w:lang w:eastAsia="en-AU"/>
              </w:rPr>
            </w:pPr>
            <w:r>
              <w:rPr>
                <w:rFonts w:cs="Arial"/>
                <w:lang w:eastAsia="en-AU"/>
              </w:rPr>
              <w:tab/>
              <w:t>Number of within jurisdiction notices</w:t>
            </w:r>
          </w:p>
        </w:tc>
        <w:tc>
          <w:tcPr>
            <w:tcW w:w="992" w:type="dxa"/>
            <w:tcBorders>
              <w:top w:val="nil"/>
              <w:left w:val="nil"/>
              <w:bottom w:val="single" w:sz="4" w:space="0" w:color="auto"/>
              <w:right w:val="single" w:sz="4" w:space="0" w:color="auto"/>
            </w:tcBorders>
            <w:vAlign w:val="center"/>
          </w:tcPr>
          <w:p w14:paraId="4301D215" w14:textId="30B00E22" w:rsidR="005174DF" w:rsidRDefault="005174DF" w:rsidP="005174DF">
            <w:pPr>
              <w:spacing w:line="240" w:lineRule="auto"/>
              <w:jc w:val="right"/>
              <w:rPr>
                <w:rFonts w:cs="Arial"/>
              </w:rPr>
            </w:pPr>
            <w:r>
              <w:rPr>
                <w:rFonts w:cs="Arial"/>
              </w:rPr>
              <w:t>837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4017BC12" w:rsidR="005174DF" w:rsidRDefault="005174DF" w:rsidP="005174DF">
            <w:pPr>
              <w:spacing w:line="240" w:lineRule="auto"/>
              <w:jc w:val="right"/>
              <w:rPr>
                <w:rFonts w:cs="Arial"/>
              </w:rPr>
            </w:pPr>
            <w:r>
              <w:rPr>
                <w:rFonts w:cs="Arial"/>
              </w:rPr>
              <w:t>1181</w:t>
            </w:r>
          </w:p>
        </w:tc>
      </w:tr>
      <w:tr w:rsidR="005174DF" w:rsidRPr="00650B45" w14:paraId="387F01C7" w14:textId="77777777" w:rsidTr="005174DF">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25ED2372" w:rsidR="005174DF" w:rsidRDefault="005174DF" w:rsidP="005174DF">
            <w:pPr>
              <w:spacing w:line="240" w:lineRule="auto"/>
              <w:rPr>
                <w:rFonts w:cs="Arial"/>
                <w:lang w:eastAsia="en-AU"/>
              </w:rPr>
            </w:pPr>
            <w:r>
              <w:rPr>
                <w:rFonts w:cs="Arial"/>
                <w:lang w:eastAsia="en-AU"/>
              </w:rPr>
              <w:tab/>
              <w:t>Number of not within jurisdiction notices</w:t>
            </w:r>
          </w:p>
        </w:tc>
        <w:tc>
          <w:tcPr>
            <w:tcW w:w="992" w:type="dxa"/>
            <w:tcBorders>
              <w:top w:val="nil"/>
              <w:left w:val="nil"/>
              <w:bottom w:val="single" w:sz="4" w:space="0" w:color="auto"/>
              <w:right w:val="single" w:sz="4" w:space="0" w:color="auto"/>
            </w:tcBorders>
            <w:vAlign w:val="center"/>
          </w:tcPr>
          <w:p w14:paraId="70FE60BF" w14:textId="6D1AF60E" w:rsidR="005174DF" w:rsidRDefault="005174DF" w:rsidP="005174DF">
            <w:pPr>
              <w:spacing w:line="240" w:lineRule="auto"/>
              <w:jc w:val="right"/>
              <w:rPr>
                <w:rFonts w:cs="Arial"/>
              </w:rPr>
            </w:pPr>
            <w:r>
              <w:rPr>
                <w:rFonts w:cs="Arial"/>
              </w:rPr>
              <w:t>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6996E650" w:rsidR="005174DF" w:rsidRDefault="005174DF" w:rsidP="005174DF">
            <w:pPr>
              <w:spacing w:line="240" w:lineRule="auto"/>
              <w:jc w:val="right"/>
              <w:rPr>
                <w:rFonts w:cs="Arial"/>
              </w:rPr>
            </w:pPr>
            <w:r>
              <w:rPr>
                <w:rFonts w:cs="Arial"/>
              </w:rPr>
              <w:t>1191</w:t>
            </w:r>
          </w:p>
        </w:tc>
      </w:tr>
      <w:tr w:rsidR="005174DF" w:rsidRPr="00650B45" w14:paraId="5B71472F"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56E95F4F" w:rsidR="005174DF" w:rsidRDefault="005174DF" w:rsidP="005174DF">
            <w:pPr>
              <w:spacing w:line="240" w:lineRule="auto"/>
              <w:rPr>
                <w:rFonts w:cs="Arial"/>
                <w:lang w:eastAsia="en-AU"/>
              </w:rPr>
            </w:pPr>
            <w:r>
              <w:rPr>
                <w:rFonts w:cs="Arial"/>
                <w:lang w:eastAsia="en-AU"/>
              </w:rPr>
              <w:t>Number of clients notified to the Commission from within jurisdiction notices</w:t>
            </w:r>
          </w:p>
        </w:tc>
        <w:tc>
          <w:tcPr>
            <w:tcW w:w="992" w:type="dxa"/>
            <w:tcBorders>
              <w:top w:val="nil"/>
              <w:left w:val="nil"/>
              <w:bottom w:val="single" w:sz="4" w:space="0" w:color="auto"/>
              <w:right w:val="single" w:sz="4" w:space="0" w:color="auto"/>
            </w:tcBorders>
            <w:vAlign w:val="center"/>
          </w:tcPr>
          <w:p w14:paraId="4B92544F" w14:textId="3E5E70C5" w:rsidR="005174DF" w:rsidRDefault="005174DF" w:rsidP="005174DF">
            <w:pPr>
              <w:spacing w:line="240" w:lineRule="auto"/>
              <w:jc w:val="right"/>
              <w:rPr>
                <w:rFonts w:cs="Arial"/>
              </w:rPr>
            </w:pPr>
            <w:r>
              <w:rPr>
                <w:rFonts w:cs="Arial"/>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5D0E7ADB" w:rsidR="005174DF" w:rsidRDefault="005174DF" w:rsidP="005174DF">
            <w:pPr>
              <w:spacing w:line="240" w:lineRule="auto"/>
              <w:jc w:val="right"/>
              <w:rPr>
                <w:rFonts w:cs="Arial"/>
                <w:lang w:eastAsia="en-AU"/>
              </w:rPr>
            </w:pPr>
            <w:r>
              <w:rPr>
                <w:rFonts w:cs="Arial"/>
              </w:rPr>
              <w:t>622</w:t>
            </w:r>
          </w:p>
        </w:tc>
      </w:tr>
      <w:tr w:rsidR="005174DF" w:rsidRPr="00650B45" w14:paraId="5B70DF90" w14:textId="77777777" w:rsidTr="00D15DF3">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5174DF" w:rsidRDefault="005174DF" w:rsidP="005174DF">
            <w:pPr>
              <w:spacing w:line="240" w:lineRule="auto"/>
              <w:rPr>
                <w:rFonts w:cs="Arial"/>
                <w:lang w:eastAsia="en-AU"/>
              </w:rPr>
            </w:pPr>
          </w:p>
        </w:tc>
        <w:tc>
          <w:tcPr>
            <w:tcW w:w="992" w:type="dxa"/>
            <w:tcBorders>
              <w:top w:val="nil"/>
              <w:left w:val="nil"/>
              <w:bottom w:val="single" w:sz="4" w:space="0" w:color="auto"/>
              <w:right w:val="single" w:sz="4" w:space="0" w:color="auto"/>
            </w:tcBorders>
            <w:vAlign w:val="center"/>
          </w:tcPr>
          <w:p w14:paraId="27AE3D78"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0F8BFDB3" w:rsidR="005174DF" w:rsidRDefault="005174DF" w:rsidP="005174DF">
            <w:pPr>
              <w:spacing w:line="240" w:lineRule="auto"/>
              <w:jc w:val="right"/>
              <w:rPr>
                <w:rFonts w:cs="Arial"/>
                <w:lang w:eastAsia="en-AU"/>
              </w:rPr>
            </w:pPr>
            <w:r>
              <w:rPr>
                <w:rFonts w:cs="Arial"/>
              </w:rPr>
              <w:t> </w:t>
            </w:r>
          </w:p>
        </w:tc>
      </w:tr>
      <w:tr w:rsidR="005174DF" w:rsidRPr="00650B45" w14:paraId="6640BF7C"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5174DF" w:rsidRPr="0040594D" w:rsidRDefault="005174DF" w:rsidP="005174DF">
            <w:pPr>
              <w:spacing w:line="240" w:lineRule="auto"/>
              <w:rPr>
                <w:rFonts w:cs="Arial"/>
                <w:lang w:eastAsia="en-AU"/>
              </w:rPr>
            </w:pPr>
            <w:r>
              <w:rPr>
                <w:rFonts w:cs="Arial"/>
                <w:lang w:eastAsia="en-AU"/>
              </w:rPr>
              <w:t xml:space="preserve">Number of clients </w:t>
            </w:r>
            <w:r w:rsidR="00171674">
              <w:rPr>
                <w:rFonts w:cs="Arial"/>
                <w:lang w:eastAsia="en-AU"/>
              </w:rPr>
              <w:t xml:space="preserve">served </w:t>
            </w:r>
            <w:r>
              <w:rPr>
                <w:rFonts w:cs="Arial"/>
                <w:lang w:eastAsia="en-AU"/>
              </w:rPr>
              <w:t>to attend conference</w:t>
            </w:r>
          </w:p>
        </w:tc>
        <w:tc>
          <w:tcPr>
            <w:tcW w:w="992" w:type="dxa"/>
            <w:tcBorders>
              <w:top w:val="nil"/>
              <w:left w:val="nil"/>
              <w:bottom w:val="single" w:sz="4" w:space="0" w:color="auto"/>
              <w:right w:val="single" w:sz="4" w:space="0" w:color="auto"/>
            </w:tcBorders>
            <w:vAlign w:val="center"/>
          </w:tcPr>
          <w:p w14:paraId="55306C3B" w14:textId="48190ECE" w:rsidR="005174DF" w:rsidRDefault="005174DF" w:rsidP="005174DF">
            <w:pPr>
              <w:spacing w:line="240" w:lineRule="auto"/>
              <w:jc w:val="right"/>
              <w:rPr>
                <w:rFonts w:cs="Arial"/>
              </w:rPr>
            </w:pPr>
            <w:r>
              <w:rPr>
                <w:rFonts w:cs="Arial"/>
              </w:rPr>
              <w:t>309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08908337" w:rsidR="005174DF" w:rsidRDefault="005174DF" w:rsidP="005174DF">
            <w:pPr>
              <w:spacing w:line="240" w:lineRule="auto"/>
              <w:jc w:val="right"/>
              <w:rPr>
                <w:rFonts w:cs="Arial"/>
              </w:rPr>
            </w:pPr>
            <w:r>
              <w:rPr>
                <w:rFonts w:cs="Arial"/>
              </w:rPr>
              <w:t>257</w:t>
            </w:r>
          </w:p>
        </w:tc>
      </w:tr>
      <w:tr w:rsidR="005174DF" w:rsidRPr="00650B45" w14:paraId="32D36153"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0727519C" w:rsidR="005174DF" w:rsidRDefault="005174DF" w:rsidP="005174DF">
            <w:pPr>
              <w:spacing w:line="240" w:lineRule="auto"/>
              <w:rPr>
                <w:rFonts w:cs="Arial"/>
                <w:lang w:eastAsia="en-AU"/>
              </w:rPr>
            </w:pPr>
            <w:r>
              <w:rPr>
                <w:rFonts w:cs="Arial"/>
                <w:lang w:eastAsia="en-AU"/>
              </w:rPr>
              <w:t>Conferences conducted</w:t>
            </w:r>
          </w:p>
        </w:tc>
        <w:tc>
          <w:tcPr>
            <w:tcW w:w="992" w:type="dxa"/>
            <w:tcBorders>
              <w:top w:val="nil"/>
              <w:left w:val="nil"/>
              <w:bottom w:val="single" w:sz="4" w:space="0" w:color="auto"/>
              <w:right w:val="single" w:sz="4" w:space="0" w:color="auto"/>
            </w:tcBorders>
            <w:vAlign w:val="center"/>
          </w:tcPr>
          <w:p w14:paraId="61C5BF2D" w14:textId="0459DB7E" w:rsidR="005174DF" w:rsidRDefault="005174DF" w:rsidP="005174DF">
            <w:pPr>
              <w:spacing w:line="240" w:lineRule="auto"/>
              <w:jc w:val="right"/>
              <w:rPr>
                <w:rFonts w:cs="Arial"/>
                <w:lang w:eastAsia="en-AU"/>
              </w:rPr>
            </w:pPr>
            <w:r>
              <w:rPr>
                <w:rFonts w:cs="Arial"/>
                <w:lang w:eastAsia="en-AU"/>
              </w:rPr>
              <w:t>439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0F9A1" w14:textId="2B067786" w:rsidR="005174DF" w:rsidRDefault="005174DF" w:rsidP="005174DF">
            <w:pPr>
              <w:spacing w:line="240" w:lineRule="auto"/>
              <w:jc w:val="right"/>
              <w:rPr>
                <w:rFonts w:cs="Arial"/>
                <w:lang w:eastAsia="en-AU"/>
              </w:rPr>
            </w:pPr>
            <w:r>
              <w:rPr>
                <w:rFonts w:cs="Arial"/>
              </w:rPr>
              <w:t>331</w:t>
            </w:r>
          </w:p>
        </w:tc>
      </w:tr>
      <w:tr w:rsidR="005174DF" w:rsidRPr="00650B45" w14:paraId="5461BF2B"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5EB21050" w:rsidR="005174DF" w:rsidRDefault="005174DF" w:rsidP="005174DF">
            <w:pPr>
              <w:spacing w:line="240" w:lineRule="auto"/>
              <w:rPr>
                <w:rFonts w:cs="Arial"/>
                <w:lang w:eastAsia="en-AU"/>
              </w:rPr>
            </w:pPr>
            <w:r>
              <w:rPr>
                <w:rFonts w:cs="Arial"/>
                <w:lang w:eastAsia="en-AU"/>
              </w:rPr>
              <w:t>Conference attendance percentage</w:t>
            </w:r>
          </w:p>
        </w:tc>
        <w:tc>
          <w:tcPr>
            <w:tcW w:w="992" w:type="dxa"/>
            <w:tcBorders>
              <w:top w:val="nil"/>
              <w:left w:val="nil"/>
              <w:bottom w:val="single" w:sz="4" w:space="0" w:color="auto"/>
              <w:right w:val="single" w:sz="4" w:space="0" w:color="auto"/>
            </w:tcBorders>
            <w:vAlign w:val="center"/>
          </w:tcPr>
          <w:p w14:paraId="20582BF6" w14:textId="06461E69" w:rsidR="005174DF" w:rsidRDefault="005174DF" w:rsidP="005174DF">
            <w:pPr>
              <w:spacing w:line="240" w:lineRule="auto"/>
              <w:jc w:val="right"/>
              <w:rPr>
                <w:rFonts w:cs="Arial"/>
                <w:lang w:eastAsia="en-AU"/>
              </w:rPr>
            </w:pPr>
            <w:r>
              <w:rPr>
                <w:rFonts w:cs="Arial"/>
                <w:lang w:eastAsia="en-AU"/>
              </w:rPr>
              <w:t>61.7%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32241F68" w:rsidR="005174DF" w:rsidRDefault="005174DF" w:rsidP="005174DF">
            <w:pPr>
              <w:spacing w:line="240" w:lineRule="auto"/>
              <w:jc w:val="right"/>
              <w:rPr>
                <w:rFonts w:cs="Arial"/>
                <w:lang w:eastAsia="en-AU"/>
              </w:rPr>
            </w:pPr>
            <w:r>
              <w:rPr>
                <w:rFonts w:cs="Arial"/>
              </w:rPr>
              <w:t>54.4%</w:t>
            </w:r>
          </w:p>
        </w:tc>
      </w:tr>
      <w:tr w:rsidR="005174DF" w:rsidRPr="00650B45" w14:paraId="71489B13"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73D42CFC" w:rsidR="005174DF" w:rsidRDefault="005174DF" w:rsidP="005174DF">
            <w:pPr>
              <w:spacing w:line="240" w:lineRule="auto"/>
              <w:rPr>
                <w:rFonts w:cs="Arial"/>
                <w:lang w:eastAsia="en-AU"/>
              </w:rPr>
            </w:pPr>
            <w:r>
              <w:rPr>
                <w:rFonts w:cs="Arial"/>
                <w:lang w:eastAsia="en-AU"/>
              </w:rPr>
              <w:t>Conference non-attendance percentage with acceptable (reasonable) excuse</w:t>
            </w:r>
          </w:p>
        </w:tc>
        <w:tc>
          <w:tcPr>
            <w:tcW w:w="992" w:type="dxa"/>
            <w:tcBorders>
              <w:top w:val="nil"/>
              <w:left w:val="nil"/>
              <w:bottom w:val="single" w:sz="4" w:space="0" w:color="auto"/>
              <w:right w:val="single" w:sz="4" w:space="0" w:color="auto"/>
            </w:tcBorders>
            <w:vAlign w:val="center"/>
          </w:tcPr>
          <w:p w14:paraId="6B41EF39" w14:textId="4B094702" w:rsidR="005174DF" w:rsidRDefault="005174DF" w:rsidP="005174DF">
            <w:pPr>
              <w:spacing w:line="240" w:lineRule="auto"/>
              <w:jc w:val="right"/>
              <w:rPr>
                <w:rFonts w:cs="Arial"/>
                <w:lang w:eastAsia="en-AU"/>
              </w:rPr>
            </w:pPr>
            <w:r>
              <w:rPr>
                <w:rFonts w:cs="Arial"/>
                <w:lang w:eastAsia="en-AU"/>
              </w:rPr>
              <w:t>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2ED59673" w:rsidR="005174DF" w:rsidRDefault="005174DF" w:rsidP="005174DF">
            <w:pPr>
              <w:spacing w:line="240" w:lineRule="auto"/>
              <w:jc w:val="right"/>
              <w:rPr>
                <w:rFonts w:cs="Arial"/>
                <w:lang w:eastAsia="en-AU"/>
              </w:rPr>
            </w:pPr>
            <w:r>
              <w:rPr>
                <w:rFonts w:cs="Arial"/>
              </w:rPr>
              <w:t>24.5%</w:t>
            </w:r>
          </w:p>
        </w:tc>
      </w:tr>
      <w:tr w:rsidR="00452E54" w:rsidRPr="00650B45" w14:paraId="000DC7AD" w14:textId="77777777" w:rsidTr="00D15DF3">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452E54" w:rsidRDefault="00452E54" w:rsidP="00452E54">
            <w:pPr>
              <w:spacing w:line="240" w:lineRule="auto"/>
              <w:rPr>
                <w:rFonts w:cs="Arial"/>
                <w:lang w:eastAsia="en-AU"/>
              </w:rPr>
            </w:pPr>
          </w:p>
        </w:tc>
        <w:tc>
          <w:tcPr>
            <w:tcW w:w="992" w:type="dxa"/>
            <w:tcBorders>
              <w:top w:val="nil"/>
              <w:left w:val="nil"/>
              <w:bottom w:val="single" w:sz="4" w:space="0" w:color="auto"/>
              <w:right w:val="single" w:sz="4" w:space="0" w:color="auto"/>
            </w:tcBorders>
            <w:vAlign w:val="center"/>
          </w:tcPr>
          <w:p w14:paraId="56862A1E" w14:textId="77777777" w:rsidR="00452E54" w:rsidRDefault="00452E54" w:rsidP="00452E54">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452E54" w:rsidRDefault="00452E54" w:rsidP="00452E54">
            <w:pPr>
              <w:spacing w:line="240" w:lineRule="auto"/>
              <w:jc w:val="right"/>
              <w:rPr>
                <w:rFonts w:cs="Arial"/>
                <w:lang w:eastAsia="en-AU"/>
              </w:rPr>
            </w:pPr>
          </w:p>
        </w:tc>
      </w:tr>
      <w:tr w:rsidR="00452E54" w:rsidRPr="00650B45" w14:paraId="242866B2"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3717C116" w:rsidR="00452E54" w:rsidRPr="00FE2F24" w:rsidRDefault="00452E54" w:rsidP="00452E54">
            <w:pPr>
              <w:spacing w:line="240" w:lineRule="auto"/>
              <w:rPr>
                <w:rFonts w:cs="Arial"/>
                <w:b/>
                <w:lang w:eastAsia="en-AU"/>
              </w:rPr>
            </w:pPr>
            <w:r>
              <w:rPr>
                <w:rFonts w:cs="Arial"/>
                <w:b/>
                <w:lang w:eastAsia="en-AU"/>
              </w:rPr>
              <w:t>Conference outcomes for the quarter</w:t>
            </w:r>
          </w:p>
        </w:tc>
        <w:tc>
          <w:tcPr>
            <w:tcW w:w="992" w:type="dxa"/>
            <w:tcBorders>
              <w:top w:val="nil"/>
              <w:left w:val="nil"/>
              <w:bottom w:val="single" w:sz="4" w:space="0" w:color="auto"/>
              <w:right w:val="single" w:sz="4" w:space="0" w:color="auto"/>
            </w:tcBorders>
            <w:vAlign w:val="center"/>
          </w:tcPr>
          <w:p w14:paraId="59C48974" w14:textId="77777777" w:rsidR="00452E54" w:rsidRDefault="00452E54" w:rsidP="00452E54">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452E54" w:rsidRDefault="00452E54" w:rsidP="00452E54">
            <w:pPr>
              <w:spacing w:line="240" w:lineRule="auto"/>
              <w:jc w:val="right"/>
              <w:rPr>
                <w:rFonts w:cs="Arial"/>
                <w:lang w:eastAsia="en-AU"/>
              </w:rPr>
            </w:pPr>
          </w:p>
        </w:tc>
      </w:tr>
      <w:tr w:rsidR="005174DF" w:rsidRPr="00650B45" w14:paraId="5D7BAD0E"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5174DF" w:rsidRPr="0040594D" w:rsidRDefault="005174DF" w:rsidP="005174DF">
            <w:pPr>
              <w:spacing w:line="240" w:lineRule="auto"/>
              <w:rPr>
                <w:rFonts w:cs="Arial"/>
                <w:lang w:eastAsia="en-AU"/>
              </w:rPr>
            </w:pPr>
            <w:r>
              <w:rPr>
                <w:rFonts w:cs="Arial"/>
              </w:rPr>
              <w:t>Agreements to attend community support services</w:t>
            </w:r>
          </w:p>
        </w:tc>
        <w:tc>
          <w:tcPr>
            <w:tcW w:w="992" w:type="dxa"/>
            <w:tcBorders>
              <w:top w:val="nil"/>
              <w:left w:val="nil"/>
              <w:bottom w:val="single" w:sz="4" w:space="0" w:color="auto"/>
              <w:right w:val="single" w:sz="4" w:space="0" w:color="auto"/>
            </w:tcBorders>
            <w:vAlign w:val="center"/>
          </w:tcPr>
          <w:p w14:paraId="41807F86" w14:textId="3DF5FFA7" w:rsidR="005174DF" w:rsidRDefault="005174DF" w:rsidP="005174DF">
            <w:pPr>
              <w:spacing w:line="240" w:lineRule="auto"/>
              <w:jc w:val="right"/>
              <w:rPr>
                <w:rFonts w:cs="Arial"/>
              </w:rPr>
            </w:pPr>
            <w:r>
              <w:rPr>
                <w:rFonts w:cs="Arial"/>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06797D71" w:rsidR="005174DF" w:rsidRPr="0040594D" w:rsidRDefault="005174DF" w:rsidP="005174DF">
            <w:pPr>
              <w:spacing w:line="240" w:lineRule="auto"/>
              <w:jc w:val="right"/>
              <w:rPr>
                <w:rFonts w:cs="Arial"/>
                <w:lang w:eastAsia="en-AU"/>
              </w:rPr>
            </w:pPr>
            <w:r>
              <w:rPr>
                <w:rFonts w:cs="Arial"/>
              </w:rPr>
              <w:t>39</w:t>
            </w:r>
          </w:p>
        </w:tc>
      </w:tr>
      <w:tr w:rsidR="005174DF" w:rsidRPr="00650B45" w14:paraId="2EEF3859"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5174DF" w:rsidRPr="0040594D" w:rsidRDefault="005174DF" w:rsidP="005174DF">
            <w:pPr>
              <w:spacing w:line="240" w:lineRule="auto"/>
              <w:rPr>
                <w:rFonts w:cs="Arial"/>
                <w:lang w:eastAsia="en-AU"/>
              </w:rPr>
            </w:pPr>
            <w:r>
              <w:rPr>
                <w:rFonts w:cs="Arial"/>
              </w:rPr>
              <w:t>Orders made to attend community support services</w:t>
            </w:r>
          </w:p>
        </w:tc>
        <w:tc>
          <w:tcPr>
            <w:tcW w:w="992" w:type="dxa"/>
            <w:tcBorders>
              <w:top w:val="nil"/>
              <w:left w:val="nil"/>
              <w:bottom w:val="single" w:sz="4" w:space="0" w:color="auto"/>
              <w:right w:val="single" w:sz="4" w:space="0" w:color="auto"/>
            </w:tcBorders>
            <w:vAlign w:val="center"/>
          </w:tcPr>
          <w:p w14:paraId="642F02B7" w14:textId="215D8109" w:rsidR="005174DF" w:rsidRDefault="005174DF" w:rsidP="005174DF">
            <w:pPr>
              <w:spacing w:line="240" w:lineRule="auto"/>
              <w:jc w:val="right"/>
              <w:rPr>
                <w:rFonts w:cs="Arial"/>
              </w:rPr>
            </w:pPr>
            <w:r>
              <w:rPr>
                <w:rFonts w:cs="Arial"/>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7DCE0022" w:rsidR="005174DF" w:rsidRPr="0040594D" w:rsidRDefault="005174DF" w:rsidP="005174DF">
            <w:pPr>
              <w:spacing w:line="240" w:lineRule="auto"/>
              <w:jc w:val="right"/>
              <w:rPr>
                <w:rFonts w:cs="Arial"/>
                <w:lang w:eastAsia="en-AU"/>
              </w:rPr>
            </w:pPr>
            <w:r>
              <w:rPr>
                <w:rFonts w:cs="Arial"/>
              </w:rPr>
              <w:t>44</w:t>
            </w:r>
          </w:p>
        </w:tc>
      </w:tr>
      <w:tr w:rsidR="005174DF" w:rsidRPr="00650B45" w14:paraId="6ABD7603"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7C3317D" w:rsidR="005174DF" w:rsidRPr="0040594D" w:rsidRDefault="005174DF" w:rsidP="005174DF">
            <w:pPr>
              <w:spacing w:line="240" w:lineRule="auto"/>
              <w:rPr>
                <w:rFonts w:cs="Arial"/>
                <w:lang w:eastAsia="en-AU"/>
              </w:rPr>
            </w:pPr>
            <w:r w:rsidRPr="0040594D">
              <w:rPr>
                <w:rFonts w:cs="Arial"/>
                <w:lang w:eastAsia="en-AU"/>
              </w:rPr>
              <w:t xml:space="preserve">Referrals </w:t>
            </w:r>
            <w:r>
              <w:rPr>
                <w:rFonts w:cs="Arial"/>
                <w:lang w:eastAsia="en-AU"/>
              </w:rPr>
              <w:t>to service providers</w:t>
            </w:r>
            <w:r>
              <w:rPr>
                <w:rStyle w:val="FootnoteReference"/>
                <w:lang w:eastAsia="en-AU"/>
              </w:rPr>
              <w:footnoteReference w:id="3"/>
            </w:r>
          </w:p>
        </w:tc>
        <w:tc>
          <w:tcPr>
            <w:tcW w:w="992" w:type="dxa"/>
            <w:tcBorders>
              <w:top w:val="nil"/>
              <w:left w:val="nil"/>
              <w:bottom w:val="single" w:sz="4" w:space="0" w:color="auto"/>
              <w:right w:val="single" w:sz="4" w:space="0" w:color="auto"/>
            </w:tcBorders>
            <w:vAlign w:val="center"/>
          </w:tcPr>
          <w:p w14:paraId="4EBA98E0" w14:textId="1B2C082B" w:rsidR="005174DF" w:rsidRDefault="005174DF" w:rsidP="005174DF">
            <w:pPr>
              <w:spacing w:line="240" w:lineRule="auto"/>
              <w:jc w:val="right"/>
              <w:rPr>
                <w:rFonts w:cs="Arial"/>
              </w:rPr>
            </w:pPr>
            <w:r>
              <w:rPr>
                <w:rFonts w:cs="Arial"/>
              </w:rPr>
              <w:t>104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62E81F5F" w:rsidR="005174DF" w:rsidRDefault="005174DF" w:rsidP="005174DF">
            <w:pPr>
              <w:spacing w:line="240" w:lineRule="auto"/>
              <w:jc w:val="right"/>
              <w:rPr>
                <w:rFonts w:cs="Arial"/>
              </w:rPr>
            </w:pPr>
            <w:r>
              <w:rPr>
                <w:rFonts w:cs="Arial"/>
              </w:rPr>
              <w:t>93</w:t>
            </w:r>
          </w:p>
        </w:tc>
      </w:tr>
      <w:tr w:rsidR="005174DF" w:rsidRPr="00650B45" w14:paraId="12440F88"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0001BD4" w14:textId="7D380D3A" w:rsidR="005174DF" w:rsidRPr="0040594D" w:rsidRDefault="005174DF" w:rsidP="005174DF">
            <w:pPr>
              <w:spacing w:line="240" w:lineRule="auto"/>
              <w:rPr>
                <w:rFonts w:cs="Arial"/>
                <w:lang w:eastAsia="en-AU"/>
              </w:rPr>
            </w:pPr>
            <w:r>
              <w:rPr>
                <w:rFonts w:cs="Arial"/>
              </w:rPr>
              <w:t>Agreements for Conditional Income Management (CIM)</w:t>
            </w:r>
          </w:p>
        </w:tc>
        <w:tc>
          <w:tcPr>
            <w:tcW w:w="992" w:type="dxa"/>
            <w:tcBorders>
              <w:top w:val="nil"/>
              <w:left w:val="nil"/>
              <w:bottom w:val="single" w:sz="4" w:space="0" w:color="auto"/>
              <w:right w:val="single" w:sz="4" w:space="0" w:color="auto"/>
            </w:tcBorders>
            <w:vAlign w:val="center"/>
          </w:tcPr>
          <w:p w14:paraId="58A750FF" w14:textId="0342218E" w:rsidR="005174DF" w:rsidRDefault="005174DF" w:rsidP="005174DF">
            <w:pPr>
              <w:spacing w:line="240" w:lineRule="auto"/>
              <w:jc w:val="right"/>
              <w:rPr>
                <w:rFonts w:cs="Arial"/>
              </w:rPr>
            </w:pPr>
            <w:r>
              <w:rPr>
                <w:rFonts w:cs="Aria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85354" w14:textId="7E0865A3" w:rsidR="005174DF" w:rsidRDefault="005174DF" w:rsidP="005174DF">
            <w:pPr>
              <w:spacing w:line="240" w:lineRule="auto"/>
              <w:jc w:val="right"/>
              <w:rPr>
                <w:rFonts w:cs="Arial"/>
                <w:lang w:eastAsia="en-AU"/>
              </w:rPr>
            </w:pPr>
            <w:r>
              <w:rPr>
                <w:rFonts w:cs="Arial"/>
              </w:rPr>
              <w:t>1</w:t>
            </w:r>
          </w:p>
        </w:tc>
      </w:tr>
      <w:tr w:rsidR="005174DF" w:rsidRPr="00650B45" w14:paraId="72AB99E7"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5174DF" w:rsidRPr="0040594D" w:rsidRDefault="005174DF" w:rsidP="005174DF">
            <w:pPr>
              <w:spacing w:line="240" w:lineRule="auto"/>
              <w:rPr>
                <w:rFonts w:cs="Arial"/>
                <w:lang w:eastAsia="en-AU"/>
              </w:rPr>
            </w:pPr>
            <w:r>
              <w:rPr>
                <w:rFonts w:cs="Arial"/>
              </w:rPr>
              <w:t>Orders made for CIM</w:t>
            </w:r>
          </w:p>
        </w:tc>
        <w:tc>
          <w:tcPr>
            <w:tcW w:w="992" w:type="dxa"/>
            <w:tcBorders>
              <w:top w:val="nil"/>
              <w:left w:val="nil"/>
              <w:bottom w:val="single" w:sz="4" w:space="0" w:color="auto"/>
              <w:right w:val="single" w:sz="4" w:space="0" w:color="auto"/>
            </w:tcBorders>
            <w:vAlign w:val="center"/>
          </w:tcPr>
          <w:p w14:paraId="65D25373" w14:textId="1B0E0673" w:rsidR="005174DF" w:rsidRDefault="005174DF" w:rsidP="005174DF">
            <w:pPr>
              <w:spacing w:line="240" w:lineRule="auto"/>
              <w:jc w:val="right"/>
              <w:rPr>
                <w:rFonts w:cs="Arial"/>
              </w:rPr>
            </w:pPr>
            <w:r>
              <w:rPr>
                <w:rFonts w:cs="Arial"/>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23300E29" w:rsidR="005174DF" w:rsidRDefault="005174DF" w:rsidP="005174DF">
            <w:pPr>
              <w:spacing w:line="240" w:lineRule="auto"/>
              <w:jc w:val="right"/>
              <w:rPr>
                <w:rFonts w:cs="Arial"/>
                <w:lang w:eastAsia="en-AU"/>
              </w:rPr>
            </w:pPr>
            <w:r>
              <w:rPr>
                <w:rFonts w:cs="Arial"/>
              </w:rPr>
              <w:t>34</w:t>
            </w:r>
          </w:p>
        </w:tc>
      </w:tr>
      <w:tr w:rsidR="005174DF" w:rsidRPr="00650B45" w14:paraId="714A0FD4" w14:textId="77777777" w:rsidTr="00D15DF3">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5174DF" w:rsidRPr="0040594D" w:rsidRDefault="005174DF" w:rsidP="005174DF">
            <w:pPr>
              <w:spacing w:line="240" w:lineRule="auto"/>
              <w:rPr>
                <w:rFonts w:cs="Arial"/>
                <w:lang w:eastAsia="en-AU"/>
              </w:rPr>
            </w:pPr>
          </w:p>
        </w:tc>
        <w:tc>
          <w:tcPr>
            <w:tcW w:w="992" w:type="dxa"/>
            <w:tcBorders>
              <w:top w:val="nil"/>
              <w:left w:val="nil"/>
              <w:bottom w:val="single" w:sz="4" w:space="0" w:color="auto"/>
              <w:right w:val="single" w:sz="4" w:space="0" w:color="auto"/>
            </w:tcBorders>
            <w:vAlign w:val="center"/>
          </w:tcPr>
          <w:p w14:paraId="18378A69"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059BFCC3" w:rsidR="005174DF" w:rsidRDefault="005174DF" w:rsidP="005174DF">
            <w:pPr>
              <w:spacing w:line="240" w:lineRule="auto"/>
              <w:jc w:val="right"/>
              <w:rPr>
                <w:rFonts w:cs="Arial"/>
                <w:lang w:eastAsia="en-AU"/>
              </w:rPr>
            </w:pPr>
            <w:r>
              <w:rPr>
                <w:rFonts w:cs="Arial"/>
              </w:rPr>
              <w:t> </w:t>
            </w:r>
          </w:p>
        </w:tc>
      </w:tr>
      <w:tr w:rsidR="005174DF" w:rsidRPr="00650B45" w14:paraId="1D121C2A"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61D38C" w14:textId="07C59E18" w:rsidR="005174DF" w:rsidRPr="00721994" w:rsidRDefault="002D28AE" w:rsidP="005174DF">
            <w:pPr>
              <w:spacing w:line="240" w:lineRule="auto"/>
              <w:rPr>
                <w:rFonts w:cs="Arial"/>
                <w:b/>
                <w:lang w:eastAsia="en-AU"/>
              </w:rPr>
            </w:pPr>
            <w:r>
              <w:rPr>
                <w:rFonts w:cs="Arial"/>
                <w:b/>
                <w:lang w:eastAsia="en-AU"/>
              </w:rPr>
              <w:t xml:space="preserve">Client </w:t>
            </w:r>
            <w:r w:rsidR="0092015D">
              <w:rPr>
                <w:rFonts w:cs="Arial"/>
                <w:b/>
                <w:lang w:eastAsia="en-AU"/>
              </w:rPr>
              <w:t>interaction</w:t>
            </w:r>
            <w:r w:rsidR="00631636">
              <w:rPr>
                <w:rFonts w:cs="Arial"/>
                <w:b/>
                <w:lang w:eastAsia="en-AU"/>
              </w:rPr>
              <w:t>s</w:t>
            </w:r>
            <w:r>
              <w:rPr>
                <w:rFonts w:cs="Arial"/>
                <w:b/>
                <w:lang w:eastAsia="en-AU"/>
              </w:rPr>
              <w:t xml:space="preserve"> during the quarter</w:t>
            </w:r>
            <w:r w:rsidR="005174DF">
              <w:rPr>
                <w:rStyle w:val="FootnoteReference"/>
                <w:b/>
                <w:lang w:eastAsia="en-AU"/>
              </w:rPr>
              <w:footnoteReference w:id="4"/>
            </w:r>
          </w:p>
        </w:tc>
        <w:tc>
          <w:tcPr>
            <w:tcW w:w="992" w:type="dxa"/>
            <w:tcBorders>
              <w:top w:val="nil"/>
              <w:left w:val="nil"/>
              <w:bottom w:val="single" w:sz="4" w:space="0" w:color="auto"/>
              <w:right w:val="single" w:sz="4" w:space="0" w:color="auto"/>
            </w:tcBorders>
            <w:vAlign w:val="center"/>
          </w:tcPr>
          <w:p w14:paraId="29088012"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D988C" w14:textId="4C3C6B5A" w:rsidR="005174DF" w:rsidRDefault="005174DF" w:rsidP="005174DF">
            <w:pPr>
              <w:spacing w:line="240" w:lineRule="auto"/>
              <w:jc w:val="right"/>
              <w:rPr>
                <w:rFonts w:cs="Arial"/>
                <w:lang w:eastAsia="en-AU"/>
              </w:rPr>
            </w:pPr>
            <w:r>
              <w:rPr>
                <w:rFonts w:cs="Arial"/>
              </w:rPr>
              <w:t> </w:t>
            </w:r>
          </w:p>
        </w:tc>
      </w:tr>
      <w:tr w:rsidR="002D28AE" w:rsidRPr="00650B45" w14:paraId="2150C82C"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7B19184" w14:textId="6FEC19C7" w:rsidR="002D28AE" w:rsidRDefault="002D28AE" w:rsidP="005174DF">
            <w:pPr>
              <w:spacing w:line="240" w:lineRule="auto"/>
              <w:rPr>
                <w:rFonts w:cs="Arial"/>
                <w:lang w:eastAsia="en-AU"/>
              </w:rPr>
            </w:pPr>
            <w:r>
              <w:rPr>
                <w:rFonts w:cs="Arial"/>
                <w:lang w:eastAsia="en-AU"/>
              </w:rPr>
              <w:t>Number of clients placed on a voluntary case plan</w:t>
            </w:r>
            <w:r w:rsidR="00035309">
              <w:rPr>
                <w:rFonts w:cs="Arial"/>
                <w:lang w:eastAsia="en-AU"/>
              </w:rPr>
              <w:t xml:space="preserve"> (VCP)</w:t>
            </w:r>
            <w:r>
              <w:rPr>
                <w:rFonts w:cs="Arial"/>
                <w:lang w:eastAsia="en-AU"/>
              </w:rPr>
              <w:t>, voluntary income management (VIM) and CIM</w:t>
            </w:r>
          </w:p>
        </w:tc>
        <w:tc>
          <w:tcPr>
            <w:tcW w:w="992" w:type="dxa"/>
            <w:tcBorders>
              <w:top w:val="nil"/>
              <w:left w:val="nil"/>
              <w:bottom w:val="single" w:sz="4" w:space="0" w:color="auto"/>
              <w:right w:val="single" w:sz="4" w:space="0" w:color="auto"/>
            </w:tcBorders>
            <w:vAlign w:val="center"/>
          </w:tcPr>
          <w:p w14:paraId="4228383D" w14:textId="0BD5B36A" w:rsidR="002D28AE" w:rsidRDefault="002D28AE" w:rsidP="005174DF">
            <w:pPr>
              <w:spacing w:line="240" w:lineRule="auto"/>
              <w:jc w:val="right"/>
              <w:rPr>
                <w:rFonts w:cs="Arial"/>
              </w:rPr>
            </w:pPr>
            <w:r>
              <w:rPr>
                <w:rFonts w:cs="Aria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025A59" w14:textId="20509DA9" w:rsidR="002D28AE" w:rsidRDefault="002D28AE" w:rsidP="005174DF">
            <w:pPr>
              <w:spacing w:line="240" w:lineRule="auto"/>
              <w:jc w:val="right"/>
              <w:rPr>
                <w:rFonts w:cs="Arial"/>
              </w:rPr>
            </w:pPr>
            <w:r>
              <w:rPr>
                <w:rFonts w:cs="Arial"/>
              </w:rPr>
              <w:t>1</w:t>
            </w:r>
          </w:p>
        </w:tc>
      </w:tr>
      <w:tr w:rsidR="002D28AE" w:rsidRPr="00650B45" w14:paraId="5E8BE662"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A756EC0" w14:textId="05F56B80" w:rsidR="002D28AE" w:rsidRDefault="002D28AE" w:rsidP="005174DF">
            <w:pPr>
              <w:spacing w:line="240" w:lineRule="auto"/>
              <w:rPr>
                <w:rFonts w:cs="Arial"/>
                <w:lang w:eastAsia="en-AU"/>
              </w:rPr>
            </w:pPr>
            <w:r>
              <w:rPr>
                <w:rFonts w:cs="Arial"/>
                <w:lang w:eastAsia="en-AU"/>
              </w:rPr>
              <w:t xml:space="preserve">Number of clients placed on a </w:t>
            </w:r>
            <w:r w:rsidR="00CE7265">
              <w:rPr>
                <w:rFonts w:cs="Arial"/>
                <w:lang w:eastAsia="en-AU"/>
              </w:rPr>
              <w:t>VCP</w:t>
            </w:r>
          </w:p>
        </w:tc>
        <w:tc>
          <w:tcPr>
            <w:tcW w:w="992" w:type="dxa"/>
            <w:tcBorders>
              <w:top w:val="nil"/>
              <w:left w:val="nil"/>
              <w:bottom w:val="single" w:sz="4" w:space="0" w:color="auto"/>
              <w:right w:val="single" w:sz="4" w:space="0" w:color="auto"/>
            </w:tcBorders>
            <w:vAlign w:val="center"/>
          </w:tcPr>
          <w:p w14:paraId="3626B476" w14:textId="2B9F05DD" w:rsidR="002D28AE" w:rsidRDefault="002D28AE" w:rsidP="005174DF">
            <w:pPr>
              <w:spacing w:line="240" w:lineRule="auto"/>
              <w:jc w:val="right"/>
              <w:rPr>
                <w:rFonts w:cs="Arial"/>
              </w:rPr>
            </w:pPr>
            <w:r>
              <w:rPr>
                <w:rFonts w:cs="Arial"/>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5DE40" w14:textId="0EB0A6BC" w:rsidR="002D28AE" w:rsidRDefault="002D28AE" w:rsidP="005174DF">
            <w:pPr>
              <w:spacing w:line="240" w:lineRule="auto"/>
              <w:jc w:val="right"/>
              <w:rPr>
                <w:rFonts w:cs="Arial"/>
              </w:rPr>
            </w:pPr>
            <w:r>
              <w:rPr>
                <w:rFonts w:cs="Arial"/>
              </w:rPr>
              <w:t>2</w:t>
            </w:r>
          </w:p>
        </w:tc>
      </w:tr>
      <w:tr w:rsidR="002D28AE" w:rsidRPr="00650B45" w14:paraId="37668154"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1323B75" w14:textId="67B861D2" w:rsidR="002D28AE" w:rsidRDefault="002D28AE" w:rsidP="002D28AE">
            <w:pPr>
              <w:spacing w:line="240" w:lineRule="auto"/>
              <w:rPr>
                <w:rFonts w:cs="Arial"/>
                <w:lang w:eastAsia="en-AU"/>
              </w:rPr>
            </w:pPr>
            <w:r>
              <w:rPr>
                <w:rFonts w:cs="Arial"/>
                <w:lang w:eastAsia="en-AU"/>
              </w:rPr>
              <w:t>Number of clients placed on a case plan without a CIM</w:t>
            </w:r>
          </w:p>
        </w:tc>
        <w:tc>
          <w:tcPr>
            <w:tcW w:w="992" w:type="dxa"/>
            <w:tcBorders>
              <w:top w:val="nil"/>
              <w:left w:val="nil"/>
              <w:bottom w:val="single" w:sz="4" w:space="0" w:color="auto"/>
              <w:right w:val="single" w:sz="4" w:space="0" w:color="auto"/>
            </w:tcBorders>
            <w:vAlign w:val="center"/>
          </w:tcPr>
          <w:p w14:paraId="4F1FB193" w14:textId="7A3849FA" w:rsidR="002D28AE" w:rsidRDefault="002D28AE" w:rsidP="002D28AE">
            <w:pPr>
              <w:spacing w:line="240" w:lineRule="auto"/>
              <w:jc w:val="right"/>
              <w:rPr>
                <w:rFonts w:cs="Arial"/>
              </w:rPr>
            </w:pPr>
            <w:r>
              <w:rPr>
                <w:rFonts w:cs="Arial"/>
              </w:rPr>
              <w:t>5</w:t>
            </w:r>
            <w:r w:rsidR="00055F4B">
              <w:rPr>
                <w:rFonts w:cs="Arial"/>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EC257A" w14:textId="5D5D4510" w:rsidR="002D28AE" w:rsidRDefault="002D28AE" w:rsidP="002D28AE">
            <w:pPr>
              <w:spacing w:line="240" w:lineRule="auto"/>
              <w:jc w:val="right"/>
              <w:rPr>
                <w:rFonts w:cs="Arial"/>
              </w:rPr>
            </w:pPr>
            <w:r>
              <w:rPr>
                <w:rFonts w:cs="Arial"/>
              </w:rPr>
              <w:t>69</w:t>
            </w:r>
          </w:p>
        </w:tc>
      </w:tr>
      <w:tr w:rsidR="00B9227F" w:rsidRPr="00650B45" w14:paraId="03DB7CB1"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5C6189" w14:textId="244C728F" w:rsidR="00B9227F" w:rsidRDefault="00B9227F" w:rsidP="00B9227F">
            <w:pPr>
              <w:spacing w:line="240" w:lineRule="auto"/>
              <w:rPr>
                <w:rFonts w:cs="Arial"/>
                <w:lang w:eastAsia="en-AU"/>
              </w:rPr>
            </w:pPr>
            <w:r>
              <w:rPr>
                <w:rFonts w:cs="Arial"/>
                <w:lang w:eastAsia="en-AU"/>
              </w:rPr>
              <w:t>Number of clients placed on a case plan and VIM</w:t>
            </w:r>
          </w:p>
        </w:tc>
        <w:tc>
          <w:tcPr>
            <w:tcW w:w="992" w:type="dxa"/>
            <w:tcBorders>
              <w:top w:val="nil"/>
              <w:left w:val="nil"/>
              <w:bottom w:val="single" w:sz="4" w:space="0" w:color="auto"/>
              <w:right w:val="single" w:sz="4" w:space="0" w:color="auto"/>
            </w:tcBorders>
            <w:vAlign w:val="center"/>
          </w:tcPr>
          <w:p w14:paraId="4016A32E" w14:textId="1FB793CF" w:rsidR="00B9227F" w:rsidRDefault="00B9227F" w:rsidP="00B9227F">
            <w:pPr>
              <w:spacing w:line="240" w:lineRule="auto"/>
              <w:jc w:val="right"/>
              <w:rPr>
                <w:rFonts w:cs="Arial"/>
              </w:rPr>
            </w:pPr>
            <w:r>
              <w:rPr>
                <w:rFonts w:cs="Arial"/>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7EF075" w14:textId="60AE3FE4" w:rsidR="00B9227F" w:rsidRDefault="00B9227F" w:rsidP="00B9227F">
            <w:pPr>
              <w:spacing w:line="240" w:lineRule="auto"/>
              <w:jc w:val="right"/>
              <w:rPr>
                <w:rFonts w:cs="Arial"/>
              </w:rPr>
            </w:pPr>
            <w:r>
              <w:rPr>
                <w:rFonts w:cs="Arial"/>
              </w:rPr>
              <w:t>0</w:t>
            </w:r>
          </w:p>
        </w:tc>
      </w:tr>
      <w:tr w:rsidR="005174DF" w:rsidRPr="00650B45" w14:paraId="1226979F"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8D5CCDF" w14:textId="151D428A" w:rsidR="005174DF" w:rsidRPr="0040594D" w:rsidRDefault="005174DF" w:rsidP="005174DF">
            <w:pPr>
              <w:spacing w:line="240" w:lineRule="auto"/>
              <w:rPr>
                <w:rFonts w:cs="Arial"/>
                <w:lang w:eastAsia="en-AU"/>
              </w:rPr>
            </w:pPr>
            <w:r>
              <w:rPr>
                <w:rFonts w:cs="Arial"/>
                <w:lang w:eastAsia="en-AU"/>
              </w:rPr>
              <w:t>Number of clients placed on a case plan and CIM</w:t>
            </w:r>
          </w:p>
        </w:tc>
        <w:tc>
          <w:tcPr>
            <w:tcW w:w="992" w:type="dxa"/>
            <w:tcBorders>
              <w:top w:val="nil"/>
              <w:left w:val="nil"/>
              <w:bottom w:val="single" w:sz="4" w:space="0" w:color="auto"/>
              <w:right w:val="single" w:sz="4" w:space="0" w:color="auto"/>
            </w:tcBorders>
            <w:vAlign w:val="center"/>
          </w:tcPr>
          <w:p w14:paraId="3B2EC880" w14:textId="041A36A9" w:rsidR="005174DF" w:rsidRDefault="005174DF" w:rsidP="005174DF">
            <w:pPr>
              <w:spacing w:line="240" w:lineRule="auto"/>
              <w:jc w:val="right"/>
              <w:rPr>
                <w:rFonts w:cs="Arial"/>
              </w:rPr>
            </w:pPr>
            <w:r>
              <w:rPr>
                <w:rFonts w:cs="Arial"/>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17575" w14:textId="44EF4379" w:rsidR="005174DF" w:rsidRDefault="005174DF" w:rsidP="005174DF">
            <w:pPr>
              <w:spacing w:line="240" w:lineRule="auto"/>
              <w:jc w:val="right"/>
              <w:rPr>
                <w:rFonts w:cs="Arial"/>
              </w:rPr>
            </w:pPr>
            <w:r>
              <w:rPr>
                <w:rFonts w:cs="Arial"/>
              </w:rPr>
              <w:t>13</w:t>
            </w:r>
          </w:p>
        </w:tc>
      </w:tr>
      <w:tr w:rsidR="002D28AE" w:rsidRPr="00650B45" w14:paraId="430100A3"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FFE40C8" w14:textId="32BB5A69" w:rsidR="002D28AE" w:rsidRDefault="002D28AE" w:rsidP="005174DF">
            <w:pPr>
              <w:spacing w:line="240" w:lineRule="auto"/>
              <w:rPr>
                <w:rFonts w:cs="Arial"/>
                <w:lang w:eastAsia="en-AU"/>
              </w:rPr>
            </w:pPr>
            <w:r>
              <w:rPr>
                <w:rFonts w:cs="Arial"/>
                <w:lang w:eastAsia="en-AU"/>
              </w:rPr>
              <w:t>Number of clients placed on a VIM</w:t>
            </w:r>
          </w:p>
        </w:tc>
        <w:tc>
          <w:tcPr>
            <w:tcW w:w="992" w:type="dxa"/>
            <w:tcBorders>
              <w:top w:val="nil"/>
              <w:left w:val="nil"/>
              <w:bottom w:val="single" w:sz="4" w:space="0" w:color="auto"/>
              <w:right w:val="single" w:sz="4" w:space="0" w:color="auto"/>
            </w:tcBorders>
            <w:vAlign w:val="center"/>
          </w:tcPr>
          <w:p w14:paraId="48081485" w14:textId="0F8C0DAC" w:rsidR="002D28AE" w:rsidRDefault="00055F4B" w:rsidP="005174DF">
            <w:pPr>
              <w:spacing w:line="240" w:lineRule="auto"/>
              <w:jc w:val="right"/>
              <w:rPr>
                <w:rFonts w:cs="Arial"/>
              </w:rPr>
            </w:pPr>
            <w:r>
              <w:rPr>
                <w:rFonts w:cs="Arial"/>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80050" w14:textId="3FB2F97B" w:rsidR="002D28AE" w:rsidRDefault="00631636" w:rsidP="005174DF">
            <w:pPr>
              <w:spacing w:line="240" w:lineRule="auto"/>
              <w:jc w:val="right"/>
              <w:rPr>
                <w:rFonts w:cs="Arial"/>
              </w:rPr>
            </w:pPr>
            <w:r>
              <w:rPr>
                <w:rFonts w:cs="Arial"/>
              </w:rPr>
              <w:t>4</w:t>
            </w:r>
          </w:p>
        </w:tc>
      </w:tr>
      <w:tr w:rsidR="005174DF" w:rsidRPr="00650B45" w14:paraId="1978A63E"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F2EB241" w14:textId="6E89ACE9" w:rsidR="005174DF" w:rsidRPr="0040594D" w:rsidRDefault="005174DF" w:rsidP="005174DF">
            <w:pPr>
              <w:spacing w:line="240" w:lineRule="auto"/>
              <w:rPr>
                <w:rFonts w:cs="Arial"/>
                <w:lang w:eastAsia="en-AU"/>
              </w:rPr>
            </w:pPr>
            <w:r>
              <w:rPr>
                <w:rFonts w:cs="Arial"/>
                <w:lang w:eastAsia="en-AU"/>
              </w:rPr>
              <w:t>Number of clients placed on a CIM without a case plan</w:t>
            </w:r>
          </w:p>
        </w:tc>
        <w:tc>
          <w:tcPr>
            <w:tcW w:w="992" w:type="dxa"/>
            <w:tcBorders>
              <w:top w:val="nil"/>
              <w:left w:val="nil"/>
              <w:bottom w:val="single" w:sz="4" w:space="0" w:color="auto"/>
              <w:right w:val="single" w:sz="4" w:space="0" w:color="auto"/>
            </w:tcBorders>
            <w:vAlign w:val="center"/>
          </w:tcPr>
          <w:p w14:paraId="54471B9A" w14:textId="791E3323" w:rsidR="005174DF" w:rsidRDefault="005174DF" w:rsidP="005174DF">
            <w:pPr>
              <w:spacing w:line="240" w:lineRule="auto"/>
              <w:jc w:val="right"/>
              <w:rPr>
                <w:rFonts w:cs="Arial"/>
              </w:rPr>
            </w:pPr>
            <w:r>
              <w:rPr>
                <w:rFonts w:cs="Arial"/>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795F93" w14:textId="0626D3C1" w:rsidR="005174DF" w:rsidRDefault="005174DF" w:rsidP="005174DF">
            <w:pPr>
              <w:spacing w:line="240" w:lineRule="auto"/>
              <w:jc w:val="right"/>
              <w:rPr>
                <w:rFonts w:cs="Arial"/>
              </w:rPr>
            </w:pPr>
            <w:r>
              <w:rPr>
                <w:rFonts w:cs="Arial"/>
              </w:rPr>
              <w:t>2</w:t>
            </w:r>
            <w:r w:rsidR="00631636">
              <w:rPr>
                <w:rFonts w:cs="Arial"/>
              </w:rPr>
              <w:t>1</w:t>
            </w:r>
          </w:p>
        </w:tc>
      </w:tr>
      <w:tr w:rsidR="005174DF" w:rsidRPr="00650B45" w14:paraId="386200CC" w14:textId="77777777" w:rsidTr="00D15DF3">
        <w:trPr>
          <w:trHeight w:val="154"/>
        </w:trPr>
        <w:tc>
          <w:tcPr>
            <w:tcW w:w="7405" w:type="dxa"/>
            <w:tcBorders>
              <w:top w:val="nil"/>
              <w:left w:val="single" w:sz="4" w:space="0" w:color="auto"/>
              <w:bottom w:val="single" w:sz="4" w:space="0" w:color="auto"/>
              <w:right w:val="single" w:sz="4" w:space="0" w:color="auto"/>
            </w:tcBorders>
            <w:shd w:val="clear" w:color="auto" w:fill="auto"/>
            <w:vAlign w:val="center"/>
          </w:tcPr>
          <w:p w14:paraId="4E3A85F0" w14:textId="77777777" w:rsidR="005174DF" w:rsidRDefault="005174DF" w:rsidP="005174DF">
            <w:pPr>
              <w:spacing w:line="240" w:lineRule="auto"/>
              <w:rPr>
                <w:rFonts w:cs="Arial"/>
                <w:lang w:eastAsia="en-AU"/>
              </w:rPr>
            </w:pPr>
          </w:p>
        </w:tc>
        <w:tc>
          <w:tcPr>
            <w:tcW w:w="992" w:type="dxa"/>
            <w:tcBorders>
              <w:top w:val="nil"/>
              <w:left w:val="nil"/>
              <w:bottom w:val="single" w:sz="4" w:space="0" w:color="auto"/>
              <w:right w:val="single" w:sz="4" w:space="0" w:color="auto"/>
            </w:tcBorders>
            <w:vAlign w:val="center"/>
          </w:tcPr>
          <w:p w14:paraId="2053ACB7"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312AA5" w14:textId="020994FF" w:rsidR="005174DF" w:rsidRDefault="005174DF" w:rsidP="005174DF">
            <w:pPr>
              <w:spacing w:line="240" w:lineRule="auto"/>
              <w:jc w:val="right"/>
              <w:rPr>
                <w:rFonts w:cs="Arial"/>
                <w:lang w:eastAsia="en-AU"/>
              </w:rPr>
            </w:pPr>
            <w:r>
              <w:rPr>
                <w:rFonts w:cs="Arial"/>
              </w:rPr>
              <w:t> </w:t>
            </w:r>
          </w:p>
        </w:tc>
      </w:tr>
      <w:tr w:rsidR="005174DF" w:rsidRPr="00650B45" w14:paraId="27606A93"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ED8383A" w14:textId="418BDB4A" w:rsidR="005174DF" w:rsidRPr="00F148B0" w:rsidRDefault="005174DF" w:rsidP="005174DF">
            <w:pPr>
              <w:spacing w:line="240" w:lineRule="auto"/>
              <w:rPr>
                <w:rFonts w:cs="Arial"/>
                <w:b/>
                <w:lang w:eastAsia="en-AU"/>
              </w:rPr>
            </w:pPr>
            <w:r w:rsidRPr="00F148B0">
              <w:rPr>
                <w:rFonts w:cs="Arial"/>
                <w:b/>
                <w:lang w:eastAsia="en-AU"/>
              </w:rPr>
              <w:t>Other activity for the quarter</w:t>
            </w:r>
          </w:p>
        </w:tc>
        <w:tc>
          <w:tcPr>
            <w:tcW w:w="992" w:type="dxa"/>
            <w:tcBorders>
              <w:top w:val="nil"/>
              <w:left w:val="nil"/>
              <w:bottom w:val="single" w:sz="4" w:space="0" w:color="auto"/>
              <w:right w:val="single" w:sz="4" w:space="0" w:color="auto"/>
            </w:tcBorders>
            <w:vAlign w:val="center"/>
          </w:tcPr>
          <w:p w14:paraId="69D32EC0"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1D3FF" w14:textId="44A59D2E" w:rsidR="005174DF" w:rsidRDefault="005174DF" w:rsidP="005174DF">
            <w:pPr>
              <w:spacing w:line="240" w:lineRule="auto"/>
              <w:jc w:val="right"/>
              <w:rPr>
                <w:rFonts w:cs="Arial"/>
                <w:lang w:eastAsia="en-AU"/>
              </w:rPr>
            </w:pPr>
            <w:r>
              <w:rPr>
                <w:rFonts w:cs="Arial"/>
              </w:rPr>
              <w:t> </w:t>
            </w:r>
          </w:p>
        </w:tc>
      </w:tr>
      <w:tr w:rsidR="005174DF" w:rsidRPr="00650B45" w14:paraId="0E5B98C6"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B31F7E1" w14:textId="77777777" w:rsidR="005174DF" w:rsidRPr="0040594D" w:rsidRDefault="005174DF" w:rsidP="005174DF">
            <w:pPr>
              <w:spacing w:line="240" w:lineRule="auto"/>
              <w:rPr>
                <w:rFonts w:cs="Arial"/>
                <w:lang w:eastAsia="en-AU"/>
              </w:rPr>
            </w:pPr>
            <w:r w:rsidRPr="0040594D">
              <w:rPr>
                <w:rFonts w:cs="Arial"/>
                <w:lang w:eastAsia="en-AU"/>
              </w:rPr>
              <w:t>Applications to Amend or End received</w:t>
            </w:r>
          </w:p>
        </w:tc>
        <w:tc>
          <w:tcPr>
            <w:tcW w:w="992" w:type="dxa"/>
            <w:tcBorders>
              <w:top w:val="nil"/>
              <w:left w:val="nil"/>
              <w:bottom w:val="single" w:sz="4" w:space="0" w:color="auto"/>
              <w:right w:val="single" w:sz="4" w:space="0" w:color="auto"/>
            </w:tcBorders>
            <w:vAlign w:val="center"/>
          </w:tcPr>
          <w:p w14:paraId="7BF14D5F" w14:textId="169CC71E" w:rsidR="005174DF" w:rsidRDefault="005174DF" w:rsidP="005174DF">
            <w:pPr>
              <w:spacing w:line="240" w:lineRule="auto"/>
              <w:jc w:val="right"/>
              <w:rPr>
                <w:rFonts w:cs="Arial"/>
                <w:lang w:eastAsia="en-AU"/>
              </w:rPr>
            </w:pPr>
            <w:r>
              <w:rPr>
                <w:rFonts w:cs="Arial"/>
                <w:lang w:eastAsia="en-AU"/>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F7796" w14:textId="208BBD70" w:rsidR="005174DF" w:rsidRPr="0040594D" w:rsidRDefault="005174DF" w:rsidP="005174DF">
            <w:pPr>
              <w:spacing w:line="240" w:lineRule="auto"/>
              <w:jc w:val="right"/>
              <w:rPr>
                <w:rFonts w:cs="Arial"/>
                <w:lang w:eastAsia="en-AU"/>
              </w:rPr>
            </w:pPr>
            <w:r>
              <w:rPr>
                <w:rFonts w:cs="Arial"/>
              </w:rPr>
              <w:t>8</w:t>
            </w:r>
          </w:p>
        </w:tc>
      </w:tr>
      <w:tr w:rsidR="005174DF" w:rsidRPr="00650B45" w14:paraId="26B66E57"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05FBC141" w:rsidR="005174DF" w:rsidRPr="0040594D" w:rsidRDefault="005174DF" w:rsidP="005174DF">
            <w:pPr>
              <w:spacing w:line="240" w:lineRule="auto"/>
              <w:rPr>
                <w:rFonts w:cs="Arial"/>
                <w:lang w:eastAsia="en-AU"/>
              </w:rPr>
            </w:pPr>
            <w:r w:rsidRPr="0040594D">
              <w:rPr>
                <w:rFonts w:cs="Arial"/>
                <w:lang w:eastAsia="en-AU"/>
              </w:rPr>
              <w:t xml:space="preserve">Voluntary </w:t>
            </w:r>
            <w:r>
              <w:rPr>
                <w:rFonts w:cs="Arial"/>
                <w:lang w:eastAsia="en-AU"/>
              </w:rPr>
              <w:t>a</w:t>
            </w:r>
            <w:r w:rsidRPr="0040594D">
              <w:rPr>
                <w:rFonts w:cs="Arial"/>
                <w:lang w:eastAsia="en-AU"/>
              </w:rPr>
              <w:t>greements</w:t>
            </w:r>
            <w:r w:rsidR="007E22F4">
              <w:rPr>
                <w:rFonts w:cs="Arial"/>
                <w:lang w:eastAsia="en-AU"/>
              </w:rPr>
              <w:t xml:space="preserve"> for VIM</w:t>
            </w:r>
          </w:p>
        </w:tc>
        <w:tc>
          <w:tcPr>
            <w:tcW w:w="992" w:type="dxa"/>
            <w:tcBorders>
              <w:top w:val="nil"/>
              <w:left w:val="nil"/>
              <w:bottom w:val="single" w:sz="4" w:space="0" w:color="auto"/>
              <w:right w:val="single" w:sz="4" w:space="0" w:color="auto"/>
            </w:tcBorders>
            <w:vAlign w:val="center"/>
          </w:tcPr>
          <w:p w14:paraId="69FB4B5D" w14:textId="178F980D" w:rsidR="005174DF" w:rsidRDefault="005174DF" w:rsidP="005174DF">
            <w:pPr>
              <w:spacing w:line="240" w:lineRule="auto"/>
              <w:jc w:val="right"/>
              <w:rPr>
                <w:rFonts w:cs="Arial"/>
                <w:lang w:eastAsia="en-AU"/>
              </w:rPr>
            </w:pPr>
            <w:r>
              <w:rPr>
                <w:rFonts w:cs="Arial"/>
                <w:lang w:eastAsia="en-AU"/>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27F23" w14:textId="2BEF465C" w:rsidR="005174DF" w:rsidRDefault="005174DF" w:rsidP="005174DF">
            <w:pPr>
              <w:spacing w:line="240" w:lineRule="auto"/>
              <w:jc w:val="right"/>
              <w:rPr>
                <w:rFonts w:cs="Arial"/>
              </w:rPr>
            </w:pPr>
            <w:r>
              <w:rPr>
                <w:rFonts w:cs="Arial"/>
              </w:rPr>
              <w:t>5</w:t>
            </w:r>
          </w:p>
        </w:tc>
      </w:tr>
      <w:tr w:rsidR="007E22F4" w:rsidRPr="00650B45" w14:paraId="7978C12D"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6FA8A8" w14:textId="0C2E80EB" w:rsidR="007E22F4" w:rsidRPr="0040594D" w:rsidRDefault="007E22F4" w:rsidP="005174DF">
            <w:pPr>
              <w:spacing w:line="240" w:lineRule="auto"/>
              <w:rPr>
                <w:rFonts w:cs="Arial"/>
                <w:lang w:eastAsia="en-AU"/>
              </w:rPr>
            </w:pPr>
            <w:r>
              <w:rPr>
                <w:rFonts w:cs="Arial"/>
                <w:lang w:eastAsia="en-AU"/>
              </w:rPr>
              <w:t xml:space="preserve">Voluntary agreements for a </w:t>
            </w:r>
            <w:r w:rsidR="00CD22AA">
              <w:rPr>
                <w:rFonts w:cs="Arial"/>
                <w:lang w:eastAsia="en-AU"/>
              </w:rPr>
              <w:t xml:space="preserve">voluntary </w:t>
            </w:r>
            <w:r>
              <w:rPr>
                <w:rFonts w:cs="Arial"/>
                <w:lang w:eastAsia="en-AU"/>
              </w:rPr>
              <w:t>case plan</w:t>
            </w:r>
          </w:p>
        </w:tc>
        <w:tc>
          <w:tcPr>
            <w:tcW w:w="992" w:type="dxa"/>
            <w:tcBorders>
              <w:top w:val="nil"/>
              <w:left w:val="nil"/>
              <w:bottom w:val="single" w:sz="4" w:space="0" w:color="auto"/>
              <w:right w:val="single" w:sz="4" w:space="0" w:color="auto"/>
            </w:tcBorders>
            <w:vAlign w:val="center"/>
          </w:tcPr>
          <w:p w14:paraId="7BA61190" w14:textId="46161619" w:rsidR="007E22F4" w:rsidRDefault="007E22F4" w:rsidP="005174DF">
            <w:pPr>
              <w:spacing w:line="240" w:lineRule="auto"/>
              <w:jc w:val="right"/>
              <w:rPr>
                <w:rFonts w:cs="Arial"/>
                <w:lang w:eastAsia="en-AU"/>
              </w:rPr>
            </w:pPr>
            <w:r>
              <w:rPr>
                <w:rFonts w:cs="Arial"/>
                <w:lang w:eastAsia="en-A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CCE08" w14:textId="585A853D" w:rsidR="007E22F4" w:rsidRDefault="007E22F4" w:rsidP="005174DF">
            <w:pPr>
              <w:spacing w:line="240" w:lineRule="auto"/>
              <w:jc w:val="right"/>
              <w:rPr>
                <w:rFonts w:cs="Arial"/>
              </w:rPr>
            </w:pPr>
            <w:r>
              <w:rPr>
                <w:rFonts w:cs="Arial"/>
              </w:rPr>
              <w:t>3</w:t>
            </w:r>
          </w:p>
        </w:tc>
      </w:tr>
      <w:tr w:rsidR="005174DF" w:rsidRPr="00650B45" w14:paraId="5BAC6AD9" w14:textId="77777777" w:rsidTr="00D15DF3">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5174DF" w:rsidRPr="0040594D" w:rsidRDefault="005174DF" w:rsidP="005174DF">
            <w:pPr>
              <w:spacing w:line="240" w:lineRule="auto"/>
              <w:rPr>
                <w:rFonts w:cs="Arial"/>
                <w:lang w:eastAsia="en-AU"/>
              </w:rPr>
            </w:pPr>
          </w:p>
        </w:tc>
        <w:tc>
          <w:tcPr>
            <w:tcW w:w="992" w:type="dxa"/>
            <w:tcBorders>
              <w:top w:val="nil"/>
              <w:left w:val="nil"/>
              <w:bottom w:val="single" w:sz="4" w:space="0" w:color="auto"/>
              <w:right w:val="single" w:sz="4" w:space="0" w:color="auto"/>
            </w:tcBorders>
            <w:vAlign w:val="center"/>
          </w:tcPr>
          <w:p w14:paraId="22930F12"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25898" w14:textId="156AF4A4" w:rsidR="005174DF" w:rsidRDefault="005174DF" w:rsidP="005174DF">
            <w:pPr>
              <w:spacing w:line="240" w:lineRule="auto"/>
              <w:jc w:val="right"/>
              <w:rPr>
                <w:rFonts w:cs="Arial"/>
                <w:lang w:eastAsia="en-AU"/>
              </w:rPr>
            </w:pPr>
            <w:r>
              <w:rPr>
                <w:rFonts w:cs="Arial"/>
              </w:rPr>
              <w:t> </w:t>
            </w:r>
          </w:p>
        </w:tc>
      </w:tr>
      <w:tr w:rsidR="005174DF" w:rsidRPr="00650B45" w14:paraId="509C5408"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B2EAC" w14:textId="317F2375" w:rsidR="005174DF" w:rsidRPr="00E97FFC" w:rsidRDefault="005174DF" w:rsidP="005174DF">
            <w:pPr>
              <w:spacing w:line="240" w:lineRule="auto"/>
              <w:rPr>
                <w:rFonts w:cs="Arial"/>
                <w:b/>
                <w:lang w:eastAsia="en-AU"/>
              </w:rPr>
            </w:pPr>
            <w:r w:rsidRPr="00E97FFC">
              <w:rPr>
                <w:rFonts w:cs="Arial"/>
                <w:b/>
                <w:lang w:eastAsia="en-AU"/>
              </w:rPr>
              <w:t xml:space="preserve">Information as at </w:t>
            </w:r>
            <w:r>
              <w:rPr>
                <w:rFonts w:cs="Arial"/>
                <w:b/>
                <w:lang w:eastAsia="en-AU"/>
              </w:rPr>
              <w:t>the last day of the quarter</w:t>
            </w:r>
          </w:p>
        </w:tc>
        <w:tc>
          <w:tcPr>
            <w:tcW w:w="992" w:type="dxa"/>
            <w:tcBorders>
              <w:top w:val="nil"/>
              <w:left w:val="nil"/>
              <w:bottom w:val="single" w:sz="4" w:space="0" w:color="auto"/>
              <w:right w:val="single" w:sz="4" w:space="0" w:color="auto"/>
            </w:tcBorders>
            <w:vAlign w:val="center"/>
          </w:tcPr>
          <w:p w14:paraId="24166050" w14:textId="77777777" w:rsidR="005174DF" w:rsidRDefault="005174DF" w:rsidP="005174DF">
            <w:pPr>
              <w:spacing w:line="240" w:lineRule="auto"/>
              <w:jc w:val="right"/>
              <w:rPr>
                <w:rFonts w:cs="Arial"/>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A2ACA" w14:textId="4337FA6A" w:rsidR="005174DF" w:rsidRDefault="005174DF" w:rsidP="005174DF">
            <w:pPr>
              <w:spacing w:line="240" w:lineRule="auto"/>
              <w:jc w:val="right"/>
              <w:rPr>
                <w:rFonts w:cs="Arial"/>
                <w:lang w:eastAsia="en-AU"/>
              </w:rPr>
            </w:pPr>
            <w:r>
              <w:rPr>
                <w:rFonts w:cs="Arial"/>
              </w:rPr>
              <w:t> </w:t>
            </w:r>
          </w:p>
        </w:tc>
      </w:tr>
      <w:tr w:rsidR="005174DF" w:rsidRPr="00650B45" w14:paraId="31E75B35"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4DFBC33B" w:rsidR="005174DF" w:rsidRDefault="005174DF" w:rsidP="005174DF">
            <w:pPr>
              <w:spacing w:line="240" w:lineRule="auto"/>
              <w:rPr>
                <w:rFonts w:cs="Arial"/>
                <w:lang w:eastAsia="en-AU"/>
              </w:rPr>
            </w:pPr>
            <w:r>
              <w:rPr>
                <w:rFonts w:cs="Arial"/>
                <w:lang w:eastAsia="en-AU"/>
              </w:rPr>
              <w:t>Number of clients case-managed through a current case plan</w:t>
            </w:r>
          </w:p>
        </w:tc>
        <w:tc>
          <w:tcPr>
            <w:tcW w:w="992" w:type="dxa"/>
            <w:tcBorders>
              <w:top w:val="nil"/>
              <w:left w:val="nil"/>
              <w:bottom w:val="single" w:sz="4" w:space="0" w:color="auto"/>
              <w:right w:val="single" w:sz="4" w:space="0" w:color="auto"/>
            </w:tcBorders>
            <w:vAlign w:val="center"/>
          </w:tcPr>
          <w:p w14:paraId="1AE6AA90" w14:textId="7AC8EF81" w:rsidR="005174DF" w:rsidRDefault="005174DF" w:rsidP="005174DF">
            <w:pPr>
              <w:spacing w:line="240" w:lineRule="auto"/>
              <w:jc w:val="right"/>
              <w:rPr>
                <w:rFonts w:cs="Arial"/>
                <w:lang w:eastAsia="en-AU"/>
              </w:rPr>
            </w:pPr>
            <w:r>
              <w:rPr>
                <w:rFonts w:cs="Arial"/>
                <w:lang w:eastAsia="en-AU"/>
              </w:rPr>
              <w:t>286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F7D53" w14:textId="558E8F3F" w:rsidR="005174DF" w:rsidRDefault="005174DF" w:rsidP="005174DF">
            <w:pPr>
              <w:spacing w:line="240" w:lineRule="auto"/>
              <w:jc w:val="right"/>
              <w:rPr>
                <w:rFonts w:cs="Arial"/>
                <w:lang w:eastAsia="en-AU"/>
              </w:rPr>
            </w:pPr>
            <w:r>
              <w:rPr>
                <w:rFonts w:cs="Arial"/>
              </w:rPr>
              <w:t>317</w:t>
            </w:r>
          </w:p>
        </w:tc>
      </w:tr>
      <w:tr w:rsidR="005174DF" w:rsidRPr="00650B45" w14:paraId="7D3A6B7A"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5174DF" w:rsidRDefault="005174DF" w:rsidP="005174DF">
            <w:pPr>
              <w:spacing w:line="240" w:lineRule="auto"/>
              <w:rPr>
                <w:rFonts w:cs="Arial"/>
                <w:lang w:eastAsia="en-AU"/>
              </w:rPr>
            </w:pPr>
            <w:r>
              <w:rPr>
                <w:rFonts w:cs="Arial"/>
                <w:lang w:eastAsia="en-AU"/>
              </w:rPr>
              <w:t>Number of clients subject to a current CIM</w:t>
            </w:r>
          </w:p>
        </w:tc>
        <w:tc>
          <w:tcPr>
            <w:tcW w:w="992" w:type="dxa"/>
            <w:tcBorders>
              <w:top w:val="nil"/>
              <w:left w:val="nil"/>
              <w:bottom w:val="single" w:sz="4" w:space="0" w:color="auto"/>
              <w:right w:val="single" w:sz="4" w:space="0" w:color="auto"/>
            </w:tcBorders>
            <w:vAlign w:val="center"/>
          </w:tcPr>
          <w:p w14:paraId="4E1118B1" w14:textId="09991E54" w:rsidR="005174DF" w:rsidRDefault="005174DF" w:rsidP="005174DF">
            <w:pPr>
              <w:spacing w:line="240" w:lineRule="auto"/>
              <w:jc w:val="right"/>
              <w:rPr>
                <w:rFonts w:cs="Arial"/>
                <w:lang w:eastAsia="en-AU"/>
              </w:rPr>
            </w:pPr>
            <w:r>
              <w:rPr>
                <w:rFonts w:cs="Arial"/>
                <w:lang w:eastAsia="en-AU"/>
              </w:rPr>
              <w:t>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5868" w14:textId="591A3C73" w:rsidR="005174DF" w:rsidRDefault="005174DF" w:rsidP="005174DF">
            <w:pPr>
              <w:spacing w:line="240" w:lineRule="auto"/>
              <w:jc w:val="right"/>
              <w:rPr>
                <w:rFonts w:cs="Arial"/>
                <w:lang w:eastAsia="en-AU"/>
              </w:rPr>
            </w:pPr>
            <w:r>
              <w:rPr>
                <w:rFonts w:cs="Arial"/>
              </w:rPr>
              <w:t>118</w:t>
            </w:r>
          </w:p>
        </w:tc>
      </w:tr>
      <w:tr w:rsidR="005174DF" w:rsidRPr="00650B45" w14:paraId="7BD55846" w14:textId="77777777" w:rsidTr="00452E54">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AF9129F" w:rsidR="005174DF" w:rsidRPr="0040594D" w:rsidRDefault="005174DF" w:rsidP="005174DF">
            <w:pPr>
              <w:spacing w:line="240" w:lineRule="auto"/>
              <w:rPr>
                <w:rFonts w:cs="Arial"/>
                <w:lang w:eastAsia="en-AU"/>
              </w:rPr>
            </w:pPr>
            <w:r>
              <w:rPr>
                <w:rFonts w:cs="Arial"/>
                <w:lang w:eastAsia="en-AU"/>
              </w:rPr>
              <w:t xml:space="preserve">Number of clients on a </w:t>
            </w:r>
            <w:r w:rsidR="00595B1C">
              <w:rPr>
                <w:rFonts w:cs="Arial"/>
                <w:lang w:eastAsia="en-AU"/>
              </w:rPr>
              <w:t xml:space="preserve">current </w:t>
            </w:r>
            <w:r>
              <w:rPr>
                <w:rFonts w:cs="Arial"/>
                <w:lang w:eastAsia="en-AU"/>
              </w:rPr>
              <w:t>VIM</w:t>
            </w:r>
          </w:p>
        </w:tc>
        <w:tc>
          <w:tcPr>
            <w:tcW w:w="992" w:type="dxa"/>
            <w:tcBorders>
              <w:top w:val="nil"/>
              <w:left w:val="nil"/>
              <w:bottom w:val="single" w:sz="4" w:space="0" w:color="auto"/>
              <w:right w:val="single" w:sz="4" w:space="0" w:color="auto"/>
            </w:tcBorders>
            <w:vAlign w:val="center"/>
          </w:tcPr>
          <w:p w14:paraId="23E361D2" w14:textId="522D36BC" w:rsidR="005174DF" w:rsidRDefault="005174DF" w:rsidP="005174DF">
            <w:pPr>
              <w:spacing w:line="240" w:lineRule="auto"/>
              <w:jc w:val="right"/>
              <w:rPr>
                <w:rFonts w:cs="Arial"/>
                <w:lang w:eastAsia="en-AU"/>
              </w:rPr>
            </w:pPr>
            <w:r>
              <w:rPr>
                <w:rFonts w:cs="Arial"/>
                <w:lang w:eastAsia="en-AU"/>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08743" w14:textId="5E8DFC70" w:rsidR="005174DF" w:rsidRPr="0040594D" w:rsidRDefault="005174DF" w:rsidP="005174DF">
            <w:pPr>
              <w:spacing w:line="240" w:lineRule="auto"/>
              <w:jc w:val="right"/>
              <w:rPr>
                <w:rFonts w:cs="Arial"/>
                <w:lang w:eastAsia="en-AU"/>
              </w:rPr>
            </w:pPr>
            <w:r>
              <w:rPr>
                <w:rFonts w:cs="Arial"/>
              </w:rPr>
              <w:t>11</w:t>
            </w:r>
          </w:p>
        </w:tc>
      </w:tr>
    </w:tbl>
    <w:bookmarkEnd w:id="0"/>
    <w:p w14:paraId="480A3BB1" w14:textId="779497B9" w:rsidR="006F5610" w:rsidRDefault="0063223E" w:rsidP="006F5610">
      <w:pPr>
        <w:ind w:left="-142" w:right="-425"/>
        <w:jc w:val="both"/>
        <w:rPr>
          <w:rFonts w:cs="Arial"/>
        </w:rPr>
      </w:pPr>
      <w:r>
        <w:rPr>
          <w:rFonts w:cs="Arial"/>
        </w:rPr>
        <w:lastRenderedPageBreak/>
        <w:t>As reported in Quarterly Report No 48, travel to the FRC communities was discontinued due to the COVID-19 Pandemic</w:t>
      </w:r>
      <w:r w:rsidR="00CB6C38">
        <w:rPr>
          <w:rFonts w:cs="Arial"/>
        </w:rPr>
        <w:t>,</w:t>
      </w:r>
      <w:r>
        <w:rPr>
          <w:rFonts w:cs="Arial"/>
        </w:rPr>
        <w:t xml:space="preserve"> although conferencing continued in each community in order to provide assistance during the lockdown period and to ensure that the interests and wellbeing of children and other vulnerable persons w</w:t>
      </w:r>
      <w:r w:rsidR="009F75B0">
        <w:rPr>
          <w:rFonts w:cs="Arial"/>
        </w:rPr>
        <w:t>ere</w:t>
      </w:r>
      <w:r>
        <w:rPr>
          <w:rFonts w:cs="Arial"/>
        </w:rPr>
        <w:t xml:space="preserve"> prioritised. </w:t>
      </w:r>
      <w:r w:rsidR="009F75B0">
        <w:rPr>
          <w:rFonts w:cs="Arial"/>
        </w:rPr>
        <w:t>The effect of the p</w:t>
      </w:r>
      <w:r>
        <w:rPr>
          <w:rFonts w:cs="Arial"/>
        </w:rPr>
        <w:t xml:space="preserve">andemic restrictions which </w:t>
      </w:r>
      <w:r w:rsidR="00E67C67">
        <w:rPr>
          <w:rFonts w:cs="Arial"/>
        </w:rPr>
        <w:t>limited</w:t>
      </w:r>
      <w:r w:rsidRPr="006F5610">
        <w:rPr>
          <w:rFonts w:cs="Arial"/>
        </w:rPr>
        <w:t xml:space="preserve"> the operational capability of relevant Queensland Government departments</w:t>
      </w:r>
      <w:r>
        <w:rPr>
          <w:rFonts w:cs="Arial"/>
        </w:rPr>
        <w:t xml:space="preserve"> w</w:t>
      </w:r>
      <w:r w:rsidR="009F75B0">
        <w:rPr>
          <w:rFonts w:cs="Arial"/>
        </w:rPr>
        <w:t>as</w:t>
      </w:r>
      <w:r>
        <w:rPr>
          <w:rFonts w:cs="Arial"/>
        </w:rPr>
        <w:t xml:space="preserve"> reflected in the number of</w:t>
      </w:r>
      <w:r w:rsidRPr="006F5610">
        <w:rPr>
          <w:rFonts w:cs="Arial"/>
        </w:rPr>
        <w:t xml:space="preserve"> notices </w:t>
      </w:r>
      <w:r>
        <w:rPr>
          <w:rFonts w:cs="Arial"/>
        </w:rPr>
        <w:t xml:space="preserve">received </w:t>
      </w:r>
      <w:r w:rsidR="00CB6C38">
        <w:rPr>
          <w:rFonts w:cs="Arial"/>
        </w:rPr>
        <w:t xml:space="preserve">in Quarter 48. Due to the </w:t>
      </w:r>
      <w:r w:rsidR="009F75B0">
        <w:rPr>
          <w:rFonts w:cs="Arial"/>
        </w:rPr>
        <w:t xml:space="preserve">subsequent </w:t>
      </w:r>
      <w:r w:rsidR="00CB6C38">
        <w:rPr>
          <w:rFonts w:cs="Arial"/>
        </w:rPr>
        <w:t>easing of restrictions</w:t>
      </w:r>
      <w:r w:rsidR="00D05E46">
        <w:rPr>
          <w:rFonts w:cs="Arial"/>
        </w:rPr>
        <w:t>,</w:t>
      </w:r>
      <w:r>
        <w:rPr>
          <w:rFonts w:cs="Arial"/>
        </w:rPr>
        <w:t xml:space="preserve"> quarter </w:t>
      </w:r>
      <w:r w:rsidR="00CB6C38">
        <w:rPr>
          <w:rFonts w:cs="Arial"/>
        </w:rPr>
        <w:t xml:space="preserve">49 </w:t>
      </w:r>
      <w:r>
        <w:rPr>
          <w:rFonts w:cs="Arial"/>
        </w:rPr>
        <w:t xml:space="preserve">has seen </w:t>
      </w:r>
      <w:r w:rsidR="00CB6C38">
        <w:rPr>
          <w:rFonts w:cs="Arial"/>
        </w:rPr>
        <w:t>a resumption of departmental activity and a corresponding</w:t>
      </w:r>
      <w:r>
        <w:rPr>
          <w:rFonts w:cs="Arial"/>
        </w:rPr>
        <w:t xml:space="preserve"> increase in notices received</w:t>
      </w:r>
      <w:r w:rsidR="009F75B0">
        <w:rPr>
          <w:rFonts w:cs="Arial"/>
        </w:rPr>
        <w:t>.</w:t>
      </w:r>
      <w:r w:rsidR="00E52969">
        <w:rPr>
          <w:rFonts w:cs="Arial"/>
        </w:rPr>
        <w:t xml:space="preserve"> </w:t>
      </w:r>
      <w:r w:rsidR="00962390">
        <w:rPr>
          <w:rFonts w:cs="Arial"/>
        </w:rPr>
        <w:t>T</w:t>
      </w:r>
      <w:r w:rsidR="00E52969">
        <w:rPr>
          <w:rFonts w:cs="Arial"/>
        </w:rPr>
        <w:t>his quarter</w:t>
      </w:r>
      <w:r w:rsidR="00962390">
        <w:rPr>
          <w:rFonts w:cs="Arial"/>
        </w:rPr>
        <w:t>, however,</w:t>
      </w:r>
      <w:r w:rsidR="00E52969">
        <w:rPr>
          <w:rFonts w:cs="Arial"/>
        </w:rPr>
        <w:t xml:space="preserve"> saw a substantial increase of </w:t>
      </w:r>
      <w:r w:rsidR="00962390">
        <w:rPr>
          <w:rFonts w:cs="Arial"/>
        </w:rPr>
        <w:t>notices received</w:t>
      </w:r>
      <w:r w:rsidR="00E52969">
        <w:rPr>
          <w:rFonts w:cs="Arial"/>
        </w:rPr>
        <w:t xml:space="preserve"> (approximately half)</w:t>
      </w:r>
      <w:r w:rsidR="002D083F">
        <w:rPr>
          <w:rFonts w:cs="Arial"/>
        </w:rPr>
        <w:t xml:space="preserve"> which were assessed by the FRC </w:t>
      </w:r>
      <w:r w:rsidR="0006112C">
        <w:rPr>
          <w:rFonts w:cs="Arial"/>
        </w:rPr>
        <w:t xml:space="preserve">to </w:t>
      </w:r>
      <w:r w:rsidR="00E52969">
        <w:rPr>
          <w:rFonts w:cs="Arial"/>
        </w:rPr>
        <w:t>be outside its jurisdiction.</w:t>
      </w:r>
      <w:r w:rsidR="00E52969">
        <w:rPr>
          <w:rStyle w:val="FootnoteReference"/>
        </w:rPr>
        <w:footnoteReference w:id="5"/>
      </w:r>
      <w:r w:rsidR="002D083F">
        <w:rPr>
          <w:rFonts w:cs="Arial"/>
        </w:rPr>
        <w:t xml:space="preserve"> </w:t>
      </w:r>
      <w:r w:rsidR="009F75B0">
        <w:rPr>
          <w:rFonts w:cs="Arial"/>
        </w:rPr>
        <w:t xml:space="preserve">Commission travel resumed to the </w:t>
      </w:r>
      <w:r w:rsidR="00895897">
        <w:rPr>
          <w:rFonts w:cs="Arial"/>
        </w:rPr>
        <w:t xml:space="preserve">communities of Aurukun, Coen, Doomadgee, Hope Vale and Mossman Gorge with the permission of the </w:t>
      </w:r>
      <w:r w:rsidR="009F75B0">
        <w:rPr>
          <w:rFonts w:cs="Arial"/>
        </w:rPr>
        <w:t xml:space="preserve">relevant Councils and </w:t>
      </w:r>
      <w:r w:rsidR="00895897">
        <w:rPr>
          <w:rFonts w:cs="Arial"/>
        </w:rPr>
        <w:t>Local Commissioners</w:t>
      </w:r>
      <w:r w:rsidR="009F75B0">
        <w:rPr>
          <w:rFonts w:cs="Arial"/>
        </w:rPr>
        <w:t xml:space="preserve">, whilst </w:t>
      </w:r>
      <w:r w:rsidR="00E67C67">
        <w:rPr>
          <w:rFonts w:cs="Arial"/>
        </w:rPr>
        <w:t xml:space="preserve">recommended </w:t>
      </w:r>
      <w:r w:rsidR="009F75B0">
        <w:rPr>
          <w:rFonts w:cs="Arial"/>
        </w:rPr>
        <w:t xml:space="preserve">hygiene practices and appropriate distancing measures were </w:t>
      </w:r>
      <w:r w:rsidR="00E67C67">
        <w:rPr>
          <w:rFonts w:cs="Arial"/>
        </w:rPr>
        <w:t>complied with</w:t>
      </w:r>
      <w:r w:rsidR="009F75B0">
        <w:rPr>
          <w:rFonts w:cs="Arial"/>
        </w:rPr>
        <w:t>.</w:t>
      </w:r>
      <w:r w:rsidR="00D05E46">
        <w:rPr>
          <w:rFonts w:cs="Arial"/>
        </w:rPr>
        <w:t xml:space="preserve"> Of note in the above activity </w:t>
      </w:r>
      <w:r w:rsidR="009D1894">
        <w:rPr>
          <w:rFonts w:cs="Arial"/>
        </w:rPr>
        <w:t>t</w:t>
      </w:r>
      <w:r w:rsidR="00D05E46">
        <w:rPr>
          <w:rFonts w:cs="Arial"/>
        </w:rPr>
        <w:t xml:space="preserve">able </w:t>
      </w:r>
      <w:r w:rsidR="00E67C67">
        <w:rPr>
          <w:rFonts w:cs="Arial"/>
        </w:rPr>
        <w:t>is</w:t>
      </w:r>
      <w:r w:rsidR="00D05E46">
        <w:rPr>
          <w:rFonts w:cs="Arial"/>
        </w:rPr>
        <w:t xml:space="preserve"> the substantial increase </w:t>
      </w:r>
      <w:r w:rsidR="00BA3A75">
        <w:rPr>
          <w:rFonts w:cs="Arial"/>
        </w:rPr>
        <w:t xml:space="preserve">this quarter </w:t>
      </w:r>
      <w:r w:rsidR="00D05E46">
        <w:rPr>
          <w:rFonts w:cs="Arial"/>
        </w:rPr>
        <w:t xml:space="preserve">in agreements to attend community support services, </w:t>
      </w:r>
      <w:r w:rsidR="00E716F2">
        <w:rPr>
          <w:rFonts w:cs="Arial"/>
        </w:rPr>
        <w:t>the</w:t>
      </w:r>
      <w:r w:rsidR="00D05E46">
        <w:rPr>
          <w:rFonts w:cs="Arial"/>
        </w:rPr>
        <w:t xml:space="preserve"> decrease in orders made to attend community support services, and the first agreement for CIM in many years</w:t>
      </w:r>
      <w:r w:rsidR="00BA3A75">
        <w:rPr>
          <w:rFonts w:cs="Arial"/>
        </w:rPr>
        <w:t xml:space="preserve"> of operations</w:t>
      </w:r>
      <w:r w:rsidR="00D05E46">
        <w:rPr>
          <w:rFonts w:cs="Arial"/>
        </w:rPr>
        <w:t xml:space="preserve">. </w:t>
      </w:r>
      <w:r w:rsidR="00BA3A75">
        <w:rPr>
          <w:rFonts w:cs="Arial"/>
        </w:rPr>
        <w:t xml:space="preserve">Additionally, there were 3 voluntary agreements for a voluntary case plan. </w:t>
      </w:r>
      <w:r w:rsidR="00317E87">
        <w:rPr>
          <w:rFonts w:cs="Arial"/>
        </w:rPr>
        <w:t xml:space="preserve">These statistical highlights are reflective of the renewed focus on timely decision making, a review of conferencing strategies focusing on engaging clients </w:t>
      </w:r>
      <w:r w:rsidR="007501A7">
        <w:rPr>
          <w:rFonts w:cs="Arial"/>
        </w:rPr>
        <w:t>in a more holistic fashion, using support services in conjunction with income management to stabilise family circumstances and to encourage agreements in the first instance</w:t>
      </w:r>
      <w:r w:rsidR="00E716F2">
        <w:rPr>
          <w:rFonts w:cs="Arial"/>
        </w:rPr>
        <w:t xml:space="preserve"> compliant with s</w:t>
      </w:r>
      <w:r w:rsidR="007653B0">
        <w:rPr>
          <w:rFonts w:cs="Arial"/>
        </w:rPr>
        <w:t xml:space="preserve">ections </w:t>
      </w:r>
      <w:r w:rsidR="00E716F2">
        <w:rPr>
          <w:rFonts w:cs="Arial"/>
        </w:rPr>
        <w:t>46</w:t>
      </w:r>
      <w:r w:rsidR="007653B0">
        <w:rPr>
          <w:rFonts w:cs="Arial"/>
        </w:rPr>
        <w:t xml:space="preserve"> and 68</w:t>
      </w:r>
      <w:r w:rsidR="00E716F2">
        <w:rPr>
          <w:rFonts w:cs="Arial"/>
        </w:rPr>
        <w:t xml:space="preserve"> of the </w:t>
      </w:r>
      <w:r w:rsidR="0006112C" w:rsidRPr="0006112C">
        <w:rPr>
          <w:rFonts w:cs="Arial"/>
          <w:i/>
          <w:iCs/>
        </w:rPr>
        <w:t>Family Responsibilities Commission Act 2008</w:t>
      </w:r>
      <w:r w:rsidR="0006112C">
        <w:rPr>
          <w:rFonts w:cs="Arial"/>
        </w:rPr>
        <w:t xml:space="preserve"> (</w:t>
      </w:r>
      <w:r w:rsidR="00E716F2">
        <w:rPr>
          <w:rFonts w:cs="Arial"/>
        </w:rPr>
        <w:t>FRC Act</w:t>
      </w:r>
      <w:r w:rsidR="0006112C">
        <w:rPr>
          <w:rFonts w:cs="Arial"/>
        </w:rPr>
        <w:t>)</w:t>
      </w:r>
      <w:r w:rsidR="007501A7">
        <w:rPr>
          <w:rFonts w:cs="Arial"/>
        </w:rPr>
        <w:t>.</w:t>
      </w:r>
    </w:p>
    <w:p w14:paraId="4DFF7B9A" w14:textId="5D35AB2B" w:rsidR="00D54432" w:rsidRDefault="00D54432" w:rsidP="006F5610">
      <w:pPr>
        <w:ind w:left="-142" w:right="-425"/>
        <w:jc w:val="both"/>
        <w:rPr>
          <w:rFonts w:cs="Arial"/>
        </w:rPr>
      </w:pPr>
    </w:p>
    <w:p w14:paraId="6EF483DC" w14:textId="0E88E20E" w:rsidR="00D54432" w:rsidRDefault="00D54432" w:rsidP="006F5610">
      <w:pPr>
        <w:ind w:left="-142" w:right="-425"/>
        <w:jc w:val="both"/>
        <w:rPr>
          <w:rFonts w:cs="Arial"/>
        </w:rPr>
      </w:pPr>
      <w:r>
        <w:rPr>
          <w:rFonts w:cs="Arial"/>
        </w:rPr>
        <w:t>Quarter 48 ended with the term</w:t>
      </w:r>
      <w:r w:rsidR="00542708">
        <w:rPr>
          <w:rFonts w:cs="Arial"/>
        </w:rPr>
        <w:t>s</w:t>
      </w:r>
      <w:r>
        <w:rPr>
          <w:rFonts w:cs="Arial"/>
        </w:rPr>
        <w:t xml:space="preserve"> of appointment for Commissioner Williams, 29 Local Commissioners across the five welfare reform communities and members of the FR Board expiring on 30 June 2020. As at the commencement of this quarter (1 July 2020), no significant appointments to the Commission or the FR Board had been made pursuant to section 15 of the FRC Act. Subsequently</w:t>
      </w:r>
      <w:r w:rsidR="00631887">
        <w:rPr>
          <w:rFonts w:cs="Arial"/>
        </w:rPr>
        <w:t xml:space="preserve"> the Commission </w:t>
      </w:r>
      <w:r w:rsidR="00542708">
        <w:rPr>
          <w:rFonts w:cs="Arial"/>
        </w:rPr>
        <w:t>commenced the quarter</w:t>
      </w:r>
      <w:r w:rsidR="00631887">
        <w:rPr>
          <w:rFonts w:cs="Arial"/>
        </w:rPr>
        <w:t xml:space="preserve"> without a Chief Executive Officer, Local Commissioners </w:t>
      </w:r>
      <w:r w:rsidR="00542708">
        <w:rPr>
          <w:rFonts w:cs="Arial"/>
        </w:rPr>
        <w:t>or</w:t>
      </w:r>
      <w:r w:rsidR="00631887">
        <w:rPr>
          <w:rFonts w:cs="Arial"/>
        </w:rPr>
        <w:t xml:space="preserve"> a current Board. It is understood that the delay in statutory appointments was not exclusive to the Commission, and that the </w:t>
      </w:r>
      <w:r w:rsidR="00767BC5">
        <w:rPr>
          <w:rFonts w:cs="Arial"/>
        </w:rPr>
        <w:t>p</w:t>
      </w:r>
      <w:r w:rsidR="00631887">
        <w:rPr>
          <w:rFonts w:cs="Arial"/>
        </w:rPr>
        <w:t xml:space="preserve">andemic has adversely affected Governmental administrative processes. </w:t>
      </w:r>
      <w:r w:rsidR="0069602F">
        <w:rPr>
          <w:rFonts w:cs="Arial"/>
        </w:rPr>
        <w:t>The delay, however, resulted in the necessity for the Registrar to advise the FR Board and the Legal Affairs and Community Safety Committee</w:t>
      </w:r>
      <w:r w:rsidR="00542708">
        <w:rPr>
          <w:rFonts w:cs="Arial"/>
        </w:rPr>
        <w:t xml:space="preserve"> (</w:t>
      </w:r>
      <w:r w:rsidR="0069602F">
        <w:rPr>
          <w:rFonts w:cs="Arial"/>
        </w:rPr>
        <w:t>who had gained oversight function to monitor and review the FRC on 21 May 2020</w:t>
      </w:r>
      <w:r w:rsidR="00542708">
        <w:rPr>
          <w:rFonts w:cs="Arial"/>
        </w:rPr>
        <w:t>)</w:t>
      </w:r>
      <w:r w:rsidR="0069602F">
        <w:rPr>
          <w:rFonts w:cs="Arial"/>
        </w:rPr>
        <w:t xml:space="preserve"> that pursuant to section 35 of the FRC Act duties would be limited to administrative functions only. Financial decision-making powers were likewise </w:t>
      </w:r>
      <w:r w:rsidR="00501EC3">
        <w:rPr>
          <w:rFonts w:cs="Arial"/>
        </w:rPr>
        <w:t>compromised,</w:t>
      </w:r>
      <w:r w:rsidR="004610B1">
        <w:rPr>
          <w:rFonts w:cs="Arial"/>
        </w:rPr>
        <w:t xml:space="preserve"> and Commissioner Williams and the Local Commissioners were stood down</w:t>
      </w:r>
      <w:r w:rsidR="00736830">
        <w:rPr>
          <w:rFonts w:cs="Arial"/>
        </w:rPr>
        <w:t xml:space="preserve"> until the receipt of an instrument of appointment. </w:t>
      </w:r>
      <w:r w:rsidR="00542708">
        <w:rPr>
          <w:rFonts w:cs="Arial"/>
        </w:rPr>
        <w:t>Official advice was received mid-morning on 2 July</w:t>
      </w:r>
      <w:r w:rsidR="00700391">
        <w:rPr>
          <w:rFonts w:cs="Arial"/>
        </w:rPr>
        <w:t xml:space="preserve"> that the Governor in Council had made the following significant appointments to the FRC for the term 1 July 2020 to 30 June 2021:</w:t>
      </w:r>
    </w:p>
    <w:p w14:paraId="2E6A779D" w14:textId="457B7C1B" w:rsidR="00700391" w:rsidRDefault="00700391" w:rsidP="006F5610">
      <w:pPr>
        <w:ind w:left="-142" w:right="-425"/>
        <w:jc w:val="both"/>
        <w:rPr>
          <w:rFonts w:cs="Arial"/>
        </w:rPr>
      </w:pPr>
    </w:p>
    <w:p w14:paraId="68F236B9" w14:textId="2AAF5D53" w:rsidR="00700391" w:rsidRPr="00700391" w:rsidRDefault="00700391" w:rsidP="00700391">
      <w:pPr>
        <w:numPr>
          <w:ilvl w:val="0"/>
          <w:numId w:val="32"/>
        </w:numPr>
        <w:ind w:left="284" w:right="-425"/>
        <w:jc w:val="both"/>
        <w:rPr>
          <w:rFonts w:cs="Arial"/>
          <w:lang w:val="en-US"/>
        </w:rPr>
      </w:pPr>
      <w:r w:rsidRPr="00700391">
        <w:rPr>
          <w:rFonts w:cs="Arial"/>
          <w:lang w:val="en-US"/>
        </w:rPr>
        <w:t>Tammy Williams as Commissioner</w:t>
      </w:r>
    </w:p>
    <w:p w14:paraId="2F2A34A5" w14:textId="4B479AA9" w:rsidR="00700391" w:rsidRPr="00700391" w:rsidRDefault="00700391" w:rsidP="00700391">
      <w:pPr>
        <w:numPr>
          <w:ilvl w:val="0"/>
          <w:numId w:val="32"/>
        </w:numPr>
        <w:ind w:left="284" w:right="-425"/>
        <w:jc w:val="both"/>
        <w:rPr>
          <w:rFonts w:cs="Arial"/>
          <w:lang w:val="en-US"/>
        </w:rPr>
      </w:pPr>
      <w:r w:rsidRPr="00700391">
        <w:rPr>
          <w:rFonts w:cs="Arial"/>
          <w:lang w:val="en-US"/>
        </w:rPr>
        <w:t>Rodney Curtin as Deputy Commissioner</w:t>
      </w:r>
    </w:p>
    <w:p w14:paraId="7981B6B5" w14:textId="6EBA47DC" w:rsidR="008E04C5" w:rsidRDefault="008E04C5" w:rsidP="00700391">
      <w:pPr>
        <w:numPr>
          <w:ilvl w:val="0"/>
          <w:numId w:val="32"/>
        </w:numPr>
        <w:ind w:left="284" w:right="-425"/>
        <w:jc w:val="both"/>
        <w:rPr>
          <w:rFonts w:cs="Arial"/>
          <w:lang w:val="en-US"/>
        </w:rPr>
      </w:pPr>
      <w:r>
        <w:rPr>
          <w:rFonts w:cs="Arial"/>
          <w:lang w:val="en-US"/>
        </w:rPr>
        <w:t>E</w:t>
      </w:r>
      <w:r w:rsidR="00700391" w:rsidRPr="00700391">
        <w:rPr>
          <w:rFonts w:cs="Arial"/>
          <w:lang w:val="en-US"/>
        </w:rPr>
        <w:t>dgar Kerindun, Vera Koomeeta, Doris Poonkamelya, Dorothy Pootchemunka, Keri Tamwoy</w:t>
      </w:r>
      <w:r>
        <w:rPr>
          <w:rFonts w:cs="Arial"/>
          <w:lang w:val="en-US"/>
        </w:rPr>
        <w:t xml:space="preserve"> and </w:t>
      </w:r>
      <w:r w:rsidR="00700391" w:rsidRPr="00700391">
        <w:rPr>
          <w:rFonts w:cs="Arial"/>
          <w:lang w:val="en-US"/>
        </w:rPr>
        <w:t>Ada Woolla</w:t>
      </w:r>
      <w:r>
        <w:rPr>
          <w:rFonts w:cs="Arial"/>
          <w:lang w:val="en-US"/>
        </w:rPr>
        <w:t xml:space="preserve"> as Aurukun Local Commissioners</w:t>
      </w:r>
    </w:p>
    <w:p w14:paraId="7B80E68F" w14:textId="77777777" w:rsidR="008E04C5" w:rsidRDefault="00700391" w:rsidP="00700391">
      <w:pPr>
        <w:numPr>
          <w:ilvl w:val="0"/>
          <w:numId w:val="32"/>
        </w:numPr>
        <w:ind w:left="284" w:right="-425"/>
        <w:jc w:val="both"/>
        <w:rPr>
          <w:rFonts w:cs="Arial"/>
          <w:lang w:val="en-US"/>
        </w:rPr>
      </w:pPr>
      <w:r w:rsidRPr="00700391">
        <w:rPr>
          <w:rFonts w:cs="Arial"/>
          <w:lang w:val="en-US"/>
        </w:rPr>
        <w:t>Elaine Liddy, Maureen Liddy, Alison Liddy, May Kepple</w:t>
      </w:r>
      <w:r w:rsidR="008E04C5">
        <w:rPr>
          <w:rFonts w:cs="Arial"/>
          <w:lang w:val="en-US"/>
        </w:rPr>
        <w:t xml:space="preserve"> and</w:t>
      </w:r>
      <w:r w:rsidRPr="00700391">
        <w:rPr>
          <w:rFonts w:cs="Arial"/>
          <w:lang w:val="en-US"/>
        </w:rPr>
        <w:t xml:space="preserve"> Garry Port</w:t>
      </w:r>
      <w:r w:rsidR="008E04C5">
        <w:rPr>
          <w:rFonts w:cs="Arial"/>
          <w:lang w:val="en-US"/>
        </w:rPr>
        <w:t xml:space="preserve"> as Coen Local Commissioners</w:t>
      </w:r>
    </w:p>
    <w:p w14:paraId="28ED760D" w14:textId="734CDAEB" w:rsidR="008E04C5" w:rsidRDefault="00700391" w:rsidP="00700391">
      <w:pPr>
        <w:numPr>
          <w:ilvl w:val="0"/>
          <w:numId w:val="32"/>
        </w:numPr>
        <w:ind w:left="284" w:right="-425"/>
        <w:jc w:val="both"/>
        <w:rPr>
          <w:rFonts w:cs="Arial"/>
          <w:lang w:val="en-US"/>
        </w:rPr>
      </w:pPr>
      <w:r w:rsidRPr="00700391">
        <w:rPr>
          <w:rFonts w:cs="Arial"/>
          <w:lang w:val="en-US"/>
        </w:rPr>
        <w:t>Elaine Cairns, Guy Douglas, Christopher Logan, Eleanor Logan, Dawn Aplin, Isabel Toby</w:t>
      </w:r>
      <w:r w:rsidR="008E04C5">
        <w:rPr>
          <w:rFonts w:cs="Arial"/>
          <w:lang w:val="en-US"/>
        </w:rPr>
        <w:t>, Kaylene O’Keefe and</w:t>
      </w:r>
      <w:r w:rsidRPr="00700391">
        <w:rPr>
          <w:rFonts w:cs="Arial"/>
          <w:lang w:val="en-US"/>
        </w:rPr>
        <w:t xml:space="preserve"> Karen Jupiter</w:t>
      </w:r>
      <w:r w:rsidR="008E04C5">
        <w:rPr>
          <w:rFonts w:cs="Arial"/>
          <w:lang w:val="en-US"/>
        </w:rPr>
        <w:t xml:space="preserve"> as Doomadgee Local Commissioners</w:t>
      </w:r>
    </w:p>
    <w:p w14:paraId="5170B707" w14:textId="77777777" w:rsidR="008E04C5" w:rsidRDefault="00700391" w:rsidP="00700391">
      <w:pPr>
        <w:numPr>
          <w:ilvl w:val="0"/>
          <w:numId w:val="32"/>
        </w:numPr>
        <w:ind w:left="284" w:right="-425"/>
        <w:jc w:val="both"/>
        <w:rPr>
          <w:rFonts w:cs="Arial"/>
          <w:lang w:val="en-US"/>
        </w:rPr>
      </w:pPr>
      <w:r w:rsidRPr="00700391">
        <w:rPr>
          <w:rFonts w:cs="Arial"/>
          <w:lang w:val="en-US"/>
        </w:rPr>
        <w:t xml:space="preserve">Erica Deeral, </w:t>
      </w:r>
      <w:r w:rsidR="008E04C5">
        <w:rPr>
          <w:rFonts w:cs="Arial"/>
          <w:lang w:val="en-US"/>
        </w:rPr>
        <w:t>V</w:t>
      </w:r>
      <w:r w:rsidRPr="00700391">
        <w:rPr>
          <w:rFonts w:cs="Arial"/>
          <w:lang w:val="en-US"/>
        </w:rPr>
        <w:t>ictor Gibson, Doreen Hart, Cheryl Cannon, Selina Bowen, Robert Gibson</w:t>
      </w:r>
      <w:r w:rsidR="008E04C5">
        <w:rPr>
          <w:rFonts w:cs="Arial"/>
          <w:lang w:val="en-US"/>
        </w:rPr>
        <w:t xml:space="preserve"> and</w:t>
      </w:r>
      <w:r w:rsidRPr="00700391">
        <w:rPr>
          <w:rFonts w:cs="Arial"/>
          <w:lang w:val="en-US"/>
        </w:rPr>
        <w:t xml:space="preserve"> Priscilla Gibson</w:t>
      </w:r>
      <w:r w:rsidR="008E04C5">
        <w:rPr>
          <w:rFonts w:cs="Arial"/>
          <w:lang w:val="en-US"/>
        </w:rPr>
        <w:t xml:space="preserve"> as Hope Vale Local Commissioners</w:t>
      </w:r>
    </w:p>
    <w:p w14:paraId="013264D4" w14:textId="49B38A5E" w:rsidR="00700391" w:rsidRPr="00700391" w:rsidRDefault="00700391" w:rsidP="00700391">
      <w:pPr>
        <w:numPr>
          <w:ilvl w:val="0"/>
          <w:numId w:val="32"/>
        </w:numPr>
        <w:ind w:left="284" w:right="-425"/>
        <w:jc w:val="both"/>
        <w:rPr>
          <w:rFonts w:cs="Arial"/>
          <w:lang w:val="en-US"/>
        </w:rPr>
      </w:pPr>
      <w:r w:rsidRPr="00700391">
        <w:rPr>
          <w:rFonts w:cs="Arial"/>
          <w:lang w:val="en-US"/>
        </w:rPr>
        <w:t xml:space="preserve">Karen Shuan, Loretta Spratt and George Ross-Kelly as </w:t>
      </w:r>
      <w:r w:rsidR="008E04C5">
        <w:rPr>
          <w:rFonts w:cs="Arial"/>
          <w:lang w:val="en-US"/>
        </w:rPr>
        <w:t xml:space="preserve">Mossman Gorge </w:t>
      </w:r>
      <w:r w:rsidRPr="00700391">
        <w:rPr>
          <w:rFonts w:cs="Arial"/>
          <w:lang w:val="en-US"/>
        </w:rPr>
        <w:t>Local Commissioners.</w:t>
      </w:r>
    </w:p>
    <w:p w14:paraId="53849A91" w14:textId="29C690D6" w:rsidR="00700391" w:rsidRPr="00700391" w:rsidRDefault="00700391" w:rsidP="00501EC3">
      <w:pPr>
        <w:ind w:left="-142" w:right="-425"/>
        <w:jc w:val="both"/>
        <w:rPr>
          <w:rFonts w:cs="Arial"/>
          <w:lang w:val="en-US"/>
        </w:rPr>
      </w:pPr>
      <w:r w:rsidRPr="00700391">
        <w:rPr>
          <w:rFonts w:cs="Arial"/>
          <w:lang w:val="en-US"/>
        </w:rPr>
        <w:lastRenderedPageBreak/>
        <w:t xml:space="preserve">The </w:t>
      </w:r>
      <w:r w:rsidRPr="00700391">
        <w:rPr>
          <w:rFonts w:cs="Arial"/>
        </w:rPr>
        <w:t>following</w:t>
      </w:r>
      <w:r w:rsidRPr="00700391">
        <w:rPr>
          <w:rFonts w:cs="Arial"/>
          <w:lang w:val="en-US"/>
        </w:rPr>
        <w:t xml:space="preserve"> appointments to the Family Responsibilities Board for a term from 1 July 2020 to 30 June 2021 were also approved:</w:t>
      </w:r>
    </w:p>
    <w:p w14:paraId="212A9AB5" w14:textId="77777777" w:rsidR="00700391" w:rsidRPr="00700391" w:rsidRDefault="00700391" w:rsidP="00700391">
      <w:pPr>
        <w:ind w:left="284" w:right="-425"/>
        <w:jc w:val="both"/>
        <w:rPr>
          <w:rFonts w:cs="Arial"/>
          <w:lang w:val="en-US"/>
        </w:rPr>
      </w:pPr>
    </w:p>
    <w:p w14:paraId="7A7DC6CD" w14:textId="77777777" w:rsidR="00700391" w:rsidRPr="00700391" w:rsidRDefault="00700391" w:rsidP="00700391">
      <w:pPr>
        <w:numPr>
          <w:ilvl w:val="0"/>
          <w:numId w:val="32"/>
        </w:numPr>
        <w:ind w:left="284" w:right="-425"/>
        <w:jc w:val="both"/>
        <w:rPr>
          <w:rFonts w:cs="Arial"/>
          <w:lang w:val="en-US"/>
        </w:rPr>
      </w:pPr>
      <w:r w:rsidRPr="00700391">
        <w:rPr>
          <w:rFonts w:cs="Arial"/>
          <w:lang w:val="en-US"/>
        </w:rPr>
        <w:t>Dr Chris Sarra (Chairperson), Director-General, Department of Aboriginal and Torres Strait Islander Partnerships</w:t>
      </w:r>
    </w:p>
    <w:p w14:paraId="46409764" w14:textId="77777777" w:rsidR="00700391" w:rsidRPr="00700391" w:rsidRDefault="00700391" w:rsidP="00700391">
      <w:pPr>
        <w:numPr>
          <w:ilvl w:val="0"/>
          <w:numId w:val="32"/>
        </w:numPr>
        <w:ind w:left="284" w:right="-425"/>
        <w:jc w:val="both"/>
        <w:rPr>
          <w:rFonts w:cs="Arial"/>
          <w:lang w:val="en-US"/>
        </w:rPr>
      </w:pPr>
      <w:r w:rsidRPr="00700391">
        <w:rPr>
          <w:rFonts w:cs="Arial"/>
          <w:lang w:val="en-US"/>
        </w:rPr>
        <w:t>Mr Ray Griggs AO CSC, CEO, National Indigenous Australians Agency</w:t>
      </w:r>
    </w:p>
    <w:p w14:paraId="36FCA6FA" w14:textId="54CB440B" w:rsidR="00700391" w:rsidRDefault="00700391" w:rsidP="00700391">
      <w:pPr>
        <w:numPr>
          <w:ilvl w:val="0"/>
          <w:numId w:val="32"/>
        </w:numPr>
        <w:ind w:left="284" w:right="-425"/>
        <w:jc w:val="both"/>
        <w:rPr>
          <w:rFonts w:cs="Arial"/>
          <w:lang w:val="en-US"/>
        </w:rPr>
      </w:pPr>
      <w:r w:rsidRPr="00700391">
        <w:rPr>
          <w:rFonts w:cs="Arial"/>
          <w:lang w:val="en-US"/>
        </w:rPr>
        <w:t>Mr Noel Pearson, Cape York Institute.</w:t>
      </w:r>
    </w:p>
    <w:p w14:paraId="14FE2E4B" w14:textId="7642B3FB" w:rsidR="00501EC3" w:rsidRPr="00873841" w:rsidRDefault="00501EC3" w:rsidP="00873841">
      <w:pPr>
        <w:ind w:left="-142" w:right="-425"/>
        <w:jc w:val="both"/>
        <w:rPr>
          <w:rFonts w:cs="Arial"/>
        </w:rPr>
      </w:pPr>
    </w:p>
    <w:p w14:paraId="77FFA1FC" w14:textId="121BCEA6" w:rsidR="00501EC3" w:rsidRPr="00700391" w:rsidRDefault="007C0B7D" w:rsidP="008E08C8">
      <w:pPr>
        <w:ind w:left="-142" w:right="-425"/>
        <w:jc w:val="both"/>
        <w:rPr>
          <w:rFonts w:cs="Arial"/>
          <w:lang w:val="en-US"/>
        </w:rPr>
      </w:pPr>
      <w:r>
        <w:rPr>
          <w:rFonts w:cs="Arial"/>
          <w:lang w:val="en-US"/>
        </w:rPr>
        <w:t>Of particular relevance to the Commission was the appointment of Deputy Commissioner Rodney Curtin.</w:t>
      </w:r>
      <w:r w:rsidR="000F1085">
        <w:rPr>
          <w:rFonts w:cs="Arial"/>
          <w:lang w:val="en-US"/>
        </w:rPr>
        <w:t xml:space="preserve"> Section 25 of the FRC Act provides that a Deputy Commissioner </w:t>
      </w:r>
      <w:r w:rsidR="00F57D89">
        <w:rPr>
          <w:rFonts w:cs="Arial"/>
          <w:lang w:val="en-US"/>
        </w:rPr>
        <w:t xml:space="preserve">(if appointed) </w:t>
      </w:r>
      <w:r w:rsidR="000F1085">
        <w:rPr>
          <w:rFonts w:cs="Arial"/>
          <w:lang w:val="en-US"/>
        </w:rPr>
        <w:t xml:space="preserve">is to act as the Commissioner if (a) the Commissioner is not available to perform the Commissioner’s functions; or (b) there is a vacancy in the office of the Commissioner. </w:t>
      </w:r>
      <w:r w:rsidR="005D22D4">
        <w:rPr>
          <w:rFonts w:cs="Arial"/>
          <w:lang w:val="en-US"/>
        </w:rPr>
        <w:t>Pr</w:t>
      </w:r>
      <w:r w:rsidR="00F57D89">
        <w:rPr>
          <w:rFonts w:cs="Arial"/>
          <w:lang w:val="en-US"/>
        </w:rPr>
        <w:t>ior</w:t>
      </w:r>
      <w:r w:rsidR="005D22D4">
        <w:rPr>
          <w:rFonts w:cs="Arial"/>
          <w:lang w:val="en-US"/>
        </w:rPr>
        <w:t xml:space="preserve"> to the Deputy Commissioner’s appointment </w:t>
      </w:r>
      <w:r w:rsidR="00F57D89">
        <w:rPr>
          <w:rFonts w:cs="Arial"/>
          <w:lang w:val="en-US"/>
        </w:rPr>
        <w:t xml:space="preserve">on 1 July 2020 </w:t>
      </w:r>
      <w:r w:rsidR="005D22D4">
        <w:rPr>
          <w:rFonts w:cs="Arial"/>
          <w:lang w:val="en-US"/>
        </w:rPr>
        <w:t>he was engaged on an intermittent consultancy basis to support and advise on a legislative review, support the Commission’s intensive response in Aurukun and Doomadgee</w:t>
      </w:r>
      <w:r w:rsidR="00F57D89">
        <w:rPr>
          <w:rFonts w:cs="Arial"/>
          <w:lang w:val="en-US"/>
        </w:rPr>
        <w:t xml:space="preserve"> (early 2020)</w:t>
      </w:r>
      <w:r w:rsidR="005D22D4">
        <w:rPr>
          <w:rFonts w:cs="Arial"/>
          <w:lang w:val="en-US"/>
        </w:rPr>
        <w:t xml:space="preserve">, provide recommendations on the drafting of Memoranda of Understanding for prescribed entities and assist with the implementation of amended conferencing processes. </w:t>
      </w:r>
      <w:r w:rsidR="000F1085">
        <w:rPr>
          <w:rFonts w:cs="Arial"/>
          <w:lang w:val="en-US"/>
        </w:rPr>
        <w:t xml:space="preserve">The role of Deputy Commissioner has a significant frontline operational focus </w:t>
      </w:r>
      <w:r w:rsidR="00F57D89">
        <w:rPr>
          <w:rFonts w:cs="Arial"/>
          <w:lang w:val="en-US"/>
        </w:rPr>
        <w:t xml:space="preserve">and the appointment will serve to safeguard the Commission’s business continuity. Rodney Curtin’s </w:t>
      </w:r>
      <w:r w:rsidR="000F1085">
        <w:rPr>
          <w:rFonts w:cs="Arial"/>
          <w:lang w:val="en-US"/>
        </w:rPr>
        <w:t>previous history of engagement with the Commission</w:t>
      </w:r>
      <w:r w:rsidR="004B1AD5">
        <w:rPr>
          <w:rFonts w:cs="Arial"/>
          <w:lang w:val="en-US"/>
        </w:rPr>
        <w:t>, whilst</w:t>
      </w:r>
      <w:r w:rsidR="000F1085">
        <w:rPr>
          <w:rFonts w:cs="Arial"/>
          <w:lang w:val="en-US"/>
        </w:rPr>
        <w:t xml:space="preserve"> establish</w:t>
      </w:r>
      <w:r w:rsidR="004B1AD5">
        <w:rPr>
          <w:rFonts w:cs="Arial"/>
          <w:lang w:val="en-US"/>
        </w:rPr>
        <w:t>ing</w:t>
      </w:r>
      <w:r w:rsidR="000F1085">
        <w:rPr>
          <w:rFonts w:cs="Arial"/>
          <w:lang w:val="en-US"/>
        </w:rPr>
        <w:t xml:space="preserve"> </w:t>
      </w:r>
      <w:r w:rsidR="004B1AD5">
        <w:rPr>
          <w:rFonts w:cs="Arial"/>
          <w:lang w:val="en-US"/>
        </w:rPr>
        <w:t xml:space="preserve">a solid foundation with the Local Commissioners and Commission stakeholders across the board, </w:t>
      </w:r>
      <w:r w:rsidR="0062452F">
        <w:rPr>
          <w:rFonts w:cs="Arial"/>
          <w:lang w:val="en-US"/>
        </w:rPr>
        <w:t>has</w:t>
      </w:r>
      <w:r w:rsidR="004B1AD5">
        <w:rPr>
          <w:rFonts w:cs="Arial"/>
          <w:lang w:val="en-US"/>
        </w:rPr>
        <w:t xml:space="preserve"> enhance</w:t>
      </w:r>
      <w:r w:rsidR="0062452F">
        <w:rPr>
          <w:rFonts w:cs="Arial"/>
          <w:lang w:val="en-US"/>
        </w:rPr>
        <w:t>d</w:t>
      </w:r>
      <w:r w:rsidR="004B1AD5">
        <w:rPr>
          <w:rFonts w:cs="Arial"/>
          <w:lang w:val="en-US"/>
        </w:rPr>
        <w:t xml:space="preserve"> efficiencies in our changing operational environment.</w:t>
      </w:r>
    </w:p>
    <w:p w14:paraId="5DDE027F" w14:textId="02D52ADD" w:rsidR="00700391" w:rsidRDefault="00700391" w:rsidP="006F5610">
      <w:pPr>
        <w:ind w:left="-142" w:right="-425"/>
        <w:jc w:val="both"/>
        <w:rPr>
          <w:rFonts w:cs="Arial"/>
        </w:rPr>
      </w:pPr>
    </w:p>
    <w:p w14:paraId="2B420B32" w14:textId="77777777" w:rsidR="008E08C8" w:rsidRDefault="008E08C8" w:rsidP="008E08C8">
      <w:pPr>
        <w:ind w:left="-142" w:right="-425"/>
        <w:jc w:val="both"/>
        <w:rPr>
          <w:rFonts w:cs="Arial"/>
        </w:rPr>
      </w:pPr>
      <w:r>
        <w:rPr>
          <w:rFonts w:cs="Arial"/>
        </w:rPr>
        <w:t>In September of this reporting period the Legal Affairs and Community Safety Committee released its Report No 76 ‘Oversight of the Family Responsibilities Commission’. The Committee’s responsibilities regarding the Commission include:</w:t>
      </w:r>
    </w:p>
    <w:p w14:paraId="1FB455CE" w14:textId="77777777" w:rsidR="008E08C8" w:rsidRDefault="008E08C8" w:rsidP="008E08C8">
      <w:pPr>
        <w:ind w:left="-142" w:right="-425"/>
        <w:jc w:val="both"/>
        <w:rPr>
          <w:rFonts w:cs="Arial"/>
        </w:rPr>
      </w:pPr>
    </w:p>
    <w:p w14:paraId="644C951A" w14:textId="4E4D0D67" w:rsidR="008E08C8" w:rsidRPr="00AE65CC" w:rsidRDefault="00DC215E" w:rsidP="00474533">
      <w:pPr>
        <w:pStyle w:val="ListParagraph"/>
        <w:numPr>
          <w:ilvl w:val="0"/>
          <w:numId w:val="33"/>
        </w:numPr>
        <w:spacing w:after="120"/>
        <w:ind w:left="572" w:right="-425" w:hanging="357"/>
        <w:jc w:val="both"/>
        <w:rPr>
          <w:rFonts w:ascii="Verdana" w:hAnsi="Verdana" w:cs="Arial"/>
          <w:sz w:val="20"/>
          <w:szCs w:val="20"/>
        </w:rPr>
      </w:pPr>
      <w:r w:rsidRPr="00AE65CC">
        <w:rPr>
          <w:rFonts w:ascii="Verdana" w:hAnsi="Verdana" w:cs="Arial"/>
          <w:sz w:val="20"/>
          <w:szCs w:val="20"/>
        </w:rPr>
        <w:t>m</w:t>
      </w:r>
      <w:r w:rsidR="008E08C8" w:rsidRPr="00AE65CC">
        <w:rPr>
          <w:rFonts w:ascii="Verdana" w:hAnsi="Verdana" w:cs="Arial"/>
          <w:sz w:val="20"/>
          <w:szCs w:val="20"/>
        </w:rPr>
        <w:t>onitoring and reviewing the performance of the Commission</w:t>
      </w:r>
    </w:p>
    <w:p w14:paraId="6900FB68" w14:textId="3992F565" w:rsidR="008E08C8" w:rsidRPr="00AE65CC" w:rsidRDefault="00DC215E" w:rsidP="00474533">
      <w:pPr>
        <w:pStyle w:val="ListParagraph"/>
        <w:numPr>
          <w:ilvl w:val="0"/>
          <w:numId w:val="33"/>
        </w:numPr>
        <w:spacing w:after="120"/>
        <w:ind w:left="572" w:right="-425" w:hanging="357"/>
        <w:jc w:val="both"/>
        <w:rPr>
          <w:rFonts w:ascii="Verdana" w:hAnsi="Verdana" w:cs="Arial"/>
          <w:sz w:val="20"/>
          <w:szCs w:val="20"/>
        </w:rPr>
      </w:pPr>
      <w:r w:rsidRPr="00AE65CC">
        <w:rPr>
          <w:rFonts w:ascii="Verdana" w:hAnsi="Verdana" w:cs="Arial"/>
          <w:sz w:val="20"/>
          <w:szCs w:val="20"/>
        </w:rPr>
        <w:t>r</w:t>
      </w:r>
      <w:r w:rsidR="008E08C8" w:rsidRPr="00AE65CC">
        <w:rPr>
          <w:rFonts w:ascii="Verdana" w:hAnsi="Verdana" w:cs="Arial"/>
          <w:sz w:val="20"/>
          <w:szCs w:val="20"/>
        </w:rPr>
        <w:t>eporting to the Legislative Assembly on any matter concerning the Commission, including its functions and performance</w:t>
      </w:r>
    </w:p>
    <w:p w14:paraId="65B9B360" w14:textId="1B054FED" w:rsidR="008E08C8" w:rsidRPr="00AE65CC" w:rsidRDefault="00DC215E" w:rsidP="00474533">
      <w:pPr>
        <w:pStyle w:val="ListParagraph"/>
        <w:numPr>
          <w:ilvl w:val="0"/>
          <w:numId w:val="33"/>
        </w:numPr>
        <w:spacing w:after="120"/>
        <w:ind w:left="572" w:right="-425" w:hanging="357"/>
        <w:jc w:val="both"/>
        <w:rPr>
          <w:rFonts w:ascii="Verdana" w:hAnsi="Verdana" w:cs="Arial"/>
          <w:sz w:val="20"/>
          <w:szCs w:val="20"/>
        </w:rPr>
      </w:pPr>
      <w:r w:rsidRPr="00AE65CC">
        <w:rPr>
          <w:rFonts w:ascii="Verdana" w:hAnsi="Verdana" w:cs="Arial"/>
          <w:sz w:val="20"/>
          <w:szCs w:val="20"/>
        </w:rPr>
        <w:t>e</w:t>
      </w:r>
      <w:r w:rsidR="008E08C8" w:rsidRPr="00AE65CC">
        <w:rPr>
          <w:rFonts w:ascii="Verdana" w:hAnsi="Verdana" w:cs="Arial"/>
          <w:sz w:val="20"/>
          <w:szCs w:val="20"/>
        </w:rPr>
        <w:t>xamining annual reports and, if appropriate, commenting on any aspect of the report and</w:t>
      </w:r>
    </w:p>
    <w:p w14:paraId="2023479D" w14:textId="36ADE251" w:rsidR="008E08C8" w:rsidRPr="00AE65CC" w:rsidRDefault="00DC215E" w:rsidP="00474533">
      <w:pPr>
        <w:pStyle w:val="ListParagraph"/>
        <w:numPr>
          <w:ilvl w:val="0"/>
          <w:numId w:val="33"/>
        </w:numPr>
        <w:spacing w:after="120"/>
        <w:ind w:left="572" w:right="-425" w:hanging="357"/>
        <w:jc w:val="both"/>
        <w:rPr>
          <w:rFonts w:ascii="Verdana" w:hAnsi="Verdana" w:cs="Arial"/>
          <w:sz w:val="20"/>
          <w:szCs w:val="20"/>
        </w:rPr>
      </w:pPr>
      <w:r w:rsidRPr="00AE65CC">
        <w:rPr>
          <w:rFonts w:ascii="Verdana" w:hAnsi="Verdana" w:cs="Arial"/>
          <w:sz w:val="20"/>
          <w:szCs w:val="20"/>
        </w:rPr>
        <w:t>r</w:t>
      </w:r>
      <w:r w:rsidR="008E08C8" w:rsidRPr="00AE65CC">
        <w:rPr>
          <w:rFonts w:ascii="Verdana" w:hAnsi="Verdana" w:cs="Arial"/>
          <w:sz w:val="20"/>
          <w:szCs w:val="20"/>
        </w:rPr>
        <w:t>eporting to the Assembly on any changes to the functions, structures and procedures of the Commission that the Committee considers desirable for more effective operations.</w:t>
      </w:r>
    </w:p>
    <w:p w14:paraId="047F0E6E" w14:textId="77777777" w:rsidR="008E08C8" w:rsidRDefault="008E08C8" w:rsidP="008E08C8">
      <w:pPr>
        <w:ind w:right="-425"/>
        <w:jc w:val="both"/>
        <w:rPr>
          <w:rFonts w:cs="Arial"/>
        </w:rPr>
      </w:pPr>
    </w:p>
    <w:p w14:paraId="195954E0" w14:textId="77777777" w:rsidR="008E08C8" w:rsidRPr="005268E9" w:rsidRDefault="008E08C8" w:rsidP="008E08C8">
      <w:pPr>
        <w:ind w:right="-425"/>
        <w:jc w:val="both"/>
        <w:rPr>
          <w:rFonts w:cs="Arial"/>
        </w:rPr>
      </w:pPr>
      <w:r>
        <w:rPr>
          <w:rFonts w:cs="Arial"/>
        </w:rPr>
        <w:t>In Report No 76 the Committee examined the Commission’s 2018-19 Annual Report and referred to the oversight briefing by Commissioner Williams and Commission staff to the Economics and Governance Committee on 25 November 2019. The Legal Affairs and Community Safety Committee commented, “</w:t>
      </w:r>
      <w:r w:rsidRPr="0065566F">
        <w:rPr>
          <w:rFonts w:cs="Arial"/>
          <w:i/>
          <w:iCs/>
        </w:rPr>
        <w:t>The committee recognises the extremely challenging nature of many of the issues being examined by the FRC and the volume of work undertaken by the FRC. The committee also commends the FRC for the professional and considered approach that it takes in the discharge of its functions</w:t>
      </w:r>
      <w:r>
        <w:rPr>
          <w:rFonts w:cs="Arial"/>
        </w:rPr>
        <w:t xml:space="preserve">”. </w:t>
      </w:r>
    </w:p>
    <w:p w14:paraId="46DA175B" w14:textId="77777777" w:rsidR="00501EC3" w:rsidRPr="006F5610" w:rsidRDefault="00501EC3" w:rsidP="006F5610">
      <w:pPr>
        <w:ind w:left="-142" w:right="-425"/>
        <w:jc w:val="both"/>
        <w:rPr>
          <w:rFonts w:cs="Arial"/>
        </w:rPr>
      </w:pPr>
    </w:p>
    <w:p w14:paraId="4ECD00DB" w14:textId="111404D6" w:rsidR="00EF4F64" w:rsidRDefault="00EF4F64">
      <w:pPr>
        <w:spacing w:line="240" w:lineRule="auto"/>
        <w:rPr>
          <w:bCs/>
        </w:rPr>
      </w:pPr>
      <w:r>
        <w:rPr>
          <w:bCs/>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77C09575"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712552">
        <w:rPr>
          <w:noProof/>
        </w:rPr>
        <w:t>6</w:t>
      </w:r>
      <w:r w:rsidR="00F058BE">
        <w:rPr>
          <w:noProof/>
        </w:rPr>
        <w:fldChar w:fldCharType="end"/>
      </w:r>
    </w:p>
    <w:p w14:paraId="62DF3D4A" w14:textId="5A15F3FC"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712552">
        <w:rPr>
          <w:noProof/>
        </w:rPr>
        <w:t>15</w:t>
      </w:r>
      <w:r>
        <w:rPr>
          <w:noProof/>
        </w:rPr>
        <w:fldChar w:fldCharType="end"/>
      </w:r>
    </w:p>
    <w:p w14:paraId="293F38D2" w14:textId="403DEFCC"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712552">
        <w:rPr>
          <w:noProof/>
        </w:rPr>
        <w:t>20</w:t>
      </w:r>
      <w:r>
        <w:rPr>
          <w:noProof/>
        </w:rPr>
        <w:fldChar w:fldCharType="end"/>
      </w:r>
    </w:p>
    <w:p w14:paraId="79738A35" w14:textId="64773E45"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712552">
        <w:rPr>
          <w:noProof/>
        </w:rPr>
        <w:t>21</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3BB5DF94">
                <wp:simplePos x="0" y="0"/>
                <wp:positionH relativeFrom="column">
                  <wp:posOffset>-116205</wp:posOffset>
                </wp:positionH>
                <wp:positionV relativeFrom="paragraph">
                  <wp:posOffset>61595</wp:posOffset>
                </wp:positionV>
                <wp:extent cx="6412230" cy="2621280"/>
                <wp:effectExtent l="0" t="0" r="26670" b="266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solidFill>
                            <a:schemeClr val="bg1"/>
                          </a:solidFill>
                          <a:miter lim="800000"/>
                          <a:headEnd/>
                          <a:tailEnd/>
                        </a:ln>
                      </wps:spPr>
                      <wps:txbx>
                        <w:txbxContent>
                          <w:p w14:paraId="02C9A0E4" w14:textId="77777777" w:rsidR="00D37CF2" w:rsidRPr="00517C0A" w:rsidRDefault="00D37CF2" w:rsidP="00517C0A">
                            <w:pPr>
                              <w:rPr>
                                <w:b/>
                                <w:sz w:val="18"/>
                                <w:szCs w:val="18"/>
                                <w:u w:val="single"/>
                              </w:rPr>
                            </w:pPr>
                            <w:r w:rsidRPr="00517C0A">
                              <w:rPr>
                                <w:b/>
                                <w:sz w:val="18"/>
                                <w:szCs w:val="18"/>
                                <w:u w:val="single"/>
                              </w:rPr>
                              <w:t>Abbreviations</w:t>
                            </w:r>
                          </w:p>
                          <w:p w14:paraId="545C9CE7" w14:textId="4E9352F2" w:rsidR="00D37CF2" w:rsidRDefault="00D37CF2"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0C2DEC8D" w14:textId="476A4EC4" w:rsidR="00D37CF2" w:rsidRPr="00517C0A" w:rsidRDefault="00D37CF2"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D37CF2" w:rsidRPr="00517C0A" w:rsidRDefault="00D37CF2"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D37CF2" w:rsidRDefault="00D37CF2" w:rsidP="00517C0A">
                            <w:pPr>
                              <w:rPr>
                                <w:sz w:val="18"/>
                                <w:szCs w:val="18"/>
                              </w:rPr>
                            </w:pPr>
                            <w:r>
                              <w:rPr>
                                <w:sz w:val="18"/>
                                <w:szCs w:val="18"/>
                              </w:rPr>
                              <w:t>DVB</w:t>
                            </w:r>
                            <w:r>
                              <w:rPr>
                                <w:sz w:val="18"/>
                                <w:szCs w:val="18"/>
                              </w:rPr>
                              <w:tab/>
                            </w:r>
                            <w:r>
                              <w:rPr>
                                <w:sz w:val="18"/>
                                <w:szCs w:val="18"/>
                              </w:rPr>
                              <w:tab/>
                              <w:t>Domestic Violence Breach</w:t>
                            </w:r>
                          </w:p>
                          <w:p w14:paraId="393A66E8" w14:textId="77777777" w:rsidR="00D37CF2" w:rsidRDefault="00D37CF2" w:rsidP="00517C0A">
                            <w:pPr>
                              <w:rPr>
                                <w:sz w:val="18"/>
                                <w:szCs w:val="18"/>
                              </w:rPr>
                            </w:pPr>
                            <w:r>
                              <w:rPr>
                                <w:sz w:val="18"/>
                                <w:szCs w:val="18"/>
                              </w:rPr>
                              <w:t>DVO</w:t>
                            </w:r>
                            <w:r>
                              <w:rPr>
                                <w:sz w:val="18"/>
                                <w:szCs w:val="18"/>
                              </w:rPr>
                              <w:tab/>
                            </w:r>
                            <w:r>
                              <w:rPr>
                                <w:sz w:val="18"/>
                                <w:szCs w:val="18"/>
                              </w:rPr>
                              <w:tab/>
                              <w:t>Domestic Violence Order</w:t>
                            </w:r>
                          </w:p>
                          <w:p w14:paraId="108A9B57" w14:textId="77777777" w:rsidR="00D37CF2" w:rsidRPr="00517C0A" w:rsidRDefault="00D37CF2"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04E1F1A6" w:rsidR="00D37CF2" w:rsidRDefault="00D37CF2"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B0017B6" w14:textId="707BB555" w:rsidR="00D37CF2" w:rsidRDefault="00D37CF2" w:rsidP="00517C0A">
                            <w:pPr>
                              <w:rPr>
                                <w:sz w:val="18"/>
                                <w:szCs w:val="18"/>
                              </w:rPr>
                            </w:pPr>
                            <w:r>
                              <w:rPr>
                                <w:sz w:val="18"/>
                                <w:szCs w:val="18"/>
                              </w:rPr>
                              <w:t>VCP</w:t>
                            </w:r>
                            <w:r>
                              <w:rPr>
                                <w:sz w:val="18"/>
                                <w:szCs w:val="18"/>
                              </w:rPr>
                              <w:tab/>
                            </w:r>
                            <w:r>
                              <w:rPr>
                                <w:sz w:val="18"/>
                                <w:szCs w:val="18"/>
                              </w:rPr>
                              <w:tab/>
                              <w:t>Voluntary Case Plan</w:t>
                            </w:r>
                          </w:p>
                          <w:p w14:paraId="6E21A2C9" w14:textId="77777777" w:rsidR="00D37CF2" w:rsidRPr="00517C0A" w:rsidRDefault="00D37CF2"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D37CF2" w:rsidRPr="00517C0A" w:rsidRDefault="00D37CF2"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D37CF2" w:rsidRPr="00517C0A" w:rsidRDefault="00D37CF2" w:rsidP="00517C0A">
                            <w:pPr>
                              <w:ind w:left="1418"/>
                              <w:rPr>
                                <w:rFonts w:cs="Arial"/>
                                <w:sz w:val="18"/>
                                <w:szCs w:val="18"/>
                              </w:rPr>
                            </w:pPr>
                            <w:r w:rsidRPr="00517C0A">
                              <w:rPr>
                                <w:rFonts w:cs="Arial"/>
                                <w:sz w:val="18"/>
                                <w:szCs w:val="18"/>
                              </w:rPr>
                              <w:t>Family Responsibilities Commission (the Commission)</w:t>
                            </w:r>
                          </w:p>
                          <w:p w14:paraId="632CC48B" w14:textId="77777777" w:rsidR="00D37CF2" w:rsidRPr="00517C0A" w:rsidRDefault="00D37CF2"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D37CF2" w:rsidRPr="00517C0A" w:rsidRDefault="00D37CF2"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D37CF2" w:rsidRPr="00517C0A" w:rsidRDefault="00D37CF2"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" strokecolor="white [3212]">
                <v:textbox>
                  <w:txbxContent>
                    <w:p w14:paraId="02C9A0E4" w14:textId="77777777" w:rsidR="00D37CF2" w:rsidRPr="00517C0A" w:rsidRDefault="00D37CF2" w:rsidP="00517C0A">
                      <w:pPr>
                        <w:rPr>
                          <w:b/>
                          <w:sz w:val="18"/>
                          <w:szCs w:val="18"/>
                          <w:u w:val="single"/>
                        </w:rPr>
                      </w:pPr>
                      <w:r w:rsidRPr="00517C0A">
                        <w:rPr>
                          <w:b/>
                          <w:sz w:val="18"/>
                          <w:szCs w:val="18"/>
                          <w:u w:val="single"/>
                        </w:rPr>
                        <w:t>Abbreviations</w:t>
                      </w:r>
                    </w:p>
                    <w:p w14:paraId="545C9CE7" w14:textId="4E9352F2" w:rsidR="00D37CF2" w:rsidRDefault="00D37CF2"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0C2DEC8D" w14:textId="476A4EC4" w:rsidR="00D37CF2" w:rsidRPr="00517C0A" w:rsidRDefault="00D37CF2"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D37CF2" w:rsidRPr="00517C0A" w:rsidRDefault="00D37CF2"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D37CF2" w:rsidRDefault="00D37CF2" w:rsidP="00517C0A">
                      <w:pPr>
                        <w:rPr>
                          <w:sz w:val="18"/>
                          <w:szCs w:val="18"/>
                        </w:rPr>
                      </w:pPr>
                      <w:r>
                        <w:rPr>
                          <w:sz w:val="18"/>
                          <w:szCs w:val="18"/>
                        </w:rPr>
                        <w:t>DVB</w:t>
                      </w:r>
                      <w:r>
                        <w:rPr>
                          <w:sz w:val="18"/>
                          <w:szCs w:val="18"/>
                        </w:rPr>
                        <w:tab/>
                      </w:r>
                      <w:r>
                        <w:rPr>
                          <w:sz w:val="18"/>
                          <w:szCs w:val="18"/>
                        </w:rPr>
                        <w:tab/>
                        <w:t>Domestic Violence Breach</w:t>
                      </w:r>
                    </w:p>
                    <w:p w14:paraId="393A66E8" w14:textId="77777777" w:rsidR="00D37CF2" w:rsidRDefault="00D37CF2" w:rsidP="00517C0A">
                      <w:pPr>
                        <w:rPr>
                          <w:sz w:val="18"/>
                          <w:szCs w:val="18"/>
                        </w:rPr>
                      </w:pPr>
                      <w:r>
                        <w:rPr>
                          <w:sz w:val="18"/>
                          <w:szCs w:val="18"/>
                        </w:rPr>
                        <w:t>DVO</w:t>
                      </w:r>
                      <w:r>
                        <w:rPr>
                          <w:sz w:val="18"/>
                          <w:szCs w:val="18"/>
                        </w:rPr>
                        <w:tab/>
                      </w:r>
                      <w:r>
                        <w:rPr>
                          <w:sz w:val="18"/>
                          <w:szCs w:val="18"/>
                        </w:rPr>
                        <w:tab/>
                        <w:t>Domestic Violence Order</w:t>
                      </w:r>
                    </w:p>
                    <w:p w14:paraId="108A9B57" w14:textId="77777777" w:rsidR="00D37CF2" w:rsidRPr="00517C0A" w:rsidRDefault="00D37CF2"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04E1F1A6" w:rsidR="00D37CF2" w:rsidRDefault="00D37CF2"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B0017B6" w14:textId="707BB555" w:rsidR="00D37CF2" w:rsidRDefault="00D37CF2" w:rsidP="00517C0A">
                      <w:pPr>
                        <w:rPr>
                          <w:sz w:val="18"/>
                          <w:szCs w:val="18"/>
                        </w:rPr>
                      </w:pPr>
                      <w:r>
                        <w:rPr>
                          <w:sz w:val="18"/>
                          <w:szCs w:val="18"/>
                        </w:rPr>
                        <w:t>VCP</w:t>
                      </w:r>
                      <w:r>
                        <w:rPr>
                          <w:sz w:val="18"/>
                          <w:szCs w:val="18"/>
                        </w:rPr>
                        <w:tab/>
                      </w:r>
                      <w:r>
                        <w:rPr>
                          <w:sz w:val="18"/>
                          <w:szCs w:val="18"/>
                        </w:rPr>
                        <w:tab/>
                        <w:t>Voluntary Case Plan</w:t>
                      </w:r>
                    </w:p>
                    <w:p w14:paraId="6E21A2C9" w14:textId="77777777" w:rsidR="00D37CF2" w:rsidRPr="00517C0A" w:rsidRDefault="00D37CF2"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D37CF2" w:rsidRPr="00517C0A" w:rsidRDefault="00D37CF2"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D37CF2" w:rsidRPr="00517C0A" w:rsidRDefault="00D37CF2" w:rsidP="00517C0A">
                      <w:pPr>
                        <w:ind w:left="1418"/>
                        <w:rPr>
                          <w:rFonts w:cs="Arial"/>
                          <w:sz w:val="18"/>
                          <w:szCs w:val="18"/>
                        </w:rPr>
                      </w:pPr>
                      <w:r w:rsidRPr="00517C0A">
                        <w:rPr>
                          <w:rFonts w:cs="Arial"/>
                          <w:sz w:val="18"/>
                          <w:szCs w:val="18"/>
                        </w:rPr>
                        <w:t>Family Responsibilities Commission (the Commission)</w:t>
                      </w:r>
                    </w:p>
                    <w:p w14:paraId="632CC48B" w14:textId="77777777" w:rsidR="00D37CF2" w:rsidRPr="00517C0A" w:rsidRDefault="00D37CF2"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D37CF2" w:rsidRPr="00517C0A" w:rsidRDefault="00D37CF2"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D37CF2" w:rsidRPr="00517C0A" w:rsidRDefault="00D37CF2"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4A72B349"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w:t>
      </w:r>
      <w:r w:rsidR="00CF398F">
        <w:rPr>
          <w:i/>
          <w:sz w:val="24"/>
          <w:szCs w:val="24"/>
        </w:rPr>
        <w:t xml:space="preserve">0 </w:t>
      </w:r>
      <w:r w:rsidR="00452E54">
        <w:rPr>
          <w:i/>
          <w:sz w:val="24"/>
          <w:szCs w:val="24"/>
        </w:rPr>
        <w:t xml:space="preserve">September </w:t>
      </w:r>
      <w:r w:rsidR="00E53438">
        <w:rPr>
          <w:i/>
          <w:sz w:val="24"/>
          <w:szCs w:val="24"/>
        </w:rPr>
        <w:t>2020</w:t>
      </w:r>
      <w:r w:rsidRPr="00B04486">
        <w:rPr>
          <w:i/>
          <w:sz w:val="24"/>
          <w:szCs w:val="24"/>
        </w:rPr>
        <w:t>.</w:t>
      </w:r>
    </w:p>
    <w:p w14:paraId="3B63D598" w14:textId="77777777" w:rsidR="005A5B78" w:rsidRPr="00942B2C" w:rsidRDefault="005A5B78" w:rsidP="005A5B78">
      <w:pPr>
        <w:pStyle w:val="Heading1"/>
        <w:ind w:left="-142" w:right="-426"/>
      </w:pPr>
      <w:bookmarkStart w:id="1" w:name="_Toc222226581"/>
      <w:bookmarkStart w:id="2" w:name="_Toc304386230"/>
      <w:bookmarkStart w:id="3" w:name="_Toc304386307"/>
      <w:bookmarkStart w:id="4" w:name="_Toc306011180"/>
      <w:bookmarkStart w:id="5" w:name="_Toc39657991"/>
      <w:r>
        <w:t>1.  Activities and</w:t>
      </w:r>
      <w:r w:rsidRPr="00942B2C">
        <w:t xml:space="preserve"> </w:t>
      </w:r>
      <w:bookmarkEnd w:id="1"/>
      <w:bookmarkEnd w:id="2"/>
      <w:bookmarkEnd w:id="3"/>
      <w:bookmarkEnd w:id="4"/>
      <w:r>
        <w:t>Trends</w:t>
      </w:r>
      <w:bookmarkEnd w:id="5"/>
    </w:p>
    <w:p w14:paraId="2BAF545E" w14:textId="77E156F5" w:rsidR="009B2EF1" w:rsidRPr="00E6690B" w:rsidRDefault="009B2EF1" w:rsidP="00E6690B">
      <w:pPr>
        <w:tabs>
          <w:tab w:val="left" w:pos="1134"/>
        </w:tabs>
        <w:ind w:left="-142" w:right="-425"/>
        <w:jc w:val="both"/>
      </w:pPr>
    </w:p>
    <w:p w14:paraId="01840B62" w14:textId="77777777" w:rsidR="00986092" w:rsidRPr="00986092" w:rsidRDefault="00986092" w:rsidP="00986092">
      <w:pPr>
        <w:pStyle w:val="Heading2"/>
      </w:pPr>
      <w:r w:rsidRPr="00986092">
        <w:t>Notices</w:t>
      </w:r>
    </w:p>
    <w:p w14:paraId="41B569DF" w14:textId="09022328"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960C5D">
        <w:rPr>
          <w:rFonts w:cs="Arial"/>
        </w:rPr>
        <w:t>4</w:t>
      </w:r>
      <w:r w:rsidR="00452E54">
        <w:rPr>
          <w:rFonts w:cs="Arial"/>
        </w:rPr>
        <w:t>9</w:t>
      </w:r>
      <w:r w:rsidR="00F73039" w:rsidRPr="00483DC3">
        <w:rPr>
          <w:rFonts w:cs="Arial"/>
        </w:rPr>
        <w:t xml:space="preserve"> </w:t>
      </w:r>
      <w:r w:rsidRPr="00483DC3">
        <w:rPr>
          <w:rFonts w:cs="Arial"/>
        </w:rPr>
        <w:t>the Commission received</w:t>
      </w:r>
      <w:r w:rsidR="00E46AAE" w:rsidRPr="00EF4F64">
        <w:rPr>
          <w:rFonts w:cs="Arial"/>
          <w:bCs/>
        </w:rPr>
        <w:t xml:space="preserve"> </w:t>
      </w:r>
      <w:r w:rsidR="005174DF">
        <w:rPr>
          <w:rFonts w:cs="Arial"/>
        </w:rPr>
        <w:t>2,372</w:t>
      </w:r>
      <w:r w:rsidR="00887ED8" w:rsidRPr="0048342B">
        <w:rPr>
          <w:rFonts w:cs="Arial"/>
        </w:rPr>
        <w:t xml:space="preserve"> </w:t>
      </w:r>
      <w:r w:rsidRPr="0048342B">
        <w:rPr>
          <w:rFonts w:cs="Arial"/>
        </w:rPr>
        <w:t>agency notices</w:t>
      </w:r>
      <w:r w:rsidRPr="00483DC3">
        <w:rPr>
          <w:rFonts w:cs="Arial"/>
          <w:vertAlign w:val="superscript"/>
        </w:rPr>
        <w:footnoteReference w:id="6"/>
      </w:r>
      <w:r w:rsidR="00CE6E33" w:rsidRPr="00483DC3">
        <w:rPr>
          <w:rFonts w:cs="Arial"/>
        </w:rPr>
        <w:t xml:space="preserve">. </w:t>
      </w:r>
      <w:r w:rsidRPr="0020111A">
        <w:rPr>
          <w:rFonts w:cs="Arial"/>
        </w:rPr>
        <w:t>Some individuals may have been the subject of more than one agency notice</w:t>
      </w:r>
      <w:r w:rsidRPr="00483DC3">
        <w:rPr>
          <w:rFonts w:cs="Arial"/>
        </w:rPr>
        <w:t xml:space="preserve">. Of that </w:t>
      </w:r>
      <w:r w:rsidRPr="00DC7EE5">
        <w:rPr>
          <w:rFonts w:cs="Arial"/>
        </w:rPr>
        <w:t xml:space="preserve">figure </w:t>
      </w:r>
      <w:r w:rsidR="005174DF">
        <w:rPr>
          <w:rFonts w:cs="Arial"/>
        </w:rPr>
        <w:t xml:space="preserve">1,181 </w:t>
      </w:r>
      <w:r w:rsidRPr="00483DC3">
        <w:rPr>
          <w:rFonts w:cs="Arial"/>
        </w:rPr>
        <w:t>notices (</w:t>
      </w:r>
      <w:r w:rsidR="009323C1">
        <w:rPr>
          <w:rFonts w:cs="Arial"/>
        </w:rPr>
        <w:t>49.8</w:t>
      </w:r>
      <w:r w:rsidR="00BB3250" w:rsidRPr="00483DC3">
        <w:rPr>
          <w:rFonts w:cs="Arial"/>
        </w:rPr>
        <w:t xml:space="preserve"> </w:t>
      </w:r>
      <w:r w:rsidRPr="00483DC3">
        <w:rPr>
          <w:rFonts w:cs="Arial"/>
        </w:rPr>
        <w:t>percent)</w:t>
      </w:r>
      <w:r w:rsidR="00F257B3">
        <w:rPr>
          <w:rFonts w:cs="Arial"/>
        </w:rPr>
        <w:t xml:space="preserve"> relating to </w:t>
      </w:r>
      <w:r w:rsidR="00AE6592">
        <w:rPr>
          <w:rFonts w:cs="Arial"/>
        </w:rPr>
        <w:t xml:space="preserve">622 </w:t>
      </w:r>
      <w:r w:rsidR="00F257B3">
        <w:rPr>
          <w:rFonts w:cs="Arial"/>
        </w:rPr>
        <w:t>clients</w:t>
      </w:r>
      <w:r w:rsidR="00526AA6">
        <w:rPr>
          <w:rFonts w:cs="Arial"/>
        </w:rPr>
        <w:t xml:space="preserve"> </w:t>
      </w:r>
      <w:r w:rsidRPr="00483DC3">
        <w:rPr>
          <w:rFonts w:cs="Arial"/>
        </w:rPr>
        <w:t>were within the Commission’s jurisdiction</w:t>
      </w:r>
      <w:r w:rsidR="005A2DE3">
        <w:rPr>
          <w:rFonts w:cs="Arial"/>
        </w:rPr>
        <w:t>,</w:t>
      </w:r>
      <w:r w:rsidRPr="00483DC3">
        <w:rPr>
          <w:rFonts w:cs="Arial"/>
        </w:rPr>
        <w:t xml:space="preserve"> and </w:t>
      </w:r>
      <w:r w:rsidR="005174DF">
        <w:rPr>
          <w:rFonts w:cs="Arial"/>
        </w:rPr>
        <w:t>1,191</w:t>
      </w:r>
      <w:r w:rsidR="005174DF" w:rsidRPr="00483DC3">
        <w:rPr>
          <w:rFonts w:cs="Arial"/>
        </w:rPr>
        <w:t xml:space="preserve"> </w:t>
      </w:r>
      <w:r w:rsidRPr="00483DC3">
        <w:rPr>
          <w:rFonts w:cs="Arial"/>
        </w:rPr>
        <w:t>notices (</w:t>
      </w:r>
      <w:r w:rsidR="009323C1">
        <w:rPr>
          <w:rFonts w:cs="Arial"/>
        </w:rPr>
        <w:t>50.2</w:t>
      </w:r>
      <w:r w:rsidR="009323C1" w:rsidRPr="00483DC3">
        <w:rPr>
          <w:rFonts w:cs="Arial"/>
        </w:rPr>
        <w:t xml:space="preserve"> </w:t>
      </w:r>
      <w:r w:rsidRPr="00483DC3">
        <w:rPr>
          <w:rFonts w:cs="Arial"/>
        </w:rPr>
        <w:t>percent) were outside the Commission’s jurisdiction.</w:t>
      </w:r>
    </w:p>
    <w:p w14:paraId="2CBC4CEC" w14:textId="77777777" w:rsidR="001C67F7" w:rsidRPr="00DA470C" w:rsidRDefault="001C67F7" w:rsidP="005A5B78">
      <w:pPr>
        <w:tabs>
          <w:tab w:val="left" w:pos="1134"/>
        </w:tabs>
        <w:ind w:left="-142" w:right="-425"/>
        <w:jc w:val="both"/>
      </w:pPr>
    </w:p>
    <w:p w14:paraId="363A2C28" w14:textId="494E484C" w:rsidR="005A5B78" w:rsidRDefault="00C7128D" w:rsidP="00C7128D">
      <w:pPr>
        <w:spacing w:after="120" w:line="240" w:lineRule="auto"/>
        <w:ind w:right="-425"/>
        <w:rPr>
          <w:rFonts w:cs="Arial"/>
          <w:b/>
        </w:rPr>
      </w:pPr>
      <w:r>
        <w:rPr>
          <w:b/>
          <w:sz w:val="16"/>
          <w:szCs w:val="16"/>
        </w:rPr>
        <w:t xml:space="preserve">Table </w:t>
      </w:r>
      <w:r w:rsidR="000742F0">
        <w:rPr>
          <w:b/>
          <w:sz w:val="16"/>
          <w:szCs w:val="16"/>
        </w:rPr>
        <w:t>2</w:t>
      </w:r>
      <w:r w:rsidRPr="00012B69">
        <w:rPr>
          <w:b/>
          <w:sz w:val="16"/>
          <w:szCs w:val="16"/>
        </w:rPr>
        <w:t>:</w:t>
      </w:r>
      <w:r w:rsidRPr="00012B69">
        <w:rPr>
          <w:sz w:val="16"/>
          <w:szCs w:val="16"/>
        </w:rPr>
        <w:t xml:space="preserve"> </w:t>
      </w:r>
      <w:r>
        <w:rPr>
          <w:sz w:val="16"/>
          <w:szCs w:val="16"/>
        </w:rPr>
        <w:t xml:space="preserve">In jurisdiction notices by type and community 1 </w:t>
      </w:r>
      <w:r w:rsidR="00452E54">
        <w:rPr>
          <w:sz w:val="16"/>
          <w:szCs w:val="16"/>
        </w:rPr>
        <w:t xml:space="preserve">July </w:t>
      </w:r>
      <w:r w:rsidR="00111F45">
        <w:rPr>
          <w:sz w:val="16"/>
          <w:szCs w:val="16"/>
        </w:rPr>
        <w:t>2020</w:t>
      </w:r>
      <w:r w:rsidR="00A41820">
        <w:rPr>
          <w:sz w:val="16"/>
          <w:szCs w:val="16"/>
        </w:rPr>
        <w:t xml:space="preserve"> to 3</w:t>
      </w:r>
      <w:r w:rsidR="001220C6">
        <w:rPr>
          <w:sz w:val="16"/>
          <w:szCs w:val="16"/>
        </w:rPr>
        <w:t xml:space="preserve">0 </w:t>
      </w:r>
      <w:r w:rsidR="00452E54">
        <w:rPr>
          <w:sz w:val="16"/>
          <w:szCs w:val="16"/>
        </w:rPr>
        <w:t xml:space="preserve">September </w:t>
      </w:r>
      <w:r w:rsidR="00111F45">
        <w:rPr>
          <w:sz w:val="16"/>
          <w:szCs w:val="16"/>
        </w:rPr>
        <w:t>2020</w:t>
      </w:r>
      <w:r w:rsidR="00A41820">
        <w:rPr>
          <w:sz w:val="16"/>
          <w:szCs w:val="16"/>
        </w:rPr>
        <w:t>.</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D31356">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7"/>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D763A1" w:rsidRPr="00650B45" w14:paraId="34AFEA3C"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D763A1" w:rsidRPr="005E0531" w:rsidRDefault="00D763A1" w:rsidP="00D763A1">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3EF60C4F" w:rsidR="00D763A1" w:rsidRPr="005E0531" w:rsidRDefault="00D763A1" w:rsidP="00D763A1">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0042FA7C" w:rsidR="00D763A1" w:rsidRPr="005E0531" w:rsidRDefault="00D763A1" w:rsidP="00D763A1">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24901AF9" w:rsidR="00D763A1" w:rsidRPr="005E0531" w:rsidRDefault="00D763A1" w:rsidP="00D763A1">
            <w:pPr>
              <w:spacing w:line="240" w:lineRule="auto"/>
              <w:jc w:val="right"/>
              <w:rPr>
                <w:rFonts w:cs="Arial"/>
              </w:rPr>
            </w:pPr>
            <w:r>
              <w:rPr>
                <w:rFonts w:cs="Arial"/>
              </w:rPr>
              <w:t>-</w:t>
            </w:r>
          </w:p>
        </w:tc>
        <w:tc>
          <w:tcPr>
            <w:tcW w:w="643" w:type="dxa"/>
            <w:tcBorders>
              <w:top w:val="single" w:sz="4" w:space="0" w:color="auto"/>
              <w:left w:val="nil"/>
              <w:bottom w:val="single" w:sz="4" w:space="0" w:color="auto"/>
              <w:right w:val="single" w:sz="4" w:space="0" w:color="auto"/>
            </w:tcBorders>
            <w:vAlign w:val="center"/>
          </w:tcPr>
          <w:p w14:paraId="0C4DF6A7" w14:textId="47679794" w:rsidR="00D763A1" w:rsidRPr="005E0531" w:rsidRDefault="00D763A1" w:rsidP="00D763A1">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6C2ED7D0" w:rsidR="00D763A1" w:rsidRPr="005E0531" w:rsidRDefault="00D763A1" w:rsidP="00D763A1">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5C1A389A" w:rsidR="00D763A1" w:rsidRDefault="00D763A1" w:rsidP="00D763A1">
            <w:pPr>
              <w:spacing w:line="240" w:lineRule="auto"/>
              <w:jc w:val="right"/>
              <w:rPr>
                <w:rFonts w:cs="Arial"/>
                <w:b/>
                <w:bCs/>
                <w:lang w:eastAsia="en-AU"/>
              </w:rPr>
            </w:pPr>
            <w:r>
              <w:rPr>
                <w:rFonts w:cs="Arial"/>
                <w:b/>
                <w:bCs/>
              </w:rPr>
              <w:t>0</w:t>
            </w:r>
          </w:p>
        </w:tc>
      </w:tr>
      <w:tr w:rsidR="00D763A1" w:rsidRPr="00650B45" w14:paraId="440532E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D763A1" w:rsidRPr="0040594D" w:rsidRDefault="00D763A1" w:rsidP="00D763A1">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74FA5777" w:rsidR="00D763A1" w:rsidRPr="0040594D" w:rsidRDefault="00D763A1" w:rsidP="00D763A1">
            <w:pPr>
              <w:spacing w:line="240" w:lineRule="auto"/>
              <w:jc w:val="right"/>
              <w:rPr>
                <w:rFonts w:cs="Arial"/>
                <w:lang w:eastAsia="en-AU"/>
              </w:rPr>
            </w:pPr>
            <w:r>
              <w:rPr>
                <w:rFonts w:cs="Arial"/>
              </w:rPr>
              <w:t>11</w:t>
            </w:r>
          </w:p>
        </w:tc>
        <w:tc>
          <w:tcPr>
            <w:tcW w:w="850" w:type="dxa"/>
            <w:tcBorders>
              <w:top w:val="nil"/>
              <w:left w:val="nil"/>
              <w:bottom w:val="single" w:sz="4" w:space="0" w:color="auto"/>
              <w:right w:val="single" w:sz="4" w:space="0" w:color="auto"/>
            </w:tcBorders>
            <w:shd w:val="clear" w:color="auto" w:fill="auto"/>
            <w:vAlign w:val="center"/>
          </w:tcPr>
          <w:p w14:paraId="2545D481" w14:textId="42FA632C" w:rsidR="00D763A1" w:rsidRPr="0040594D" w:rsidRDefault="00D763A1" w:rsidP="00D763A1">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1ABB5B0A" w:rsidR="00D763A1" w:rsidRDefault="00D763A1" w:rsidP="00D763A1">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34CB5F06" w14:textId="20A0501F" w:rsidR="00D763A1" w:rsidRDefault="00D763A1" w:rsidP="00D763A1">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412E85A9" w:rsidR="00D763A1" w:rsidRDefault="00D763A1" w:rsidP="00D763A1">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30CA7A6A" w:rsidR="00D763A1" w:rsidRPr="00557E24" w:rsidRDefault="00D763A1" w:rsidP="00D763A1">
            <w:pPr>
              <w:spacing w:line="240" w:lineRule="auto"/>
              <w:jc w:val="right"/>
              <w:rPr>
                <w:rFonts w:cs="Arial"/>
                <w:b/>
                <w:lang w:eastAsia="en-AU"/>
              </w:rPr>
            </w:pPr>
            <w:r>
              <w:rPr>
                <w:rFonts w:cs="Arial"/>
                <w:b/>
                <w:bCs/>
              </w:rPr>
              <w:t>11</w:t>
            </w:r>
          </w:p>
        </w:tc>
      </w:tr>
      <w:tr w:rsidR="00D763A1" w:rsidRPr="00650B45" w14:paraId="606D952D"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D763A1" w:rsidRDefault="00D763A1" w:rsidP="00D763A1">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62C6FC10" w:rsidR="00D763A1" w:rsidRPr="0040594D" w:rsidRDefault="00D763A1" w:rsidP="00D763A1">
            <w:pPr>
              <w:spacing w:line="240" w:lineRule="auto"/>
              <w:jc w:val="right"/>
              <w:rPr>
                <w:rFonts w:cs="Arial"/>
                <w:lang w:eastAsia="en-AU"/>
              </w:rPr>
            </w:pPr>
            <w:r>
              <w:rPr>
                <w:rFonts w:cs="Arial"/>
              </w:rPr>
              <w:t>179</w:t>
            </w:r>
          </w:p>
        </w:tc>
        <w:tc>
          <w:tcPr>
            <w:tcW w:w="850" w:type="dxa"/>
            <w:tcBorders>
              <w:top w:val="nil"/>
              <w:left w:val="nil"/>
              <w:bottom w:val="single" w:sz="4" w:space="0" w:color="auto"/>
              <w:right w:val="single" w:sz="4" w:space="0" w:color="auto"/>
            </w:tcBorders>
            <w:shd w:val="clear" w:color="auto" w:fill="auto"/>
            <w:vAlign w:val="center"/>
          </w:tcPr>
          <w:p w14:paraId="42DE6DE7" w14:textId="06C0DD90" w:rsidR="00D763A1" w:rsidRDefault="00D763A1" w:rsidP="00D763A1">
            <w:pPr>
              <w:spacing w:line="240" w:lineRule="auto"/>
              <w:jc w:val="right"/>
              <w:rPr>
                <w:rFonts w:cs="Arial"/>
                <w:lang w:eastAsia="en-AU"/>
              </w:rPr>
            </w:pPr>
            <w:r>
              <w:rPr>
                <w:rFonts w:cs="Arial"/>
              </w:rPr>
              <w:t>20</w:t>
            </w:r>
          </w:p>
        </w:tc>
        <w:tc>
          <w:tcPr>
            <w:tcW w:w="779" w:type="dxa"/>
            <w:tcBorders>
              <w:top w:val="nil"/>
              <w:left w:val="nil"/>
              <w:bottom w:val="single" w:sz="4" w:space="0" w:color="auto"/>
              <w:right w:val="single" w:sz="4" w:space="0" w:color="auto"/>
            </w:tcBorders>
            <w:vAlign w:val="center"/>
          </w:tcPr>
          <w:p w14:paraId="6A2B0F8E" w14:textId="3000986F" w:rsidR="00D763A1" w:rsidRDefault="00D763A1" w:rsidP="00D763A1">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1100B639" w14:textId="21E499DE" w:rsidR="00D763A1" w:rsidRDefault="00D763A1" w:rsidP="00D763A1">
            <w:pPr>
              <w:spacing w:line="240" w:lineRule="auto"/>
              <w:jc w:val="right"/>
              <w:rPr>
                <w:rFonts w:cs="Arial"/>
                <w:lang w:eastAsia="en-AU"/>
              </w:rPr>
            </w:pPr>
            <w:r>
              <w:rPr>
                <w:rFonts w:cs="Arial"/>
              </w:rPr>
              <w:t>73</w:t>
            </w:r>
          </w:p>
        </w:tc>
        <w:tc>
          <w:tcPr>
            <w:tcW w:w="706" w:type="dxa"/>
            <w:tcBorders>
              <w:top w:val="nil"/>
              <w:left w:val="nil"/>
              <w:bottom w:val="single" w:sz="4" w:space="0" w:color="auto"/>
              <w:right w:val="single" w:sz="4" w:space="0" w:color="auto"/>
            </w:tcBorders>
            <w:vAlign w:val="center"/>
          </w:tcPr>
          <w:p w14:paraId="635B50F1" w14:textId="59EF8E52" w:rsidR="00D763A1" w:rsidRDefault="00D763A1" w:rsidP="00D763A1">
            <w:pPr>
              <w:spacing w:line="240" w:lineRule="auto"/>
              <w:jc w:val="right"/>
              <w:rPr>
                <w:rFonts w:cs="Arial"/>
                <w:lang w:eastAsia="en-AU"/>
              </w:rPr>
            </w:pPr>
            <w:r>
              <w:rPr>
                <w:rFonts w:cs="Arial"/>
              </w:rPr>
              <w:t>20</w:t>
            </w:r>
          </w:p>
        </w:tc>
        <w:tc>
          <w:tcPr>
            <w:tcW w:w="849" w:type="dxa"/>
            <w:tcBorders>
              <w:top w:val="nil"/>
              <w:left w:val="nil"/>
              <w:bottom w:val="single" w:sz="4" w:space="0" w:color="auto"/>
              <w:right w:val="single" w:sz="4" w:space="0" w:color="auto"/>
            </w:tcBorders>
            <w:vAlign w:val="center"/>
          </w:tcPr>
          <w:p w14:paraId="413D1C25" w14:textId="5633D43A" w:rsidR="00D763A1" w:rsidRPr="00557E24" w:rsidRDefault="00D763A1" w:rsidP="00D763A1">
            <w:pPr>
              <w:spacing w:line="240" w:lineRule="auto"/>
              <w:jc w:val="right"/>
              <w:rPr>
                <w:rFonts w:cs="Arial"/>
                <w:b/>
                <w:lang w:eastAsia="en-AU"/>
              </w:rPr>
            </w:pPr>
            <w:r>
              <w:rPr>
                <w:rFonts w:cs="Arial"/>
                <w:b/>
                <w:bCs/>
              </w:rPr>
              <w:t>292</w:t>
            </w:r>
          </w:p>
        </w:tc>
      </w:tr>
      <w:tr w:rsidR="00D763A1" w:rsidRPr="00650B45" w14:paraId="326E9032"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D763A1" w:rsidRDefault="00D763A1" w:rsidP="00D763A1">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1D619940" w:rsidR="00D763A1" w:rsidRPr="0040594D" w:rsidRDefault="00D763A1" w:rsidP="00D763A1">
            <w:pPr>
              <w:spacing w:line="240" w:lineRule="auto"/>
              <w:jc w:val="right"/>
              <w:rPr>
                <w:rFonts w:cs="Arial"/>
                <w:lang w:eastAsia="en-AU"/>
              </w:rPr>
            </w:pPr>
            <w:r>
              <w:rPr>
                <w:rFonts w:cs="Arial"/>
              </w:rPr>
              <w:t>5</w:t>
            </w:r>
          </w:p>
        </w:tc>
        <w:tc>
          <w:tcPr>
            <w:tcW w:w="850" w:type="dxa"/>
            <w:tcBorders>
              <w:top w:val="nil"/>
              <w:left w:val="nil"/>
              <w:bottom w:val="single" w:sz="4" w:space="0" w:color="auto"/>
              <w:right w:val="single" w:sz="4" w:space="0" w:color="auto"/>
            </w:tcBorders>
            <w:shd w:val="clear" w:color="auto" w:fill="auto"/>
            <w:vAlign w:val="center"/>
          </w:tcPr>
          <w:p w14:paraId="1BA99C8E" w14:textId="44410078" w:rsidR="00D763A1" w:rsidRDefault="00D763A1" w:rsidP="00D763A1">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54E7A1AA" w14:textId="0CBBDBBB" w:rsidR="00D763A1" w:rsidRDefault="00D763A1" w:rsidP="00D763A1">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5531EBCB" w14:textId="1DE94A23" w:rsidR="00D763A1" w:rsidRDefault="00D763A1" w:rsidP="00D763A1">
            <w:pPr>
              <w:spacing w:line="240" w:lineRule="auto"/>
              <w:jc w:val="right"/>
              <w:rPr>
                <w:rFonts w:cs="Arial"/>
                <w:lang w:eastAsia="en-AU"/>
              </w:rPr>
            </w:pPr>
            <w:r>
              <w:rPr>
                <w:rFonts w:cs="Arial"/>
              </w:rPr>
              <w:t>7</w:t>
            </w:r>
          </w:p>
        </w:tc>
        <w:tc>
          <w:tcPr>
            <w:tcW w:w="706" w:type="dxa"/>
            <w:tcBorders>
              <w:top w:val="nil"/>
              <w:left w:val="nil"/>
              <w:bottom w:val="single" w:sz="4" w:space="0" w:color="auto"/>
              <w:right w:val="single" w:sz="4" w:space="0" w:color="auto"/>
            </w:tcBorders>
            <w:vAlign w:val="center"/>
          </w:tcPr>
          <w:p w14:paraId="772FC04E" w14:textId="19CDD2D8" w:rsidR="00D763A1" w:rsidRDefault="00D763A1" w:rsidP="00D763A1">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DF1704F" w14:textId="081E6FCE" w:rsidR="00D763A1" w:rsidRPr="00557E24" w:rsidRDefault="00D763A1" w:rsidP="00D763A1">
            <w:pPr>
              <w:spacing w:line="240" w:lineRule="auto"/>
              <w:jc w:val="right"/>
              <w:rPr>
                <w:rFonts w:cs="Arial"/>
                <w:b/>
                <w:lang w:eastAsia="en-AU"/>
              </w:rPr>
            </w:pPr>
            <w:r>
              <w:rPr>
                <w:rFonts w:cs="Arial"/>
                <w:b/>
                <w:bCs/>
              </w:rPr>
              <w:t>14</w:t>
            </w:r>
          </w:p>
        </w:tc>
      </w:tr>
      <w:tr w:rsidR="00D763A1" w:rsidRPr="00650B45" w14:paraId="4D04E998"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D763A1" w:rsidRDefault="00D763A1" w:rsidP="00D763A1">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12B3E251" w:rsidR="00D763A1" w:rsidRPr="0040594D" w:rsidRDefault="00D763A1" w:rsidP="00D763A1">
            <w:pPr>
              <w:spacing w:line="240" w:lineRule="auto"/>
              <w:jc w:val="right"/>
              <w:rPr>
                <w:rFonts w:cs="Arial"/>
                <w:lang w:eastAsia="en-AU"/>
              </w:rPr>
            </w:pPr>
            <w:r>
              <w:rPr>
                <w:rFonts w:cs="Arial"/>
              </w:rPr>
              <w:t>45</w:t>
            </w:r>
          </w:p>
        </w:tc>
        <w:tc>
          <w:tcPr>
            <w:tcW w:w="850" w:type="dxa"/>
            <w:tcBorders>
              <w:top w:val="nil"/>
              <w:left w:val="nil"/>
              <w:bottom w:val="single" w:sz="4" w:space="0" w:color="auto"/>
              <w:right w:val="single" w:sz="4" w:space="0" w:color="auto"/>
            </w:tcBorders>
            <w:shd w:val="clear" w:color="auto" w:fill="auto"/>
            <w:vAlign w:val="center"/>
          </w:tcPr>
          <w:p w14:paraId="375C9925" w14:textId="19FE04E9" w:rsidR="00D763A1" w:rsidRDefault="00D763A1" w:rsidP="00D763A1">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center"/>
          </w:tcPr>
          <w:p w14:paraId="766C043E" w14:textId="410F1D0F" w:rsidR="00D763A1" w:rsidRDefault="00D763A1" w:rsidP="00D763A1">
            <w:pPr>
              <w:spacing w:line="240" w:lineRule="auto"/>
              <w:jc w:val="right"/>
              <w:rPr>
                <w:rFonts w:cs="Arial"/>
                <w:lang w:eastAsia="en-AU"/>
              </w:rPr>
            </w:pPr>
            <w:r>
              <w:rPr>
                <w:rFonts w:cs="Arial"/>
              </w:rPr>
              <w:t>-</w:t>
            </w:r>
          </w:p>
        </w:tc>
        <w:tc>
          <w:tcPr>
            <w:tcW w:w="643" w:type="dxa"/>
            <w:tcBorders>
              <w:top w:val="nil"/>
              <w:left w:val="nil"/>
              <w:bottom w:val="single" w:sz="4" w:space="0" w:color="auto"/>
              <w:right w:val="single" w:sz="4" w:space="0" w:color="auto"/>
            </w:tcBorders>
            <w:vAlign w:val="center"/>
          </w:tcPr>
          <w:p w14:paraId="28EBBCA1" w14:textId="7BDAAE0C" w:rsidR="00D763A1" w:rsidRDefault="00D763A1" w:rsidP="00D763A1">
            <w:pPr>
              <w:spacing w:line="240" w:lineRule="auto"/>
              <w:jc w:val="right"/>
              <w:rPr>
                <w:rFonts w:cs="Arial"/>
                <w:lang w:eastAsia="en-AU"/>
              </w:rPr>
            </w:pPr>
            <w:r>
              <w:rPr>
                <w:rFonts w:cs="Arial"/>
              </w:rPr>
              <w:t>12</w:t>
            </w:r>
          </w:p>
        </w:tc>
        <w:tc>
          <w:tcPr>
            <w:tcW w:w="706" w:type="dxa"/>
            <w:tcBorders>
              <w:top w:val="nil"/>
              <w:left w:val="nil"/>
              <w:bottom w:val="single" w:sz="4" w:space="0" w:color="auto"/>
              <w:right w:val="single" w:sz="4" w:space="0" w:color="auto"/>
            </w:tcBorders>
            <w:vAlign w:val="center"/>
          </w:tcPr>
          <w:p w14:paraId="76B03AEF" w14:textId="0F540E41" w:rsidR="00D763A1" w:rsidRDefault="00D763A1" w:rsidP="00D763A1">
            <w:pPr>
              <w:spacing w:line="240" w:lineRule="auto"/>
              <w:jc w:val="right"/>
              <w:rPr>
                <w:rFonts w:cs="Arial"/>
                <w:lang w:eastAsia="en-AU"/>
              </w:rPr>
            </w:pPr>
            <w:r>
              <w:rPr>
                <w:rFonts w:cs="Arial"/>
              </w:rPr>
              <w:t>4</w:t>
            </w:r>
          </w:p>
        </w:tc>
        <w:tc>
          <w:tcPr>
            <w:tcW w:w="849" w:type="dxa"/>
            <w:tcBorders>
              <w:top w:val="nil"/>
              <w:left w:val="nil"/>
              <w:bottom w:val="single" w:sz="4" w:space="0" w:color="auto"/>
              <w:right w:val="single" w:sz="4" w:space="0" w:color="auto"/>
            </w:tcBorders>
            <w:vAlign w:val="center"/>
          </w:tcPr>
          <w:p w14:paraId="61D1E9D8" w14:textId="26B38BE3" w:rsidR="00D763A1" w:rsidRPr="00557E24" w:rsidRDefault="00D763A1" w:rsidP="00D763A1">
            <w:pPr>
              <w:spacing w:line="240" w:lineRule="auto"/>
              <w:jc w:val="right"/>
              <w:rPr>
                <w:rFonts w:cs="Arial"/>
                <w:b/>
                <w:lang w:eastAsia="en-AU"/>
              </w:rPr>
            </w:pPr>
            <w:r>
              <w:rPr>
                <w:rFonts w:cs="Arial"/>
                <w:b/>
                <w:bCs/>
              </w:rPr>
              <w:t>68</w:t>
            </w:r>
          </w:p>
        </w:tc>
      </w:tr>
      <w:tr w:rsidR="00D763A1" w:rsidRPr="00650B45" w14:paraId="725BA5E1"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D763A1" w:rsidRPr="0040594D" w:rsidRDefault="00D763A1" w:rsidP="00D763A1">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510A46C0" w:rsidR="00D763A1" w:rsidRPr="0040594D" w:rsidRDefault="00D763A1" w:rsidP="00D763A1">
            <w:pPr>
              <w:spacing w:line="240" w:lineRule="auto"/>
              <w:jc w:val="right"/>
              <w:rPr>
                <w:rFonts w:cs="Arial"/>
                <w:lang w:eastAsia="en-AU"/>
              </w:rPr>
            </w:pPr>
            <w:r>
              <w:rPr>
                <w:rFonts w:cs="Arial"/>
              </w:rPr>
              <w:t>200</w:t>
            </w:r>
          </w:p>
        </w:tc>
        <w:tc>
          <w:tcPr>
            <w:tcW w:w="850" w:type="dxa"/>
            <w:tcBorders>
              <w:top w:val="nil"/>
              <w:left w:val="nil"/>
              <w:bottom w:val="single" w:sz="4" w:space="0" w:color="auto"/>
              <w:right w:val="single" w:sz="4" w:space="0" w:color="auto"/>
            </w:tcBorders>
            <w:shd w:val="clear" w:color="auto" w:fill="auto"/>
            <w:vAlign w:val="center"/>
          </w:tcPr>
          <w:p w14:paraId="5D2BA765" w14:textId="124911F0" w:rsidR="00D763A1" w:rsidRPr="0040594D" w:rsidRDefault="00D763A1" w:rsidP="00D763A1">
            <w:pPr>
              <w:spacing w:line="240" w:lineRule="auto"/>
              <w:jc w:val="right"/>
              <w:rPr>
                <w:rFonts w:cs="Arial"/>
                <w:lang w:eastAsia="en-AU"/>
              </w:rPr>
            </w:pPr>
            <w:r>
              <w:rPr>
                <w:rFonts w:cs="Arial"/>
              </w:rPr>
              <w:t>32</w:t>
            </w:r>
          </w:p>
        </w:tc>
        <w:tc>
          <w:tcPr>
            <w:tcW w:w="779" w:type="dxa"/>
            <w:tcBorders>
              <w:top w:val="nil"/>
              <w:left w:val="nil"/>
              <w:bottom w:val="single" w:sz="4" w:space="0" w:color="auto"/>
              <w:right w:val="single" w:sz="4" w:space="0" w:color="auto"/>
            </w:tcBorders>
            <w:vAlign w:val="center"/>
          </w:tcPr>
          <w:p w14:paraId="6EC1BDB5" w14:textId="1841E407" w:rsidR="00D763A1" w:rsidRDefault="00D763A1" w:rsidP="00D763A1">
            <w:pPr>
              <w:spacing w:line="240" w:lineRule="auto"/>
              <w:jc w:val="right"/>
              <w:rPr>
                <w:rFonts w:cs="Arial"/>
                <w:lang w:eastAsia="en-AU"/>
              </w:rPr>
            </w:pPr>
            <w:r>
              <w:rPr>
                <w:rFonts w:cs="Arial"/>
              </w:rPr>
              <w:t>334</w:t>
            </w:r>
          </w:p>
        </w:tc>
        <w:tc>
          <w:tcPr>
            <w:tcW w:w="643" w:type="dxa"/>
            <w:tcBorders>
              <w:top w:val="nil"/>
              <w:left w:val="nil"/>
              <w:bottom w:val="single" w:sz="4" w:space="0" w:color="auto"/>
              <w:right w:val="single" w:sz="4" w:space="0" w:color="auto"/>
            </w:tcBorders>
            <w:vAlign w:val="center"/>
          </w:tcPr>
          <w:p w14:paraId="1997B7CD" w14:textId="32D5B118" w:rsidR="00D763A1" w:rsidRDefault="00D763A1" w:rsidP="00D763A1">
            <w:pPr>
              <w:spacing w:line="240" w:lineRule="auto"/>
              <w:jc w:val="right"/>
              <w:rPr>
                <w:rFonts w:cs="Arial"/>
                <w:lang w:eastAsia="en-AU"/>
              </w:rPr>
            </w:pPr>
            <w:r>
              <w:rPr>
                <w:rFonts w:cs="Arial"/>
              </w:rPr>
              <w:t>137</w:t>
            </w:r>
          </w:p>
        </w:tc>
        <w:tc>
          <w:tcPr>
            <w:tcW w:w="706" w:type="dxa"/>
            <w:tcBorders>
              <w:top w:val="nil"/>
              <w:left w:val="nil"/>
              <w:bottom w:val="single" w:sz="4" w:space="0" w:color="auto"/>
              <w:right w:val="single" w:sz="4" w:space="0" w:color="auto"/>
            </w:tcBorders>
            <w:vAlign w:val="center"/>
          </w:tcPr>
          <w:p w14:paraId="6C72EE70" w14:textId="4AF7A34F" w:rsidR="00D763A1" w:rsidRDefault="00D763A1" w:rsidP="00D763A1">
            <w:pPr>
              <w:spacing w:line="240" w:lineRule="auto"/>
              <w:jc w:val="right"/>
              <w:rPr>
                <w:rFonts w:cs="Arial"/>
                <w:lang w:eastAsia="en-AU"/>
              </w:rPr>
            </w:pPr>
            <w:r>
              <w:rPr>
                <w:rFonts w:cs="Arial"/>
              </w:rPr>
              <w:t>20</w:t>
            </w:r>
          </w:p>
        </w:tc>
        <w:tc>
          <w:tcPr>
            <w:tcW w:w="849" w:type="dxa"/>
            <w:tcBorders>
              <w:top w:val="nil"/>
              <w:left w:val="nil"/>
              <w:bottom w:val="single" w:sz="4" w:space="0" w:color="auto"/>
              <w:right w:val="single" w:sz="4" w:space="0" w:color="auto"/>
            </w:tcBorders>
            <w:vAlign w:val="center"/>
          </w:tcPr>
          <w:p w14:paraId="10323D05" w14:textId="1940F361" w:rsidR="00D763A1" w:rsidRPr="00557E24" w:rsidRDefault="00D763A1" w:rsidP="00D763A1">
            <w:pPr>
              <w:spacing w:line="240" w:lineRule="auto"/>
              <w:jc w:val="right"/>
              <w:rPr>
                <w:rFonts w:cs="Arial"/>
                <w:b/>
                <w:lang w:eastAsia="en-AU"/>
              </w:rPr>
            </w:pPr>
            <w:r>
              <w:rPr>
                <w:rFonts w:cs="Arial"/>
                <w:b/>
                <w:bCs/>
              </w:rPr>
              <w:t>723</w:t>
            </w:r>
          </w:p>
        </w:tc>
      </w:tr>
      <w:tr w:rsidR="00D763A1" w:rsidRPr="00650B45" w14:paraId="427883C4"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D763A1" w:rsidRPr="0040594D" w:rsidRDefault="00D763A1" w:rsidP="00D763A1">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6BC5965E" w:rsidR="00D763A1" w:rsidRPr="0040594D" w:rsidRDefault="00D763A1" w:rsidP="00D763A1">
            <w:pPr>
              <w:spacing w:line="240" w:lineRule="auto"/>
              <w:jc w:val="right"/>
              <w:rPr>
                <w:rFonts w:cs="Arial"/>
                <w:lang w:eastAsia="en-AU"/>
              </w:rPr>
            </w:pPr>
            <w:r>
              <w:rPr>
                <w:rFonts w:cs="Arial"/>
              </w:rPr>
              <w:t>1</w:t>
            </w:r>
          </w:p>
        </w:tc>
        <w:tc>
          <w:tcPr>
            <w:tcW w:w="850" w:type="dxa"/>
            <w:tcBorders>
              <w:top w:val="nil"/>
              <w:left w:val="nil"/>
              <w:bottom w:val="single" w:sz="4" w:space="0" w:color="auto"/>
              <w:right w:val="single" w:sz="4" w:space="0" w:color="auto"/>
            </w:tcBorders>
            <w:shd w:val="clear" w:color="auto" w:fill="auto"/>
            <w:vAlign w:val="center"/>
          </w:tcPr>
          <w:p w14:paraId="2010BAC3" w14:textId="162694F4" w:rsidR="00D763A1" w:rsidRPr="0040594D" w:rsidRDefault="00D763A1" w:rsidP="00D763A1">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612D1168" w:rsidR="00D763A1" w:rsidRDefault="00D763A1" w:rsidP="00D763A1">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1901A889" w:rsidR="00D763A1" w:rsidRDefault="00D763A1" w:rsidP="00D763A1">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center"/>
          </w:tcPr>
          <w:p w14:paraId="30E7D1DC" w14:textId="6FAB5CDE" w:rsidR="00D763A1" w:rsidRDefault="00D763A1" w:rsidP="00D763A1">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486AC0F0" w14:textId="1C16AD55" w:rsidR="00D763A1" w:rsidRPr="00557E24" w:rsidRDefault="00D763A1" w:rsidP="00D763A1">
            <w:pPr>
              <w:spacing w:line="240" w:lineRule="auto"/>
              <w:jc w:val="right"/>
              <w:rPr>
                <w:rFonts w:cs="Arial"/>
                <w:b/>
                <w:lang w:eastAsia="en-AU"/>
              </w:rPr>
            </w:pPr>
            <w:r>
              <w:rPr>
                <w:rFonts w:cs="Arial"/>
                <w:b/>
                <w:bCs/>
              </w:rPr>
              <w:t>3</w:t>
            </w:r>
          </w:p>
        </w:tc>
      </w:tr>
      <w:tr w:rsidR="00D763A1" w:rsidRPr="00650B45" w14:paraId="626FFFAF"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D763A1" w:rsidRPr="00371BE2" w:rsidRDefault="00D763A1" w:rsidP="00D763A1">
            <w:pPr>
              <w:spacing w:line="240" w:lineRule="auto"/>
              <w:rPr>
                <w:rFonts w:cs="Arial"/>
                <w:lang w:eastAsia="en-AU"/>
              </w:rPr>
            </w:pPr>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3A710A4D" w:rsidR="00D763A1" w:rsidRPr="0040594D" w:rsidRDefault="00D763A1" w:rsidP="00D763A1">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1DA504EA" w:rsidR="00D763A1" w:rsidRPr="0040594D" w:rsidRDefault="00D763A1" w:rsidP="00D763A1">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5EBA4FC9" w:rsidR="00D763A1" w:rsidRDefault="00D763A1" w:rsidP="00D763A1">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2C93B680" w:rsidR="00D763A1" w:rsidRDefault="00D763A1" w:rsidP="00D763A1">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CD163B" w:rsidR="00D763A1" w:rsidRDefault="00D763A1" w:rsidP="00D763A1">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0BDAA516" w:rsidR="00D763A1" w:rsidRPr="00557E24" w:rsidRDefault="00D763A1" w:rsidP="00D763A1">
            <w:pPr>
              <w:spacing w:line="240" w:lineRule="auto"/>
              <w:jc w:val="right"/>
              <w:rPr>
                <w:rFonts w:cs="Arial"/>
                <w:b/>
                <w:lang w:eastAsia="en-AU"/>
              </w:rPr>
            </w:pPr>
          </w:p>
        </w:tc>
      </w:tr>
      <w:tr w:rsidR="009F5A59" w:rsidRPr="00650B45" w14:paraId="1804ED4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9F5A59" w:rsidRPr="00371BE2" w:rsidRDefault="009F5A59" w:rsidP="00D763A1">
            <w:pPr>
              <w:spacing w:line="240" w:lineRule="auto"/>
              <w:rPr>
                <w:rFonts w:cs="Arial"/>
                <w:lang w:eastAsia="en-AU"/>
              </w:rPr>
            </w:pPr>
            <w:r>
              <w:rPr>
                <w:rFonts w:cs="Arial"/>
                <w:lang w:eastAsia="en-AU"/>
              </w:rPr>
              <w:tab/>
              <w:t>Child Concern Report</w:t>
            </w:r>
            <w:r w:rsidR="00D31356">
              <w:rPr>
                <w:rFonts w:cs="Arial"/>
                <w:lang w:eastAsia="en-AU"/>
              </w:rPr>
              <w:t>s</w:t>
            </w:r>
          </w:p>
        </w:tc>
        <w:tc>
          <w:tcPr>
            <w:tcW w:w="851" w:type="dxa"/>
            <w:tcBorders>
              <w:top w:val="nil"/>
              <w:left w:val="nil"/>
              <w:bottom w:val="single" w:sz="4" w:space="0" w:color="auto"/>
              <w:right w:val="single" w:sz="4" w:space="0" w:color="auto"/>
            </w:tcBorders>
            <w:shd w:val="clear" w:color="auto" w:fill="auto"/>
            <w:vAlign w:val="center"/>
          </w:tcPr>
          <w:p w14:paraId="7E38485B" w14:textId="1E9C02BC" w:rsidR="009F5A59" w:rsidRDefault="00D31356" w:rsidP="00D763A1">
            <w:pPr>
              <w:spacing w:line="240" w:lineRule="auto"/>
              <w:jc w:val="right"/>
              <w:rPr>
                <w:rFonts w:cs="Arial"/>
              </w:rPr>
            </w:pPr>
            <w:r>
              <w:rPr>
                <w:rFonts w:cs="Arial"/>
              </w:rPr>
              <w:t>3</w:t>
            </w:r>
          </w:p>
        </w:tc>
        <w:tc>
          <w:tcPr>
            <w:tcW w:w="850" w:type="dxa"/>
            <w:tcBorders>
              <w:top w:val="nil"/>
              <w:left w:val="nil"/>
              <w:bottom w:val="single" w:sz="4" w:space="0" w:color="auto"/>
              <w:right w:val="single" w:sz="4" w:space="0" w:color="auto"/>
            </w:tcBorders>
            <w:shd w:val="clear" w:color="auto" w:fill="auto"/>
            <w:vAlign w:val="center"/>
          </w:tcPr>
          <w:p w14:paraId="503CD381" w14:textId="6221986C" w:rsidR="009F5A59" w:rsidRDefault="00D31356" w:rsidP="00D763A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0884054E" w:rsidR="009F5A59" w:rsidRDefault="00D31356" w:rsidP="00D763A1">
            <w:pPr>
              <w:spacing w:line="240" w:lineRule="auto"/>
              <w:jc w:val="right"/>
              <w:rPr>
                <w:rFonts w:cs="Arial"/>
              </w:rPr>
            </w:pPr>
            <w:r>
              <w:rPr>
                <w:rFonts w:cs="Arial"/>
              </w:rPr>
              <w:t>57</w:t>
            </w:r>
          </w:p>
        </w:tc>
        <w:tc>
          <w:tcPr>
            <w:tcW w:w="643" w:type="dxa"/>
            <w:tcBorders>
              <w:top w:val="nil"/>
              <w:left w:val="nil"/>
              <w:bottom w:val="single" w:sz="4" w:space="0" w:color="auto"/>
              <w:right w:val="single" w:sz="4" w:space="0" w:color="auto"/>
            </w:tcBorders>
            <w:vAlign w:val="center"/>
          </w:tcPr>
          <w:p w14:paraId="0FE1FB54" w14:textId="4BCC48D1" w:rsidR="009F5A59" w:rsidRDefault="00D31356" w:rsidP="00D763A1">
            <w:pPr>
              <w:spacing w:line="240" w:lineRule="auto"/>
              <w:jc w:val="right"/>
              <w:rPr>
                <w:rFonts w:cs="Arial"/>
              </w:rPr>
            </w:pPr>
            <w:r>
              <w:rPr>
                <w:rFonts w:cs="Arial"/>
              </w:rPr>
              <w:t>4</w:t>
            </w:r>
          </w:p>
        </w:tc>
        <w:tc>
          <w:tcPr>
            <w:tcW w:w="706" w:type="dxa"/>
            <w:tcBorders>
              <w:top w:val="nil"/>
              <w:left w:val="nil"/>
              <w:bottom w:val="single" w:sz="4" w:space="0" w:color="auto"/>
              <w:right w:val="single" w:sz="4" w:space="0" w:color="auto"/>
            </w:tcBorders>
            <w:vAlign w:val="center"/>
          </w:tcPr>
          <w:p w14:paraId="6B736C1A" w14:textId="77125EB4" w:rsidR="009F5A59" w:rsidRDefault="00D31356" w:rsidP="00D763A1">
            <w:pPr>
              <w:spacing w:line="240" w:lineRule="auto"/>
              <w:jc w:val="right"/>
              <w:rPr>
                <w:rFonts w:cs="Arial"/>
              </w:rPr>
            </w:pPr>
            <w:r>
              <w:rPr>
                <w:rFonts w:cs="Arial"/>
              </w:rPr>
              <w:t>5</w:t>
            </w:r>
          </w:p>
        </w:tc>
        <w:tc>
          <w:tcPr>
            <w:tcW w:w="849" w:type="dxa"/>
            <w:tcBorders>
              <w:top w:val="nil"/>
              <w:left w:val="nil"/>
              <w:bottom w:val="single" w:sz="4" w:space="0" w:color="auto"/>
              <w:right w:val="single" w:sz="4" w:space="0" w:color="auto"/>
            </w:tcBorders>
            <w:vAlign w:val="center"/>
          </w:tcPr>
          <w:p w14:paraId="46071030" w14:textId="127469CE" w:rsidR="009F5A59" w:rsidRDefault="00D31356" w:rsidP="00D763A1">
            <w:pPr>
              <w:spacing w:line="240" w:lineRule="auto"/>
              <w:jc w:val="right"/>
              <w:rPr>
                <w:rFonts w:cs="Arial"/>
                <w:b/>
                <w:bCs/>
              </w:rPr>
            </w:pPr>
            <w:r>
              <w:rPr>
                <w:rFonts w:cs="Arial"/>
                <w:b/>
                <w:bCs/>
              </w:rPr>
              <w:t>69</w:t>
            </w:r>
          </w:p>
        </w:tc>
      </w:tr>
      <w:tr w:rsidR="009F5A59" w:rsidRPr="00650B45" w14:paraId="2A2A6B6B"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9F5A59" w:rsidRPr="00371BE2" w:rsidRDefault="00D31356" w:rsidP="00D763A1">
            <w:pPr>
              <w:spacing w:line="240" w:lineRule="auto"/>
              <w:rPr>
                <w:rFonts w:cs="Arial"/>
                <w:lang w:eastAsia="en-AU"/>
              </w:rPr>
            </w:pPr>
            <w:r>
              <w:rPr>
                <w:rFonts w:cs="Arial"/>
                <w:lang w:eastAsia="en-AU"/>
              </w:rPr>
              <w:tab/>
            </w:r>
            <w:r w:rsidR="009F5A59">
              <w:rPr>
                <w:rFonts w:cs="Arial"/>
                <w:lang w:eastAsia="en-AU"/>
              </w:rPr>
              <w:t>Finalised Child Protection Investigation</w:t>
            </w:r>
            <w:r>
              <w:rPr>
                <w:rFonts w:cs="Arial"/>
                <w:lang w:eastAsia="en-AU"/>
              </w:rPr>
              <w:t>s</w:t>
            </w:r>
          </w:p>
        </w:tc>
        <w:tc>
          <w:tcPr>
            <w:tcW w:w="851" w:type="dxa"/>
            <w:tcBorders>
              <w:top w:val="nil"/>
              <w:left w:val="nil"/>
              <w:bottom w:val="single" w:sz="4" w:space="0" w:color="auto"/>
              <w:right w:val="single" w:sz="4" w:space="0" w:color="auto"/>
            </w:tcBorders>
            <w:shd w:val="clear" w:color="auto" w:fill="auto"/>
            <w:vAlign w:val="center"/>
          </w:tcPr>
          <w:p w14:paraId="190C4072" w14:textId="170BBC09" w:rsidR="009F5A59" w:rsidRDefault="00D31356" w:rsidP="00D763A1">
            <w:pPr>
              <w:spacing w:line="240" w:lineRule="auto"/>
              <w:jc w:val="right"/>
              <w:rPr>
                <w:rFonts w:cs="Arial"/>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0611116F" w14:textId="38396196" w:rsidR="009F5A59" w:rsidRDefault="00D31356" w:rsidP="00D763A1">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0C6199CD" w:rsidR="009F5A59" w:rsidRDefault="00D31356" w:rsidP="00D763A1">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17560CF1" w:rsidR="009F5A59" w:rsidRDefault="00D31356" w:rsidP="00D763A1">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5B3B2741" w:rsidR="009F5A59" w:rsidRDefault="00D31356" w:rsidP="00D763A1">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075DE12D" w:rsidR="009F5A59" w:rsidRDefault="00D31356" w:rsidP="00D763A1">
            <w:pPr>
              <w:spacing w:line="240" w:lineRule="auto"/>
              <w:jc w:val="right"/>
              <w:rPr>
                <w:rFonts w:cs="Arial"/>
                <w:b/>
                <w:bCs/>
              </w:rPr>
            </w:pPr>
            <w:r>
              <w:rPr>
                <w:rFonts w:cs="Arial"/>
                <w:b/>
                <w:bCs/>
              </w:rPr>
              <w:t>0</w:t>
            </w:r>
          </w:p>
        </w:tc>
      </w:tr>
      <w:tr w:rsidR="00D763A1" w:rsidRPr="00650B45" w14:paraId="4C455349"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D763A1" w:rsidRPr="00371BE2" w:rsidRDefault="00D763A1" w:rsidP="00D763A1">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378215C6" w:rsidR="00D763A1" w:rsidRPr="0040594D" w:rsidRDefault="00D763A1" w:rsidP="00D763A1">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148A26EC" w:rsidR="00D763A1" w:rsidRPr="0040594D" w:rsidRDefault="00D763A1" w:rsidP="00D763A1">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303E4FC" w:rsidR="00D763A1" w:rsidRDefault="00D763A1" w:rsidP="00D763A1">
            <w:pPr>
              <w:spacing w:line="240" w:lineRule="auto"/>
              <w:jc w:val="right"/>
              <w:rPr>
                <w:rFonts w:cs="Arial"/>
                <w:lang w:eastAsia="en-AU"/>
              </w:rPr>
            </w:pPr>
            <w:r>
              <w:rPr>
                <w:rFonts w:cs="Arial"/>
              </w:rPr>
              <w:t>-</w:t>
            </w:r>
          </w:p>
        </w:tc>
        <w:tc>
          <w:tcPr>
            <w:tcW w:w="643" w:type="dxa"/>
            <w:tcBorders>
              <w:top w:val="single" w:sz="4" w:space="0" w:color="auto"/>
              <w:left w:val="nil"/>
              <w:bottom w:val="single" w:sz="4" w:space="0" w:color="auto"/>
              <w:right w:val="single" w:sz="4" w:space="0" w:color="auto"/>
            </w:tcBorders>
            <w:vAlign w:val="center"/>
          </w:tcPr>
          <w:p w14:paraId="755FED88" w14:textId="17744255" w:rsidR="00D763A1" w:rsidRDefault="00D763A1" w:rsidP="00D763A1">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622185DA" w:rsidR="00D763A1" w:rsidRDefault="00D763A1" w:rsidP="00D763A1">
            <w:pPr>
              <w:spacing w:line="240" w:lineRule="auto"/>
              <w:jc w:val="right"/>
              <w:rPr>
                <w:rFonts w:cs="Arial"/>
                <w:lang w:eastAsia="en-AU"/>
              </w:rPr>
            </w:pPr>
            <w:r>
              <w:rPr>
                <w:rFonts w:cs="Arial"/>
              </w:rPr>
              <w:t>1</w:t>
            </w:r>
          </w:p>
        </w:tc>
        <w:tc>
          <w:tcPr>
            <w:tcW w:w="849" w:type="dxa"/>
            <w:tcBorders>
              <w:top w:val="single" w:sz="4" w:space="0" w:color="auto"/>
              <w:left w:val="nil"/>
              <w:bottom w:val="single" w:sz="4" w:space="0" w:color="auto"/>
              <w:right w:val="single" w:sz="4" w:space="0" w:color="auto"/>
            </w:tcBorders>
            <w:vAlign w:val="center"/>
          </w:tcPr>
          <w:p w14:paraId="37F1A4A0" w14:textId="3B18E745" w:rsidR="00D763A1" w:rsidRPr="00557E24" w:rsidRDefault="00D763A1" w:rsidP="00D763A1">
            <w:pPr>
              <w:spacing w:line="240" w:lineRule="auto"/>
              <w:jc w:val="right"/>
              <w:rPr>
                <w:rFonts w:cs="Arial"/>
                <w:b/>
                <w:lang w:eastAsia="en-AU"/>
              </w:rPr>
            </w:pPr>
            <w:r>
              <w:rPr>
                <w:rFonts w:cs="Arial"/>
                <w:b/>
                <w:bCs/>
              </w:rPr>
              <w:t>1</w:t>
            </w:r>
          </w:p>
        </w:tc>
      </w:tr>
      <w:tr w:rsidR="00D763A1" w:rsidRPr="00557E24" w14:paraId="3F20CE90"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D763A1" w:rsidRPr="00371BE2" w:rsidRDefault="00D763A1" w:rsidP="00D763A1">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456D0B32" w:rsidR="00D763A1" w:rsidRPr="00557E24" w:rsidRDefault="00D763A1" w:rsidP="00D763A1">
            <w:pPr>
              <w:spacing w:line="240" w:lineRule="auto"/>
              <w:jc w:val="right"/>
              <w:rPr>
                <w:rFonts w:cs="Arial"/>
                <w:b/>
                <w:lang w:eastAsia="en-AU"/>
              </w:rPr>
            </w:pPr>
            <w:r>
              <w:rPr>
                <w:rFonts w:cs="Arial"/>
                <w:b/>
                <w:bCs/>
              </w:rPr>
              <w:t>444</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035361CC" w:rsidR="00D763A1" w:rsidRPr="00557E24" w:rsidRDefault="00D763A1" w:rsidP="00D763A1">
            <w:pPr>
              <w:spacing w:line="240" w:lineRule="auto"/>
              <w:jc w:val="right"/>
              <w:rPr>
                <w:rFonts w:cs="Arial"/>
                <w:b/>
                <w:lang w:eastAsia="en-AU"/>
              </w:rPr>
            </w:pPr>
            <w:r>
              <w:rPr>
                <w:rFonts w:cs="Arial"/>
                <w:b/>
                <w:bCs/>
              </w:rPr>
              <w:t>61</w:t>
            </w:r>
          </w:p>
        </w:tc>
        <w:tc>
          <w:tcPr>
            <w:tcW w:w="779" w:type="dxa"/>
            <w:tcBorders>
              <w:top w:val="single" w:sz="4" w:space="0" w:color="auto"/>
              <w:left w:val="nil"/>
              <w:bottom w:val="single" w:sz="4" w:space="0" w:color="auto"/>
              <w:right w:val="single" w:sz="4" w:space="0" w:color="auto"/>
            </w:tcBorders>
            <w:vAlign w:val="center"/>
          </w:tcPr>
          <w:p w14:paraId="4ECA5E82" w14:textId="30DB806A" w:rsidR="00D763A1" w:rsidRPr="00557E24" w:rsidRDefault="00D763A1" w:rsidP="00D763A1">
            <w:pPr>
              <w:spacing w:line="240" w:lineRule="auto"/>
              <w:jc w:val="right"/>
              <w:rPr>
                <w:rFonts w:cs="Arial"/>
                <w:b/>
                <w:lang w:eastAsia="en-AU"/>
              </w:rPr>
            </w:pPr>
            <w:r>
              <w:rPr>
                <w:rFonts w:cs="Arial"/>
                <w:b/>
                <w:bCs/>
              </w:rPr>
              <w:t>391</w:t>
            </w:r>
          </w:p>
        </w:tc>
        <w:tc>
          <w:tcPr>
            <w:tcW w:w="643" w:type="dxa"/>
            <w:tcBorders>
              <w:top w:val="single" w:sz="4" w:space="0" w:color="auto"/>
              <w:left w:val="nil"/>
              <w:bottom w:val="single" w:sz="4" w:space="0" w:color="auto"/>
              <w:right w:val="single" w:sz="4" w:space="0" w:color="auto"/>
            </w:tcBorders>
            <w:vAlign w:val="center"/>
          </w:tcPr>
          <w:p w14:paraId="4498767F" w14:textId="6FDA29EA" w:rsidR="00D763A1" w:rsidRPr="00557E24" w:rsidRDefault="00D763A1" w:rsidP="00D763A1">
            <w:pPr>
              <w:spacing w:line="240" w:lineRule="auto"/>
              <w:jc w:val="right"/>
              <w:rPr>
                <w:rFonts w:cs="Arial"/>
                <w:b/>
                <w:lang w:eastAsia="en-AU"/>
              </w:rPr>
            </w:pPr>
            <w:r>
              <w:rPr>
                <w:rFonts w:cs="Arial"/>
                <w:b/>
                <w:bCs/>
              </w:rPr>
              <w:t>234</w:t>
            </w:r>
          </w:p>
        </w:tc>
        <w:tc>
          <w:tcPr>
            <w:tcW w:w="706" w:type="dxa"/>
            <w:tcBorders>
              <w:top w:val="single" w:sz="4" w:space="0" w:color="auto"/>
              <w:left w:val="nil"/>
              <w:bottom w:val="single" w:sz="4" w:space="0" w:color="auto"/>
              <w:right w:val="single" w:sz="4" w:space="0" w:color="auto"/>
            </w:tcBorders>
            <w:vAlign w:val="center"/>
          </w:tcPr>
          <w:p w14:paraId="2806B4BD" w14:textId="1F86EAD3" w:rsidR="00D763A1" w:rsidRPr="00557E24" w:rsidRDefault="00D763A1" w:rsidP="00D763A1">
            <w:pPr>
              <w:spacing w:line="240" w:lineRule="auto"/>
              <w:jc w:val="right"/>
              <w:rPr>
                <w:rFonts w:cs="Arial"/>
                <w:b/>
                <w:lang w:eastAsia="en-AU"/>
              </w:rPr>
            </w:pPr>
            <w:r>
              <w:rPr>
                <w:rFonts w:cs="Arial"/>
                <w:b/>
                <w:bCs/>
              </w:rPr>
              <w:t>51</w:t>
            </w:r>
          </w:p>
        </w:tc>
        <w:tc>
          <w:tcPr>
            <w:tcW w:w="849" w:type="dxa"/>
            <w:tcBorders>
              <w:top w:val="single" w:sz="4" w:space="0" w:color="auto"/>
              <w:left w:val="nil"/>
              <w:bottom w:val="single" w:sz="4" w:space="0" w:color="auto"/>
              <w:right w:val="single" w:sz="4" w:space="0" w:color="auto"/>
            </w:tcBorders>
            <w:vAlign w:val="center"/>
          </w:tcPr>
          <w:p w14:paraId="24507EE5" w14:textId="15EB5B06" w:rsidR="00D763A1" w:rsidRPr="00557E24" w:rsidRDefault="00D763A1" w:rsidP="00D763A1">
            <w:pPr>
              <w:spacing w:line="240" w:lineRule="auto"/>
              <w:jc w:val="right"/>
              <w:rPr>
                <w:rFonts w:cs="Arial"/>
                <w:b/>
                <w:lang w:eastAsia="en-AU"/>
              </w:rPr>
            </w:pPr>
            <w:r>
              <w:rPr>
                <w:rFonts w:cs="Arial"/>
                <w:b/>
                <w:bCs/>
              </w:rPr>
              <w:t>1181</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62DDEE14"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D763A1">
        <w:rPr>
          <w:rFonts w:ascii="Verdana" w:hAnsi="Verdana" w:cs="Arial"/>
          <w:sz w:val="20"/>
          <w:szCs w:val="20"/>
        </w:rPr>
        <w:t>444</w:t>
      </w:r>
      <w:r w:rsidR="00D763A1" w:rsidRPr="000B0E76">
        <w:rPr>
          <w:rFonts w:ascii="Verdana" w:hAnsi="Verdana" w:cs="Arial"/>
          <w:sz w:val="20"/>
          <w:szCs w:val="20"/>
        </w:rPr>
        <w:t xml:space="preserve">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D763A1">
        <w:rPr>
          <w:rFonts w:ascii="Verdana" w:hAnsi="Verdana" w:cs="Arial"/>
          <w:sz w:val="20"/>
          <w:szCs w:val="20"/>
        </w:rPr>
        <w:t>229</w:t>
      </w:r>
      <w:r w:rsidR="00D763A1" w:rsidRPr="000B0E76">
        <w:rPr>
          <w:rFonts w:ascii="Verdana" w:hAnsi="Verdana" w:cs="Arial"/>
          <w:sz w:val="20"/>
          <w:szCs w:val="20"/>
        </w:rPr>
        <w:t xml:space="preserve">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130</w:t>
      </w:r>
      <w:r w:rsidR="000775B1" w:rsidRPr="000B0E76">
        <w:rPr>
          <w:rFonts w:ascii="Verdana" w:hAnsi="Verdana" w:cs="Arial"/>
          <w:sz w:val="20"/>
          <w:szCs w:val="20"/>
        </w:rPr>
        <w:t xml:space="preserve">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99</w:t>
      </w:r>
      <w:r w:rsidR="000775B1"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5655D6DC"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D763A1">
        <w:rPr>
          <w:rFonts w:ascii="Verdana" w:hAnsi="Verdana" w:cs="Arial"/>
          <w:sz w:val="20"/>
          <w:szCs w:val="20"/>
        </w:rPr>
        <w:t>61</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D763A1">
        <w:rPr>
          <w:rFonts w:ascii="Verdana" w:hAnsi="Verdana" w:cs="Arial"/>
          <w:sz w:val="20"/>
          <w:szCs w:val="20"/>
        </w:rPr>
        <w:t>39</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21</w:t>
      </w:r>
      <w:r w:rsidR="000775B1"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18</w:t>
      </w:r>
      <w:r w:rsidR="00B93B7A"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1D9EF654"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D763A1">
        <w:rPr>
          <w:rFonts w:ascii="Verdana" w:hAnsi="Verdana" w:cs="Arial"/>
          <w:sz w:val="20"/>
          <w:szCs w:val="20"/>
        </w:rPr>
        <w:t>391</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D763A1">
        <w:rPr>
          <w:rFonts w:ascii="Verdana" w:hAnsi="Verdana" w:cs="Arial"/>
          <w:sz w:val="20"/>
          <w:szCs w:val="20"/>
        </w:rPr>
        <w:t>203</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150</w:t>
      </w:r>
      <w:r w:rsidR="000775B1"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53</w:t>
      </w:r>
      <w:r w:rsidR="000775B1"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5E2C4FD8"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D763A1">
        <w:rPr>
          <w:rFonts w:ascii="Verdana" w:hAnsi="Verdana" w:cs="Arial"/>
          <w:sz w:val="20"/>
          <w:szCs w:val="20"/>
        </w:rPr>
        <w:t>234</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D763A1">
        <w:rPr>
          <w:rFonts w:ascii="Verdana" w:hAnsi="Verdana" w:cs="Arial"/>
          <w:sz w:val="20"/>
          <w:szCs w:val="20"/>
        </w:rPr>
        <w:t>130</w:t>
      </w:r>
      <w:r w:rsidR="00D763A1"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0775B1">
        <w:rPr>
          <w:rFonts w:ascii="Verdana" w:hAnsi="Verdana" w:cs="Arial"/>
          <w:sz w:val="20"/>
          <w:szCs w:val="20"/>
        </w:rPr>
        <w:t>71</w:t>
      </w:r>
      <w:r w:rsidR="000775B1"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0775B1">
        <w:rPr>
          <w:rFonts w:ascii="Verdana" w:hAnsi="Verdana" w:cs="Arial"/>
          <w:sz w:val="20"/>
          <w:szCs w:val="20"/>
        </w:rPr>
        <w:t>59</w:t>
      </w:r>
      <w:r w:rsidR="000775B1"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4DAA510E"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D763A1">
        <w:rPr>
          <w:rFonts w:ascii="Verdana" w:hAnsi="Verdana" w:cs="Arial"/>
          <w:sz w:val="20"/>
          <w:szCs w:val="20"/>
        </w:rPr>
        <w:t>51</w:t>
      </w:r>
      <w:r w:rsidR="00D763A1" w:rsidRPr="000B0E76">
        <w:rPr>
          <w:rFonts w:ascii="Verdana" w:hAnsi="Verdana" w:cs="Arial"/>
          <w:sz w:val="20"/>
          <w:szCs w:val="20"/>
        </w:rPr>
        <w:t xml:space="preserve">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D763A1">
        <w:rPr>
          <w:rFonts w:ascii="Verdana" w:hAnsi="Verdana" w:cs="Arial"/>
          <w:sz w:val="20"/>
          <w:szCs w:val="20"/>
        </w:rPr>
        <w:t>21</w:t>
      </w:r>
      <w:r w:rsidR="00D763A1"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0775B1">
        <w:rPr>
          <w:rFonts w:ascii="Verdana" w:hAnsi="Verdana" w:cs="Arial"/>
          <w:sz w:val="20"/>
          <w:szCs w:val="20"/>
        </w:rPr>
        <w:t xml:space="preserve">12 </w:t>
      </w:r>
      <w:r w:rsidR="00081AA0">
        <w:rPr>
          <w:rFonts w:ascii="Verdana" w:hAnsi="Verdana" w:cs="Arial"/>
          <w:sz w:val="20"/>
          <w:szCs w:val="20"/>
        </w:rPr>
        <w:t>female</w:t>
      </w:r>
      <w:r w:rsidR="004D219E">
        <w:rPr>
          <w:rFonts w:ascii="Verdana" w:hAnsi="Verdana" w:cs="Arial"/>
          <w:sz w:val="20"/>
          <w:szCs w:val="20"/>
        </w:rPr>
        <w:t xml:space="preserve"> and </w:t>
      </w:r>
      <w:r w:rsidR="000775B1">
        <w:rPr>
          <w:rFonts w:ascii="Verdana" w:hAnsi="Verdana" w:cs="Arial"/>
          <w:sz w:val="20"/>
          <w:szCs w:val="20"/>
        </w:rPr>
        <w:t>9</w:t>
      </w:r>
      <w:r w:rsidR="00E31AC8">
        <w:rPr>
          <w:rFonts w:ascii="Verdana" w:hAnsi="Verdana" w:cs="Arial"/>
          <w:sz w:val="20"/>
          <w:szCs w:val="20"/>
        </w:rPr>
        <w:t xml:space="preserve">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77777777" w:rsidR="00322A26" w:rsidRDefault="00322A26" w:rsidP="005A5B78">
      <w:pPr>
        <w:ind w:left="-142" w:right="-425"/>
        <w:jc w:val="both"/>
        <w:rPr>
          <w:rFonts w:cs="Arial"/>
        </w:rPr>
      </w:pPr>
    </w:p>
    <w:p w14:paraId="747F45D7" w14:textId="77777777" w:rsidR="00A96CAD" w:rsidRDefault="00A96CAD">
      <w:pPr>
        <w:spacing w:line="240" w:lineRule="auto"/>
        <w:rPr>
          <w:rFonts w:cs="Arial"/>
        </w:rPr>
      </w:pPr>
      <w:r>
        <w:rPr>
          <w:rFonts w:cs="Arial"/>
        </w:rPr>
        <w:br w:type="page"/>
      </w:r>
    </w:p>
    <w:p w14:paraId="6CA824E7" w14:textId="74C995A8" w:rsidR="00237A61" w:rsidRPr="00D925BE" w:rsidRDefault="00237A61" w:rsidP="00237A61">
      <w:pPr>
        <w:spacing w:after="120" w:line="240" w:lineRule="auto"/>
        <w:ind w:right="-425"/>
        <w:jc w:val="both"/>
        <w:rPr>
          <w:sz w:val="16"/>
          <w:szCs w:val="16"/>
        </w:rPr>
      </w:pPr>
      <w:r w:rsidRPr="008451D3">
        <w:rPr>
          <w:b/>
          <w:sz w:val="16"/>
          <w:szCs w:val="16"/>
        </w:rPr>
        <w:lastRenderedPageBreak/>
        <w:t xml:space="preserve">Table </w:t>
      </w:r>
      <w:r>
        <w:rPr>
          <w:b/>
          <w:sz w:val="16"/>
          <w:szCs w:val="16"/>
        </w:rPr>
        <w:t>3</w:t>
      </w:r>
      <w:r w:rsidRPr="008451D3">
        <w:rPr>
          <w:b/>
          <w:sz w:val="16"/>
          <w:szCs w:val="16"/>
        </w:rPr>
        <w:t xml:space="preserve">: </w:t>
      </w:r>
      <w:r w:rsidRPr="008451D3">
        <w:rPr>
          <w:sz w:val="16"/>
          <w:szCs w:val="16"/>
        </w:rPr>
        <w:t xml:space="preserve">In jurisdiction notices by type and quarter 1 </w:t>
      </w:r>
      <w:r>
        <w:rPr>
          <w:sz w:val="16"/>
          <w:szCs w:val="16"/>
        </w:rPr>
        <w:t>July 2019 to 30 September 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37A61" w:rsidRPr="0093030B" w14:paraId="40722178" w14:textId="49BFCD9F" w:rsidTr="00237A61">
        <w:trPr>
          <w:trHeight w:val="480"/>
        </w:trPr>
        <w:tc>
          <w:tcPr>
            <w:tcW w:w="3460" w:type="dxa"/>
            <w:tcBorders>
              <w:top w:val="single" w:sz="4" w:space="0" w:color="auto"/>
              <w:left w:val="single" w:sz="4" w:space="0" w:color="auto"/>
              <w:bottom w:val="single" w:sz="4" w:space="0" w:color="auto"/>
              <w:right w:val="single" w:sz="4" w:space="0" w:color="auto"/>
            </w:tcBorders>
            <w:hideMark/>
          </w:tcPr>
          <w:p w14:paraId="099C93B4" w14:textId="77777777" w:rsidR="00237A61" w:rsidRPr="0093030B" w:rsidRDefault="00237A61" w:rsidP="00544691">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2DD53A7A" w14:textId="77777777" w:rsidR="00237A61" w:rsidRDefault="00237A61" w:rsidP="00544691">
            <w:pPr>
              <w:pStyle w:val="TableText"/>
              <w:jc w:val="right"/>
              <w:rPr>
                <w:b/>
                <w:lang w:eastAsia="en-AU"/>
              </w:rPr>
            </w:pPr>
            <w:r>
              <w:rPr>
                <w:b/>
                <w:lang w:eastAsia="en-AU"/>
              </w:rPr>
              <w:t>Qtr 45</w:t>
            </w:r>
          </w:p>
        </w:tc>
        <w:tc>
          <w:tcPr>
            <w:tcW w:w="1012" w:type="dxa"/>
            <w:tcBorders>
              <w:top w:val="single" w:sz="4" w:space="0" w:color="auto"/>
              <w:left w:val="nil"/>
              <w:bottom w:val="single" w:sz="4" w:space="0" w:color="auto"/>
              <w:right w:val="single" w:sz="4" w:space="0" w:color="auto"/>
            </w:tcBorders>
          </w:tcPr>
          <w:p w14:paraId="683125C5" w14:textId="77777777" w:rsidR="00237A61" w:rsidRDefault="00237A61" w:rsidP="00544691">
            <w:pPr>
              <w:pStyle w:val="TableText"/>
              <w:jc w:val="right"/>
              <w:rPr>
                <w:b/>
                <w:lang w:eastAsia="en-AU"/>
              </w:rPr>
            </w:pPr>
            <w:r>
              <w:rPr>
                <w:b/>
                <w:lang w:eastAsia="en-AU"/>
              </w:rPr>
              <w:t>Qtr 46</w:t>
            </w:r>
          </w:p>
        </w:tc>
        <w:tc>
          <w:tcPr>
            <w:tcW w:w="1012" w:type="dxa"/>
            <w:tcBorders>
              <w:top w:val="single" w:sz="4" w:space="0" w:color="auto"/>
              <w:left w:val="nil"/>
              <w:bottom w:val="single" w:sz="4" w:space="0" w:color="auto"/>
              <w:right w:val="single" w:sz="4" w:space="0" w:color="auto"/>
            </w:tcBorders>
          </w:tcPr>
          <w:p w14:paraId="4082F366" w14:textId="77777777" w:rsidR="00237A61" w:rsidRDefault="00237A61" w:rsidP="00544691">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7AC05B0E" w14:textId="77777777" w:rsidR="00237A61" w:rsidRDefault="00237A61" w:rsidP="00544691">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5E4036EF" w14:textId="6D9EB948" w:rsidR="00237A61" w:rsidRDefault="00237A61" w:rsidP="00544691">
            <w:pPr>
              <w:pStyle w:val="TableText"/>
              <w:jc w:val="right"/>
              <w:rPr>
                <w:b/>
                <w:lang w:eastAsia="en-AU"/>
              </w:rPr>
            </w:pPr>
            <w:r>
              <w:rPr>
                <w:b/>
                <w:lang w:eastAsia="en-AU"/>
              </w:rPr>
              <w:t xml:space="preserve">Qtr </w:t>
            </w:r>
            <w:r w:rsidR="004627F2">
              <w:rPr>
                <w:b/>
                <w:lang w:eastAsia="en-AU"/>
              </w:rPr>
              <w:t>49</w:t>
            </w:r>
          </w:p>
        </w:tc>
      </w:tr>
      <w:tr w:rsidR="00136BCF" w:rsidRPr="0093030B" w14:paraId="3B6E6815" w14:textId="6088576C"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757ADC52" w14:textId="77777777" w:rsidR="00136BCF" w:rsidRPr="0093030B" w:rsidRDefault="00136BCF" w:rsidP="00136BCF">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48BF52BE" w14:textId="77777777" w:rsidR="00136BCF" w:rsidRDefault="00136BCF" w:rsidP="00136BCF">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6ED62A46" w14:textId="77777777" w:rsidR="00136BCF" w:rsidRDefault="00136BCF" w:rsidP="00136BCF">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2920A4CF" w14:textId="77777777" w:rsidR="00136BCF" w:rsidRDefault="00136BCF" w:rsidP="00136BCF">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645F69E5" w14:textId="77777777" w:rsidR="00136BCF" w:rsidRDefault="00136BCF" w:rsidP="00136BCF">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698EB9F3" w14:textId="653AE69A" w:rsidR="00136BCF" w:rsidRDefault="00136BCF" w:rsidP="00136BCF">
            <w:pPr>
              <w:jc w:val="right"/>
              <w:rPr>
                <w:rFonts w:cs="Arial"/>
              </w:rPr>
            </w:pPr>
            <w:r>
              <w:rPr>
                <w:rFonts w:cs="Arial"/>
              </w:rPr>
              <w:t>11</w:t>
            </w:r>
          </w:p>
        </w:tc>
      </w:tr>
      <w:tr w:rsidR="00136BCF" w:rsidRPr="0093030B" w14:paraId="2F570A61" w14:textId="238098D0"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159BCB11" w14:textId="77777777" w:rsidR="00136BCF" w:rsidRPr="0093030B" w:rsidRDefault="00136BCF" w:rsidP="00136BCF">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27239CD9" w14:textId="77777777" w:rsidR="00136BCF" w:rsidRDefault="00136BCF" w:rsidP="00136BCF">
            <w:pPr>
              <w:jc w:val="right"/>
              <w:rPr>
                <w:rFonts w:cs="Arial"/>
              </w:rPr>
            </w:pPr>
            <w:r>
              <w:rPr>
                <w:rFonts w:cs="Arial"/>
              </w:rPr>
              <w:t>266</w:t>
            </w:r>
          </w:p>
        </w:tc>
        <w:tc>
          <w:tcPr>
            <w:tcW w:w="1012" w:type="dxa"/>
            <w:tcBorders>
              <w:top w:val="nil"/>
              <w:left w:val="nil"/>
              <w:bottom w:val="single" w:sz="4" w:space="0" w:color="auto"/>
              <w:right w:val="single" w:sz="4" w:space="0" w:color="auto"/>
            </w:tcBorders>
          </w:tcPr>
          <w:p w14:paraId="1C44EAAE" w14:textId="77777777" w:rsidR="00136BCF" w:rsidRDefault="00136BCF" w:rsidP="00136BCF">
            <w:pPr>
              <w:jc w:val="right"/>
              <w:rPr>
                <w:rFonts w:cs="Arial"/>
              </w:rPr>
            </w:pPr>
            <w:r>
              <w:rPr>
                <w:rFonts w:cs="Arial"/>
              </w:rPr>
              <w:t>371</w:t>
            </w:r>
          </w:p>
        </w:tc>
        <w:tc>
          <w:tcPr>
            <w:tcW w:w="1012" w:type="dxa"/>
            <w:tcBorders>
              <w:top w:val="nil"/>
              <w:left w:val="nil"/>
              <w:bottom w:val="single" w:sz="4" w:space="0" w:color="auto"/>
              <w:right w:val="single" w:sz="4" w:space="0" w:color="auto"/>
            </w:tcBorders>
          </w:tcPr>
          <w:p w14:paraId="1AEBD162" w14:textId="77777777" w:rsidR="00136BCF" w:rsidRDefault="00136BCF" w:rsidP="00136BCF">
            <w:pPr>
              <w:jc w:val="right"/>
              <w:rPr>
                <w:rFonts w:cs="Arial"/>
              </w:rPr>
            </w:pPr>
            <w:r>
              <w:rPr>
                <w:rFonts w:cs="Arial"/>
              </w:rPr>
              <w:t>252</w:t>
            </w:r>
          </w:p>
        </w:tc>
        <w:tc>
          <w:tcPr>
            <w:tcW w:w="1012" w:type="dxa"/>
            <w:tcBorders>
              <w:top w:val="nil"/>
              <w:left w:val="nil"/>
              <w:bottom w:val="single" w:sz="4" w:space="0" w:color="auto"/>
              <w:right w:val="single" w:sz="4" w:space="0" w:color="auto"/>
            </w:tcBorders>
          </w:tcPr>
          <w:p w14:paraId="63CC4A9B" w14:textId="77777777" w:rsidR="00136BCF" w:rsidRDefault="00136BCF" w:rsidP="00136BCF">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17732EDE" w14:textId="1FAD957D" w:rsidR="00136BCF" w:rsidRDefault="00136BCF" w:rsidP="00136BCF">
            <w:pPr>
              <w:jc w:val="right"/>
              <w:rPr>
                <w:rFonts w:cs="Arial"/>
              </w:rPr>
            </w:pPr>
            <w:r>
              <w:rPr>
                <w:rFonts w:cs="Arial"/>
              </w:rPr>
              <w:t>292</w:t>
            </w:r>
          </w:p>
        </w:tc>
      </w:tr>
      <w:tr w:rsidR="00136BCF" w:rsidRPr="0093030B" w14:paraId="659079C2" w14:textId="38D9C32E"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3935FE8F" w14:textId="77777777" w:rsidR="00136BCF" w:rsidRPr="0093030B" w:rsidRDefault="00136BCF" w:rsidP="00136BCF">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56FC5117" w14:textId="77777777" w:rsidR="00136BCF" w:rsidRDefault="00136BCF" w:rsidP="00136BCF">
            <w:pPr>
              <w:jc w:val="right"/>
              <w:rPr>
                <w:rFonts w:cs="Arial"/>
              </w:rPr>
            </w:pPr>
            <w:r>
              <w:rPr>
                <w:rFonts w:cs="Arial"/>
              </w:rPr>
              <w:t>27</w:t>
            </w:r>
          </w:p>
        </w:tc>
        <w:tc>
          <w:tcPr>
            <w:tcW w:w="1012" w:type="dxa"/>
            <w:tcBorders>
              <w:top w:val="nil"/>
              <w:left w:val="nil"/>
              <w:bottom w:val="single" w:sz="4" w:space="0" w:color="auto"/>
              <w:right w:val="single" w:sz="4" w:space="0" w:color="auto"/>
            </w:tcBorders>
          </w:tcPr>
          <w:p w14:paraId="28BFB35A" w14:textId="77777777" w:rsidR="00136BCF" w:rsidRDefault="00136BCF" w:rsidP="00136BCF">
            <w:pPr>
              <w:jc w:val="right"/>
              <w:rPr>
                <w:rFonts w:cs="Arial"/>
              </w:rPr>
            </w:pPr>
            <w:r>
              <w:rPr>
                <w:rFonts w:cs="Arial"/>
              </w:rPr>
              <w:t>31</w:t>
            </w:r>
          </w:p>
        </w:tc>
        <w:tc>
          <w:tcPr>
            <w:tcW w:w="1012" w:type="dxa"/>
            <w:tcBorders>
              <w:top w:val="nil"/>
              <w:left w:val="nil"/>
              <w:bottom w:val="single" w:sz="4" w:space="0" w:color="auto"/>
              <w:right w:val="single" w:sz="4" w:space="0" w:color="auto"/>
            </w:tcBorders>
          </w:tcPr>
          <w:p w14:paraId="5D504EEC" w14:textId="77777777" w:rsidR="00136BCF" w:rsidRDefault="00136BCF" w:rsidP="00136BCF">
            <w:pPr>
              <w:jc w:val="right"/>
              <w:rPr>
                <w:rFonts w:cs="Arial"/>
              </w:rPr>
            </w:pPr>
            <w:r>
              <w:rPr>
                <w:rFonts w:cs="Arial"/>
              </w:rPr>
              <w:t>15</w:t>
            </w:r>
          </w:p>
        </w:tc>
        <w:tc>
          <w:tcPr>
            <w:tcW w:w="1012" w:type="dxa"/>
            <w:tcBorders>
              <w:top w:val="nil"/>
              <w:left w:val="nil"/>
              <w:bottom w:val="single" w:sz="4" w:space="0" w:color="auto"/>
              <w:right w:val="single" w:sz="4" w:space="0" w:color="auto"/>
            </w:tcBorders>
          </w:tcPr>
          <w:p w14:paraId="6CF09BA8" w14:textId="77777777" w:rsidR="00136BCF" w:rsidRDefault="00136BCF" w:rsidP="00136BCF">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15218EF6" w14:textId="614C9355" w:rsidR="00136BCF" w:rsidRDefault="00136BCF" w:rsidP="00136BCF">
            <w:pPr>
              <w:jc w:val="right"/>
              <w:rPr>
                <w:rFonts w:cs="Arial"/>
              </w:rPr>
            </w:pPr>
            <w:r>
              <w:rPr>
                <w:rFonts w:cs="Arial"/>
              </w:rPr>
              <w:t>14</w:t>
            </w:r>
          </w:p>
        </w:tc>
      </w:tr>
      <w:tr w:rsidR="00136BCF" w:rsidRPr="0093030B" w14:paraId="5586C6E9" w14:textId="43761F46"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729BFFE2" w14:textId="77777777" w:rsidR="00136BCF" w:rsidRPr="0093030B" w:rsidRDefault="00136BCF" w:rsidP="00136BCF">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8390603" w14:textId="77777777" w:rsidR="00136BCF" w:rsidRDefault="00136BCF" w:rsidP="00136BCF">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1EA87CA8" w14:textId="77777777" w:rsidR="00136BCF" w:rsidRDefault="00136BCF" w:rsidP="00136BCF">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40C2EB29" w14:textId="77777777" w:rsidR="00136BCF" w:rsidRDefault="00136BCF" w:rsidP="00136BCF">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10C44B3B" w14:textId="77777777" w:rsidR="00136BCF" w:rsidRDefault="00136BCF" w:rsidP="00136BCF">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259AAB34" w14:textId="51BD0330" w:rsidR="00136BCF" w:rsidRDefault="00136BCF" w:rsidP="00136BCF">
            <w:pPr>
              <w:jc w:val="right"/>
              <w:rPr>
                <w:rFonts w:cs="Arial"/>
              </w:rPr>
            </w:pPr>
            <w:r>
              <w:rPr>
                <w:rFonts w:cs="Arial"/>
              </w:rPr>
              <w:t>68</w:t>
            </w:r>
          </w:p>
        </w:tc>
      </w:tr>
      <w:tr w:rsidR="00136BCF" w:rsidRPr="0093030B" w14:paraId="015A9F99" w14:textId="39A6BD83"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2E89C67E" w14:textId="77777777" w:rsidR="00136BCF" w:rsidRPr="0093030B" w:rsidRDefault="00136BCF" w:rsidP="00136BCF">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22ABAD0B" w14:textId="77777777" w:rsidR="00136BCF" w:rsidRDefault="00136BCF" w:rsidP="00136BCF">
            <w:pPr>
              <w:jc w:val="right"/>
              <w:rPr>
                <w:rFonts w:cs="Arial"/>
              </w:rPr>
            </w:pPr>
            <w:r>
              <w:rPr>
                <w:rFonts w:cs="Arial"/>
              </w:rPr>
              <w:t>1003</w:t>
            </w:r>
          </w:p>
        </w:tc>
        <w:tc>
          <w:tcPr>
            <w:tcW w:w="1012" w:type="dxa"/>
            <w:tcBorders>
              <w:top w:val="nil"/>
              <w:left w:val="nil"/>
              <w:bottom w:val="single" w:sz="4" w:space="0" w:color="auto"/>
              <w:right w:val="single" w:sz="4" w:space="0" w:color="auto"/>
            </w:tcBorders>
          </w:tcPr>
          <w:p w14:paraId="2F1A3E29" w14:textId="77777777" w:rsidR="00136BCF" w:rsidRDefault="00136BCF" w:rsidP="00136BCF">
            <w:pPr>
              <w:jc w:val="right"/>
              <w:rPr>
                <w:rFonts w:cs="Arial"/>
              </w:rPr>
            </w:pPr>
            <w:r>
              <w:rPr>
                <w:rFonts w:cs="Arial"/>
              </w:rPr>
              <w:t>877</w:t>
            </w:r>
          </w:p>
        </w:tc>
        <w:tc>
          <w:tcPr>
            <w:tcW w:w="1012" w:type="dxa"/>
            <w:tcBorders>
              <w:top w:val="nil"/>
              <w:left w:val="nil"/>
              <w:bottom w:val="single" w:sz="4" w:space="0" w:color="auto"/>
              <w:right w:val="single" w:sz="4" w:space="0" w:color="auto"/>
            </w:tcBorders>
          </w:tcPr>
          <w:p w14:paraId="1CCF8975" w14:textId="77777777" w:rsidR="00136BCF" w:rsidRDefault="00136BCF" w:rsidP="00136BCF">
            <w:pPr>
              <w:jc w:val="right"/>
              <w:rPr>
                <w:rFonts w:cs="Arial"/>
              </w:rPr>
            </w:pPr>
            <w:r>
              <w:rPr>
                <w:rFonts w:cs="Arial"/>
              </w:rPr>
              <w:t>808</w:t>
            </w:r>
          </w:p>
        </w:tc>
        <w:tc>
          <w:tcPr>
            <w:tcW w:w="1012" w:type="dxa"/>
            <w:tcBorders>
              <w:top w:val="nil"/>
              <w:left w:val="nil"/>
              <w:bottom w:val="single" w:sz="4" w:space="0" w:color="auto"/>
              <w:right w:val="single" w:sz="4" w:space="0" w:color="auto"/>
            </w:tcBorders>
          </w:tcPr>
          <w:p w14:paraId="60D909D2" w14:textId="77777777" w:rsidR="00136BCF" w:rsidRDefault="00136BCF" w:rsidP="00136BCF">
            <w:pPr>
              <w:jc w:val="right"/>
              <w:rPr>
                <w:rFonts w:cs="Arial"/>
              </w:rPr>
            </w:pPr>
            <w:r>
              <w:rPr>
                <w:rFonts w:cs="Arial"/>
              </w:rPr>
              <w:t>728</w:t>
            </w:r>
          </w:p>
        </w:tc>
        <w:tc>
          <w:tcPr>
            <w:tcW w:w="1012" w:type="dxa"/>
            <w:tcBorders>
              <w:top w:val="nil"/>
              <w:left w:val="nil"/>
              <w:bottom w:val="single" w:sz="4" w:space="0" w:color="auto"/>
              <w:right w:val="single" w:sz="4" w:space="0" w:color="auto"/>
            </w:tcBorders>
          </w:tcPr>
          <w:p w14:paraId="4CC11957" w14:textId="5B302413" w:rsidR="00136BCF" w:rsidRDefault="00136BCF" w:rsidP="00136BCF">
            <w:pPr>
              <w:jc w:val="right"/>
              <w:rPr>
                <w:rFonts w:cs="Arial"/>
              </w:rPr>
            </w:pPr>
            <w:r>
              <w:rPr>
                <w:rFonts w:cs="Arial"/>
              </w:rPr>
              <w:t>723</w:t>
            </w:r>
          </w:p>
        </w:tc>
      </w:tr>
      <w:tr w:rsidR="00136BCF" w:rsidRPr="0093030B" w14:paraId="218461AB" w14:textId="26F5F4C6"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0CA9700D" w14:textId="77777777" w:rsidR="00136BCF" w:rsidRPr="0093030B" w:rsidRDefault="00136BCF" w:rsidP="00136BCF">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33E669A9" w14:textId="77777777" w:rsidR="00136BCF" w:rsidRDefault="00136BCF" w:rsidP="00136BCF">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9704486" w14:textId="77777777" w:rsidR="00136BCF" w:rsidRDefault="00136BCF" w:rsidP="00136BCF">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53019122" w14:textId="77777777" w:rsidR="00136BCF" w:rsidRDefault="00136BCF" w:rsidP="00136BCF">
            <w:pPr>
              <w:jc w:val="right"/>
              <w:rPr>
                <w:rFonts w:cs="Arial"/>
              </w:rPr>
            </w:pPr>
            <w:r>
              <w:rPr>
                <w:rFonts w:cs="Arial"/>
              </w:rPr>
              <w:t>20</w:t>
            </w:r>
          </w:p>
        </w:tc>
        <w:tc>
          <w:tcPr>
            <w:tcW w:w="1012" w:type="dxa"/>
            <w:tcBorders>
              <w:top w:val="nil"/>
              <w:left w:val="nil"/>
              <w:bottom w:val="single" w:sz="4" w:space="0" w:color="auto"/>
              <w:right w:val="single" w:sz="4" w:space="0" w:color="auto"/>
            </w:tcBorders>
          </w:tcPr>
          <w:p w14:paraId="7E29B7FD" w14:textId="77777777" w:rsidR="00136BCF" w:rsidRDefault="00136BCF" w:rsidP="00136BCF">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4BC256C" w14:textId="60E4CC5C" w:rsidR="00136BCF" w:rsidRDefault="00136BCF" w:rsidP="00136BCF">
            <w:pPr>
              <w:jc w:val="right"/>
              <w:rPr>
                <w:rFonts w:cs="Arial"/>
              </w:rPr>
            </w:pPr>
            <w:r>
              <w:rPr>
                <w:rFonts w:cs="Arial"/>
              </w:rPr>
              <w:t>3</w:t>
            </w:r>
          </w:p>
        </w:tc>
      </w:tr>
      <w:tr w:rsidR="00136BCF" w:rsidRPr="0093030B" w14:paraId="0353CD22" w14:textId="00F483BE"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6EA3A13A" w14:textId="77777777" w:rsidR="00136BCF" w:rsidRPr="0093030B" w:rsidRDefault="00136BCF" w:rsidP="00136BCF">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7638DDBA" w14:textId="77777777" w:rsidR="00136BCF" w:rsidRDefault="00136BCF" w:rsidP="00136BCF">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7E9F2399" w14:textId="77777777" w:rsidR="00136BCF" w:rsidRDefault="00136BCF" w:rsidP="00136BCF">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3A25AEAD" w14:textId="77777777" w:rsidR="00136BCF" w:rsidRDefault="00136BCF" w:rsidP="00136BCF">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52AAF3B2" w14:textId="77777777" w:rsidR="00136BCF" w:rsidRDefault="00136BCF" w:rsidP="00136BCF">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3F6ECBE4" w14:textId="4480CEFF" w:rsidR="00136BCF" w:rsidRDefault="00136BCF" w:rsidP="00136BCF">
            <w:pPr>
              <w:jc w:val="right"/>
              <w:rPr>
                <w:rFonts w:cs="Arial"/>
              </w:rPr>
            </w:pPr>
            <w:r>
              <w:rPr>
                <w:rFonts w:cs="Arial"/>
              </w:rPr>
              <w:t>69</w:t>
            </w:r>
          </w:p>
        </w:tc>
      </w:tr>
      <w:tr w:rsidR="00136BCF" w:rsidRPr="0093030B" w14:paraId="1FC299F6" w14:textId="1890C8B1"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40F1402F" w14:textId="77777777" w:rsidR="00136BCF" w:rsidRPr="0093030B" w:rsidRDefault="00136BCF" w:rsidP="00136BCF">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3C328D1C" w14:textId="77777777" w:rsidR="00136BCF" w:rsidRDefault="00136BCF" w:rsidP="00136BCF">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7A5C3F77" w14:textId="77777777" w:rsidR="00136BCF" w:rsidRDefault="00136BCF" w:rsidP="00136BCF">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3FFBB656" w14:textId="77777777" w:rsidR="00136BCF" w:rsidRDefault="00136BCF" w:rsidP="00136BCF">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68ECFB1" w14:textId="77777777" w:rsidR="00136BCF" w:rsidRDefault="00136BCF" w:rsidP="00136BCF">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56FEB99" w14:textId="1C91E3DB" w:rsidR="00136BCF" w:rsidRDefault="00136BCF" w:rsidP="00136BCF">
            <w:pPr>
              <w:jc w:val="right"/>
              <w:rPr>
                <w:rFonts w:cs="Arial"/>
              </w:rPr>
            </w:pPr>
            <w:r>
              <w:rPr>
                <w:rFonts w:cs="Arial"/>
              </w:rPr>
              <w:t>1</w:t>
            </w:r>
          </w:p>
        </w:tc>
      </w:tr>
      <w:tr w:rsidR="00136BCF" w:rsidRPr="0093030B" w14:paraId="04E0D35E" w14:textId="31ADF006" w:rsidTr="00237A61">
        <w:trPr>
          <w:trHeight w:val="255"/>
        </w:trPr>
        <w:tc>
          <w:tcPr>
            <w:tcW w:w="3460" w:type="dxa"/>
            <w:tcBorders>
              <w:top w:val="nil"/>
              <w:left w:val="single" w:sz="4" w:space="0" w:color="auto"/>
              <w:bottom w:val="single" w:sz="4" w:space="0" w:color="auto"/>
              <w:right w:val="single" w:sz="4" w:space="0" w:color="auto"/>
            </w:tcBorders>
            <w:noWrap/>
            <w:hideMark/>
          </w:tcPr>
          <w:p w14:paraId="079931FC" w14:textId="77777777" w:rsidR="00136BCF" w:rsidRPr="0093030B" w:rsidRDefault="00136BCF" w:rsidP="00136BCF">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1ABABDC2" w14:textId="77777777" w:rsidR="00136BCF" w:rsidRDefault="00136BCF" w:rsidP="00136BCF">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090E79AC" w14:textId="77777777" w:rsidR="00136BCF" w:rsidRDefault="00136BCF" w:rsidP="00136BCF">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0B5E65D3" w14:textId="77777777" w:rsidR="00136BCF" w:rsidRDefault="00136BCF" w:rsidP="00136BCF">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3F74F4D1" w14:textId="77777777" w:rsidR="00136BCF" w:rsidRDefault="00136BCF" w:rsidP="00136BCF">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78DDECCB" w14:textId="23DF0C85" w:rsidR="00136BCF" w:rsidRDefault="00136BCF" w:rsidP="00136BCF">
            <w:pPr>
              <w:jc w:val="right"/>
              <w:rPr>
                <w:rFonts w:cs="Arial"/>
                <w:b/>
                <w:bCs/>
              </w:rPr>
            </w:pPr>
            <w:r>
              <w:rPr>
                <w:rFonts w:cs="Arial"/>
                <w:b/>
                <w:bCs/>
              </w:rPr>
              <w:t>1181</w:t>
            </w:r>
          </w:p>
        </w:tc>
      </w:tr>
    </w:tbl>
    <w:p w14:paraId="40195DAB" w14:textId="77777777" w:rsidR="00237A61" w:rsidRDefault="00237A61" w:rsidP="00237A61">
      <w:pPr>
        <w:spacing w:line="240" w:lineRule="auto"/>
        <w:ind w:left="-142" w:right="-425"/>
        <w:jc w:val="both"/>
        <w:rPr>
          <w:rFonts w:cs="Arial"/>
        </w:rPr>
      </w:pPr>
    </w:p>
    <w:p w14:paraId="282B3C85" w14:textId="628367C5" w:rsidR="00237A61" w:rsidRDefault="00237A61" w:rsidP="00237A61">
      <w:pPr>
        <w:spacing w:after="120" w:line="240" w:lineRule="auto"/>
        <w:ind w:right="-425"/>
        <w:jc w:val="both"/>
        <w:rPr>
          <w:sz w:val="16"/>
          <w:szCs w:val="16"/>
        </w:rPr>
      </w:pPr>
      <w:r w:rsidRPr="008451D3">
        <w:rPr>
          <w:b/>
          <w:sz w:val="16"/>
          <w:szCs w:val="16"/>
        </w:rPr>
        <w:t xml:space="preserve">Table </w:t>
      </w:r>
      <w:r>
        <w:rPr>
          <w:b/>
          <w:sz w:val="16"/>
          <w:szCs w:val="16"/>
        </w:rPr>
        <w:t>4</w:t>
      </w:r>
      <w:r w:rsidRPr="008451D3">
        <w:rPr>
          <w:b/>
          <w:sz w:val="16"/>
          <w:szCs w:val="16"/>
        </w:rPr>
        <w:t xml:space="preserve">: </w:t>
      </w:r>
      <w:r w:rsidRPr="008451D3">
        <w:rPr>
          <w:sz w:val="16"/>
          <w:szCs w:val="16"/>
        </w:rPr>
        <w:t xml:space="preserve">In jurisdiction notices by community and quarter 1 </w:t>
      </w:r>
      <w:r>
        <w:rPr>
          <w:sz w:val="16"/>
          <w:szCs w:val="16"/>
        </w:rPr>
        <w:t>July 2019 to 30 September 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37A61" w:rsidRPr="0093030B" w14:paraId="28E29534" w14:textId="2A2F93C1" w:rsidTr="00237A61">
        <w:trPr>
          <w:trHeight w:val="480"/>
        </w:trPr>
        <w:tc>
          <w:tcPr>
            <w:tcW w:w="3460" w:type="dxa"/>
            <w:tcBorders>
              <w:top w:val="single" w:sz="4" w:space="0" w:color="auto"/>
              <w:left w:val="single" w:sz="4" w:space="0" w:color="auto"/>
              <w:bottom w:val="single" w:sz="4" w:space="0" w:color="auto"/>
              <w:right w:val="single" w:sz="4" w:space="0" w:color="auto"/>
            </w:tcBorders>
            <w:hideMark/>
          </w:tcPr>
          <w:p w14:paraId="1DBD742A" w14:textId="77777777" w:rsidR="00237A61" w:rsidRPr="0093030B" w:rsidRDefault="00237A61" w:rsidP="00544691">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0874C8F8" w14:textId="77777777" w:rsidR="00237A61" w:rsidRDefault="00237A61" w:rsidP="00544691">
            <w:pPr>
              <w:pStyle w:val="TableText"/>
              <w:jc w:val="right"/>
              <w:rPr>
                <w:b/>
                <w:lang w:eastAsia="en-AU"/>
              </w:rPr>
            </w:pPr>
            <w:r>
              <w:rPr>
                <w:b/>
                <w:lang w:eastAsia="en-AU"/>
              </w:rPr>
              <w:t>Qtr 45</w:t>
            </w:r>
          </w:p>
        </w:tc>
        <w:tc>
          <w:tcPr>
            <w:tcW w:w="1012" w:type="dxa"/>
            <w:tcBorders>
              <w:top w:val="single" w:sz="4" w:space="0" w:color="auto"/>
              <w:left w:val="nil"/>
              <w:bottom w:val="single" w:sz="4" w:space="0" w:color="auto"/>
              <w:right w:val="single" w:sz="4" w:space="0" w:color="auto"/>
            </w:tcBorders>
          </w:tcPr>
          <w:p w14:paraId="034E99CE" w14:textId="77777777" w:rsidR="00237A61" w:rsidRDefault="00237A61" w:rsidP="00544691">
            <w:pPr>
              <w:pStyle w:val="TableText"/>
              <w:jc w:val="right"/>
              <w:rPr>
                <w:b/>
                <w:lang w:eastAsia="en-AU"/>
              </w:rPr>
            </w:pPr>
            <w:r>
              <w:rPr>
                <w:b/>
                <w:lang w:eastAsia="en-AU"/>
              </w:rPr>
              <w:t>Qtr 46</w:t>
            </w:r>
          </w:p>
        </w:tc>
        <w:tc>
          <w:tcPr>
            <w:tcW w:w="1012" w:type="dxa"/>
            <w:tcBorders>
              <w:top w:val="single" w:sz="4" w:space="0" w:color="auto"/>
              <w:left w:val="nil"/>
              <w:bottom w:val="single" w:sz="4" w:space="0" w:color="auto"/>
              <w:right w:val="single" w:sz="4" w:space="0" w:color="auto"/>
            </w:tcBorders>
          </w:tcPr>
          <w:p w14:paraId="796F20CA" w14:textId="77777777" w:rsidR="00237A61" w:rsidRDefault="00237A61" w:rsidP="00544691">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3749E4FD" w14:textId="77777777" w:rsidR="00237A61" w:rsidRDefault="00237A61" w:rsidP="00544691">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7E441B6A" w14:textId="7487BB30" w:rsidR="00237A61" w:rsidRDefault="00237A61" w:rsidP="00544691">
            <w:pPr>
              <w:pStyle w:val="TableText"/>
              <w:jc w:val="right"/>
              <w:rPr>
                <w:b/>
                <w:lang w:eastAsia="en-AU"/>
              </w:rPr>
            </w:pPr>
            <w:r>
              <w:rPr>
                <w:b/>
                <w:lang w:eastAsia="en-AU"/>
              </w:rPr>
              <w:t xml:space="preserve">Qtr </w:t>
            </w:r>
            <w:r w:rsidR="004627F2">
              <w:rPr>
                <w:b/>
                <w:lang w:eastAsia="en-AU"/>
              </w:rPr>
              <w:t>49</w:t>
            </w:r>
          </w:p>
        </w:tc>
      </w:tr>
      <w:tr w:rsidR="00136BCF" w:rsidRPr="0093030B" w14:paraId="4945E8C5" w14:textId="15DCBC94"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1782B6D2" w14:textId="77777777" w:rsidR="00136BCF" w:rsidRPr="0093030B" w:rsidRDefault="00136BCF" w:rsidP="00136BCF">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C458B75" w14:textId="77777777" w:rsidR="00136BCF" w:rsidRDefault="00136BCF" w:rsidP="00136BCF">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2303D7E7" w14:textId="77777777" w:rsidR="00136BCF" w:rsidRDefault="00136BCF" w:rsidP="00136BCF">
            <w:pPr>
              <w:jc w:val="right"/>
              <w:rPr>
                <w:rFonts w:cs="Arial"/>
              </w:rPr>
            </w:pPr>
            <w:r>
              <w:rPr>
                <w:rFonts w:cs="Arial"/>
              </w:rPr>
              <w:t>652</w:t>
            </w:r>
          </w:p>
        </w:tc>
        <w:tc>
          <w:tcPr>
            <w:tcW w:w="1012" w:type="dxa"/>
            <w:tcBorders>
              <w:top w:val="nil"/>
              <w:left w:val="nil"/>
              <w:bottom w:val="single" w:sz="4" w:space="0" w:color="auto"/>
              <w:right w:val="single" w:sz="4" w:space="0" w:color="auto"/>
            </w:tcBorders>
          </w:tcPr>
          <w:p w14:paraId="657E8EEF" w14:textId="77777777" w:rsidR="00136BCF" w:rsidRDefault="00136BCF" w:rsidP="00136BCF">
            <w:pPr>
              <w:jc w:val="right"/>
              <w:rPr>
                <w:rFonts w:cs="Arial"/>
              </w:rPr>
            </w:pPr>
            <w:r>
              <w:rPr>
                <w:rFonts w:cs="Arial"/>
              </w:rPr>
              <w:t>460</w:t>
            </w:r>
          </w:p>
        </w:tc>
        <w:tc>
          <w:tcPr>
            <w:tcW w:w="1012" w:type="dxa"/>
            <w:tcBorders>
              <w:top w:val="nil"/>
              <w:left w:val="nil"/>
              <w:bottom w:val="single" w:sz="4" w:space="0" w:color="auto"/>
              <w:right w:val="single" w:sz="4" w:space="0" w:color="auto"/>
            </w:tcBorders>
          </w:tcPr>
          <w:p w14:paraId="433E54BF" w14:textId="77777777" w:rsidR="00136BCF" w:rsidRDefault="00136BCF" w:rsidP="00136BCF">
            <w:pPr>
              <w:jc w:val="right"/>
              <w:rPr>
                <w:rFonts w:cs="Arial"/>
              </w:rPr>
            </w:pPr>
            <w:r>
              <w:rPr>
                <w:rFonts w:cs="Arial"/>
              </w:rPr>
              <w:t>235</w:t>
            </w:r>
          </w:p>
        </w:tc>
        <w:tc>
          <w:tcPr>
            <w:tcW w:w="1012" w:type="dxa"/>
            <w:tcBorders>
              <w:top w:val="nil"/>
              <w:left w:val="nil"/>
              <w:bottom w:val="single" w:sz="4" w:space="0" w:color="auto"/>
              <w:right w:val="single" w:sz="4" w:space="0" w:color="auto"/>
            </w:tcBorders>
          </w:tcPr>
          <w:p w14:paraId="503B3209" w14:textId="4DD06804" w:rsidR="00136BCF" w:rsidRDefault="00136BCF" w:rsidP="00136BCF">
            <w:pPr>
              <w:jc w:val="right"/>
              <w:rPr>
                <w:rFonts w:cs="Arial"/>
              </w:rPr>
            </w:pPr>
            <w:r>
              <w:rPr>
                <w:rFonts w:cs="Arial"/>
              </w:rPr>
              <w:t>444</w:t>
            </w:r>
          </w:p>
        </w:tc>
      </w:tr>
      <w:tr w:rsidR="00136BCF" w:rsidRPr="0093030B" w14:paraId="3930BA6E" w14:textId="09FB6CEC"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19FFAF0D" w14:textId="77777777" w:rsidR="00136BCF" w:rsidRPr="0093030B" w:rsidRDefault="00136BCF" w:rsidP="00136BCF">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5CCCF660" w14:textId="77777777" w:rsidR="00136BCF" w:rsidRDefault="00136BCF" w:rsidP="00136BCF">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3E14B551" w14:textId="77777777" w:rsidR="00136BCF" w:rsidRDefault="00136BCF" w:rsidP="00136BCF">
            <w:pPr>
              <w:jc w:val="right"/>
              <w:rPr>
                <w:rFonts w:cs="Arial"/>
              </w:rPr>
            </w:pPr>
            <w:r>
              <w:rPr>
                <w:rFonts w:cs="Arial"/>
              </w:rPr>
              <w:t>54</w:t>
            </w:r>
          </w:p>
        </w:tc>
        <w:tc>
          <w:tcPr>
            <w:tcW w:w="1012" w:type="dxa"/>
            <w:tcBorders>
              <w:top w:val="nil"/>
              <w:left w:val="nil"/>
              <w:bottom w:val="single" w:sz="4" w:space="0" w:color="auto"/>
              <w:right w:val="single" w:sz="4" w:space="0" w:color="auto"/>
            </w:tcBorders>
          </w:tcPr>
          <w:p w14:paraId="3B7CADB5" w14:textId="77777777" w:rsidR="00136BCF" w:rsidRDefault="00136BCF" w:rsidP="00136BCF">
            <w:pPr>
              <w:jc w:val="right"/>
              <w:rPr>
                <w:rFonts w:cs="Arial"/>
              </w:rPr>
            </w:pPr>
            <w:r>
              <w:rPr>
                <w:rFonts w:cs="Arial"/>
              </w:rPr>
              <w:t>37</w:t>
            </w:r>
          </w:p>
        </w:tc>
        <w:tc>
          <w:tcPr>
            <w:tcW w:w="1012" w:type="dxa"/>
            <w:tcBorders>
              <w:top w:val="nil"/>
              <w:left w:val="nil"/>
              <w:bottom w:val="single" w:sz="4" w:space="0" w:color="auto"/>
              <w:right w:val="single" w:sz="4" w:space="0" w:color="auto"/>
            </w:tcBorders>
          </w:tcPr>
          <w:p w14:paraId="3920C4F5" w14:textId="77777777" w:rsidR="00136BCF" w:rsidRDefault="00136BCF" w:rsidP="00136BCF">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0D8E518F" w14:textId="4F334974" w:rsidR="00136BCF" w:rsidRDefault="00136BCF" w:rsidP="00136BCF">
            <w:pPr>
              <w:jc w:val="right"/>
              <w:rPr>
                <w:rFonts w:cs="Arial"/>
              </w:rPr>
            </w:pPr>
            <w:r>
              <w:rPr>
                <w:rFonts w:cs="Arial"/>
              </w:rPr>
              <w:t>61</w:t>
            </w:r>
          </w:p>
        </w:tc>
      </w:tr>
      <w:tr w:rsidR="00136BCF" w:rsidRPr="0093030B" w14:paraId="5D786717" w14:textId="27DB9ACA"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1D6CD61F" w14:textId="77777777" w:rsidR="00136BCF" w:rsidRPr="0093030B" w:rsidRDefault="00136BCF" w:rsidP="00136BCF">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218247A3" w14:textId="77777777" w:rsidR="00136BCF" w:rsidRDefault="00136BCF" w:rsidP="00136BCF">
            <w:pPr>
              <w:jc w:val="right"/>
              <w:rPr>
                <w:rFonts w:cs="Arial"/>
              </w:rPr>
            </w:pPr>
            <w:r>
              <w:rPr>
                <w:rFonts w:cs="Arial"/>
              </w:rPr>
              <w:t>443</w:t>
            </w:r>
          </w:p>
        </w:tc>
        <w:tc>
          <w:tcPr>
            <w:tcW w:w="1012" w:type="dxa"/>
            <w:tcBorders>
              <w:top w:val="nil"/>
              <w:left w:val="nil"/>
              <w:bottom w:val="single" w:sz="4" w:space="0" w:color="auto"/>
              <w:right w:val="single" w:sz="4" w:space="0" w:color="auto"/>
            </w:tcBorders>
          </w:tcPr>
          <w:p w14:paraId="1E02FAD4" w14:textId="77777777" w:rsidR="00136BCF" w:rsidRDefault="00136BCF" w:rsidP="00136BCF">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735D5CD9" w14:textId="77777777" w:rsidR="00136BCF" w:rsidRDefault="00136BCF" w:rsidP="00136BCF">
            <w:pPr>
              <w:jc w:val="right"/>
              <w:rPr>
                <w:rFonts w:cs="Arial"/>
              </w:rPr>
            </w:pPr>
            <w:r>
              <w:rPr>
                <w:rFonts w:cs="Arial"/>
              </w:rPr>
              <w:t>467</w:t>
            </w:r>
          </w:p>
        </w:tc>
        <w:tc>
          <w:tcPr>
            <w:tcW w:w="1012" w:type="dxa"/>
            <w:tcBorders>
              <w:top w:val="nil"/>
              <w:left w:val="nil"/>
              <w:bottom w:val="single" w:sz="4" w:space="0" w:color="auto"/>
              <w:right w:val="single" w:sz="4" w:space="0" w:color="auto"/>
            </w:tcBorders>
          </w:tcPr>
          <w:p w14:paraId="5FBFD5C2" w14:textId="77777777" w:rsidR="00136BCF" w:rsidRDefault="00136BCF" w:rsidP="00136BCF">
            <w:pPr>
              <w:jc w:val="right"/>
              <w:rPr>
                <w:rFonts w:cs="Arial"/>
              </w:rPr>
            </w:pPr>
            <w:r>
              <w:rPr>
                <w:rFonts w:cs="Arial"/>
              </w:rPr>
              <w:t>394</w:t>
            </w:r>
          </w:p>
        </w:tc>
        <w:tc>
          <w:tcPr>
            <w:tcW w:w="1012" w:type="dxa"/>
            <w:tcBorders>
              <w:top w:val="nil"/>
              <w:left w:val="nil"/>
              <w:bottom w:val="single" w:sz="4" w:space="0" w:color="auto"/>
              <w:right w:val="single" w:sz="4" w:space="0" w:color="auto"/>
            </w:tcBorders>
          </w:tcPr>
          <w:p w14:paraId="2ECE07EF" w14:textId="7D95C579" w:rsidR="00136BCF" w:rsidRDefault="00136BCF" w:rsidP="00136BCF">
            <w:pPr>
              <w:jc w:val="right"/>
              <w:rPr>
                <w:rFonts w:cs="Arial"/>
              </w:rPr>
            </w:pPr>
            <w:r>
              <w:rPr>
                <w:rFonts w:cs="Arial"/>
              </w:rPr>
              <w:t>391</w:t>
            </w:r>
          </w:p>
        </w:tc>
      </w:tr>
      <w:tr w:rsidR="00136BCF" w:rsidRPr="0093030B" w14:paraId="2D28092C" w14:textId="3113196B" w:rsidTr="00237A61">
        <w:trPr>
          <w:trHeight w:val="255"/>
        </w:trPr>
        <w:tc>
          <w:tcPr>
            <w:tcW w:w="3460" w:type="dxa"/>
            <w:tcBorders>
              <w:top w:val="nil"/>
              <w:left w:val="single" w:sz="4" w:space="0" w:color="auto"/>
              <w:bottom w:val="single" w:sz="4" w:space="0" w:color="auto"/>
              <w:right w:val="single" w:sz="4" w:space="0" w:color="auto"/>
            </w:tcBorders>
            <w:noWrap/>
            <w:vAlign w:val="bottom"/>
          </w:tcPr>
          <w:p w14:paraId="6F17C19B" w14:textId="77777777" w:rsidR="00136BCF" w:rsidRPr="0093030B" w:rsidRDefault="00136BCF" w:rsidP="00136BCF">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1A3CCC03" w14:textId="77777777" w:rsidR="00136BCF" w:rsidRDefault="00136BCF" w:rsidP="00136BCF">
            <w:pPr>
              <w:jc w:val="right"/>
              <w:rPr>
                <w:rFonts w:cs="Arial"/>
              </w:rPr>
            </w:pPr>
            <w:r>
              <w:rPr>
                <w:rFonts w:cs="Arial"/>
              </w:rPr>
              <w:t>270</w:t>
            </w:r>
          </w:p>
        </w:tc>
        <w:tc>
          <w:tcPr>
            <w:tcW w:w="1012" w:type="dxa"/>
            <w:tcBorders>
              <w:top w:val="nil"/>
              <w:left w:val="nil"/>
              <w:bottom w:val="single" w:sz="4" w:space="0" w:color="auto"/>
              <w:right w:val="single" w:sz="4" w:space="0" w:color="auto"/>
            </w:tcBorders>
          </w:tcPr>
          <w:p w14:paraId="296B4BB5" w14:textId="77777777" w:rsidR="00136BCF" w:rsidRDefault="00136BCF" w:rsidP="00136BCF">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14443693" w14:textId="77777777" w:rsidR="00136BCF" w:rsidRDefault="00136BCF" w:rsidP="00136BCF">
            <w:pPr>
              <w:jc w:val="right"/>
              <w:rPr>
                <w:rFonts w:cs="Arial"/>
              </w:rPr>
            </w:pPr>
            <w:r>
              <w:rPr>
                <w:rFonts w:cs="Arial"/>
              </w:rPr>
              <w:t>172</w:t>
            </w:r>
          </w:p>
        </w:tc>
        <w:tc>
          <w:tcPr>
            <w:tcW w:w="1012" w:type="dxa"/>
            <w:tcBorders>
              <w:top w:val="nil"/>
              <w:left w:val="nil"/>
              <w:bottom w:val="single" w:sz="4" w:space="0" w:color="auto"/>
              <w:right w:val="single" w:sz="4" w:space="0" w:color="auto"/>
            </w:tcBorders>
          </w:tcPr>
          <w:p w14:paraId="17EE5463" w14:textId="77777777" w:rsidR="00136BCF" w:rsidRDefault="00136BCF" w:rsidP="00136BCF">
            <w:pPr>
              <w:jc w:val="right"/>
              <w:rPr>
                <w:rFonts w:cs="Arial"/>
              </w:rPr>
            </w:pPr>
            <w:r>
              <w:rPr>
                <w:rFonts w:cs="Arial"/>
              </w:rPr>
              <w:t>139</w:t>
            </w:r>
          </w:p>
        </w:tc>
        <w:tc>
          <w:tcPr>
            <w:tcW w:w="1012" w:type="dxa"/>
            <w:tcBorders>
              <w:top w:val="nil"/>
              <w:left w:val="nil"/>
              <w:bottom w:val="single" w:sz="4" w:space="0" w:color="auto"/>
              <w:right w:val="single" w:sz="4" w:space="0" w:color="auto"/>
            </w:tcBorders>
          </w:tcPr>
          <w:p w14:paraId="44C2DD2F" w14:textId="75C5A718" w:rsidR="00136BCF" w:rsidRDefault="00136BCF" w:rsidP="00136BCF">
            <w:pPr>
              <w:jc w:val="right"/>
              <w:rPr>
                <w:rFonts w:cs="Arial"/>
              </w:rPr>
            </w:pPr>
            <w:r>
              <w:rPr>
                <w:rFonts w:cs="Arial"/>
              </w:rPr>
              <w:t>234</w:t>
            </w:r>
          </w:p>
        </w:tc>
      </w:tr>
      <w:tr w:rsidR="00136BCF" w:rsidRPr="0093030B" w14:paraId="0561A610" w14:textId="02AC4093" w:rsidTr="00237A61">
        <w:trPr>
          <w:trHeight w:val="255"/>
        </w:trPr>
        <w:tc>
          <w:tcPr>
            <w:tcW w:w="3460" w:type="dxa"/>
            <w:tcBorders>
              <w:top w:val="nil"/>
              <w:left w:val="single" w:sz="4" w:space="0" w:color="auto"/>
              <w:bottom w:val="single" w:sz="4" w:space="0" w:color="auto"/>
              <w:right w:val="single" w:sz="4" w:space="0" w:color="auto"/>
            </w:tcBorders>
            <w:noWrap/>
            <w:vAlign w:val="bottom"/>
            <w:hideMark/>
          </w:tcPr>
          <w:p w14:paraId="73F4A117" w14:textId="77777777" w:rsidR="00136BCF" w:rsidRPr="0093030B" w:rsidRDefault="00136BCF" w:rsidP="00136BCF">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269AEB40" w14:textId="77777777" w:rsidR="00136BCF" w:rsidRDefault="00136BCF" w:rsidP="00136BCF">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203FCAEC" w14:textId="77777777" w:rsidR="00136BCF" w:rsidRDefault="00136BCF" w:rsidP="00136BCF">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4A587CF3" w14:textId="77777777" w:rsidR="00136BCF" w:rsidRDefault="00136BCF" w:rsidP="00136BCF">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3FBE5F7A" w14:textId="77777777" w:rsidR="00136BCF" w:rsidRDefault="00136BCF" w:rsidP="00136BCF">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2535FB7B" w14:textId="3AA8328A" w:rsidR="00136BCF" w:rsidRDefault="00136BCF" w:rsidP="00136BCF">
            <w:pPr>
              <w:jc w:val="right"/>
              <w:rPr>
                <w:rFonts w:cs="Arial"/>
              </w:rPr>
            </w:pPr>
            <w:r>
              <w:rPr>
                <w:rFonts w:cs="Arial"/>
              </w:rPr>
              <w:t>51</w:t>
            </w:r>
          </w:p>
        </w:tc>
      </w:tr>
      <w:tr w:rsidR="00136BCF" w:rsidRPr="0093030B" w14:paraId="056CE5BE" w14:textId="22FD5A61" w:rsidTr="00237A61">
        <w:trPr>
          <w:trHeight w:val="255"/>
        </w:trPr>
        <w:tc>
          <w:tcPr>
            <w:tcW w:w="3460" w:type="dxa"/>
            <w:tcBorders>
              <w:top w:val="nil"/>
              <w:left w:val="single" w:sz="4" w:space="0" w:color="auto"/>
              <w:bottom w:val="single" w:sz="4" w:space="0" w:color="auto"/>
              <w:right w:val="single" w:sz="4" w:space="0" w:color="auto"/>
            </w:tcBorders>
            <w:noWrap/>
            <w:hideMark/>
          </w:tcPr>
          <w:p w14:paraId="0E2C6605" w14:textId="77777777" w:rsidR="00136BCF" w:rsidRPr="0093030B" w:rsidRDefault="00136BCF" w:rsidP="00136BCF">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6E7C3FD5" w14:textId="77777777" w:rsidR="00136BCF" w:rsidRDefault="00136BCF" w:rsidP="00136BCF">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2FA9BC9A" w14:textId="77777777" w:rsidR="00136BCF" w:rsidRDefault="00136BCF" w:rsidP="00136BCF">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1DB51AEB" w14:textId="77777777" w:rsidR="00136BCF" w:rsidRDefault="00136BCF" w:rsidP="00136BCF">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47D65AF9" w14:textId="77777777" w:rsidR="00136BCF" w:rsidRDefault="00136BCF" w:rsidP="00136BCF">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6C810AA9" w14:textId="61A7A47C" w:rsidR="00136BCF" w:rsidRDefault="00136BCF" w:rsidP="00136BCF">
            <w:pPr>
              <w:jc w:val="right"/>
              <w:rPr>
                <w:rFonts w:cs="Arial"/>
                <w:b/>
                <w:bCs/>
              </w:rPr>
            </w:pPr>
            <w:r>
              <w:rPr>
                <w:rFonts w:cs="Arial"/>
                <w:b/>
                <w:bCs/>
              </w:rPr>
              <w:t>1181</w:t>
            </w:r>
          </w:p>
        </w:tc>
      </w:tr>
    </w:tbl>
    <w:p w14:paraId="6BA31C39" w14:textId="1F669103" w:rsidR="005A5B78" w:rsidRDefault="005A5B78" w:rsidP="005A5B78">
      <w:pPr>
        <w:ind w:left="-142" w:right="-425"/>
        <w:jc w:val="both"/>
        <w:rPr>
          <w:rFonts w:cs="Arial"/>
        </w:rPr>
      </w:pPr>
    </w:p>
    <w:p w14:paraId="6B7E9BDC" w14:textId="18449FB9" w:rsidR="005A5B78" w:rsidRDefault="007E65A1" w:rsidP="005A5B78">
      <w:pPr>
        <w:ind w:left="-142" w:right="-425"/>
        <w:jc w:val="both"/>
        <w:rPr>
          <w:rFonts w:cs="Arial"/>
        </w:rPr>
      </w:pPr>
      <w:r>
        <w:rPr>
          <w:rFonts w:cs="Arial"/>
        </w:rPr>
        <w:t xml:space="preserve">For quarter </w:t>
      </w:r>
      <w:r w:rsidR="00960C5D">
        <w:rPr>
          <w:rFonts w:cs="Arial"/>
        </w:rPr>
        <w:t>4</w:t>
      </w:r>
      <w:r w:rsidR="00586EE4">
        <w:rPr>
          <w:rFonts w:cs="Arial"/>
        </w:rPr>
        <w:t>9</w:t>
      </w:r>
      <w:r w:rsidR="00D4333F">
        <w:rPr>
          <w:rFonts w:cs="Arial"/>
        </w:rPr>
        <w:t>,</w:t>
      </w:r>
      <w:r>
        <w:rPr>
          <w:rFonts w:cs="Arial"/>
        </w:rPr>
        <w:t xml:space="preserve"> </w:t>
      </w:r>
      <w:r w:rsidR="00AA756B">
        <w:rPr>
          <w:rFonts w:cs="Arial"/>
        </w:rPr>
        <w:t>47.</w:t>
      </w:r>
      <w:r w:rsidR="00B06876">
        <w:rPr>
          <w:rFonts w:cs="Arial"/>
        </w:rPr>
        <w:t>9</w:t>
      </w:r>
      <w:r w:rsidR="005A5B78" w:rsidRPr="004A208F">
        <w:rPr>
          <w:rFonts w:cs="Arial"/>
        </w:rPr>
        <w:t xml:space="preserve"> percent of clients have received more than one notice with </w:t>
      </w:r>
      <w:r w:rsidR="00B06876">
        <w:rPr>
          <w:rFonts w:cs="Arial"/>
        </w:rPr>
        <w:t>2.1</w:t>
      </w:r>
      <w:r w:rsidR="005A5B78" w:rsidRPr="004A208F">
        <w:rPr>
          <w:rFonts w:cs="Arial"/>
        </w:rPr>
        <w:t xml:space="preserve"> percent of clients receiving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w:t>
      </w:r>
      <w:r w:rsidR="002D083F">
        <w:rPr>
          <w:rFonts w:cs="Arial"/>
        </w:rPr>
        <w:t xml:space="preserve"> This </w:t>
      </w:r>
      <w:r w:rsidR="0016768A">
        <w:rPr>
          <w:rFonts w:cs="Arial"/>
        </w:rPr>
        <w:t>may</w:t>
      </w:r>
      <w:r w:rsidR="002D083F">
        <w:rPr>
          <w:rFonts w:cs="Arial"/>
        </w:rPr>
        <w:t xml:space="preserve"> also be suggestive of the complexity of behaviours</w:t>
      </w:r>
      <w:r w:rsidR="0016768A">
        <w:rPr>
          <w:rFonts w:cs="Arial"/>
        </w:rPr>
        <w:t xml:space="preserve"> </w:t>
      </w:r>
      <w:r w:rsidR="002D083F">
        <w:rPr>
          <w:rFonts w:cs="Arial"/>
        </w:rPr>
        <w:t>experienced</w:t>
      </w:r>
      <w:r w:rsidR="0016768A">
        <w:rPr>
          <w:rFonts w:cs="Arial"/>
        </w:rPr>
        <w:t xml:space="preserve"> by a significant proportion of our clients</w:t>
      </w:r>
      <w:r w:rsidR="00762F44">
        <w:rPr>
          <w:rFonts w:cs="Arial"/>
        </w:rPr>
        <w:t>.</w:t>
      </w:r>
      <w:r w:rsidR="0016768A">
        <w:rPr>
          <w:rFonts w:cs="Arial"/>
        </w:rPr>
        <w:t xml:space="preserve"> </w:t>
      </w:r>
      <w:r w:rsidR="005A5B78" w:rsidRPr="004A208F">
        <w:rPr>
          <w:rFonts w:cs="Arial"/>
        </w:rPr>
        <w:t xml:space="preserve">Conversely, </w:t>
      </w:r>
      <w:r w:rsidR="00762F44">
        <w:rPr>
          <w:rFonts w:cs="Arial"/>
        </w:rPr>
        <w:t xml:space="preserve">it is important to note </w:t>
      </w:r>
      <w:r w:rsidR="00513A5D">
        <w:rPr>
          <w:rFonts w:cs="Arial"/>
        </w:rPr>
        <w:t>the majority of</w:t>
      </w:r>
      <w:r w:rsidR="00762F44">
        <w:rPr>
          <w:rFonts w:cs="Arial"/>
        </w:rPr>
        <w:t xml:space="preserve"> FRC</w:t>
      </w:r>
      <w:r w:rsidR="00513A5D">
        <w:rPr>
          <w:rFonts w:cs="Arial"/>
        </w:rPr>
        <w:t xml:space="preserve"> clients (</w:t>
      </w:r>
      <w:r w:rsidR="00AA756B">
        <w:rPr>
          <w:rFonts w:cs="Arial"/>
        </w:rPr>
        <w:t>52.</w:t>
      </w:r>
      <w:r w:rsidR="00B06876">
        <w:rPr>
          <w:rFonts w:cs="Arial"/>
        </w:rPr>
        <w:t>1</w:t>
      </w:r>
      <w:r w:rsidR="00995462" w:rsidRPr="004A208F">
        <w:rPr>
          <w:rFonts w:cs="Arial"/>
        </w:rPr>
        <w:t xml:space="preserve"> </w:t>
      </w:r>
      <w:r w:rsidR="005A5B78" w:rsidRPr="004A208F">
        <w:rPr>
          <w:rFonts w:cs="Arial"/>
        </w:rPr>
        <w:t>percent</w:t>
      </w:r>
      <w:r w:rsidR="00513A5D">
        <w:rPr>
          <w:rFonts w:cs="Arial"/>
        </w:rPr>
        <w:t>)</w:t>
      </w:r>
      <w:r w:rsidR="005A5B78" w:rsidRPr="004A208F">
        <w:rPr>
          <w:rFonts w:cs="Arial"/>
        </w:rPr>
        <w:t xml:space="preserve"> have received only one notice</w:t>
      </w:r>
      <w:r w:rsidR="00762F44">
        <w:rPr>
          <w:rFonts w:cs="Arial"/>
        </w:rPr>
        <w:t xml:space="preserve"> during the reporting period.</w:t>
      </w:r>
      <w:r w:rsidR="00CA73A5">
        <w:rPr>
          <w:rFonts w:cs="Arial"/>
        </w:rPr>
        <w:t xml:space="preserve"> </w:t>
      </w:r>
      <w:r w:rsidR="00FE73FA">
        <w:rPr>
          <w:rFonts w:cs="Arial"/>
        </w:rPr>
        <w:t xml:space="preserve">This </w:t>
      </w:r>
      <w:r w:rsidR="00792AA1">
        <w:rPr>
          <w:rFonts w:cs="Arial"/>
        </w:rPr>
        <w:t xml:space="preserve">trend has been </w:t>
      </w:r>
      <w:r w:rsidR="00FE73FA">
        <w:rPr>
          <w:rFonts w:cs="Arial"/>
        </w:rPr>
        <w:t xml:space="preserve">observed over the past twelve months. </w:t>
      </w:r>
      <w:r w:rsidR="00EB54BF">
        <w:rPr>
          <w:rFonts w:cs="Arial"/>
        </w:rPr>
        <w:t>Thirty</w:t>
      </w:r>
      <w:r w:rsidR="00BF08C6">
        <w:rPr>
          <w:rFonts w:cs="Arial"/>
        </w:rPr>
        <w:t>-</w:t>
      </w:r>
      <w:r w:rsidR="00EB54BF">
        <w:rPr>
          <w:rFonts w:cs="Arial"/>
        </w:rPr>
        <w:t xml:space="preserve">two </w:t>
      </w:r>
      <w:r w:rsidR="00CA73A5">
        <w:rPr>
          <w:rFonts w:cs="Arial"/>
        </w:rPr>
        <w:t>new clients were added to the Commission’s database during the quarter.</w:t>
      </w:r>
    </w:p>
    <w:p w14:paraId="732E2926" w14:textId="77777777" w:rsidR="00217A11" w:rsidRDefault="00217A11" w:rsidP="005A5B78">
      <w:pPr>
        <w:ind w:left="-142" w:right="-425"/>
        <w:jc w:val="both"/>
        <w:rPr>
          <w:rFonts w:cs="Arial"/>
        </w:rPr>
      </w:pPr>
    </w:p>
    <w:p w14:paraId="698AB101" w14:textId="69D8A520" w:rsidR="00A96CAD" w:rsidRPr="00D925BE" w:rsidRDefault="00A96CAD" w:rsidP="00A96CAD">
      <w:pPr>
        <w:spacing w:after="120" w:line="240" w:lineRule="auto"/>
        <w:ind w:right="-425"/>
        <w:jc w:val="both"/>
        <w:rPr>
          <w:b/>
          <w:sz w:val="16"/>
          <w:szCs w:val="16"/>
        </w:rPr>
      </w:pPr>
      <w:r w:rsidRPr="00362EE1">
        <w:rPr>
          <w:b/>
          <w:sz w:val="16"/>
          <w:szCs w:val="16"/>
        </w:rPr>
        <w:t xml:space="preserve">Table </w:t>
      </w:r>
      <w:r>
        <w:rPr>
          <w:b/>
          <w:sz w:val="16"/>
          <w:szCs w:val="16"/>
        </w:rPr>
        <w:t>5</w:t>
      </w:r>
      <w:r w:rsidRPr="00362EE1">
        <w:rPr>
          <w:b/>
          <w:sz w:val="16"/>
          <w:szCs w:val="16"/>
        </w:rPr>
        <w:t xml:space="preserve">: </w:t>
      </w:r>
      <w:r w:rsidRPr="00362EE1">
        <w:rPr>
          <w:sz w:val="16"/>
          <w:szCs w:val="16"/>
        </w:rPr>
        <w:t>FRC clients by numb</w:t>
      </w:r>
      <w:r>
        <w:rPr>
          <w:sz w:val="16"/>
          <w:szCs w:val="16"/>
        </w:rPr>
        <w:t>er of notices 1 July 2020 to 30 September 2020</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A96CAD" w:rsidRPr="006E764C" w14:paraId="7BFDEBB6" w14:textId="77777777" w:rsidTr="00544691">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08B5652F" w14:textId="77777777" w:rsidR="00A96CAD" w:rsidRPr="0093030B" w:rsidRDefault="00A96CAD" w:rsidP="00544691">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31F76C2E" w14:textId="77777777" w:rsidR="00A96CAD" w:rsidRPr="0093030B" w:rsidRDefault="00A96CAD" w:rsidP="00544691">
            <w:pPr>
              <w:pStyle w:val="TableText"/>
              <w:rPr>
                <w:b/>
                <w:lang w:eastAsia="en-AU"/>
              </w:rPr>
            </w:pPr>
            <w:r w:rsidRPr="0093030B">
              <w:rPr>
                <w:b/>
                <w:lang w:eastAsia="en-AU"/>
              </w:rPr>
              <w:t>Number of Clients</w:t>
            </w:r>
          </w:p>
        </w:tc>
      </w:tr>
      <w:tr w:rsidR="009116D6" w:rsidRPr="006E764C" w14:paraId="3F124035"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57489E80" w14:textId="77777777" w:rsidR="009116D6" w:rsidRPr="006E764C" w:rsidRDefault="009116D6" w:rsidP="009116D6">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tcPr>
          <w:p w14:paraId="17F5783B" w14:textId="7ADC6E78" w:rsidR="009116D6" w:rsidRPr="00507B51" w:rsidRDefault="009116D6" w:rsidP="009116D6">
            <w:pPr>
              <w:jc w:val="right"/>
              <w:rPr>
                <w:rFonts w:cs="Arial"/>
              </w:rPr>
            </w:pPr>
            <w:r w:rsidRPr="00507B51">
              <w:rPr>
                <w:rFonts w:cs="Arial"/>
              </w:rPr>
              <w:t>324</w:t>
            </w:r>
          </w:p>
        </w:tc>
      </w:tr>
      <w:tr w:rsidR="009116D6" w:rsidRPr="006E764C" w14:paraId="7867716E"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3A3603C0" w14:textId="77777777" w:rsidR="009116D6" w:rsidRPr="006E764C" w:rsidRDefault="009116D6" w:rsidP="009116D6">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tcPr>
          <w:p w14:paraId="453AB611" w14:textId="7586F949" w:rsidR="009116D6" w:rsidRPr="00507B51" w:rsidRDefault="009116D6" w:rsidP="009116D6">
            <w:pPr>
              <w:jc w:val="right"/>
              <w:rPr>
                <w:rFonts w:cs="Arial"/>
              </w:rPr>
            </w:pPr>
            <w:r w:rsidRPr="00507B51">
              <w:rPr>
                <w:rFonts w:cs="Arial"/>
              </w:rPr>
              <w:t>152</w:t>
            </w:r>
          </w:p>
        </w:tc>
      </w:tr>
      <w:tr w:rsidR="009116D6" w:rsidRPr="006E764C" w14:paraId="5CB9FD22"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33777F33" w14:textId="77777777" w:rsidR="009116D6" w:rsidRPr="006E764C" w:rsidRDefault="009116D6" w:rsidP="009116D6">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tcPr>
          <w:p w14:paraId="0A579349" w14:textId="561663EC" w:rsidR="009116D6" w:rsidRPr="00507B51" w:rsidRDefault="009116D6" w:rsidP="009116D6">
            <w:pPr>
              <w:jc w:val="right"/>
              <w:rPr>
                <w:rFonts w:cs="Arial"/>
              </w:rPr>
            </w:pPr>
            <w:r w:rsidRPr="00507B51">
              <w:rPr>
                <w:rFonts w:cs="Arial"/>
              </w:rPr>
              <w:t>85</w:t>
            </w:r>
          </w:p>
        </w:tc>
      </w:tr>
      <w:tr w:rsidR="009116D6" w:rsidRPr="006E764C" w14:paraId="206DB512"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6630E23B" w14:textId="77777777" w:rsidR="009116D6" w:rsidRPr="006E764C" w:rsidRDefault="009116D6" w:rsidP="009116D6">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tcPr>
          <w:p w14:paraId="7C63EC50" w14:textId="34043F0F" w:rsidR="009116D6" w:rsidRPr="00507B51" w:rsidRDefault="009116D6" w:rsidP="009116D6">
            <w:pPr>
              <w:jc w:val="right"/>
              <w:rPr>
                <w:rFonts w:cs="Arial"/>
              </w:rPr>
            </w:pPr>
            <w:r w:rsidRPr="00507B51">
              <w:rPr>
                <w:rFonts w:cs="Arial"/>
              </w:rPr>
              <w:t>38</w:t>
            </w:r>
          </w:p>
        </w:tc>
      </w:tr>
      <w:tr w:rsidR="009116D6" w:rsidRPr="006E764C" w14:paraId="49AFD877"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2BC83EB2" w14:textId="77777777" w:rsidR="009116D6" w:rsidRPr="006E764C" w:rsidRDefault="009116D6" w:rsidP="009116D6">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tcPr>
          <w:p w14:paraId="3C19ED42" w14:textId="21F3F2A0" w:rsidR="009116D6" w:rsidRPr="00507B51" w:rsidRDefault="009116D6" w:rsidP="009116D6">
            <w:pPr>
              <w:jc w:val="right"/>
              <w:rPr>
                <w:rFonts w:cs="Arial"/>
              </w:rPr>
            </w:pPr>
            <w:r w:rsidRPr="00507B51">
              <w:rPr>
                <w:rFonts w:cs="Arial"/>
              </w:rPr>
              <w:t>10</w:t>
            </w:r>
          </w:p>
        </w:tc>
      </w:tr>
      <w:tr w:rsidR="009116D6" w:rsidRPr="006E764C" w14:paraId="49419A38"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7A101EC0" w14:textId="77777777" w:rsidR="009116D6" w:rsidRPr="006E764C" w:rsidRDefault="009116D6" w:rsidP="009116D6">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tcPr>
          <w:p w14:paraId="57789D91" w14:textId="26AFA53D" w:rsidR="009116D6" w:rsidRPr="00507B51" w:rsidRDefault="009116D6" w:rsidP="009116D6">
            <w:pPr>
              <w:jc w:val="right"/>
              <w:rPr>
                <w:rFonts w:cs="Arial"/>
              </w:rPr>
            </w:pPr>
            <w:r w:rsidRPr="00507B51">
              <w:rPr>
                <w:rFonts w:cs="Arial"/>
              </w:rPr>
              <w:t>13</w:t>
            </w:r>
          </w:p>
        </w:tc>
      </w:tr>
      <w:tr w:rsidR="009116D6" w:rsidRPr="006E764C" w14:paraId="7A32A654" w14:textId="77777777" w:rsidTr="00544691">
        <w:trPr>
          <w:trHeight w:val="255"/>
        </w:trPr>
        <w:tc>
          <w:tcPr>
            <w:tcW w:w="3220" w:type="dxa"/>
            <w:tcBorders>
              <w:top w:val="nil"/>
              <w:left w:val="single" w:sz="4" w:space="0" w:color="auto"/>
              <w:bottom w:val="single" w:sz="4" w:space="0" w:color="auto"/>
              <w:right w:val="single" w:sz="4" w:space="0" w:color="auto"/>
            </w:tcBorders>
            <w:noWrap/>
            <w:hideMark/>
          </w:tcPr>
          <w:p w14:paraId="74C62850" w14:textId="77777777" w:rsidR="009116D6" w:rsidRPr="00645916" w:rsidRDefault="009116D6" w:rsidP="009116D6">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tcPr>
          <w:p w14:paraId="71057A53" w14:textId="3B62E915" w:rsidR="009116D6" w:rsidRPr="00507B51" w:rsidRDefault="009116D6" w:rsidP="009116D6">
            <w:pPr>
              <w:jc w:val="right"/>
              <w:rPr>
                <w:rFonts w:cs="Arial"/>
                <w:b/>
                <w:bCs/>
              </w:rPr>
            </w:pPr>
            <w:r w:rsidRPr="00507B51">
              <w:rPr>
                <w:rFonts w:cs="Arial"/>
                <w:b/>
                <w:bCs/>
              </w:rPr>
              <w:t>622</w:t>
            </w:r>
          </w:p>
        </w:tc>
      </w:tr>
    </w:tbl>
    <w:p w14:paraId="0423DF2D" w14:textId="77777777" w:rsidR="00A96CAD" w:rsidRDefault="00A96CAD" w:rsidP="00A96CAD">
      <w:pPr>
        <w:ind w:left="-142" w:right="-425"/>
        <w:jc w:val="both"/>
        <w:rPr>
          <w:rFonts w:cs="Arial"/>
        </w:rPr>
      </w:pPr>
    </w:p>
    <w:p w14:paraId="6F358228" w14:textId="77777777" w:rsidR="00A96CAD" w:rsidRDefault="00A96CAD" w:rsidP="00A96CAD">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72CF3D4D" w14:textId="77777777" w:rsidR="00A96CAD" w:rsidRDefault="00A96CAD" w:rsidP="00A96CAD">
      <w:pPr>
        <w:ind w:left="-142" w:right="-425"/>
        <w:jc w:val="both"/>
        <w:rPr>
          <w:rFonts w:cs="Arial"/>
          <w:sz w:val="16"/>
          <w:szCs w:val="16"/>
        </w:rPr>
      </w:pPr>
    </w:p>
    <w:p w14:paraId="2477A76E" w14:textId="77777777" w:rsidR="00A96CAD" w:rsidRDefault="00A96CAD">
      <w:pPr>
        <w:spacing w:line="240" w:lineRule="auto"/>
        <w:rPr>
          <w:rFonts w:cs="Arial"/>
          <w:b/>
          <w:spacing w:val="-4"/>
          <w:kern w:val="28"/>
        </w:rPr>
      </w:pPr>
      <w:r>
        <w:br w:type="page"/>
      </w:r>
    </w:p>
    <w:p w14:paraId="5D53EAA0" w14:textId="29B51F1F" w:rsidR="005A5B78" w:rsidRPr="00076ED0" w:rsidRDefault="005A5B78" w:rsidP="00031C25">
      <w:pPr>
        <w:pStyle w:val="Heading2"/>
      </w:pPr>
      <w:r w:rsidRPr="006E39F0">
        <w:lastRenderedPageBreak/>
        <w:t>Conferences</w:t>
      </w:r>
    </w:p>
    <w:p w14:paraId="775CD6DC" w14:textId="2105ECA8" w:rsidR="00DD1B0A" w:rsidRDefault="00AE1804" w:rsidP="00233EAC">
      <w:pPr>
        <w:ind w:left="-142" w:right="-425"/>
        <w:jc w:val="both"/>
        <w:rPr>
          <w:rFonts w:cs="Arial"/>
        </w:rPr>
      </w:pPr>
      <w:r>
        <w:rPr>
          <w:rFonts w:cs="Arial"/>
        </w:rPr>
        <w:t xml:space="preserve">A total of </w:t>
      </w:r>
      <w:r w:rsidR="00B4516C">
        <w:rPr>
          <w:rFonts w:cs="Arial"/>
        </w:rPr>
        <w:t xml:space="preserve">331 </w:t>
      </w:r>
      <w:r w:rsidR="005A5B78" w:rsidRPr="00213E4C">
        <w:rPr>
          <w:rFonts w:cs="Arial"/>
        </w:rPr>
        <w:t>conferences</w:t>
      </w:r>
      <w:r w:rsidR="005A5B78" w:rsidRPr="0081647B">
        <w:rPr>
          <w:rStyle w:val="FootnoteReference"/>
        </w:rPr>
        <w:footnoteReference w:id="8"/>
      </w:r>
      <w:r w:rsidR="0051235F">
        <w:rPr>
          <w:rFonts w:cs="Arial"/>
        </w:rPr>
        <w:t xml:space="preserve"> </w:t>
      </w:r>
      <w:r w:rsidR="00E44EBF">
        <w:rPr>
          <w:rFonts w:cs="Arial"/>
        </w:rPr>
        <w:t>(</w:t>
      </w:r>
      <w:r w:rsidR="0051235F">
        <w:rPr>
          <w:rFonts w:cs="Arial"/>
        </w:rPr>
        <w:t xml:space="preserve">relating to </w:t>
      </w:r>
      <w:r w:rsidR="00B4516C">
        <w:rPr>
          <w:rFonts w:cs="Arial"/>
        </w:rPr>
        <w:t xml:space="preserve">257 </w:t>
      </w:r>
      <w:r w:rsidR="0051235F">
        <w:rPr>
          <w:rFonts w:cs="Arial"/>
        </w:rPr>
        <w:t>clients</w:t>
      </w:r>
      <w:r w:rsidR="00FC76B8">
        <w:rPr>
          <w:rFonts w:cs="Arial"/>
        </w:rPr>
        <w:t xml:space="preserve"> </w:t>
      </w:r>
      <w:r w:rsidR="00A8670D">
        <w:rPr>
          <w:rFonts w:cs="Arial"/>
        </w:rPr>
        <w:t>served to attend conference</w:t>
      </w:r>
      <w:r w:rsidR="00E44EBF">
        <w:rPr>
          <w:rFonts w:cs="Arial"/>
        </w:rPr>
        <w:t>)</w:t>
      </w:r>
      <w:r>
        <w:rPr>
          <w:rFonts w:cs="Arial"/>
        </w:rPr>
        <w:t xml:space="preserve">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960C5D">
        <w:rPr>
          <w:rFonts w:cs="Arial"/>
        </w:rPr>
        <w:t>4</w:t>
      </w:r>
      <w:r w:rsidR="00F10BEA">
        <w:rPr>
          <w:rFonts w:cs="Arial"/>
        </w:rPr>
        <w:t>9</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w:t>
      </w:r>
      <w:r w:rsidR="00F1537E">
        <w:rPr>
          <w:rFonts w:cs="Arial"/>
        </w:rPr>
        <w:t xml:space="preserve"> </w:t>
      </w:r>
      <w:r w:rsidR="00E265B7">
        <w:rPr>
          <w:rFonts w:cs="Arial"/>
        </w:rPr>
        <w:t>(</w:t>
      </w:r>
      <w:r w:rsidR="00F1537E">
        <w:rPr>
          <w:rFonts w:cs="Arial"/>
        </w:rPr>
        <w:t>for the first time</w:t>
      </w:r>
      <w:r w:rsidR="00E265B7">
        <w:rPr>
          <w:rFonts w:cs="Arial"/>
        </w:rPr>
        <w:t>)</w:t>
      </w:r>
      <w:r w:rsidR="005A5B78" w:rsidRPr="00901D09">
        <w:rPr>
          <w:rFonts w:cs="Arial"/>
        </w:rPr>
        <w:t xml:space="preserve"> </w:t>
      </w:r>
      <w:r w:rsidR="0042279A">
        <w:rPr>
          <w:rFonts w:cs="Arial"/>
        </w:rPr>
        <w:t xml:space="preserve">3 voluntary agreements to attend community support services, </w:t>
      </w:r>
      <w:r w:rsidR="00B4516C">
        <w:rPr>
          <w:rFonts w:cs="Arial"/>
        </w:rPr>
        <w:t>3</w:t>
      </w:r>
      <w:r w:rsidR="00F77D0B">
        <w:rPr>
          <w:rFonts w:cs="Arial"/>
        </w:rPr>
        <w:t>9</w:t>
      </w:r>
      <w:r w:rsidR="0070023D">
        <w:rPr>
          <w:rFonts w:cs="Arial"/>
        </w:rPr>
        <w:t xml:space="preserve"> agreements to </w:t>
      </w:r>
      <w:r w:rsidR="007727B0">
        <w:rPr>
          <w:rFonts w:cs="Arial"/>
        </w:rPr>
        <w:t>attend community support services</w:t>
      </w:r>
      <w:r w:rsidR="0004774C">
        <w:rPr>
          <w:rFonts w:cs="Arial"/>
        </w:rPr>
        <w:t xml:space="preserve">, </w:t>
      </w:r>
      <w:r w:rsidR="00B4516C">
        <w:rPr>
          <w:rFonts w:cs="Arial"/>
        </w:rPr>
        <w:t>1 agreement for CIM, 44</w:t>
      </w:r>
      <w:r w:rsidR="00B4516C" w:rsidRPr="00DA470C">
        <w:rPr>
          <w:rFonts w:cs="Arial"/>
        </w:rPr>
        <w:t xml:space="preserve"> </w:t>
      </w:r>
      <w:r w:rsidR="005A5B78">
        <w:rPr>
          <w:rFonts w:cs="Arial"/>
        </w:rPr>
        <w:t>orders</w:t>
      </w:r>
      <w:r w:rsidR="005A5B78" w:rsidRPr="00DA470C">
        <w:rPr>
          <w:rFonts w:cs="Arial"/>
        </w:rPr>
        <w:t xml:space="preserve"> made to attend community support services</w:t>
      </w:r>
      <w:r w:rsidR="00C8108E">
        <w:rPr>
          <w:rFonts w:cs="Arial"/>
        </w:rPr>
        <w:t xml:space="preserve"> </w:t>
      </w:r>
      <w:r w:rsidR="005A5B78" w:rsidRPr="00DA470C">
        <w:rPr>
          <w:rFonts w:cs="Arial"/>
        </w:rPr>
        <w:t xml:space="preserve">and </w:t>
      </w:r>
      <w:r w:rsidR="00B4516C">
        <w:rPr>
          <w:rFonts w:cs="Arial"/>
        </w:rPr>
        <w:t xml:space="preserve">34 </w:t>
      </w:r>
      <w:r w:rsidR="005A5B78">
        <w:rPr>
          <w:rFonts w:cs="Arial"/>
        </w:rPr>
        <w:t>CIM</w:t>
      </w:r>
      <w:r w:rsidR="005A5B78" w:rsidRPr="00DA470C">
        <w:rPr>
          <w:rFonts w:cs="Arial"/>
        </w:rPr>
        <w:t xml:space="preserve"> orders</w:t>
      </w:r>
      <w:r w:rsidR="0034344C">
        <w:rPr>
          <w:rFonts w:cs="Arial"/>
        </w:rPr>
        <w:t xml:space="preserve"> </w:t>
      </w:r>
      <w:r w:rsidR="00057A8F">
        <w:rPr>
          <w:rFonts w:cs="Arial"/>
        </w:rPr>
        <w:t>issued</w:t>
      </w:r>
      <w:r w:rsidR="00D544BC">
        <w:rPr>
          <w:rFonts w:cs="Arial"/>
        </w:rPr>
        <w:t xml:space="preserve">. </w:t>
      </w:r>
      <w:r w:rsidR="009E2936">
        <w:rPr>
          <w:rFonts w:cs="Arial"/>
        </w:rPr>
        <w:t>When compared to last quarter</w:t>
      </w:r>
      <w:r w:rsidR="000806FF">
        <w:rPr>
          <w:rFonts w:cs="Arial"/>
        </w:rPr>
        <w:t xml:space="preserve"> there was</w:t>
      </w:r>
      <w:r w:rsidR="009E2936">
        <w:rPr>
          <w:rFonts w:cs="Arial"/>
        </w:rPr>
        <w:t xml:space="preserve"> </w:t>
      </w:r>
      <w:r w:rsidR="00E53D2A">
        <w:rPr>
          <w:rFonts w:cs="Arial"/>
        </w:rPr>
        <w:t>a</w:t>
      </w:r>
      <w:r w:rsidR="00B4516C">
        <w:rPr>
          <w:rFonts w:cs="Arial"/>
        </w:rPr>
        <w:t xml:space="preserve">n increase </w:t>
      </w:r>
      <w:r w:rsidR="00E265B7">
        <w:rPr>
          <w:rFonts w:cs="Arial"/>
        </w:rPr>
        <w:t xml:space="preserve">of </w:t>
      </w:r>
      <w:r w:rsidR="0042279A">
        <w:rPr>
          <w:rFonts w:cs="Arial"/>
        </w:rPr>
        <w:t xml:space="preserve">3 voluntary agreements to attend community support services, an increase </w:t>
      </w:r>
      <w:r w:rsidR="00E53D2A">
        <w:rPr>
          <w:rFonts w:cs="Arial"/>
        </w:rPr>
        <w:t xml:space="preserve">of </w:t>
      </w:r>
      <w:r w:rsidR="00B4516C">
        <w:rPr>
          <w:rFonts w:cs="Arial"/>
        </w:rPr>
        <w:t>30</w:t>
      </w:r>
      <w:r w:rsidR="00F77D0B">
        <w:rPr>
          <w:rFonts w:cs="Arial"/>
        </w:rPr>
        <w:t xml:space="preserve"> </w:t>
      </w:r>
      <w:r w:rsidR="007727B0">
        <w:rPr>
          <w:rFonts w:cs="Arial"/>
        </w:rPr>
        <w:t>agreements to attend community support services</w:t>
      </w:r>
      <w:r w:rsidR="00B4516C">
        <w:rPr>
          <w:rFonts w:cs="Arial"/>
        </w:rPr>
        <w:t xml:space="preserve"> and an increase of 1 agreement for CIM</w:t>
      </w:r>
      <w:r w:rsidR="00E265B7">
        <w:rPr>
          <w:rFonts w:cs="Arial"/>
        </w:rPr>
        <w:t>. There was also</w:t>
      </w:r>
      <w:r w:rsidR="00011A44">
        <w:rPr>
          <w:rFonts w:cs="Arial"/>
        </w:rPr>
        <w:t xml:space="preserve"> </w:t>
      </w:r>
      <w:r w:rsidR="006D359E">
        <w:rPr>
          <w:rFonts w:cs="Arial"/>
        </w:rPr>
        <w:t xml:space="preserve">a decrease of 31 </w:t>
      </w:r>
      <w:r w:rsidR="0034344C">
        <w:rPr>
          <w:rFonts w:cs="Arial"/>
        </w:rPr>
        <w:t xml:space="preserve">orders to attend community support services and </w:t>
      </w:r>
      <w:r w:rsidR="00E53D2A">
        <w:rPr>
          <w:rFonts w:cs="Arial"/>
        </w:rPr>
        <w:t>a</w:t>
      </w:r>
      <w:r w:rsidR="006D359E">
        <w:rPr>
          <w:rFonts w:cs="Arial"/>
        </w:rPr>
        <w:t xml:space="preserve"> decrease of 17 </w:t>
      </w:r>
      <w:r w:rsidR="009E2936">
        <w:rPr>
          <w:rFonts w:cs="Arial"/>
        </w:rPr>
        <w:t>CIM order</w:t>
      </w:r>
      <w:r w:rsidR="008E6D71">
        <w:rPr>
          <w:rFonts w:cs="Arial"/>
        </w:rPr>
        <w:t>s</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 xml:space="preserve">a number of outcomes for a client, for example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 xml:space="preserve">. </w:t>
      </w:r>
      <w:r w:rsidR="005645FD">
        <w:rPr>
          <w:rFonts w:cs="Arial"/>
        </w:rPr>
        <w:t xml:space="preserve">Other outcomes as a result of conferencing during the quarter </w:t>
      </w:r>
      <w:r w:rsidR="000C4D78">
        <w:rPr>
          <w:rFonts w:cs="Arial"/>
        </w:rPr>
        <w:t>included</w:t>
      </w:r>
      <w:r w:rsidR="005645FD">
        <w:rPr>
          <w:rFonts w:cs="Arial"/>
        </w:rPr>
        <w:t xml:space="preserve"> decisions for </w:t>
      </w:r>
      <w:r w:rsidR="005A5B78" w:rsidRPr="00DA470C">
        <w:rPr>
          <w:rFonts w:cs="Arial"/>
        </w:rPr>
        <w:t xml:space="preserve">no further action, </w:t>
      </w:r>
      <w:r w:rsidR="00B8453F">
        <w:rPr>
          <w:rFonts w:cs="Arial"/>
        </w:rPr>
        <w:t xml:space="preserve">reprimand,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5A5B78" w:rsidRPr="00587232">
        <w:rPr>
          <w:rFonts w:cs="Arial"/>
        </w:rPr>
        <w:t xml:space="preserve">Conferences </w:t>
      </w:r>
      <w:r w:rsidR="00492333">
        <w:rPr>
          <w:rFonts w:cs="Arial"/>
        </w:rPr>
        <w:t>decreased</w:t>
      </w:r>
      <w:r w:rsidR="00492333" w:rsidRPr="00587232">
        <w:rPr>
          <w:rFonts w:cs="Arial"/>
        </w:rPr>
        <w:t xml:space="preserve"> </w:t>
      </w:r>
      <w:r w:rsidR="005A5B78" w:rsidRPr="00587232">
        <w:rPr>
          <w:rFonts w:cs="Arial"/>
        </w:rPr>
        <w:t xml:space="preserve">from </w:t>
      </w:r>
      <w:r w:rsidR="00492333">
        <w:rPr>
          <w:rFonts w:cs="Arial"/>
        </w:rPr>
        <w:t>439</w:t>
      </w:r>
      <w:r w:rsidR="00492333" w:rsidRPr="00587232">
        <w:rPr>
          <w:rFonts w:cs="Arial"/>
        </w:rPr>
        <w:t xml:space="preserve"> </w:t>
      </w:r>
      <w:r w:rsidR="005A5B78" w:rsidRPr="00587232">
        <w:rPr>
          <w:rFonts w:cs="Arial"/>
        </w:rPr>
        <w:t xml:space="preserve">in </w:t>
      </w:r>
      <w:r w:rsidR="000257CF">
        <w:rPr>
          <w:rFonts w:cs="Arial"/>
        </w:rPr>
        <w:t xml:space="preserve">quarter </w:t>
      </w:r>
      <w:r w:rsidR="00A168EF">
        <w:rPr>
          <w:rFonts w:cs="Arial"/>
        </w:rPr>
        <w:t>4</w:t>
      </w:r>
      <w:r w:rsidR="00492333">
        <w:rPr>
          <w:rFonts w:cs="Arial"/>
        </w:rPr>
        <w:t>8</w:t>
      </w:r>
      <w:r w:rsidR="008913DA" w:rsidRPr="00C25193">
        <w:rPr>
          <w:rFonts w:cs="Arial"/>
        </w:rPr>
        <w:t xml:space="preserve"> </w:t>
      </w:r>
      <w:r w:rsidR="005A5B78" w:rsidRPr="005A429B">
        <w:rPr>
          <w:rFonts w:cs="Arial"/>
        </w:rPr>
        <w:t xml:space="preserve">to </w:t>
      </w:r>
      <w:r w:rsidR="00492333">
        <w:rPr>
          <w:rFonts w:cs="Arial"/>
        </w:rPr>
        <w:t>331</w:t>
      </w:r>
      <w:r w:rsidR="00492333" w:rsidRPr="00587232">
        <w:rPr>
          <w:rFonts w:cs="Arial"/>
        </w:rPr>
        <w:t xml:space="preserve"> </w:t>
      </w:r>
      <w:r w:rsidR="005A5B78" w:rsidRPr="00587232">
        <w:rPr>
          <w:rFonts w:cs="Arial"/>
        </w:rPr>
        <w:t xml:space="preserve">in </w:t>
      </w:r>
      <w:r w:rsidR="00856C85">
        <w:rPr>
          <w:rFonts w:cs="Arial"/>
        </w:rPr>
        <w:t xml:space="preserve">quarter </w:t>
      </w:r>
      <w:r w:rsidR="00960C5D">
        <w:rPr>
          <w:rFonts w:cs="Arial"/>
        </w:rPr>
        <w:t>4</w:t>
      </w:r>
      <w:r w:rsidR="00492333">
        <w:rPr>
          <w:rFonts w:cs="Arial"/>
        </w:rPr>
        <w:t>9</w:t>
      </w:r>
      <w:r w:rsidR="00C95030">
        <w:rPr>
          <w:rFonts w:cs="Arial"/>
        </w:rPr>
        <w:t>.</w:t>
      </w:r>
      <w:r w:rsidR="00CA73A5">
        <w:rPr>
          <w:rFonts w:cs="Arial"/>
        </w:rPr>
        <w:t xml:space="preserve"> </w:t>
      </w:r>
      <w:r w:rsidR="00D53206">
        <w:rPr>
          <w:rFonts w:cs="Arial"/>
        </w:rPr>
        <w:t>A</w:t>
      </w:r>
      <w:r w:rsidR="00CA73A5">
        <w:rPr>
          <w:rFonts w:cs="Arial"/>
        </w:rPr>
        <w:t xml:space="preserve">ttendance at conference </w:t>
      </w:r>
      <w:r w:rsidR="00C95030">
        <w:rPr>
          <w:rFonts w:cs="Arial"/>
        </w:rPr>
        <w:t xml:space="preserve">decreased </w:t>
      </w:r>
      <w:r w:rsidR="00CA73A5">
        <w:rPr>
          <w:rFonts w:cs="Arial"/>
        </w:rPr>
        <w:t xml:space="preserve">from </w:t>
      </w:r>
      <w:r w:rsidR="00492333">
        <w:rPr>
          <w:rFonts w:cs="Arial"/>
        </w:rPr>
        <w:t>61.7</w:t>
      </w:r>
      <w:r w:rsidR="00CA73A5">
        <w:rPr>
          <w:rFonts w:cs="Arial"/>
        </w:rPr>
        <w:t xml:space="preserve">% in quarter </w:t>
      </w:r>
      <w:r w:rsidR="00A168EF">
        <w:rPr>
          <w:rFonts w:cs="Arial"/>
        </w:rPr>
        <w:t>4</w:t>
      </w:r>
      <w:r w:rsidR="00492333">
        <w:rPr>
          <w:rFonts w:cs="Arial"/>
        </w:rPr>
        <w:t>8</w:t>
      </w:r>
      <w:r w:rsidR="00CA73A5">
        <w:rPr>
          <w:rFonts w:cs="Arial"/>
        </w:rPr>
        <w:t xml:space="preserve"> to </w:t>
      </w:r>
      <w:r w:rsidR="00492333">
        <w:rPr>
          <w:rFonts w:cs="Arial"/>
        </w:rPr>
        <w:t>54.4</w:t>
      </w:r>
      <w:r w:rsidR="00CA73A5">
        <w:rPr>
          <w:rFonts w:cs="Arial"/>
        </w:rPr>
        <w:t xml:space="preserve">% in quarter </w:t>
      </w:r>
      <w:r w:rsidR="00960C5D">
        <w:rPr>
          <w:rFonts w:cs="Arial"/>
        </w:rPr>
        <w:t>4</w:t>
      </w:r>
      <w:r w:rsidR="00492333">
        <w:rPr>
          <w:rFonts w:cs="Arial"/>
        </w:rPr>
        <w:t>9</w:t>
      </w:r>
      <w:r w:rsidR="000C4D78">
        <w:rPr>
          <w:rFonts w:cs="Arial"/>
        </w:rPr>
        <w:t>, however, non-attendance with reasonable excuse increased from 14.3% in the previous quarter to 24.5% during this reporting period</w:t>
      </w:r>
      <w:r w:rsidR="00735F5A">
        <w:rPr>
          <w:rFonts w:cs="Arial"/>
        </w:rPr>
        <w:t>.</w:t>
      </w:r>
      <w:r w:rsidR="00792AA1">
        <w:rPr>
          <w:rFonts w:cs="Arial"/>
        </w:rPr>
        <w:t xml:space="preserve"> Local Commissioners have observed an increase in community members travelling away from community after the easing of COVID restrictions to attend outstanding medical appointments in regional centres, visit family and undertake cultural obligations</w:t>
      </w:r>
      <w:r w:rsidR="00220805">
        <w:rPr>
          <w:rFonts w:cs="Arial"/>
        </w:rPr>
        <w:t>, all of</w:t>
      </w:r>
      <w:r w:rsidR="00091AF2">
        <w:rPr>
          <w:rFonts w:cs="Arial"/>
        </w:rPr>
        <w:t xml:space="preserve"> which ha</w:t>
      </w:r>
      <w:r w:rsidR="00220805">
        <w:rPr>
          <w:rFonts w:cs="Arial"/>
        </w:rPr>
        <w:t>ve</w:t>
      </w:r>
      <w:r w:rsidR="00091AF2">
        <w:rPr>
          <w:rFonts w:cs="Arial"/>
        </w:rPr>
        <w:t xml:space="preserve"> impacted on overall conference attendance. </w:t>
      </w:r>
    </w:p>
    <w:p w14:paraId="6C2986ED" w14:textId="7510A348" w:rsidR="0051235F" w:rsidRDefault="0051235F" w:rsidP="00233EAC">
      <w:pPr>
        <w:ind w:left="-142" w:right="-425"/>
        <w:jc w:val="both"/>
        <w:rPr>
          <w:rFonts w:cs="Arial"/>
        </w:rPr>
      </w:pPr>
    </w:p>
    <w:p w14:paraId="31E61412" w14:textId="36A2240F" w:rsidR="0053734E" w:rsidRPr="00D925BE" w:rsidRDefault="0053734E" w:rsidP="0053734E">
      <w:pPr>
        <w:spacing w:after="120" w:line="240" w:lineRule="auto"/>
        <w:ind w:right="-425"/>
        <w:jc w:val="both"/>
        <w:rPr>
          <w:b/>
          <w:sz w:val="16"/>
          <w:szCs w:val="16"/>
        </w:rPr>
      </w:pPr>
      <w:r w:rsidRPr="00D93672">
        <w:rPr>
          <w:b/>
          <w:sz w:val="16"/>
          <w:szCs w:val="16"/>
        </w:rPr>
        <w:t xml:space="preserve">Table </w:t>
      </w:r>
      <w:r>
        <w:rPr>
          <w:b/>
          <w:sz w:val="16"/>
          <w:szCs w:val="16"/>
        </w:rPr>
        <w:t>6</w:t>
      </w:r>
      <w:r w:rsidRPr="00D93672">
        <w:rPr>
          <w:b/>
          <w:sz w:val="16"/>
          <w:szCs w:val="16"/>
        </w:rPr>
        <w:t xml:space="preserve">: </w:t>
      </w:r>
      <w:r w:rsidRPr="00D93672">
        <w:rPr>
          <w:sz w:val="16"/>
          <w:szCs w:val="16"/>
        </w:rPr>
        <w:t xml:space="preserve">Conferences by community and quarter 1 </w:t>
      </w:r>
      <w:r>
        <w:rPr>
          <w:sz w:val="16"/>
          <w:szCs w:val="16"/>
        </w:rPr>
        <w:t>July 2019 to 30 September 2020</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53734E" w:rsidRPr="00C5395B" w14:paraId="3615722F" w14:textId="05F38422" w:rsidTr="0053734E">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629CD09A" w14:textId="77777777" w:rsidR="0053734E" w:rsidRPr="00C5395B" w:rsidRDefault="0053734E" w:rsidP="00544691">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0FE03B5" w14:textId="77777777" w:rsidR="0053734E" w:rsidRDefault="0053734E" w:rsidP="00544691">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1BE1061B" w14:textId="77777777" w:rsidR="0053734E" w:rsidRDefault="0053734E" w:rsidP="00544691">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22B3FB00" w14:textId="77777777" w:rsidR="0053734E" w:rsidRDefault="0053734E" w:rsidP="00544691">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6DB0E386" w14:textId="77777777" w:rsidR="0053734E" w:rsidRDefault="0053734E" w:rsidP="00544691">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6A20C5E5" w14:textId="44943F1F" w:rsidR="0053734E" w:rsidRDefault="0053734E" w:rsidP="00544691">
            <w:pPr>
              <w:pStyle w:val="TableText"/>
              <w:jc w:val="right"/>
              <w:rPr>
                <w:b/>
                <w:lang w:eastAsia="en-AU"/>
              </w:rPr>
            </w:pPr>
            <w:r>
              <w:rPr>
                <w:b/>
                <w:lang w:eastAsia="en-AU"/>
              </w:rPr>
              <w:t>Qtr 49</w:t>
            </w:r>
          </w:p>
        </w:tc>
      </w:tr>
      <w:tr w:rsidR="009116D6" w:rsidRPr="00C5395B" w14:paraId="0E206310" w14:textId="0654CF37" w:rsidTr="0053734E">
        <w:trPr>
          <w:trHeight w:val="255"/>
        </w:trPr>
        <w:tc>
          <w:tcPr>
            <w:tcW w:w="2080" w:type="dxa"/>
            <w:tcBorders>
              <w:top w:val="nil"/>
              <w:left w:val="single" w:sz="4" w:space="0" w:color="auto"/>
              <w:bottom w:val="single" w:sz="4" w:space="0" w:color="auto"/>
              <w:right w:val="single" w:sz="4" w:space="0" w:color="auto"/>
            </w:tcBorders>
            <w:noWrap/>
            <w:hideMark/>
          </w:tcPr>
          <w:p w14:paraId="6FCA3B21" w14:textId="77777777" w:rsidR="009116D6" w:rsidRPr="00C5395B" w:rsidRDefault="009116D6" w:rsidP="009116D6">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31E8119E" w14:textId="77777777" w:rsidR="009116D6" w:rsidRDefault="009116D6" w:rsidP="009116D6">
            <w:pPr>
              <w:jc w:val="right"/>
              <w:rPr>
                <w:rFonts w:cs="Arial"/>
              </w:rPr>
            </w:pPr>
            <w:r>
              <w:rPr>
                <w:rFonts w:cs="Arial"/>
              </w:rPr>
              <w:t>239</w:t>
            </w:r>
          </w:p>
        </w:tc>
        <w:tc>
          <w:tcPr>
            <w:tcW w:w="960" w:type="dxa"/>
            <w:tcBorders>
              <w:top w:val="nil"/>
              <w:left w:val="nil"/>
              <w:bottom w:val="single" w:sz="4" w:space="0" w:color="auto"/>
              <w:right w:val="single" w:sz="4" w:space="0" w:color="auto"/>
            </w:tcBorders>
          </w:tcPr>
          <w:p w14:paraId="2EF8A062" w14:textId="77777777" w:rsidR="009116D6" w:rsidRDefault="009116D6" w:rsidP="009116D6">
            <w:pPr>
              <w:jc w:val="right"/>
              <w:rPr>
                <w:rFonts w:cs="Arial"/>
              </w:rPr>
            </w:pPr>
            <w:r>
              <w:rPr>
                <w:rFonts w:cs="Arial"/>
              </w:rPr>
              <w:t>320</w:t>
            </w:r>
          </w:p>
        </w:tc>
        <w:tc>
          <w:tcPr>
            <w:tcW w:w="960" w:type="dxa"/>
            <w:tcBorders>
              <w:top w:val="nil"/>
              <w:left w:val="nil"/>
              <w:bottom w:val="single" w:sz="4" w:space="0" w:color="auto"/>
              <w:right w:val="single" w:sz="4" w:space="0" w:color="auto"/>
            </w:tcBorders>
          </w:tcPr>
          <w:p w14:paraId="132D9C1B" w14:textId="77777777" w:rsidR="009116D6" w:rsidRDefault="009116D6" w:rsidP="009116D6">
            <w:pPr>
              <w:jc w:val="right"/>
              <w:rPr>
                <w:rFonts w:cs="Arial"/>
              </w:rPr>
            </w:pPr>
            <w:r w:rsidRPr="00D431FB">
              <w:rPr>
                <w:rFonts w:cs="Arial"/>
              </w:rPr>
              <w:t>215</w:t>
            </w:r>
          </w:p>
        </w:tc>
        <w:tc>
          <w:tcPr>
            <w:tcW w:w="960" w:type="dxa"/>
            <w:tcBorders>
              <w:top w:val="nil"/>
              <w:left w:val="nil"/>
              <w:bottom w:val="single" w:sz="4" w:space="0" w:color="auto"/>
              <w:right w:val="single" w:sz="4" w:space="0" w:color="auto"/>
            </w:tcBorders>
          </w:tcPr>
          <w:p w14:paraId="57CA7CBE" w14:textId="77777777" w:rsidR="009116D6" w:rsidRPr="00B8398E" w:rsidRDefault="009116D6" w:rsidP="009116D6">
            <w:pPr>
              <w:jc w:val="right"/>
              <w:rPr>
                <w:rFonts w:cs="Arial"/>
              </w:rPr>
            </w:pPr>
            <w:r w:rsidRPr="00B8398E">
              <w:rPr>
                <w:rFonts w:cs="Arial"/>
              </w:rPr>
              <w:t>163</w:t>
            </w:r>
          </w:p>
        </w:tc>
        <w:tc>
          <w:tcPr>
            <w:tcW w:w="960" w:type="dxa"/>
            <w:tcBorders>
              <w:top w:val="nil"/>
              <w:left w:val="nil"/>
              <w:bottom w:val="single" w:sz="4" w:space="0" w:color="auto"/>
              <w:right w:val="single" w:sz="4" w:space="0" w:color="auto"/>
            </w:tcBorders>
          </w:tcPr>
          <w:p w14:paraId="7E9E2F78" w14:textId="348F3494" w:rsidR="009116D6" w:rsidRPr="00507B51" w:rsidRDefault="009116D6" w:rsidP="009116D6">
            <w:pPr>
              <w:jc w:val="right"/>
              <w:rPr>
                <w:rFonts w:cs="Arial"/>
              </w:rPr>
            </w:pPr>
            <w:r w:rsidRPr="00507B51">
              <w:rPr>
                <w:rFonts w:cs="Arial"/>
              </w:rPr>
              <w:t>140</w:t>
            </w:r>
          </w:p>
        </w:tc>
      </w:tr>
      <w:tr w:rsidR="009116D6" w:rsidRPr="00C5395B" w14:paraId="3ECBFC3B" w14:textId="158FFB2B" w:rsidTr="0053734E">
        <w:trPr>
          <w:trHeight w:val="255"/>
        </w:trPr>
        <w:tc>
          <w:tcPr>
            <w:tcW w:w="2080" w:type="dxa"/>
            <w:tcBorders>
              <w:top w:val="nil"/>
              <w:left w:val="single" w:sz="4" w:space="0" w:color="auto"/>
              <w:bottom w:val="single" w:sz="4" w:space="0" w:color="auto"/>
              <w:right w:val="single" w:sz="4" w:space="0" w:color="auto"/>
            </w:tcBorders>
            <w:noWrap/>
            <w:hideMark/>
          </w:tcPr>
          <w:p w14:paraId="0B850EB8" w14:textId="77777777" w:rsidR="009116D6" w:rsidRPr="00C5395B" w:rsidRDefault="009116D6" w:rsidP="009116D6">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BC44946" w14:textId="77777777" w:rsidR="009116D6" w:rsidRDefault="009116D6" w:rsidP="009116D6">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243BC8CA" w14:textId="77777777" w:rsidR="009116D6" w:rsidRDefault="009116D6" w:rsidP="009116D6">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2492B65D" w14:textId="77777777" w:rsidR="009116D6" w:rsidRDefault="009116D6" w:rsidP="009116D6">
            <w:pPr>
              <w:jc w:val="right"/>
              <w:rPr>
                <w:rFonts w:cs="Arial"/>
              </w:rPr>
            </w:pPr>
            <w:r w:rsidRPr="00D431FB">
              <w:rPr>
                <w:rFonts w:cs="Arial"/>
              </w:rPr>
              <w:t>12</w:t>
            </w:r>
          </w:p>
        </w:tc>
        <w:tc>
          <w:tcPr>
            <w:tcW w:w="960" w:type="dxa"/>
            <w:tcBorders>
              <w:top w:val="nil"/>
              <w:left w:val="nil"/>
              <w:bottom w:val="single" w:sz="4" w:space="0" w:color="auto"/>
              <w:right w:val="single" w:sz="4" w:space="0" w:color="auto"/>
            </w:tcBorders>
          </w:tcPr>
          <w:p w14:paraId="2B6AE47B" w14:textId="77777777" w:rsidR="009116D6" w:rsidRPr="00B8398E" w:rsidRDefault="009116D6" w:rsidP="009116D6">
            <w:pPr>
              <w:jc w:val="right"/>
              <w:rPr>
                <w:rFonts w:cs="Arial"/>
              </w:rPr>
            </w:pPr>
            <w:r w:rsidRPr="00B8398E">
              <w:rPr>
                <w:rFonts w:cs="Arial"/>
              </w:rPr>
              <w:t>34</w:t>
            </w:r>
          </w:p>
        </w:tc>
        <w:tc>
          <w:tcPr>
            <w:tcW w:w="960" w:type="dxa"/>
            <w:tcBorders>
              <w:top w:val="nil"/>
              <w:left w:val="nil"/>
              <w:bottom w:val="single" w:sz="4" w:space="0" w:color="auto"/>
              <w:right w:val="single" w:sz="4" w:space="0" w:color="auto"/>
            </w:tcBorders>
          </w:tcPr>
          <w:p w14:paraId="4FA35BBD" w14:textId="74E0D80C" w:rsidR="009116D6" w:rsidRPr="00507B51" w:rsidRDefault="009116D6" w:rsidP="009116D6">
            <w:pPr>
              <w:jc w:val="right"/>
              <w:rPr>
                <w:rFonts w:cs="Arial"/>
              </w:rPr>
            </w:pPr>
            <w:r w:rsidRPr="00507B51">
              <w:rPr>
                <w:rFonts w:cs="Arial"/>
              </w:rPr>
              <w:t>15</w:t>
            </w:r>
          </w:p>
        </w:tc>
      </w:tr>
      <w:tr w:rsidR="009116D6" w:rsidRPr="00C5395B" w14:paraId="5717BC8A" w14:textId="49034790" w:rsidTr="0053734E">
        <w:trPr>
          <w:trHeight w:val="255"/>
        </w:trPr>
        <w:tc>
          <w:tcPr>
            <w:tcW w:w="2080" w:type="dxa"/>
            <w:tcBorders>
              <w:top w:val="nil"/>
              <w:left w:val="single" w:sz="4" w:space="0" w:color="auto"/>
              <w:bottom w:val="single" w:sz="4" w:space="0" w:color="auto"/>
              <w:right w:val="single" w:sz="4" w:space="0" w:color="auto"/>
            </w:tcBorders>
            <w:noWrap/>
          </w:tcPr>
          <w:p w14:paraId="32982A18" w14:textId="77777777" w:rsidR="009116D6" w:rsidRPr="00C5395B" w:rsidRDefault="009116D6" w:rsidP="009116D6">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436972D3" w14:textId="77777777" w:rsidR="009116D6" w:rsidRDefault="009116D6" w:rsidP="009116D6">
            <w:pPr>
              <w:jc w:val="right"/>
              <w:rPr>
                <w:rFonts w:cs="Arial"/>
              </w:rPr>
            </w:pPr>
            <w:r>
              <w:rPr>
                <w:rFonts w:cs="Arial"/>
              </w:rPr>
              <w:t>236</w:t>
            </w:r>
          </w:p>
        </w:tc>
        <w:tc>
          <w:tcPr>
            <w:tcW w:w="960" w:type="dxa"/>
            <w:tcBorders>
              <w:top w:val="nil"/>
              <w:left w:val="nil"/>
              <w:bottom w:val="single" w:sz="4" w:space="0" w:color="auto"/>
              <w:right w:val="single" w:sz="4" w:space="0" w:color="auto"/>
            </w:tcBorders>
          </w:tcPr>
          <w:p w14:paraId="3F66EA0F" w14:textId="77777777" w:rsidR="009116D6" w:rsidRDefault="009116D6" w:rsidP="009116D6">
            <w:pPr>
              <w:jc w:val="right"/>
              <w:rPr>
                <w:rFonts w:cs="Arial"/>
              </w:rPr>
            </w:pPr>
            <w:r>
              <w:rPr>
                <w:rFonts w:cs="Arial"/>
              </w:rPr>
              <w:t>279</w:t>
            </w:r>
          </w:p>
        </w:tc>
        <w:tc>
          <w:tcPr>
            <w:tcW w:w="960" w:type="dxa"/>
            <w:tcBorders>
              <w:top w:val="nil"/>
              <w:left w:val="nil"/>
              <w:bottom w:val="single" w:sz="4" w:space="0" w:color="auto"/>
              <w:right w:val="single" w:sz="4" w:space="0" w:color="auto"/>
            </w:tcBorders>
          </w:tcPr>
          <w:p w14:paraId="6A2E2062" w14:textId="77777777" w:rsidR="009116D6" w:rsidRDefault="009116D6" w:rsidP="009116D6">
            <w:pPr>
              <w:jc w:val="right"/>
              <w:rPr>
                <w:rFonts w:cs="Arial"/>
              </w:rPr>
            </w:pPr>
            <w:r w:rsidRPr="00D431FB">
              <w:rPr>
                <w:rFonts w:cs="Arial"/>
              </w:rPr>
              <w:t>106</w:t>
            </w:r>
          </w:p>
        </w:tc>
        <w:tc>
          <w:tcPr>
            <w:tcW w:w="960" w:type="dxa"/>
            <w:tcBorders>
              <w:top w:val="nil"/>
              <w:left w:val="nil"/>
              <w:bottom w:val="single" w:sz="4" w:space="0" w:color="auto"/>
              <w:right w:val="single" w:sz="4" w:space="0" w:color="auto"/>
            </w:tcBorders>
          </w:tcPr>
          <w:p w14:paraId="069D2EC4" w14:textId="77777777" w:rsidR="009116D6" w:rsidRPr="00B8398E" w:rsidRDefault="009116D6" w:rsidP="009116D6">
            <w:pPr>
              <w:jc w:val="right"/>
              <w:rPr>
                <w:rFonts w:cs="Arial"/>
              </w:rPr>
            </w:pPr>
            <w:r w:rsidRPr="00B8398E">
              <w:rPr>
                <w:rFonts w:cs="Arial"/>
              </w:rPr>
              <w:t>129</w:t>
            </w:r>
          </w:p>
        </w:tc>
        <w:tc>
          <w:tcPr>
            <w:tcW w:w="960" w:type="dxa"/>
            <w:tcBorders>
              <w:top w:val="nil"/>
              <w:left w:val="nil"/>
              <w:bottom w:val="single" w:sz="4" w:space="0" w:color="auto"/>
              <w:right w:val="single" w:sz="4" w:space="0" w:color="auto"/>
            </w:tcBorders>
          </w:tcPr>
          <w:p w14:paraId="1DDD3A5A" w14:textId="70CD2CBB" w:rsidR="009116D6" w:rsidRPr="00507B51" w:rsidRDefault="009116D6" w:rsidP="009116D6">
            <w:pPr>
              <w:jc w:val="right"/>
              <w:rPr>
                <w:rFonts w:cs="Arial"/>
              </w:rPr>
            </w:pPr>
            <w:r w:rsidRPr="00507B51">
              <w:rPr>
                <w:rFonts w:cs="Arial"/>
              </w:rPr>
              <w:t>101</w:t>
            </w:r>
          </w:p>
        </w:tc>
      </w:tr>
      <w:tr w:rsidR="009116D6" w:rsidRPr="00C5395B" w14:paraId="0AE5E824" w14:textId="4B145CC5" w:rsidTr="0053734E">
        <w:trPr>
          <w:trHeight w:val="255"/>
        </w:trPr>
        <w:tc>
          <w:tcPr>
            <w:tcW w:w="2080" w:type="dxa"/>
            <w:tcBorders>
              <w:top w:val="nil"/>
              <w:left w:val="single" w:sz="4" w:space="0" w:color="auto"/>
              <w:bottom w:val="single" w:sz="4" w:space="0" w:color="auto"/>
              <w:right w:val="single" w:sz="4" w:space="0" w:color="auto"/>
            </w:tcBorders>
            <w:noWrap/>
            <w:hideMark/>
          </w:tcPr>
          <w:p w14:paraId="44A8E1D5" w14:textId="77777777" w:rsidR="009116D6" w:rsidRPr="00C5395B" w:rsidRDefault="009116D6" w:rsidP="009116D6">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78B5627" w14:textId="77777777" w:rsidR="009116D6" w:rsidRDefault="009116D6" w:rsidP="009116D6">
            <w:pPr>
              <w:jc w:val="right"/>
              <w:rPr>
                <w:rFonts w:cs="Arial"/>
              </w:rPr>
            </w:pPr>
            <w:r>
              <w:rPr>
                <w:rFonts w:cs="Arial"/>
              </w:rPr>
              <w:t>90</w:t>
            </w:r>
          </w:p>
        </w:tc>
        <w:tc>
          <w:tcPr>
            <w:tcW w:w="960" w:type="dxa"/>
            <w:tcBorders>
              <w:top w:val="nil"/>
              <w:left w:val="nil"/>
              <w:bottom w:val="single" w:sz="4" w:space="0" w:color="auto"/>
              <w:right w:val="single" w:sz="4" w:space="0" w:color="auto"/>
            </w:tcBorders>
          </w:tcPr>
          <w:p w14:paraId="5774DCF9" w14:textId="77777777" w:rsidR="009116D6" w:rsidRDefault="009116D6" w:rsidP="009116D6">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394E2F3F" w14:textId="77777777" w:rsidR="009116D6" w:rsidRDefault="009116D6" w:rsidP="009116D6">
            <w:pPr>
              <w:jc w:val="right"/>
              <w:rPr>
                <w:rFonts w:cs="Arial"/>
              </w:rPr>
            </w:pPr>
            <w:r w:rsidRPr="00D431FB">
              <w:rPr>
                <w:rFonts w:cs="Arial"/>
              </w:rPr>
              <w:t>59</w:t>
            </w:r>
          </w:p>
        </w:tc>
        <w:tc>
          <w:tcPr>
            <w:tcW w:w="960" w:type="dxa"/>
            <w:tcBorders>
              <w:top w:val="nil"/>
              <w:left w:val="nil"/>
              <w:bottom w:val="single" w:sz="4" w:space="0" w:color="auto"/>
              <w:right w:val="single" w:sz="4" w:space="0" w:color="auto"/>
            </w:tcBorders>
          </w:tcPr>
          <w:p w14:paraId="07776838" w14:textId="77777777" w:rsidR="009116D6" w:rsidRPr="00B8398E" w:rsidRDefault="009116D6" w:rsidP="009116D6">
            <w:pPr>
              <w:jc w:val="right"/>
              <w:rPr>
                <w:rFonts w:cs="Arial"/>
              </w:rPr>
            </w:pPr>
            <w:r w:rsidRPr="00B8398E">
              <w:rPr>
                <w:rFonts w:cs="Arial"/>
              </w:rPr>
              <w:t>71</w:t>
            </w:r>
          </w:p>
        </w:tc>
        <w:tc>
          <w:tcPr>
            <w:tcW w:w="960" w:type="dxa"/>
            <w:tcBorders>
              <w:top w:val="nil"/>
              <w:left w:val="nil"/>
              <w:bottom w:val="single" w:sz="4" w:space="0" w:color="auto"/>
              <w:right w:val="single" w:sz="4" w:space="0" w:color="auto"/>
            </w:tcBorders>
          </w:tcPr>
          <w:p w14:paraId="6737D5BE" w14:textId="0A3A0330" w:rsidR="009116D6" w:rsidRPr="00507B51" w:rsidRDefault="009116D6" w:rsidP="009116D6">
            <w:pPr>
              <w:jc w:val="right"/>
              <w:rPr>
                <w:rFonts w:cs="Arial"/>
              </w:rPr>
            </w:pPr>
            <w:r w:rsidRPr="00507B51">
              <w:rPr>
                <w:rFonts w:cs="Arial"/>
              </w:rPr>
              <w:t>57</w:t>
            </w:r>
          </w:p>
        </w:tc>
      </w:tr>
      <w:tr w:rsidR="009116D6" w:rsidRPr="00C5395B" w14:paraId="041A4E89" w14:textId="640FD49B" w:rsidTr="0053734E">
        <w:trPr>
          <w:trHeight w:val="255"/>
        </w:trPr>
        <w:tc>
          <w:tcPr>
            <w:tcW w:w="2080" w:type="dxa"/>
            <w:tcBorders>
              <w:top w:val="nil"/>
              <w:left w:val="single" w:sz="4" w:space="0" w:color="auto"/>
              <w:bottom w:val="single" w:sz="4" w:space="0" w:color="auto"/>
              <w:right w:val="single" w:sz="4" w:space="0" w:color="auto"/>
            </w:tcBorders>
            <w:noWrap/>
            <w:hideMark/>
          </w:tcPr>
          <w:p w14:paraId="31075E9B" w14:textId="77777777" w:rsidR="009116D6" w:rsidRPr="00C5395B" w:rsidRDefault="009116D6" w:rsidP="009116D6">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63B37135" w14:textId="77777777" w:rsidR="009116D6" w:rsidRDefault="009116D6" w:rsidP="009116D6">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760AE91A" w14:textId="77777777" w:rsidR="009116D6" w:rsidRDefault="009116D6" w:rsidP="009116D6">
            <w:pPr>
              <w:jc w:val="right"/>
              <w:rPr>
                <w:rFonts w:cs="Arial"/>
              </w:rPr>
            </w:pPr>
            <w:r>
              <w:rPr>
                <w:rFonts w:cs="Arial"/>
              </w:rPr>
              <w:t>41</w:t>
            </w:r>
          </w:p>
        </w:tc>
        <w:tc>
          <w:tcPr>
            <w:tcW w:w="960" w:type="dxa"/>
            <w:tcBorders>
              <w:top w:val="nil"/>
              <w:left w:val="nil"/>
              <w:bottom w:val="single" w:sz="4" w:space="0" w:color="auto"/>
              <w:right w:val="single" w:sz="4" w:space="0" w:color="auto"/>
            </w:tcBorders>
          </w:tcPr>
          <w:p w14:paraId="1B9D7C0A" w14:textId="77777777" w:rsidR="009116D6" w:rsidRDefault="009116D6" w:rsidP="009116D6">
            <w:pPr>
              <w:jc w:val="right"/>
              <w:rPr>
                <w:rFonts w:cs="Arial"/>
              </w:rPr>
            </w:pPr>
            <w:r w:rsidRPr="00D431FB">
              <w:rPr>
                <w:rFonts w:cs="Arial"/>
              </w:rPr>
              <w:t>32</w:t>
            </w:r>
          </w:p>
        </w:tc>
        <w:tc>
          <w:tcPr>
            <w:tcW w:w="960" w:type="dxa"/>
            <w:tcBorders>
              <w:top w:val="nil"/>
              <w:left w:val="nil"/>
              <w:bottom w:val="single" w:sz="4" w:space="0" w:color="auto"/>
              <w:right w:val="single" w:sz="4" w:space="0" w:color="auto"/>
            </w:tcBorders>
          </w:tcPr>
          <w:p w14:paraId="03AC4D33" w14:textId="77777777" w:rsidR="009116D6" w:rsidRPr="00B8398E" w:rsidRDefault="009116D6" w:rsidP="009116D6">
            <w:pPr>
              <w:jc w:val="right"/>
              <w:rPr>
                <w:rFonts w:cs="Arial"/>
              </w:rPr>
            </w:pPr>
            <w:r w:rsidRPr="00B8398E">
              <w:rPr>
                <w:rFonts w:cs="Arial"/>
              </w:rPr>
              <w:t>42</w:t>
            </w:r>
          </w:p>
        </w:tc>
        <w:tc>
          <w:tcPr>
            <w:tcW w:w="960" w:type="dxa"/>
            <w:tcBorders>
              <w:top w:val="nil"/>
              <w:left w:val="nil"/>
              <w:bottom w:val="single" w:sz="4" w:space="0" w:color="auto"/>
              <w:right w:val="single" w:sz="4" w:space="0" w:color="auto"/>
            </w:tcBorders>
          </w:tcPr>
          <w:p w14:paraId="4E5C1E71" w14:textId="6E9908A6" w:rsidR="009116D6" w:rsidRPr="00507B51" w:rsidRDefault="009116D6" w:rsidP="009116D6">
            <w:pPr>
              <w:jc w:val="right"/>
              <w:rPr>
                <w:rFonts w:cs="Arial"/>
              </w:rPr>
            </w:pPr>
            <w:r w:rsidRPr="00507B51">
              <w:rPr>
                <w:rFonts w:cs="Arial"/>
              </w:rPr>
              <w:t>18</w:t>
            </w:r>
          </w:p>
        </w:tc>
      </w:tr>
      <w:tr w:rsidR="009116D6" w:rsidRPr="00C5395B" w14:paraId="44D1DDE7" w14:textId="3F08B09D" w:rsidTr="0053734E">
        <w:trPr>
          <w:trHeight w:val="255"/>
        </w:trPr>
        <w:tc>
          <w:tcPr>
            <w:tcW w:w="2080" w:type="dxa"/>
            <w:tcBorders>
              <w:top w:val="nil"/>
              <w:left w:val="single" w:sz="4" w:space="0" w:color="auto"/>
              <w:bottom w:val="single" w:sz="4" w:space="0" w:color="auto"/>
              <w:right w:val="single" w:sz="4" w:space="0" w:color="auto"/>
            </w:tcBorders>
            <w:noWrap/>
            <w:hideMark/>
          </w:tcPr>
          <w:p w14:paraId="0043894F" w14:textId="77777777" w:rsidR="009116D6" w:rsidRPr="00C5395B" w:rsidRDefault="009116D6" w:rsidP="009116D6">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CF641EE" w14:textId="77777777" w:rsidR="009116D6" w:rsidRDefault="009116D6" w:rsidP="009116D6">
            <w:pPr>
              <w:jc w:val="right"/>
              <w:rPr>
                <w:rFonts w:cs="Arial"/>
                <w:b/>
                <w:bCs/>
              </w:rPr>
            </w:pPr>
            <w:r>
              <w:rPr>
                <w:rFonts w:cs="Arial"/>
                <w:b/>
                <w:bCs/>
              </w:rPr>
              <w:t>624</w:t>
            </w:r>
          </w:p>
        </w:tc>
        <w:tc>
          <w:tcPr>
            <w:tcW w:w="960" w:type="dxa"/>
            <w:tcBorders>
              <w:top w:val="nil"/>
              <w:left w:val="nil"/>
              <w:bottom w:val="single" w:sz="4" w:space="0" w:color="auto"/>
              <w:right w:val="single" w:sz="4" w:space="0" w:color="auto"/>
            </w:tcBorders>
          </w:tcPr>
          <w:p w14:paraId="6E4C22B9" w14:textId="77777777" w:rsidR="009116D6" w:rsidRDefault="009116D6" w:rsidP="009116D6">
            <w:pPr>
              <w:jc w:val="right"/>
              <w:rPr>
                <w:rFonts w:cs="Arial"/>
                <w:b/>
                <w:bCs/>
              </w:rPr>
            </w:pPr>
            <w:r>
              <w:rPr>
                <w:rFonts w:cs="Arial"/>
                <w:b/>
                <w:bCs/>
              </w:rPr>
              <w:t>741</w:t>
            </w:r>
          </w:p>
        </w:tc>
        <w:tc>
          <w:tcPr>
            <w:tcW w:w="960" w:type="dxa"/>
            <w:tcBorders>
              <w:top w:val="nil"/>
              <w:left w:val="nil"/>
              <w:bottom w:val="single" w:sz="4" w:space="0" w:color="auto"/>
              <w:right w:val="single" w:sz="4" w:space="0" w:color="auto"/>
            </w:tcBorders>
          </w:tcPr>
          <w:p w14:paraId="79DCF62F" w14:textId="77777777" w:rsidR="009116D6" w:rsidRDefault="009116D6" w:rsidP="009116D6">
            <w:pPr>
              <w:jc w:val="right"/>
              <w:rPr>
                <w:rFonts w:cs="Arial"/>
                <w:b/>
                <w:bCs/>
              </w:rPr>
            </w:pPr>
            <w:r w:rsidRPr="00D431FB">
              <w:rPr>
                <w:rFonts w:cs="Arial"/>
                <w:b/>
                <w:bCs/>
              </w:rPr>
              <w:t>424</w:t>
            </w:r>
          </w:p>
        </w:tc>
        <w:tc>
          <w:tcPr>
            <w:tcW w:w="960" w:type="dxa"/>
            <w:tcBorders>
              <w:top w:val="nil"/>
              <w:left w:val="nil"/>
              <w:bottom w:val="single" w:sz="4" w:space="0" w:color="auto"/>
              <w:right w:val="single" w:sz="4" w:space="0" w:color="auto"/>
            </w:tcBorders>
          </w:tcPr>
          <w:p w14:paraId="2CDD6754" w14:textId="77777777" w:rsidR="009116D6" w:rsidRPr="00B8398E" w:rsidRDefault="009116D6" w:rsidP="009116D6">
            <w:pPr>
              <w:jc w:val="right"/>
              <w:rPr>
                <w:rFonts w:cs="Arial"/>
                <w:b/>
                <w:bCs/>
              </w:rPr>
            </w:pPr>
            <w:r w:rsidRPr="00B8398E">
              <w:rPr>
                <w:rFonts w:cs="Arial"/>
                <w:b/>
                <w:bCs/>
              </w:rPr>
              <w:t>439</w:t>
            </w:r>
          </w:p>
        </w:tc>
        <w:tc>
          <w:tcPr>
            <w:tcW w:w="960" w:type="dxa"/>
            <w:tcBorders>
              <w:top w:val="nil"/>
              <w:left w:val="nil"/>
              <w:bottom w:val="single" w:sz="4" w:space="0" w:color="auto"/>
              <w:right w:val="single" w:sz="4" w:space="0" w:color="auto"/>
            </w:tcBorders>
          </w:tcPr>
          <w:p w14:paraId="4B6C4F86" w14:textId="7FEDBBB1" w:rsidR="009116D6" w:rsidRPr="00507B51" w:rsidRDefault="009116D6" w:rsidP="009116D6">
            <w:pPr>
              <w:jc w:val="right"/>
              <w:rPr>
                <w:rFonts w:cs="Arial"/>
                <w:b/>
                <w:bCs/>
              </w:rPr>
            </w:pPr>
            <w:r w:rsidRPr="00507B51">
              <w:rPr>
                <w:rFonts w:cs="Arial"/>
                <w:b/>
                <w:bCs/>
              </w:rPr>
              <w:t>331</w:t>
            </w:r>
          </w:p>
        </w:tc>
      </w:tr>
    </w:tbl>
    <w:p w14:paraId="423ABF55" w14:textId="77777777" w:rsidR="0053734E" w:rsidRDefault="0053734E" w:rsidP="0053734E">
      <w:pPr>
        <w:pStyle w:val="Heading2"/>
      </w:pPr>
    </w:p>
    <w:p w14:paraId="1BB531F5" w14:textId="77777777" w:rsidR="00DD1B0A" w:rsidRPr="006524B7" w:rsidRDefault="00DD1B0A" w:rsidP="00986092">
      <w:pPr>
        <w:pStyle w:val="Heading2"/>
      </w:pPr>
      <w:r w:rsidRPr="006524B7">
        <w:t>Conferences for Domestic Violence</w:t>
      </w:r>
      <w:r w:rsidR="00970A79" w:rsidRPr="006524B7">
        <w:t xml:space="preserve"> related matters</w:t>
      </w:r>
    </w:p>
    <w:p w14:paraId="114A4DF6" w14:textId="43E3D6A7" w:rsidR="00DD1B0A" w:rsidRDefault="00AE1804" w:rsidP="006524B7">
      <w:pPr>
        <w:ind w:left="-142" w:right="-425"/>
        <w:jc w:val="both"/>
        <w:rPr>
          <w:rFonts w:cs="Arial"/>
        </w:rPr>
      </w:pPr>
      <w:r>
        <w:rPr>
          <w:rFonts w:cs="Arial"/>
        </w:rPr>
        <w:t xml:space="preserve">As a subset of the total number of conferences conducted for the quarter, </w:t>
      </w:r>
      <w:r w:rsidR="00CA7D8F">
        <w:rPr>
          <w:rFonts w:cs="Arial"/>
        </w:rPr>
        <w:t>34</w:t>
      </w:r>
      <w:r w:rsidR="00CA7D8F"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960C5D">
        <w:rPr>
          <w:rFonts w:cs="Arial"/>
        </w:rPr>
        <w:t>4</w:t>
      </w:r>
      <w:r w:rsidR="00CA7D8F">
        <w:rPr>
          <w:rFonts w:cs="Arial"/>
        </w:rPr>
        <w:t>9</w:t>
      </w:r>
      <w:r w:rsidR="007A156D" w:rsidRPr="006524B7">
        <w:rPr>
          <w:rFonts w:cs="Arial"/>
        </w:rPr>
        <w:t>, a</w:t>
      </w:r>
      <w:r w:rsidR="00CA7D8F">
        <w:rPr>
          <w:rFonts w:cs="Arial"/>
        </w:rPr>
        <w:t>n</w:t>
      </w:r>
      <w:r w:rsidR="00D35B9B">
        <w:rPr>
          <w:rFonts w:cs="Arial"/>
        </w:rPr>
        <w:t xml:space="preserve"> </w:t>
      </w:r>
      <w:r w:rsidR="00CA7D8F">
        <w:rPr>
          <w:rFonts w:cs="Arial"/>
        </w:rPr>
        <w:t xml:space="preserve">increase </w:t>
      </w:r>
      <w:r w:rsidR="007A156D" w:rsidRPr="006524B7">
        <w:rPr>
          <w:rFonts w:cs="Arial"/>
        </w:rPr>
        <w:t xml:space="preserve">of </w:t>
      </w:r>
      <w:r w:rsidR="00CA7D8F">
        <w:rPr>
          <w:rFonts w:cs="Arial"/>
        </w:rPr>
        <w:t>2</w:t>
      </w:r>
      <w:r w:rsidR="00CA7D8F" w:rsidRPr="006524B7">
        <w:rPr>
          <w:rFonts w:cs="Arial"/>
        </w:rPr>
        <w:t xml:space="preserve"> </w:t>
      </w:r>
      <w:r w:rsidR="00E414BC">
        <w:rPr>
          <w:rFonts w:cs="Arial"/>
        </w:rPr>
        <w:t xml:space="preserve">domestic violence conferences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F1009D">
        <w:rPr>
          <w:rFonts w:cs="Arial"/>
        </w:rPr>
        <w:t>increased</w:t>
      </w:r>
      <w:r w:rsidR="00F1009D" w:rsidRPr="006524B7">
        <w:rPr>
          <w:rFonts w:cs="Arial"/>
        </w:rPr>
        <w:t xml:space="preserve"> </w:t>
      </w:r>
      <w:r w:rsidR="00AA43DD" w:rsidRPr="006524B7">
        <w:rPr>
          <w:rFonts w:cs="Arial"/>
        </w:rPr>
        <w:t xml:space="preserve">by </w:t>
      </w:r>
      <w:r w:rsidR="00D809C3">
        <w:rPr>
          <w:rFonts w:cs="Arial"/>
        </w:rPr>
        <w:t>1</w:t>
      </w:r>
      <w:r w:rsidR="00F1009D">
        <w:rPr>
          <w:rFonts w:cs="Arial"/>
        </w:rPr>
        <w:t>6</w:t>
      </w:r>
      <w:r w:rsidR="00AA43DD" w:rsidRPr="006524B7">
        <w:rPr>
          <w:rFonts w:cs="Arial"/>
        </w:rPr>
        <w:t xml:space="preserve">, Coen </w:t>
      </w:r>
      <w:r w:rsidR="00007930">
        <w:rPr>
          <w:rFonts w:cs="Arial"/>
        </w:rPr>
        <w:t>decreased</w:t>
      </w:r>
      <w:r w:rsidR="00D35B9B" w:rsidRPr="006524B7">
        <w:rPr>
          <w:rFonts w:cs="Arial"/>
        </w:rPr>
        <w:t xml:space="preserve"> </w:t>
      </w:r>
      <w:r w:rsidR="00AA43DD" w:rsidRPr="006524B7">
        <w:rPr>
          <w:rFonts w:cs="Arial"/>
        </w:rPr>
        <w:t xml:space="preserve">by </w:t>
      </w:r>
      <w:r w:rsidR="00F1009D">
        <w:rPr>
          <w:rFonts w:cs="Arial"/>
        </w:rPr>
        <w:t>6</w:t>
      </w:r>
      <w:r w:rsidR="00A524DA">
        <w:rPr>
          <w:rFonts w:cs="Arial"/>
        </w:rPr>
        <w:t xml:space="preserve">, Hope Vale </w:t>
      </w:r>
      <w:r w:rsidR="00F1009D">
        <w:rPr>
          <w:rFonts w:cs="Arial"/>
        </w:rPr>
        <w:t xml:space="preserve">decreased </w:t>
      </w:r>
      <w:r w:rsidR="00A524DA">
        <w:rPr>
          <w:rFonts w:cs="Arial"/>
        </w:rPr>
        <w:t xml:space="preserve">by </w:t>
      </w:r>
      <w:r w:rsidR="00F1009D">
        <w:rPr>
          <w:rFonts w:cs="Arial"/>
        </w:rPr>
        <w:t>8</w:t>
      </w:r>
      <w:r w:rsidR="00D809C3" w:rsidRPr="006524B7">
        <w:rPr>
          <w:rFonts w:cs="Arial"/>
        </w:rPr>
        <w:t xml:space="preserve"> </w:t>
      </w:r>
      <w:r w:rsidR="000566F8">
        <w:rPr>
          <w:rFonts w:cs="Arial"/>
        </w:rPr>
        <w:t xml:space="preserve">and Mossman Gorge </w:t>
      </w:r>
      <w:r w:rsidR="00D809C3">
        <w:rPr>
          <w:rFonts w:cs="Arial"/>
        </w:rPr>
        <w:t xml:space="preserve">remained unchanged with </w:t>
      </w:r>
      <w:r w:rsidR="000969E5">
        <w:rPr>
          <w:rFonts w:cs="Arial"/>
        </w:rPr>
        <w:t>4</w:t>
      </w:r>
      <w:r w:rsidR="00D809C3">
        <w:rPr>
          <w:rFonts w:cs="Arial"/>
        </w:rPr>
        <w:t xml:space="preserve"> domestic violence conferences for the quarter</w:t>
      </w:r>
      <w:r w:rsidR="007A156D" w:rsidRPr="006524B7">
        <w:rPr>
          <w:rFonts w:cs="Arial"/>
        </w:rPr>
        <w:t>.</w:t>
      </w:r>
    </w:p>
    <w:p w14:paraId="6A9D948E" w14:textId="77777777" w:rsidR="001748A5" w:rsidRDefault="001748A5" w:rsidP="006524B7">
      <w:pPr>
        <w:ind w:left="-142" w:right="-425"/>
        <w:jc w:val="both"/>
        <w:rPr>
          <w:rFonts w:cs="Arial"/>
        </w:rPr>
      </w:pPr>
    </w:p>
    <w:p w14:paraId="3A5902A6" w14:textId="3FBDEC4A" w:rsidR="001748A5" w:rsidRDefault="001748A5" w:rsidP="001748A5">
      <w:pPr>
        <w:spacing w:after="120" w:line="240" w:lineRule="auto"/>
        <w:ind w:left="794" w:hanging="794"/>
        <w:rPr>
          <w:sz w:val="16"/>
          <w:szCs w:val="16"/>
        </w:rPr>
      </w:pPr>
      <w:r w:rsidRPr="006C6A65">
        <w:rPr>
          <w:b/>
          <w:sz w:val="16"/>
          <w:szCs w:val="16"/>
        </w:rPr>
        <w:t xml:space="preserve">Table </w:t>
      </w:r>
      <w:r w:rsidR="00537C8D">
        <w:rPr>
          <w:b/>
          <w:sz w:val="16"/>
          <w:szCs w:val="16"/>
        </w:rPr>
        <w:t>7</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F10BEA">
        <w:rPr>
          <w:sz w:val="16"/>
          <w:szCs w:val="16"/>
        </w:rPr>
        <w:t xml:space="preserve">July </w:t>
      </w:r>
      <w:r w:rsidR="00111F45">
        <w:rPr>
          <w:sz w:val="16"/>
          <w:szCs w:val="16"/>
        </w:rPr>
        <w:t>2020</w:t>
      </w:r>
      <w:r w:rsidR="00A41820">
        <w:rPr>
          <w:sz w:val="16"/>
          <w:szCs w:val="16"/>
        </w:rPr>
        <w:t xml:space="preserve"> to 3</w:t>
      </w:r>
      <w:r w:rsidR="009E5955">
        <w:rPr>
          <w:sz w:val="16"/>
          <w:szCs w:val="16"/>
        </w:rPr>
        <w:t xml:space="preserve">0 </w:t>
      </w:r>
      <w:r w:rsidR="00F10BEA">
        <w:rPr>
          <w:sz w:val="16"/>
          <w:szCs w:val="16"/>
        </w:rPr>
        <w:t xml:space="preserve">September </w:t>
      </w:r>
      <w:r w:rsidR="00111F45">
        <w:rPr>
          <w:sz w:val="16"/>
          <w:szCs w:val="16"/>
        </w:rPr>
        <w:t>2020</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F1009D"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F1009D" w:rsidRPr="00640E37" w:rsidRDefault="00F1009D" w:rsidP="00F1009D">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490C947D" w:rsidR="00F1009D" w:rsidRPr="0094558B" w:rsidRDefault="00F1009D" w:rsidP="00F1009D">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02A94852" w:rsidR="00F1009D" w:rsidRPr="0094558B" w:rsidRDefault="00F1009D" w:rsidP="00F1009D">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33481B27" w:rsidR="00F1009D" w:rsidRPr="0094558B" w:rsidRDefault="00F1009D" w:rsidP="00F1009D">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1815A01A" w14:textId="704664D5" w:rsidR="00F1009D" w:rsidRPr="0094558B" w:rsidRDefault="00F1009D" w:rsidP="00F1009D">
            <w:pPr>
              <w:spacing w:line="240" w:lineRule="auto"/>
              <w:jc w:val="right"/>
              <w:rPr>
                <w:rFonts w:cs="Arial"/>
                <w:bCs/>
                <w:lang w:eastAsia="en-AU"/>
              </w:rPr>
            </w:pPr>
            <w:r>
              <w:rPr>
                <w:rFonts w:cs="Arial"/>
              </w:rPr>
              <w:t>0</w:t>
            </w:r>
          </w:p>
        </w:tc>
        <w:tc>
          <w:tcPr>
            <w:tcW w:w="896" w:type="dxa"/>
            <w:tcBorders>
              <w:top w:val="single" w:sz="4" w:space="0" w:color="auto"/>
              <w:left w:val="nil"/>
              <w:bottom w:val="single" w:sz="4" w:space="0" w:color="auto"/>
              <w:right w:val="single" w:sz="4" w:space="0" w:color="auto"/>
            </w:tcBorders>
            <w:vAlign w:val="center"/>
          </w:tcPr>
          <w:p w14:paraId="10ABD0AD" w14:textId="57974307" w:rsidR="00F1009D" w:rsidRPr="0094558B" w:rsidRDefault="00F1009D" w:rsidP="00F1009D">
            <w:pPr>
              <w:spacing w:line="240" w:lineRule="auto"/>
              <w:jc w:val="right"/>
              <w:rPr>
                <w:rFonts w:cs="Arial"/>
                <w:b/>
                <w:bCs/>
                <w:lang w:eastAsia="en-AU"/>
              </w:rPr>
            </w:pPr>
            <w:r>
              <w:rPr>
                <w:rFonts w:cs="Arial"/>
                <w:b/>
                <w:bCs/>
              </w:rPr>
              <w:t>0</w:t>
            </w:r>
          </w:p>
        </w:tc>
      </w:tr>
      <w:tr w:rsidR="00F1009D"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F1009D" w:rsidRPr="00640E37" w:rsidRDefault="00F1009D" w:rsidP="00F1009D">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60F342ED" w:rsidR="00F1009D" w:rsidRPr="0040594D" w:rsidRDefault="00F1009D" w:rsidP="00F1009D">
            <w:pPr>
              <w:spacing w:line="240" w:lineRule="auto"/>
              <w:jc w:val="right"/>
              <w:rPr>
                <w:rFonts w:cs="Arial"/>
                <w:lang w:eastAsia="en-AU"/>
              </w:rPr>
            </w:pPr>
            <w:r>
              <w:rPr>
                <w:rFonts w:cs="Arial"/>
              </w:rPr>
              <w:t>0</w:t>
            </w:r>
          </w:p>
        </w:tc>
        <w:tc>
          <w:tcPr>
            <w:tcW w:w="756" w:type="dxa"/>
            <w:tcBorders>
              <w:top w:val="nil"/>
              <w:left w:val="nil"/>
              <w:bottom w:val="single" w:sz="4" w:space="0" w:color="auto"/>
              <w:right w:val="single" w:sz="4" w:space="0" w:color="auto"/>
            </w:tcBorders>
            <w:shd w:val="clear" w:color="auto" w:fill="auto"/>
            <w:vAlign w:val="center"/>
          </w:tcPr>
          <w:p w14:paraId="3C97EB58" w14:textId="6F5B60B3" w:rsidR="00F1009D" w:rsidRPr="0040594D" w:rsidRDefault="00F1009D" w:rsidP="00F1009D">
            <w:pPr>
              <w:spacing w:line="240" w:lineRule="auto"/>
              <w:jc w:val="right"/>
              <w:rPr>
                <w:rFonts w:cs="Arial"/>
                <w:lang w:eastAsia="en-AU"/>
              </w:rPr>
            </w:pPr>
            <w:r>
              <w:rPr>
                <w:rFonts w:cs="Arial"/>
              </w:rPr>
              <w:t>0</w:t>
            </w:r>
          </w:p>
        </w:tc>
        <w:tc>
          <w:tcPr>
            <w:tcW w:w="756" w:type="dxa"/>
            <w:tcBorders>
              <w:top w:val="nil"/>
              <w:left w:val="nil"/>
              <w:bottom w:val="single" w:sz="4" w:space="0" w:color="auto"/>
              <w:right w:val="single" w:sz="4" w:space="0" w:color="auto"/>
            </w:tcBorders>
            <w:vAlign w:val="center"/>
          </w:tcPr>
          <w:p w14:paraId="2B2C50D5" w14:textId="1F99B4BB" w:rsidR="00F1009D" w:rsidRDefault="00F1009D" w:rsidP="00F1009D">
            <w:pPr>
              <w:spacing w:line="240" w:lineRule="auto"/>
              <w:jc w:val="right"/>
              <w:rPr>
                <w:rFonts w:cs="Arial"/>
                <w:lang w:eastAsia="en-AU"/>
              </w:rPr>
            </w:pPr>
            <w:r>
              <w:rPr>
                <w:rFonts w:cs="Arial"/>
              </w:rPr>
              <w:t>0</w:t>
            </w:r>
          </w:p>
        </w:tc>
        <w:tc>
          <w:tcPr>
            <w:tcW w:w="756" w:type="dxa"/>
            <w:tcBorders>
              <w:top w:val="nil"/>
              <w:left w:val="nil"/>
              <w:bottom w:val="single" w:sz="4" w:space="0" w:color="auto"/>
              <w:right w:val="single" w:sz="4" w:space="0" w:color="auto"/>
            </w:tcBorders>
            <w:vAlign w:val="center"/>
          </w:tcPr>
          <w:p w14:paraId="5E25C841" w14:textId="66B72D98" w:rsidR="00F1009D" w:rsidRDefault="00F1009D" w:rsidP="00F1009D">
            <w:pPr>
              <w:spacing w:line="240" w:lineRule="auto"/>
              <w:jc w:val="right"/>
              <w:rPr>
                <w:rFonts w:cs="Arial"/>
                <w:lang w:eastAsia="en-AU"/>
              </w:rPr>
            </w:pPr>
            <w:r>
              <w:rPr>
                <w:rFonts w:cs="Arial"/>
              </w:rPr>
              <w:t>0</w:t>
            </w:r>
          </w:p>
        </w:tc>
        <w:tc>
          <w:tcPr>
            <w:tcW w:w="896" w:type="dxa"/>
            <w:tcBorders>
              <w:top w:val="nil"/>
              <w:left w:val="nil"/>
              <w:bottom w:val="single" w:sz="4" w:space="0" w:color="auto"/>
              <w:right w:val="single" w:sz="4" w:space="0" w:color="auto"/>
            </w:tcBorders>
            <w:vAlign w:val="center"/>
          </w:tcPr>
          <w:p w14:paraId="6A804D63" w14:textId="1C5CFAE2" w:rsidR="00F1009D" w:rsidRPr="0094558B" w:rsidRDefault="00F1009D" w:rsidP="00F1009D">
            <w:pPr>
              <w:spacing w:line="240" w:lineRule="auto"/>
              <w:jc w:val="right"/>
              <w:rPr>
                <w:rFonts w:cs="Arial"/>
                <w:b/>
                <w:lang w:eastAsia="en-AU"/>
              </w:rPr>
            </w:pPr>
            <w:r>
              <w:rPr>
                <w:rFonts w:cs="Arial"/>
                <w:b/>
                <w:bCs/>
              </w:rPr>
              <w:t>0</w:t>
            </w:r>
          </w:p>
        </w:tc>
      </w:tr>
      <w:tr w:rsidR="00F1009D"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F1009D" w:rsidRPr="00640E37" w:rsidRDefault="00F1009D" w:rsidP="00F1009D">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361181B3" w:rsidR="00F1009D" w:rsidRPr="0040594D" w:rsidRDefault="00F1009D" w:rsidP="00F1009D">
            <w:pPr>
              <w:spacing w:line="240" w:lineRule="auto"/>
              <w:jc w:val="right"/>
              <w:rPr>
                <w:rFonts w:cs="Arial"/>
                <w:lang w:eastAsia="en-AU"/>
              </w:rPr>
            </w:pPr>
            <w:r>
              <w:rPr>
                <w:rFonts w:cs="Arial"/>
              </w:rPr>
              <w:t>27</w:t>
            </w:r>
          </w:p>
        </w:tc>
        <w:tc>
          <w:tcPr>
            <w:tcW w:w="756" w:type="dxa"/>
            <w:tcBorders>
              <w:top w:val="nil"/>
              <w:left w:val="nil"/>
              <w:bottom w:val="single" w:sz="4" w:space="0" w:color="auto"/>
              <w:right w:val="single" w:sz="4" w:space="0" w:color="auto"/>
            </w:tcBorders>
            <w:shd w:val="clear" w:color="auto" w:fill="auto"/>
            <w:vAlign w:val="center"/>
          </w:tcPr>
          <w:p w14:paraId="05EC430A" w14:textId="58A98273" w:rsidR="00F1009D" w:rsidRDefault="00F1009D" w:rsidP="00F1009D">
            <w:pPr>
              <w:spacing w:line="240" w:lineRule="auto"/>
              <w:jc w:val="right"/>
              <w:rPr>
                <w:rFonts w:cs="Arial"/>
                <w:lang w:eastAsia="en-AU"/>
              </w:rPr>
            </w:pPr>
            <w:r>
              <w:rPr>
                <w:rFonts w:cs="Arial"/>
              </w:rPr>
              <w:t>0</w:t>
            </w:r>
          </w:p>
        </w:tc>
        <w:tc>
          <w:tcPr>
            <w:tcW w:w="756" w:type="dxa"/>
            <w:tcBorders>
              <w:top w:val="nil"/>
              <w:left w:val="nil"/>
              <w:bottom w:val="single" w:sz="4" w:space="0" w:color="auto"/>
              <w:right w:val="single" w:sz="4" w:space="0" w:color="auto"/>
            </w:tcBorders>
            <w:vAlign w:val="center"/>
          </w:tcPr>
          <w:p w14:paraId="53D47FFE" w14:textId="79FE481F" w:rsidR="00F1009D" w:rsidRDefault="00F1009D" w:rsidP="00F1009D">
            <w:pPr>
              <w:spacing w:line="240" w:lineRule="auto"/>
              <w:jc w:val="right"/>
              <w:rPr>
                <w:rFonts w:cs="Arial"/>
                <w:lang w:eastAsia="en-AU"/>
              </w:rPr>
            </w:pPr>
            <w:r>
              <w:rPr>
                <w:rFonts w:cs="Arial"/>
              </w:rPr>
              <w:t>3</w:t>
            </w:r>
          </w:p>
        </w:tc>
        <w:tc>
          <w:tcPr>
            <w:tcW w:w="756" w:type="dxa"/>
            <w:tcBorders>
              <w:top w:val="nil"/>
              <w:left w:val="nil"/>
              <w:bottom w:val="single" w:sz="4" w:space="0" w:color="auto"/>
              <w:right w:val="single" w:sz="4" w:space="0" w:color="auto"/>
            </w:tcBorders>
            <w:vAlign w:val="center"/>
          </w:tcPr>
          <w:p w14:paraId="1A3F174E" w14:textId="2B21BF01" w:rsidR="00F1009D" w:rsidRDefault="00F1009D" w:rsidP="00F1009D">
            <w:pPr>
              <w:spacing w:line="240" w:lineRule="auto"/>
              <w:jc w:val="right"/>
              <w:rPr>
                <w:rFonts w:cs="Arial"/>
                <w:lang w:eastAsia="en-AU"/>
              </w:rPr>
            </w:pPr>
            <w:r>
              <w:rPr>
                <w:rFonts w:cs="Arial"/>
              </w:rPr>
              <w:t>4</w:t>
            </w:r>
          </w:p>
        </w:tc>
        <w:tc>
          <w:tcPr>
            <w:tcW w:w="896" w:type="dxa"/>
            <w:tcBorders>
              <w:top w:val="nil"/>
              <w:left w:val="nil"/>
              <w:bottom w:val="single" w:sz="4" w:space="0" w:color="auto"/>
              <w:right w:val="single" w:sz="4" w:space="0" w:color="auto"/>
            </w:tcBorders>
            <w:vAlign w:val="center"/>
          </w:tcPr>
          <w:p w14:paraId="016DD19F" w14:textId="48A95903" w:rsidR="00F1009D" w:rsidRPr="0094558B" w:rsidRDefault="00F1009D" w:rsidP="00F1009D">
            <w:pPr>
              <w:spacing w:line="240" w:lineRule="auto"/>
              <w:jc w:val="right"/>
              <w:rPr>
                <w:rFonts w:cs="Arial"/>
                <w:b/>
                <w:lang w:eastAsia="en-AU"/>
              </w:rPr>
            </w:pPr>
            <w:r>
              <w:rPr>
                <w:rFonts w:cs="Arial"/>
                <w:b/>
                <w:bCs/>
              </w:rPr>
              <w:t>34</w:t>
            </w:r>
          </w:p>
        </w:tc>
      </w:tr>
      <w:tr w:rsidR="00F1009D"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F1009D" w:rsidRPr="00557E24" w:rsidRDefault="00F1009D" w:rsidP="00F1009D">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23C8A527" w:rsidR="00F1009D" w:rsidRPr="00557E24" w:rsidRDefault="00F1009D" w:rsidP="00F1009D">
            <w:pPr>
              <w:spacing w:line="240" w:lineRule="auto"/>
              <w:jc w:val="right"/>
              <w:rPr>
                <w:rFonts w:cs="Arial"/>
                <w:b/>
                <w:lang w:eastAsia="en-AU"/>
              </w:rPr>
            </w:pPr>
            <w:r>
              <w:rPr>
                <w:rFonts w:cs="Arial"/>
                <w:b/>
                <w:bCs/>
              </w:rPr>
              <w:t>27</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63749392" w:rsidR="00F1009D" w:rsidRPr="00557E24" w:rsidRDefault="00F1009D" w:rsidP="00F1009D">
            <w:pPr>
              <w:spacing w:line="240" w:lineRule="auto"/>
              <w:jc w:val="right"/>
              <w:rPr>
                <w:rFonts w:cs="Arial"/>
                <w:b/>
                <w:lang w:eastAsia="en-AU"/>
              </w:rPr>
            </w:pPr>
            <w:r>
              <w:rPr>
                <w:rFonts w:cs="Arial"/>
                <w:b/>
                <w:bCs/>
              </w:rPr>
              <w:t>0</w:t>
            </w:r>
          </w:p>
        </w:tc>
        <w:tc>
          <w:tcPr>
            <w:tcW w:w="756" w:type="dxa"/>
            <w:tcBorders>
              <w:top w:val="single" w:sz="4" w:space="0" w:color="auto"/>
              <w:left w:val="nil"/>
              <w:bottom w:val="single" w:sz="4" w:space="0" w:color="auto"/>
              <w:right w:val="single" w:sz="4" w:space="0" w:color="auto"/>
            </w:tcBorders>
            <w:vAlign w:val="center"/>
          </w:tcPr>
          <w:p w14:paraId="1C15A840" w14:textId="0A4E300B" w:rsidR="00F1009D" w:rsidRPr="00557E24" w:rsidRDefault="00F1009D" w:rsidP="00F1009D">
            <w:pPr>
              <w:spacing w:line="240" w:lineRule="auto"/>
              <w:jc w:val="right"/>
              <w:rPr>
                <w:rFonts w:cs="Arial"/>
                <w:b/>
                <w:lang w:eastAsia="en-AU"/>
              </w:rPr>
            </w:pPr>
            <w:r>
              <w:rPr>
                <w:rFonts w:cs="Arial"/>
                <w:b/>
                <w:bCs/>
              </w:rPr>
              <w:t>3</w:t>
            </w:r>
          </w:p>
        </w:tc>
        <w:tc>
          <w:tcPr>
            <w:tcW w:w="756" w:type="dxa"/>
            <w:tcBorders>
              <w:top w:val="single" w:sz="4" w:space="0" w:color="auto"/>
              <w:left w:val="nil"/>
              <w:bottom w:val="single" w:sz="4" w:space="0" w:color="auto"/>
              <w:right w:val="single" w:sz="4" w:space="0" w:color="auto"/>
            </w:tcBorders>
            <w:vAlign w:val="center"/>
          </w:tcPr>
          <w:p w14:paraId="05E4508F" w14:textId="7495CDF7" w:rsidR="00F1009D" w:rsidRPr="00557E24" w:rsidRDefault="00F1009D" w:rsidP="00F1009D">
            <w:pPr>
              <w:spacing w:line="240" w:lineRule="auto"/>
              <w:jc w:val="right"/>
              <w:rPr>
                <w:rFonts w:cs="Arial"/>
                <w:b/>
                <w:lang w:eastAsia="en-AU"/>
              </w:rPr>
            </w:pPr>
            <w:r>
              <w:rPr>
                <w:rFonts w:cs="Arial"/>
                <w:b/>
                <w:bCs/>
              </w:rPr>
              <w:t>4</w:t>
            </w:r>
          </w:p>
        </w:tc>
        <w:tc>
          <w:tcPr>
            <w:tcW w:w="896" w:type="dxa"/>
            <w:tcBorders>
              <w:top w:val="single" w:sz="4" w:space="0" w:color="auto"/>
              <w:left w:val="nil"/>
              <w:bottom w:val="single" w:sz="4" w:space="0" w:color="auto"/>
              <w:right w:val="single" w:sz="4" w:space="0" w:color="auto"/>
            </w:tcBorders>
            <w:vAlign w:val="center"/>
          </w:tcPr>
          <w:p w14:paraId="22F31EFF" w14:textId="320B70DF" w:rsidR="00F1009D" w:rsidRPr="0094558B" w:rsidRDefault="00F1009D" w:rsidP="00F1009D">
            <w:pPr>
              <w:spacing w:line="240" w:lineRule="auto"/>
              <w:jc w:val="right"/>
              <w:rPr>
                <w:rFonts w:cs="Arial"/>
                <w:b/>
                <w:lang w:eastAsia="en-AU"/>
              </w:rPr>
            </w:pPr>
            <w:r>
              <w:rPr>
                <w:rFonts w:cs="Arial"/>
                <w:b/>
                <w:bCs/>
              </w:rPr>
              <w:t>34</w:t>
            </w:r>
          </w:p>
        </w:tc>
      </w:tr>
    </w:tbl>
    <w:p w14:paraId="5BED135A" w14:textId="77777777" w:rsidR="001748A5" w:rsidRDefault="001748A5" w:rsidP="001748A5">
      <w:pPr>
        <w:ind w:left="-142" w:right="-425"/>
        <w:jc w:val="both"/>
        <w:rPr>
          <w:rFonts w:cs="Arial"/>
          <w:noProof/>
          <w:lang w:eastAsia="en-AU"/>
        </w:rPr>
      </w:pPr>
    </w:p>
    <w:p w14:paraId="7BDA2AD7" w14:textId="77777777" w:rsidR="00537C8D" w:rsidRDefault="00537C8D">
      <w:pPr>
        <w:spacing w:line="240" w:lineRule="auto"/>
        <w:rPr>
          <w:b/>
          <w:sz w:val="16"/>
        </w:rPr>
      </w:pPr>
      <w:r>
        <w:rPr>
          <w:b/>
          <w:i/>
          <w:sz w:val="16"/>
        </w:rPr>
        <w:br w:type="page"/>
      </w:r>
    </w:p>
    <w:p w14:paraId="5B6F504B" w14:textId="44A069F3" w:rsidR="00537C8D" w:rsidRPr="00D925BE" w:rsidRDefault="00537C8D" w:rsidP="00537C8D">
      <w:pPr>
        <w:pStyle w:val="TableCaption"/>
        <w:spacing w:before="0"/>
        <w:ind w:left="0" w:right="-425"/>
        <w:rPr>
          <w:b/>
          <w:i w:val="0"/>
          <w:sz w:val="16"/>
        </w:rPr>
      </w:pPr>
      <w:r>
        <w:rPr>
          <w:b/>
          <w:i w:val="0"/>
          <w:sz w:val="16"/>
        </w:rPr>
        <w:lastRenderedPageBreak/>
        <w:t>Table 8</w:t>
      </w:r>
      <w:r w:rsidRPr="00310F76">
        <w:rPr>
          <w:b/>
          <w:i w:val="0"/>
          <w:sz w:val="16"/>
        </w:rPr>
        <w:t xml:space="preserve">: </w:t>
      </w:r>
      <w:r w:rsidRPr="00A1458E">
        <w:rPr>
          <w:i w:val="0"/>
          <w:sz w:val="16"/>
        </w:rPr>
        <w:t xml:space="preserve">DV conferences by community and quarter 1 </w:t>
      </w:r>
      <w:r>
        <w:rPr>
          <w:i w:val="0"/>
          <w:sz w:val="16"/>
        </w:rPr>
        <w:t>July 2019 to 30 September 2020</w:t>
      </w:r>
      <w:r w:rsidRPr="00A1458E">
        <w:rPr>
          <w:i w:val="0"/>
          <w:sz w:val="16"/>
        </w:rPr>
        <w:t>.</w:t>
      </w:r>
    </w:p>
    <w:tbl>
      <w:tblPr>
        <w:tblW w:w="9370" w:type="dxa"/>
        <w:tblInd w:w="93" w:type="dxa"/>
        <w:tblLook w:val="04A0" w:firstRow="1" w:lastRow="0" w:firstColumn="1" w:lastColumn="0" w:noHBand="0" w:noVBand="1"/>
      </w:tblPr>
      <w:tblGrid>
        <w:gridCol w:w="4410"/>
        <w:gridCol w:w="992"/>
        <w:gridCol w:w="992"/>
        <w:gridCol w:w="992"/>
        <w:gridCol w:w="992"/>
        <w:gridCol w:w="992"/>
      </w:tblGrid>
      <w:tr w:rsidR="00537C8D" w:rsidRPr="00C5395B" w14:paraId="2658AE46" w14:textId="4216588F" w:rsidTr="00537C8D">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586821B0" w14:textId="77777777" w:rsidR="00537C8D" w:rsidRPr="00C5395B" w:rsidRDefault="00537C8D" w:rsidP="00544691">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3812B305" w14:textId="77777777" w:rsidR="00537C8D" w:rsidRDefault="00537C8D" w:rsidP="00544691">
            <w:pPr>
              <w:pStyle w:val="TableText"/>
              <w:jc w:val="right"/>
              <w:rPr>
                <w:b/>
                <w:lang w:eastAsia="en-AU"/>
              </w:rPr>
            </w:pPr>
            <w:r>
              <w:rPr>
                <w:b/>
                <w:lang w:eastAsia="en-AU"/>
              </w:rPr>
              <w:t>Qtr 45</w:t>
            </w:r>
          </w:p>
        </w:tc>
        <w:tc>
          <w:tcPr>
            <w:tcW w:w="992" w:type="dxa"/>
            <w:tcBorders>
              <w:top w:val="single" w:sz="4" w:space="0" w:color="auto"/>
              <w:left w:val="nil"/>
              <w:bottom w:val="single" w:sz="4" w:space="0" w:color="auto"/>
              <w:right w:val="single" w:sz="4" w:space="0" w:color="auto"/>
            </w:tcBorders>
          </w:tcPr>
          <w:p w14:paraId="406AA06E" w14:textId="77777777" w:rsidR="00537C8D" w:rsidRDefault="00537C8D" w:rsidP="00544691">
            <w:pPr>
              <w:pStyle w:val="TableText"/>
              <w:jc w:val="right"/>
              <w:rPr>
                <w:b/>
                <w:lang w:eastAsia="en-AU"/>
              </w:rPr>
            </w:pPr>
            <w:r>
              <w:rPr>
                <w:b/>
                <w:lang w:eastAsia="en-AU"/>
              </w:rPr>
              <w:t>Qtr 46</w:t>
            </w:r>
          </w:p>
        </w:tc>
        <w:tc>
          <w:tcPr>
            <w:tcW w:w="992" w:type="dxa"/>
            <w:tcBorders>
              <w:top w:val="single" w:sz="4" w:space="0" w:color="auto"/>
              <w:left w:val="nil"/>
              <w:bottom w:val="single" w:sz="4" w:space="0" w:color="auto"/>
              <w:right w:val="single" w:sz="4" w:space="0" w:color="auto"/>
            </w:tcBorders>
          </w:tcPr>
          <w:p w14:paraId="55997F17" w14:textId="77777777" w:rsidR="00537C8D" w:rsidRDefault="00537C8D" w:rsidP="00544691">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7CAD7B1B" w14:textId="77777777" w:rsidR="00537C8D" w:rsidRDefault="00537C8D" w:rsidP="00544691">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6E504E2C" w14:textId="378733D8" w:rsidR="00537C8D" w:rsidRDefault="00537C8D" w:rsidP="00544691">
            <w:pPr>
              <w:pStyle w:val="TableText"/>
              <w:jc w:val="right"/>
              <w:rPr>
                <w:b/>
                <w:lang w:eastAsia="en-AU"/>
              </w:rPr>
            </w:pPr>
            <w:r>
              <w:rPr>
                <w:b/>
                <w:lang w:eastAsia="en-AU"/>
              </w:rPr>
              <w:t>Qtr 49</w:t>
            </w:r>
          </w:p>
        </w:tc>
      </w:tr>
      <w:tr w:rsidR="00FB5CEB" w:rsidRPr="00C5395B" w14:paraId="5CA630A9" w14:textId="19D3E13A" w:rsidTr="00537C8D">
        <w:trPr>
          <w:trHeight w:val="255"/>
        </w:trPr>
        <w:tc>
          <w:tcPr>
            <w:tcW w:w="4410" w:type="dxa"/>
            <w:tcBorders>
              <w:top w:val="nil"/>
              <w:left w:val="single" w:sz="4" w:space="0" w:color="auto"/>
              <w:bottom w:val="single" w:sz="4" w:space="0" w:color="auto"/>
              <w:right w:val="single" w:sz="4" w:space="0" w:color="auto"/>
            </w:tcBorders>
            <w:noWrap/>
            <w:hideMark/>
          </w:tcPr>
          <w:p w14:paraId="332289D3" w14:textId="77777777" w:rsidR="00FB5CEB" w:rsidRPr="00C5395B" w:rsidRDefault="00FB5CEB" w:rsidP="00FB5CEB">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6D156214" w14:textId="77777777" w:rsidR="00FB5CEB" w:rsidRDefault="00FB5CEB" w:rsidP="00FB5CEB">
            <w:pPr>
              <w:jc w:val="right"/>
              <w:rPr>
                <w:rFonts w:cs="Arial"/>
              </w:rPr>
            </w:pPr>
            <w:r>
              <w:rPr>
                <w:rFonts w:cs="Arial"/>
              </w:rPr>
              <w:t>52</w:t>
            </w:r>
          </w:p>
        </w:tc>
        <w:tc>
          <w:tcPr>
            <w:tcW w:w="992" w:type="dxa"/>
            <w:tcBorders>
              <w:top w:val="nil"/>
              <w:left w:val="nil"/>
              <w:bottom w:val="single" w:sz="4" w:space="0" w:color="auto"/>
              <w:right w:val="single" w:sz="4" w:space="0" w:color="auto"/>
            </w:tcBorders>
          </w:tcPr>
          <w:p w14:paraId="68607C9E" w14:textId="77777777" w:rsidR="00FB5CEB" w:rsidRDefault="00FB5CEB" w:rsidP="00FB5CEB">
            <w:pPr>
              <w:jc w:val="right"/>
              <w:rPr>
                <w:rFonts w:cs="Arial"/>
              </w:rPr>
            </w:pPr>
            <w:r>
              <w:rPr>
                <w:rFonts w:cs="Arial"/>
              </w:rPr>
              <w:t>63</w:t>
            </w:r>
          </w:p>
        </w:tc>
        <w:tc>
          <w:tcPr>
            <w:tcW w:w="992" w:type="dxa"/>
            <w:tcBorders>
              <w:top w:val="nil"/>
              <w:left w:val="nil"/>
              <w:bottom w:val="single" w:sz="4" w:space="0" w:color="auto"/>
              <w:right w:val="single" w:sz="4" w:space="0" w:color="auto"/>
            </w:tcBorders>
          </w:tcPr>
          <w:p w14:paraId="5899B434" w14:textId="77777777" w:rsidR="00FB5CEB" w:rsidRDefault="00FB5CEB" w:rsidP="00FB5CEB">
            <w:pPr>
              <w:jc w:val="right"/>
              <w:rPr>
                <w:rFonts w:cs="Arial"/>
              </w:rPr>
            </w:pPr>
            <w:r w:rsidRPr="00D431FB">
              <w:rPr>
                <w:rFonts w:cs="Arial"/>
              </w:rPr>
              <w:t>28</w:t>
            </w:r>
          </w:p>
        </w:tc>
        <w:tc>
          <w:tcPr>
            <w:tcW w:w="992" w:type="dxa"/>
            <w:tcBorders>
              <w:top w:val="nil"/>
              <w:left w:val="nil"/>
              <w:bottom w:val="single" w:sz="4" w:space="0" w:color="auto"/>
              <w:right w:val="single" w:sz="4" w:space="0" w:color="auto"/>
            </w:tcBorders>
          </w:tcPr>
          <w:p w14:paraId="1BA323EE" w14:textId="77777777" w:rsidR="00FB5CEB" w:rsidRPr="00B8398E" w:rsidRDefault="00FB5CEB" w:rsidP="00FB5CEB">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70742FA1" w14:textId="355D83A2" w:rsidR="00FB5CEB" w:rsidRPr="00FB5CEB" w:rsidRDefault="00FB5CEB" w:rsidP="00FB5CEB">
            <w:pPr>
              <w:jc w:val="right"/>
              <w:rPr>
                <w:rFonts w:cs="Arial"/>
              </w:rPr>
            </w:pPr>
            <w:r w:rsidRPr="00FB5CEB">
              <w:rPr>
                <w:rFonts w:cs="Arial"/>
              </w:rPr>
              <w:t>27</w:t>
            </w:r>
          </w:p>
        </w:tc>
      </w:tr>
      <w:tr w:rsidR="00FB5CEB" w:rsidRPr="00C5395B" w14:paraId="1F4EBA03" w14:textId="34543138" w:rsidTr="00537C8D">
        <w:trPr>
          <w:trHeight w:val="255"/>
        </w:trPr>
        <w:tc>
          <w:tcPr>
            <w:tcW w:w="4410" w:type="dxa"/>
            <w:tcBorders>
              <w:top w:val="nil"/>
              <w:left w:val="single" w:sz="4" w:space="0" w:color="auto"/>
              <w:bottom w:val="single" w:sz="4" w:space="0" w:color="auto"/>
              <w:right w:val="single" w:sz="4" w:space="0" w:color="auto"/>
            </w:tcBorders>
            <w:noWrap/>
            <w:hideMark/>
          </w:tcPr>
          <w:p w14:paraId="6EA59D02" w14:textId="77777777" w:rsidR="00FB5CEB" w:rsidRPr="00C5395B" w:rsidRDefault="00FB5CEB" w:rsidP="00FB5CEB">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2BE30F63" w14:textId="77777777" w:rsidR="00FB5CEB" w:rsidRDefault="00FB5CEB" w:rsidP="00FB5CEB">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40D21D09" w14:textId="77777777" w:rsidR="00FB5CEB" w:rsidRDefault="00FB5CEB" w:rsidP="00FB5CEB">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57B0B477" w14:textId="77777777" w:rsidR="00FB5CEB" w:rsidRDefault="00FB5CEB" w:rsidP="00FB5CEB">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31081D09" w14:textId="77777777" w:rsidR="00FB5CEB" w:rsidRPr="00B8398E" w:rsidRDefault="00FB5CEB" w:rsidP="00FB5CEB">
            <w:pPr>
              <w:jc w:val="right"/>
              <w:rPr>
                <w:rFonts w:cs="Arial"/>
              </w:rPr>
            </w:pPr>
            <w:r w:rsidRPr="00B8398E">
              <w:rPr>
                <w:rFonts w:cs="Arial"/>
              </w:rPr>
              <w:t>6</w:t>
            </w:r>
          </w:p>
        </w:tc>
        <w:tc>
          <w:tcPr>
            <w:tcW w:w="992" w:type="dxa"/>
            <w:tcBorders>
              <w:top w:val="nil"/>
              <w:left w:val="nil"/>
              <w:bottom w:val="single" w:sz="4" w:space="0" w:color="auto"/>
              <w:right w:val="single" w:sz="4" w:space="0" w:color="auto"/>
            </w:tcBorders>
          </w:tcPr>
          <w:p w14:paraId="1CF10365" w14:textId="5F8FB84A" w:rsidR="00FB5CEB" w:rsidRPr="00FB5CEB" w:rsidRDefault="00FB5CEB" w:rsidP="00FB5CEB">
            <w:pPr>
              <w:jc w:val="right"/>
              <w:rPr>
                <w:rFonts w:cs="Arial"/>
              </w:rPr>
            </w:pPr>
            <w:r w:rsidRPr="00FB5CEB">
              <w:rPr>
                <w:rFonts w:cs="Arial"/>
              </w:rPr>
              <w:t>0</w:t>
            </w:r>
          </w:p>
        </w:tc>
      </w:tr>
      <w:tr w:rsidR="00FB5CEB" w:rsidRPr="00C5395B" w14:paraId="7A01BFBE" w14:textId="651BE932" w:rsidTr="00537C8D">
        <w:trPr>
          <w:trHeight w:val="255"/>
        </w:trPr>
        <w:tc>
          <w:tcPr>
            <w:tcW w:w="4410" w:type="dxa"/>
            <w:tcBorders>
              <w:top w:val="nil"/>
              <w:left w:val="single" w:sz="4" w:space="0" w:color="auto"/>
              <w:bottom w:val="single" w:sz="4" w:space="0" w:color="auto"/>
              <w:right w:val="single" w:sz="4" w:space="0" w:color="auto"/>
            </w:tcBorders>
            <w:noWrap/>
          </w:tcPr>
          <w:p w14:paraId="2A42D377" w14:textId="77777777" w:rsidR="00FB5CEB" w:rsidRPr="00C5395B" w:rsidRDefault="00FB5CEB" w:rsidP="00FB5CEB">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74680277" w14:textId="77777777" w:rsidR="00FB5CEB" w:rsidRDefault="00FB5CEB" w:rsidP="00FB5CEB">
            <w:pPr>
              <w:jc w:val="right"/>
              <w:rPr>
                <w:rFonts w:cs="Arial"/>
              </w:rPr>
            </w:pPr>
            <w:r>
              <w:rPr>
                <w:rFonts w:cs="Arial"/>
              </w:rPr>
              <w:t>22</w:t>
            </w:r>
          </w:p>
        </w:tc>
        <w:tc>
          <w:tcPr>
            <w:tcW w:w="992" w:type="dxa"/>
            <w:tcBorders>
              <w:top w:val="nil"/>
              <w:left w:val="nil"/>
              <w:bottom w:val="single" w:sz="4" w:space="0" w:color="auto"/>
              <w:right w:val="single" w:sz="4" w:space="0" w:color="auto"/>
            </w:tcBorders>
          </w:tcPr>
          <w:p w14:paraId="55339739" w14:textId="77777777" w:rsidR="00FB5CEB" w:rsidRDefault="00FB5CEB" w:rsidP="00FB5CEB">
            <w:pPr>
              <w:jc w:val="right"/>
              <w:rPr>
                <w:rFonts w:cs="Arial"/>
              </w:rPr>
            </w:pPr>
            <w:r>
              <w:rPr>
                <w:rFonts w:cs="Arial"/>
              </w:rPr>
              <w:t>24</w:t>
            </w:r>
          </w:p>
        </w:tc>
        <w:tc>
          <w:tcPr>
            <w:tcW w:w="992" w:type="dxa"/>
            <w:tcBorders>
              <w:top w:val="nil"/>
              <w:left w:val="nil"/>
              <w:bottom w:val="single" w:sz="4" w:space="0" w:color="auto"/>
              <w:right w:val="single" w:sz="4" w:space="0" w:color="auto"/>
            </w:tcBorders>
          </w:tcPr>
          <w:p w14:paraId="373D599F" w14:textId="77777777" w:rsidR="00FB5CEB" w:rsidRDefault="00FB5CEB" w:rsidP="00FB5CEB">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47A40287" w14:textId="77777777" w:rsidR="00FB5CEB" w:rsidRPr="00B8398E" w:rsidRDefault="00FB5CEB" w:rsidP="00FB5CEB">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7ACE0325" w14:textId="279DD1F1" w:rsidR="00FB5CEB" w:rsidRPr="00FB5CEB" w:rsidRDefault="00FB5CEB" w:rsidP="00FB5CEB">
            <w:pPr>
              <w:jc w:val="right"/>
              <w:rPr>
                <w:rFonts w:cs="Arial"/>
              </w:rPr>
            </w:pPr>
            <w:r w:rsidRPr="00FB5CEB">
              <w:rPr>
                <w:rFonts w:cs="Arial"/>
              </w:rPr>
              <w:t>3</w:t>
            </w:r>
          </w:p>
        </w:tc>
      </w:tr>
      <w:tr w:rsidR="00FB5CEB" w:rsidRPr="00C5395B" w14:paraId="538F717A" w14:textId="4C5B966E" w:rsidTr="00537C8D">
        <w:trPr>
          <w:trHeight w:val="255"/>
        </w:trPr>
        <w:tc>
          <w:tcPr>
            <w:tcW w:w="4410" w:type="dxa"/>
            <w:tcBorders>
              <w:top w:val="nil"/>
              <w:left w:val="single" w:sz="4" w:space="0" w:color="auto"/>
              <w:bottom w:val="single" w:sz="4" w:space="0" w:color="auto"/>
              <w:right w:val="single" w:sz="4" w:space="0" w:color="auto"/>
            </w:tcBorders>
            <w:noWrap/>
            <w:hideMark/>
          </w:tcPr>
          <w:p w14:paraId="3025DFE6" w14:textId="77777777" w:rsidR="00FB5CEB" w:rsidRPr="00C5395B" w:rsidRDefault="00FB5CEB" w:rsidP="00FB5CEB">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23E58D0F" w14:textId="77777777" w:rsidR="00FB5CEB" w:rsidRDefault="00FB5CEB" w:rsidP="00FB5CEB">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386132AB" w14:textId="77777777" w:rsidR="00FB5CEB" w:rsidRDefault="00FB5CEB" w:rsidP="00FB5CEB">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03E1A922" w14:textId="77777777" w:rsidR="00FB5CEB" w:rsidRDefault="00FB5CEB" w:rsidP="00FB5CEB">
            <w:pPr>
              <w:jc w:val="right"/>
              <w:rPr>
                <w:rFonts w:cs="Arial"/>
              </w:rPr>
            </w:pPr>
            <w:r w:rsidRPr="00D431FB">
              <w:rPr>
                <w:rFonts w:cs="Arial"/>
              </w:rPr>
              <w:t>4</w:t>
            </w:r>
          </w:p>
        </w:tc>
        <w:tc>
          <w:tcPr>
            <w:tcW w:w="992" w:type="dxa"/>
            <w:tcBorders>
              <w:top w:val="nil"/>
              <w:left w:val="nil"/>
              <w:bottom w:val="single" w:sz="4" w:space="0" w:color="auto"/>
              <w:right w:val="single" w:sz="4" w:space="0" w:color="auto"/>
            </w:tcBorders>
          </w:tcPr>
          <w:p w14:paraId="03223D1F" w14:textId="77777777" w:rsidR="00FB5CEB" w:rsidRPr="00B8398E" w:rsidRDefault="00FB5CEB" w:rsidP="00FB5CEB">
            <w:pPr>
              <w:jc w:val="right"/>
              <w:rPr>
                <w:rFonts w:cs="Arial"/>
              </w:rPr>
            </w:pPr>
            <w:r w:rsidRPr="00B8398E">
              <w:rPr>
                <w:rFonts w:cs="Arial"/>
              </w:rPr>
              <w:t>4</w:t>
            </w:r>
          </w:p>
        </w:tc>
        <w:tc>
          <w:tcPr>
            <w:tcW w:w="992" w:type="dxa"/>
            <w:tcBorders>
              <w:top w:val="nil"/>
              <w:left w:val="nil"/>
              <w:bottom w:val="single" w:sz="4" w:space="0" w:color="auto"/>
              <w:right w:val="single" w:sz="4" w:space="0" w:color="auto"/>
            </w:tcBorders>
          </w:tcPr>
          <w:p w14:paraId="70A6DAB1" w14:textId="6C8BC2F8" w:rsidR="00FB5CEB" w:rsidRPr="00FB5CEB" w:rsidRDefault="00FB5CEB" w:rsidP="00FB5CEB">
            <w:pPr>
              <w:jc w:val="right"/>
              <w:rPr>
                <w:rFonts w:cs="Arial"/>
              </w:rPr>
            </w:pPr>
            <w:r w:rsidRPr="00FB5CEB">
              <w:rPr>
                <w:rFonts w:cs="Arial"/>
              </w:rPr>
              <w:t>4</w:t>
            </w:r>
          </w:p>
        </w:tc>
      </w:tr>
      <w:tr w:rsidR="00FB5CEB" w:rsidRPr="00C5395B" w14:paraId="5397CCDF" w14:textId="4C20A53F" w:rsidTr="00537C8D">
        <w:trPr>
          <w:trHeight w:val="255"/>
        </w:trPr>
        <w:tc>
          <w:tcPr>
            <w:tcW w:w="4410" w:type="dxa"/>
            <w:tcBorders>
              <w:top w:val="nil"/>
              <w:left w:val="single" w:sz="4" w:space="0" w:color="auto"/>
              <w:bottom w:val="single" w:sz="4" w:space="0" w:color="auto"/>
              <w:right w:val="single" w:sz="4" w:space="0" w:color="auto"/>
            </w:tcBorders>
            <w:noWrap/>
            <w:hideMark/>
          </w:tcPr>
          <w:p w14:paraId="41013D66" w14:textId="77777777" w:rsidR="00FB5CEB" w:rsidRPr="00C5395B" w:rsidRDefault="00FB5CEB" w:rsidP="00FB5CEB">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17DFE897" w14:textId="77777777" w:rsidR="00FB5CEB" w:rsidRDefault="00FB5CEB" w:rsidP="00FB5CEB">
            <w:pPr>
              <w:pStyle w:val="TableText"/>
              <w:jc w:val="right"/>
              <w:rPr>
                <w:b/>
                <w:lang w:eastAsia="en-AU"/>
              </w:rPr>
            </w:pPr>
            <w:r>
              <w:rPr>
                <w:rFonts w:cs="Arial"/>
                <w:b/>
                <w:bCs/>
              </w:rPr>
              <w:t>85</w:t>
            </w:r>
          </w:p>
        </w:tc>
        <w:tc>
          <w:tcPr>
            <w:tcW w:w="992" w:type="dxa"/>
            <w:tcBorders>
              <w:top w:val="nil"/>
              <w:left w:val="nil"/>
              <w:bottom w:val="single" w:sz="4" w:space="0" w:color="auto"/>
              <w:right w:val="single" w:sz="4" w:space="0" w:color="auto"/>
            </w:tcBorders>
          </w:tcPr>
          <w:p w14:paraId="03EAB25D" w14:textId="77777777" w:rsidR="00FB5CEB" w:rsidRDefault="00FB5CEB" w:rsidP="00FB5CEB">
            <w:pPr>
              <w:pStyle w:val="TableText"/>
              <w:jc w:val="right"/>
              <w:rPr>
                <w:b/>
                <w:lang w:eastAsia="en-AU"/>
              </w:rPr>
            </w:pPr>
            <w:r>
              <w:rPr>
                <w:rFonts w:cs="Arial"/>
                <w:b/>
                <w:bCs/>
              </w:rPr>
              <w:t>101</w:t>
            </w:r>
          </w:p>
        </w:tc>
        <w:tc>
          <w:tcPr>
            <w:tcW w:w="992" w:type="dxa"/>
            <w:tcBorders>
              <w:top w:val="nil"/>
              <w:left w:val="nil"/>
              <w:bottom w:val="single" w:sz="4" w:space="0" w:color="auto"/>
              <w:right w:val="single" w:sz="4" w:space="0" w:color="auto"/>
            </w:tcBorders>
          </w:tcPr>
          <w:p w14:paraId="5DC95487" w14:textId="77777777" w:rsidR="00FB5CEB" w:rsidRDefault="00FB5CEB" w:rsidP="00FB5CEB">
            <w:pPr>
              <w:pStyle w:val="TableText"/>
              <w:jc w:val="right"/>
              <w:rPr>
                <w:b/>
                <w:lang w:eastAsia="en-AU"/>
              </w:rPr>
            </w:pPr>
            <w:r w:rsidRPr="00D431FB">
              <w:rPr>
                <w:rFonts w:cs="Arial"/>
                <w:b/>
                <w:bCs/>
              </w:rPr>
              <w:t>46</w:t>
            </w:r>
          </w:p>
        </w:tc>
        <w:tc>
          <w:tcPr>
            <w:tcW w:w="992" w:type="dxa"/>
            <w:tcBorders>
              <w:top w:val="nil"/>
              <w:left w:val="nil"/>
              <w:bottom w:val="single" w:sz="4" w:space="0" w:color="auto"/>
              <w:right w:val="single" w:sz="4" w:space="0" w:color="auto"/>
            </w:tcBorders>
          </w:tcPr>
          <w:p w14:paraId="0FBCA878" w14:textId="77777777" w:rsidR="00FB5CEB" w:rsidRPr="00B8398E" w:rsidRDefault="00FB5CEB" w:rsidP="00FB5CEB">
            <w:pPr>
              <w:pStyle w:val="TableText"/>
              <w:jc w:val="right"/>
              <w:rPr>
                <w:rFonts w:cs="Arial"/>
                <w:b/>
                <w:bCs/>
              </w:rPr>
            </w:pPr>
            <w:r w:rsidRPr="00B8398E">
              <w:rPr>
                <w:rFonts w:cs="Arial"/>
                <w:b/>
                <w:bCs/>
              </w:rPr>
              <w:t>32</w:t>
            </w:r>
          </w:p>
        </w:tc>
        <w:tc>
          <w:tcPr>
            <w:tcW w:w="992" w:type="dxa"/>
            <w:tcBorders>
              <w:top w:val="nil"/>
              <w:left w:val="nil"/>
              <w:bottom w:val="single" w:sz="4" w:space="0" w:color="auto"/>
              <w:right w:val="single" w:sz="4" w:space="0" w:color="auto"/>
            </w:tcBorders>
          </w:tcPr>
          <w:p w14:paraId="1B703FED" w14:textId="48C39BAE" w:rsidR="00FB5CEB" w:rsidRPr="00FB5CEB" w:rsidRDefault="00FB5CEB" w:rsidP="00FB5CEB">
            <w:pPr>
              <w:pStyle w:val="TableText"/>
              <w:jc w:val="right"/>
              <w:rPr>
                <w:rFonts w:cs="Arial"/>
                <w:b/>
                <w:bCs/>
              </w:rPr>
            </w:pPr>
            <w:r w:rsidRPr="00FB5CEB">
              <w:rPr>
                <w:rFonts w:cs="Arial"/>
                <w:b/>
                <w:bCs/>
              </w:rPr>
              <w:t>34</w:t>
            </w:r>
          </w:p>
        </w:tc>
      </w:tr>
    </w:tbl>
    <w:p w14:paraId="019B7995" w14:textId="77777777" w:rsidR="00537C8D" w:rsidRDefault="00537C8D" w:rsidP="00537C8D">
      <w:pPr>
        <w:ind w:left="-142" w:right="-425"/>
        <w:jc w:val="both"/>
        <w:rPr>
          <w:rFonts w:cs="Arial"/>
        </w:rPr>
      </w:pPr>
    </w:p>
    <w:p w14:paraId="4493F231" w14:textId="57B1FD41" w:rsidR="00537C8D" w:rsidRPr="0006512A" w:rsidRDefault="00537C8D" w:rsidP="00537C8D">
      <w:pPr>
        <w:pStyle w:val="TableCaption"/>
        <w:spacing w:before="0"/>
        <w:ind w:left="907" w:right="-425" w:hanging="907"/>
        <w:rPr>
          <w:b/>
          <w:i w:val="0"/>
          <w:sz w:val="16"/>
        </w:rPr>
      </w:pPr>
      <w:r>
        <w:rPr>
          <w:b/>
          <w:i w:val="0"/>
          <w:sz w:val="16"/>
        </w:rPr>
        <w:t>Table 9</w:t>
      </w:r>
      <w:r w:rsidRPr="0006512A">
        <w:rPr>
          <w:b/>
          <w:i w:val="0"/>
          <w:sz w:val="16"/>
        </w:rPr>
        <w:t xml:space="preserve">: </w:t>
      </w:r>
      <w:r w:rsidRPr="00A1458E">
        <w:rPr>
          <w:i w:val="0"/>
          <w:sz w:val="16"/>
        </w:rPr>
        <w:t xml:space="preserve">Number of conferences held in relation to domestic violence notices (breaches and </w:t>
      </w:r>
      <w:r>
        <w:rPr>
          <w:i w:val="0"/>
          <w:sz w:val="16"/>
        </w:rPr>
        <w:t xml:space="preserve">orders) per quarter </w:t>
      </w:r>
      <w:r>
        <w:rPr>
          <w:i w:val="0"/>
          <w:sz w:val="16"/>
        </w:rPr>
        <w:br/>
        <w:t>1 July 2019 to 30 September 2020</w:t>
      </w:r>
      <w:r w:rsidRPr="00A1458E">
        <w:rPr>
          <w:i w:val="0"/>
          <w:sz w:val="16"/>
        </w:rPr>
        <w:t>.</w:t>
      </w:r>
    </w:p>
    <w:tbl>
      <w:tblPr>
        <w:tblW w:w="9360" w:type="dxa"/>
        <w:tblInd w:w="103" w:type="dxa"/>
        <w:tblLayout w:type="fixed"/>
        <w:tblLook w:val="04A0" w:firstRow="1" w:lastRow="0" w:firstColumn="1" w:lastColumn="0" w:noHBand="0" w:noVBand="1"/>
      </w:tblPr>
      <w:tblGrid>
        <w:gridCol w:w="4400"/>
        <w:gridCol w:w="992"/>
        <w:gridCol w:w="992"/>
        <w:gridCol w:w="992"/>
        <w:gridCol w:w="992"/>
        <w:gridCol w:w="992"/>
      </w:tblGrid>
      <w:tr w:rsidR="00537C8D" w:rsidRPr="00650B45" w14:paraId="2C507EA6" w14:textId="58EA7AF6" w:rsidTr="00537C8D">
        <w:trPr>
          <w:trHeight w:val="398"/>
        </w:trPr>
        <w:tc>
          <w:tcPr>
            <w:tcW w:w="4400" w:type="dxa"/>
            <w:tcBorders>
              <w:top w:val="single" w:sz="4" w:space="0" w:color="auto"/>
              <w:left w:val="single" w:sz="4" w:space="0" w:color="auto"/>
              <w:bottom w:val="single" w:sz="4" w:space="0" w:color="auto"/>
              <w:right w:val="single" w:sz="4" w:space="0" w:color="auto"/>
            </w:tcBorders>
            <w:hideMark/>
          </w:tcPr>
          <w:p w14:paraId="7ABF09F4" w14:textId="77777777" w:rsidR="00537C8D" w:rsidRPr="0040594D" w:rsidRDefault="00537C8D" w:rsidP="00544691">
            <w:pPr>
              <w:spacing w:line="240" w:lineRule="auto"/>
              <w:rPr>
                <w:rFonts w:cs="Arial"/>
                <w:b/>
                <w:bCs/>
                <w:lang w:eastAsia="en-AU"/>
              </w:rPr>
            </w:pPr>
            <w:r>
              <w:rPr>
                <w:rFonts w:cs="Arial"/>
                <w:b/>
                <w:bCs/>
                <w:lang w:eastAsia="en-AU"/>
              </w:rPr>
              <w:t>Number of Domestic Violence Conferences</w:t>
            </w:r>
          </w:p>
        </w:tc>
        <w:tc>
          <w:tcPr>
            <w:tcW w:w="992" w:type="dxa"/>
            <w:tcBorders>
              <w:top w:val="single" w:sz="4" w:space="0" w:color="auto"/>
              <w:left w:val="nil"/>
              <w:bottom w:val="single" w:sz="4" w:space="0" w:color="auto"/>
              <w:right w:val="single" w:sz="4" w:space="0" w:color="auto"/>
            </w:tcBorders>
          </w:tcPr>
          <w:p w14:paraId="797382BA" w14:textId="77777777" w:rsidR="00537C8D" w:rsidRDefault="00537C8D" w:rsidP="00544691">
            <w:pPr>
              <w:spacing w:line="240" w:lineRule="auto"/>
              <w:jc w:val="right"/>
              <w:rPr>
                <w:rFonts w:cs="Arial"/>
                <w:b/>
                <w:bCs/>
                <w:lang w:eastAsia="en-AU"/>
              </w:rPr>
            </w:pPr>
            <w:r>
              <w:rPr>
                <w:rFonts w:cs="Arial"/>
                <w:b/>
                <w:bCs/>
                <w:lang w:eastAsia="en-AU"/>
              </w:rPr>
              <w:t>Qtr 45</w:t>
            </w:r>
          </w:p>
        </w:tc>
        <w:tc>
          <w:tcPr>
            <w:tcW w:w="992" w:type="dxa"/>
            <w:tcBorders>
              <w:top w:val="single" w:sz="4" w:space="0" w:color="auto"/>
              <w:left w:val="nil"/>
              <w:bottom w:val="single" w:sz="4" w:space="0" w:color="auto"/>
              <w:right w:val="single" w:sz="4" w:space="0" w:color="auto"/>
            </w:tcBorders>
          </w:tcPr>
          <w:p w14:paraId="5F6B1F17" w14:textId="77777777" w:rsidR="00537C8D" w:rsidRDefault="00537C8D" w:rsidP="00544691">
            <w:pPr>
              <w:spacing w:line="240" w:lineRule="auto"/>
              <w:jc w:val="right"/>
              <w:rPr>
                <w:rFonts w:cs="Arial"/>
                <w:b/>
                <w:bCs/>
                <w:lang w:eastAsia="en-AU"/>
              </w:rPr>
            </w:pPr>
            <w:r>
              <w:rPr>
                <w:rFonts w:cs="Arial"/>
                <w:b/>
                <w:bCs/>
                <w:lang w:eastAsia="en-AU"/>
              </w:rPr>
              <w:t>Qtr 46</w:t>
            </w:r>
          </w:p>
        </w:tc>
        <w:tc>
          <w:tcPr>
            <w:tcW w:w="992" w:type="dxa"/>
            <w:tcBorders>
              <w:top w:val="single" w:sz="4" w:space="0" w:color="auto"/>
              <w:left w:val="nil"/>
              <w:bottom w:val="single" w:sz="4" w:space="0" w:color="auto"/>
              <w:right w:val="single" w:sz="4" w:space="0" w:color="auto"/>
            </w:tcBorders>
          </w:tcPr>
          <w:p w14:paraId="2B94A992" w14:textId="77777777" w:rsidR="00537C8D" w:rsidRDefault="00537C8D" w:rsidP="00544691">
            <w:pPr>
              <w:spacing w:line="240" w:lineRule="auto"/>
              <w:jc w:val="right"/>
              <w:rPr>
                <w:rFonts w:cs="Arial"/>
                <w:b/>
                <w:bCs/>
                <w:lang w:eastAsia="en-AU"/>
              </w:rPr>
            </w:pPr>
            <w:r>
              <w:rPr>
                <w:rFonts w:cs="Arial"/>
                <w:b/>
                <w:bCs/>
                <w:lang w:eastAsia="en-AU"/>
              </w:rPr>
              <w:t>Qtr 47</w:t>
            </w:r>
          </w:p>
        </w:tc>
        <w:tc>
          <w:tcPr>
            <w:tcW w:w="992" w:type="dxa"/>
            <w:tcBorders>
              <w:top w:val="single" w:sz="4" w:space="0" w:color="auto"/>
              <w:left w:val="nil"/>
              <w:bottom w:val="single" w:sz="4" w:space="0" w:color="auto"/>
              <w:right w:val="single" w:sz="4" w:space="0" w:color="auto"/>
            </w:tcBorders>
          </w:tcPr>
          <w:p w14:paraId="013A1551" w14:textId="77777777" w:rsidR="00537C8D" w:rsidRDefault="00537C8D" w:rsidP="00544691">
            <w:pPr>
              <w:spacing w:line="240" w:lineRule="auto"/>
              <w:jc w:val="right"/>
              <w:rPr>
                <w:rFonts w:cs="Arial"/>
                <w:b/>
                <w:bCs/>
                <w:lang w:eastAsia="en-AU"/>
              </w:rPr>
            </w:pPr>
            <w:r>
              <w:rPr>
                <w:rFonts w:cs="Arial"/>
                <w:b/>
                <w:bCs/>
                <w:lang w:eastAsia="en-AU"/>
              </w:rPr>
              <w:t>Qtr 48</w:t>
            </w:r>
          </w:p>
        </w:tc>
        <w:tc>
          <w:tcPr>
            <w:tcW w:w="992" w:type="dxa"/>
            <w:tcBorders>
              <w:top w:val="single" w:sz="4" w:space="0" w:color="auto"/>
              <w:left w:val="nil"/>
              <w:bottom w:val="single" w:sz="4" w:space="0" w:color="auto"/>
              <w:right w:val="single" w:sz="4" w:space="0" w:color="auto"/>
            </w:tcBorders>
          </w:tcPr>
          <w:p w14:paraId="367C060F" w14:textId="0E9B159C" w:rsidR="00537C8D" w:rsidRDefault="00537C8D" w:rsidP="00544691">
            <w:pPr>
              <w:spacing w:line="240" w:lineRule="auto"/>
              <w:jc w:val="right"/>
              <w:rPr>
                <w:rFonts w:cs="Arial"/>
                <w:b/>
                <w:bCs/>
                <w:lang w:eastAsia="en-AU"/>
              </w:rPr>
            </w:pPr>
            <w:r>
              <w:rPr>
                <w:rFonts w:cs="Arial"/>
                <w:b/>
                <w:bCs/>
                <w:lang w:eastAsia="en-AU"/>
              </w:rPr>
              <w:t>Qtr 49</w:t>
            </w:r>
          </w:p>
        </w:tc>
      </w:tr>
      <w:tr w:rsidR="00FB5CEB" w:rsidRPr="0094558B" w14:paraId="4F380D79" w14:textId="4F014D5B" w:rsidTr="00D37CF2">
        <w:trPr>
          <w:trHeight w:val="284"/>
        </w:trPr>
        <w:tc>
          <w:tcPr>
            <w:tcW w:w="4400" w:type="dxa"/>
            <w:tcBorders>
              <w:top w:val="single" w:sz="4" w:space="0" w:color="auto"/>
              <w:left w:val="single" w:sz="4" w:space="0" w:color="auto"/>
              <w:bottom w:val="single" w:sz="4" w:space="0" w:color="auto"/>
              <w:right w:val="single" w:sz="4" w:space="0" w:color="auto"/>
            </w:tcBorders>
          </w:tcPr>
          <w:p w14:paraId="27175EF4" w14:textId="77777777" w:rsidR="00FB5CEB" w:rsidRPr="00640E37" w:rsidRDefault="00FB5CEB" w:rsidP="00FB5CEB">
            <w:pPr>
              <w:spacing w:line="240" w:lineRule="auto"/>
              <w:rPr>
                <w:rFonts w:cs="Arial"/>
                <w:bCs/>
                <w:lang w:eastAsia="en-AU"/>
              </w:rPr>
            </w:pPr>
            <w:r>
              <w:t>R</w:t>
            </w:r>
            <w:r w:rsidRPr="00640E37">
              <w:t>elating to both a DVB and a DVO notice</w:t>
            </w:r>
          </w:p>
        </w:tc>
        <w:tc>
          <w:tcPr>
            <w:tcW w:w="992" w:type="dxa"/>
            <w:tcBorders>
              <w:top w:val="single" w:sz="4" w:space="0" w:color="auto"/>
              <w:left w:val="nil"/>
              <w:bottom w:val="single" w:sz="4" w:space="0" w:color="auto"/>
              <w:right w:val="single" w:sz="4" w:space="0" w:color="auto"/>
            </w:tcBorders>
            <w:vAlign w:val="bottom"/>
          </w:tcPr>
          <w:p w14:paraId="635E7982" w14:textId="77777777" w:rsidR="00FB5CEB" w:rsidRDefault="00FB5CEB" w:rsidP="00FB5CEB">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3A6858AD" w14:textId="77777777" w:rsidR="00FB5CEB" w:rsidRDefault="00FB5CEB" w:rsidP="00FB5CEB">
            <w:pPr>
              <w:spacing w:line="240" w:lineRule="auto"/>
              <w:jc w:val="right"/>
              <w:rPr>
                <w:rFonts w:cs="Arial"/>
                <w:bCs/>
                <w:lang w:eastAsia="en-AU"/>
              </w:rPr>
            </w:pPr>
            <w:r>
              <w:rPr>
                <w:rFonts w:cs="Arial"/>
              </w:rPr>
              <w:t>2</w:t>
            </w:r>
          </w:p>
        </w:tc>
        <w:tc>
          <w:tcPr>
            <w:tcW w:w="992" w:type="dxa"/>
            <w:tcBorders>
              <w:top w:val="single" w:sz="4" w:space="0" w:color="auto"/>
              <w:left w:val="nil"/>
              <w:bottom w:val="single" w:sz="4" w:space="0" w:color="auto"/>
              <w:right w:val="single" w:sz="4" w:space="0" w:color="auto"/>
            </w:tcBorders>
            <w:vAlign w:val="bottom"/>
          </w:tcPr>
          <w:p w14:paraId="501EC6A1" w14:textId="77777777" w:rsidR="00FB5CEB" w:rsidRDefault="00FB5CEB" w:rsidP="00FB5CEB">
            <w:pPr>
              <w:spacing w:line="240" w:lineRule="auto"/>
              <w:jc w:val="right"/>
              <w:rPr>
                <w:rFonts w:cs="Arial"/>
                <w:bCs/>
                <w:lang w:eastAsia="en-AU"/>
              </w:rPr>
            </w:pPr>
            <w:r>
              <w:rPr>
                <w:rFonts w:cs="Arial"/>
              </w:rPr>
              <w:t>0</w:t>
            </w:r>
          </w:p>
        </w:tc>
        <w:tc>
          <w:tcPr>
            <w:tcW w:w="992" w:type="dxa"/>
            <w:tcBorders>
              <w:top w:val="single" w:sz="4" w:space="0" w:color="auto"/>
              <w:left w:val="nil"/>
              <w:bottom w:val="single" w:sz="4" w:space="0" w:color="auto"/>
              <w:right w:val="single" w:sz="4" w:space="0" w:color="auto"/>
            </w:tcBorders>
            <w:vAlign w:val="bottom"/>
          </w:tcPr>
          <w:p w14:paraId="47B6E9E7" w14:textId="77777777" w:rsidR="00FB5CEB" w:rsidRPr="00B8398E" w:rsidRDefault="00FB5CEB" w:rsidP="00FB5CEB">
            <w:pPr>
              <w:spacing w:line="240" w:lineRule="auto"/>
              <w:jc w:val="right"/>
              <w:rPr>
                <w:rFonts w:cs="Arial"/>
              </w:rPr>
            </w:pPr>
            <w:r w:rsidRPr="00B8398E">
              <w:rPr>
                <w:rFonts w:cs="Arial"/>
              </w:rPr>
              <w:t>0</w:t>
            </w:r>
          </w:p>
        </w:tc>
        <w:tc>
          <w:tcPr>
            <w:tcW w:w="992" w:type="dxa"/>
            <w:tcBorders>
              <w:top w:val="single" w:sz="4" w:space="0" w:color="auto"/>
              <w:left w:val="nil"/>
              <w:bottom w:val="single" w:sz="4" w:space="0" w:color="auto"/>
              <w:right w:val="single" w:sz="4" w:space="0" w:color="auto"/>
            </w:tcBorders>
            <w:vAlign w:val="bottom"/>
          </w:tcPr>
          <w:p w14:paraId="00018915" w14:textId="0ED3C670" w:rsidR="00FB5CEB" w:rsidRPr="00FB5CEB" w:rsidRDefault="00FB5CEB" w:rsidP="00FB5CEB">
            <w:pPr>
              <w:spacing w:line="240" w:lineRule="auto"/>
              <w:jc w:val="right"/>
              <w:rPr>
                <w:rFonts w:cs="Arial"/>
              </w:rPr>
            </w:pPr>
            <w:r w:rsidRPr="00FB5CEB">
              <w:rPr>
                <w:rFonts w:cs="Arial"/>
              </w:rPr>
              <w:t>0</w:t>
            </w:r>
          </w:p>
        </w:tc>
      </w:tr>
      <w:tr w:rsidR="00FB5CEB" w:rsidRPr="00650B45" w14:paraId="4CEC9B02" w14:textId="55F4A91E" w:rsidTr="00D37CF2">
        <w:trPr>
          <w:trHeight w:val="284"/>
        </w:trPr>
        <w:tc>
          <w:tcPr>
            <w:tcW w:w="4400" w:type="dxa"/>
            <w:tcBorders>
              <w:top w:val="nil"/>
              <w:left w:val="single" w:sz="4" w:space="0" w:color="auto"/>
              <w:bottom w:val="single" w:sz="4" w:space="0" w:color="auto"/>
              <w:right w:val="single" w:sz="4" w:space="0" w:color="auto"/>
            </w:tcBorders>
            <w:vAlign w:val="center"/>
            <w:hideMark/>
          </w:tcPr>
          <w:p w14:paraId="3469AA88" w14:textId="77777777" w:rsidR="00FB5CEB" w:rsidRPr="00640E37" w:rsidRDefault="00FB5CEB" w:rsidP="00FB5CEB">
            <w:pPr>
              <w:spacing w:line="240" w:lineRule="auto"/>
              <w:rPr>
                <w:rFonts w:cs="Arial"/>
                <w:lang w:eastAsia="en-AU"/>
              </w:rPr>
            </w:pPr>
            <w:r>
              <w:t>Relating to a DVB</w:t>
            </w:r>
            <w:r w:rsidRPr="00640E37">
              <w:t xml:space="preserve"> notice</w:t>
            </w:r>
          </w:p>
        </w:tc>
        <w:tc>
          <w:tcPr>
            <w:tcW w:w="992" w:type="dxa"/>
            <w:tcBorders>
              <w:top w:val="nil"/>
              <w:left w:val="nil"/>
              <w:bottom w:val="single" w:sz="4" w:space="0" w:color="auto"/>
              <w:right w:val="single" w:sz="4" w:space="0" w:color="auto"/>
            </w:tcBorders>
            <w:vAlign w:val="bottom"/>
          </w:tcPr>
          <w:p w14:paraId="63D37206" w14:textId="77777777" w:rsidR="00FB5CEB" w:rsidRDefault="00FB5CEB" w:rsidP="00FB5CEB">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vAlign w:val="bottom"/>
          </w:tcPr>
          <w:p w14:paraId="41CA37CE" w14:textId="77777777" w:rsidR="00FB5CEB" w:rsidRDefault="00FB5CEB" w:rsidP="00FB5CEB">
            <w:pPr>
              <w:spacing w:line="240" w:lineRule="auto"/>
              <w:jc w:val="right"/>
              <w:rPr>
                <w:rFonts w:cs="Arial"/>
                <w:lang w:eastAsia="en-AU"/>
              </w:rPr>
            </w:pPr>
            <w:r>
              <w:rPr>
                <w:rFonts w:cs="Arial"/>
              </w:rPr>
              <w:t>27</w:t>
            </w:r>
          </w:p>
        </w:tc>
        <w:tc>
          <w:tcPr>
            <w:tcW w:w="992" w:type="dxa"/>
            <w:tcBorders>
              <w:top w:val="nil"/>
              <w:left w:val="nil"/>
              <w:bottom w:val="single" w:sz="4" w:space="0" w:color="auto"/>
              <w:right w:val="single" w:sz="4" w:space="0" w:color="auto"/>
            </w:tcBorders>
            <w:vAlign w:val="bottom"/>
          </w:tcPr>
          <w:p w14:paraId="05CBBBB2" w14:textId="77777777" w:rsidR="00FB5CEB" w:rsidRDefault="00FB5CEB" w:rsidP="00FB5CEB">
            <w:pPr>
              <w:spacing w:line="240" w:lineRule="auto"/>
              <w:jc w:val="right"/>
              <w:rPr>
                <w:rFonts w:cs="Arial"/>
                <w:lang w:eastAsia="en-AU"/>
              </w:rPr>
            </w:pPr>
            <w:r>
              <w:rPr>
                <w:rFonts w:cs="Arial"/>
              </w:rPr>
              <w:t>6</w:t>
            </w:r>
          </w:p>
        </w:tc>
        <w:tc>
          <w:tcPr>
            <w:tcW w:w="992" w:type="dxa"/>
            <w:tcBorders>
              <w:top w:val="nil"/>
              <w:left w:val="nil"/>
              <w:bottom w:val="single" w:sz="4" w:space="0" w:color="auto"/>
              <w:right w:val="single" w:sz="4" w:space="0" w:color="auto"/>
            </w:tcBorders>
            <w:vAlign w:val="bottom"/>
          </w:tcPr>
          <w:p w14:paraId="73EC57AE" w14:textId="77777777" w:rsidR="00FB5CEB" w:rsidRPr="00B8398E" w:rsidRDefault="00FB5CEB" w:rsidP="00FB5CEB">
            <w:pPr>
              <w:spacing w:line="240" w:lineRule="auto"/>
              <w:jc w:val="right"/>
              <w:rPr>
                <w:rFonts w:cs="Arial"/>
              </w:rPr>
            </w:pPr>
            <w:r w:rsidRPr="00B8398E">
              <w:rPr>
                <w:rFonts w:cs="Arial"/>
              </w:rPr>
              <w:t>15</w:t>
            </w:r>
          </w:p>
        </w:tc>
        <w:tc>
          <w:tcPr>
            <w:tcW w:w="992" w:type="dxa"/>
            <w:tcBorders>
              <w:top w:val="nil"/>
              <w:left w:val="nil"/>
              <w:bottom w:val="single" w:sz="4" w:space="0" w:color="auto"/>
              <w:right w:val="single" w:sz="4" w:space="0" w:color="auto"/>
            </w:tcBorders>
            <w:vAlign w:val="bottom"/>
          </w:tcPr>
          <w:p w14:paraId="2608D079" w14:textId="6D707B2B" w:rsidR="00FB5CEB" w:rsidRPr="00FB5CEB" w:rsidRDefault="00FB5CEB" w:rsidP="00FB5CEB">
            <w:pPr>
              <w:spacing w:line="240" w:lineRule="auto"/>
              <w:jc w:val="right"/>
              <w:rPr>
                <w:rFonts w:cs="Arial"/>
              </w:rPr>
            </w:pPr>
            <w:r w:rsidRPr="00FB5CEB">
              <w:rPr>
                <w:rFonts w:cs="Arial"/>
              </w:rPr>
              <w:t>0</w:t>
            </w:r>
          </w:p>
        </w:tc>
      </w:tr>
      <w:tr w:rsidR="00FB5CEB" w:rsidRPr="00650B45" w14:paraId="71513F04" w14:textId="3B327ADD" w:rsidTr="00D37CF2">
        <w:trPr>
          <w:trHeight w:val="284"/>
        </w:trPr>
        <w:tc>
          <w:tcPr>
            <w:tcW w:w="4400" w:type="dxa"/>
            <w:tcBorders>
              <w:top w:val="nil"/>
              <w:left w:val="single" w:sz="4" w:space="0" w:color="auto"/>
              <w:bottom w:val="single" w:sz="4" w:space="0" w:color="auto"/>
              <w:right w:val="single" w:sz="4" w:space="0" w:color="auto"/>
            </w:tcBorders>
            <w:vAlign w:val="center"/>
          </w:tcPr>
          <w:p w14:paraId="2C036BAD" w14:textId="77777777" w:rsidR="00FB5CEB" w:rsidRPr="00640E37" w:rsidRDefault="00FB5CEB" w:rsidP="00FB5CEB">
            <w:pPr>
              <w:spacing w:line="240" w:lineRule="auto"/>
              <w:rPr>
                <w:rFonts w:cs="Arial"/>
              </w:rPr>
            </w:pPr>
            <w:r>
              <w:t>Relating to a DVO</w:t>
            </w:r>
            <w:r w:rsidRPr="00640E37">
              <w:t xml:space="preserve"> notice</w:t>
            </w:r>
          </w:p>
        </w:tc>
        <w:tc>
          <w:tcPr>
            <w:tcW w:w="992" w:type="dxa"/>
            <w:tcBorders>
              <w:top w:val="nil"/>
              <w:left w:val="nil"/>
              <w:bottom w:val="single" w:sz="4" w:space="0" w:color="auto"/>
              <w:right w:val="single" w:sz="4" w:space="0" w:color="auto"/>
            </w:tcBorders>
            <w:vAlign w:val="bottom"/>
          </w:tcPr>
          <w:p w14:paraId="22384F28" w14:textId="77777777" w:rsidR="00FB5CEB" w:rsidRDefault="00FB5CEB" w:rsidP="00FB5CEB">
            <w:pPr>
              <w:spacing w:line="240" w:lineRule="auto"/>
              <w:jc w:val="right"/>
              <w:rPr>
                <w:rFonts w:cs="Arial"/>
                <w:lang w:eastAsia="en-AU"/>
              </w:rPr>
            </w:pPr>
            <w:r>
              <w:rPr>
                <w:rFonts w:cs="Arial"/>
              </w:rPr>
              <w:t>68</w:t>
            </w:r>
          </w:p>
        </w:tc>
        <w:tc>
          <w:tcPr>
            <w:tcW w:w="992" w:type="dxa"/>
            <w:tcBorders>
              <w:top w:val="nil"/>
              <w:left w:val="nil"/>
              <w:bottom w:val="single" w:sz="4" w:space="0" w:color="auto"/>
              <w:right w:val="single" w:sz="4" w:space="0" w:color="auto"/>
            </w:tcBorders>
            <w:vAlign w:val="bottom"/>
          </w:tcPr>
          <w:p w14:paraId="654174AA" w14:textId="77777777" w:rsidR="00FB5CEB" w:rsidRDefault="00FB5CEB" w:rsidP="00FB5CEB">
            <w:pPr>
              <w:spacing w:line="240" w:lineRule="auto"/>
              <w:jc w:val="right"/>
              <w:rPr>
                <w:rFonts w:cs="Arial"/>
                <w:lang w:eastAsia="en-AU"/>
              </w:rPr>
            </w:pPr>
            <w:r>
              <w:rPr>
                <w:rFonts w:cs="Arial"/>
              </w:rPr>
              <w:t>72</w:t>
            </w:r>
          </w:p>
        </w:tc>
        <w:tc>
          <w:tcPr>
            <w:tcW w:w="992" w:type="dxa"/>
            <w:tcBorders>
              <w:top w:val="nil"/>
              <w:left w:val="nil"/>
              <w:bottom w:val="single" w:sz="4" w:space="0" w:color="auto"/>
              <w:right w:val="single" w:sz="4" w:space="0" w:color="auto"/>
            </w:tcBorders>
            <w:vAlign w:val="bottom"/>
          </w:tcPr>
          <w:p w14:paraId="1B25945F" w14:textId="77777777" w:rsidR="00FB5CEB" w:rsidRDefault="00FB5CEB" w:rsidP="00FB5CEB">
            <w:pPr>
              <w:spacing w:line="240" w:lineRule="auto"/>
              <w:jc w:val="right"/>
              <w:rPr>
                <w:rFonts w:cs="Arial"/>
                <w:lang w:eastAsia="en-AU"/>
              </w:rPr>
            </w:pPr>
            <w:r>
              <w:rPr>
                <w:rFonts w:cs="Arial"/>
              </w:rPr>
              <w:t>40</w:t>
            </w:r>
          </w:p>
        </w:tc>
        <w:tc>
          <w:tcPr>
            <w:tcW w:w="992" w:type="dxa"/>
            <w:tcBorders>
              <w:top w:val="nil"/>
              <w:left w:val="nil"/>
              <w:bottom w:val="single" w:sz="4" w:space="0" w:color="auto"/>
              <w:right w:val="single" w:sz="4" w:space="0" w:color="auto"/>
            </w:tcBorders>
            <w:vAlign w:val="bottom"/>
          </w:tcPr>
          <w:p w14:paraId="0BB9C899" w14:textId="77777777" w:rsidR="00FB5CEB" w:rsidRPr="00B8398E" w:rsidRDefault="00FB5CEB" w:rsidP="00FB5CEB">
            <w:pPr>
              <w:spacing w:line="240" w:lineRule="auto"/>
              <w:jc w:val="right"/>
              <w:rPr>
                <w:rFonts w:cs="Arial"/>
              </w:rPr>
            </w:pPr>
            <w:r w:rsidRPr="00B8398E">
              <w:rPr>
                <w:rFonts w:cs="Arial"/>
              </w:rPr>
              <w:t>17</w:t>
            </w:r>
          </w:p>
        </w:tc>
        <w:tc>
          <w:tcPr>
            <w:tcW w:w="992" w:type="dxa"/>
            <w:tcBorders>
              <w:top w:val="nil"/>
              <w:left w:val="nil"/>
              <w:bottom w:val="single" w:sz="4" w:space="0" w:color="auto"/>
              <w:right w:val="single" w:sz="4" w:space="0" w:color="auto"/>
            </w:tcBorders>
            <w:vAlign w:val="bottom"/>
          </w:tcPr>
          <w:p w14:paraId="1AA04003" w14:textId="0F322193" w:rsidR="00FB5CEB" w:rsidRPr="00FB5CEB" w:rsidRDefault="00FB5CEB" w:rsidP="00FB5CEB">
            <w:pPr>
              <w:spacing w:line="240" w:lineRule="auto"/>
              <w:jc w:val="right"/>
              <w:rPr>
                <w:rFonts w:cs="Arial"/>
              </w:rPr>
            </w:pPr>
            <w:r w:rsidRPr="00FB5CEB">
              <w:rPr>
                <w:rFonts w:cs="Arial"/>
              </w:rPr>
              <w:t>34</w:t>
            </w:r>
          </w:p>
        </w:tc>
      </w:tr>
      <w:tr w:rsidR="00FB5CEB" w:rsidRPr="00557E24" w14:paraId="5F7248F0" w14:textId="10C470C2" w:rsidTr="00D37CF2">
        <w:trPr>
          <w:trHeight w:val="284"/>
        </w:trPr>
        <w:tc>
          <w:tcPr>
            <w:tcW w:w="4400" w:type="dxa"/>
            <w:tcBorders>
              <w:top w:val="single" w:sz="4" w:space="0" w:color="auto"/>
              <w:left w:val="single" w:sz="4" w:space="0" w:color="auto"/>
              <w:bottom w:val="single" w:sz="4" w:space="0" w:color="auto"/>
              <w:right w:val="single" w:sz="4" w:space="0" w:color="auto"/>
            </w:tcBorders>
            <w:vAlign w:val="center"/>
          </w:tcPr>
          <w:p w14:paraId="54EB6773" w14:textId="77777777" w:rsidR="00FB5CEB" w:rsidRPr="00557E24" w:rsidRDefault="00FB5CEB" w:rsidP="00FB5CEB">
            <w:pPr>
              <w:spacing w:line="240" w:lineRule="auto"/>
              <w:rPr>
                <w:rFonts w:cs="Arial"/>
                <w:b/>
                <w:lang w:eastAsia="en-AU"/>
              </w:rPr>
            </w:pPr>
            <w:r w:rsidRPr="00557E24">
              <w:rPr>
                <w:rFonts w:cs="Arial"/>
                <w:b/>
                <w:lang w:eastAsia="en-AU"/>
              </w:rPr>
              <w:t>Total</w:t>
            </w:r>
          </w:p>
        </w:tc>
        <w:tc>
          <w:tcPr>
            <w:tcW w:w="992" w:type="dxa"/>
            <w:tcBorders>
              <w:top w:val="single" w:sz="4" w:space="0" w:color="auto"/>
              <w:left w:val="nil"/>
              <w:bottom w:val="single" w:sz="4" w:space="0" w:color="auto"/>
              <w:right w:val="single" w:sz="4" w:space="0" w:color="auto"/>
            </w:tcBorders>
            <w:vAlign w:val="bottom"/>
          </w:tcPr>
          <w:p w14:paraId="3F4265B9" w14:textId="77777777" w:rsidR="00FB5CEB" w:rsidRDefault="00FB5CEB" w:rsidP="00FB5CEB">
            <w:pPr>
              <w:spacing w:line="240" w:lineRule="auto"/>
              <w:jc w:val="right"/>
              <w:rPr>
                <w:rFonts w:cs="Arial"/>
                <w:b/>
                <w:lang w:eastAsia="en-AU"/>
              </w:rPr>
            </w:pPr>
            <w:r>
              <w:rPr>
                <w:rFonts w:cs="Arial"/>
                <w:b/>
                <w:bCs/>
              </w:rPr>
              <w:t>85</w:t>
            </w:r>
          </w:p>
        </w:tc>
        <w:tc>
          <w:tcPr>
            <w:tcW w:w="992" w:type="dxa"/>
            <w:tcBorders>
              <w:top w:val="single" w:sz="4" w:space="0" w:color="auto"/>
              <w:left w:val="nil"/>
              <w:bottom w:val="single" w:sz="4" w:space="0" w:color="auto"/>
              <w:right w:val="single" w:sz="4" w:space="0" w:color="auto"/>
            </w:tcBorders>
            <w:vAlign w:val="bottom"/>
          </w:tcPr>
          <w:p w14:paraId="7145417F" w14:textId="77777777" w:rsidR="00FB5CEB" w:rsidRDefault="00FB5CEB" w:rsidP="00FB5CEB">
            <w:pPr>
              <w:spacing w:line="240" w:lineRule="auto"/>
              <w:jc w:val="right"/>
              <w:rPr>
                <w:rFonts w:cs="Arial"/>
                <w:b/>
                <w:lang w:eastAsia="en-AU"/>
              </w:rPr>
            </w:pPr>
            <w:r>
              <w:rPr>
                <w:rFonts w:cs="Arial"/>
                <w:b/>
                <w:bCs/>
              </w:rPr>
              <w:t>101</w:t>
            </w:r>
          </w:p>
        </w:tc>
        <w:tc>
          <w:tcPr>
            <w:tcW w:w="992" w:type="dxa"/>
            <w:tcBorders>
              <w:top w:val="single" w:sz="4" w:space="0" w:color="auto"/>
              <w:left w:val="nil"/>
              <w:bottom w:val="single" w:sz="4" w:space="0" w:color="auto"/>
              <w:right w:val="single" w:sz="4" w:space="0" w:color="auto"/>
            </w:tcBorders>
            <w:vAlign w:val="bottom"/>
          </w:tcPr>
          <w:p w14:paraId="08EE966F" w14:textId="77777777" w:rsidR="00FB5CEB" w:rsidRDefault="00FB5CEB" w:rsidP="00FB5CEB">
            <w:pPr>
              <w:spacing w:line="240" w:lineRule="auto"/>
              <w:jc w:val="right"/>
              <w:rPr>
                <w:rFonts w:cs="Arial"/>
                <w:b/>
                <w:lang w:eastAsia="en-AU"/>
              </w:rPr>
            </w:pPr>
            <w:r>
              <w:rPr>
                <w:rFonts w:cs="Arial"/>
                <w:b/>
                <w:bCs/>
              </w:rPr>
              <w:t>46</w:t>
            </w:r>
          </w:p>
        </w:tc>
        <w:tc>
          <w:tcPr>
            <w:tcW w:w="992" w:type="dxa"/>
            <w:tcBorders>
              <w:top w:val="single" w:sz="4" w:space="0" w:color="auto"/>
              <w:left w:val="nil"/>
              <w:bottom w:val="single" w:sz="4" w:space="0" w:color="auto"/>
              <w:right w:val="single" w:sz="4" w:space="0" w:color="auto"/>
            </w:tcBorders>
            <w:vAlign w:val="bottom"/>
          </w:tcPr>
          <w:p w14:paraId="440DC603" w14:textId="77777777" w:rsidR="00FB5CEB" w:rsidRPr="00B8398E" w:rsidRDefault="00FB5CEB" w:rsidP="00FB5CEB">
            <w:pPr>
              <w:spacing w:line="240" w:lineRule="auto"/>
              <w:jc w:val="right"/>
              <w:rPr>
                <w:rFonts w:cs="Arial"/>
                <w:b/>
                <w:bCs/>
              </w:rPr>
            </w:pPr>
            <w:r w:rsidRPr="00B8398E">
              <w:rPr>
                <w:rFonts w:cs="Arial"/>
                <w:b/>
                <w:bCs/>
              </w:rPr>
              <w:t>32</w:t>
            </w:r>
          </w:p>
        </w:tc>
        <w:tc>
          <w:tcPr>
            <w:tcW w:w="992" w:type="dxa"/>
            <w:tcBorders>
              <w:top w:val="single" w:sz="4" w:space="0" w:color="auto"/>
              <w:left w:val="nil"/>
              <w:bottom w:val="single" w:sz="4" w:space="0" w:color="auto"/>
              <w:right w:val="single" w:sz="4" w:space="0" w:color="auto"/>
            </w:tcBorders>
            <w:vAlign w:val="bottom"/>
          </w:tcPr>
          <w:p w14:paraId="5B2688C2" w14:textId="113ECF1C" w:rsidR="00FB5CEB" w:rsidRPr="00FB5CEB" w:rsidRDefault="00FB5CEB" w:rsidP="00FB5CEB">
            <w:pPr>
              <w:spacing w:line="240" w:lineRule="auto"/>
              <w:jc w:val="right"/>
              <w:rPr>
                <w:rFonts w:cs="Arial"/>
                <w:b/>
                <w:bCs/>
              </w:rPr>
            </w:pPr>
            <w:r w:rsidRPr="00FB5CEB">
              <w:rPr>
                <w:rFonts w:cs="Arial"/>
                <w:b/>
                <w:bCs/>
              </w:rPr>
              <w:t>34</w:t>
            </w:r>
          </w:p>
        </w:tc>
      </w:tr>
    </w:tbl>
    <w:p w14:paraId="3E6515F3" w14:textId="77777777" w:rsidR="00537C8D" w:rsidRDefault="00537C8D" w:rsidP="00537C8D">
      <w:pPr>
        <w:pStyle w:val="Heading2"/>
      </w:pPr>
    </w:p>
    <w:p w14:paraId="7BAE3B75" w14:textId="77777777" w:rsidR="005A5B78" w:rsidRPr="002D4651" w:rsidRDefault="005A5B78" w:rsidP="00986092">
      <w:pPr>
        <w:pStyle w:val="Heading2"/>
      </w:pPr>
      <w:r w:rsidRPr="002D4651">
        <w:t>Referrals</w:t>
      </w:r>
    </w:p>
    <w:p w14:paraId="662C0318" w14:textId="1FE5955B"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w:t>
      </w:r>
      <w:r w:rsidR="001E5AFF" w:rsidRPr="00B70DEE">
        <w:rPr>
          <w:rFonts w:cs="Arial"/>
        </w:rPr>
        <w:t xml:space="preserve">to service providers </w:t>
      </w:r>
      <w:r w:rsidR="001E5AFF">
        <w:rPr>
          <w:rFonts w:cs="Arial"/>
        </w:rPr>
        <w:t xml:space="preserve">relating to 85 clients </w:t>
      </w:r>
      <w:r w:rsidR="00F1537E">
        <w:rPr>
          <w:rFonts w:cs="Arial"/>
        </w:rPr>
        <w:t xml:space="preserve">(from decision by orders, decision by agreements and voluntary agreements) </w:t>
      </w:r>
      <w:r w:rsidR="00274CD9">
        <w:rPr>
          <w:rFonts w:cs="Arial"/>
        </w:rPr>
        <w:t xml:space="preserve">decreased </w:t>
      </w:r>
      <w:r w:rsidR="00FE0076">
        <w:rPr>
          <w:rFonts w:cs="Arial"/>
        </w:rPr>
        <w:t xml:space="preserve">from </w:t>
      </w:r>
      <w:r w:rsidR="007448E9">
        <w:rPr>
          <w:rFonts w:cs="Arial"/>
        </w:rPr>
        <w:t xml:space="preserve">104 </w:t>
      </w:r>
      <w:r w:rsidR="00FE0076">
        <w:rPr>
          <w:rFonts w:cs="Arial"/>
        </w:rPr>
        <w:t xml:space="preserve">in </w:t>
      </w:r>
      <w:r w:rsidR="000257CF">
        <w:rPr>
          <w:rFonts w:cs="Arial"/>
        </w:rPr>
        <w:t xml:space="preserve">quarter </w:t>
      </w:r>
      <w:r w:rsidR="00A168EF">
        <w:rPr>
          <w:rFonts w:cs="Arial"/>
        </w:rPr>
        <w:t>4</w:t>
      </w:r>
      <w:r w:rsidR="007448E9">
        <w:rPr>
          <w:rFonts w:cs="Arial"/>
        </w:rPr>
        <w:t>8</w:t>
      </w:r>
      <w:r w:rsidR="00794510">
        <w:rPr>
          <w:rFonts w:cs="Arial"/>
        </w:rPr>
        <w:t xml:space="preserve"> </w:t>
      </w:r>
      <w:r w:rsidR="00FE0076">
        <w:rPr>
          <w:rFonts w:cs="Arial"/>
        </w:rPr>
        <w:t xml:space="preserve">to </w:t>
      </w:r>
      <w:r w:rsidR="007448E9">
        <w:rPr>
          <w:rFonts w:cs="Arial"/>
        </w:rPr>
        <w:t xml:space="preserve">93 </w:t>
      </w:r>
      <w:r w:rsidR="00FE0076">
        <w:rPr>
          <w:rFonts w:cs="Arial"/>
        </w:rPr>
        <w:t xml:space="preserve">in </w:t>
      </w:r>
      <w:r w:rsidR="00856C85">
        <w:rPr>
          <w:rFonts w:cs="Arial"/>
        </w:rPr>
        <w:t xml:space="preserve">quarter </w:t>
      </w:r>
      <w:r w:rsidR="00960C5D">
        <w:rPr>
          <w:rFonts w:cs="Arial"/>
        </w:rPr>
        <w:t>4</w:t>
      </w:r>
      <w:r w:rsidR="007448E9">
        <w:rPr>
          <w:rFonts w:cs="Arial"/>
        </w:rPr>
        <w:t>9</w:t>
      </w:r>
      <w:r w:rsidR="00C66FEE">
        <w:rPr>
          <w:rFonts w:cs="Arial"/>
        </w:rPr>
        <w:t xml:space="preserve">. </w:t>
      </w:r>
      <w:r w:rsidR="00633907" w:rsidRPr="0054384C">
        <w:rPr>
          <w:rFonts w:cs="Arial"/>
        </w:rPr>
        <w:t xml:space="preserve">Since </w:t>
      </w:r>
      <w:r w:rsidR="007E6EC6">
        <w:rPr>
          <w:rFonts w:cs="Arial"/>
        </w:rPr>
        <w:t>2008</w:t>
      </w:r>
      <w:r w:rsidR="00633907" w:rsidRPr="0054384C">
        <w:rPr>
          <w:rFonts w:cs="Arial"/>
        </w:rPr>
        <w:t xml:space="preserve"> the Commission has referred 1,1</w:t>
      </w:r>
      <w:r w:rsidR="007448E9">
        <w:rPr>
          <w:rFonts w:cs="Arial"/>
        </w:rPr>
        <w:t>8</w:t>
      </w:r>
      <w:r w:rsidR="00633907" w:rsidRPr="0054384C">
        <w:rPr>
          <w:rFonts w:cs="Arial"/>
        </w:rPr>
        <w:t>5 clients</w:t>
      </w:r>
      <w:r w:rsidR="007E6EC6">
        <w:rPr>
          <w:rFonts w:cs="Arial"/>
        </w:rPr>
        <w:t xml:space="preserve"> </w:t>
      </w:r>
      <w:r w:rsidR="00EE3BD8">
        <w:rPr>
          <w:rFonts w:cs="Arial"/>
        </w:rPr>
        <w:t>(</w:t>
      </w:r>
      <w:r w:rsidR="00B0165E">
        <w:rPr>
          <w:rFonts w:cs="Arial"/>
        </w:rPr>
        <w:t xml:space="preserve">612 </w:t>
      </w:r>
      <w:r w:rsidR="00EE3BD8">
        <w:rPr>
          <w:rFonts w:cs="Arial"/>
        </w:rPr>
        <w:t xml:space="preserve">female and </w:t>
      </w:r>
      <w:r w:rsidR="00B0165E">
        <w:rPr>
          <w:rFonts w:cs="Arial"/>
        </w:rPr>
        <w:t xml:space="preserve">573 </w:t>
      </w:r>
      <w:r w:rsidR="00EE3BD8">
        <w:rPr>
          <w:rFonts w:cs="Arial"/>
        </w:rPr>
        <w:t xml:space="preserve">male) </w:t>
      </w:r>
      <w:r w:rsidR="007E6EC6">
        <w:rPr>
          <w:rFonts w:cs="Arial"/>
        </w:rPr>
        <w:t>to service providers for assistance</w:t>
      </w:r>
      <w:r w:rsidR="00633907" w:rsidRPr="0054384C">
        <w:rPr>
          <w:rFonts w:cs="Arial"/>
        </w:rPr>
        <w:t xml:space="preserve">. </w:t>
      </w:r>
      <w:r w:rsidR="005A5B78" w:rsidRPr="0054384C">
        <w:rPr>
          <w:rFonts w:cs="Arial"/>
        </w:rPr>
        <w:t>Referrals</w:t>
      </w:r>
      <w:r w:rsidR="005A5B78" w:rsidRPr="00A27155">
        <w:rPr>
          <w:rFonts w:cs="Arial"/>
        </w:rPr>
        <w:t xml:space="preserve"> in the communities during </w:t>
      </w:r>
      <w:r w:rsidR="005A5B78" w:rsidRPr="0040025B">
        <w:rPr>
          <w:rFonts w:cs="Arial"/>
        </w:rPr>
        <w:t xml:space="preserve">the quarter were as follows: Aurukun </w:t>
      </w:r>
      <w:r w:rsidR="00B0165E">
        <w:rPr>
          <w:rFonts w:cs="Arial"/>
        </w:rPr>
        <w:t>increased</w:t>
      </w:r>
      <w:r w:rsidR="00B0165E" w:rsidRPr="0040025B">
        <w:rPr>
          <w:rFonts w:cs="Arial"/>
        </w:rPr>
        <w:t xml:space="preserve"> </w:t>
      </w:r>
      <w:r w:rsidR="00A27155" w:rsidRPr="0040025B">
        <w:rPr>
          <w:rFonts w:cs="Arial"/>
        </w:rPr>
        <w:t xml:space="preserve">by </w:t>
      </w:r>
      <w:r w:rsidR="00B0165E">
        <w:rPr>
          <w:rFonts w:cs="Arial"/>
        </w:rPr>
        <w:t>2</w:t>
      </w:r>
      <w:r w:rsidR="001E5AFF">
        <w:rPr>
          <w:rFonts w:cs="Arial"/>
        </w:rPr>
        <w:t>,</w:t>
      </w:r>
      <w:r w:rsidR="005A5B78" w:rsidRPr="0040025B">
        <w:rPr>
          <w:rFonts w:cs="Arial"/>
        </w:rPr>
        <w:t xml:space="preserve"> Coen </w:t>
      </w:r>
      <w:r w:rsidR="00B0165E">
        <w:rPr>
          <w:rFonts w:cs="Arial"/>
        </w:rPr>
        <w:t xml:space="preserve">decreased </w:t>
      </w:r>
      <w:r w:rsidR="00F751CA">
        <w:rPr>
          <w:rFonts w:cs="Arial"/>
        </w:rPr>
        <w:t xml:space="preserve">by </w:t>
      </w:r>
      <w:r w:rsidR="00B0165E">
        <w:rPr>
          <w:rFonts w:cs="Arial"/>
        </w:rPr>
        <w:t>24</w:t>
      </w:r>
      <w:r w:rsidR="001E5AFF">
        <w:rPr>
          <w:rFonts w:cs="Arial"/>
        </w:rPr>
        <w:t>,</w:t>
      </w:r>
      <w:r w:rsidR="005A5B78" w:rsidRPr="0040025B">
        <w:rPr>
          <w:rFonts w:cs="Arial"/>
        </w:rPr>
        <w:t xml:space="preserve"> </w:t>
      </w:r>
      <w:r w:rsidR="00CB55CE" w:rsidRPr="0040025B">
        <w:rPr>
          <w:rFonts w:cs="Arial"/>
        </w:rPr>
        <w:t xml:space="preserve">Doomadgee </w:t>
      </w:r>
      <w:r w:rsidR="00B0165E">
        <w:rPr>
          <w:rFonts w:cs="Arial"/>
        </w:rPr>
        <w:t xml:space="preserve">increased </w:t>
      </w:r>
      <w:r w:rsidR="00533727">
        <w:rPr>
          <w:rFonts w:cs="Arial"/>
        </w:rPr>
        <w:t xml:space="preserve">by </w:t>
      </w:r>
      <w:r w:rsidR="00B0165E">
        <w:rPr>
          <w:rFonts w:cs="Arial"/>
        </w:rPr>
        <w:t>8</w:t>
      </w:r>
      <w:r w:rsidR="001E5AFF">
        <w:rPr>
          <w:rFonts w:cs="Arial"/>
        </w:rPr>
        <w:t>,</w:t>
      </w:r>
      <w:r w:rsidR="00533727">
        <w:rPr>
          <w:rFonts w:cs="Arial"/>
        </w:rPr>
        <w:t xml:space="preserve"> </w:t>
      </w:r>
      <w:r w:rsidR="003C0891">
        <w:rPr>
          <w:rFonts w:cs="Arial"/>
        </w:rPr>
        <w:t xml:space="preserve">Hope Vale </w:t>
      </w:r>
      <w:r w:rsidR="00B0165E">
        <w:rPr>
          <w:rFonts w:cs="Arial"/>
        </w:rPr>
        <w:t xml:space="preserve">increased </w:t>
      </w:r>
      <w:r w:rsidR="00F45AA8">
        <w:rPr>
          <w:rFonts w:cs="Arial"/>
        </w:rPr>
        <w:t xml:space="preserve">by </w:t>
      </w:r>
      <w:r w:rsidR="00B0165E">
        <w:rPr>
          <w:rFonts w:cs="Arial"/>
        </w:rPr>
        <w:t xml:space="preserve">4 </w:t>
      </w:r>
      <w:r w:rsidR="00604D65">
        <w:rPr>
          <w:rFonts w:cs="Arial"/>
        </w:rPr>
        <w:t xml:space="preserve">and Mossman Gorge </w:t>
      </w:r>
      <w:r w:rsidR="00873258">
        <w:rPr>
          <w:rFonts w:cs="Arial"/>
        </w:rPr>
        <w:t xml:space="preserve">decreased </w:t>
      </w:r>
      <w:r w:rsidR="00F45AA8">
        <w:rPr>
          <w:rFonts w:cs="Arial"/>
        </w:rPr>
        <w:t xml:space="preserve">by </w:t>
      </w:r>
      <w:r w:rsidR="00873258">
        <w:rPr>
          <w:rFonts w:cs="Arial"/>
        </w:rPr>
        <w:t>1</w:t>
      </w:r>
      <w:r w:rsidR="00604D65">
        <w:rPr>
          <w:rFonts w:cs="Arial"/>
        </w:rPr>
        <w:t>.</w:t>
      </w:r>
    </w:p>
    <w:p w14:paraId="417F98D8" w14:textId="77777777" w:rsidR="00C872F0" w:rsidRDefault="00C872F0" w:rsidP="00964A63">
      <w:pPr>
        <w:ind w:left="-142" w:right="-425"/>
        <w:jc w:val="both"/>
        <w:rPr>
          <w:rFonts w:cs="Arial"/>
        </w:rPr>
      </w:pPr>
    </w:p>
    <w:p w14:paraId="53124F20" w14:textId="1F421DD4" w:rsidR="00FC10BE" w:rsidRPr="00D925BE" w:rsidRDefault="00FC10BE" w:rsidP="00FC10BE">
      <w:pPr>
        <w:pStyle w:val="TableCaption"/>
        <w:spacing w:before="0"/>
        <w:ind w:left="0" w:right="-425"/>
        <w:rPr>
          <w:b/>
          <w:i w:val="0"/>
          <w:sz w:val="16"/>
        </w:rPr>
      </w:pPr>
      <w:r>
        <w:rPr>
          <w:b/>
          <w:i w:val="0"/>
          <w:sz w:val="16"/>
        </w:rPr>
        <w:t>Table 10</w:t>
      </w:r>
      <w:r w:rsidRPr="00F85AA1">
        <w:rPr>
          <w:b/>
          <w:i w:val="0"/>
          <w:sz w:val="16"/>
        </w:rPr>
        <w:t xml:space="preserve">: </w:t>
      </w:r>
      <w:r w:rsidRPr="00F85AA1">
        <w:rPr>
          <w:i w:val="0"/>
          <w:sz w:val="16"/>
        </w:rPr>
        <w:t xml:space="preserve">Referral pathways by referral type and quarter 1 </w:t>
      </w:r>
      <w:r>
        <w:rPr>
          <w:i w:val="0"/>
          <w:sz w:val="16"/>
        </w:rPr>
        <w:t>July 2019 to 30 September 2020</w:t>
      </w:r>
      <w:r w:rsidRPr="00F85AA1">
        <w:rPr>
          <w:i w:val="0"/>
          <w:sz w:val="16"/>
        </w:rPr>
        <w:t>.</w:t>
      </w:r>
    </w:p>
    <w:tbl>
      <w:tblPr>
        <w:tblW w:w="9370" w:type="dxa"/>
        <w:tblInd w:w="93" w:type="dxa"/>
        <w:tblLook w:val="04A0" w:firstRow="1" w:lastRow="0" w:firstColumn="1" w:lastColumn="0" w:noHBand="0" w:noVBand="1"/>
      </w:tblPr>
      <w:tblGrid>
        <w:gridCol w:w="4410"/>
        <w:gridCol w:w="992"/>
        <w:gridCol w:w="992"/>
        <w:gridCol w:w="992"/>
        <w:gridCol w:w="992"/>
        <w:gridCol w:w="992"/>
      </w:tblGrid>
      <w:tr w:rsidR="00D37CF2" w:rsidRPr="00C5395B" w14:paraId="1162BD59" w14:textId="77777777" w:rsidTr="00D37CF2">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178B3E20" w14:textId="77777777" w:rsidR="00D37CF2" w:rsidRPr="00C5395B" w:rsidRDefault="00D37CF2" w:rsidP="00D37CF2">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3DB0AB9" w14:textId="77777777" w:rsidR="00D37CF2" w:rsidRDefault="00D37CF2" w:rsidP="00D37CF2">
            <w:pPr>
              <w:pStyle w:val="TableText"/>
              <w:jc w:val="right"/>
              <w:rPr>
                <w:b/>
                <w:lang w:eastAsia="en-AU"/>
              </w:rPr>
            </w:pPr>
            <w:r>
              <w:rPr>
                <w:b/>
                <w:lang w:eastAsia="en-AU"/>
              </w:rPr>
              <w:t>Qtr 45</w:t>
            </w:r>
          </w:p>
        </w:tc>
        <w:tc>
          <w:tcPr>
            <w:tcW w:w="992" w:type="dxa"/>
            <w:tcBorders>
              <w:top w:val="single" w:sz="4" w:space="0" w:color="auto"/>
              <w:left w:val="nil"/>
              <w:bottom w:val="single" w:sz="4" w:space="0" w:color="auto"/>
              <w:right w:val="single" w:sz="4" w:space="0" w:color="auto"/>
            </w:tcBorders>
          </w:tcPr>
          <w:p w14:paraId="1537356C" w14:textId="77777777" w:rsidR="00D37CF2" w:rsidRDefault="00D37CF2" w:rsidP="00D37CF2">
            <w:pPr>
              <w:pStyle w:val="TableText"/>
              <w:jc w:val="right"/>
              <w:rPr>
                <w:b/>
                <w:lang w:eastAsia="en-AU"/>
              </w:rPr>
            </w:pPr>
            <w:r>
              <w:rPr>
                <w:b/>
                <w:lang w:eastAsia="en-AU"/>
              </w:rPr>
              <w:t>Qtr 46</w:t>
            </w:r>
          </w:p>
        </w:tc>
        <w:tc>
          <w:tcPr>
            <w:tcW w:w="992" w:type="dxa"/>
            <w:tcBorders>
              <w:top w:val="single" w:sz="4" w:space="0" w:color="auto"/>
              <w:left w:val="nil"/>
              <w:bottom w:val="single" w:sz="4" w:space="0" w:color="auto"/>
              <w:right w:val="single" w:sz="4" w:space="0" w:color="auto"/>
            </w:tcBorders>
          </w:tcPr>
          <w:p w14:paraId="02093E64" w14:textId="77777777" w:rsidR="00D37CF2" w:rsidRDefault="00D37CF2" w:rsidP="00D37CF2">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37AB20C0" w14:textId="77777777" w:rsidR="00D37CF2" w:rsidRDefault="00D37CF2" w:rsidP="00D37CF2">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3B1435DA" w14:textId="77777777" w:rsidR="00D37CF2" w:rsidRDefault="00D37CF2" w:rsidP="00D37CF2">
            <w:pPr>
              <w:pStyle w:val="TableText"/>
              <w:jc w:val="right"/>
              <w:rPr>
                <w:b/>
                <w:lang w:eastAsia="en-AU"/>
              </w:rPr>
            </w:pPr>
            <w:r>
              <w:rPr>
                <w:b/>
                <w:lang w:eastAsia="en-AU"/>
              </w:rPr>
              <w:t>Qtr 49</w:t>
            </w:r>
          </w:p>
        </w:tc>
      </w:tr>
      <w:tr w:rsidR="00AA5933" w:rsidRPr="00C5395B" w14:paraId="22D341F5" w14:textId="77777777" w:rsidTr="00D37CF2">
        <w:trPr>
          <w:trHeight w:val="255"/>
        </w:trPr>
        <w:tc>
          <w:tcPr>
            <w:tcW w:w="4410" w:type="dxa"/>
            <w:tcBorders>
              <w:top w:val="nil"/>
              <w:left w:val="single" w:sz="4" w:space="0" w:color="auto"/>
              <w:bottom w:val="single" w:sz="4" w:space="0" w:color="auto"/>
              <w:right w:val="single" w:sz="4" w:space="0" w:color="auto"/>
            </w:tcBorders>
            <w:noWrap/>
            <w:hideMark/>
          </w:tcPr>
          <w:p w14:paraId="1406A7F2" w14:textId="77777777" w:rsidR="00AA5933" w:rsidRPr="00C5395B" w:rsidRDefault="00AA5933" w:rsidP="00AA5933">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5E65B39F" w14:textId="6AECCABE" w:rsidR="00AA5933" w:rsidRPr="00AA5933" w:rsidRDefault="00AA5933" w:rsidP="00AA5933">
            <w:pPr>
              <w:jc w:val="right"/>
              <w:rPr>
                <w:rFonts w:cs="Arial"/>
              </w:rPr>
            </w:pPr>
            <w:r w:rsidRPr="00AA5933">
              <w:rPr>
                <w:rFonts w:cs="Arial"/>
              </w:rPr>
              <w:t>18</w:t>
            </w:r>
          </w:p>
        </w:tc>
        <w:tc>
          <w:tcPr>
            <w:tcW w:w="992" w:type="dxa"/>
            <w:tcBorders>
              <w:top w:val="nil"/>
              <w:left w:val="nil"/>
              <w:bottom w:val="single" w:sz="4" w:space="0" w:color="auto"/>
              <w:right w:val="single" w:sz="4" w:space="0" w:color="auto"/>
            </w:tcBorders>
          </w:tcPr>
          <w:p w14:paraId="7EA8CA40" w14:textId="1C3D30FD" w:rsidR="00AA5933" w:rsidRPr="00AA5933" w:rsidRDefault="00AA5933" w:rsidP="00AA5933">
            <w:pPr>
              <w:jc w:val="right"/>
              <w:rPr>
                <w:rFonts w:cs="Arial"/>
              </w:rPr>
            </w:pPr>
            <w:r w:rsidRPr="00AA5933">
              <w:rPr>
                <w:rFonts w:cs="Arial"/>
              </w:rPr>
              <w:t>36</w:t>
            </w:r>
          </w:p>
        </w:tc>
        <w:tc>
          <w:tcPr>
            <w:tcW w:w="992" w:type="dxa"/>
            <w:tcBorders>
              <w:top w:val="nil"/>
              <w:left w:val="nil"/>
              <w:bottom w:val="single" w:sz="4" w:space="0" w:color="auto"/>
              <w:right w:val="single" w:sz="4" w:space="0" w:color="auto"/>
            </w:tcBorders>
          </w:tcPr>
          <w:p w14:paraId="2C64043E" w14:textId="2BB9D8EF" w:rsidR="00AA5933" w:rsidRPr="00AA5933" w:rsidRDefault="00AA5933" w:rsidP="00AA5933">
            <w:pPr>
              <w:jc w:val="right"/>
              <w:rPr>
                <w:rFonts w:cs="Arial"/>
              </w:rPr>
            </w:pPr>
            <w:r w:rsidRPr="00AA5933">
              <w:rPr>
                <w:rFonts w:cs="Arial"/>
              </w:rPr>
              <w:t>95</w:t>
            </w:r>
          </w:p>
        </w:tc>
        <w:tc>
          <w:tcPr>
            <w:tcW w:w="992" w:type="dxa"/>
            <w:tcBorders>
              <w:top w:val="nil"/>
              <w:left w:val="nil"/>
              <w:bottom w:val="single" w:sz="4" w:space="0" w:color="auto"/>
              <w:right w:val="single" w:sz="4" w:space="0" w:color="auto"/>
            </w:tcBorders>
          </w:tcPr>
          <w:p w14:paraId="14039644" w14:textId="6683E4A7" w:rsidR="00AA5933" w:rsidRPr="00AA5933" w:rsidRDefault="00AA5933" w:rsidP="00AA5933">
            <w:pPr>
              <w:jc w:val="right"/>
              <w:rPr>
                <w:rFonts w:cs="Arial"/>
              </w:rPr>
            </w:pPr>
            <w:r w:rsidRPr="00AA5933">
              <w:rPr>
                <w:rFonts w:cs="Arial"/>
              </w:rPr>
              <w:t>33</w:t>
            </w:r>
          </w:p>
        </w:tc>
        <w:tc>
          <w:tcPr>
            <w:tcW w:w="992" w:type="dxa"/>
            <w:tcBorders>
              <w:top w:val="nil"/>
              <w:left w:val="nil"/>
              <w:bottom w:val="single" w:sz="4" w:space="0" w:color="auto"/>
              <w:right w:val="single" w:sz="4" w:space="0" w:color="auto"/>
            </w:tcBorders>
          </w:tcPr>
          <w:p w14:paraId="68A87D13" w14:textId="11FE9A24" w:rsidR="00AA5933" w:rsidRPr="00AA5933" w:rsidRDefault="00AA5933" w:rsidP="00AA5933">
            <w:pPr>
              <w:jc w:val="right"/>
              <w:rPr>
                <w:rFonts w:cs="Arial"/>
              </w:rPr>
            </w:pPr>
            <w:r w:rsidRPr="00AA5933">
              <w:rPr>
                <w:rFonts w:cs="Arial"/>
              </w:rPr>
              <w:t>35</w:t>
            </w:r>
          </w:p>
        </w:tc>
      </w:tr>
      <w:tr w:rsidR="00AA5933" w:rsidRPr="00C5395B" w14:paraId="310B94DA" w14:textId="77777777" w:rsidTr="00D37CF2">
        <w:trPr>
          <w:trHeight w:val="255"/>
        </w:trPr>
        <w:tc>
          <w:tcPr>
            <w:tcW w:w="4410" w:type="dxa"/>
            <w:tcBorders>
              <w:top w:val="nil"/>
              <w:left w:val="single" w:sz="4" w:space="0" w:color="auto"/>
              <w:bottom w:val="single" w:sz="4" w:space="0" w:color="auto"/>
              <w:right w:val="single" w:sz="4" w:space="0" w:color="auto"/>
            </w:tcBorders>
            <w:noWrap/>
            <w:hideMark/>
          </w:tcPr>
          <w:p w14:paraId="1D9617BE" w14:textId="77777777" w:rsidR="00AA5933" w:rsidRPr="00C5395B" w:rsidRDefault="00AA5933" w:rsidP="00AA5933">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22198F4B" w14:textId="1F5C3592" w:rsidR="00AA5933" w:rsidRPr="00AA5933" w:rsidRDefault="00AA5933" w:rsidP="00AA5933">
            <w:pPr>
              <w:jc w:val="right"/>
              <w:rPr>
                <w:rFonts w:cs="Arial"/>
              </w:rPr>
            </w:pPr>
            <w:r w:rsidRPr="00AA5933">
              <w:rPr>
                <w:rFonts w:cs="Arial"/>
              </w:rPr>
              <w:t>0</w:t>
            </w:r>
          </w:p>
        </w:tc>
        <w:tc>
          <w:tcPr>
            <w:tcW w:w="992" w:type="dxa"/>
            <w:tcBorders>
              <w:top w:val="nil"/>
              <w:left w:val="nil"/>
              <w:bottom w:val="single" w:sz="4" w:space="0" w:color="auto"/>
              <w:right w:val="single" w:sz="4" w:space="0" w:color="auto"/>
            </w:tcBorders>
          </w:tcPr>
          <w:p w14:paraId="499AFDB9" w14:textId="57B5E909" w:rsidR="00AA5933" w:rsidRPr="00AA5933" w:rsidRDefault="00AA5933" w:rsidP="00AA5933">
            <w:pPr>
              <w:jc w:val="right"/>
              <w:rPr>
                <w:rFonts w:cs="Arial"/>
              </w:rPr>
            </w:pPr>
            <w:r w:rsidRPr="00AA5933">
              <w:rPr>
                <w:rFonts w:cs="Arial"/>
              </w:rPr>
              <w:t>0</w:t>
            </w:r>
          </w:p>
        </w:tc>
        <w:tc>
          <w:tcPr>
            <w:tcW w:w="992" w:type="dxa"/>
            <w:tcBorders>
              <w:top w:val="nil"/>
              <w:left w:val="nil"/>
              <w:bottom w:val="single" w:sz="4" w:space="0" w:color="auto"/>
              <w:right w:val="single" w:sz="4" w:space="0" w:color="auto"/>
            </w:tcBorders>
          </w:tcPr>
          <w:p w14:paraId="5A047500" w14:textId="0ED222C2" w:rsidR="00AA5933" w:rsidRPr="00AA5933" w:rsidRDefault="00AA5933" w:rsidP="00AA5933">
            <w:pPr>
              <w:jc w:val="right"/>
              <w:rPr>
                <w:rFonts w:cs="Arial"/>
              </w:rPr>
            </w:pPr>
            <w:r w:rsidRPr="00AA5933">
              <w:rPr>
                <w:rFonts w:cs="Arial"/>
              </w:rPr>
              <w:t>10</w:t>
            </w:r>
          </w:p>
        </w:tc>
        <w:tc>
          <w:tcPr>
            <w:tcW w:w="992" w:type="dxa"/>
            <w:tcBorders>
              <w:top w:val="nil"/>
              <w:left w:val="nil"/>
              <w:bottom w:val="single" w:sz="4" w:space="0" w:color="auto"/>
              <w:right w:val="single" w:sz="4" w:space="0" w:color="auto"/>
            </w:tcBorders>
          </w:tcPr>
          <w:p w14:paraId="7809762F" w14:textId="518D1B7C" w:rsidR="00AA5933" w:rsidRPr="00AA5933" w:rsidRDefault="00AA5933" w:rsidP="00AA5933">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tcPr>
          <w:p w14:paraId="1E07EC93" w14:textId="78A44AC6" w:rsidR="00AA5933" w:rsidRPr="00AA5933" w:rsidRDefault="00AA5933" w:rsidP="00AA5933">
            <w:pPr>
              <w:jc w:val="right"/>
              <w:rPr>
                <w:rFonts w:cs="Arial"/>
              </w:rPr>
            </w:pPr>
            <w:r w:rsidRPr="00AA5933">
              <w:rPr>
                <w:rFonts w:cs="Arial"/>
              </w:rPr>
              <w:t>8</w:t>
            </w:r>
          </w:p>
        </w:tc>
      </w:tr>
      <w:tr w:rsidR="00AA5933" w:rsidRPr="00C5395B" w14:paraId="1ACB4E86" w14:textId="77777777" w:rsidTr="00D37CF2">
        <w:trPr>
          <w:trHeight w:val="255"/>
        </w:trPr>
        <w:tc>
          <w:tcPr>
            <w:tcW w:w="4410" w:type="dxa"/>
            <w:tcBorders>
              <w:top w:val="nil"/>
              <w:left w:val="single" w:sz="4" w:space="0" w:color="auto"/>
              <w:bottom w:val="single" w:sz="4" w:space="0" w:color="auto"/>
              <w:right w:val="single" w:sz="4" w:space="0" w:color="auto"/>
            </w:tcBorders>
            <w:noWrap/>
          </w:tcPr>
          <w:p w14:paraId="3C641223" w14:textId="2ECBE84C" w:rsidR="00AA5933" w:rsidRPr="00C5395B" w:rsidRDefault="00AA5933" w:rsidP="00AA5933">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tcPr>
          <w:p w14:paraId="6618AB52" w14:textId="51D580F2" w:rsidR="00AA5933" w:rsidRPr="00AA5933" w:rsidRDefault="00AA5933" w:rsidP="00AA5933">
            <w:pPr>
              <w:jc w:val="right"/>
              <w:rPr>
                <w:rFonts w:cs="Arial"/>
              </w:rPr>
            </w:pPr>
            <w:r w:rsidRPr="00AA5933">
              <w:rPr>
                <w:rFonts w:cs="Arial"/>
              </w:rPr>
              <w:t>15</w:t>
            </w:r>
          </w:p>
        </w:tc>
        <w:tc>
          <w:tcPr>
            <w:tcW w:w="992" w:type="dxa"/>
            <w:tcBorders>
              <w:top w:val="nil"/>
              <w:left w:val="nil"/>
              <w:bottom w:val="single" w:sz="4" w:space="0" w:color="auto"/>
              <w:right w:val="single" w:sz="4" w:space="0" w:color="auto"/>
            </w:tcBorders>
          </w:tcPr>
          <w:p w14:paraId="5B714420" w14:textId="06C096DD" w:rsidR="00AA5933" w:rsidRPr="00AA5933" w:rsidRDefault="00AA5933" w:rsidP="00AA5933">
            <w:pPr>
              <w:jc w:val="right"/>
              <w:rPr>
                <w:rFonts w:cs="Arial"/>
              </w:rPr>
            </w:pPr>
            <w:r w:rsidRPr="00AA5933">
              <w:rPr>
                <w:rFonts w:cs="Arial"/>
              </w:rPr>
              <w:t>33</w:t>
            </w:r>
          </w:p>
        </w:tc>
        <w:tc>
          <w:tcPr>
            <w:tcW w:w="992" w:type="dxa"/>
            <w:tcBorders>
              <w:top w:val="nil"/>
              <w:left w:val="nil"/>
              <w:bottom w:val="single" w:sz="4" w:space="0" w:color="auto"/>
              <w:right w:val="single" w:sz="4" w:space="0" w:color="auto"/>
            </w:tcBorders>
          </w:tcPr>
          <w:p w14:paraId="234F6993" w14:textId="256852AF" w:rsidR="00AA5933" w:rsidRPr="00AA5933" w:rsidRDefault="00AA5933" w:rsidP="00AA5933">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tcPr>
          <w:p w14:paraId="38920019" w14:textId="2E38D878" w:rsidR="00AA5933" w:rsidRPr="00AA5933" w:rsidRDefault="00AA5933" w:rsidP="00AA5933">
            <w:pPr>
              <w:jc w:val="right"/>
              <w:rPr>
                <w:rFonts w:cs="Arial"/>
              </w:rPr>
            </w:pPr>
            <w:r w:rsidRPr="00AA5933">
              <w:rPr>
                <w:rFonts w:cs="Arial"/>
              </w:rPr>
              <w:t>29</w:t>
            </w:r>
          </w:p>
        </w:tc>
        <w:tc>
          <w:tcPr>
            <w:tcW w:w="992" w:type="dxa"/>
            <w:tcBorders>
              <w:top w:val="nil"/>
              <w:left w:val="nil"/>
              <w:bottom w:val="single" w:sz="4" w:space="0" w:color="auto"/>
              <w:right w:val="single" w:sz="4" w:space="0" w:color="auto"/>
            </w:tcBorders>
          </w:tcPr>
          <w:p w14:paraId="541A94CD" w14:textId="55D545B7" w:rsidR="00AA5933" w:rsidRPr="00AA5933" w:rsidRDefault="00AA5933" w:rsidP="00AA5933">
            <w:pPr>
              <w:jc w:val="right"/>
              <w:rPr>
                <w:rFonts w:cs="Arial"/>
              </w:rPr>
            </w:pPr>
            <w:r w:rsidRPr="00AA5933">
              <w:rPr>
                <w:rFonts w:cs="Arial"/>
              </w:rPr>
              <w:t>37</w:t>
            </w:r>
          </w:p>
        </w:tc>
      </w:tr>
      <w:tr w:rsidR="00AA5933" w:rsidRPr="00C5395B" w14:paraId="19D4F7FF" w14:textId="77777777" w:rsidTr="00D37CF2">
        <w:trPr>
          <w:trHeight w:val="255"/>
        </w:trPr>
        <w:tc>
          <w:tcPr>
            <w:tcW w:w="4410" w:type="dxa"/>
            <w:tcBorders>
              <w:top w:val="nil"/>
              <w:left w:val="single" w:sz="4" w:space="0" w:color="auto"/>
              <w:bottom w:val="single" w:sz="4" w:space="0" w:color="auto"/>
              <w:right w:val="single" w:sz="4" w:space="0" w:color="auto"/>
            </w:tcBorders>
            <w:noWrap/>
          </w:tcPr>
          <w:p w14:paraId="245A33AF" w14:textId="77777777" w:rsidR="00AA5933" w:rsidRPr="00C5395B" w:rsidRDefault="00AA5933" w:rsidP="00AA5933">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337D74CD" w14:textId="46F5B14A" w:rsidR="00AA5933" w:rsidRPr="00AA5933" w:rsidRDefault="00AA5933" w:rsidP="00AA5933">
            <w:pPr>
              <w:jc w:val="right"/>
              <w:rPr>
                <w:rFonts w:cs="Arial"/>
              </w:rPr>
            </w:pPr>
            <w:r w:rsidRPr="00AA5933">
              <w:rPr>
                <w:rFonts w:cs="Arial"/>
              </w:rPr>
              <w:t>7</w:t>
            </w:r>
          </w:p>
        </w:tc>
        <w:tc>
          <w:tcPr>
            <w:tcW w:w="992" w:type="dxa"/>
            <w:tcBorders>
              <w:top w:val="nil"/>
              <w:left w:val="nil"/>
              <w:bottom w:val="single" w:sz="4" w:space="0" w:color="auto"/>
              <w:right w:val="single" w:sz="4" w:space="0" w:color="auto"/>
            </w:tcBorders>
          </w:tcPr>
          <w:p w14:paraId="6EF6A719" w14:textId="284F480E" w:rsidR="00AA5933" w:rsidRPr="00AA5933" w:rsidRDefault="00AA5933" w:rsidP="00AA5933">
            <w:pPr>
              <w:jc w:val="right"/>
              <w:rPr>
                <w:rFonts w:cs="Arial"/>
              </w:rPr>
            </w:pPr>
            <w:r w:rsidRPr="00AA5933">
              <w:rPr>
                <w:rFonts w:cs="Arial"/>
              </w:rPr>
              <w:t>3</w:t>
            </w:r>
          </w:p>
        </w:tc>
        <w:tc>
          <w:tcPr>
            <w:tcW w:w="992" w:type="dxa"/>
            <w:tcBorders>
              <w:top w:val="nil"/>
              <w:left w:val="nil"/>
              <w:bottom w:val="single" w:sz="4" w:space="0" w:color="auto"/>
              <w:right w:val="single" w:sz="4" w:space="0" w:color="auto"/>
            </w:tcBorders>
          </w:tcPr>
          <w:p w14:paraId="077566FE" w14:textId="0C7C1896" w:rsidR="00AA5933" w:rsidRPr="00AA5933" w:rsidRDefault="00AA5933" w:rsidP="00AA5933">
            <w:pPr>
              <w:jc w:val="right"/>
              <w:rPr>
                <w:rFonts w:cs="Arial"/>
              </w:rPr>
            </w:pPr>
            <w:r w:rsidRPr="00AA5933">
              <w:rPr>
                <w:rFonts w:cs="Arial"/>
              </w:rPr>
              <w:t>17</w:t>
            </w:r>
          </w:p>
        </w:tc>
        <w:tc>
          <w:tcPr>
            <w:tcW w:w="992" w:type="dxa"/>
            <w:tcBorders>
              <w:top w:val="nil"/>
              <w:left w:val="nil"/>
              <w:bottom w:val="single" w:sz="4" w:space="0" w:color="auto"/>
              <w:right w:val="single" w:sz="4" w:space="0" w:color="auto"/>
            </w:tcBorders>
          </w:tcPr>
          <w:p w14:paraId="3DFCC9F5" w14:textId="02892FE0" w:rsidR="00AA5933" w:rsidRPr="00AA5933" w:rsidRDefault="00AA5933" w:rsidP="00AA5933">
            <w:pPr>
              <w:jc w:val="right"/>
              <w:rPr>
                <w:rFonts w:cs="Arial"/>
              </w:rPr>
            </w:pPr>
            <w:r w:rsidRPr="00AA5933">
              <w:rPr>
                <w:rFonts w:cs="Arial"/>
              </w:rPr>
              <w:t>2</w:t>
            </w:r>
          </w:p>
        </w:tc>
        <w:tc>
          <w:tcPr>
            <w:tcW w:w="992" w:type="dxa"/>
            <w:tcBorders>
              <w:top w:val="nil"/>
              <w:left w:val="nil"/>
              <w:bottom w:val="single" w:sz="4" w:space="0" w:color="auto"/>
              <w:right w:val="single" w:sz="4" w:space="0" w:color="auto"/>
            </w:tcBorders>
          </w:tcPr>
          <w:p w14:paraId="25DC91E0" w14:textId="2CFEF495" w:rsidR="00AA5933" w:rsidRPr="00AA5933" w:rsidRDefault="00AA5933" w:rsidP="00AA5933">
            <w:pPr>
              <w:jc w:val="right"/>
              <w:rPr>
                <w:rFonts w:cs="Arial"/>
              </w:rPr>
            </w:pPr>
            <w:r w:rsidRPr="00AA5933">
              <w:rPr>
                <w:rFonts w:cs="Arial"/>
              </w:rPr>
              <w:t>6</w:t>
            </w:r>
          </w:p>
        </w:tc>
      </w:tr>
      <w:tr w:rsidR="00AA5933" w:rsidRPr="00C5395B" w14:paraId="110FADFC" w14:textId="77777777" w:rsidTr="00D37CF2">
        <w:trPr>
          <w:trHeight w:val="255"/>
        </w:trPr>
        <w:tc>
          <w:tcPr>
            <w:tcW w:w="4410" w:type="dxa"/>
            <w:tcBorders>
              <w:top w:val="nil"/>
              <w:left w:val="single" w:sz="4" w:space="0" w:color="auto"/>
              <w:bottom w:val="single" w:sz="4" w:space="0" w:color="auto"/>
              <w:right w:val="single" w:sz="4" w:space="0" w:color="auto"/>
            </w:tcBorders>
            <w:noWrap/>
            <w:hideMark/>
          </w:tcPr>
          <w:p w14:paraId="1A3ABF44" w14:textId="77777777" w:rsidR="00AA5933" w:rsidRPr="00C5395B" w:rsidRDefault="00AA5933" w:rsidP="00AA5933">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5AC84E12" w14:textId="46BA2E24" w:rsidR="00AA5933" w:rsidRPr="00AA5933" w:rsidRDefault="00AA5933" w:rsidP="00AA5933">
            <w:pPr>
              <w:jc w:val="right"/>
              <w:rPr>
                <w:rFonts w:cs="Arial"/>
              </w:rPr>
            </w:pPr>
            <w:r w:rsidRPr="00AA5933">
              <w:rPr>
                <w:rFonts w:cs="Arial"/>
              </w:rPr>
              <w:t>2</w:t>
            </w:r>
          </w:p>
        </w:tc>
        <w:tc>
          <w:tcPr>
            <w:tcW w:w="992" w:type="dxa"/>
            <w:tcBorders>
              <w:top w:val="nil"/>
              <w:left w:val="nil"/>
              <w:bottom w:val="single" w:sz="4" w:space="0" w:color="auto"/>
              <w:right w:val="single" w:sz="4" w:space="0" w:color="auto"/>
            </w:tcBorders>
          </w:tcPr>
          <w:p w14:paraId="5167F57C" w14:textId="74598AD7" w:rsidR="00AA5933" w:rsidRPr="00AA5933" w:rsidRDefault="00AA5933" w:rsidP="00AA5933">
            <w:pPr>
              <w:jc w:val="right"/>
              <w:rPr>
                <w:rFonts w:cs="Arial"/>
              </w:rPr>
            </w:pPr>
            <w:r w:rsidRPr="00AA5933">
              <w:rPr>
                <w:rFonts w:cs="Arial"/>
              </w:rPr>
              <w:t>6</w:t>
            </w:r>
          </w:p>
        </w:tc>
        <w:tc>
          <w:tcPr>
            <w:tcW w:w="992" w:type="dxa"/>
            <w:tcBorders>
              <w:top w:val="nil"/>
              <w:left w:val="nil"/>
              <w:bottom w:val="single" w:sz="4" w:space="0" w:color="auto"/>
              <w:right w:val="single" w:sz="4" w:space="0" w:color="auto"/>
            </w:tcBorders>
          </w:tcPr>
          <w:p w14:paraId="1C4173EF" w14:textId="1CF6CF96" w:rsidR="00AA5933" w:rsidRPr="00AA5933" w:rsidRDefault="00AA5933" w:rsidP="00AA5933">
            <w:pPr>
              <w:jc w:val="right"/>
              <w:rPr>
                <w:rFonts w:cs="Arial"/>
              </w:rPr>
            </w:pPr>
            <w:r w:rsidRPr="00AA5933">
              <w:rPr>
                <w:rFonts w:cs="Arial"/>
              </w:rPr>
              <w:t>24</w:t>
            </w:r>
          </w:p>
        </w:tc>
        <w:tc>
          <w:tcPr>
            <w:tcW w:w="992" w:type="dxa"/>
            <w:tcBorders>
              <w:top w:val="nil"/>
              <w:left w:val="nil"/>
              <w:bottom w:val="single" w:sz="4" w:space="0" w:color="auto"/>
              <w:right w:val="single" w:sz="4" w:space="0" w:color="auto"/>
            </w:tcBorders>
          </w:tcPr>
          <w:p w14:paraId="16096228" w14:textId="161A7212" w:rsidR="00AA5933" w:rsidRPr="00AA5933" w:rsidRDefault="00AA5933" w:rsidP="00AA5933">
            <w:pPr>
              <w:jc w:val="right"/>
              <w:rPr>
                <w:rFonts w:cs="Arial"/>
              </w:rPr>
            </w:pPr>
            <w:r w:rsidRPr="00AA5933">
              <w:rPr>
                <w:rFonts w:cs="Arial"/>
              </w:rPr>
              <w:t>8</w:t>
            </w:r>
          </w:p>
        </w:tc>
        <w:tc>
          <w:tcPr>
            <w:tcW w:w="992" w:type="dxa"/>
            <w:tcBorders>
              <w:top w:val="nil"/>
              <w:left w:val="nil"/>
              <w:bottom w:val="single" w:sz="4" w:space="0" w:color="auto"/>
              <w:right w:val="single" w:sz="4" w:space="0" w:color="auto"/>
            </w:tcBorders>
          </w:tcPr>
          <w:p w14:paraId="01075334" w14:textId="27525FA7" w:rsidR="00AA5933" w:rsidRPr="00AA5933" w:rsidRDefault="00AA5933" w:rsidP="00AA5933">
            <w:pPr>
              <w:jc w:val="right"/>
              <w:rPr>
                <w:rFonts w:cs="Arial"/>
              </w:rPr>
            </w:pPr>
            <w:r w:rsidRPr="00AA5933">
              <w:rPr>
                <w:rFonts w:cs="Arial"/>
              </w:rPr>
              <w:t>7</w:t>
            </w:r>
          </w:p>
        </w:tc>
      </w:tr>
      <w:tr w:rsidR="00AA5933" w:rsidRPr="00C5395B" w14:paraId="729C8C69" w14:textId="77777777" w:rsidTr="00D37CF2">
        <w:trPr>
          <w:trHeight w:val="255"/>
        </w:trPr>
        <w:tc>
          <w:tcPr>
            <w:tcW w:w="4410" w:type="dxa"/>
            <w:tcBorders>
              <w:top w:val="nil"/>
              <w:left w:val="single" w:sz="4" w:space="0" w:color="auto"/>
              <w:bottom w:val="single" w:sz="4" w:space="0" w:color="auto"/>
              <w:right w:val="single" w:sz="4" w:space="0" w:color="auto"/>
            </w:tcBorders>
            <w:noWrap/>
            <w:hideMark/>
          </w:tcPr>
          <w:p w14:paraId="219269F3" w14:textId="77777777" w:rsidR="00AA5933" w:rsidRPr="00C5395B" w:rsidRDefault="00AA5933" w:rsidP="00AA5933">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08F7669C" w14:textId="267F7495" w:rsidR="00AA5933" w:rsidRPr="00AA5933" w:rsidRDefault="00AA5933" w:rsidP="00AA5933">
            <w:pPr>
              <w:pStyle w:val="TableText"/>
              <w:jc w:val="right"/>
              <w:rPr>
                <w:b/>
                <w:lang w:eastAsia="en-AU"/>
              </w:rPr>
            </w:pPr>
            <w:r w:rsidRPr="00AA5933">
              <w:rPr>
                <w:rFonts w:cs="Arial"/>
                <w:b/>
                <w:bCs/>
              </w:rPr>
              <w:t>42</w:t>
            </w:r>
          </w:p>
        </w:tc>
        <w:tc>
          <w:tcPr>
            <w:tcW w:w="992" w:type="dxa"/>
            <w:tcBorders>
              <w:top w:val="nil"/>
              <w:left w:val="nil"/>
              <w:bottom w:val="single" w:sz="4" w:space="0" w:color="auto"/>
              <w:right w:val="single" w:sz="4" w:space="0" w:color="auto"/>
            </w:tcBorders>
          </w:tcPr>
          <w:p w14:paraId="162829E8" w14:textId="0D7A52FC" w:rsidR="00AA5933" w:rsidRPr="00AA5933" w:rsidRDefault="00AA5933" w:rsidP="00AA5933">
            <w:pPr>
              <w:pStyle w:val="TableText"/>
              <w:jc w:val="right"/>
              <w:rPr>
                <w:b/>
                <w:lang w:eastAsia="en-AU"/>
              </w:rPr>
            </w:pPr>
            <w:r w:rsidRPr="00AA5933">
              <w:rPr>
                <w:rFonts w:cs="Arial"/>
                <w:b/>
                <w:bCs/>
              </w:rPr>
              <w:t>78</w:t>
            </w:r>
          </w:p>
        </w:tc>
        <w:tc>
          <w:tcPr>
            <w:tcW w:w="992" w:type="dxa"/>
            <w:tcBorders>
              <w:top w:val="nil"/>
              <w:left w:val="nil"/>
              <w:bottom w:val="single" w:sz="4" w:space="0" w:color="auto"/>
              <w:right w:val="single" w:sz="4" w:space="0" w:color="auto"/>
            </w:tcBorders>
          </w:tcPr>
          <w:p w14:paraId="1DDC6018" w14:textId="0E5BEC6F" w:rsidR="00AA5933" w:rsidRPr="00AA5933" w:rsidRDefault="00AA5933" w:rsidP="00AA5933">
            <w:pPr>
              <w:pStyle w:val="TableText"/>
              <w:jc w:val="right"/>
              <w:rPr>
                <w:b/>
                <w:lang w:eastAsia="en-AU"/>
              </w:rPr>
            </w:pPr>
            <w:r w:rsidRPr="00AA5933">
              <w:rPr>
                <w:rFonts w:cs="Arial"/>
                <w:b/>
                <w:bCs/>
              </w:rPr>
              <w:t>178</w:t>
            </w:r>
          </w:p>
        </w:tc>
        <w:tc>
          <w:tcPr>
            <w:tcW w:w="992" w:type="dxa"/>
            <w:tcBorders>
              <w:top w:val="nil"/>
              <w:left w:val="nil"/>
              <w:bottom w:val="single" w:sz="4" w:space="0" w:color="auto"/>
              <w:right w:val="single" w:sz="4" w:space="0" w:color="auto"/>
            </w:tcBorders>
          </w:tcPr>
          <w:p w14:paraId="2A5F3A65" w14:textId="04D44E6D" w:rsidR="00AA5933" w:rsidRPr="00AA5933" w:rsidRDefault="00AA5933" w:rsidP="00AA5933">
            <w:pPr>
              <w:pStyle w:val="TableText"/>
              <w:jc w:val="right"/>
              <w:rPr>
                <w:rFonts w:cs="Arial"/>
                <w:b/>
                <w:bCs/>
              </w:rPr>
            </w:pPr>
            <w:r w:rsidRPr="00AA5933">
              <w:rPr>
                <w:rFonts w:cs="Arial"/>
                <w:b/>
                <w:bCs/>
              </w:rPr>
              <w:t>104</w:t>
            </w:r>
          </w:p>
        </w:tc>
        <w:tc>
          <w:tcPr>
            <w:tcW w:w="992" w:type="dxa"/>
            <w:tcBorders>
              <w:top w:val="nil"/>
              <w:left w:val="nil"/>
              <w:bottom w:val="single" w:sz="4" w:space="0" w:color="auto"/>
              <w:right w:val="single" w:sz="4" w:space="0" w:color="auto"/>
            </w:tcBorders>
          </w:tcPr>
          <w:p w14:paraId="22500355" w14:textId="001C17DA" w:rsidR="00AA5933" w:rsidRPr="00AA5933" w:rsidRDefault="00AA5933" w:rsidP="00AA5933">
            <w:pPr>
              <w:pStyle w:val="TableText"/>
              <w:jc w:val="right"/>
              <w:rPr>
                <w:rFonts w:cs="Arial"/>
                <w:b/>
                <w:bCs/>
              </w:rPr>
            </w:pPr>
            <w:r w:rsidRPr="00AA5933">
              <w:rPr>
                <w:rFonts w:cs="Arial"/>
                <w:b/>
                <w:bCs/>
              </w:rPr>
              <w:t>93</w:t>
            </w:r>
          </w:p>
        </w:tc>
      </w:tr>
    </w:tbl>
    <w:p w14:paraId="0B6627A7" w14:textId="77777777" w:rsidR="00FC10BE" w:rsidRDefault="00FC10BE" w:rsidP="00FC10BE">
      <w:pPr>
        <w:pStyle w:val="Heading2"/>
      </w:pPr>
    </w:p>
    <w:p w14:paraId="1357C4B9" w14:textId="017ED364" w:rsidR="002F3FD3" w:rsidRPr="006524B7" w:rsidRDefault="002F3FD3" w:rsidP="00986092">
      <w:pPr>
        <w:pStyle w:val="Heading2"/>
      </w:pPr>
      <w:r>
        <w:t>Referrals</w:t>
      </w:r>
      <w:r w:rsidRPr="006524B7">
        <w:t xml:space="preserve"> for Domestic Violence related matters</w:t>
      </w:r>
    </w:p>
    <w:p w14:paraId="2922A362" w14:textId="7B549B3B" w:rsidR="002F3FD3" w:rsidRDefault="002F33AF" w:rsidP="002F3FD3">
      <w:pPr>
        <w:ind w:left="-142" w:right="-425"/>
        <w:jc w:val="both"/>
        <w:rPr>
          <w:rFonts w:cs="Arial"/>
        </w:rPr>
      </w:pPr>
      <w:r>
        <w:rPr>
          <w:rFonts w:cs="Arial"/>
        </w:rPr>
        <w:t xml:space="preserve">As a subset of the total number of referrals in the quarter, </w:t>
      </w:r>
      <w:r w:rsidR="00590DC6">
        <w:rPr>
          <w:rFonts w:cs="Arial"/>
        </w:rPr>
        <w:t>1</w:t>
      </w:r>
      <w:r w:rsidR="00104CC0">
        <w:rPr>
          <w:rFonts w:cs="Arial"/>
        </w:rPr>
        <w:t>7</w:t>
      </w:r>
      <w:r w:rsidR="00590DC6">
        <w:rPr>
          <w:rFonts w:cs="Arial"/>
        </w:rPr>
        <w:t xml:space="preserve">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960C5D">
        <w:rPr>
          <w:rFonts w:cs="Arial"/>
        </w:rPr>
        <w:t>4</w:t>
      </w:r>
      <w:r w:rsidR="00104CC0">
        <w:rPr>
          <w:rFonts w:cs="Arial"/>
        </w:rPr>
        <w:t>9</w:t>
      </w:r>
      <w:r w:rsidR="002F3FD3">
        <w:rPr>
          <w:rFonts w:cs="Arial"/>
        </w:rPr>
        <w:t>, representing a</w:t>
      </w:r>
      <w:r w:rsidR="00590DC6">
        <w:rPr>
          <w:rFonts w:cs="Arial"/>
        </w:rPr>
        <w:t xml:space="preserve"> decrease </w:t>
      </w:r>
      <w:r w:rsidR="002F3FD3" w:rsidRPr="006524B7">
        <w:rPr>
          <w:rFonts w:cs="Arial"/>
        </w:rPr>
        <w:t xml:space="preserve">of </w:t>
      </w:r>
      <w:r w:rsidR="00104CC0">
        <w:rPr>
          <w:rFonts w:cs="Arial"/>
        </w:rPr>
        <w:t>1</w:t>
      </w:r>
      <w:r w:rsidR="00104CC0" w:rsidRPr="006524B7">
        <w:rPr>
          <w:rFonts w:cs="Arial"/>
        </w:rPr>
        <w:t xml:space="preserve"> </w:t>
      </w:r>
      <w:r w:rsidR="002F3FD3" w:rsidRPr="006524B7">
        <w:rPr>
          <w:rFonts w:cs="Arial"/>
        </w:rPr>
        <w:t>from the previous quarter.</w:t>
      </w:r>
      <w:r w:rsidR="00792AA1">
        <w:rPr>
          <w:rFonts w:cs="Arial"/>
        </w:rPr>
        <w:t xml:space="preserve"> The Local Commissioners </w:t>
      </w:r>
      <w:r w:rsidR="00D925BD">
        <w:rPr>
          <w:rFonts w:cs="Arial"/>
        </w:rPr>
        <w:t>continue to raise concerns about the availability of appropriate perpetrator intervention programs suitable for client referrals.</w:t>
      </w:r>
    </w:p>
    <w:p w14:paraId="30E2A697" w14:textId="77777777" w:rsidR="00C872F0" w:rsidRDefault="00C872F0" w:rsidP="002F3FD3">
      <w:pPr>
        <w:ind w:left="-142" w:right="-425"/>
        <w:jc w:val="both"/>
        <w:rPr>
          <w:rFonts w:cs="Arial"/>
        </w:rPr>
      </w:pPr>
    </w:p>
    <w:p w14:paraId="021DCD58" w14:textId="7EEE5564" w:rsidR="00C872F0" w:rsidRDefault="00C872F0" w:rsidP="00C872F0">
      <w:pPr>
        <w:spacing w:after="120" w:line="240" w:lineRule="auto"/>
        <w:ind w:left="794" w:hanging="794"/>
      </w:pPr>
      <w:r w:rsidRPr="006C6A65">
        <w:rPr>
          <w:b/>
          <w:sz w:val="16"/>
          <w:szCs w:val="16"/>
        </w:rPr>
        <w:t xml:space="preserve">Table </w:t>
      </w:r>
      <w:r w:rsidR="000117D2">
        <w:rPr>
          <w:b/>
          <w:sz w:val="16"/>
          <w:szCs w:val="16"/>
        </w:rPr>
        <w:t>11</w:t>
      </w:r>
      <w:r w:rsidRPr="006C6A65">
        <w:rPr>
          <w:b/>
          <w:sz w:val="16"/>
          <w:szCs w:val="16"/>
        </w:rPr>
        <w:t>:</w:t>
      </w:r>
      <w:r w:rsidRPr="006C6A65">
        <w:rPr>
          <w:sz w:val="16"/>
          <w:szCs w:val="16"/>
        </w:rPr>
        <w:t xml:space="preserve"> Number of </w:t>
      </w:r>
      <w:r>
        <w:rPr>
          <w:sz w:val="16"/>
          <w:szCs w:val="16"/>
        </w:rPr>
        <w:t>referrals</w:t>
      </w:r>
      <w:r w:rsidRPr="006C6A65">
        <w:rPr>
          <w:sz w:val="16"/>
          <w:szCs w:val="16"/>
        </w:rPr>
        <w:t xml:space="preserve">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92539E">
        <w:rPr>
          <w:sz w:val="16"/>
          <w:szCs w:val="16"/>
        </w:rPr>
        <w:t xml:space="preserve">July </w:t>
      </w:r>
      <w:r w:rsidR="00111F45">
        <w:rPr>
          <w:sz w:val="16"/>
          <w:szCs w:val="16"/>
        </w:rPr>
        <w:t>2020</w:t>
      </w:r>
      <w:r w:rsidR="00AD4E9A">
        <w:rPr>
          <w:sz w:val="16"/>
          <w:szCs w:val="16"/>
        </w:rPr>
        <w:t xml:space="preserve"> to 3</w:t>
      </w:r>
      <w:r w:rsidR="00590DC6">
        <w:rPr>
          <w:sz w:val="16"/>
          <w:szCs w:val="16"/>
        </w:rPr>
        <w:t xml:space="preserve">0 </w:t>
      </w:r>
      <w:r w:rsidR="0092539E">
        <w:rPr>
          <w:sz w:val="16"/>
          <w:szCs w:val="16"/>
        </w:rPr>
        <w:t xml:space="preserve">September </w:t>
      </w:r>
      <w:r w:rsidR="00111F45">
        <w:rPr>
          <w:sz w:val="16"/>
          <w:szCs w:val="16"/>
        </w:rPr>
        <w:t>2020</w:t>
      </w:r>
      <w:r>
        <w:rPr>
          <w:sz w:val="16"/>
          <w:szCs w:val="16"/>
        </w:rPr>
        <w:t>.</w:t>
      </w:r>
    </w:p>
    <w:tbl>
      <w:tblPr>
        <w:tblStyle w:val="TableGrid"/>
        <w:tblW w:w="0" w:type="auto"/>
        <w:tblInd w:w="108" w:type="dxa"/>
        <w:tblLook w:val="04A0" w:firstRow="1" w:lastRow="0" w:firstColumn="1" w:lastColumn="0" w:noHBand="0" w:noVBand="1"/>
      </w:tblPr>
      <w:tblGrid>
        <w:gridCol w:w="1843"/>
        <w:gridCol w:w="1985"/>
        <w:gridCol w:w="3147"/>
        <w:gridCol w:w="1843"/>
      </w:tblGrid>
      <w:tr w:rsidR="00C872F0" w:rsidRPr="00AC6089" w14:paraId="1482AA6E" w14:textId="77777777" w:rsidTr="00DE11DC">
        <w:trPr>
          <w:trHeight w:val="284"/>
        </w:trPr>
        <w:tc>
          <w:tcPr>
            <w:tcW w:w="1843" w:type="dxa"/>
            <w:tcBorders>
              <w:bottom w:val="single" w:sz="12" w:space="0" w:color="auto"/>
            </w:tcBorders>
            <w:vAlign w:val="center"/>
          </w:tcPr>
          <w:p w14:paraId="4C5B5E51" w14:textId="77777777" w:rsidR="00C872F0" w:rsidRPr="00FA3FFA" w:rsidRDefault="00C872F0" w:rsidP="0087357E">
            <w:pPr>
              <w:rPr>
                <w:b/>
              </w:rPr>
            </w:pPr>
            <w:r w:rsidRPr="00FA3FFA">
              <w:rPr>
                <w:b/>
              </w:rPr>
              <w:t>Notice Type</w:t>
            </w:r>
          </w:p>
        </w:tc>
        <w:tc>
          <w:tcPr>
            <w:tcW w:w="1985" w:type="dxa"/>
            <w:tcBorders>
              <w:bottom w:val="single" w:sz="12" w:space="0" w:color="auto"/>
            </w:tcBorders>
            <w:vAlign w:val="center"/>
          </w:tcPr>
          <w:p w14:paraId="683E2FDA" w14:textId="77777777" w:rsidR="00C872F0" w:rsidRPr="00FA3FFA" w:rsidRDefault="00C872F0" w:rsidP="0087357E">
            <w:pPr>
              <w:rPr>
                <w:b/>
              </w:rPr>
            </w:pPr>
            <w:r w:rsidRPr="00FA3FFA">
              <w:rPr>
                <w:b/>
              </w:rPr>
              <w:t>Community</w:t>
            </w:r>
          </w:p>
        </w:tc>
        <w:tc>
          <w:tcPr>
            <w:tcW w:w="3147" w:type="dxa"/>
            <w:tcBorders>
              <w:bottom w:val="single" w:sz="12" w:space="0" w:color="auto"/>
            </w:tcBorders>
            <w:vAlign w:val="center"/>
          </w:tcPr>
          <w:p w14:paraId="34BEBAA7" w14:textId="77777777" w:rsidR="00C872F0" w:rsidRPr="00FA3FFA" w:rsidRDefault="00C872F0" w:rsidP="0087357E">
            <w:pPr>
              <w:rPr>
                <w:b/>
              </w:rPr>
            </w:pPr>
            <w:r w:rsidRPr="00FA3FFA">
              <w:rPr>
                <w:b/>
              </w:rPr>
              <w:t>Referral</w:t>
            </w:r>
          </w:p>
        </w:tc>
        <w:tc>
          <w:tcPr>
            <w:tcW w:w="1843" w:type="dxa"/>
            <w:tcBorders>
              <w:bottom w:val="single" w:sz="12" w:space="0" w:color="auto"/>
            </w:tcBorders>
            <w:vAlign w:val="center"/>
          </w:tcPr>
          <w:p w14:paraId="140B6732" w14:textId="77777777" w:rsidR="00C872F0" w:rsidRPr="00FA3FFA" w:rsidRDefault="00C872F0" w:rsidP="0087357E">
            <w:pPr>
              <w:rPr>
                <w:b/>
              </w:rPr>
            </w:pPr>
            <w:r w:rsidRPr="00FA3FFA">
              <w:rPr>
                <w:b/>
              </w:rPr>
              <w:t>Provider Total</w:t>
            </w:r>
          </w:p>
        </w:tc>
      </w:tr>
      <w:tr w:rsidR="00AD303D" w:rsidRPr="00AC6089" w14:paraId="6DE61DAE" w14:textId="77777777" w:rsidTr="00DE11DC">
        <w:trPr>
          <w:trHeight w:val="284"/>
        </w:trPr>
        <w:tc>
          <w:tcPr>
            <w:tcW w:w="1843" w:type="dxa"/>
            <w:tcBorders>
              <w:top w:val="nil"/>
              <w:bottom w:val="nil"/>
            </w:tcBorders>
            <w:vAlign w:val="center"/>
          </w:tcPr>
          <w:p w14:paraId="11DA5BE4" w14:textId="2D01DC48" w:rsidR="00AD303D" w:rsidRPr="000E65EB" w:rsidRDefault="00104CC0" w:rsidP="0087357E">
            <w:pPr>
              <w:rPr>
                <w:b/>
              </w:rPr>
            </w:pPr>
            <w:r>
              <w:rPr>
                <w:b/>
              </w:rPr>
              <w:t>DVO</w:t>
            </w:r>
          </w:p>
        </w:tc>
        <w:tc>
          <w:tcPr>
            <w:tcW w:w="1985" w:type="dxa"/>
            <w:tcBorders>
              <w:bottom w:val="single" w:sz="4" w:space="0" w:color="auto"/>
            </w:tcBorders>
            <w:vAlign w:val="center"/>
          </w:tcPr>
          <w:p w14:paraId="0103EECE" w14:textId="4C5F2BBD" w:rsidR="00AD303D" w:rsidRPr="000E65EB" w:rsidRDefault="00E92D03" w:rsidP="0087357E">
            <w:r>
              <w:t>Aurukun</w:t>
            </w:r>
          </w:p>
        </w:tc>
        <w:tc>
          <w:tcPr>
            <w:tcW w:w="3147" w:type="dxa"/>
            <w:tcBorders>
              <w:bottom w:val="single" w:sz="4" w:space="0" w:color="auto"/>
            </w:tcBorders>
            <w:vAlign w:val="center"/>
          </w:tcPr>
          <w:p w14:paraId="0EED186D" w14:textId="58796788" w:rsidR="00AD303D" w:rsidRPr="000E65EB" w:rsidRDefault="00AD303D" w:rsidP="0087357E">
            <w:r>
              <w:t>Wellbeing Centre</w:t>
            </w:r>
          </w:p>
        </w:tc>
        <w:tc>
          <w:tcPr>
            <w:tcW w:w="1843" w:type="dxa"/>
            <w:tcBorders>
              <w:bottom w:val="single" w:sz="4" w:space="0" w:color="auto"/>
            </w:tcBorders>
            <w:vAlign w:val="center"/>
          </w:tcPr>
          <w:p w14:paraId="38CEBAEE" w14:textId="4ED45BB2" w:rsidR="00AD303D" w:rsidRPr="00144DB6" w:rsidRDefault="00104CC0" w:rsidP="00104CC0">
            <w:pPr>
              <w:jc w:val="right"/>
            </w:pPr>
            <w:r>
              <w:t>16</w:t>
            </w:r>
          </w:p>
        </w:tc>
      </w:tr>
      <w:tr w:rsidR="000171D3" w:rsidRPr="00AC6089" w14:paraId="00A029FC" w14:textId="77777777" w:rsidTr="00DE11DC">
        <w:trPr>
          <w:trHeight w:val="284"/>
        </w:trPr>
        <w:tc>
          <w:tcPr>
            <w:tcW w:w="1843" w:type="dxa"/>
            <w:tcBorders>
              <w:top w:val="nil"/>
              <w:bottom w:val="nil"/>
            </w:tcBorders>
            <w:vAlign w:val="center"/>
          </w:tcPr>
          <w:p w14:paraId="1DE96FB9" w14:textId="77777777" w:rsidR="000171D3" w:rsidRPr="000E65EB" w:rsidRDefault="000171D3" w:rsidP="0087357E">
            <w:pPr>
              <w:rPr>
                <w:b/>
              </w:rPr>
            </w:pPr>
          </w:p>
        </w:tc>
        <w:tc>
          <w:tcPr>
            <w:tcW w:w="1985" w:type="dxa"/>
            <w:tcBorders>
              <w:bottom w:val="single" w:sz="4" w:space="0" w:color="auto"/>
            </w:tcBorders>
            <w:vAlign w:val="center"/>
          </w:tcPr>
          <w:p w14:paraId="1F6FD45E" w14:textId="5E220180" w:rsidR="000171D3" w:rsidRDefault="000171D3" w:rsidP="0087357E">
            <w:r>
              <w:t>Mossman Gorge</w:t>
            </w:r>
          </w:p>
        </w:tc>
        <w:tc>
          <w:tcPr>
            <w:tcW w:w="3147" w:type="dxa"/>
            <w:tcBorders>
              <w:bottom w:val="single" w:sz="4" w:space="0" w:color="auto"/>
            </w:tcBorders>
            <w:vAlign w:val="center"/>
          </w:tcPr>
          <w:p w14:paraId="2032CA8E" w14:textId="7B472BC8" w:rsidR="000171D3" w:rsidRDefault="00104CC0" w:rsidP="0087357E">
            <w:r>
              <w:t>Mulungu Parenting Program</w:t>
            </w:r>
          </w:p>
        </w:tc>
        <w:tc>
          <w:tcPr>
            <w:tcW w:w="1843" w:type="dxa"/>
            <w:tcBorders>
              <w:bottom w:val="single" w:sz="4" w:space="0" w:color="auto"/>
            </w:tcBorders>
            <w:vAlign w:val="center"/>
          </w:tcPr>
          <w:p w14:paraId="57916A19" w14:textId="035A8995" w:rsidR="000171D3" w:rsidRDefault="00104CC0" w:rsidP="00104CC0">
            <w:pPr>
              <w:jc w:val="right"/>
            </w:pPr>
            <w:r>
              <w:t>1</w:t>
            </w:r>
          </w:p>
        </w:tc>
      </w:tr>
      <w:tr w:rsidR="006A4DBD" w:rsidRPr="00AC6089" w14:paraId="54268889" w14:textId="77777777" w:rsidTr="00DE11DC">
        <w:trPr>
          <w:trHeight w:val="284"/>
        </w:trPr>
        <w:tc>
          <w:tcPr>
            <w:tcW w:w="1843" w:type="dxa"/>
            <w:tcBorders>
              <w:top w:val="nil"/>
              <w:bottom w:val="single" w:sz="12" w:space="0" w:color="auto"/>
            </w:tcBorders>
            <w:vAlign w:val="center"/>
          </w:tcPr>
          <w:p w14:paraId="72B0AA1C" w14:textId="77777777" w:rsidR="006A4DBD" w:rsidRPr="00AC6089" w:rsidRDefault="006A4DBD" w:rsidP="0087357E"/>
        </w:tc>
        <w:tc>
          <w:tcPr>
            <w:tcW w:w="1985" w:type="dxa"/>
            <w:tcBorders>
              <w:top w:val="single" w:sz="4" w:space="0" w:color="auto"/>
              <w:bottom w:val="single" w:sz="12" w:space="0" w:color="auto"/>
            </w:tcBorders>
            <w:vAlign w:val="center"/>
          </w:tcPr>
          <w:p w14:paraId="7E7AE9CE" w14:textId="77777777" w:rsidR="006A4DBD" w:rsidRPr="00212138" w:rsidRDefault="000E65EB" w:rsidP="0087357E">
            <w:pPr>
              <w:rPr>
                <w:b/>
              </w:rPr>
            </w:pPr>
            <w:r>
              <w:rPr>
                <w:b/>
              </w:rPr>
              <w:t>DVO</w:t>
            </w:r>
            <w:r w:rsidR="006A4DBD">
              <w:rPr>
                <w:b/>
              </w:rPr>
              <w:t xml:space="preserve"> Total</w:t>
            </w:r>
          </w:p>
        </w:tc>
        <w:tc>
          <w:tcPr>
            <w:tcW w:w="3147" w:type="dxa"/>
            <w:tcBorders>
              <w:top w:val="single" w:sz="4" w:space="0" w:color="auto"/>
              <w:bottom w:val="single" w:sz="12" w:space="0" w:color="auto"/>
            </w:tcBorders>
            <w:vAlign w:val="center"/>
          </w:tcPr>
          <w:p w14:paraId="4C688AEE" w14:textId="77777777" w:rsidR="006A4DBD" w:rsidRDefault="006A4DBD" w:rsidP="0087357E"/>
        </w:tc>
        <w:tc>
          <w:tcPr>
            <w:tcW w:w="1843" w:type="dxa"/>
            <w:tcBorders>
              <w:top w:val="single" w:sz="4" w:space="0" w:color="auto"/>
              <w:bottom w:val="single" w:sz="12" w:space="0" w:color="auto"/>
            </w:tcBorders>
            <w:vAlign w:val="center"/>
          </w:tcPr>
          <w:p w14:paraId="61A6B97B" w14:textId="59A0CDCD" w:rsidR="006A4DBD" w:rsidRDefault="00104CC0" w:rsidP="00104CC0">
            <w:pPr>
              <w:jc w:val="right"/>
              <w:rPr>
                <w:b/>
              </w:rPr>
            </w:pPr>
            <w:r>
              <w:rPr>
                <w:b/>
              </w:rPr>
              <w:t>17</w:t>
            </w:r>
          </w:p>
        </w:tc>
      </w:tr>
      <w:tr w:rsidR="00C872F0" w:rsidRPr="00AC6089" w14:paraId="72F8FD4E" w14:textId="77777777" w:rsidTr="00DE11DC">
        <w:trPr>
          <w:trHeight w:val="284"/>
        </w:trPr>
        <w:tc>
          <w:tcPr>
            <w:tcW w:w="1843" w:type="dxa"/>
            <w:tcBorders>
              <w:top w:val="single" w:sz="12" w:space="0" w:color="auto"/>
              <w:bottom w:val="single" w:sz="12" w:space="0" w:color="auto"/>
            </w:tcBorders>
            <w:vAlign w:val="center"/>
          </w:tcPr>
          <w:p w14:paraId="6550DC57" w14:textId="77777777" w:rsidR="00C872F0" w:rsidRPr="003A02EA" w:rsidRDefault="00C872F0" w:rsidP="0087357E">
            <w:pPr>
              <w:rPr>
                <w:b/>
              </w:rPr>
            </w:pPr>
            <w:r w:rsidRPr="003A02EA">
              <w:rPr>
                <w:b/>
              </w:rPr>
              <w:t>GRAND TOTAL</w:t>
            </w:r>
          </w:p>
        </w:tc>
        <w:tc>
          <w:tcPr>
            <w:tcW w:w="1985" w:type="dxa"/>
            <w:tcBorders>
              <w:top w:val="single" w:sz="12" w:space="0" w:color="auto"/>
              <w:bottom w:val="single" w:sz="12" w:space="0" w:color="auto"/>
            </w:tcBorders>
            <w:vAlign w:val="center"/>
          </w:tcPr>
          <w:p w14:paraId="6A21D703" w14:textId="77777777" w:rsidR="00C872F0" w:rsidRPr="00FA3FFA" w:rsidRDefault="00C872F0" w:rsidP="0087357E">
            <w:pPr>
              <w:rPr>
                <w:b/>
              </w:rPr>
            </w:pPr>
          </w:p>
        </w:tc>
        <w:tc>
          <w:tcPr>
            <w:tcW w:w="3147" w:type="dxa"/>
            <w:tcBorders>
              <w:top w:val="single" w:sz="12" w:space="0" w:color="auto"/>
              <w:bottom w:val="single" w:sz="12" w:space="0" w:color="auto"/>
            </w:tcBorders>
            <w:vAlign w:val="center"/>
          </w:tcPr>
          <w:p w14:paraId="2F426D06" w14:textId="77777777" w:rsidR="00C872F0" w:rsidRPr="00FA3FFA" w:rsidRDefault="00C872F0" w:rsidP="0087357E">
            <w:pPr>
              <w:rPr>
                <w:b/>
              </w:rPr>
            </w:pPr>
          </w:p>
        </w:tc>
        <w:tc>
          <w:tcPr>
            <w:tcW w:w="1843" w:type="dxa"/>
            <w:tcBorders>
              <w:top w:val="single" w:sz="12" w:space="0" w:color="auto"/>
              <w:bottom w:val="single" w:sz="12" w:space="0" w:color="auto"/>
            </w:tcBorders>
            <w:vAlign w:val="center"/>
          </w:tcPr>
          <w:p w14:paraId="225D5E57" w14:textId="7A2D3980" w:rsidR="00C872F0" w:rsidRPr="00FA3FFA" w:rsidRDefault="00104CC0" w:rsidP="00104CC0">
            <w:pPr>
              <w:jc w:val="right"/>
              <w:rPr>
                <w:b/>
              </w:rPr>
            </w:pPr>
            <w:r>
              <w:rPr>
                <w:b/>
              </w:rPr>
              <w:t>17</w:t>
            </w:r>
          </w:p>
        </w:tc>
      </w:tr>
    </w:tbl>
    <w:p w14:paraId="74D51F17" w14:textId="4D3B3B3D" w:rsidR="000D49C3" w:rsidRPr="006524B7" w:rsidRDefault="000D49C3" w:rsidP="002F3FD3">
      <w:pPr>
        <w:ind w:left="-142" w:right="-425"/>
        <w:jc w:val="both"/>
        <w:rPr>
          <w:rFonts w:cs="Arial"/>
        </w:rPr>
      </w:pPr>
    </w:p>
    <w:p w14:paraId="521DA384" w14:textId="77777777" w:rsidR="009B4402" w:rsidRDefault="009B4402">
      <w:pPr>
        <w:spacing w:line="240" w:lineRule="auto"/>
        <w:rPr>
          <w:b/>
          <w:sz w:val="16"/>
        </w:rPr>
      </w:pPr>
      <w:r>
        <w:rPr>
          <w:b/>
          <w:i/>
          <w:sz w:val="16"/>
        </w:rPr>
        <w:br w:type="page"/>
      </w:r>
    </w:p>
    <w:p w14:paraId="6F7CDFD6" w14:textId="4C6176F6" w:rsidR="000117D2" w:rsidRPr="00CD0B58" w:rsidRDefault="000117D2" w:rsidP="000117D2">
      <w:pPr>
        <w:pStyle w:val="TableCaption"/>
        <w:spacing w:before="0"/>
        <w:ind w:left="907" w:right="-425" w:hanging="907"/>
        <w:rPr>
          <w:b/>
          <w:i w:val="0"/>
          <w:sz w:val="16"/>
        </w:rPr>
      </w:pPr>
      <w:r>
        <w:rPr>
          <w:b/>
          <w:i w:val="0"/>
          <w:sz w:val="16"/>
        </w:rPr>
        <w:lastRenderedPageBreak/>
        <w:t>Table 12</w:t>
      </w:r>
      <w:r w:rsidRPr="00F85AA1">
        <w:rPr>
          <w:b/>
          <w:i w:val="0"/>
          <w:sz w:val="16"/>
        </w:rPr>
        <w:t xml:space="preserve">: </w:t>
      </w:r>
      <w:r w:rsidRPr="00F85AA1">
        <w:rPr>
          <w:i w:val="0"/>
          <w:sz w:val="16"/>
        </w:rPr>
        <w:t>Referral pathways</w:t>
      </w:r>
      <w:r>
        <w:rPr>
          <w:i w:val="0"/>
          <w:sz w:val="16"/>
        </w:rPr>
        <w:t xml:space="preserve"> in </w:t>
      </w:r>
      <w:r w:rsidRPr="00F82AA7">
        <w:rPr>
          <w:i w:val="0"/>
          <w:sz w:val="16"/>
          <w:szCs w:val="16"/>
        </w:rPr>
        <w:t>relation to domestic violence notices (breaches and orders)</w:t>
      </w:r>
      <w:r w:rsidRPr="00F85AA1">
        <w:rPr>
          <w:i w:val="0"/>
          <w:sz w:val="16"/>
        </w:rPr>
        <w:t xml:space="preserve"> by referral type and quarter</w:t>
      </w:r>
      <w:r>
        <w:rPr>
          <w:i w:val="0"/>
          <w:sz w:val="16"/>
        </w:rPr>
        <w:br/>
      </w:r>
      <w:r w:rsidRPr="00113D6A">
        <w:rPr>
          <w:i w:val="0"/>
          <w:sz w:val="16"/>
          <w:szCs w:val="16"/>
        </w:rPr>
        <w:t xml:space="preserve">1 </w:t>
      </w:r>
      <w:r>
        <w:rPr>
          <w:i w:val="0"/>
          <w:sz w:val="16"/>
          <w:szCs w:val="16"/>
        </w:rPr>
        <w:t>July</w:t>
      </w:r>
      <w:r w:rsidRPr="00113D6A">
        <w:rPr>
          <w:i w:val="0"/>
          <w:sz w:val="16"/>
          <w:szCs w:val="16"/>
        </w:rPr>
        <w:t xml:space="preserve"> 201</w:t>
      </w:r>
      <w:r>
        <w:rPr>
          <w:i w:val="0"/>
          <w:sz w:val="16"/>
          <w:szCs w:val="16"/>
        </w:rPr>
        <w:t>9</w:t>
      </w:r>
      <w:r w:rsidRPr="00113D6A">
        <w:rPr>
          <w:i w:val="0"/>
          <w:sz w:val="16"/>
          <w:szCs w:val="16"/>
        </w:rPr>
        <w:t xml:space="preserve"> to 3</w:t>
      </w:r>
      <w:r>
        <w:rPr>
          <w:i w:val="0"/>
          <w:sz w:val="16"/>
          <w:szCs w:val="16"/>
        </w:rPr>
        <w:t xml:space="preserve">0 September </w:t>
      </w:r>
      <w:r w:rsidRPr="00113D6A">
        <w:rPr>
          <w:i w:val="0"/>
          <w:sz w:val="16"/>
          <w:szCs w:val="16"/>
        </w:rPr>
        <w:t>20</w:t>
      </w:r>
      <w:r>
        <w:rPr>
          <w:i w:val="0"/>
          <w:sz w:val="16"/>
          <w:szCs w:val="16"/>
        </w:rPr>
        <w:t>20</w:t>
      </w:r>
      <w:r w:rsidRPr="00113D6A">
        <w:rPr>
          <w:i w:val="0"/>
          <w:sz w:val="16"/>
          <w:szCs w:val="16"/>
        </w:rPr>
        <w:t>.</w:t>
      </w:r>
    </w:p>
    <w:tbl>
      <w:tblPr>
        <w:tblW w:w="9344" w:type="dxa"/>
        <w:tblInd w:w="93" w:type="dxa"/>
        <w:tblLook w:val="04A0" w:firstRow="1" w:lastRow="0" w:firstColumn="1" w:lastColumn="0" w:noHBand="0" w:noVBand="1"/>
      </w:tblPr>
      <w:tblGrid>
        <w:gridCol w:w="5827"/>
        <w:gridCol w:w="766"/>
        <w:gridCol w:w="668"/>
        <w:gridCol w:w="767"/>
        <w:gridCol w:w="658"/>
        <w:gridCol w:w="658"/>
      </w:tblGrid>
      <w:tr w:rsidR="000117D2" w14:paraId="74304798" w14:textId="4E025ECF" w:rsidTr="000117D2">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24A3FE05" w14:textId="77777777" w:rsidR="000117D2" w:rsidRPr="00C5395B" w:rsidRDefault="000117D2" w:rsidP="00544691">
            <w:pPr>
              <w:pStyle w:val="TableText"/>
              <w:ind w:left="49"/>
              <w:rPr>
                <w:b/>
                <w:lang w:eastAsia="en-AU"/>
              </w:rPr>
            </w:pPr>
            <w:r w:rsidRPr="00C5395B">
              <w:rPr>
                <w:b/>
                <w:lang w:eastAsia="en-AU"/>
              </w:rPr>
              <w:t>Referral Type</w:t>
            </w:r>
          </w:p>
        </w:tc>
        <w:tc>
          <w:tcPr>
            <w:tcW w:w="766" w:type="dxa"/>
            <w:tcBorders>
              <w:top w:val="single" w:sz="4" w:space="0" w:color="auto"/>
              <w:left w:val="nil"/>
              <w:bottom w:val="single" w:sz="4" w:space="0" w:color="auto"/>
              <w:right w:val="single" w:sz="4" w:space="0" w:color="auto"/>
            </w:tcBorders>
          </w:tcPr>
          <w:p w14:paraId="4885F636" w14:textId="77777777" w:rsidR="000117D2" w:rsidRDefault="000117D2" w:rsidP="00544691">
            <w:pPr>
              <w:pStyle w:val="TableText"/>
              <w:jc w:val="right"/>
              <w:rPr>
                <w:b/>
                <w:lang w:eastAsia="en-AU"/>
              </w:rPr>
            </w:pPr>
            <w:r>
              <w:rPr>
                <w:b/>
                <w:lang w:eastAsia="en-AU"/>
              </w:rPr>
              <w:t>Qtr 45</w:t>
            </w:r>
          </w:p>
        </w:tc>
        <w:tc>
          <w:tcPr>
            <w:tcW w:w="668" w:type="dxa"/>
            <w:tcBorders>
              <w:top w:val="single" w:sz="4" w:space="0" w:color="auto"/>
              <w:left w:val="nil"/>
              <w:bottom w:val="single" w:sz="4" w:space="0" w:color="auto"/>
              <w:right w:val="single" w:sz="4" w:space="0" w:color="auto"/>
            </w:tcBorders>
          </w:tcPr>
          <w:p w14:paraId="5643402B" w14:textId="77777777" w:rsidR="000117D2" w:rsidRDefault="000117D2" w:rsidP="00544691">
            <w:pPr>
              <w:pStyle w:val="TableText"/>
              <w:jc w:val="right"/>
              <w:rPr>
                <w:b/>
                <w:lang w:eastAsia="en-AU"/>
              </w:rPr>
            </w:pPr>
            <w:r>
              <w:rPr>
                <w:b/>
                <w:lang w:eastAsia="en-AU"/>
              </w:rPr>
              <w:t>Qtr 46</w:t>
            </w:r>
          </w:p>
        </w:tc>
        <w:tc>
          <w:tcPr>
            <w:tcW w:w="767" w:type="dxa"/>
            <w:tcBorders>
              <w:top w:val="single" w:sz="4" w:space="0" w:color="auto"/>
              <w:left w:val="nil"/>
              <w:bottom w:val="single" w:sz="4" w:space="0" w:color="auto"/>
              <w:right w:val="single" w:sz="4" w:space="0" w:color="auto"/>
            </w:tcBorders>
          </w:tcPr>
          <w:p w14:paraId="6D01A78E" w14:textId="77777777" w:rsidR="000117D2" w:rsidRDefault="000117D2" w:rsidP="00544691">
            <w:pPr>
              <w:pStyle w:val="TableText"/>
              <w:jc w:val="right"/>
              <w:rPr>
                <w:b/>
                <w:lang w:eastAsia="en-AU"/>
              </w:rPr>
            </w:pPr>
            <w:r>
              <w:rPr>
                <w:b/>
                <w:lang w:eastAsia="en-AU"/>
              </w:rPr>
              <w:t>Qtr 47</w:t>
            </w:r>
          </w:p>
        </w:tc>
        <w:tc>
          <w:tcPr>
            <w:tcW w:w="658" w:type="dxa"/>
            <w:tcBorders>
              <w:top w:val="single" w:sz="4" w:space="0" w:color="auto"/>
              <w:left w:val="nil"/>
              <w:bottom w:val="single" w:sz="4" w:space="0" w:color="auto"/>
              <w:right w:val="single" w:sz="4" w:space="0" w:color="auto"/>
            </w:tcBorders>
          </w:tcPr>
          <w:p w14:paraId="7385EF0A" w14:textId="77777777" w:rsidR="000117D2" w:rsidRDefault="000117D2" w:rsidP="00544691">
            <w:pPr>
              <w:pStyle w:val="TableText"/>
              <w:jc w:val="right"/>
              <w:rPr>
                <w:b/>
                <w:lang w:eastAsia="en-AU"/>
              </w:rPr>
            </w:pPr>
            <w:r>
              <w:rPr>
                <w:b/>
                <w:lang w:eastAsia="en-AU"/>
              </w:rPr>
              <w:t>Qtr 48</w:t>
            </w:r>
          </w:p>
        </w:tc>
        <w:tc>
          <w:tcPr>
            <w:tcW w:w="658" w:type="dxa"/>
            <w:tcBorders>
              <w:top w:val="single" w:sz="4" w:space="0" w:color="auto"/>
              <w:left w:val="nil"/>
              <w:bottom w:val="single" w:sz="4" w:space="0" w:color="auto"/>
              <w:right w:val="single" w:sz="4" w:space="0" w:color="auto"/>
            </w:tcBorders>
          </w:tcPr>
          <w:p w14:paraId="4BFBFAFF" w14:textId="0C8D996B" w:rsidR="000117D2" w:rsidRDefault="000117D2" w:rsidP="00544691">
            <w:pPr>
              <w:pStyle w:val="TableText"/>
              <w:jc w:val="right"/>
              <w:rPr>
                <w:b/>
                <w:lang w:eastAsia="en-AU"/>
              </w:rPr>
            </w:pPr>
            <w:r>
              <w:rPr>
                <w:b/>
                <w:lang w:eastAsia="en-AU"/>
              </w:rPr>
              <w:t>Qtr 49</w:t>
            </w:r>
          </w:p>
        </w:tc>
      </w:tr>
      <w:tr w:rsidR="009B4402" w14:paraId="4B638AED" w14:textId="1CD8F3A3" w:rsidTr="000117D2">
        <w:trPr>
          <w:trHeight w:val="255"/>
        </w:trPr>
        <w:tc>
          <w:tcPr>
            <w:tcW w:w="5827" w:type="dxa"/>
            <w:tcBorders>
              <w:top w:val="nil"/>
              <w:left w:val="single" w:sz="4" w:space="0" w:color="auto"/>
              <w:bottom w:val="single" w:sz="4" w:space="0" w:color="auto"/>
              <w:right w:val="single" w:sz="4" w:space="0" w:color="auto"/>
            </w:tcBorders>
            <w:noWrap/>
            <w:vAlign w:val="bottom"/>
            <w:hideMark/>
          </w:tcPr>
          <w:p w14:paraId="7B3780E2" w14:textId="77777777" w:rsidR="009B4402" w:rsidRPr="00C5395B" w:rsidRDefault="009B4402" w:rsidP="009B4402">
            <w:pPr>
              <w:pStyle w:val="TableText"/>
              <w:ind w:left="49"/>
              <w:rPr>
                <w:lang w:eastAsia="en-AU"/>
              </w:rPr>
            </w:pPr>
            <w:r>
              <w:rPr>
                <w:rFonts w:ascii="Arial" w:hAnsi="Arial" w:cs="Arial"/>
              </w:rPr>
              <w:t>MPower</w:t>
            </w:r>
          </w:p>
        </w:tc>
        <w:tc>
          <w:tcPr>
            <w:tcW w:w="766" w:type="dxa"/>
            <w:tcBorders>
              <w:top w:val="nil"/>
              <w:left w:val="nil"/>
              <w:bottom w:val="single" w:sz="4" w:space="0" w:color="auto"/>
              <w:right w:val="single" w:sz="4" w:space="0" w:color="auto"/>
            </w:tcBorders>
          </w:tcPr>
          <w:p w14:paraId="29CA5534" w14:textId="77777777" w:rsidR="009B4402" w:rsidRDefault="009B4402" w:rsidP="009B4402">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52337206" w14:textId="77777777" w:rsidR="009B4402" w:rsidRDefault="009B4402" w:rsidP="009B4402">
            <w:pPr>
              <w:jc w:val="right"/>
              <w:rPr>
                <w:rFonts w:cs="Arial"/>
              </w:rPr>
            </w:pPr>
            <w:r>
              <w:rPr>
                <w:rFonts w:cs="Arial"/>
              </w:rPr>
              <w:t>1</w:t>
            </w:r>
          </w:p>
        </w:tc>
        <w:tc>
          <w:tcPr>
            <w:tcW w:w="767" w:type="dxa"/>
            <w:tcBorders>
              <w:top w:val="nil"/>
              <w:left w:val="nil"/>
              <w:bottom w:val="single" w:sz="4" w:space="0" w:color="auto"/>
              <w:right w:val="single" w:sz="4" w:space="0" w:color="auto"/>
            </w:tcBorders>
          </w:tcPr>
          <w:p w14:paraId="1AAA2A9F" w14:textId="77777777" w:rsidR="009B4402" w:rsidRDefault="009B4402" w:rsidP="009B4402">
            <w:pPr>
              <w:jc w:val="right"/>
              <w:rPr>
                <w:rFonts w:cs="Arial"/>
              </w:rPr>
            </w:pPr>
            <w:r w:rsidRPr="00D56EB9">
              <w:rPr>
                <w:rFonts w:cs="Arial"/>
              </w:rPr>
              <w:t>8</w:t>
            </w:r>
          </w:p>
        </w:tc>
        <w:tc>
          <w:tcPr>
            <w:tcW w:w="658" w:type="dxa"/>
            <w:tcBorders>
              <w:top w:val="nil"/>
              <w:left w:val="nil"/>
              <w:bottom w:val="single" w:sz="4" w:space="0" w:color="auto"/>
              <w:right w:val="single" w:sz="4" w:space="0" w:color="auto"/>
            </w:tcBorders>
          </w:tcPr>
          <w:p w14:paraId="0D31D275" w14:textId="77777777" w:rsidR="009B4402" w:rsidRPr="00EE6BD7" w:rsidRDefault="009B4402" w:rsidP="009B4402">
            <w:pPr>
              <w:jc w:val="right"/>
              <w:rPr>
                <w:rFonts w:cs="Arial"/>
              </w:rPr>
            </w:pPr>
            <w:r w:rsidRPr="00EE6BD7">
              <w:rPr>
                <w:rFonts w:cs="Arial"/>
              </w:rPr>
              <w:t>7</w:t>
            </w:r>
          </w:p>
        </w:tc>
        <w:tc>
          <w:tcPr>
            <w:tcW w:w="658" w:type="dxa"/>
            <w:tcBorders>
              <w:top w:val="nil"/>
              <w:left w:val="nil"/>
              <w:bottom w:val="single" w:sz="4" w:space="0" w:color="auto"/>
              <w:right w:val="single" w:sz="4" w:space="0" w:color="auto"/>
            </w:tcBorders>
          </w:tcPr>
          <w:p w14:paraId="4A077660" w14:textId="2FEB2092" w:rsidR="009B4402" w:rsidRPr="009B4402" w:rsidRDefault="009B4402" w:rsidP="009B4402">
            <w:pPr>
              <w:jc w:val="right"/>
              <w:rPr>
                <w:rFonts w:cs="Arial"/>
              </w:rPr>
            </w:pPr>
            <w:r w:rsidRPr="009B4402">
              <w:rPr>
                <w:rFonts w:cs="Arial"/>
              </w:rPr>
              <w:t>0</w:t>
            </w:r>
          </w:p>
        </w:tc>
      </w:tr>
      <w:tr w:rsidR="009B4402" w14:paraId="49FD34EC" w14:textId="1B5529A1" w:rsidTr="000117D2">
        <w:trPr>
          <w:trHeight w:val="255"/>
        </w:trPr>
        <w:tc>
          <w:tcPr>
            <w:tcW w:w="5827" w:type="dxa"/>
            <w:tcBorders>
              <w:top w:val="nil"/>
              <w:left w:val="single" w:sz="4" w:space="0" w:color="auto"/>
              <w:bottom w:val="single" w:sz="4" w:space="0" w:color="auto"/>
              <w:right w:val="single" w:sz="4" w:space="0" w:color="auto"/>
            </w:tcBorders>
            <w:noWrap/>
            <w:vAlign w:val="bottom"/>
            <w:hideMark/>
          </w:tcPr>
          <w:p w14:paraId="44D57752" w14:textId="77777777" w:rsidR="009B4402" w:rsidRPr="00C5395B" w:rsidRDefault="009B4402" w:rsidP="009B4402">
            <w:pPr>
              <w:pStyle w:val="TableText"/>
              <w:ind w:left="49"/>
              <w:rPr>
                <w:lang w:eastAsia="en-AU"/>
              </w:rPr>
            </w:pPr>
            <w:r>
              <w:rPr>
                <w:rFonts w:ascii="Arial" w:hAnsi="Arial" w:cs="Arial"/>
              </w:rPr>
              <w:t>WBC</w:t>
            </w:r>
          </w:p>
        </w:tc>
        <w:tc>
          <w:tcPr>
            <w:tcW w:w="766" w:type="dxa"/>
            <w:tcBorders>
              <w:top w:val="nil"/>
              <w:left w:val="nil"/>
              <w:bottom w:val="single" w:sz="4" w:space="0" w:color="auto"/>
              <w:right w:val="single" w:sz="4" w:space="0" w:color="auto"/>
            </w:tcBorders>
          </w:tcPr>
          <w:p w14:paraId="1B589EE3" w14:textId="77777777" w:rsidR="009B4402" w:rsidRDefault="009B4402" w:rsidP="009B4402">
            <w:pPr>
              <w:jc w:val="right"/>
              <w:rPr>
                <w:rFonts w:cs="Arial"/>
              </w:rPr>
            </w:pPr>
            <w:r>
              <w:rPr>
                <w:rFonts w:cs="Arial"/>
              </w:rPr>
              <w:t>17</w:t>
            </w:r>
          </w:p>
        </w:tc>
        <w:tc>
          <w:tcPr>
            <w:tcW w:w="668" w:type="dxa"/>
            <w:tcBorders>
              <w:top w:val="nil"/>
              <w:left w:val="nil"/>
              <w:bottom w:val="single" w:sz="4" w:space="0" w:color="auto"/>
              <w:right w:val="single" w:sz="4" w:space="0" w:color="auto"/>
            </w:tcBorders>
          </w:tcPr>
          <w:p w14:paraId="31D433F8" w14:textId="77777777" w:rsidR="009B4402" w:rsidRDefault="009B4402" w:rsidP="009B4402">
            <w:pPr>
              <w:jc w:val="right"/>
              <w:rPr>
                <w:rFonts w:cs="Arial"/>
              </w:rPr>
            </w:pPr>
            <w:r>
              <w:rPr>
                <w:rFonts w:cs="Arial"/>
              </w:rPr>
              <w:t>10</w:t>
            </w:r>
          </w:p>
        </w:tc>
        <w:tc>
          <w:tcPr>
            <w:tcW w:w="767" w:type="dxa"/>
            <w:tcBorders>
              <w:top w:val="nil"/>
              <w:left w:val="nil"/>
              <w:bottom w:val="single" w:sz="4" w:space="0" w:color="auto"/>
              <w:right w:val="single" w:sz="4" w:space="0" w:color="auto"/>
            </w:tcBorders>
          </w:tcPr>
          <w:p w14:paraId="34DA9234" w14:textId="77777777" w:rsidR="009B4402" w:rsidRDefault="009B4402" w:rsidP="009B4402">
            <w:pPr>
              <w:jc w:val="right"/>
              <w:rPr>
                <w:rFonts w:cs="Arial"/>
              </w:rPr>
            </w:pPr>
            <w:r w:rsidRPr="00D56EB9">
              <w:rPr>
                <w:rFonts w:cs="Arial"/>
              </w:rPr>
              <w:t>20</w:t>
            </w:r>
          </w:p>
        </w:tc>
        <w:tc>
          <w:tcPr>
            <w:tcW w:w="658" w:type="dxa"/>
            <w:tcBorders>
              <w:top w:val="nil"/>
              <w:left w:val="nil"/>
              <w:bottom w:val="single" w:sz="4" w:space="0" w:color="auto"/>
              <w:right w:val="single" w:sz="4" w:space="0" w:color="auto"/>
            </w:tcBorders>
          </w:tcPr>
          <w:p w14:paraId="402797F4" w14:textId="77777777" w:rsidR="009B4402" w:rsidRPr="00EE6BD7" w:rsidRDefault="009B4402" w:rsidP="009B4402">
            <w:pPr>
              <w:jc w:val="right"/>
              <w:rPr>
                <w:rFonts w:cs="Arial"/>
              </w:rPr>
            </w:pPr>
            <w:r w:rsidRPr="00EE6BD7">
              <w:rPr>
                <w:rFonts w:cs="Arial"/>
              </w:rPr>
              <w:t>10</w:t>
            </w:r>
          </w:p>
        </w:tc>
        <w:tc>
          <w:tcPr>
            <w:tcW w:w="658" w:type="dxa"/>
            <w:tcBorders>
              <w:top w:val="nil"/>
              <w:left w:val="nil"/>
              <w:bottom w:val="single" w:sz="4" w:space="0" w:color="auto"/>
              <w:right w:val="single" w:sz="4" w:space="0" w:color="auto"/>
            </w:tcBorders>
          </w:tcPr>
          <w:p w14:paraId="2D2AB66B" w14:textId="6A4D5DB9" w:rsidR="009B4402" w:rsidRPr="009B4402" w:rsidRDefault="009B4402" w:rsidP="009B4402">
            <w:pPr>
              <w:jc w:val="right"/>
              <w:rPr>
                <w:rFonts w:cs="Arial"/>
              </w:rPr>
            </w:pPr>
            <w:r w:rsidRPr="009B4402">
              <w:rPr>
                <w:rFonts w:cs="Arial"/>
              </w:rPr>
              <w:t>16</w:t>
            </w:r>
          </w:p>
        </w:tc>
      </w:tr>
      <w:tr w:rsidR="009B4402" w14:paraId="3B6BDDB1" w14:textId="5AA4F1CC" w:rsidTr="000117D2">
        <w:trPr>
          <w:trHeight w:val="255"/>
        </w:trPr>
        <w:tc>
          <w:tcPr>
            <w:tcW w:w="5827" w:type="dxa"/>
            <w:tcBorders>
              <w:top w:val="nil"/>
              <w:left w:val="single" w:sz="4" w:space="0" w:color="auto"/>
              <w:bottom w:val="single" w:sz="4" w:space="0" w:color="auto"/>
              <w:right w:val="single" w:sz="4" w:space="0" w:color="auto"/>
            </w:tcBorders>
            <w:noWrap/>
            <w:vAlign w:val="bottom"/>
            <w:hideMark/>
          </w:tcPr>
          <w:p w14:paraId="11E40DF1" w14:textId="77777777" w:rsidR="009B4402" w:rsidRPr="00C5395B" w:rsidRDefault="009B4402" w:rsidP="009B4402">
            <w:pPr>
              <w:pStyle w:val="TableText"/>
              <w:ind w:left="49"/>
              <w:rPr>
                <w:lang w:eastAsia="en-AU"/>
              </w:rPr>
            </w:pPr>
            <w:r>
              <w:rPr>
                <w:rFonts w:ascii="Arial" w:hAnsi="Arial" w:cs="Arial"/>
              </w:rPr>
              <w:t>QLD Health</w:t>
            </w:r>
          </w:p>
        </w:tc>
        <w:tc>
          <w:tcPr>
            <w:tcW w:w="766" w:type="dxa"/>
            <w:tcBorders>
              <w:top w:val="nil"/>
              <w:left w:val="nil"/>
              <w:bottom w:val="single" w:sz="4" w:space="0" w:color="auto"/>
              <w:right w:val="single" w:sz="4" w:space="0" w:color="auto"/>
            </w:tcBorders>
          </w:tcPr>
          <w:p w14:paraId="55E77231" w14:textId="77777777" w:rsidR="009B4402" w:rsidRDefault="009B4402" w:rsidP="009B4402">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2B1498A5" w14:textId="77777777" w:rsidR="009B4402" w:rsidRDefault="009B4402" w:rsidP="009B4402">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5030B96C" w14:textId="77777777" w:rsidR="009B4402" w:rsidRDefault="009B4402" w:rsidP="009B4402">
            <w:pPr>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78464903" w14:textId="77777777" w:rsidR="009B4402" w:rsidRPr="00EE6BD7" w:rsidRDefault="009B4402" w:rsidP="009B4402">
            <w:pPr>
              <w:jc w:val="right"/>
              <w:rPr>
                <w:rFonts w:cs="Arial"/>
              </w:rPr>
            </w:pPr>
            <w:r w:rsidRPr="00EE6BD7">
              <w:rPr>
                <w:rFonts w:cs="Arial"/>
              </w:rPr>
              <w:t>0</w:t>
            </w:r>
          </w:p>
        </w:tc>
        <w:tc>
          <w:tcPr>
            <w:tcW w:w="658" w:type="dxa"/>
            <w:tcBorders>
              <w:top w:val="nil"/>
              <w:left w:val="nil"/>
              <w:bottom w:val="single" w:sz="4" w:space="0" w:color="auto"/>
              <w:right w:val="single" w:sz="4" w:space="0" w:color="auto"/>
            </w:tcBorders>
          </w:tcPr>
          <w:p w14:paraId="04DD1187" w14:textId="3511767F" w:rsidR="009B4402" w:rsidRPr="009B4402" w:rsidRDefault="009B4402" w:rsidP="009B4402">
            <w:pPr>
              <w:jc w:val="right"/>
              <w:rPr>
                <w:rFonts w:cs="Arial"/>
              </w:rPr>
            </w:pPr>
            <w:r w:rsidRPr="009B4402">
              <w:rPr>
                <w:rFonts w:cs="Arial"/>
              </w:rPr>
              <w:t>0</w:t>
            </w:r>
          </w:p>
        </w:tc>
      </w:tr>
      <w:tr w:rsidR="009B4402" w14:paraId="0EC09EF4" w14:textId="2FF62988" w:rsidTr="000117D2">
        <w:trPr>
          <w:trHeight w:val="255"/>
        </w:trPr>
        <w:tc>
          <w:tcPr>
            <w:tcW w:w="5827" w:type="dxa"/>
            <w:tcBorders>
              <w:top w:val="nil"/>
              <w:left w:val="single" w:sz="4" w:space="0" w:color="auto"/>
              <w:bottom w:val="single" w:sz="4" w:space="0" w:color="auto"/>
              <w:right w:val="single" w:sz="4" w:space="0" w:color="auto"/>
            </w:tcBorders>
            <w:noWrap/>
            <w:vAlign w:val="center"/>
          </w:tcPr>
          <w:p w14:paraId="3424B4D4" w14:textId="5616EB39" w:rsidR="009B4402" w:rsidRDefault="009B4402" w:rsidP="009B4402">
            <w:pPr>
              <w:pStyle w:val="TableText"/>
              <w:ind w:left="1440" w:hanging="1391"/>
              <w:rPr>
                <w:lang w:eastAsia="en-AU"/>
              </w:rPr>
            </w:pPr>
            <w:r>
              <w:rPr>
                <w:rFonts w:ascii="Arial" w:hAnsi="Arial" w:cs="Arial"/>
              </w:rPr>
              <w:t>RAATSICC (Family Wellbeing Services) - AU</w:t>
            </w:r>
          </w:p>
        </w:tc>
        <w:tc>
          <w:tcPr>
            <w:tcW w:w="766" w:type="dxa"/>
            <w:tcBorders>
              <w:top w:val="nil"/>
              <w:left w:val="nil"/>
              <w:bottom w:val="single" w:sz="4" w:space="0" w:color="auto"/>
              <w:right w:val="single" w:sz="4" w:space="0" w:color="auto"/>
            </w:tcBorders>
          </w:tcPr>
          <w:p w14:paraId="70417515" w14:textId="77777777" w:rsidR="009B4402" w:rsidRDefault="009B4402" w:rsidP="009B4402">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1A358903" w14:textId="77777777" w:rsidR="009B4402" w:rsidRDefault="009B4402" w:rsidP="009B4402">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12D5FE9A" w14:textId="77777777" w:rsidR="009B4402" w:rsidRDefault="009B4402" w:rsidP="009B4402">
            <w:pPr>
              <w:ind w:left="1440" w:hanging="1391"/>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36950A80" w14:textId="77777777" w:rsidR="009B4402" w:rsidRPr="00EE6BD7" w:rsidRDefault="009B4402" w:rsidP="009B4402">
            <w:pPr>
              <w:ind w:left="1440" w:hanging="1391"/>
              <w:jc w:val="right"/>
              <w:rPr>
                <w:rFonts w:cs="Arial"/>
              </w:rPr>
            </w:pPr>
            <w:r w:rsidRPr="00EE6BD7">
              <w:rPr>
                <w:rFonts w:cs="Arial"/>
              </w:rPr>
              <w:t>0</w:t>
            </w:r>
          </w:p>
        </w:tc>
        <w:tc>
          <w:tcPr>
            <w:tcW w:w="658" w:type="dxa"/>
            <w:tcBorders>
              <w:top w:val="nil"/>
              <w:left w:val="nil"/>
              <w:bottom w:val="single" w:sz="4" w:space="0" w:color="auto"/>
              <w:right w:val="single" w:sz="4" w:space="0" w:color="auto"/>
            </w:tcBorders>
          </w:tcPr>
          <w:p w14:paraId="11A416CF" w14:textId="79FBBC60" w:rsidR="009B4402" w:rsidRPr="009B4402" w:rsidRDefault="009B4402" w:rsidP="009B4402">
            <w:pPr>
              <w:ind w:left="1440" w:hanging="1391"/>
              <w:jc w:val="right"/>
              <w:rPr>
                <w:rFonts w:cs="Arial"/>
              </w:rPr>
            </w:pPr>
            <w:r w:rsidRPr="009B4402">
              <w:rPr>
                <w:rFonts w:cs="Arial"/>
              </w:rPr>
              <w:t>0</w:t>
            </w:r>
          </w:p>
        </w:tc>
      </w:tr>
      <w:tr w:rsidR="009B4402" w14:paraId="0D80533C" w14:textId="5F0BB2DA" w:rsidTr="000117D2">
        <w:trPr>
          <w:trHeight w:val="255"/>
        </w:trPr>
        <w:tc>
          <w:tcPr>
            <w:tcW w:w="5827" w:type="dxa"/>
            <w:tcBorders>
              <w:top w:val="nil"/>
              <w:left w:val="single" w:sz="4" w:space="0" w:color="auto"/>
              <w:bottom w:val="single" w:sz="4" w:space="0" w:color="auto"/>
              <w:right w:val="single" w:sz="4" w:space="0" w:color="auto"/>
            </w:tcBorders>
            <w:noWrap/>
            <w:vAlign w:val="center"/>
          </w:tcPr>
          <w:p w14:paraId="0E9EB0F0" w14:textId="77777777" w:rsidR="009B4402" w:rsidRDefault="009B4402" w:rsidP="009B4402">
            <w:pPr>
              <w:pStyle w:val="TableText"/>
              <w:ind w:left="1440" w:hanging="1391"/>
              <w:rPr>
                <w:lang w:eastAsia="en-AU"/>
              </w:rPr>
            </w:pPr>
            <w:r>
              <w:rPr>
                <w:rFonts w:ascii="Arial" w:hAnsi="Arial" w:cs="Arial"/>
              </w:rPr>
              <w:t>Gungarde (Family Wellbeing Services) - CO &amp; HV</w:t>
            </w:r>
          </w:p>
        </w:tc>
        <w:tc>
          <w:tcPr>
            <w:tcW w:w="766" w:type="dxa"/>
            <w:tcBorders>
              <w:top w:val="nil"/>
              <w:left w:val="nil"/>
              <w:bottom w:val="single" w:sz="4" w:space="0" w:color="auto"/>
              <w:right w:val="single" w:sz="4" w:space="0" w:color="auto"/>
            </w:tcBorders>
          </w:tcPr>
          <w:p w14:paraId="2969E87B" w14:textId="77777777" w:rsidR="009B4402" w:rsidRDefault="009B4402" w:rsidP="009B4402">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5F0880A3" w14:textId="77777777" w:rsidR="009B4402" w:rsidRDefault="009B4402" w:rsidP="009B4402">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643BD1C4" w14:textId="77777777" w:rsidR="009B4402" w:rsidRDefault="009B4402" w:rsidP="009B4402">
            <w:pPr>
              <w:ind w:left="1440" w:hanging="1391"/>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65EB4343" w14:textId="77777777" w:rsidR="009B4402" w:rsidRPr="00EE6BD7" w:rsidRDefault="009B4402" w:rsidP="009B4402">
            <w:pPr>
              <w:ind w:left="1440" w:hanging="1391"/>
              <w:jc w:val="right"/>
              <w:rPr>
                <w:rFonts w:cs="Arial"/>
              </w:rPr>
            </w:pPr>
            <w:r w:rsidRPr="00EE6BD7">
              <w:rPr>
                <w:rFonts w:cs="Arial"/>
              </w:rPr>
              <w:t>0</w:t>
            </w:r>
          </w:p>
        </w:tc>
        <w:tc>
          <w:tcPr>
            <w:tcW w:w="658" w:type="dxa"/>
            <w:tcBorders>
              <w:top w:val="nil"/>
              <w:left w:val="nil"/>
              <w:bottom w:val="single" w:sz="4" w:space="0" w:color="auto"/>
              <w:right w:val="single" w:sz="4" w:space="0" w:color="auto"/>
            </w:tcBorders>
          </w:tcPr>
          <w:p w14:paraId="5ED9431D" w14:textId="4976B1B3" w:rsidR="009B4402" w:rsidRPr="009B4402" w:rsidRDefault="009B4402" w:rsidP="009B4402">
            <w:pPr>
              <w:ind w:left="1440" w:hanging="1391"/>
              <w:jc w:val="right"/>
              <w:rPr>
                <w:rFonts w:cs="Arial"/>
              </w:rPr>
            </w:pPr>
            <w:r w:rsidRPr="009B4402">
              <w:rPr>
                <w:rFonts w:cs="Arial"/>
              </w:rPr>
              <w:t>0</w:t>
            </w:r>
          </w:p>
        </w:tc>
      </w:tr>
      <w:tr w:rsidR="009B4402" w14:paraId="1EAC5EB3" w14:textId="4FF09B48" w:rsidTr="000117D2">
        <w:trPr>
          <w:trHeight w:val="255"/>
        </w:trPr>
        <w:tc>
          <w:tcPr>
            <w:tcW w:w="5827" w:type="dxa"/>
            <w:tcBorders>
              <w:top w:val="nil"/>
              <w:left w:val="single" w:sz="4" w:space="0" w:color="auto"/>
              <w:bottom w:val="single" w:sz="4" w:space="0" w:color="auto"/>
              <w:right w:val="single" w:sz="4" w:space="0" w:color="auto"/>
            </w:tcBorders>
            <w:noWrap/>
            <w:vAlign w:val="center"/>
          </w:tcPr>
          <w:p w14:paraId="0F05DBDF" w14:textId="77777777" w:rsidR="009B4402" w:rsidRPr="00C5395B" w:rsidRDefault="009B4402" w:rsidP="009B4402">
            <w:pPr>
              <w:pStyle w:val="TableText"/>
              <w:ind w:left="49"/>
              <w:rPr>
                <w:lang w:eastAsia="en-AU"/>
              </w:rPr>
            </w:pPr>
            <w:r>
              <w:rPr>
                <w:rFonts w:ascii="Arial" w:hAnsi="Arial" w:cs="Arial"/>
              </w:rPr>
              <w:t>Mulungu (Family Wellbeing Services) - MG</w:t>
            </w:r>
          </w:p>
        </w:tc>
        <w:tc>
          <w:tcPr>
            <w:tcW w:w="766" w:type="dxa"/>
            <w:tcBorders>
              <w:top w:val="nil"/>
              <w:left w:val="nil"/>
              <w:bottom w:val="single" w:sz="4" w:space="0" w:color="auto"/>
              <w:right w:val="single" w:sz="4" w:space="0" w:color="auto"/>
            </w:tcBorders>
          </w:tcPr>
          <w:p w14:paraId="5984E496" w14:textId="77777777" w:rsidR="009B4402" w:rsidRDefault="009B4402" w:rsidP="009B4402">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5A422EC6" w14:textId="77777777" w:rsidR="009B4402" w:rsidRDefault="009B4402" w:rsidP="009B4402">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38094B6E" w14:textId="77777777" w:rsidR="009B4402" w:rsidRDefault="009B4402" w:rsidP="009B4402">
            <w:pPr>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579F8B35" w14:textId="77777777" w:rsidR="009B4402" w:rsidRPr="00EE6BD7" w:rsidRDefault="009B4402" w:rsidP="009B4402">
            <w:pPr>
              <w:jc w:val="right"/>
              <w:rPr>
                <w:rFonts w:cs="Arial"/>
              </w:rPr>
            </w:pPr>
            <w:r w:rsidRPr="00EE6BD7">
              <w:rPr>
                <w:rFonts w:cs="Arial"/>
              </w:rPr>
              <w:t>1</w:t>
            </w:r>
          </w:p>
        </w:tc>
        <w:tc>
          <w:tcPr>
            <w:tcW w:w="658" w:type="dxa"/>
            <w:tcBorders>
              <w:top w:val="nil"/>
              <w:left w:val="nil"/>
              <w:bottom w:val="single" w:sz="4" w:space="0" w:color="auto"/>
              <w:right w:val="single" w:sz="4" w:space="0" w:color="auto"/>
            </w:tcBorders>
          </w:tcPr>
          <w:p w14:paraId="5C81FAA3" w14:textId="698BFF8F" w:rsidR="009B4402" w:rsidRPr="009B4402" w:rsidRDefault="009B4402" w:rsidP="009B4402">
            <w:pPr>
              <w:jc w:val="right"/>
              <w:rPr>
                <w:rFonts w:cs="Arial"/>
              </w:rPr>
            </w:pPr>
            <w:r w:rsidRPr="009B4402">
              <w:rPr>
                <w:rFonts w:cs="Arial"/>
              </w:rPr>
              <w:t>1</w:t>
            </w:r>
          </w:p>
        </w:tc>
      </w:tr>
      <w:tr w:rsidR="009B4402" w14:paraId="0EC66B3B" w14:textId="0179251F" w:rsidTr="00F55838">
        <w:trPr>
          <w:trHeight w:val="255"/>
        </w:trPr>
        <w:tc>
          <w:tcPr>
            <w:tcW w:w="5827" w:type="dxa"/>
            <w:tcBorders>
              <w:top w:val="nil"/>
              <w:left w:val="single" w:sz="4" w:space="0" w:color="auto"/>
              <w:bottom w:val="single" w:sz="4" w:space="0" w:color="auto"/>
              <w:right w:val="single" w:sz="4" w:space="0" w:color="auto"/>
            </w:tcBorders>
            <w:noWrap/>
            <w:hideMark/>
          </w:tcPr>
          <w:p w14:paraId="55B9C8D3" w14:textId="77777777" w:rsidR="009B4402" w:rsidRPr="00C5395B" w:rsidRDefault="009B4402" w:rsidP="009B4402">
            <w:pPr>
              <w:pStyle w:val="TableText"/>
              <w:ind w:left="49"/>
              <w:rPr>
                <w:b/>
                <w:lang w:eastAsia="en-AU"/>
              </w:rPr>
            </w:pPr>
            <w:r w:rsidRPr="00C5395B">
              <w:rPr>
                <w:b/>
                <w:lang w:eastAsia="en-AU"/>
              </w:rPr>
              <w:t>TOTAL</w:t>
            </w:r>
          </w:p>
        </w:tc>
        <w:tc>
          <w:tcPr>
            <w:tcW w:w="766" w:type="dxa"/>
            <w:tcBorders>
              <w:top w:val="nil"/>
              <w:left w:val="nil"/>
              <w:bottom w:val="single" w:sz="4" w:space="0" w:color="auto"/>
              <w:right w:val="single" w:sz="4" w:space="0" w:color="auto"/>
            </w:tcBorders>
            <w:vAlign w:val="bottom"/>
          </w:tcPr>
          <w:p w14:paraId="462F95D4" w14:textId="77777777" w:rsidR="009B4402" w:rsidRDefault="009B4402" w:rsidP="009B4402">
            <w:pPr>
              <w:jc w:val="right"/>
              <w:rPr>
                <w:rFonts w:ascii="Arial" w:hAnsi="Arial" w:cs="Arial"/>
                <w:b/>
                <w:bCs/>
              </w:rPr>
            </w:pPr>
            <w:r>
              <w:rPr>
                <w:rFonts w:ascii="Arial" w:hAnsi="Arial" w:cs="Arial"/>
                <w:b/>
                <w:bCs/>
              </w:rPr>
              <w:t>17</w:t>
            </w:r>
          </w:p>
        </w:tc>
        <w:tc>
          <w:tcPr>
            <w:tcW w:w="668" w:type="dxa"/>
            <w:tcBorders>
              <w:top w:val="nil"/>
              <w:left w:val="nil"/>
              <w:bottom w:val="single" w:sz="4" w:space="0" w:color="auto"/>
              <w:right w:val="single" w:sz="4" w:space="0" w:color="auto"/>
            </w:tcBorders>
            <w:vAlign w:val="bottom"/>
          </w:tcPr>
          <w:p w14:paraId="2A93CEC4" w14:textId="77777777" w:rsidR="009B4402" w:rsidRDefault="009B4402" w:rsidP="009B4402">
            <w:pPr>
              <w:jc w:val="right"/>
              <w:rPr>
                <w:rFonts w:ascii="Arial" w:hAnsi="Arial" w:cs="Arial"/>
                <w:b/>
                <w:bCs/>
              </w:rPr>
            </w:pPr>
            <w:r>
              <w:rPr>
                <w:rFonts w:ascii="Arial" w:hAnsi="Arial" w:cs="Arial"/>
                <w:b/>
                <w:bCs/>
              </w:rPr>
              <w:t>11</w:t>
            </w:r>
          </w:p>
        </w:tc>
        <w:tc>
          <w:tcPr>
            <w:tcW w:w="767" w:type="dxa"/>
            <w:tcBorders>
              <w:top w:val="nil"/>
              <w:left w:val="nil"/>
              <w:bottom w:val="single" w:sz="4" w:space="0" w:color="auto"/>
              <w:right w:val="single" w:sz="4" w:space="0" w:color="auto"/>
            </w:tcBorders>
            <w:vAlign w:val="bottom"/>
          </w:tcPr>
          <w:p w14:paraId="03700C80" w14:textId="77777777" w:rsidR="009B4402" w:rsidRDefault="009B4402" w:rsidP="009B4402">
            <w:pPr>
              <w:jc w:val="right"/>
              <w:rPr>
                <w:rFonts w:ascii="Arial" w:hAnsi="Arial" w:cs="Arial"/>
                <w:b/>
                <w:bCs/>
              </w:rPr>
            </w:pPr>
            <w:r w:rsidRPr="00D56EB9">
              <w:rPr>
                <w:rFonts w:cs="Arial"/>
                <w:b/>
                <w:bCs/>
              </w:rPr>
              <w:t>28</w:t>
            </w:r>
          </w:p>
        </w:tc>
        <w:tc>
          <w:tcPr>
            <w:tcW w:w="658" w:type="dxa"/>
            <w:tcBorders>
              <w:top w:val="nil"/>
              <w:left w:val="nil"/>
              <w:bottom w:val="single" w:sz="4" w:space="0" w:color="auto"/>
              <w:right w:val="single" w:sz="4" w:space="0" w:color="auto"/>
            </w:tcBorders>
            <w:vAlign w:val="bottom"/>
          </w:tcPr>
          <w:p w14:paraId="7C9C2F10" w14:textId="77777777" w:rsidR="009B4402" w:rsidRPr="00EE6BD7" w:rsidRDefault="009B4402" w:rsidP="009B4402">
            <w:pPr>
              <w:jc w:val="right"/>
              <w:rPr>
                <w:rFonts w:cs="Arial"/>
                <w:b/>
                <w:bCs/>
              </w:rPr>
            </w:pPr>
            <w:r w:rsidRPr="00EE6BD7">
              <w:rPr>
                <w:rFonts w:cs="Arial"/>
                <w:b/>
                <w:bCs/>
              </w:rPr>
              <w:t>18</w:t>
            </w:r>
          </w:p>
        </w:tc>
        <w:tc>
          <w:tcPr>
            <w:tcW w:w="658" w:type="dxa"/>
            <w:tcBorders>
              <w:top w:val="nil"/>
              <w:left w:val="nil"/>
              <w:bottom w:val="single" w:sz="4" w:space="0" w:color="auto"/>
              <w:right w:val="single" w:sz="4" w:space="0" w:color="auto"/>
            </w:tcBorders>
            <w:vAlign w:val="bottom"/>
          </w:tcPr>
          <w:p w14:paraId="1F91CAF0" w14:textId="3AD8017E" w:rsidR="009B4402" w:rsidRPr="009B4402" w:rsidRDefault="009B4402" w:rsidP="009B4402">
            <w:pPr>
              <w:jc w:val="right"/>
              <w:rPr>
                <w:rFonts w:cs="Arial"/>
                <w:b/>
                <w:bCs/>
              </w:rPr>
            </w:pPr>
            <w:r w:rsidRPr="009B4402">
              <w:rPr>
                <w:rFonts w:cs="Arial"/>
                <w:b/>
                <w:bCs/>
              </w:rPr>
              <w:t>17</w:t>
            </w:r>
          </w:p>
        </w:tc>
      </w:tr>
    </w:tbl>
    <w:p w14:paraId="6D0C77FE" w14:textId="77777777" w:rsidR="000117D2" w:rsidRDefault="000117D2" w:rsidP="000117D2">
      <w:pPr>
        <w:pStyle w:val="Heading2"/>
      </w:pPr>
    </w:p>
    <w:p w14:paraId="3DA4D471" w14:textId="77777777" w:rsidR="005A5B78" w:rsidRPr="00076ED0" w:rsidRDefault="005A5B78" w:rsidP="00986092">
      <w:pPr>
        <w:pStyle w:val="Heading2"/>
      </w:pPr>
      <w:r w:rsidRPr="00876C0B">
        <w:t>Conditional Income Management</w:t>
      </w:r>
    </w:p>
    <w:p w14:paraId="75EECC10" w14:textId="00CBF596" w:rsidR="00DD2557" w:rsidRPr="00DD2557" w:rsidRDefault="00DD2557" w:rsidP="00DD2557">
      <w:pPr>
        <w:ind w:left="-142" w:right="-425"/>
        <w:jc w:val="both"/>
        <w:rPr>
          <w:rFonts w:cs="Arial"/>
          <w:lang w:val="en-GB"/>
        </w:rPr>
      </w:pPr>
      <w:r w:rsidRPr="00DD2557">
        <w:rPr>
          <w:rFonts w:cs="Arial"/>
          <w:lang w:val="en-GB"/>
        </w:rPr>
        <w:t xml:space="preserve">Local Commissioners continue to use Conditional Income Management (CIM) as a decision of last resort. The 2019-20 reporting period </w:t>
      </w:r>
      <w:r w:rsidR="00CB58DB">
        <w:rPr>
          <w:rFonts w:cs="Arial"/>
          <w:lang w:val="en-GB"/>
        </w:rPr>
        <w:t>saw</w:t>
      </w:r>
      <w:r w:rsidRPr="00DD2557">
        <w:rPr>
          <w:rFonts w:cs="Arial"/>
          <w:lang w:val="en-GB"/>
        </w:rPr>
        <w:t xml:space="preserve"> a growing number of clients placed on a case plan </w:t>
      </w:r>
      <w:r w:rsidR="00CB58DB">
        <w:rPr>
          <w:rFonts w:cs="Arial"/>
          <w:lang w:val="en-GB"/>
        </w:rPr>
        <w:t>for a</w:t>
      </w:r>
      <w:r w:rsidR="00CB58DB" w:rsidRPr="00DD2557">
        <w:rPr>
          <w:rFonts w:cs="Arial"/>
          <w:lang w:val="en-GB"/>
        </w:rPr>
        <w:t xml:space="preserve"> </w:t>
      </w:r>
      <w:r w:rsidRPr="00DD2557">
        <w:rPr>
          <w:rFonts w:cs="Arial"/>
          <w:lang w:val="en-GB"/>
        </w:rPr>
        <w:t>referr</w:t>
      </w:r>
      <w:r w:rsidR="00CB58DB">
        <w:rPr>
          <w:rFonts w:cs="Arial"/>
          <w:lang w:val="en-GB"/>
        </w:rPr>
        <w:t>al</w:t>
      </w:r>
      <w:r w:rsidRPr="00DD2557">
        <w:rPr>
          <w:rFonts w:cs="Arial"/>
          <w:lang w:val="en-GB"/>
        </w:rPr>
        <w:t xml:space="preserve"> to a support service </w:t>
      </w:r>
      <w:r w:rsidR="00CB58DB">
        <w:rPr>
          <w:rFonts w:cs="Arial"/>
          <w:lang w:val="en-GB"/>
        </w:rPr>
        <w:t>and</w:t>
      </w:r>
      <w:r w:rsidRPr="00DD2557">
        <w:rPr>
          <w:rFonts w:cs="Arial"/>
          <w:lang w:val="en-GB"/>
        </w:rPr>
        <w:t xml:space="preserve"> a CIM.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672C145F" w14:textId="77777777" w:rsidR="00DD2557" w:rsidRDefault="00DD2557" w:rsidP="005A5B78">
      <w:pPr>
        <w:ind w:left="-142" w:right="-425"/>
        <w:jc w:val="both"/>
        <w:rPr>
          <w:rFonts w:cs="Arial"/>
        </w:rPr>
      </w:pPr>
    </w:p>
    <w:p w14:paraId="7776CF22" w14:textId="660DEB88" w:rsidR="005A5B78" w:rsidRDefault="00FE3120" w:rsidP="005A5B78">
      <w:pPr>
        <w:ind w:left="-142" w:right="-425"/>
        <w:jc w:val="both"/>
        <w:rPr>
          <w:rFonts w:cs="Arial"/>
        </w:rPr>
      </w:pPr>
      <w:r>
        <w:rPr>
          <w:rFonts w:cs="Arial"/>
        </w:rPr>
        <w:t xml:space="preserve">A total of </w:t>
      </w:r>
      <w:r w:rsidR="00921986">
        <w:rPr>
          <w:rFonts w:cs="Arial"/>
        </w:rPr>
        <w:t>34</w:t>
      </w:r>
      <w:r w:rsidR="00921986" w:rsidRPr="00306884">
        <w:rPr>
          <w:rFonts w:cs="Arial"/>
        </w:rPr>
        <w:t xml:space="preserve"> </w:t>
      </w:r>
      <w:r w:rsidR="005A5B78" w:rsidRPr="00306884">
        <w:rPr>
          <w:rFonts w:cs="Arial"/>
        </w:rPr>
        <w:t>CIM orders</w:t>
      </w:r>
      <w:r w:rsidR="008875CF">
        <w:rPr>
          <w:rFonts w:cs="Arial"/>
        </w:rPr>
        <w:t xml:space="preserve"> and 1 CIM agreement </w:t>
      </w:r>
      <w:r w:rsidR="001E59F8">
        <w:rPr>
          <w:rFonts w:cs="Arial"/>
        </w:rPr>
        <w:t>relating to</w:t>
      </w:r>
      <w:r w:rsidR="00CD2E78">
        <w:rPr>
          <w:rFonts w:cs="Arial"/>
        </w:rPr>
        <w:t xml:space="preserve"> </w:t>
      </w:r>
      <w:r w:rsidR="008875CF">
        <w:rPr>
          <w:rFonts w:cs="Arial"/>
        </w:rPr>
        <w:t xml:space="preserve">35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960C5D">
        <w:rPr>
          <w:rFonts w:cs="Arial"/>
        </w:rPr>
        <w:t>4</w:t>
      </w:r>
      <w:r w:rsidR="00921986">
        <w:rPr>
          <w:rFonts w:cs="Arial"/>
        </w:rPr>
        <w:t>9</w:t>
      </w:r>
      <w:r w:rsidR="005A5B78" w:rsidRPr="00306884">
        <w:rPr>
          <w:rFonts w:cs="Arial"/>
        </w:rPr>
        <w:t xml:space="preserve">, </w:t>
      </w:r>
      <w:r w:rsidR="00D1657C" w:rsidRPr="00D1657C">
        <w:rPr>
          <w:rFonts w:cs="Arial"/>
        </w:rPr>
        <w:t>a</w:t>
      </w:r>
      <w:r w:rsidR="00D014F4">
        <w:rPr>
          <w:rFonts w:cs="Arial"/>
        </w:rPr>
        <w:t xml:space="preserve"> </w:t>
      </w:r>
      <w:r w:rsidR="00181E6A">
        <w:rPr>
          <w:rFonts w:cs="Arial"/>
        </w:rPr>
        <w:t xml:space="preserve">decrease </w:t>
      </w:r>
      <w:r w:rsidR="005A5B78" w:rsidRPr="00D1657C">
        <w:rPr>
          <w:rFonts w:cs="Arial"/>
        </w:rPr>
        <w:t>of</w:t>
      </w:r>
      <w:r w:rsidR="005A5B78" w:rsidRPr="007C135D">
        <w:rPr>
          <w:rFonts w:cs="Arial"/>
        </w:rPr>
        <w:t xml:space="preserve"> </w:t>
      </w:r>
      <w:r w:rsidR="00D014F4">
        <w:rPr>
          <w:rFonts w:cs="Arial"/>
        </w:rPr>
        <w:t>1</w:t>
      </w:r>
      <w:r w:rsidR="00181E6A">
        <w:rPr>
          <w:rFonts w:cs="Arial"/>
        </w:rPr>
        <w:t>6</w:t>
      </w:r>
      <w:r w:rsidR="00D014F4"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A168EF">
        <w:rPr>
          <w:rFonts w:cs="Arial"/>
        </w:rPr>
        <w:t>4</w:t>
      </w:r>
      <w:r w:rsidR="00181E6A">
        <w:rPr>
          <w:rFonts w:cs="Arial"/>
        </w:rPr>
        <w:t>8</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B516C0">
        <w:rPr>
          <w:rFonts w:cs="Arial"/>
        </w:rPr>
        <w:t>955</w:t>
      </w:r>
      <w:r w:rsidR="00B516C0" w:rsidRPr="007C7A9E">
        <w:rPr>
          <w:rFonts w:cs="Arial"/>
        </w:rPr>
        <w:t xml:space="preserve"> </w:t>
      </w:r>
      <w:r w:rsidR="005A5B78" w:rsidRPr="007C7A9E">
        <w:rPr>
          <w:rFonts w:cs="Arial"/>
        </w:rPr>
        <w:t>clients</w:t>
      </w:r>
      <w:r w:rsidR="00932DF5">
        <w:rPr>
          <w:rFonts w:cs="Arial"/>
        </w:rPr>
        <w:t xml:space="preserve"> (</w:t>
      </w:r>
      <w:r w:rsidR="00B516C0">
        <w:rPr>
          <w:rFonts w:cs="Arial"/>
        </w:rPr>
        <w:t xml:space="preserve">552 </w:t>
      </w:r>
      <w:r w:rsidR="00932DF5">
        <w:rPr>
          <w:rFonts w:cs="Arial"/>
        </w:rPr>
        <w:t xml:space="preserve">female and </w:t>
      </w:r>
      <w:r w:rsidR="00D014F4">
        <w:rPr>
          <w:rFonts w:cs="Arial"/>
        </w:rPr>
        <w:t xml:space="preserve">403 </w:t>
      </w:r>
      <w:r w:rsidR="00932DF5">
        <w:rPr>
          <w:rFonts w:cs="Arial"/>
        </w:rPr>
        <w:t>male)</w:t>
      </w:r>
      <w:r w:rsidR="00127CEE">
        <w:rPr>
          <w:rFonts w:cs="Arial"/>
        </w:rPr>
        <w:t xml:space="preserve">. </w:t>
      </w:r>
      <w:r w:rsidR="00B516C0">
        <w:rPr>
          <w:rFonts w:cs="Arial"/>
        </w:rPr>
        <w:t>Decreases</w:t>
      </w:r>
      <w:r w:rsidR="00B516C0" w:rsidRPr="007C7A9E">
        <w:rPr>
          <w:rFonts w:cs="Arial"/>
        </w:rPr>
        <w:t xml:space="preserve"> </w:t>
      </w:r>
      <w:r w:rsidR="00596D78" w:rsidRPr="007C7A9E">
        <w:rPr>
          <w:rFonts w:cs="Arial"/>
        </w:rPr>
        <w:t xml:space="preserve">were seen in </w:t>
      </w:r>
      <w:r w:rsidR="00D014F4">
        <w:rPr>
          <w:rFonts w:cs="Arial"/>
        </w:rPr>
        <w:t>Aurukun, Coen</w:t>
      </w:r>
      <w:r w:rsidR="00120C33">
        <w:rPr>
          <w:rFonts w:cs="Arial"/>
        </w:rPr>
        <w:t xml:space="preserve"> and</w:t>
      </w:r>
      <w:r w:rsidR="00D014F4">
        <w:rPr>
          <w:rFonts w:cs="Arial"/>
        </w:rPr>
        <w:t xml:space="preserve"> Doomadgee</w:t>
      </w:r>
      <w:r w:rsidR="00D014F4" w:rsidRPr="007C7A9E">
        <w:rPr>
          <w:rFonts w:cs="Arial"/>
        </w:rPr>
        <w:t xml:space="preserve"> </w:t>
      </w:r>
      <w:r w:rsidR="00596D78" w:rsidRPr="007C7A9E">
        <w:rPr>
          <w:rFonts w:cs="Arial"/>
        </w:rPr>
        <w:t xml:space="preserve">of </w:t>
      </w:r>
      <w:r w:rsidR="00B516C0">
        <w:rPr>
          <w:rFonts w:cs="Arial"/>
        </w:rPr>
        <w:t>21</w:t>
      </w:r>
      <w:r w:rsidR="00D014F4">
        <w:rPr>
          <w:rFonts w:cs="Arial"/>
        </w:rPr>
        <w:t xml:space="preserve">, </w:t>
      </w:r>
      <w:r w:rsidR="00B516C0">
        <w:rPr>
          <w:rFonts w:cs="Arial"/>
        </w:rPr>
        <w:t>1</w:t>
      </w:r>
      <w:r w:rsidR="00D014F4">
        <w:rPr>
          <w:rFonts w:cs="Arial"/>
        </w:rPr>
        <w:t xml:space="preserve">, </w:t>
      </w:r>
      <w:r w:rsidR="00596D78" w:rsidRPr="007C7A9E">
        <w:rPr>
          <w:rFonts w:cs="Arial"/>
        </w:rPr>
        <w:t xml:space="preserve">and </w:t>
      </w:r>
      <w:r w:rsidR="00120C33">
        <w:rPr>
          <w:rFonts w:cs="Arial"/>
        </w:rPr>
        <w:t>1</w:t>
      </w:r>
      <w:r w:rsidR="00596D78" w:rsidRPr="007C7A9E">
        <w:rPr>
          <w:rFonts w:cs="Arial"/>
        </w:rPr>
        <w:t xml:space="preserve"> </w:t>
      </w:r>
      <w:r w:rsidR="004A53F2" w:rsidRPr="007C7A9E">
        <w:rPr>
          <w:rFonts w:cs="Arial"/>
        </w:rPr>
        <w:t xml:space="preserve">CIM </w:t>
      </w:r>
      <w:r w:rsidR="00596D78" w:rsidRPr="007C7A9E">
        <w:rPr>
          <w:rFonts w:cs="Arial"/>
        </w:rPr>
        <w:t>respectively</w:t>
      </w:r>
      <w:r w:rsidR="00920FDA" w:rsidRPr="007C7A9E">
        <w:rPr>
          <w:rFonts w:cs="Arial"/>
        </w:rPr>
        <w:t xml:space="preserve">, whilst </w:t>
      </w:r>
      <w:r w:rsidR="00920FDA">
        <w:rPr>
          <w:rFonts w:cs="Arial"/>
        </w:rPr>
        <w:t xml:space="preserve">Hope Vale </w:t>
      </w:r>
      <w:r w:rsidR="00120C33">
        <w:rPr>
          <w:rFonts w:cs="Arial"/>
        </w:rPr>
        <w:t xml:space="preserve">and Mossman Gorge increased </w:t>
      </w:r>
      <w:r w:rsidR="00920FDA">
        <w:rPr>
          <w:rFonts w:cs="Arial"/>
        </w:rPr>
        <w:t>by</w:t>
      </w:r>
      <w:r w:rsidR="008E188E">
        <w:rPr>
          <w:rFonts w:cs="Arial"/>
        </w:rPr>
        <w:t xml:space="preserve"> </w:t>
      </w:r>
      <w:r w:rsidR="00D014F4">
        <w:rPr>
          <w:rFonts w:cs="Arial"/>
        </w:rPr>
        <w:t>6</w:t>
      </w:r>
      <w:r w:rsidR="008E188E">
        <w:rPr>
          <w:rFonts w:cs="Arial"/>
        </w:rPr>
        <w:t xml:space="preserve"> </w:t>
      </w:r>
      <w:r w:rsidR="00120C33">
        <w:rPr>
          <w:rFonts w:cs="Arial"/>
        </w:rPr>
        <w:t xml:space="preserve">and 1 CIM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7EC66DE1" w:rsidR="005A5B78" w:rsidRDefault="005A5B78" w:rsidP="005A5B78">
      <w:pPr>
        <w:ind w:left="-142" w:right="-425"/>
        <w:jc w:val="both"/>
        <w:rPr>
          <w:rFonts w:cs="Arial"/>
        </w:rPr>
      </w:pPr>
      <w:r w:rsidRPr="00C313D5">
        <w:rPr>
          <w:rFonts w:cs="Arial"/>
        </w:rPr>
        <w:t xml:space="preserve">As at </w:t>
      </w:r>
      <w:r w:rsidR="004F7197" w:rsidRPr="00C313D5">
        <w:rPr>
          <w:rFonts w:cs="Arial"/>
        </w:rPr>
        <w:t>3</w:t>
      </w:r>
      <w:r w:rsidR="00D014F4">
        <w:rPr>
          <w:rFonts w:cs="Arial"/>
        </w:rPr>
        <w:t xml:space="preserve">0 </w:t>
      </w:r>
      <w:r w:rsidR="00921986">
        <w:rPr>
          <w:rFonts w:cs="Arial"/>
        </w:rPr>
        <w:t xml:space="preserve">September </w:t>
      </w:r>
      <w:r w:rsidR="00111F45">
        <w:rPr>
          <w:rFonts w:cs="Arial"/>
        </w:rPr>
        <w:t>2020</w:t>
      </w:r>
      <w:r w:rsidRPr="00C313D5">
        <w:rPr>
          <w:rFonts w:cs="Arial"/>
        </w:rPr>
        <w:t xml:space="preserve"> there were </w:t>
      </w:r>
      <w:r w:rsidR="00921986">
        <w:rPr>
          <w:rFonts w:cs="Arial"/>
        </w:rPr>
        <w:t>118</w:t>
      </w:r>
      <w:r w:rsidR="00921986"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revoking </w:t>
      </w:r>
      <w:r w:rsidR="00001E8D">
        <w:rPr>
          <w:rFonts w:cs="Arial"/>
        </w:rPr>
        <w:t xml:space="preserve">a </w:t>
      </w:r>
      <w:r>
        <w:rPr>
          <w:rFonts w:cs="Arial"/>
        </w:rPr>
        <w:t>CIM when requested by the client.</w:t>
      </w:r>
    </w:p>
    <w:p w14:paraId="26FC5E9A" w14:textId="3AB44A1F" w:rsidR="00673C5E" w:rsidRDefault="00673C5E" w:rsidP="005A5B78">
      <w:pPr>
        <w:tabs>
          <w:tab w:val="left" w:pos="0"/>
        </w:tabs>
        <w:ind w:left="426" w:right="-425" w:hanging="568"/>
        <w:jc w:val="both"/>
        <w:rPr>
          <w:rFonts w:cs="Arial"/>
          <w:b/>
          <w:sz w:val="16"/>
          <w:szCs w:val="16"/>
        </w:rPr>
      </w:pPr>
    </w:p>
    <w:p w14:paraId="6E179AEA" w14:textId="48F8E33E" w:rsidR="00E50A85" w:rsidRPr="00B01FE8" w:rsidRDefault="00E50A85" w:rsidP="00E50A85">
      <w:pPr>
        <w:pStyle w:val="TableCaption"/>
        <w:spacing w:before="0"/>
        <w:ind w:left="0" w:right="-425"/>
        <w:rPr>
          <w:b/>
          <w:i w:val="0"/>
          <w:sz w:val="16"/>
        </w:rPr>
      </w:pPr>
      <w:r w:rsidRPr="00B01FE8">
        <w:rPr>
          <w:b/>
          <w:i w:val="0"/>
          <w:sz w:val="16"/>
        </w:rPr>
        <w:t>Table 1</w:t>
      </w:r>
      <w:r>
        <w:rPr>
          <w:b/>
          <w:i w:val="0"/>
          <w:sz w:val="16"/>
        </w:rPr>
        <w:t>3</w:t>
      </w:r>
      <w:r w:rsidRPr="00B01FE8">
        <w:rPr>
          <w:b/>
          <w:i w:val="0"/>
          <w:sz w:val="16"/>
        </w:rPr>
        <w:t xml:space="preserve">: </w:t>
      </w:r>
      <w:r w:rsidRPr="00B01FE8">
        <w:rPr>
          <w:i w:val="0"/>
          <w:sz w:val="16"/>
        </w:rPr>
        <w:t xml:space="preserve">Conditional Income Management orders by community and quarter 1 </w:t>
      </w:r>
      <w:r>
        <w:rPr>
          <w:i w:val="0"/>
          <w:sz w:val="16"/>
        </w:rPr>
        <w:t xml:space="preserve">July 2019 to 30 September </w:t>
      </w:r>
      <w:r w:rsidRPr="00B01FE8">
        <w:rPr>
          <w:i w:val="0"/>
          <w:sz w:val="16"/>
        </w:rPr>
        <w:t>20</w:t>
      </w:r>
      <w:r>
        <w:rPr>
          <w:i w:val="0"/>
          <w:sz w:val="16"/>
        </w:rPr>
        <w:t>20</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E50A85" w:rsidRPr="00C5395B" w14:paraId="1B1B273B" w14:textId="0D8364FA" w:rsidTr="00E50A85">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1A9EE517" w14:textId="77777777" w:rsidR="00E50A85" w:rsidRPr="00C5395B" w:rsidRDefault="00E50A85" w:rsidP="00544691">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AC78818" w14:textId="77777777" w:rsidR="00E50A85" w:rsidRDefault="00E50A85" w:rsidP="00544691">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03BCF40A" w14:textId="77777777" w:rsidR="00E50A85" w:rsidRDefault="00E50A85" w:rsidP="00544691">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02EAC5BB" w14:textId="77777777" w:rsidR="00E50A85" w:rsidRDefault="00E50A85" w:rsidP="00544691">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03B03CDA" w14:textId="77777777" w:rsidR="00E50A85" w:rsidRDefault="00E50A85" w:rsidP="00544691">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04C58784" w14:textId="5223EDD8" w:rsidR="00E50A85" w:rsidRDefault="00E50A85" w:rsidP="00544691">
            <w:pPr>
              <w:pStyle w:val="TableText"/>
              <w:jc w:val="right"/>
              <w:rPr>
                <w:b/>
                <w:lang w:eastAsia="en-AU"/>
              </w:rPr>
            </w:pPr>
            <w:r>
              <w:rPr>
                <w:b/>
                <w:lang w:eastAsia="en-AU"/>
              </w:rPr>
              <w:t>Qtr 49</w:t>
            </w:r>
          </w:p>
        </w:tc>
      </w:tr>
      <w:tr w:rsidR="003F75B5" w:rsidRPr="00C5395B" w14:paraId="580571BD" w14:textId="28EC8B60" w:rsidTr="00E50A85">
        <w:trPr>
          <w:trHeight w:val="255"/>
        </w:trPr>
        <w:tc>
          <w:tcPr>
            <w:tcW w:w="2040" w:type="dxa"/>
            <w:tcBorders>
              <w:top w:val="nil"/>
              <w:left w:val="single" w:sz="4" w:space="0" w:color="auto"/>
              <w:bottom w:val="single" w:sz="4" w:space="0" w:color="auto"/>
              <w:right w:val="single" w:sz="4" w:space="0" w:color="auto"/>
            </w:tcBorders>
            <w:noWrap/>
            <w:hideMark/>
          </w:tcPr>
          <w:p w14:paraId="7BBCB718" w14:textId="77777777" w:rsidR="003F75B5" w:rsidRPr="00C5395B" w:rsidRDefault="003F75B5" w:rsidP="003F75B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BC192EC" w14:textId="77777777" w:rsidR="003F75B5" w:rsidRDefault="003F75B5" w:rsidP="003F75B5">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7C2E6769" w14:textId="77777777" w:rsidR="003F75B5" w:rsidRDefault="003F75B5" w:rsidP="003F75B5">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1B4214C4" w14:textId="77777777" w:rsidR="003F75B5" w:rsidRDefault="003F75B5" w:rsidP="003F75B5">
            <w:pPr>
              <w:jc w:val="right"/>
              <w:rPr>
                <w:rFonts w:cs="Arial"/>
              </w:rPr>
            </w:pPr>
            <w:r w:rsidRPr="00D56EB9">
              <w:rPr>
                <w:rFonts w:cs="Arial"/>
              </w:rPr>
              <w:t>22</w:t>
            </w:r>
          </w:p>
        </w:tc>
        <w:tc>
          <w:tcPr>
            <w:tcW w:w="960" w:type="dxa"/>
            <w:tcBorders>
              <w:top w:val="nil"/>
              <w:left w:val="nil"/>
              <w:bottom w:val="single" w:sz="4" w:space="0" w:color="auto"/>
              <w:right w:val="single" w:sz="4" w:space="0" w:color="auto"/>
            </w:tcBorders>
          </w:tcPr>
          <w:p w14:paraId="51237327" w14:textId="77777777" w:rsidR="003F75B5" w:rsidRPr="00EE6BD7" w:rsidRDefault="003F75B5" w:rsidP="003F75B5">
            <w:pPr>
              <w:jc w:val="right"/>
              <w:rPr>
                <w:rFonts w:cs="Arial"/>
              </w:rPr>
            </w:pPr>
            <w:r w:rsidRPr="00EE6BD7">
              <w:rPr>
                <w:rFonts w:cs="Arial"/>
              </w:rPr>
              <w:t>35</w:t>
            </w:r>
          </w:p>
        </w:tc>
        <w:tc>
          <w:tcPr>
            <w:tcW w:w="960" w:type="dxa"/>
            <w:tcBorders>
              <w:top w:val="nil"/>
              <w:left w:val="nil"/>
              <w:bottom w:val="single" w:sz="4" w:space="0" w:color="auto"/>
              <w:right w:val="single" w:sz="4" w:space="0" w:color="auto"/>
            </w:tcBorders>
          </w:tcPr>
          <w:p w14:paraId="15ABB31A" w14:textId="2C7C83BC" w:rsidR="003F75B5" w:rsidRPr="003F75B5" w:rsidRDefault="003F75B5" w:rsidP="003F75B5">
            <w:pPr>
              <w:jc w:val="right"/>
              <w:rPr>
                <w:rFonts w:cs="Arial"/>
              </w:rPr>
            </w:pPr>
            <w:r w:rsidRPr="003F75B5">
              <w:rPr>
                <w:rFonts w:cs="Arial"/>
              </w:rPr>
              <w:t>14</w:t>
            </w:r>
          </w:p>
        </w:tc>
      </w:tr>
      <w:tr w:rsidR="003F75B5" w:rsidRPr="00C5395B" w14:paraId="24CD12E7" w14:textId="77029C06" w:rsidTr="00E50A85">
        <w:trPr>
          <w:trHeight w:val="255"/>
        </w:trPr>
        <w:tc>
          <w:tcPr>
            <w:tcW w:w="2040" w:type="dxa"/>
            <w:tcBorders>
              <w:top w:val="nil"/>
              <w:left w:val="single" w:sz="4" w:space="0" w:color="auto"/>
              <w:bottom w:val="single" w:sz="4" w:space="0" w:color="auto"/>
              <w:right w:val="single" w:sz="4" w:space="0" w:color="auto"/>
            </w:tcBorders>
            <w:noWrap/>
            <w:hideMark/>
          </w:tcPr>
          <w:p w14:paraId="63E93FF1" w14:textId="77777777" w:rsidR="003F75B5" w:rsidRPr="00C5395B" w:rsidRDefault="003F75B5" w:rsidP="003F75B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98DC4F8" w14:textId="77777777" w:rsidR="003F75B5" w:rsidRDefault="003F75B5" w:rsidP="003F75B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ECA4C89" w14:textId="77777777" w:rsidR="003F75B5" w:rsidRDefault="003F75B5" w:rsidP="003F75B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1E719EF" w14:textId="77777777" w:rsidR="003F75B5" w:rsidRDefault="003F75B5" w:rsidP="003F75B5">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09DAAA89" w14:textId="77777777" w:rsidR="003F75B5" w:rsidRPr="00EE6BD7" w:rsidRDefault="003F75B5" w:rsidP="003F75B5">
            <w:pPr>
              <w:jc w:val="right"/>
              <w:rPr>
                <w:rFonts w:cs="Arial"/>
              </w:rPr>
            </w:pPr>
            <w:r w:rsidRPr="00EE6BD7">
              <w:rPr>
                <w:rFonts w:cs="Arial"/>
              </w:rPr>
              <w:t>4</w:t>
            </w:r>
          </w:p>
        </w:tc>
        <w:tc>
          <w:tcPr>
            <w:tcW w:w="960" w:type="dxa"/>
            <w:tcBorders>
              <w:top w:val="nil"/>
              <w:left w:val="nil"/>
              <w:bottom w:val="single" w:sz="4" w:space="0" w:color="auto"/>
              <w:right w:val="single" w:sz="4" w:space="0" w:color="auto"/>
            </w:tcBorders>
          </w:tcPr>
          <w:p w14:paraId="3A287922" w14:textId="3FD68C34" w:rsidR="003F75B5" w:rsidRPr="003F75B5" w:rsidRDefault="003F75B5" w:rsidP="003F75B5">
            <w:pPr>
              <w:jc w:val="right"/>
              <w:rPr>
                <w:rFonts w:cs="Arial"/>
              </w:rPr>
            </w:pPr>
            <w:r w:rsidRPr="003F75B5">
              <w:rPr>
                <w:rFonts w:cs="Arial"/>
              </w:rPr>
              <w:t>3</w:t>
            </w:r>
          </w:p>
        </w:tc>
      </w:tr>
      <w:tr w:rsidR="003F75B5" w:rsidRPr="00C5395B" w14:paraId="14199B5B" w14:textId="3DBBD702" w:rsidTr="00E50A85">
        <w:trPr>
          <w:trHeight w:val="255"/>
        </w:trPr>
        <w:tc>
          <w:tcPr>
            <w:tcW w:w="2040" w:type="dxa"/>
            <w:tcBorders>
              <w:top w:val="nil"/>
              <w:left w:val="single" w:sz="4" w:space="0" w:color="auto"/>
              <w:bottom w:val="single" w:sz="4" w:space="0" w:color="auto"/>
              <w:right w:val="single" w:sz="4" w:space="0" w:color="auto"/>
            </w:tcBorders>
            <w:noWrap/>
          </w:tcPr>
          <w:p w14:paraId="6A5AE62E" w14:textId="77777777" w:rsidR="003F75B5" w:rsidRPr="00C5395B" w:rsidRDefault="003F75B5" w:rsidP="003F75B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1C1AF06F" w14:textId="77777777" w:rsidR="003F75B5" w:rsidRDefault="003F75B5" w:rsidP="003F75B5">
            <w:pPr>
              <w:jc w:val="right"/>
              <w:rPr>
                <w:rFonts w:cs="Arial"/>
              </w:rPr>
            </w:pPr>
            <w:r>
              <w:rPr>
                <w:rFonts w:cs="Arial"/>
              </w:rPr>
              <w:t>30</w:t>
            </w:r>
          </w:p>
        </w:tc>
        <w:tc>
          <w:tcPr>
            <w:tcW w:w="960" w:type="dxa"/>
            <w:tcBorders>
              <w:top w:val="nil"/>
              <w:left w:val="nil"/>
              <w:bottom w:val="single" w:sz="4" w:space="0" w:color="auto"/>
              <w:right w:val="single" w:sz="4" w:space="0" w:color="auto"/>
            </w:tcBorders>
          </w:tcPr>
          <w:p w14:paraId="508689C5" w14:textId="77777777" w:rsidR="003F75B5" w:rsidRDefault="003F75B5" w:rsidP="003F75B5">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5460344A" w14:textId="77777777" w:rsidR="003F75B5" w:rsidRDefault="003F75B5" w:rsidP="003F75B5">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09C2E00A" w14:textId="77777777" w:rsidR="003F75B5" w:rsidRPr="00EE6BD7" w:rsidRDefault="003F75B5" w:rsidP="003F75B5">
            <w:pPr>
              <w:jc w:val="right"/>
              <w:rPr>
                <w:rFonts w:cs="Arial"/>
              </w:rPr>
            </w:pPr>
            <w:r w:rsidRPr="00EE6BD7">
              <w:rPr>
                <w:rFonts w:cs="Arial"/>
              </w:rPr>
              <w:t>9</w:t>
            </w:r>
          </w:p>
        </w:tc>
        <w:tc>
          <w:tcPr>
            <w:tcW w:w="960" w:type="dxa"/>
            <w:tcBorders>
              <w:top w:val="nil"/>
              <w:left w:val="nil"/>
              <w:bottom w:val="single" w:sz="4" w:space="0" w:color="auto"/>
              <w:right w:val="single" w:sz="4" w:space="0" w:color="auto"/>
            </w:tcBorders>
          </w:tcPr>
          <w:p w14:paraId="6A343068" w14:textId="24CD769E" w:rsidR="003F75B5" w:rsidRPr="003F75B5" w:rsidRDefault="003F75B5" w:rsidP="003F75B5">
            <w:pPr>
              <w:jc w:val="right"/>
              <w:rPr>
                <w:rFonts w:cs="Arial"/>
              </w:rPr>
            </w:pPr>
            <w:r w:rsidRPr="003F75B5">
              <w:rPr>
                <w:rFonts w:cs="Arial"/>
              </w:rPr>
              <w:t>8</w:t>
            </w:r>
          </w:p>
        </w:tc>
      </w:tr>
      <w:tr w:rsidR="003F75B5" w:rsidRPr="00C5395B" w14:paraId="2F2B3052" w14:textId="6F31E6F6" w:rsidTr="00E50A85">
        <w:trPr>
          <w:trHeight w:val="255"/>
        </w:trPr>
        <w:tc>
          <w:tcPr>
            <w:tcW w:w="2040" w:type="dxa"/>
            <w:tcBorders>
              <w:top w:val="nil"/>
              <w:left w:val="single" w:sz="4" w:space="0" w:color="auto"/>
              <w:bottom w:val="single" w:sz="4" w:space="0" w:color="auto"/>
              <w:right w:val="single" w:sz="4" w:space="0" w:color="auto"/>
            </w:tcBorders>
            <w:noWrap/>
            <w:hideMark/>
          </w:tcPr>
          <w:p w14:paraId="35699C9E" w14:textId="77777777" w:rsidR="003F75B5" w:rsidRPr="00C5395B" w:rsidRDefault="003F75B5" w:rsidP="003F75B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30797174" w14:textId="77777777" w:rsidR="003F75B5" w:rsidRDefault="003F75B5" w:rsidP="003F75B5">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3E023726" w14:textId="77777777" w:rsidR="003F75B5" w:rsidRDefault="003F75B5" w:rsidP="003F75B5">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60A75A2" w14:textId="77777777" w:rsidR="003F75B5" w:rsidRDefault="003F75B5" w:rsidP="003F75B5">
            <w:pPr>
              <w:jc w:val="right"/>
              <w:rPr>
                <w:rFonts w:cs="Arial"/>
              </w:rPr>
            </w:pPr>
            <w:r w:rsidRPr="00D56EB9">
              <w:rPr>
                <w:rFonts w:cs="Arial"/>
              </w:rPr>
              <w:t>6</w:t>
            </w:r>
          </w:p>
        </w:tc>
        <w:tc>
          <w:tcPr>
            <w:tcW w:w="960" w:type="dxa"/>
            <w:tcBorders>
              <w:top w:val="nil"/>
              <w:left w:val="nil"/>
              <w:bottom w:val="single" w:sz="4" w:space="0" w:color="auto"/>
              <w:right w:val="single" w:sz="4" w:space="0" w:color="auto"/>
            </w:tcBorders>
          </w:tcPr>
          <w:p w14:paraId="0A4FB6F9" w14:textId="77777777" w:rsidR="003F75B5" w:rsidRPr="00EE6BD7" w:rsidRDefault="003F75B5" w:rsidP="003F75B5">
            <w:pPr>
              <w:jc w:val="right"/>
              <w:rPr>
                <w:rFonts w:cs="Arial"/>
              </w:rPr>
            </w:pPr>
            <w:r w:rsidRPr="00EE6BD7">
              <w:rPr>
                <w:rFonts w:cs="Arial"/>
              </w:rPr>
              <w:t>0</w:t>
            </w:r>
          </w:p>
        </w:tc>
        <w:tc>
          <w:tcPr>
            <w:tcW w:w="960" w:type="dxa"/>
            <w:tcBorders>
              <w:top w:val="nil"/>
              <w:left w:val="nil"/>
              <w:bottom w:val="single" w:sz="4" w:space="0" w:color="auto"/>
              <w:right w:val="single" w:sz="4" w:space="0" w:color="auto"/>
            </w:tcBorders>
          </w:tcPr>
          <w:p w14:paraId="68765BC2" w14:textId="794C4910" w:rsidR="003F75B5" w:rsidRPr="003F75B5" w:rsidRDefault="003F75B5" w:rsidP="003F75B5">
            <w:pPr>
              <w:jc w:val="right"/>
              <w:rPr>
                <w:rFonts w:cs="Arial"/>
              </w:rPr>
            </w:pPr>
            <w:r w:rsidRPr="003F75B5">
              <w:rPr>
                <w:rFonts w:cs="Arial"/>
              </w:rPr>
              <w:t>6</w:t>
            </w:r>
          </w:p>
        </w:tc>
      </w:tr>
      <w:tr w:rsidR="003F75B5" w:rsidRPr="00C5395B" w14:paraId="12346840" w14:textId="1FAB0D00" w:rsidTr="00E50A85">
        <w:trPr>
          <w:trHeight w:val="255"/>
        </w:trPr>
        <w:tc>
          <w:tcPr>
            <w:tcW w:w="2040" w:type="dxa"/>
            <w:tcBorders>
              <w:top w:val="nil"/>
              <w:left w:val="single" w:sz="4" w:space="0" w:color="auto"/>
              <w:bottom w:val="single" w:sz="4" w:space="0" w:color="auto"/>
              <w:right w:val="single" w:sz="4" w:space="0" w:color="auto"/>
            </w:tcBorders>
            <w:noWrap/>
            <w:hideMark/>
          </w:tcPr>
          <w:p w14:paraId="26E986AB" w14:textId="77777777" w:rsidR="003F75B5" w:rsidRPr="00C5395B" w:rsidRDefault="003F75B5" w:rsidP="003F75B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9C0C434" w14:textId="77777777" w:rsidR="003F75B5" w:rsidRDefault="003F75B5" w:rsidP="003F75B5">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1333B2AB" w14:textId="77777777" w:rsidR="003F75B5" w:rsidRDefault="003F75B5" w:rsidP="003F75B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15A114E" w14:textId="77777777" w:rsidR="003F75B5" w:rsidRDefault="003F75B5" w:rsidP="003F75B5">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3756A63E" w14:textId="77777777" w:rsidR="003F75B5" w:rsidRPr="00EE6BD7" w:rsidRDefault="003F75B5" w:rsidP="003F75B5">
            <w:pPr>
              <w:jc w:val="right"/>
              <w:rPr>
                <w:rFonts w:cs="Arial"/>
              </w:rPr>
            </w:pPr>
            <w:r w:rsidRPr="00EE6BD7">
              <w:rPr>
                <w:rFonts w:cs="Arial"/>
              </w:rPr>
              <w:t>3</w:t>
            </w:r>
          </w:p>
        </w:tc>
        <w:tc>
          <w:tcPr>
            <w:tcW w:w="960" w:type="dxa"/>
            <w:tcBorders>
              <w:top w:val="nil"/>
              <w:left w:val="nil"/>
              <w:bottom w:val="single" w:sz="4" w:space="0" w:color="auto"/>
              <w:right w:val="single" w:sz="4" w:space="0" w:color="auto"/>
            </w:tcBorders>
          </w:tcPr>
          <w:p w14:paraId="001E8595" w14:textId="7E9BD774" w:rsidR="003F75B5" w:rsidRPr="003F75B5" w:rsidRDefault="003F75B5" w:rsidP="003F75B5">
            <w:pPr>
              <w:jc w:val="right"/>
              <w:rPr>
                <w:rFonts w:cs="Arial"/>
              </w:rPr>
            </w:pPr>
            <w:r w:rsidRPr="003F75B5">
              <w:rPr>
                <w:rFonts w:cs="Arial"/>
              </w:rPr>
              <w:t>4</w:t>
            </w:r>
          </w:p>
        </w:tc>
      </w:tr>
      <w:tr w:rsidR="003F75B5" w:rsidRPr="00C5395B" w14:paraId="1305C028" w14:textId="2DF74AAB" w:rsidTr="00E50A85">
        <w:trPr>
          <w:trHeight w:val="255"/>
        </w:trPr>
        <w:tc>
          <w:tcPr>
            <w:tcW w:w="2040" w:type="dxa"/>
            <w:tcBorders>
              <w:top w:val="nil"/>
              <w:left w:val="single" w:sz="4" w:space="0" w:color="auto"/>
              <w:bottom w:val="single" w:sz="4" w:space="0" w:color="auto"/>
              <w:right w:val="single" w:sz="4" w:space="0" w:color="auto"/>
            </w:tcBorders>
            <w:noWrap/>
            <w:hideMark/>
          </w:tcPr>
          <w:p w14:paraId="7F901CEA" w14:textId="77777777" w:rsidR="003F75B5" w:rsidRPr="00C5395B" w:rsidRDefault="003F75B5" w:rsidP="003F75B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BF4D432" w14:textId="77777777" w:rsidR="003F75B5" w:rsidRDefault="003F75B5" w:rsidP="003F75B5">
            <w:pPr>
              <w:jc w:val="right"/>
              <w:rPr>
                <w:rFonts w:cs="Arial"/>
                <w:b/>
                <w:bCs/>
              </w:rPr>
            </w:pPr>
            <w:r>
              <w:rPr>
                <w:rFonts w:cs="Arial"/>
                <w:b/>
                <w:bCs/>
              </w:rPr>
              <w:t>83</w:t>
            </w:r>
          </w:p>
        </w:tc>
        <w:tc>
          <w:tcPr>
            <w:tcW w:w="960" w:type="dxa"/>
            <w:tcBorders>
              <w:top w:val="nil"/>
              <w:left w:val="nil"/>
              <w:bottom w:val="single" w:sz="4" w:space="0" w:color="auto"/>
              <w:right w:val="single" w:sz="4" w:space="0" w:color="auto"/>
            </w:tcBorders>
          </w:tcPr>
          <w:p w14:paraId="4A7D448D" w14:textId="77777777" w:rsidR="003F75B5" w:rsidRDefault="003F75B5" w:rsidP="003F75B5">
            <w:pPr>
              <w:jc w:val="right"/>
              <w:rPr>
                <w:rFonts w:cs="Arial"/>
                <w:b/>
                <w:bCs/>
              </w:rPr>
            </w:pPr>
            <w:r>
              <w:rPr>
                <w:rFonts w:cs="Arial"/>
                <w:b/>
                <w:bCs/>
              </w:rPr>
              <w:t>53</w:t>
            </w:r>
          </w:p>
        </w:tc>
        <w:tc>
          <w:tcPr>
            <w:tcW w:w="960" w:type="dxa"/>
            <w:tcBorders>
              <w:top w:val="nil"/>
              <w:left w:val="nil"/>
              <w:bottom w:val="single" w:sz="4" w:space="0" w:color="auto"/>
              <w:right w:val="single" w:sz="4" w:space="0" w:color="auto"/>
            </w:tcBorders>
          </w:tcPr>
          <w:p w14:paraId="42BBAC84" w14:textId="77777777" w:rsidR="003F75B5" w:rsidRDefault="003F75B5" w:rsidP="003F75B5">
            <w:pPr>
              <w:jc w:val="right"/>
              <w:rPr>
                <w:rFonts w:cs="Arial"/>
                <w:b/>
                <w:bCs/>
              </w:rPr>
            </w:pPr>
            <w:r w:rsidRPr="00D56EB9">
              <w:rPr>
                <w:rFonts w:cs="Arial"/>
                <w:b/>
                <w:bCs/>
              </w:rPr>
              <w:t>32</w:t>
            </w:r>
          </w:p>
        </w:tc>
        <w:tc>
          <w:tcPr>
            <w:tcW w:w="960" w:type="dxa"/>
            <w:tcBorders>
              <w:top w:val="nil"/>
              <w:left w:val="nil"/>
              <w:bottom w:val="single" w:sz="4" w:space="0" w:color="auto"/>
              <w:right w:val="single" w:sz="4" w:space="0" w:color="auto"/>
            </w:tcBorders>
          </w:tcPr>
          <w:p w14:paraId="34D60EE2" w14:textId="77777777" w:rsidR="003F75B5" w:rsidRPr="00EE6BD7" w:rsidRDefault="003F75B5" w:rsidP="003F75B5">
            <w:pPr>
              <w:jc w:val="right"/>
              <w:rPr>
                <w:rFonts w:cs="Arial"/>
                <w:b/>
                <w:bCs/>
              </w:rPr>
            </w:pPr>
            <w:r w:rsidRPr="00EE6BD7">
              <w:rPr>
                <w:rFonts w:cs="Arial"/>
                <w:b/>
                <w:bCs/>
              </w:rPr>
              <w:t>51</w:t>
            </w:r>
          </w:p>
        </w:tc>
        <w:tc>
          <w:tcPr>
            <w:tcW w:w="960" w:type="dxa"/>
            <w:tcBorders>
              <w:top w:val="nil"/>
              <w:left w:val="nil"/>
              <w:bottom w:val="single" w:sz="4" w:space="0" w:color="auto"/>
              <w:right w:val="single" w:sz="4" w:space="0" w:color="auto"/>
            </w:tcBorders>
          </w:tcPr>
          <w:p w14:paraId="02F85C0A" w14:textId="3BA58C08" w:rsidR="003F75B5" w:rsidRPr="003F75B5" w:rsidRDefault="003F75B5" w:rsidP="003F75B5">
            <w:pPr>
              <w:jc w:val="right"/>
              <w:rPr>
                <w:rFonts w:cs="Arial"/>
                <w:b/>
                <w:bCs/>
              </w:rPr>
            </w:pPr>
            <w:r w:rsidRPr="003F75B5">
              <w:rPr>
                <w:rFonts w:cs="Arial"/>
                <w:b/>
                <w:bCs/>
              </w:rPr>
              <w:t>35</w:t>
            </w:r>
          </w:p>
        </w:tc>
      </w:tr>
    </w:tbl>
    <w:p w14:paraId="5EA98004" w14:textId="77777777" w:rsidR="00E50A85" w:rsidRDefault="00E50A85" w:rsidP="00E50A85">
      <w:pPr>
        <w:pStyle w:val="Heading2"/>
      </w:pPr>
    </w:p>
    <w:p w14:paraId="5A52B0D0" w14:textId="77777777" w:rsidR="00544691" w:rsidRDefault="00544691">
      <w:pPr>
        <w:spacing w:line="240" w:lineRule="auto"/>
        <w:rPr>
          <w:rFonts w:cs="Arial"/>
          <w:b/>
          <w:spacing w:val="-4"/>
          <w:kern w:val="28"/>
        </w:rPr>
      </w:pPr>
      <w:r>
        <w:br w:type="page"/>
      </w:r>
    </w:p>
    <w:p w14:paraId="0F4C8C26" w14:textId="099954B1" w:rsidR="00D802EF" w:rsidRPr="00076ED0" w:rsidRDefault="00D802EF" w:rsidP="00986092">
      <w:pPr>
        <w:pStyle w:val="Heading2"/>
      </w:pPr>
      <w:r w:rsidRPr="0021097A">
        <w:lastRenderedPageBreak/>
        <w:t>Conditional Income Management for Domestic Violence related matters</w:t>
      </w:r>
    </w:p>
    <w:p w14:paraId="06A9378B" w14:textId="00EBD823" w:rsidR="00D802EF" w:rsidRDefault="00A40532" w:rsidP="00D802EF">
      <w:pPr>
        <w:ind w:left="-142" w:right="-425"/>
        <w:jc w:val="both"/>
        <w:rPr>
          <w:rFonts w:cs="Arial"/>
        </w:rPr>
      </w:pPr>
      <w:r w:rsidRPr="00280B6D">
        <w:rPr>
          <w:rFonts w:cs="Arial"/>
        </w:rPr>
        <w:t xml:space="preserve">As a subset of the total number of CIMs in the quarter, </w:t>
      </w:r>
      <w:r w:rsidR="00805006">
        <w:rPr>
          <w:rFonts w:cs="Arial"/>
        </w:rPr>
        <w:t>2</w:t>
      </w:r>
      <w:r w:rsidR="00553F31" w:rsidRPr="00280B6D">
        <w:rPr>
          <w:rFonts w:cs="Arial"/>
        </w:rPr>
        <w:t xml:space="preserve"> </w:t>
      </w:r>
      <w:r w:rsidRPr="00280B6D">
        <w:rPr>
          <w:rFonts w:cs="Arial"/>
        </w:rPr>
        <w:t>CIM</w:t>
      </w:r>
      <w:r w:rsidR="00270FD2">
        <w:rPr>
          <w:rFonts w:cs="Arial"/>
        </w:rPr>
        <w:t>s</w:t>
      </w:r>
      <w:r w:rsidR="005F5F3D">
        <w:rPr>
          <w:rFonts w:cs="Arial"/>
        </w:rPr>
        <w:t xml:space="preserve"> </w:t>
      </w:r>
      <w:r w:rsidR="00D802EF" w:rsidRPr="00280B6D">
        <w:rPr>
          <w:rFonts w:cs="Arial"/>
        </w:rPr>
        <w:t>inclusive of</w:t>
      </w:r>
      <w:r w:rsidR="00DB1DBC">
        <w:rPr>
          <w:rFonts w:cs="Arial"/>
        </w:rPr>
        <w:t xml:space="preserve"> </w:t>
      </w:r>
      <w:r w:rsidR="00D802EF" w:rsidRPr="00280B6D">
        <w:rPr>
          <w:rFonts w:cs="Arial"/>
        </w:rPr>
        <w:t xml:space="preserve">alterations were made in relation to domestic violence conferences in </w:t>
      </w:r>
      <w:r w:rsidR="00856C85">
        <w:rPr>
          <w:rFonts w:cs="Arial"/>
        </w:rPr>
        <w:t xml:space="preserve">quarter </w:t>
      </w:r>
      <w:r w:rsidR="00960C5D">
        <w:rPr>
          <w:rFonts w:cs="Arial"/>
        </w:rPr>
        <w:t>4</w:t>
      </w:r>
      <w:r w:rsidR="00805006">
        <w:rPr>
          <w:rFonts w:cs="Arial"/>
        </w:rPr>
        <w:t>9</w:t>
      </w:r>
      <w:r w:rsidR="00D802EF" w:rsidRPr="00280B6D">
        <w:rPr>
          <w:rFonts w:cs="Arial"/>
        </w:rPr>
        <w:t>, representing a</w:t>
      </w:r>
      <w:r w:rsidR="00F40075">
        <w:rPr>
          <w:rFonts w:cs="Arial"/>
        </w:rPr>
        <w:t xml:space="preserve"> decrease </w:t>
      </w:r>
      <w:r w:rsidR="005416CE">
        <w:rPr>
          <w:rFonts w:cs="Arial"/>
        </w:rPr>
        <w:t>of</w:t>
      </w:r>
      <w:r w:rsidR="00D802EF" w:rsidRPr="00280B6D">
        <w:rPr>
          <w:rFonts w:cs="Arial"/>
        </w:rPr>
        <w:t xml:space="preserve"> </w:t>
      </w:r>
      <w:r w:rsidR="00805006">
        <w:rPr>
          <w:rFonts w:cs="Arial"/>
        </w:rPr>
        <w:t>2</w:t>
      </w:r>
      <w:r w:rsidR="00D802EF" w:rsidRPr="00280B6D">
        <w:rPr>
          <w:rFonts w:cs="Arial"/>
        </w:rPr>
        <w:t xml:space="preserve"> from the previous quarter.</w:t>
      </w:r>
    </w:p>
    <w:p w14:paraId="24C489A4" w14:textId="77777777" w:rsidR="00433562" w:rsidRDefault="00433562" w:rsidP="00433562">
      <w:pPr>
        <w:pStyle w:val="Heading2"/>
      </w:pPr>
    </w:p>
    <w:p w14:paraId="306BEC5E" w14:textId="3234320B" w:rsidR="00743146" w:rsidRPr="00B01FE8" w:rsidRDefault="00743146" w:rsidP="00743146">
      <w:pPr>
        <w:pStyle w:val="TableCaption"/>
        <w:spacing w:before="0"/>
        <w:ind w:left="907" w:right="-425" w:hanging="907"/>
        <w:rPr>
          <w:b/>
          <w:i w:val="0"/>
          <w:sz w:val="16"/>
        </w:rPr>
      </w:pPr>
      <w:r w:rsidRPr="00B01FE8">
        <w:rPr>
          <w:b/>
          <w:i w:val="0"/>
          <w:sz w:val="16"/>
        </w:rPr>
        <w:t>Table 1</w:t>
      </w:r>
      <w:r>
        <w:rPr>
          <w:b/>
          <w:i w:val="0"/>
          <w:sz w:val="16"/>
        </w:rPr>
        <w:t>4</w:t>
      </w:r>
      <w:r w:rsidRPr="00B01FE8">
        <w:rPr>
          <w:b/>
          <w:i w:val="0"/>
          <w:sz w:val="16"/>
        </w:rPr>
        <w:t xml:space="preserve">: </w:t>
      </w:r>
      <w:r w:rsidRPr="00B01FE8">
        <w:rPr>
          <w:i w:val="0"/>
          <w:sz w:val="16"/>
        </w:rPr>
        <w:t xml:space="preserve">Conditional Income Management </w:t>
      </w:r>
      <w:r w:rsidRPr="00F82AA7">
        <w:rPr>
          <w:i w:val="0"/>
          <w:sz w:val="16"/>
        </w:rPr>
        <w:t xml:space="preserve">orders </w:t>
      </w:r>
      <w:r>
        <w:rPr>
          <w:i w:val="0"/>
          <w:sz w:val="16"/>
        </w:rPr>
        <w:t xml:space="preserve">in </w:t>
      </w:r>
      <w:r w:rsidRPr="00F82AA7">
        <w:rPr>
          <w:i w:val="0"/>
          <w:sz w:val="16"/>
          <w:szCs w:val="16"/>
        </w:rPr>
        <w:t xml:space="preserve">relation to domestic violence notices (breaches and orders) </w:t>
      </w:r>
      <w:r w:rsidRPr="00F82AA7">
        <w:rPr>
          <w:i w:val="0"/>
          <w:sz w:val="16"/>
        </w:rPr>
        <w:t xml:space="preserve">by community and quarter 1 </w:t>
      </w:r>
      <w:r>
        <w:rPr>
          <w:i w:val="0"/>
          <w:sz w:val="16"/>
        </w:rPr>
        <w:t xml:space="preserve">July 2019 to 30 September </w:t>
      </w:r>
      <w:r w:rsidRPr="00F82AA7">
        <w:rPr>
          <w:i w:val="0"/>
          <w:sz w:val="16"/>
        </w:rPr>
        <w:t>20</w:t>
      </w:r>
      <w:r>
        <w:rPr>
          <w:i w:val="0"/>
          <w:sz w:val="16"/>
        </w:rPr>
        <w:t>20</w:t>
      </w:r>
      <w:r w:rsidRPr="00F82AA7">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743146" w:rsidRPr="00C5395B" w14:paraId="672402BE" w14:textId="493910F9" w:rsidTr="00743146">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7579BE1" w14:textId="77777777" w:rsidR="00743146" w:rsidRPr="00C5395B" w:rsidRDefault="00743146" w:rsidP="00544691">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9447107" w14:textId="77777777" w:rsidR="00743146" w:rsidRDefault="00743146" w:rsidP="00544691">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41B0E3F2" w14:textId="77777777" w:rsidR="00743146" w:rsidRDefault="00743146" w:rsidP="00544691">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3A25A2EA" w14:textId="77777777" w:rsidR="00743146" w:rsidRDefault="00743146" w:rsidP="00544691">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50E7C958" w14:textId="77777777" w:rsidR="00743146" w:rsidRDefault="00743146" w:rsidP="00544691">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2D4D0E4E" w14:textId="72B73479" w:rsidR="00743146" w:rsidRDefault="00743146" w:rsidP="00544691">
            <w:pPr>
              <w:pStyle w:val="TableText"/>
              <w:jc w:val="right"/>
              <w:rPr>
                <w:b/>
                <w:lang w:eastAsia="en-AU"/>
              </w:rPr>
            </w:pPr>
            <w:r>
              <w:rPr>
                <w:b/>
                <w:lang w:eastAsia="en-AU"/>
              </w:rPr>
              <w:t>Qtr 49</w:t>
            </w:r>
          </w:p>
        </w:tc>
      </w:tr>
      <w:tr w:rsidR="00DE1099" w:rsidRPr="00C5395B" w14:paraId="4A1B84C4" w14:textId="002A84C1" w:rsidTr="00743146">
        <w:trPr>
          <w:trHeight w:val="255"/>
        </w:trPr>
        <w:tc>
          <w:tcPr>
            <w:tcW w:w="2040" w:type="dxa"/>
            <w:tcBorders>
              <w:top w:val="nil"/>
              <w:left w:val="single" w:sz="4" w:space="0" w:color="auto"/>
              <w:bottom w:val="single" w:sz="4" w:space="0" w:color="auto"/>
              <w:right w:val="single" w:sz="4" w:space="0" w:color="auto"/>
            </w:tcBorders>
            <w:noWrap/>
            <w:hideMark/>
          </w:tcPr>
          <w:p w14:paraId="6B8A21B1" w14:textId="77777777" w:rsidR="00DE1099" w:rsidRPr="00C5395B" w:rsidRDefault="00DE1099" w:rsidP="00DE109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B11CCFF" w14:textId="77777777" w:rsidR="00DE1099" w:rsidRDefault="00DE1099" w:rsidP="00DE109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4F23C49" w14:textId="77777777" w:rsidR="00DE1099" w:rsidRDefault="00DE1099" w:rsidP="00DE109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BFF9AB4" w14:textId="77777777" w:rsidR="00DE1099" w:rsidRDefault="00DE1099" w:rsidP="00DE1099">
            <w:pPr>
              <w:jc w:val="right"/>
              <w:rPr>
                <w:rFonts w:cs="Arial"/>
              </w:rPr>
            </w:pPr>
            <w:r w:rsidRPr="00D56EB9">
              <w:rPr>
                <w:rFonts w:cs="Arial"/>
              </w:rPr>
              <w:t>5</w:t>
            </w:r>
          </w:p>
        </w:tc>
        <w:tc>
          <w:tcPr>
            <w:tcW w:w="960" w:type="dxa"/>
            <w:tcBorders>
              <w:top w:val="nil"/>
              <w:left w:val="nil"/>
              <w:bottom w:val="single" w:sz="4" w:space="0" w:color="auto"/>
              <w:right w:val="single" w:sz="4" w:space="0" w:color="auto"/>
            </w:tcBorders>
          </w:tcPr>
          <w:p w14:paraId="47DED198" w14:textId="77777777" w:rsidR="00DE1099" w:rsidRPr="00B70C1C" w:rsidRDefault="00DE1099" w:rsidP="00DE1099">
            <w:pPr>
              <w:jc w:val="right"/>
              <w:rPr>
                <w:rFonts w:cs="Arial"/>
              </w:rPr>
            </w:pPr>
            <w:r w:rsidRPr="00B70C1C">
              <w:rPr>
                <w:rFonts w:cs="Arial"/>
              </w:rPr>
              <w:t>1</w:t>
            </w:r>
          </w:p>
        </w:tc>
        <w:tc>
          <w:tcPr>
            <w:tcW w:w="960" w:type="dxa"/>
            <w:tcBorders>
              <w:top w:val="nil"/>
              <w:left w:val="nil"/>
              <w:bottom w:val="single" w:sz="4" w:space="0" w:color="auto"/>
              <w:right w:val="single" w:sz="4" w:space="0" w:color="auto"/>
            </w:tcBorders>
          </w:tcPr>
          <w:p w14:paraId="7A339F59" w14:textId="7E973D2B" w:rsidR="00DE1099" w:rsidRPr="00DE1099" w:rsidRDefault="00DE1099" w:rsidP="00DE1099">
            <w:pPr>
              <w:jc w:val="right"/>
              <w:rPr>
                <w:rFonts w:cs="Arial"/>
              </w:rPr>
            </w:pPr>
            <w:r w:rsidRPr="00DE1099">
              <w:rPr>
                <w:rFonts w:cs="Arial"/>
              </w:rPr>
              <w:t>1</w:t>
            </w:r>
          </w:p>
        </w:tc>
      </w:tr>
      <w:tr w:rsidR="00DE1099" w:rsidRPr="00C5395B" w14:paraId="03AAEF53" w14:textId="2975253A" w:rsidTr="00743146">
        <w:trPr>
          <w:trHeight w:val="255"/>
        </w:trPr>
        <w:tc>
          <w:tcPr>
            <w:tcW w:w="2040" w:type="dxa"/>
            <w:tcBorders>
              <w:top w:val="nil"/>
              <w:left w:val="single" w:sz="4" w:space="0" w:color="auto"/>
              <w:bottom w:val="single" w:sz="4" w:space="0" w:color="auto"/>
              <w:right w:val="single" w:sz="4" w:space="0" w:color="auto"/>
            </w:tcBorders>
            <w:noWrap/>
            <w:hideMark/>
          </w:tcPr>
          <w:p w14:paraId="1CC13729" w14:textId="77777777" w:rsidR="00DE1099" w:rsidRPr="00C5395B" w:rsidRDefault="00DE1099" w:rsidP="00DE109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118E0C1" w14:textId="77777777" w:rsidR="00DE1099" w:rsidRDefault="00DE1099" w:rsidP="00DE109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2730031" w14:textId="77777777" w:rsidR="00DE1099" w:rsidRDefault="00DE1099" w:rsidP="00DE109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0DB1480" w14:textId="77777777" w:rsidR="00DE1099" w:rsidRDefault="00DE1099" w:rsidP="00DE1099">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6FAE100E" w14:textId="77777777" w:rsidR="00DE1099" w:rsidRPr="00B70C1C" w:rsidRDefault="00DE1099" w:rsidP="00DE1099">
            <w:pPr>
              <w:jc w:val="right"/>
              <w:rPr>
                <w:rFonts w:cs="Arial"/>
              </w:rPr>
            </w:pPr>
            <w:r w:rsidRPr="00B70C1C">
              <w:rPr>
                <w:rFonts w:cs="Arial"/>
              </w:rPr>
              <w:t>2</w:t>
            </w:r>
          </w:p>
        </w:tc>
        <w:tc>
          <w:tcPr>
            <w:tcW w:w="960" w:type="dxa"/>
            <w:tcBorders>
              <w:top w:val="nil"/>
              <w:left w:val="nil"/>
              <w:bottom w:val="single" w:sz="4" w:space="0" w:color="auto"/>
              <w:right w:val="single" w:sz="4" w:space="0" w:color="auto"/>
            </w:tcBorders>
          </w:tcPr>
          <w:p w14:paraId="0E21E8BB" w14:textId="0B1286D2" w:rsidR="00DE1099" w:rsidRPr="00DE1099" w:rsidRDefault="00DE1099" w:rsidP="00DE1099">
            <w:pPr>
              <w:jc w:val="right"/>
              <w:rPr>
                <w:rFonts w:cs="Arial"/>
              </w:rPr>
            </w:pPr>
            <w:r w:rsidRPr="00DE1099">
              <w:rPr>
                <w:rFonts w:cs="Arial"/>
              </w:rPr>
              <w:t>0</w:t>
            </w:r>
          </w:p>
        </w:tc>
      </w:tr>
      <w:tr w:rsidR="00DE1099" w:rsidRPr="00C5395B" w14:paraId="0669DE86" w14:textId="45EA0C6C" w:rsidTr="00743146">
        <w:trPr>
          <w:trHeight w:val="255"/>
        </w:trPr>
        <w:tc>
          <w:tcPr>
            <w:tcW w:w="2040" w:type="dxa"/>
            <w:tcBorders>
              <w:top w:val="nil"/>
              <w:left w:val="single" w:sz="4" w:space="0" w:color="auto"/>
              <w:bottom w:val="single" w:sz="4" w:space="0" w:color="auto"/>
              <w:right w:val="single" w:sz="4" w:space="0" w:color="auto"/>
            </w:tcBorders>
            <w:noWrap/>
            <w:hideMark/>
          </w:tcPr>
          <w:p w14:paraId="4FABFEB8" w14:textId="77777777" w:rsidR="00DE1099" w:rsidRPr="00C5395B" w:rsidRDefault="00DE1099" w:rsidP="00DE109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5C1BA7B" w14:textId="77777777" w:rsidR="00DE1099" w:rsidRDefault="00DE1099" w:rsidP="00DE1099">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741BAAA4" w14:textId="77777777" w:rsidR="00DE1099" w:rsidRDefault="00DE1099" w:rsidP="00DE109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46E4AFD" w14:textId="77777777" w:rsidR="00DE1099" w:rsidRDefault="00DE1099" w:rsidP="00DE1099">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763FBE06" w14:textId="77777777" w:rsidR="00DE1099" w:rsidRPr="00B70C1C" w:rsidRDefault="00DE1099" w:rsidP="00DE1099">
            <w:pPr>
              <w:jc w:val="right"/>
              <w:rPr>
                <w:rFonts w:cs="Arial"/>
              </w:rPr>
            </w:pPr>
            <w:r w:rsidRPr="00B70C1C">
              <w:rPr>
                <w:rFonts w:cs="Arial"/>
              </w:rPr>
              <w:t>0</w:t>
            </w:r>
          </w:p>
        </w:tc>
        <w:tc>
          <w:tcPr>
            <w:tcW w:w="960" w:type="dxa"/>
            <w:tcBorders>
              <w:top w:val="nil"/>
              <w:left w:val="nil"/>
              <w:bottom w:val="single" w:sz="4" w:space="0" w:color="auto"/>
              <w:right w:val="single" w:sz="4" w:space="0" w:color="auto"/>
            </w:tcBorders>
          </w:tcPr>
          <w:p w14:paraId="3EEB77CE" w14:textId="60CAE4DA" w:rsidR="00DE1099" w:rsidRPr="00DE1099" w:rsidRDefault="00DE1099" w:rsidP="00DE1099">
            <w:pPr>
              <w:jc w:val="right"/>
              <w:rPr>
                <w:rFonts w:cs="Arial"/>
              </w:rPr>
            </w:pPr>
            <w:r w:rsidRPr="00DE1099">
              <w:rPr>
                <w:rFonts w:cs="Arial"/>
              </w:rPr>
              <w:t>0</w:t>
            </w:r>
          </w:p>
        </w:tc>
      </w:tr>
      <w:tr w:rsidR="00DE1099" w:rsidRPr="00C5395B" w14:paraId="2B6858FB" w14:textId="6A5FFB3E" w:rsidTr="00743146">
        <w:trPr>
          <w:trHeight w:val="255"/>
        </w:trPr>
        <w:tc>
          <w:tcPr>
            <w:tcW w:w="2040" w:type="dxa"/>
            <w:tcBorders>
              <w:top w:val="nil"/>
              <w:left w:val="single" w:sz="4" w:space="0" w:color="auto"/>
              <w:bottom w:val="single" w:sz="4" w:space="0" w:color="auto"/>
              <w:right w:val="single" w:sz="4" w:space="0" w:color="auto"/>
            </w:tcBorders>
            <w:noWrap/>
            <w:hideMark/>
          </w:tcPr>
          <w:p w14:paraId="268A755A" w14:textId="77777777" w:rsidR="00DE1099" w:rsidRPr="00C5395B" w:rsidRDefault="00DE1099" w:rsidP="00DE109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E1847C9" w14:textId="77777777" w:rsidR="00DE1099" w:rsidRDefault="00DE1099" w:rsidP="00DE109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486B5D9" w14:textId="77777777" w:rsidR="00DE1099" w:rsidRDefault="00DE1099" w:rsidP="00DE109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EFB18C7" w14:textId="77777777" w:rsidR="00DE1099" w:rsidRDefault="00DE1099" w:rsidP="00DE1099">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61F2670D" w14:textId="77777777" w:rsidR="00DE1099" w:rsidRPr="00B70C1C" w:rsidRDefault="00DE1099" w:rsidP="00DE1099">
            <w:pPr>
              <w:jc w:val="right"/>
              <w:rPr>
                <w:rFonts w:cs="Arial"/>
              </w:rPr>
            </w:pPr>
            <w:r w:rsidRPr="00B70C1C">
              <w:rPr>
                <w:rFonts w:cs="Arial"/>
              </w:rPr>
              <w:t>1</w:t>
            </w:r>
          </w:p>
        </w:tc>
        <w:tc>
          <w:tcPr>
            <w:tcW w:w="960" w:type="dxa"/>
            <w:tcBorders>
              <w:top w:val="nil"/>
              <w:left w:val="nil"/>
              <w:bottom w:val="single" w:sz="4" w:space="0" w:color="auto"/>
              <w:right w:val="single" w:sz="4" w:space="0" w:color="auto"/>
            </w:tcBorders>
          </w:tcPr>
          <w:p w14:paraId="7F365874" w14:textId="62BA72BC" w:rsidR="00DE1099" w:rsidRPr="00DE1099" w:rsidRDefault="00DE1099" w:rsidP="00DE1099">
            <w:pPr>
              <w:jc w:val="right"/>
              <w:rPr>
                <w:rFonts w:cs="Arial"/>
              </w:rPr>
            </w:pPr>
            <w:r w:rsidRPr="00DE1099">
              <w:rPr>
                <w:rFonts w:cs="Arial"/>
              </w:rPr>
              <w:t>1</w:t>
            </w:r>
          </w:p>
        </w:tc>
      </w:tr>
      <w:tr w:rsidR="00DE1099" w:rsidRPr="00C5395B" w14:paraId="2FF16FEC" w14:textId="62EC5FA9" w:rsidTr="00743146">
        <w:trPr>
          <w:trHeight w:val="255"/>
        </w:trPr>
        <w:tc>
          <w:tcPr>
            <w:tcW w:w="2040" w:type="dxa"/>
            <w:tcBorders>
              <w:top w:val="nil"/>
              <w:left w:val="single" w:sz="4" w:space="0" w:color="auto"/>
              <w:bottom w:val="single" w:sz="4" w:space="0" w:color="auto"/>
              <w:right w:val="single" w:sz="4" w:space="0" w:color="auto"/>
            </w:tcBorders>
            <w:noWrap/>
            <w:hideMark/>
          </w:tcPr>
          <w:p w14:paraId="5D2A674E" w14:textId="77777777" w:rsidR="00DE1099" w:rsidRPr="00C5395B" w:rsidRDefault="00DE1099" w:rsidP="00DE109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65428BD8" w14:textId="77777777" w:rsidR="00DE1099" w:rsidRDefault="00DE1099" w:rsidP="00DE1099">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44FBD1D5" w14:textId="77777777" w:rsidR="00DE1099" w:rsidRDefault="00DE1099" w:rsidP="00DE1099">
            <w:pPr>
              <w:jc w:val="right"/>
              <w:rPr>
                <w:rFonts w:cs="Arial"/>
                <w:b/>
                <w:bCs/>
              </w:rPr>
            </w:pPr>
            <w:r>
              <w:rPr>
                <w:rFonts w:cs="Arial"/>
                <w:b/>
                <w:bCs/>
              </w:rPr>
              <w:t>3</w:t>
            </w:r>
          </w:p>
        </w:tc>
        <w:tc>
          <w:tcPr>
            <w:tcW w:w="960" w:type="dxa"/>
            <w:tcBorders>
              <w:top w:val="nil"/>
              <w:left w:val="nil"/>
              <w:bottom w:val="single" w:sz="4" w:space="0" w:color="auto"/>
              <w:right w:val="single" w:sz="4" w:space="0" w:color="auto"/>
            </w:tcBorders>
          </w:tcPr>
          <w:p w14:paraId="0BADB598" w14:textId="77777777" w:rsidR="00DE1099" w:rsidRDefault="00DE1099" w:rsidP="00DE1099">
            <w:pPr>
              <w:jc w:val="right"/>
              <w:rPr>
                <w:rFonts w:cs="Arial"/>
                <w:b/>
                <w:bCs/>
              </w:rPr>
            </w:pPr>
            <w:r w:rsidRPr="00D56EB9">
              <w:rPr>
                <w:rFonts w:cs="Arial"/>
                <w:b/>
                <w:bCs/>
              </w:rPr>
              <w:t>7</w:t>
            </w:r>
          </w:p>
        </w:tc>
        <w:tc>
          <w:tcPr>
            <w:tcW w:w="960" w:type="dxa"/>
            <w:tcBorders>
              <w:top w:val="nil"/>
              <w:left w:val="nil"/>
              <w:bottom w:val="single" w:sz="4" w:space="0" w:color="auto"/>
              <w:right w:val="single" w:sz="4" w:space="0" w:color="auto"/>
            </w:tcBorders>
          </w:tcPr>
          <w:p w14:paraId="221C3A33" w14:textId="77777777" w:rsidR="00DE1099" w:rsidRPr="00B70C1C" w:rsidRDefault="00DE1099" w:rsidP="00DE1099">
            <w:pPr>
              <w:jc w:val="right"/>
              <w:rPr>
                <w:rFonts w:cs="Arial"/>
                <w:b/>
                <w:bCs/>
              </w:rPr>
            </w:pPr>
            <w:r w:rsidRPr="00B70C1C">
              <w:rPr>
                <w:rFonts w:cs="Arial"/>
                <w:b/>
                <w:bCs/>
              </w:rPr>
              <w:t>4</w:t>
            </w:r>
          </w:p>
        </w:tc>
        <w:tc>
          <w:tcPr>
            <w:tcW w:w="960" w:type="dxa"/>
            <w:tcBorders>
              <w:top w:val="nil"/>
              <w:left w:val="nil"/>
              <w:bottom w:val="single" w:sz="4" w:space="0" w:color="auto"/>
              <w:right w:val="single" w:sz="4" w:space="0" w:color="auto"/>
            </w:tcBorders>
          </w:tcPr>
          <w:p w14:paraId="211ECA9C" w14:textId="25D07396" w:rsidR="00DE1099" w:rsidRPr="00DE1099" w:rsidRDefault="00DE1099" w:rsidP="00DE1099">
            <w:pPr>
              <w:jc w:val="right"/>
              <w:rPr>
                <w:rFonts w:cs="Arial"/>
                <w:b/>
                <w:bCs/>
              </w:rPr>
            </w:pPr>
            <w:r w:rsidRPr="00DE1099">
              <w:rPr>
                <w:rFonts w:cs="Arial"/>
                <w:b/>
                <w:bCs/>
              </w:rPr>
              <w:t>2</w:t>
            </w:r>
          </w:p>
        </w:tc>
      </w:tr>
    </w:tbl>
    <w:p w14:paraId="7C4C40FD" w14:textId="77777777" w:rsidR="00AA2A8F" w:rsidRDefault="00AA2A8F" w:rsidP="00986092">
      <w:pPr>
        <w:pStyle w:val="Heading2"/>
      </w:pPr>
    </w:p>
    <w:p w14:paraId="21435433" w14:textId="69910A7D" w:rsidR="00EC3C3E" w:rsidRPr="006524B7" w:rsidRDefault="00D802EF" w:rsidP="00986092">
      <w:pPr>
        <w:pStyle w:val="Heading2"/>
      </w:pPr>
      <w:r w:rsidRPr="00113244">
        <w:t>Voluntary</w:t>
      </w:r>
      <w:r w:rsidR="00EC3C3E" w:rsidRPr="00113244">
        <w:t xml:space="preserve"> </w:t>
      </w:r>
      <w:r w:rsidR="006B6030">
        <w:t>Agreement</w:t>
      </w:r>
    </w:p>
    <w:p w14:paraId="2F01F04F" w14:textId="23FC8390" w:rsidR="00D802EF" w:rsidRDefault="00D802EF" w:rsidP="00F662A4">
      <w:pPr>
        <w:ind w:left="-142" w:right="-425"/>
        <w:jc w:val="both"/>
        <w:rPr>
          <w:rFonts w:cs="Arial"/>
        </w:rPr>
      </w:pPr>
      <w:r>
        <w:rPr>
          <w:rFonts w:cs="Arial"/>
        </w:rPr>
        <w:t xml:space="preserve">The Commission </w:t>
      </w:r>
      <w:r w:rsidRPr="00E772A9">
        <w:rPr>
          <w:rFonts w:cs="Arial"/>
        </w:rPr>
        <w:t xml:space="preserve">processed </w:t>
      </w:r>
      <w:r w:rsidR="00113244">
        <w:rPr>
          <w:rFonts w:cs="Arial"/>
        </w:rPr>
        <w:t xml:space="preserve">5 </w:t>
      </w:r>
      <w:r w:rsidR="00505E6F">
        <w:rPr>
          <w:rFonts w:cs="Arial"/>
        </w:rPr>
        <w:t>Voluntary Income Management (VIM)</w:t>
      </w:r>
      <w:r>
        <w:rPr>
          <w:rFonts w:cs="Arial"/>
        </w:rPr>
        <w:t xml:space="preserve"> agreement</w:t>
      </w:r>
      <w:r w:rsidR="00B504D5">
        <w:rPr>
          <w:rFonts w:cs="Arial"/>
        </w:rPr>
        <w:t>s</w:t>
      </w:r>
      <w:r>
        <w:rPr>
          <w:rFonts w:cs="Arial"/>
        </w:rPr>
        <w:t xml:space="preserve"> this quarter and since the commencement of the Commission in 2008, </w:t>
      </w:r>
      <w:r w:rsidR="006D19CC">
        <w:rPr>
          <w:rFonts w:cs="Arial"/>
        </w:rPr>
        <w:t>15</w:t>
      </w:r>
      <w:r w:rsidR="00901694">
        <w:rPr>
          <w:rFonts w:cs="Arial"/>
        </w:rPr>
        <w:t>3</w:t>
      </w:r>
      <w:r w:rsidR="006D19CC">
        <w:rPr>
          <w:rFonts w:cs="Arial"/>
        </w:rPr>
        <w:t xml:space="preserve"> </w:t>
      </w:r>
      <w:r>
        <w:rPr>
          <w:rFonts w:cs="Arial"/>
        </w:rPr>
        <w:t>clients</w:t>
      </w:r>
      <w:r w:rsidR="00E26269">
        <w:rPr>
          <w:rFonts w:cs="Arial"/>
        </w:rPr>
        <w:t xml:space="preserve"> </w:t>
      </w:r>
      <w:r w:rsidR="00B32201" w:rsidRPr="007C7A9E">
        <w:rPr>
          <w:rFonts w:cs="Arial"/>
        </w:rPr>
        <w:t>(</w:t>
      </w:r>
      <w:r w:rsidR="00794683">
        <w:rPr>
          <w:rFonts w:cs="Arial"/>
        </w:rPr>
        <w:t>9</w:t>
      </w:r>
      <w:r w:rsidR="00901694">
        <w:rPr>
          <w:rFonts w:cs="Arial"/>
        </w:rPr>
        <w:t>7</w:t>
      </w:r>
      <w:r w:rsidR="00794683">
        <w:rPr>
          <w:rFonts w:cs="Arial"/>
        </w:rPr>
        <w:t xml:space="preserve"> female and 5</w:t>
      </w:r>
      <w:r w:rsidR="006D19CC">
        <w:rPr>
          <w:rFonts w:cs="Arial"/>
        </w:rPr>
        <w:t>6</w:t>
      </w:r>
      <w:r w:rsidR="00794683">
        <w:rPr>
          <w:rFonts w:cs="Arial"/>
        </w:rPr>
        <w:t xml:space="preserve"> male) </w:t>
      </w:r>
      <w:r>
        <w:rPr>
          <w:rFonts w:cs="Arial"/>
        </w:rPr>
        <w:t>have had an active VIM agreement</w:t>
      </w:r>
      <w:r w:rsidR="005A6206">
        <w:rPr>
          <w:rFonts w:cs="Arial"/>
        </w:rPr>
        <w:t xml:space="preserve">. </w:t>
      </w:r>
      <w:r w:rsidR="00D30730" w:rsidRPr="00C313D5">
        <w:rPr>
          <w:rFonts w:cs="Arial"/>
        </w:rPr>
        <w:t>As at 3</w:t>
      </w:r>
      <w:r w:rsidR="006D19CC">
        <w:rPr>
          <w:rFonts w:cs="Arial"/>
        </w:rPr>
        <w:t xml:space="preserve">0 </w:t>
      </w:r>
      <w:r w:rsidR="00113244">
        <w:rPr>
          <w:rFonts w:cs="Arial"/>
        </w:rPr>
        <w:t xml:space="preserve">September </w:t>
      </w:r>
      <w:r w:rsidR="00D30730">
        <w:rPr>
          <w:rFonts w:cs="Arial"/>
        </w:rPr>
        <w:t>2020</w:t>
      </w:r>
      <w:r w:rsidR="00D30730" w:rsidRPr="00C313D5">
        <w:rPr>
          <w:rFonts w:cs="Arial"/>
        </w:rPr>
        <w:t xml:space="preserve"> there were </w:t>
      </w:r>
      <w:r w:rsidR="00113244">
        <w:rPr>
          <w:rFonts w:cs="Arial"/>
        </w:rPr>
        <w:t>11</w:t>
      </w:r>
      <w:r w:rsidR="00113244" w:rsidRPr="00C313D5">
        <w:rPr>
          <w:rFonts w:cs="Arial"/>
        </w:rPr>
        <w:t xml:space="preserve"> </w:t>
      </w:r>
      <w:r w:rsidR="00D30730" w:rsidRPr="00C313D5">
        <w:rPr>
          <w:rFonts w:cs="Arial"/>
        </w:rPr>
        <w:t xml:space="preserve">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30730" w:rsidRPr="00C313D5">
        <w:rPr>
          <w:rFonts w:cs="Arial"/>
        </w:rPr>
        <w:t>.</w:t>
      </w:r>
      <w:r w:rsidR="00D30730">
        <w:rPr>
          <w:rFonts w:cs="Arial"/>
        </w:rPr>
        <w:t xml:space="preserve"> </w:t>
      </w:r>
      <w:r>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6B6030" w:rsidRPr="000837FA">
        <w:rPr>
          <w:rFonts w:cs="Arial"/>
        </w:rPr>
        <w:t xml:space="preserve">VIM agreements are </w:t>
      </w:r>
      <w:r w:rsidR="006B6030">
        <w:rPr>
          <w:rFonts w:cs="Arial"/>
        </w:rPr>
        <w:t xml:space="preserve">also </w:t>
      </w:r>
      <w:r w:rsidR="006B6030" w:rsidRPr="000837FA">
        <w:rPr>
          <w:rFonts w:cs="Arial"/>
        </w:rPr>
        <w:t>a useful tool to assist elderly community members (who have not otherwise been referred to the FRC) to ensure their welfare payments are expended on their own needs</w:t>
      </w:r>
      <w:r w:rsidR="006B6030">
        <w:rPr>
          <w:rFonts w:cs="Arial"/>
        </w:rPr>
        <w:t>.</w:t>
      </w:r>
      <w:r w:rsidR="00F662A4">
        <w:rPr>
          <w:rFonts w:cs="Arial"/>
        </w:rPr>
        <w:t xml:space="preserve"> </w:t>
      </w:r>
      <w:r w:rsidR="006B6030">
        <w:rPr>
          <w:rFonts w:cs="Arial"/>
        </w:rPr>
        <w:t xml:space="preserve">For the very first time 3 voluntary agreements were entered into for clients to attend community support services </w:t>
      </w:r>
      <w:r w:rsidR="004B058A">
        <w:rPr>
          <w:rFonts w:cs="Arial"/>
        </w:rPr>
        <w:t xml:space="preserve">under a case plan. </w:t>
      </w:r>
      <w:r w:rsidR="000837FA" w:rsidRPr="000837FA">
        <w:rPr>
          <w:rFonts w:cs="Arial"/>
        </w:rPr>
        <w:t xml:space="preserve">The Commissioners consider the number of </w:t>
      </w:r>
      <w:r w:rsidR="004B058A">
        <w:rPr>
          <w:rFonts w:cs="Arial"/>
        </w:rPr>
        <w:t>voluntary</w:t>
      </w:r>
      <w:r w:rsidR="004B058A" w:rsidRPr="000837FA">
        <w:rPr>
          <w:rFonts w:cs="Arial"/>
        </w:rPr>
        <w:t xml:space="preserve"> </w:t>
      </w:r>
      <w:r w:rsidR="000837FA" w:rsidRPr="000837FA">
        <w:rPr>
          <w:rFonts w:cs="Arial"/>
        </w:rPr>
        <w:t xml:space="preserve">agreements entered into as indicative of a willingness of community members to take responsibility, to look after family members, and as a general improvement in community social norms. </w:t>
      </w:r>
    </w:p>
    <w:p w14:paraId="45432E30" w14:textId="77777777" w:rsidR="006B6030" w:rsidRDefault="006B6030" w:rsidP="005A02C1">
      <w:pPr>
        <w:ind w:left="-142" w:right="-425"/>
        <w:jc w:val="both"/>
        <w:rPr>
          <w:rFonts w:cs="Arial"/>
        </w:rPr>
      </w:pPr>
    </w:p>
    <w:p w14:paraId="5FBB42C5" w14:textId="6F815298" w:rsidR="00F062D1" w:rsidRPr="00F062D1" w:rsidRDefault="00DC1815" w:rsidP="00F062D1">
      <w:pPr>
        <w:pStyle w:val="Heading2"/>
      </w:pPr>
      <w:r>
        <w:t>Type of i</w:t>
      </w:r>
      <w:r w:rsidR="00AE4E7A" w:rsidRPr="00F062D1">
        <w:t>nteraction</w:t>
      </w:r>
      <w:r w:rsidR="00631636">
        <w:t>s</w:t>
      </w:r>
      <w:r w:rsidR="00736D1F" w:rsidRPr="00F062D1">
        <w:t xml:space="preserve"> during the quarter</w:t>
      </w:r>
    </w:p>
    <w:p w14:paraId="2D98F825" w14:textId="19080168" w:rsidR="00EF36F2" w:rsidRDefault="00F062D1" w:rsidP="00154DE4">
      <w:pPr>
        <w:ind w:left="-142" w:right="-425"/>
        <w:jc w:val="both"/>
        <w:rPr>
          <w:rFonts w:cs="Arial"/>
        </w:rPr>
      </w:pPr>
      <w:r>
        <w:rPr>
          <w:rFonts w:cs="Arial"/>
        </w:rPr>
        <w:t>The following table</w:t>
      </w:r>
      <w:r w:rsidR="004E3E3C">
        <w:rPr>
          <w:rFonts w:cs="Arial"/>
        </w:rPr>
        <w:t>s</w:t>
      </w:r>
      <w:r>
        <w:rPr>
          <w:rFonts w:cs="Arial"/>
        </w:rPr>
        <w:t xml:space="preserve"> sho</w:t>
      </w:r>
      <w:r w:rsidR="004E3E3C">
        <w:rPr>
          <w:rFonts w:cs="Arial"/>
        </w:rPr>
        <w:t>w</w:t>
      </w:r>
      <w:r>
        <w:rPr>
          <w:rFonts w:cs="Arial"/>
        </w:rPr>
        <w:t xml:space="preserve"> the number of interactions </w:t>
      </w:r>
      <w:r w:rsidR="007438D5">
        <w:rPr>
          <w:rFonts w:cs="Arial"/>
        </w:rPr>
        <w:t>(</w:t>
      </w:r>
      <w:r>
        <w:rPr>
          <w:rFonts w:cs="Arial"/>
        </w:rPr>
        <w:t>excluding reschedules and adjournments</w:t>
      </w:r>
      <w:r w:rsidR="00D27620">
        <w:rPr>
          <w:rFonts w:cs="Arial"/>
        </w:rPr>
        <w:t xml:space="preserve"> during the quarter</w:t>
      </w:r>
      <w:r w:rsidR="007438D5">
        <w:rPr>
          <w:rFonts w:cs="Arial"/>
        </w:rPr>
        <w:t>)</w:t>
      </w:r>
      <w:r w:rsidR="00154DE4">
        <w:rPr>
          <w:rFonts w:cs="Arial"/>
        </w:rPr>
        <w:t xml:space="preserve"> </w:t>
      </w:r>
      <w:r w:rsidR="00D27620">
        <w:rPr>
          <w:rFonts w:cs="Arial"/>
        </w:rPr>
        <w:t>that resulted in a</w:t>
      </w:r>
      <w:r w:rsidR="001B247E">
        <w:rPr>
          <w:rFonts w:cs="Arial"/>
        </w:rPr>
        <w:t xml:space="preserve"> voluntary agreement or a</w:t>
      </w:r>
      <w:r w:rsidR="00D27620">
        <w:rPr>
          <w:rFonts w:cs="Arial"/>
        </w:rPr>
        <w:t xml:space="preserve"> decision by agreement or order</w:t>
      </w:r>
      <w:r w:rsidR="00F33E5D">
        <w:rPr>
          <w:rFonts w:cs="Arial"/>
        </w:rPr>
        <w:t>. A</w:t>
      </w:r>
      <w:r w:rsidR="00154DE4">
        <w:rPr>
          <w:rFonts w:cs="Arial"/>
        </w:rPr>
        <w:t xml:space="preserve"> client may have multiple interactions during a quarter</w:t>
      </w:r>
      <w:r w:rsidR="00F33E5D">
        <w:rPr>
          <w:rFonts w:cs="Arial"/>
        </w:rPr>
        <w:t>, for example a</w:t>
      </w:r>
      <w:r w:rsidR="00EF36F2" w:rsidRPr="00B324FD">
        <w:rPr>
          <w:rFonts w:cs="Arial"/>
        </w:rPr>
        <w:t xml:space="preserve"> client may be placed on a case plan at the beginning of the quarter to one service provider and then referred to another service provider later in the same quarter. Similarly, a client may be placed on a CIM order at 60%, 75% or 90% and then have their percentage of income management reduced or increased later in the quarter. A client may also be separately </w:t>
      </w:r>
      <w:r w:rsidR="00B96E06">
        <w:rPr>
          <w:rFonts w:cs="Arial"/>
        </w:rPr>
        <w:t xml:space="preserve">or concurrently </w:t>
      </w:r>
      <w:r w:rsidR="00EF36F2" w:rsidRPr="00B324FD">
        <w:rPr>
          <w:rFonts w:cs="Arial"/>
        </w:rPr>
        <w:t>placed on a case plan and income management throughout the quarter.</w:t>
      </w:r>
    </w:p>
    <w:p w14:paraId="632AAB46" w14:textId="76F99AFB" w:rsidR="00DC1815" w:rsidRDefault="00DC1815" w:rsidP="00154DE4">
      <w:pPr>
        <w:ind w:left="-142" w:right="-425"/>
        <w:jc w:val="both"/>
        <w:rPr>
          <w:rFonts w:cs="Arial"/>
        </w:rPr>
      </w:pPr>
    </w:p>
    <w:p w14:paraId="60BB875E" w14:textId="77D41B18" w:rsidR="00DC1815" w:rsidRDefault="00DC1815" w:rsidP="00154DE4">
      <w:pPr>
        <w:ind w:left="-142" w:right="-425"/>
        <w:jc w:val="both"/>
        <w:rPr>
          <w:rFonts w:cs="Arial"/>
        </w:rPr>
      </w:pPr>
      <w:r>
        <w:rPr>
          <w:rFonts w:cs="Arial"/>
        </w:rPr>
        <w:t>The FRC</w:t>
      </w:r>
      <w:r w:rsidR="00082CD9">
        <w:rPr>
          <w:rFonts w:cs="Arial"/>
        </w:rPr>
        <w:t xml:space="preserve"> observes </w:t>
      </w:r>
      <w:r w:rsidR="009C135C">
        <w:rPr>
          <w:rFonts w:cs="Arial"/>
        </w:rPr>
        <w:t>an</w:t>
      </w:r>
      <w:r w:rsidR="00091AF2">
        <w:rPr>
          <w:rFonts w:cs="Arial"/>
        </w:rPr>
        <w:t xml:space="preserve"> emerging</w:t>
      </w:r>
      <w:r w:rsidR="00082CD9">
        <w:rPr>
          <w:rFonts w:cs="Arial"/>
        </w:rPr>
        <w:t xml:space="preserve"> trend</w:t>
      </w:r>
      <w:r w:rsidR="004A4DDC">
        <w:rPr>
          <w:rFonts w:cs="Arial"/>
        </w:rPr>
        <w:t xml:space="preserve"> </w:t>
      </w:r>
      <w:r w:rsidR="00082CD9">
        <w:rPr>
          <w:rFonts w:cs="Arial"/>
        </w:rPr>
        <w:t>of</w:t>
      </w:r>
      <w:r>
        <w:rPr>
          <w:rFonts w:cs="Arial"/>
        </w:rPr>
        <w:t xml:space="preserve"> </w:t>
      </w:r>
      <w:r w:rsidR="00082CD9">
        <w:rPr>
          <w:rFonts w:cs="Arial"/>
        </w:rPr>
        <w:t xml:space="preserve">increased </w:t>
      </w:r>
      <w:r>
        <w:rPr>
          <w:rFonts w:cs="Arial"/>
        </w:rPr>
        <w:t>interactions</w:t>
      </w:r>
      <w:r w:rsidR="00082CD9">
        <w:rPr>
          <w:rFonts w:cs="Arial"/>
        </w:rPr>
        <w:t xml:space="preserve"> by the client with the Commission </w:t>
      </w:r>
      <w:r w:rsidR="009C135C">
        <w:rPr>
          <w:rFonts w:cs="Arial"/>
        </w:rPr>
        <w:t>on a less</w:t>
      </w:r>
      <w:r w:rsidR="00091AF2">
        <w:rPr>
          <w:rFonts w:cs="Arial"/>
        </w:rPr>
        <w:t xml:space="preserve"> </w:t>
      </w:r>
      <w:r w:rsidR="009C135C">
        <w:rPr>
          <w:rFonts w:cs="Arial"/>
        </w:rPr>
        <w:t>intrusive and more proactive basis</w:t>
      </w:r>
      <w:r w:rsidR="00C85FD0">
        <w:rPr>
          <w:rFonts w:cs="Arial"/>
        </w:rPr>
        <w:t>,</w:t>
      </w:r>
      <w:r w:rsidR="009C135C">
        <w:rPr>
          <w:rFonts w:cs="Arial"/>
        </w:rPr>
        <w:t xml:space="preserve"> i.e. where engagement is on a </w:t>
      </w:r>
      <w:r w:rsidR="00082CD9">
        <w:rPr>
          <w:rFonts w:cs="Arial"/>
        </w:rPr>
        <w:t xml:space="preserve">voluntary basis (Table </w:t>
      </w:r>
      <w:r w:rsidR="00BD28E3">
        <w:rPr>
          <w:rFonts w:cs="Arial"/>
        </w:rPr>
        <w:t>1</w:t>
      </w:r>
      <w:r w:rsidR="00082CD9">
        <w:rPr>
          <w:rFonts w:cs="Arial"/>
        </w:rPr>
        <w:t>5) or</w:t>
      </w:r>
      <w:r w:rsidR="004A4DDC">
        <w:rPr>
          <w:rFonts w:cs="Arial"/>
        </w:rPr>
        <w:t xml:space="preserve"> where acceptance of the Commission’s decision</w:t>
      </w:r>
      <w:r w:rsidR="009C135C">
        <w:rPr>
          <w:rFonts w:cs="Arial"/>
        </w:rPr>
        <w:t xml:space="preserve"> for a referral to support service or income management </w:t>
      </w:r>
      <w:r w:rsidR="004A4DDC">
        <w:rPr>
          <w:rFonts w:cs="Arial"/>
        </w:rPr>
        <w:t>is</w:t>
      </w:r>
      <w:r w:rsidR="009C135C">
        <w:rPr>
          <w:rFonts w:cs="Arial"/>
        </w:rPr>
        <w:t xml:space="preserve"> by </w:t>
      </w:r>
      <w:r w:rsidR="004A4DDC">
        <w:rPr>
          <w:rFonts w:cs="Arial"/>
        </w:rPr>
        <w:t xml:space="preserve">agreement with the client (Table </w:t>
      </w:r>
      <w:r w:rsidR="00BD28E3">
        <w:rPr>
          <w:rFonts w:cs="Arial"/>
        </w:rPr>
        <w:t>1</w:t>
      </w:r>
      <w:r w:rsidR="004A4DDC">
        <w:rPr>
          <w:rFonts w:cs="Arial"/>
        </w:rPr>
        <w:t>6). The FRC considers this to be a positive indication that community members have developed a consciousness of their actions and are demonstrating early insight into the effect those actions have on others.</w:t>
      </w:r>
    </w:p>
    <w:p w14:paraId="080B3BF7" w14:textId="7C9F4367" w:rsidR="00F062D1" w:rsidRDefault="00F062D1" w:rsidP="00DB2BE0">
      <w:pPr>
        <w:ind w:left="-142" w:right="-425"/>
        <w:jc w:val="both"/>
        <w:rPr>
          <w:rFonts w:cs="Arial"/>
        </w:rPr>
      </w:pPr>
    </w:p>
    <w:p w14:paraId="4BCAEA09" w14:textId="77777777" w:rsidR="00544691" w:rsidRDefault="00544691">
      <w:pPr>
        <w:spacing w:line="240" w:lineRule="auto"/>
        <w:rPr>
          <w:b/>
          <w:sz w:val="16"/>
          <w:szCs w:val="16"/>
        </w:rPr>
      </w:pPr>
      <w:r>
        <w:rPr>
          <w:b/>
          <w:sz w:val="16"/>
          <w:szCs w:val="16"/>
        </w:rPr>
        <w:br w:type="page"/>
      </w:r>
    </w:p>
    <w:p w14:paraId="2D9345C4" w14:textId="31560357" w:rsidR="00F33E5D" w:rsidRPr="0092015D" w:rsidRDefault="00F33E5D" w:rsidP="00F33E5D">
      <w:pPr>
        <w:spacing w:after="120" w:line="240" w:lineRule="auto"/>
        <w:ind w:left="794" w:hanging="794"/>
      </w:pPr>
      <w:r w:rsidRPr="006C6A65">
        <w:rPr>
          <w:b/>
          <w:sz w:val="16"/>
          <w:szCs w:val="16"/>
        </w:rPr>
        <w:lastRenderedPageBreak/>
        <w:t xml:space="preserve">Table </w:t>
      </w:r>
      <w:r w:rsidR="00AA2A8F">
        <w:rPr>
          <w:b/>
          <w:sz w:val="16"/>
          <w:szCs w:val="16"/>
        </w:rPr>
        <w:t>1</w:t>
      </w:r>
      <w:r>
        <w:rPr>
          <w:b/>
          <w:sz w:val="16"/>
          <w:szCs w:val="16"/>
        </w:rPr>
        <w:t>5</w:t>
      </w:r>
      <w:r w:rsidRPr="006C6A65">
        <w:rPr>
          <w:b/>
          <w:sz w:val="16"/>
          <w:szCs w:val="16"/>
        </w:rPr>
        <w:t>:</w:t>
      </w:r>
      <w:r w:rsidRPr="006C6A65">
        <w:rPr>
          <w:sz w:val="16"/>
          <w:szCs w:val="16"/>
        </w:rPr>
        <w:t xml:space="preserve"> Number of </w:t>
      </w:r>
      <w:r w:rsidRPr="00656C56">
        <w:rPr>
          <w:sz w:val="16"/>
          <w:szCs w:val="16"/>
        </w:rPr>
        <w:t>voluntary agreements entered into</w:t>
      </w:r>
      <w:r w:rsidR="00A4041A">
        <w:rPr>
          <w:sz w:val="16"/>
          <w:szCs w:val="16"/>
        </w:rPr>
        <w:t xml:space="preserve"> </w:t>
      </w:r>
      <w:r w:rsidRPr="006C6A65">
        <w:rPr>
          <w:sz w:val="16"/>
          <w:szCs w:val="16"/>
        </w:rPr>
        <w:t xml:space="preserve">1 </w:t>
      </w:r>
      <w:r>
        <w:rPr>
          <w:sz w:val="16"/>
          <w:szCs w:val="16"/>
        </w:rPr>
        <w:t>July 2020 to 30 September 2020.</w:t>
      </w:r>
    </w:p>
    <w:tbl>
      <w:tblPr>
        <w:tblStyle w:val="TableGrid"/>
        <w:tblW w:w="0" w:type="auto"/>
        <w:tblInd w:w="108" w:type="dxa"/>
        <w:tblLook w:val="04A0" w:firstRow="1" w:lastRow="0" w:firstColumn="1" w:lastColumn="0" w:noHBand="0" w:noVBand="1"/>
      </w:tblPr>
      <w:tblGrid>
        <w:gridCol w:w="1555"/>
        <w:gridCol w:w="992"/>
        <w:gridCol w:w="1134"/>
        <w:gridCol w:w="992"/>
      </w:tblGrid>
      <w:tr w:rsidR="00F33E5D" w:rsidRPr="00776C26" w14:paraId="584CDCD0" w14:textId="77777777" w:rsidTr="00F33E5D">
        <w:tc>
          <w:tcPr>
            <w:tcW w:w="4673" w:type="dxa"/>
            <w:gridSpan w:val="4"/>
          </w:tcPr>
          <w:p w14:paraId="40A014DB" w14:textId="5438DC35" w:rsidR="00F33E5D" w:rsidRPr="00776C26" w:rsidRDefault="00F33E5D" w:rsidP="00895897">
            <w:pPr>
              <w:ind w:right="-425"/>
              <w:jc w:val="center"/>
              <w:rPr>
                <w:rFonts w:cs="Arial"/>
                <w:b/>
                <w:bCs/>
              </w:rPr>
            </w:pPr>
            <w:r>
              <w:rPr>
                <w:rFonts w:cs="Arial"/>
                <w:b/>
                <w:bCs/>
              </w:rPr>
              <w:t>Voluntary Agreement</w:t>
            </w:r>
            <w:r w:rsidR="00F25CAD">
              <w:rPr>
                <w:rFonts w:cs="Arial"/>
                <w:b/>
                <w:bCs/>
              </w:rPr>
              <w:t>s</w:t>
            </w:r>
            <w:r w:rsidR="005D7E48">
              <w:rPr>
                <w:rStyle w:val="FootnoteReference"/>
                <w:b/>
                <w:bCs/>
              </w:rPr>
              <w:footnoteReference w:id="9"/>
            </w:r>
          </w:p>
        </w:tc>
      </w:tr>
      <w:tr w:rsidR="00F33E5D" w:rsidRPr="00776C26" w14:paraId="16A7ADA4" w14:textId="77777777" w:rsidTr="00F33E5D">
        <w:tc>
          <w:tcPr>
            <w:tcW w:w="1555" w:type="dxa"/>
          </w:tcPr>
          <w:p w14:paraId="17C00DCD" w14:textId="33A84B59" w:rsidR="00F33E5D" w:rsidRPr="00776C26" w:rsidRDefault="00F33E5D" w:rsidP="00895897">
            <w:pPr>
              <w:ind w:right="-425"/>
              <w:jc w:val="both"/>
              <w:rPr>
                <w:rFonts w:cs="Arial"/>
                <w:b/>
                <w:bCs/>
              </w:rPr>
            </w:pPr>
          </w:p>
        </w:tc>
        <w:tc>
          <w:tcPr>
            <w:tcW w:w="992" w:type="dxa"/>
          </w:tcPr>
          <w:p w14:paraId="3DDE3D13" w14:textId="4401E989" w:rsidR="00F33E5D" w:rsidRPr="00776C26" w:rsidRDefault="00F33E5D" w:rsidP="00895897">
            <w:pPr>
              <w:jc w:val="center"/>
              <w:rPr>
                <w:rFonts w:cs="Arial"/>
                <w:b/>
                <w:bCs/>
              </w:rPr>
            </w:pPr>
            <w:r>
              <w:rPr>
                <w:rFonts w:cs="Arial"/>
                <w:b/>
                <w:bCs/>
              </w:rPr>
              <w:t>V</w:t>
            </w:r>
            <w:r w:rsidRPr="00776C26">
              <w:rPr>
                <w:rFonts w:cs="Arial"/>
                <w:b/>
                <w:bCs/>
              </w:rPr>
              <w:t>CP</w:t>
            </w:r>
            <w:r w:rsidR="002F1B05">
              <w:rPr>
                <w:rStyle w:val="FootnoteReference"/>
                <w:b/>
                <w:bCs/>
              </w:rPr>
              <w:footnoteReference w:id="10"/>
            </w:r>
          </w:p>
        </w:tc>
        <w:tc>
          <w:tcPr>
            <w:tcW w:w="1134" w:type="dxa"/>
          </w:tcPr>
          <w:p w14:paraId="11D9E64F" w14:textId="350D587E" w:rsidR="00F33E5D" w:rsidRPr="00776C26" w:rsidRDefault="00F33E5D" w:rsidP="00895897">
            <w:pPr>
              <w:jc w:val="center"/>
              <w:rPr>
                <w:rFonts w:cs="Arial"/>
                <w:b/>
                <w:bCs/>
              </w:rPr>
            </w:pPr>
            <w:r>
              <w:rPr>
                <w:rFonts w:cs="Arial"/>
                <w:b/>
                <w:bCs/>
              </w:rPr>
              <w:t>V</w:t>
            </w:r>
            <w:r w:rsidRPr="00776C26">
              <w:rPr>
                <w:rFonts w:cs="Arial"/>
                <w:b/>
                <w:bCs/>
              </w:rPr>
              <w:t>IM</w:t>
            </w:r>
            <w:r w:rsidR="002F1B05">
              <w:rPr>
                <w:rStyle w:val="FootnoteReference"/>
                <w:b/>
                <w:bCs/>
              </w:rPr>
              <w:footnoteReference w:id="11"/>
            </w:r>
          </w:p>
        </w:tc>
        <w:tc>
          <w:tcPr>
            <w:tcW w:w="992" w:type="dxa"/>
          </w:tcPr>
          <w:p w14:paraId="6F652775" w14:textId="77777777" w:rsidR="00F33E5D" w:rsidRPr="00776C26" w:rsidRDefault="00F33E5D" w:rsidP="00895897">
            <w:pPr>
              <w:jc w:val="right"/>
              <w:rPr>
                <w:rFonts w:cs="Arial"/>
                <w:b/>
                <w:bCs/>
              </w:rPr>
            </w:pPr>
            <w:r w:rsidRPr="00776C26">
              <w:rPr>
                <w:rFonts w:cs="Arial"/>
                <w:b/>
                <w:bCs/>
              </w:rPr>
              <w:t>Total</w:t>
            </w:r>
          </w:p>
        </w:tc>
      </w:tr>
      <w:tr w:rsidR="00F33E5D" w:rsidRPr="00776C26" w14:paraId="72D01DFF" w14:textId="77777777" w:rsidTr="00F33E5D">
        <w:tc>
          <w:tcPr>
            <w:tcW w:w="1555" w:type="dxa"/>
          </w:tcPr>
          <w:p w14:paraId="1418DEC0" w14:textId="77777777" w:rsidR="00F33E5D" w:rsidRPr="00776C26" w:rsidRDefault="00F33E5D" w:rsidP="00895897">
            <w:pPr>
              <w:ind w:right="-425"/>
              <w:jc w:val="both"/>
              <w:rPr>
                <w:rFonts w:cs="Arial"/>
                <w:b/>
                <w:bCs/>
              </w:rPr>
            </w:pPr>
            <w:r w:rsidRPr="00776C26">
              <w:rPr>
                <w:rFonts w:cs="Arial"/>
                <w:b/>
                <w:bCs/>
              </w:rPr>
              <w:t>Total</w:t>
            </w:r>
          </w:p>
        </w:tc>
        <w:tc>
          <w:tcPr>
            <w:tcW w:w="992" w:type="dxa"/>
          </w:tcPr>
          <w:p w14:paraId="19261BA2" w14:textId="01B81BD7" w:rsidR="00F33E5D" w:rsidRPr="00776C26" w:rsidRDefault="00F33E5D" w:rsidP="00895897">
            <w:pPr>
              <w:jc w:val="right"/>
              <w:rPr>
                <w:b/>
                <w:bCs/>
              </w:rPr>
            </w:pPr>
            <w:r w:rsidRPr="00776C26">
              <w:rPr>
                <w:b/>
                <w:bCs/>
              </w:rPr>
              <w:t>3</w:t>
            </w:r>
          </w:p>
        </w:tc>
        <w:tc>
          <w:tcPr>
            <w:tcW w:w="1134" w:type="dxa"/>
          </w:tcPr>
          <w:p w14:paraId="65FECBF3" w14:textId="0FD2B7CE" w:rsidR="00F33E5D" w:rsidRPr="00776C26" w:rsidRDefault="00F33E5D" w:rsidP="00895897">
            <w:pPr>
              <w:jc w:val="right"/>
              <w:rPr>
                <w:b/>
                <w:bCs/>
              </w:rPr>
            </w:pPr>
            <w:r>
              <w:rPr>
                <w:b/>
                <w:bCs/>
              </w:rPr>
              <w:t>5</w:t>
            </w:r>
          </w:p>
        </w:tc>
        <w:tc>
          <w:tcPr>
            <w:tcW w:w="992" w:type="dxa"/>
          </w:tcPr>
          <w:p w14:paraId="7AE308A8" w14:textId="7B9F91C6" w:rsidR="00F33E5D" w:rsidRPr="00776C26" w:rsidRDefault="00F33E5D" w:rsidP="00895897">
            <w:pPr>
              <w:jc w:val="right"/>
              <w:rPr>
                <w:b/>
                <w:bCs/>
              </w:rPr>
            </w:pPr>
            <w:r>
              <w:rPr>
                <w:b/>
                <w:bCs/>
              </w:rPr>
              <w:t>8</w:t>
            </w:r>
          </w:p>
        </w:tc>
      </w:tr>
    </w:tbl>
    <w:p w14:paraId="7F6E2C22" w14:textId="77777777" w:rsidR="00F33E5D" w:rsidRDefault="00F33E5D" w:rsidP="00DB2BE0">
      <w:pPr>
        <w:ind w:left="-142" w:right="-425"/>
        <w:jc w:val="both"/>
        <w:rPr>
          <w:rFonts w:cs="Arial"/>
        </w:rPr>
      </w:pPr>
    </w:p>
    <w:p w14:paraId="05E83212" w14:textId="2AF7F3E9" w:rsidR="00F33E5D" w:rsidRPr="0092015D" w:rsidRDefault="00F33E5D" w:rsidP="00F33E5D">
      <w:pPr>
        <w:spacing w:after="120" w:line="240" w:lineRule="auto"/>
        <w:ind w:left="794" w:hanging="794"/>
      </w:pPr>
      <w:r w:rsidRPr="006C6A65">
        <w:rPr>
          <w:b/>
          <w:sz w:val="16"/>
          <w:szCs w:val="16"/>
        </w:rPr>
        <w:t xml:space="preserve">Table </w:t>
      </w:r>
      <w:r w:rsidR="00AA2A8F">
        <w:rPr>
          <w:b/>
          <w:sz w:val="16"/>
          <w:szCs w:val="16"/>
        </w:rPr>
        <w:t>1</w:t>
      </w:r>
      <w:r w:rsidR="001B247E">
        <w:rPr>
          <w:b/>
          <w:sz w:val="16"/>
          <w:szCs w:val="16"/>
        </w:rPr>
        <w:t>6</w:t>
      </w:r>
      <w:r w:rsidRPr="006C6A65">
        <w:rPr>
          <w:b/>
          <w:sz w:val="16"/>
          <w:szCs w:val="16"/>
        </w:rPr>
        <w:t>:</w:t>
      </w:r>
      <w:r w:rsidRPr="006C6A65">
        <w:rPr>
          <w:sz w:val="16"/>
          <w:szCs w:val="16"/>
        </w:rPr>
        <w:t xml:space="preserve"> Number of </w:t>
      </w:r>
      <w:r w:rsidR="001B247E">
        <w:rPr>
          <w:sz w:val="16"/>
          <w:szCs w:val="16"/>
        </w:rPr>
        <w:t xml:space="preserve">decisions by agreement </w:t>
      </w:r>
      <w:r w:rsidRPr="00656C56">
        <w:rPr>
          <w:sz w:val="16"/>
          <w:szCs w:val="16"/>
        </w:rPr>
        <w:t>entered into</w:t>
      </w:r>
      <w:r w:rsidR="00A4041A">
        <w:rPr>
          <w:sz w:val="16"/>
          <w:szCs w:val="16"/>
        </w:rPr>
        <w:t xml:space="preserve"> </w:t>
      </w:r>
      <w:r w:rsidRPr="006C6A65">
        <w:rPr>
          <w:sz w:val="16"/>
          <w:szCs w:val="16"/>
        </w:rPr>
        <w:t xml:space="preserve">1 </w:t>
      </w:r>
      <w:r>
        <w:rPr>
          <w:sz w:val="16"/>
          <w:szCs w:val="16"/>
        </w:rPr>
        <w:t>July 2020 to 30 September 2020.</w:t>
      </w:r>
    </w:p>
    <w:tbl>
      <w:tblPr>
        <w:tblStyle w:val="TableGrid"/>
        <w:tblW w:w="0" w:type="auto"/>
        <w:tblInd w:w="108" w:type="dxa"/>
        <w:tblLook w:val="04A0" w:firstRow="1" w:lastRow="0" w:firstColumn="1" w:lastColumn="0" w:noHBand="0" w:noVBand="1"/>
      </w:tblPr>
      <w:tblGrid>
        <w:gridCol w:w="1555"/>
        <w:gridCol w:w="992"/>
        <w:gridCol w:w="1134"/>
        <w:gridCol w:w="992"/>
      </w:tblGrid>
      <w:tr w:rsidR="00776C26" w14:paraId="417BD250" w14:textId="77777777" w:rsidTr="00F33E5D">
        <w:tc>
          <w:tcPr>
            <w:tcW w:w="4673" w:type="dxa"/>
            <w:gridSpan w:val="4"/>
          </w:tcPr>
          <w:p w14:paraId="17863BA5" w14:textId="0FBDFA91" w:rsidR="00776C26" w:rsidRPr="00776C26" w:rsidRDefault="00776C26" w:rsidP="00776C26">
            <w:pPr>
              <w:ind w:right="-425"/>
              <w:jc w:val="center"/>
              <w:rPr>
                <w:rFonts w:cs="Arial"/>
                <w:b/>
                <w:bCs/>
              </w:rPr>
            </w:pPr>
            <w:r w:rsidRPr="00776C26">
              <w:rPr>
                <w:rFonts w:cs="Arial"/>
                <w:b/>
                <w:bCs/>
              </w:rPr>
              <w:t>Decisions by Agreement</w:t>
            </w:r>
          </w:p>
        </w:tc>
      </w:tr>
      <w:tr w:rsidR="00776C26" w14:paraId="2FFAA720" w14:textId="77777777" w:rsidTr="00F33E5D">
        <w:tc>
          <w:tcPr>
            <w:tcW w:w="1555" w:type="dxa"/>
          </w:tcPr>
          <w:p w14:paraId="4640277F" w14:textId="72E6F283" w:rsidR="00776C26" w:rsidRPr="00776C26" w:rsidRDefault="00776C26" w:rsidP="00DB2BE0">
            <w:pPr>
              <w:ind w:right="-425"/>
              <w:jc w:val="both"/>
              <w:rPr>
                <w:rFonts w:cs="Arial"/>
                <w:b/>
                <w:bCs/>
              </w:rPr>
            </w:pPr>
            <w:r w:rsidRPr="00776C26">
              <w:rPr>
                <w:rFonts w:cs="Arial"/>
                <w:b/>
                <w:bCs/>
              </w:rPr>
              <w:t>Community</w:t>
            </w:r>
          </w:p>
        </w:tc>
        <w:tc>
          <w:tcPr>
            <w:tcW w:w="992" w:type="dxa"/>
          </w:tcPr>
          <w:p w14:paraId="26380436" w14:textId="752EF92E" w:rsidR="00776C26" w:rsidRPr="00776C26" w:rsidRDefault="00776C26" w:rsidP="006B6030">
            <w:pPr>
              <w:jc w:val="center"/>
              <w:rPr>
                <w:rFonts w:cs="Arial"/>
                <w:b/>
                <w:bCs/>
              </w:rPr>
            </w:pPr>
            <w:r w:rsidRPr="00776C26">
              <w:rPr>
                <w:rFonts w:cs="Arial"/>
                <w:b/>
                <w:bCs/>
              </w:rPr>
              <w:t>CP</w:t>
            </w:r>
            <w:r w:rsidR="002F1B05">
              <w:rPr>
                <w:rStyle w:val="FootnoteReference"/>
                <w:b/>
                <w:bCs/>
              </w:rPr>
              <w:footnoteReference w:id="12"/>
            </w:r>
          </w:p>
        </w:tc>
        <w:tc>
          <w:tcPr>
            <w:tcW w:w="1134" w:type="dxa"/>
          </w:tcPr>
          <w:p w14:paraId="4E06539F" w14:textId="4A55E9F4" w:rsidR="00776C26" w:rsidRPr="00776C26" w:rsidRDefault="00776C26" w:rsidP="006B6030">
            <w:pPr>
              <w:jc w:val="center"/>
              <w:rPr>
                <w:rFonts w:cs="Arial"/>
                <w:b/>
                <w:bCs/>
              </w:rPr>
            </w:pPr>
            <w:r w:rsidRPr="00776C26">
              <w:rPr>
                <w:rFonts w:cs="Arial"/>
                <w:b/>
                <w:bCs/>
              </w:rPr>
              <w:t>CIM</w:t>
            </w:r>
            <w:r w:rsidR="002F1B05">
              <w:rPr>
                <w:rStyle w:val="FootnoteReference"/>
                <w:b/>
                <w:bCs/>
              </w:rPr>
              <w:footnoteReference w:id="13"/>
            </w:r>
          </w:p>
        </w:tc>
        <w:tc>
          <w:tcPr>
            <w:tcW w:w="992" w:type="dxa"/>
          </w:tcPr>
          <w:p w14:paraId="63C2E9F4" w14:textId="417D0CB6" w:rsidR="00776C26" w:rsidRPr="00776C26" w:rsidRDefault="00776C26" w:rsidP="00776C26">
            <w:pPr>
              <w:jc w:val="right"/>
              <w:rPr>
                <w:rFonts w:cs="Arial"/>
                <w:b/>
                <w:bCs/>
              </w:rPr>
            </w:pPr>
            <w:r w:rsidRPr="00776C26">
              <w:rPr>
                <w:rFonts w:cs="Arial"/>
                <w:b/>
                <w:bCs/>
              </w:rPr>
              <w:t>Total</w:t>
            </w:r>
          </w:p>
        </w:tc>
      </w:tr>
      <w:tr w:rsidR="00776C26" w14:paraId="056B7E40" w14:textId="77777777" w:rsidTr="00F33E5D">
        <w:tc>
          <w:tcPr>
            <w:tcW w:w="1555" w:type="dxa"/>
          </w:tcPr>
          <w:p w14:paraId="3DEA491F" w14:textId="157BCD95" w:rsidR="00776C26" w:rsidRPr="00490B40" w:rsidRDefault="00776C26" w:rsidP="00DB2BE0">
            <w:pPr>
              <w:ind w:right="-425"/>
              <w:jc w:val="both"/>
              <w:rPr>
                <w:rFonts w:cs="Arial"/>
              </w:rPr>
            </w:pPr>
            <w:r w:rsidRPr="00490B40">
              <w:rPr>
                <w:rFonts w:cs="Arial"/>
              </w:rPr>
              <w:t>AU</w:t>
            </w:r>
          </w:p>
        </w:tc>
        <w:tc>
          <w:tcPr>
            <w:tcW w:w="992" w:type="dxa"/>
          </w:tcPr>
          <w:p w14:paraId="60040393" w14:textId="60A823EE" w:rsidR="00776C26" w:rsidRPr="00776C26" w:rsidRDefault="00776C26" w:rsidP="00776C26">
            <w:pPr>
              <w:jc w:val="right"/>
            </w:pPr>
            <w:r>
              <w:t>13</w:t>
            </w:r>
          </w:p>
        </w:tc>
        <w:tc>
          <w:tcPr>
            <w:tcW w:w="1134" w:type="dxa"/>
          </w:tcPr>
          <w:p w14:paraId="150A0C06" w14:textId="7C4B8ABD" w:rsidR="00776C26" w:rsidRPr="00776C26" w:rsidRDefault="00776C26" w:rsidP="00776C26">
            <w:pPr>
              <w:jc w:val="right"/>
            </w:pPr>
            <w:r>
              <w:t>0</w:t>
            </w:r>
          </w:p>
        </w:tc>
        <w:tc>
          <w:tcPr>
            <w:tcW w:w="992" w:type="dxa"/>
          </w:tcPr>
          <w:p w14:paraId="3D7C120E" w14:textId="76245397" w:rsidR="00776C26" w:rsidRPr="00776C26" w:rsidRDefault="00776C26" w:rsidP="00776C26">
            <w:pPr>
              <w:jc w:val="right"/>
              <w:rPr>
                <w:b/>
                <w:bCs/>
              </w:rPr>
            </w:pPr>
            <w:r w:rsidRPr="00776C26">
              <w:rPr>
                <w:b/>
                <w:bCs/>
              </w:rPr>
              <w:t>13</w:t>
            </w:r>
          </w:p>
        </w:tc>
      </w:tr>
      <w:tr w:rsidR="00776C26" w14:paraId="46C468EC" w14:textId="77777777" w:rsidTr="00F33E5D">
        <w:tc>
          <w:tcPr>
            <w:tcW w:w="1555" w:type="dxa"/>
          </w:tcPr>
          <w:p w14:paraId="07D70FD5" w14:textId="6312795B" w:rsidR="00776C26" w:rsidRPr="00490B40" w:rsidRDefault="00776C26" w:rsidP="00DB2BE0">
            <w:pPr>
              <w:ind w:right="-425"/>
              <w:jc w:val="both"/>
              <w:rPr>
                <w:rFonts w:cs="Arial"/>
              </w:rPr>
            </w:pPr>
            <w:r w:rsidRPr="00490B40">
              <w:rPr>
                <w:rFonts w:cs="Arial"/>
              </w:rPr>
              <w:t>CO</w:t>
            </w:r>
          </w:p>
        </w:tc>
        <w:tc>
          <w:tcPr>
            <w:tcW w:w="992" w:type="dxa"/>
          </w:tcPr>
          <w:p w14:paraId="608702CB" w14:textId="2D774D49" w:rsidR="00776C26" w:rsidRPr="00776C26" w:rsidRDefault="00776C26" w:rsidP="00776C26">
            <w:pPr>
              <w:jc w:val="right"/>
            </w:pPr>
            <w:r>
              <w:t>2</w:t>
            </w:r>
          </w:p>
        </w:tc>
        <w:tc>
          <w:tcPr>
            <w:tcW w:w="1134" w:type="dxa"/>
          </w:tcPr>
          <w:p w14:paraId="36830A3A" w14:textId="791668DF" w:rsidR="00776C26" w:rsidRPr="00776C26" w:rsidRDefault="00776C26" w:rsidP="00776C26">
            <w:pPr>
              <w:jc w:val="right"/>
            </w:pPr>
            <w:r>
              <w:t>0</w:t>
            </w:r>
          </w:p>
        </w:tc>
        <w:tc>
          <w:tcPr>
            <w:tcW w:w="992" w:type="dxa"/>
          </w:tcPr>
          <w:p w14:paraId="5C2C1CCC" w14:textId="6AA7BD44" w:rsidR="00776C26" w:rsidRPr="00776C26" w:rsidRDefault="00776C26" w:rsidP="00776C26">
            <w:pPr>
              <w:jc w:val="right"/>
              <w:rPr>
                <w:b/>
                <w:bCs/>
              </w:rPr>
            </w:pPr>
            <w:r w:rsidRPr="00776C26">
              <w:rPr>
                <w:b/>
                <w:bCs/>
              </w:rPr>
              <w:t>2</w:t>
            </w:r>
          </w:p>
        </w:tc>
      </w:tr>
      <w:tr w:rsidR="00776C26" w14:paraId="2427E374" w14:textId="77777777" w:rsidTr="00F33E5D">
        <w:tc>
          <w:tcPr>
            <w:tcW w:w="1555" w:type="dxa"/>
          </w:tcPr>
          <w:p w14:paraId="77FA0650" w14:textId="1908F3D4" w:rsidR="00776C26" w:rsidRPr="00490B40" w:rsidRDefault="00776C26" w:rsidP="00DB2BE0">
            <w:pPr>
              <w:ind w:right="-425"/>
              <w:jc w:val="both"/>
              <w:rPr>
                <w:rFonts w:cs="Arial"/>
              </w:rPr>
            </w:pPr>
            <w:r w:rsidRPr="00490B40">
              <w:rPr>
                <w:rFonts w:cs="Arial"/>
              </w:rPr>
              <w:t>DM</w:t>
            </w:r>
          </w:p>
        </w:tc>
        <w:tc>
          <w:tcPr>
            <w:tcW w:w="992" w:type="dxa"/>
          </w:tcPr>
          <w:p w14:paraId="4DD1306F" w14:textId="30B03B17" w:rsidR="00776C26" w:rsidRPr="00776C26" w:rsidRDefault="00776C26" w:rsidP="00776C26">
            <w:pPr>
              <w:jc w:val="right"/>
            </w:pPr>
            <w:r>
              <w:t>17</w:t>
            </w:r>
          </w:p>
        </w:tc>
        <w:tc>
          <w:tcPr>
            <w:tcW w:w="1134" w:type="dxa"/>
          </w:tcPr>
          <w:p w14:paraId="6D3BF873" w14:textId="6BC228B9" w:rsidR="00776C26" w:rsidRPr="00776C26" w:rsidRDefault="00776C26" w:rsidP="00776C26">
            <w:pPr>
              <w:jc w:val="right"/>
            </w:pPr>
            <w:r>
              <w:t>1</w:t>
            </w:r>
          </w:p>
        </w:tc>
        <w:tc>
          <w:tcPr>
            <w:tcW w:w="992" w:type="dxa"/>
          </w:tcPr>
          <w:p w14:paraId="30B743B9" w14:textId="78DC0343" w:rsidR="00776C26" w:rsidRPr="00776C26" w:rsidRDefault="00776C26" w:rsidP="00776C26">
            <w:pPr>
              <w:jc w:val="right"/>
              <w:rPr>
                <w:b/>
                <w:bCs/>
              </w:rPr>
            </w:pPr>
            <w:r w:rsidRPr="00776C26">
              <w:rPr>
                <w:b/>
                <w:bCs/>
              </w:rPr>
              <w:t>18</w:t>
            </w:r>
          </w:p>
        </w:tc>
      </w:tr>
      <w:tr w:rsidR="00776C26" w14:paraId="104D7770" w14:textId="77777777" w:rsidTr="00F33E5D">
        <w:tc>
          <w:tcPr>
            <w:tcW w:w="1555" w:type="dxa"/>
          </w:tcPr>
          <w:p w14:paraId="294DA27F" w14:textId="26E67B08" w:rsidR="00776C26" w:rsidRPr="00490B40" w:rsidRDefault="00776C26" w:rsidP="00DB2BE0">
            <w:pPr>
              <w:ind w:right="-425"/>
              <w:jc w:val="both"/>
              <w:rPr>
                <w:rFonts w:cs="Arial"/>
              </w:rPr>
            </w:pPr>
            <w:r w:rsidRPr="00490B40">
              <w:rPr>
                <w:rFonts w:cs="Arial"/>
              </w:rPr>
              <w:t>HV</w:t>
            </w:r>
          </w:p>
        </w:tc>
        <w:tc>
          <w:tcPr>
            <w:tcW w:w="992" w:type="dxa"/>
          </w:tcPr>
          <w:p w14:paraId="225FB54F" w14:textId="73D7BCC4" w:rsidR="00776C26" w:rsidRPr="00776C26" w:rsidRDefault="00776C26" w:rsidP="00776C26">
            <w:pPr>
              <w:jc w:val="right"/>
            </w:pPr>
            <w:r>
              <w:t>2</w:t>
            </w:r>
          </w:p>
        </w:tc>
        <w:tc>
          <w:tcPr>
            <w:tcW w:w="1134" w:type="dxa"/>
          </w:tcPr>
          <w:p w14:paraId="4CBB6300" w14:textId="12A128D6" w:rsidR="00776C26" w:rsidRPr="00776C26" w:rsidRDefault="00776C26" w:rsidP="00776C26">
            <w:pPr>
              <w:jc w:val="right"/>
            </w:pPr>
            <w:r>
              <w:t>0</w:t>
            </w:r>
          </w:p>
        </w:tc>
        <w:tc>
          <w:tcPr>
            <w:tcW w:w="992" w:type="dxa"/>
          </w:tcPr>
          <w:p w14:paraId="4BD1E5E5" w14:textId="2B762896" w:rsidR="00776C26" w:rsidRPr="00776C26" w:rsidRDefault="00776C26" w:rsidP="00776C26">
            <w:pPr>
              <w:jc w:val="right"/>
              <w:rPr>
                <w:b/>
                <w:bCs/>
              </w:rPr>
            </w:pPr>
            <w:r w:rsidRPr="00776C26">
              <w:rPr>
                <w:b/>
                <w:bCs/>
              </w:rPr>
              <w:t>2</w:t>
            </w:r>
          </w:p>
        </w:tc>
      </w:tr>
      <w:tr w:rsidR="00776C26" w14:paraId="7DBE4FA4" w14:textId="77777777" w:rsidTr="00F33E5D">
        <w:tc>
          <w:tcPr>
            <w:tcW w:w="1555" w:type="dxa"/>
          </w:tcPr>
          <w:p w14:paraId="06EBC0E8" w14:textId="794DD40B" w:rsidR="00776C26" w:rsidRPr="00490B40" w:rsidRDefault="00776C26" w:rsidP="00DB2BE0">
            <w:pPr>
              <w:ind w:right="-425"/>
              <w:jc w:val="both"/>
              <w:rPr>
                <w:rFonts w:cs="Arial"/>
              </w:rPr>
            </w:pPr>
            <w:r w:rsidRPr="00490B40">
              <w:rPr>
                <w:rFonts w:cs="Arial"/>
              </w:rPr>
              <w:t>MG</w:t>
            </w:r>
          </w:p>
        </w:tc>
        <w:tc>
          <w:tcPr>
            <w:tcW w:w="992" w:type="dxa"/>
          </w:tcPr>
          <w:p w14:paraId="1D54471F" w14:textId="36719C1F" w:rsidR="00776C26" w:rsidRPr="00776C26" w:rsidRDefault="00776C26" w:rsidP="00776C26">
            <w:pPr>
              <w:jc w:val="right"/>
            </w:pPr>
            <w:r>
              <w:t>5</w:t>
            </w:r>
          </w:p>
        </w:tc>
        <w:tc>
          <w:tcPr>
            <w:tcW w:w="1134" w:type="dxa"/>
          </w:tcPr>
          <w:p w14:paraId="453924A3" w14:textId="4BA8554F" w:rsidR="00776C26" w:rsidRPr="00776C26" w:rsidRDefault="00776C26" w:rsidP="00776C26">
            <w:pPr>
              <w:jc w:val="right"/>
            </w:pPr>
            <w:r>
              <w:t>0</w:t>
            </w:r>
          </w:p>
        </w:tc>
        <w:tc>
          <w:tcPr>
            <w:tcW w:w="992" w:type="dxa"/>
          </w:tcPr>
          <w:p w14:paraId="3C3F59C8" w14:textId="6EFFD715" w:rsidR="00776C26" w:rsidRPr="00776C26" w:rsidRDefault="00776C26" w:rsidP="00776C26">
            <w:pPr>
              <w:jc w:val="right"/>
              <w:rPr>
                <w:b/>
                <w:bCs/>
              </w:rPr>
            </w:pPr>
            <w:r w:rsidRPr="00776C26">
              <w:rPr>
                <w:b/>
                <w:bCs/>
              </w:rPr>
              <w:t>5</w:t>
            </w:r>
          </w:p>
        </w:tc>
      </w:tr>
      <w:tr w:rsidR="00776C26" w14:paraId="10C7A280" w14:textId="77777777" w:rsidTr="00F33E5D">
        <w:tc>
          <w:tcPr>
            <w:tcW w:w="1555" w:type="dxa"/>
          </w:tcPr>
          <w:p w14:paraId="09023613" w14:textId="1B61DFC1" w:rsidR="00776C26" w:rsidRPr="00776C26" w:rsidRDefault="00776C26" w:rsidP="00DB2BE0">
            <w:pPr>
              <w:ind w:right="-425"/>
              <w:jc w:val="both"/>
              <w:rPr>
                <w:rFonts w:cs="Arial"/>
                <w:b/>
                <w:bCs/>
              </w:rPr>
            </w:pPr>
            <w:r w:rsidRPr="00776C26">
              <w:rPr>
                <w:rFonts w:cs="Arial"/>
                <w:b/>
                <w:bCs/>
              </w:rPr>
              <w:t>Total</w:t>
            </w:r>
          </w:p>
        </w:tc>
        <w:tc>
          <w:tcPr>
            <w:tcW w:w="992" w:type="dxa"/>
          </w:tcPr>
          <w:p w14:paraId="34E1352B" w14:textId="6B38C788" w:rsidR="00776C26" w:rsidRPr="00776C26" w:rsidRDefault="00776C26" w:rsidP="00776C26">
            <w:pPr>
              <w:jc w:val="right"/>
              <w:rPr>
                <w:b/>
                <w:bCs/>
              </w:rPr>
            </w:pPr>
            <w:r w:rsidRPr="00776C26">
              <w:rPr>
                <w:b/>
                <w:bCs/>
              </w:rPr>
              <w:t>39</w:t>
            </w:r>
          </w:p>
        </w:tc>
        <w:tc>
          <w:tcPr>
            <w:tcW w:w="1134" w:type="dxa"/>
          </w:tcPr>
          <w:p w14:paraId="3EC18A4A" w14:textId="13DDA10D" w:rsidR="00776C26" w:rsidRPr="00776C26" w:rsidRDefault="00776C26" w:rsidP="00776C26">
            <w:pPr>
              <w:jc w:val="right"/>
              <w:rPr>
                <w:b/>
                <w:bCs/>
              </w:rPr>
            </w:pPr>
            <w:r w:rsidRPr="00776C26">
              <w:rPr>
                <w:b/>
                <w:bCs/>
              </w:rPr>
              <w:t>1</w:t>
            </w:r>
          </w:p>
        </w:tc>
        <w:tc>
          <w:tcPr>
            <w:tcW w:w="992" w:type="dxa"/>
          </w:tcPr>
          <w:p w14:paraId="21E3004B" w14:textId="478D5844" w:rsidR="00776C26" w:rsidRPr="00776C26" w:rsidRDefault="00776C26" w:rsidP="00776C26">
            <w:pPr>
              <w:jc w:val="right"/>
              <w:rPr>
                <w:b/>
                <w:bCs/>
              </w:rPr>
            </w:pPr>
            <w:r w:rsidRPr="00776C26">
              <w:rPr>
                <w:b/>
                <w:bCs/>
              </w:rPr>
              <w:t>40</w:t>
            </w:r>
          </w:p>
        </w:tc>
      </w:tr>
    </w:tbl>
    <w:p w14:paraId="0D7809AB" w14:textId="4D83B8B0" w:rsidR="00355FF2" w:rsidRDefault="00355FF2" w:rsidP="00DB2BE0">
      <w:pPr>
        <w:ind w:left="-142" w:right="-425"/>
        <w:jc w:val="both"/>
        <w:rPr>
          <w:rFonts w:cs="Arial"/>
        </w:rPr>
      </w:pPr>
    </w:p>
    <w:p w14:paraId="37D5830E" w14:textId="05550A37" w:rsidR="00F33E5D" w:rsidRPr="004B6F52" w:rsidRDefault="00F33E5D" w:rsidP="00F33E5D">
      <w:pPr>
        <w:spacing w:after="120" w:line="240" w:lineRule="auto"/>
        <w:ind w:left="794" w:hanging="794"/>
      </w:pPr>
      <w:r w:rsidRPr="004B6F52">
        <w:rPr>
          <w:b/>
          <w:sz w:val="16"/>
          <w:szCs w:val="16"/>
        </w:rPr>
        <w:t xml:space="preserve">Table </w:t>
      </w:r>
      <w:r w:rsidR="00AA2A8F">
        <w:rPr>
          <w:b/>
          <w:sz w:val="16"/>
          <w:szCs w:val="16"/>
        </w:rPr>
        <w:t>1</w:t>
      </w:r>
      <w:r w:rsidR="001B247E" w:rsidRPr="004B6F52">
        <w:rPr>
          <w:b/>
          <w:sz w:val="16"/>
          <w:szCs w:val="16"/>
        </w:rPr>
        <w:t>7</w:t>
      </w:r>
      <w:r w:rsidRPr="004B6F52">
        <w:rPr>
          <w:b/>
          <w:sz w:val="16"/>
          <w:szCs w:val="16"/>
        </w:rPr>
        <w:t>:</w:t>
      </w:r>
      <w:r w:rsidRPr="004B6F52">
        <w:rPr>
          <w:sz w:val="16"/>
          <w:szCs w:val="16"/>
        </w:rPr>
        <w:t xml:space="preserve"> Number of </w:t>
      </w:r>
      <w:r w:rsidR="001B247E" w:rsidRPr="004B6F52">
        <w:rPr>
          <w:sz w:val="16"/>
          <w:szCs w:val="16"/>
        </w:rPr>
        <w:t>decisions by order</w:t>
      </w:r>
      <w:r w:rsidRPr="004B6F52">
        <w:rPr>
          <w:sz w:val="16"/>
          <w:szCs w:val="16"/>
        </w:rPr>
        <w:t xml:space="preserve"> </w:t>
      </w:r>
      <w:r w:rsidR="001B247E" w:rsidRPr="004B6F52">
        <w:rPr>
          <w:sz w:val="16"/>
          <w:szCs w:val="16"/>
        </w:rPr>
        <w:t xml:space="preserve">from 1 </w:t>
      </w:r>
      <w:r w:rsidRPr="004B6F52">
        <w:rPr>
          <w:sz w:val="16"/>
          <w:szCs w:val="16"/>
        </w:rPr>
        <w:t>July 2020 to 30 September 2020.</w:t>
      </w:r>
    </w:p>
    <w:tbl>
      <w:tblPr>
        <w:tblStyle w:val="TableGrid"/>
        <w:tblW w:w="0" w:type="auto"/>
        <w:tblInd w:w="108" w:type="dxa"/>
        <w:tblLook w:val="04A0" w:firstRow="1" w:lastRow="0" w:firstColumn="1" w:lastColumn="0" w:noHBand="0" w:noVBand="1"/>
      </w:tblPr>
      <w:tblGrid>
        <w:gridCol w:w="1496"/>
        <w:gridCol w:w="983"/>
        <w:gridCol w:w="1075"/>
        <w:gridCol w:w="1697"/>
        <w:gridCol w:w="1441"/>
        <w:gridCol w:w="1596"/>
        <w:gridCol w:w="1233"/>
      </w:tblGrid>
      <w:tr w:rsidR="00776C26" w:rsidRPr="004B6F52" w14:paraId="71B75FB8" w14:textId="77777777" w:rsidTr="00F33E5D">
        <w:tc>
          <w:tcPr>
            <w:tcW w:w="9521" w:type="dxa"/>
            <w:gridSpan w:val="7"/>
          </w:tcPr>
          <w:p w14:paraId="6F74DFB7" w14:textId="23CBE6C2" w:rsidR="00776C26" w:rsidRPr="004B6F52" w:rsidRDefault="00776C26" w:rsidP="00776C26">
            <w:pPr>
              <w:ind w:right="-425"/>
              <w:jc w:val="center"/>
              <w:rPr>
                <w:rFonts w:cs="Arial"/>
                <w:b/>
                <w:bCs/>
              </w:rPr>
            </w:pPr>
            <w:r w:rsidRPr="004B6F52">
              <w:rPr>
                <w:rFonts w:cs="Arial"/>
                <w:b/>
                <w:bCs/>
              </w:rPr>
              <w:t>Decisions by Order</w:t>
            </w:r>
          </w:p>
        </w:tc>
      </w:tr>
      <w:tr w:rsidR="00F33E5D" w14:paraId="096390B3" w14:textId="77777777" w:rsidTr="00F33E5D">
        <w:tc>
          <w:tcPr>
            <w:tcW w:w="1496" w:type="dxa"/>
          </w:tcPr>
          <w:p w14:paraId="22E019F2" w14:textId="2E269455" w:rsidR="00355FF2" w:rsidRPr="004B6F52" w:rsidRDefault="00355FF2" w:rsidP="00355FF2">
            <w:pPr>
              <w:ind w:right="-425"/>
              <w:jc w:val="both"/>
              <w:rPr>
                <w:rFonts w:cs="Arial"/>
                <w:b/>
                <w:bCs/>
              </w:rPr>
            </w:pPr>
            <w:r w:rsidRPr="004B6F52">
              <w:rPr>
                <w:rFonts w:cs="Arial"/>
                <w:b/>
                <w:bCs/>
              </w:rPr>
              <w:t>Community</w:t>
            </w:r>
          </w:p>
        </w:tc>
        <w:tc>
          <w:tcPr>
            <w:tcW w:w="983" w:type="dxa"/>
          </w:tcPr>
          <w:p w14:paraId="0A501563" w14:textId="7F249C48" w:rsidR="00355FF2" w:rsidRPr="004B6F52" w:rsidRDefault="00355FF2" w:rsidP="006B6030">
            <w:pPr>
              <w:jc w:val="center"/>
              <w:rPr>
                <w:rFonts w:cs="Arial"/>
                <w:b/>
                <w:bCs/>
              </w:rPr>
            </w:pPr>
            <w:r w:rsidRPr="004B6F52">
              <w:rPr>
                <w:rFonts w:cs="Arial"/>
                <w:b/>
                <w:bCs/>
              </w:rPr>
              <w:t>CP</w:t>
            </w:r>
            <w:r w:rsidR="002F1B05">
              <w:rPr>
                <w:rStyle w:val="FootnoteReference"/>
                <w:b/>
                <w:bCs/>
              </w:rPr>
              <w:footnoteReference w:id="14"/>
            </w:r>
          </w:p>
        </w:tc>
        <w:tc>
          <w:tcPr>
            <w:tcW w:w="1075" w:type="dxa"/>
          </w:tcPr>
          <w:p w14:paraId="3D511A7B" w14:textId="413AE988" w:rsidR="00355FF2" w:rsidRPr="004B6F52" w:rsidRDefault="00355FF2" w:rsidP="006B6030">
            <w:pPr>
              <w:jc w:val="center"/>
              <w:rPr>
                <w:rFonts w:cs="Arial"/>
                <w:b/>
                <w:bCs/>
              </w:rPr>
            </w:pPr>
            <w:r w:rsidRPr="004B6F52">
              <w:rPr>
                <w:rFonts w:cs="Arial"/>
                <w:b/>
                <w:bCs/>
              </w:rPr>
              <w:t>C</w:t>
            </w:r>
            <w:r w:rsidR="00294D17" w:rsidRPr="004B6F52">
              <w:rPr>
                <w:rFonts w:cs="Arial"/>
                <w:b/>
                <w:bCs/>
              </w:rPr>
              <w:t>I</w:t>
            </w:r>
            <w:r w:rsidRPr="004B6F52">
              <w:rPr>
                <w:rFonts w:cs="Arial"/>
                <w:b/>
                <w:bCs/>
              </w:rPr>
              <w:t>M</w:t>
            </w:r>
            <w:r w:rsidR="002F1B05">
              <w:rPr>
                <w:rStyle w:val="FootnoteReference"/>
                <w:b/>
                <w:bCs/>
              </w:rPr>
              <w:footnoteReference w:id="15"/>
            </w:r>
          </w:p>
        </w:tc>
        <w:tc>
          <w:tcPr>
            <w:tcW w:w="1697" w:type="dxa"/>
          </w:tcPr>
          <w:p w14:paraId="6B71BE44" w14:textId="438E83FA" w:rsidR="00355FF2" w:rsidRPr="004B6F52" w:rsidRDefault="00355FF2" w:rsidP="006B6030">
            <w:pPr>
              <w:jc w:val="center"/>
              <w:rPr>
                <w:rFonts w:cs="Arial"/>
                <w:b/>
                <w:bCs/>
              </w:rPr>
            </w:pPr>
            <w:r w:rsidRPr="004B6F52">
              <w:rPr>
                <w:rFonts w:cs="Arial"/>
                <w:b/>
                <w:bCs/>
              </w:rPr>
              <w:t>CP &amp; CIM Concurrently</w:t>
            </w:r>
          </w:p>
        </w:tc>
        <w:tc>
          <w:tcPr>
            <w:tcW w:w="1441" w:type="dxa"/>
          </w:tcPr>
          <w:p w14:paraId="059D31E4" w14:textId="38209BC6" w:rsidR="00355FF2" w:rsidRPr="004B6F52" w:rsidRDefault="00355FF2" w:rsidP="006B6030">
            <w:pPr>
              <w:jc w:val="center"/>
              <w:rPr>
                <w:rFonts w:cs="Arial"/>
                <w:b/>
                <w:bCs/>
              </w:rPr>
            </w:pPr>
            <w:r w:rsidRPr="004B6F52">
              <w:rPr>
                <w:rFonts w:cs="Arial"/>
                <w:b/>
                <w:bCs/>
              </w:rPr>
              <w:t>Reprimand</w:t>
            </w:r>
          </w:p>
        </w:tc>
        <w:tc>
          <w:tcPr>
            <w:tcW w:w="1596" w:type="dxa"/>
          </w:tcPr>
          <w:p w14:paraId="7A8F9C9D" w14:textId="635017EC" w:rsidR="00355FF2" w:rsidRPr="004B6F52" w:rsidRDefault="00355FF2" w:rsidP="006B6030">
            <w:pPr>
              <w:jc w:val="center"/>
              <w:rPr>
                <w:rFonts w:cs="Arial"/>
                <w:b/>
                <w:bCs/>
              </w:rPr>
            </w:pPr>
            <w:r w:rsidRPr="004B6F52">
              <w:rPr>
                <w:rFonts w:cs="Arial"/>
                <w:b/>
                <w:bCs/>
              </w:rPr>
              <w:t>No Further Action</w:t>
            </w:r>
          </w:p>
        </w:tc>
        <w:tc>
          <w:tcPr>
            <w:tcW w:w="1233" w:type="dxa"/>
          </w:tcPr>
          <w:p w14:paraId="72783A5A" w14:textId="53CA2B9F" w:rsidR="00355FF2" w:rsidRPr="00294D17" w:rsidRDefault="00355FF2" w:rsidP="00776C26">
            <w:pPr>
              <w:jc w:val="right"/>
              <w:rPr>
                <w:rFonts w:cs="Arial"/>
                <w:b/>
                <w:bCs/>
              </w:rPr>
            </w:pPr>
            <w:r w:rsidRPr="004B6F52">
              <w:rPr>
                <w:rFonts w:cs="Arial"/>
                <w:b/>
                <w:bCs/>
              </w:rPr>
              <w:t>Total</w:t>
            </w:r>
          </w:p>
        </w:tc>
      </w:tr>
      <w:tr w:rsidR="00F33E5D" w14:paraId="71F50225" w14:textId="77777777" w:rsidTr="00F33E5D">
        <w:tc>
          <w:tcPr>
            <w:tcW w:w="1496" w:type="dxa"/>
          </w:tcPr>
          <w:p w14:paraId="4BB2DC32" w14:textId="4F2F5505" w:rsidR="00355FF2" w:rsidRPr="00490B40" w:rsidRDefault="00355FF2" w:rsidP="00355FF2">
            <w:pPr>
              <w:ind w:right="-425"/>
              <w:jc w:val="both"/>
              <w:rPr>
                <w:rFonts w:cs="Arial"/>
              </w:rPr>
            </w:pPr>
            <w:r w:rsidRPr="00490B40">
              <w:rPr>
                <w:rFonts w:cs="Arial"/>
              </w:rPr>
              <w:t>AU</w:t>
            </w:r>
          </w:p>
        </w:tc>
        <w:tc>
          <w:tcPr>
            <w:tcW w:w="983" w:type="dxa"/>
          </w:tcPr>
          <w:p w14:paraId="27B65AB5" w14:textId="41FB3223" w:rsidR="00355FF2" w:rsidRPr="00294D17" w:rsidRDefault="00294D17" w:rsidP="00294D17">
            <w:pPr>
              <w:jc w:val="right"/>
            </w:pPr>
            <w:r>
              <w:t>15</w:t>
            </w:r>
          </w:p>
        </w:tc>
        <w:tc>
          <w:tcPr>
            <w:tcW w:w="1075" w:type="dxa"/>
          </w:tcPr>
          <w:p w14:paraId="19C2A4DA" w14:textId="45B77021" w:rsidR="00355FF2" w:rsidRPr="00294D17" w:rsidRDefault="00294D17" w:rsidP="00294D17">
            <w:pPr>
              <w:jc w:val="right"/>
            </w:pPr>
            <w:r>
              <w:t>9</w:t>
            </w:r>
          </w:p>
        </w:tc>
        <w:tc>
          <w:tcPr>
            <w:tcW w:w="1697" w:type="dxa"/>
          </w:tcPr>
          <w:p w14:paraId="5B3B0387" w14:textId="5BE75888" w:rsidR="00355FF2" w:rsidRPr="00294D17" w:rsidRDefault="00294D17" w:rsidP="00294D17">
            <w:pPr>
              <w:jc w:val="right"/>
            </w:pPr>
            <w:r>
              <w:t>5</w:t>
            </w:r>
          </w:p>
        </w:tc>
        <w:tc>
          <w:tcPr>
            <w:tcW w:w="1441" w:type="dxa"/>
          </w:tcPr>
          <w:p w14:paraId="02034510" w14:textId="28B4E086" w:rsidR="00355FF2" w:rsidRPr="00294D17" w:rsidRDefault="00294D17" w:rsidP="00294D17">
            <w:pPr>
              <w:jc w:val="right"/>
            </w:pPr>
            <w:r>
              <w:t>26</w:t>
            </w:r>
          </w:p>
        </w:tc>
        <w:tc>
          <w:tcPr>
            <w:tcW w:w="1596" w:type="dxa"/>
          </w:tcPr>
          <w:p w14:paraId="527D2352" w14:textId="231AEA87" w:rsidR="00355FF2" w:rsidRPr="00294D17" w:rsidRDefault="00294D17" w:rsidP="00294D17">
            <w:pPr>
              <w:jc w:val="right"/>
            </w:pPr>
            <w:r>
              <w:t>11</w:t>
            </w:r>
          </w:p>
        </w:tc>
        <w:tc>
          <w:tcPr>
            <w:tcW w:w="1233" w:type="dxa"/>
          </w:tcPr>
          <w:p w14:paraId="25C0D696" w14:textId="359C0CD1" w:rsidR="00355FF2" w:rsidRPr="00776C26" w:rsidRDefault="00776C26" w:rsidP="00294D17">
            <w:pPr>
              <w:jc w:val="right"/>
              <w:rPr>
                <w:b/>
                <w:bCs/>
              </w:rPr>
            </w:pPr>
            <w:r w:rsidRPr="00776C26">
              <w:rPr>
                <w:b/>
                <w:bCs/>
              </w:rPr>
              <w:t>66</w:t>
            </w:r>
          </w:p>
        </w:tc>
      </w:tr>
      <w:tr w:rsidR="00F33E5D" w14:paraId="72F79FDB" w14:textId="77777777" w:rsidTr="00F33E5D">
        <w:tc>
          <w:tcPr>
            <w:tcW w:w="1496" w:type="dxa"/>
          </w:tcPr>
          <w:p w14:paraId="5F60347C" w14:textId="7F2714A3" w:rsidR="00355FF2" w:rsidRPr="00490B40" w:rsidRDefault="00355FF2" w:rsidP="00355FF2">
            <w:pPr>
              <w:ind w:right="-425"/>
              <w:jc w:val="both"/>
              <w:rPr>
                <w:rFonts w:cs="Arial"/>
              </w:rPr>
            </w:pPr>
            <w:r w:rsidRPr="00490B40">
              <w:rPr>
                <w:rFonts w:cs="Arial"/>
              </w:rPr>
              <w:t>CO</w:t>
            </w:r>
          </w:p>
        </w:tc>
        <w:tc>
          <w:tcPr>
            <w:tcW w:w="983" w:type="dxa"/>
          </w:tcPr>
          <w:p w14:paraId="08CA5A62" w14:textId="5CBF3F8E" w:rsidR="00355FF2" w:rsidRPr="00294D17" w:rsidRDefault="00294D17" w:rsidP="00294D17">
            <w:pPr>
              <w:jc w:val="right"/>
            </w:pPr>
            <w:r>
              <w:t>0</w:t>
            </w:r>
          </w:p>
        </w:tc>
        <w:tc>
          <w:tcPr>
            <w:tcW w:w="1075" w:type="dxa"/>
          </w:tcPr>
          <w:p w14:paraId="55FA1334" w14:textId="295587D1" w:rsidR="00355FF2" w:rsidRPr="00294D17" w:rsidRDefault="00294D17" w:rsidP="00294D17">
            <w:pPr>
              <w:jc w:val="right"/>
            </w:pPr>
            <w:r>
              <w:t>0</w:t>
            </w:r>
          </w:p>
        </w:tc>
        <w:tc>
          <w:tcPr>
            <w:tcW w:w="1697" w:type="dxa"/>
          </w:tcPr>
          <w:p w14:paraId="75BF952B" w14:textId="553C3F62" w:rsidR="00355FF2" w:rsidRPr="00294D17" w:rsidRDefault="00294D17" w:rsidP="00294D17">
            <w:pPr>
              <w:jc w:val="right"/>
            </w:pPr>
            <w:r>
              <w:t>3</w:t>
            </w:r>
          </w:p>
        </w:tc>
        <w:tc>
          <w:tcPr>
            <w:tcW w:w="1441" w:type="dxa"/>
          </w:tcPr>
          <w:p w14:paraId="51CA864F" w14:textId="3E164108" w:rsidR="00355FF2" w:rsidRPr="00294D17" w:rsidRDefault="00294D17" w:rsidP="00294D17">
            <w:pPr>
              <w:jc w:val="right"/>
            </w:pPr>
            <w:r>
              <w:t>1</w:t>
            </w:r>
          </w:p>
        </w:tc>
        <w:tc>
          <w:tcPr>
            <w:tcW w:w="1596" w:type="dxa"/>
          </w:tcPr>
          <w:p w14:paraId="618F6FEB" w14:textId="5AA40D5D" w:rsidR="00355FF2" w:rsidRPr="00294D17" w:rsidRDefault="00294D17" w:rsidP="00294D17">
            <w:pPr>
              <w:jc w:val="right"/>
            </w:pPr>
            <w:r>
              <w:t>3</w:t>
            </w:r>
          </w:p>
        </w:tc>
        <w:tc>
          <w:tcPr>
            <w:tcW w:w="1233" w:type="dxa"/>
          </w:tcPr>
          <w:p w14:paraId="56C587CD" w14:textId="3EA4807F" w:rsidR="00355FF2" w:rsidRPr="00776C26" w:rsidRDefault="00776C26" w:rsidP="00294D17">
            <w:pPr>
              <w:jc w:val="right"/>
              <w:rPr>
                <w:b/>
                <w:bCs/>
              </w:rPr>
            </w:pPr>
            <w:r w:rsidRPr="00776C26">
              <w:rPr>
                <w:b/>
                <w:bCs/>
              </w:rPr>
              <w:t>7</w:t>
            </w:r>
          </w:p>
        </w:tc>
      </w:tr>
      <w:tr w:rsidR="00F33E5D" w14:paraId="52EB4779" w14:textId="77777777" w:rsidTr="00F33E5D">
        <w:tc>
          <w:tcPr>
            <w:tcW w:w="1496" w:type="dxa"/>
          </w:tcPr>
          <w:p w14:paraId="20BC9357" w14:textId="1F7BDD09" w:rsidR="00355FF2" w:rsidRPr="00490B40" w:rsidRDefault="00355FF2" w:rsidP="00355FF2">
            <w:pPr>
              <w:ind w:right="-425"/>
              <w:jc w:val="both"/>
              <w:rPr>
                <w:rFonts w:cs="Arial"/>
              </w:rPr>
            </w:pPr>
            <w:r w:rsidRPr="00490B40">
              <w:rPr>
                <w:rFonts w:cs="Arial"/>
              </w:rPr>
              <w:t>DM</w:t>
            </w:r>
          </w:p>
        </w:tc>
        <w:tc>
          <w:tcPr>
            <w:tcW w:w="983" w:type="dxa"/>
          </w:tcPr>
          <w:p w14:paraId="7D6D30F7" w14:textId="0F1418BE" w:rsidR="00355FF2" w:rsidRPr="00294D17" w:rsidRDefault="00294D17" w:rsidP="00294D17">
            <w:pPr>
              <w:jc w:val="right"/>
            </w:pPr>
            <w:r>
              <w:t>15</w:t>
            </w:r>
          </w:p>
        </w:tc>
        <w:tc>
          <w:tcPr>
            <w:tcW w:w="1075" w:type="dxa"/>
          </w:tcPr>
          <w:p w14:paraId="60FC750E" w14:textId="514830FF" w:rsidR="00355FF2" w:rsidRPr="00294D17" w:rsidRDefault="00294D17" w:rsidP="00294D17">
            <w:pPr>
              <w:jc w:val="right"/>
            </w:pPr>
            <w:r>
              <w:t>5</w:t>
            </w:r>
          </w:p>
        </w:tc>
        <w:tc>
          <w:tcPr>
            <w:tcW w:w="1697" w:type="dxa"/>
          </w:tcPr>
          <w:p w14:paraId="502387B5" w14:textId="0358749D" w:rsidR="00355FF2" w:rsidRPr="00294D17" w:rsidRDefault="00294D17" w:rsidP="00294D17">
            <w:pPr>
              <w:jc w:val="right"/>
            </w:pPr>
            <w:r>
              <w:t>2</w:t>
            </w:r>
          </w:p>
        </w:tc>
        <w:tc>
          <w:tcPr>
            <w:tcW w:w="1441" w:type="dxa"/>
          </w:tcPr>
          <w:p w14:paraId="7E19FAA0" w14:textId="76C9AD44" w:rsidR="00355FF2" w:rsidRPr="00294D17" w:rsidRDefault="00294D17" w:rsidP="00294D17">
            <w:pPr>
              <w:jc w:val="right"/>
            </w:pPr>
            <w:r>
              <w:t>5</w:t>
            </w:r>
          </w:p>
        </w:tc>
        <w:tc>
          <w:tcPr>
            <w:tcW w:w="1596" w:type="dxa"/>
          </w:tcPr>
          <w:p w14:paraId="45B0BE17" w14:textId="6D3ED634" w:rsidR="00355FF2" w:rsidRPr="00294D17" w:rsidRDefault="00294D17" w:rsidP="00294D17">
            <w:pPr>
              <w:jc w:val="right"/>
            </w:pPr>
            <w:r>
              <w:t>13</w:t>
            </w:r>
          </w:p>
        </w:tc>
        <w:tc>
          <w:tcPr>
            <w:tcW w:w="1233" w:type="dxa"/>
          </w:tcPr>
          <w:p w14:paraId="28795CD6" w14:textId="53CCBA5F" w:rsidR="00355FF2" w:rsidRPr="00776C26" w:rsidRDefault="00776C26" w:rsidP="00294D17">
            <w:pPr>
              <w:jc w:val="right"/>
              <w:rPr>
                <w:b/>
                <w:bCs/>
              </w:rPr>
            </w:pPr>
            <w:r w:rsidRPr="00776C26">
              <w:rPr>
                <w:b/>
                <w:bCs/>
              </w:rPr>
              <w:t>40</w:t>
            </w:r>
          </w:p>
        </w:tc>
      </w:tr>
      <w:tr w:rsidR="00F33E5D" w14:paraId="2DBA9299" w14:textId="77777777" w:rsidTr="00F33E5D">
        <w:tc>
          <w:tcPr>
            <w:tcW w:w="1496" w:type="dxa"/>
          </w:tcPr>
          <w:p w14:paraId="2721BC9C" w14:textId="7783381B" w:rsidR="00355FF2" w:rsidRPr="00490B40" w:rsidRDefault="00355FF2" w:rsidP="00355FF2">
            <w:pPr>
              <w:ind w:right="-425"/>
              <w:jc w:val="both"/>
              <w:rPr>
                <w:rFonts w:cs="Arial"/>
              </w:rPr>
            </w:pPr>
            <w:r w:rsidRPr="00490B40">
              <w:rPr>
                <w:rFonts w:cs="Arial"/>
              </w:rPr>
              <w:t>HV</w:t>
            </w:r>
          </w:p>
        </w:tc>
        <w:tc>
          <w:tcPr>
            <w:tcW w:w="983" w:type="dxa"/>
          </w:tcPr>
          <w:p w14:paraId="544D635E" w14:textId="1105F044" w:rsidR="00355FF2" w:rsidRPr="00294D17" w:rsidRDefault="00294D17" w:rsidP="00294D17">
            <w:pPr>
              <w:jc w:val="right"/>
            </w:pPr>
            <w:r>
              <w:t>2</w:t>
            </w:r>
          </w:p>
        </w:tc>
        <w:tc>
          <w:tcPr>
            <w:tcW w:w="1075" w:type="dxa"/>
          </w:tcPr>
          <w:p w14:paraId="37E9FDEB" w14:textId="598C78D5" w:rsidR="00355FF2" w:rsidRPr="00294D17" w:rsidRDefault="00294D17" w:rsidP="00294D17">
            <w:pPr>
              <w:jc w:val="right"/>
            </w:pPr>
            <w:r>
              <w:t>6</w:t>
            </w:r>
          </w:p>
        </w:tc>
        <w:tc>
          <w:tcPr>
            <w:tcW w:w="1697" w:type="dxa"/>
          </w:tcPr>
          <w:p w14:paraId="26BEE203" w14:textId="737E4EA0" w:rsidR="00355FF2" w:rsidRPr="00294D17" w:rsidRDefault="00294D17" w:rsidP="00294D17">
            <w:pPr>
              <w:jc w:val="right"/>
            </w:pPr>
            <w:r>
              <w:t>0</w:t>
            </w:r>
          </w:p>
        </w:tc>
        <w:tc>
          <w:tcPr>
            <w:tcW w:w="1441" w:type="dxa"/>
          </w:tcPr>
          <w:p w14:paraId="03F14511" w14:textId="3208EFFB" w:rsidR="00355FF2" w:rsidRPr="00294D17" w:rsidRDefault="00294D17" w:rsidP="00294D17">
            <w:pPr>
              <w:jc w:val="right"/>
            </w:pPr>
            <w:r>
              <w:t>0</w:t>
            </w:r>
          </w:p>
        </w:tc>
        <w:tc>
          <w:tcPr>
            <w:tcW w:w="1596" w:type="dxa"/>
          </w:tcPr>
          <w:p w14:paraId="59F34496" w14:textId="32D5FA97" w:rsidR="00355FF2" w:rsidRPr="00294D17" w:rsidRDefault="00294D17" w:rsidP="00294D17">
            <w:pPr>
              <w:jc w:val="right"/>
            </w:pPr>
            <w:r>
              <w:t>26</w:t>
            </w:r>
          </w:p>
        </w:tc>
        <w:tc>
          <w:tcPr>
            <w:tcW w:w="1233" w:type="dxa"/>
          </w:tcPr>
          <w:p w14:paraId="649B1D29" w14:textId="2ED566EC" w:rsidR="00355FF2" w:rsidRPr="00776C26" w:rsidRDefault="00776C26" w:rsidP="00294D17">
            <w:pPr>
              <w:jc w:val="right"/>
              <w:rPr>
                <w:b/>
                <w:bCs/>
              </w:rPr>
            </w:pPr>
            <w:r w:rsidRPr="00776C26">
              <w:rPr>
                <w:b/>
                <w:bCs/>
              </w:rPr>
              <w:t>34</w:t>
            </w:r>
          </w:p>
        </w:tc>
      </w:tr>
      <w:tr w:rsidR="00F33E5D" w14:paraId="124BE6C8" w14:textId="77777777" w:rsidTr="00F33E5D">
        <w:tc>
          <w:tcPr>
            <w:tcW w:w="1496" w:type="dxa"/>
          </w:tcPr>
          <w:p w14:paraId="6996D637" w14:textId="76151C74" w:rsidR="00355FF2" w:rsidRPr="00490B40" w:rsidRDefault="00355FF2" w:rsidP="00355FF2">
            <w:pPr>
              <w:ind w:right="-425"/>
              <w:jc w:val="both"/>
              <w:rPr>
                <w:rFonts w:cs="Arial"/>
              </w:rPr>
            </w:pPr>
            <w:r w:rsidRPr="00490B40">
              <w:rPr>
                <w:rFonts w:cs="Arial"/>
              </w:rPr>
              <w:t>MG</w:t>
            </w:r>
          </w:p>
        </w:tc>
        <w:tc>
          <w:tcPr>
            <w:tcW w:w="983" w:type="dxa"/>
          </w:tcPr>
          <w:p w14:paraId="5AA4E5A1" w14:textId="2BDF1FDF" w:rsidR="00355FF2" w:rsidRPr="00294D17" w:rsidRDefault="00294D17" w:rsidP="00294D17">
            <w:pPr>
              <w:jc w:val="right"/>
            </w:pPr>
            <w:r>
              <w:t>1</w:t>
            </w:r>
          </w:p>
        </w:tc>
        <w:tc>
          <w:tcPr>
            <w:tcW w:w="1075" w:type="dxa"/>
          </w:tcPr>
          <w:p w14:paraId="030A2FAD" w14:textId="7D04672E" w:rsidR="00355FF2" w:rsidRPr="00294D17" w:rsidRDefault="00294D17" w:rsidP="00294D17">
            <w:pPr>
              <w:jc w:val="right"/>
            </w:pPr>
            <w:r>
              <w:t>3</w:t>
            </w:r>
          </w:p>
        </w:tc>
        <w:tc>
          <w:tcPr>
            <w:tcW w:w="1697" w:type="dxa"/>
          </w:tcPr>
          <w:p w14:paraId="38D3BFB0" w14:textId="4F9B34AE" w:rsidR="00355FF2" w:rsidRPr="00294D17" w:rsidRDefault="00294D17" w:rsidP="00294D17">
            <w:pPr>
              <w:jc w:val="right"/>
            </w:pPr>
            <w:r>
              <w:t>1</w:t>
            </w:r>
          </w:p>
        </w:tc>
        <w:tc>
          <w:tcPr>
            <w:tcW w:w="1441" w:type="dxa"/>
          </w:tcPr>
          <w:p w14:paraId="2E6D937D" w14:textId="1BEB47C7" w:rsidR="00355FF2" w:rsidRPr="00294D17" w:rsidRDefault="00294D17" w:rsidP="00294D17">
            <w:pPr>
              <w:jc w:val="right"/>
            </w:pPr>
            <w:r>
              <w:t>1</w:t>
            </w:r>
          </w:p>
        </w:tc>
        <w:tc>
          <w:tcPr>
            <w:tcW w:w="1596" w:type="dxa"/>
          </w:tcPr>
          <w:p w14:paraId="3CBFF701" w14:textId="55FB52EA" w:rsidR="00355FF2" w:rsidRPr="00294D17" w:rsidRDefault="00294D17" w:rsidP="00294D17">
            <w:pPr>
              <w:jc w:val="right"/>
            </w:pPr>
            <w:r>
              <w:t>3</w:t>
            </w:r>
          </w:p>
        </w:tc>
        <w:tc>
          <w:tcPr>
            <w:tcW w:w="1233" w:type="dxa"/>
          </w:tcPr>
          <w:p w14:paraId="2B73BDFA" w14:textId="4BDA3BAF" w:rsidR="00355FF2" w:rsidRPr="00776C26" w:rsidRDefault="00776C26" w:rsidP="00294D17">
            <w:pPr>
              <w:jc w:val="right"/>
              <w:rPr>
                <w:b/>
                <w:bCs/>
              </w:rPr>
            </w:pPr>
            <w:r w:rsidRPr="00776C26">
              <w:rPr>
                <w:b/>
                <w:bCs/>
              </w:rPr>
              <w:t>9</w:t>
            </w:r>
          </w:p>
        </w:tc>
      </w:tr>
      <w:tr w:rsidR="00F33E5D" w14:paraId="435DC49F" w14:textId="77777777" w:rsidTr="00F33E5D">
        <w:tc>
          <w:tcPr>
            <w:tcW w:w="1496" w:type="dxa"/>
          </w:tcPr>
          <w:p w14:paraId="04E13AA9" w14:textId="28F439A9" w:rsidR="00355FF2" w:rsidRPr="00294D17" w:rsidRDefault="00355FF2" w:rsidP="00355FF2">
            <w:pPr>
              <w:ind w:right="-425"/>
              <w:jc w:val="both"/>
              <w:rPr>
                <w:rFonts w:cs="Arial"/>
                <w:b/>
                <w:bCs/>
              </w:rPr>
            </w:pPr>
            <w:r w:rsidRPr="00294D17">
              <w:rPr>
                <w:rFonts w:cs="Arial"/>
                <w:b/>
                <w:bCs/>
              </w:rPr>
              <w:t>Total</w:t>
            </w:r>
          </w:p>
        </w:tc>
        <w:tc>
          <w:tcPr>
            <w:tcW w:w="983" w:type="dxa"/>
          </w:tcPr>
          <w:p w14:paraId="4F941B1E" w14:textId="211BE1F0" w:rsidR="00355FF2" w:rsidRPr="00294D17" w:rsidRDefault="00294D17" w:rsidP="00294D17">
            <w:pPr>
              <w:jc w:val="right"/>
              <w:rPr>
                <w:b/>
                <w:bCs/>
              </w:rPr>
            </w:pPr>
            <w:r w:rsidRPr="00294D17">
              <w:rPr>
                <w:b/>
                <w:bCs/>
              </w:rPr>
              <w:t>33</w:t>
            </w:r>
          </w:p>
        </w:tc>
        <w:tc>
          <w:tcPr>
            <w:tcW w:w="1075" w:type="dxa"/>
          </w:tcPr>
          <w:p w14:paraId="7FE130CD" w14:textId="26711961" w:rsidR="00355FF2" w:rsidRPr="00294D17" w:rsidRDefault="00294D17" w:rsidP="00294D17">
            <w:pPr>
              <w:jc w:val="right"/>
              <w:rPr>
                <w:b/>
                <w:bCs/>
              </w:rPr>
            </w:pPr>
            <w:r w:rsidRPr="00294D17">
              <w:rPr>
                <w:b/>
                <w:bCs/>
              </w:rPr>
              <w:t>23</w:t>
            </w:r>
          </w:p>
        </w:tc>
        <w:tc>
          <w:tcPr>
            <w:tcW w:w="1697" w:type="dxa"/>
          </w:tcPr>
          <w:p w14:paraId="7D1A1FAE" w14:textId="2047C0EA" w:rsidR="00355FF2" w:rsidRPr="00294D17" w:rsidRDefault="00294D17" w:rsidP="00294D17">
            <w:pPr>
              <w:jc w:val="right"/>
              <w:rPr>
                <w:b/>
                <w:bCs/>
              </w:rPr>
            </w:pPr>
            <w:r w:rsidRPr="00294D17">
              <w:rPr>
                <w:b/>
                <w:bCs/>
              </w:rPr>
              <w:t>11</w:t>
            </w:r>
          </w:p>
        </w:tc>
        <w:tc>
          <w:tcPr>
            <w:tcW w:w="1441" w:type="dxa"/>
          </w:tcPr>
          <w:p w14:paraId="6E3E561C" w14:textId="6371B0DD" w:rsidR="00355FF2" w:rsidRPr="00294D17" w:rsidRDefault="00294D17" w:rsidP="00294D17">
            <w:pPr>
              <w:jc w:val="right"/>
              <w:rPr>
                <w:b/>
                <w:bCs/>
              </w:rPr>
            </w:pPr>
            <w:r w:rsidRPr="00294D17">
              <w:rPr>
                <w:b/>
                <w:bCs/>
              </w:rPr>
              <w:t>33</w:t>
            </w:r>
          </w:p>
        </w:tc>
        <w:tc>
          <w:tcPr>
            <w:tcW w:w="1596" w:type="dxa"/>
          </w:tcPr>
          <w:p w14:paraId="687A72C5" w14:textId="5365838E" w:rsidR="00355FF2" w:rsidRPr="00294D17" w:rsidRDefault="00294D17" w:rsidP="00294D17">
            <w:pPr>
              <w:jc w:val="right"/>
              <w:rPr>
                <w:b/>
                <w:bCs/>
              </w:rPr>
            </w:pPr>
            <w:r w:rsidRPr="00294D17">
              <w:rPr>
                <w:b/>
                <w:bCs/>
              </w:rPr>
              <w:t>56</w:t>
            </w:r>
          </w:p>
        </w:tc>
        <w:tc>
          <w:tcPr>
            <w:tcW w:w="1233" w:type="dxa"/>
          </w:tcPr>
          <w:p w14:paraId="3C91E07C" w14:textId="609B14B4" w:rsidR="00355FF2" w:rsidRPr="00294D17" w:rsidRDefault="00776C26" w:rsidP="00294D17">
            <w:pPr>
              <w:jc w:val="right"/>
              <w:rPr>
                <w:b/>
                <w:bCs/>
              </w:rPr>
            </w:pPr>
            <w:r>
              <w:rPr>
                <w:b/>
                <w:bCs/>
              </w:rPr>
              <w:t>156</w:t>
            </w:r>
          </w:p>
        </w:tc>
      </w:tr>
    </w:tbl>
    <w:p w14:paraId="680DFA98" w14:textId="77777777" w:rsidR="002F1B05" w:rsidRDefault="002F1B05" w:rsidP="00491EB9">
      <w:pPr>
        <w:pStyle w:val="Heading2"/>
      </w:pPr>
    </w:p>
    <w:p w14:paraId="6846E790" w14:textId="0FA18D20" w:rsidR="00491EB9" w:rsidRPr="00F062D1" w:rsidRDefault="00DC1815" w:rsidP="00491EB9">
      <w:pPr>
        <w:pStyle w:val="Heading2"/>
      </w:pPr>
      <w:r>
        <w:t>Number of c</w:t>
      </w:r>
      <w:r w:rsidR="00491EB9">
        <w:t>lient</w:t>
      </w:r>
      <w:r>
        <w:t>s and</w:t>
      </w:r>
      <w:r w:rsidR="00491EB9">
        <w:t xml:space="preserve"> </w:t>
      </w:r>
      <w:r>
        <w:t xml:space="preserve">their </w:t>
      </w:r>
      <w:r w:rsidR="00491EB9">
        <w:t>i</w:t>
      </w:r>
      <w:r w:rsidR="00491EB9" w:rsidRPr="00F062D1">
        <w:t>nteraction</w:t>
      </w:r>
      <w:r w:rsidR="00F02EED">
        <w:t>s</w:t>
      </w:r>
      <w:r w:rsidR="00491EB9" w:rsidRPr="00F062D1">
        <w:t xml:space="preserve"> during the quarter</w:t>
      </w:r>
    </w:p>
    <w:p w14:paraId="602CFAF2" w14:textId="3BCF1EAC" w:rsidR="006F3BEC" w:rsidRDefault="00AA5D46" w:rsidP="00EF36F2">
      <w:pPr>
        <w:ind w:left="-142" w:right="-425"/>
        <w:jc w:val="both"/>
        <w:rPr>
          <w:rFonts w:cs="Arial"/>
        </w:rPr>
      </w:pPr>
      <w:r>
        <w:rPr>
          <w:rFonts w:cs="Arial"/>
        </w:rPr>
        <w:t xml:space="preserve">During quarter 49 the </w:t>
      </w:r>
      <w:r w:rsidR="00F662A4">
        <w:rPr>
          <w:rFonts w:cs="Arial"/>
        </w:rPr>
        <w:t>number of</w:t>
      </w:r>
      <w:r>
        <w:rPr>
          <w:rFonts w:cs="Arial"/>
        </w:rPr>
        <w:t xml:space="preserve"> interactions highlighted </w:t>
      </w:r>
      <w:r w:rsidR="00EF36F2">
        <w:rPr>
          <w:rFonts w:cs="Arial"/>
        </w:rPr>
        <w:t>in table</w:t>
      </w:r>
      <w:r w:rsidR="0003677B">
        <w:rPr>
          <w:rFonts w:cs="Arial"/>
        </w:rPr>
        <w:t>s</w:t>
      </w:r>
      <w:r>
        <w:rPr>
          <w:rFonts w:cs="Arial"/>
        </w:rPr>
        <w:t xml:space="preserve"> </w:t>
      </w:r>
      <w:r w:rsidR="00BD28E3">
        <w:rPr>
          <w:rFonts w:cs="Arial"/>
        </w:rPr>
        <w:t>1</w:t>
      </w:r>
      <w:r>
        <w:rPr>
          <w:rFonts w:cs="Arial"/>
        </w:rPr>
        <w:t>5</w:t>
      </w:r>
      <w:r w:rsidR="00F662A4">
        <w:rPr>
          <w:rFonts w:cs="Arial"/>
        </w:rPr>
        <w:t xml:space="preserve">, </w:t>
      </w:r>
      <w:r w:rsidR="00BD28E3">
        <w:rPr>
          <w:rFonts w:cs="Arial"/>
        </w:rPr>
        <w:t>1</w:t>
      </w:r>
      <w:r w:rsidR="00F662A4">
        <w:rPr>
          <w:rFonts w:cs="Arial"/>
        </w:rPr>
        <w:t xml:space="preserve">6 and </w:t>
      </w:r>
      <w:r w:rsidR="00BD28E3">
        <w:rPr>
          <w:rFonts w:cs="Arial"/>
        </w:rPr>
        <w:t>1</w:t>
      </w:r>
      <w:r w:rsidR="00F662A4">
        <w:rPr>
          <w:rFonts w:cs="Arial"/>
        </w:rPr>
        <w:t>7</w:t>
      </w:r>
      <w:r>
        <w:rPr>
          <w:rFonts w:cs="Arial"/>
        </w:rPr>
        <w:t xml:space="preserve"> </w:t>
      </w:r>
      <w:r w:rsidR="00EF36F2">
        <w:rPr>
          <w:rFonts w:cs="Arial"/>
        </w:rPr>
        <w:t xml:space="preserve">related to </w:t>
      </w:r>
      <w:r w:rsidR="00F662A4">
        <w:rPr>
          <w:rFonts w:cs="Arial"/>
        </w:rPr>
        <w:t xml:space="preserve">a total of </w:t>
      </w:r>
      <w:r w:rsidR="00EF36F2">
        <w:rPr>
          <w:rFonts w:cs="Arial"/>
        </w:rPr>
        <w:t xml:space="preserve">110 clients. </w:t>
      </w:r>
      <w:r w:rsidR="008C4AFA">
        <w:rPr>
          <w:rFonts w:cs="Arial"/>
        </w:rPr>
        <w:t>For</w:t>
      </w:r>
      <w:r w:rsidR="008C4AFA" w:rsidRPr="00B324FD">
        <w:rPr>
          <w:rFonts w:cs="Arial"/>
        </w:rPr>
        <w:t xml:space="preserve"> </w:t>
      </w:r>
      <w:r w:rsidR="006F3BEC" w:rsidRPr="00B324FD">
        <w:rPr>
          <w:rFonts w:cs="Arial"/>
        </w:rPr>
        <w:t>th</w:t>
      </w:r>
      <w:r w:rsidR="007438D5">
        <w:rPr>
          <w:rFonts w:cs="Arial"/>
        </w:rPr>
        <w:t>ose</w:t>
      </w:r>
      <w:r w:rsidR="008411DC" w:rsidRPr="00B324FD">
        <w:rPr>
          <w:rFonts w:cs="Arial"/>
        </w:rPr>
        <w:t xml:space="preserve"> </w:t>
      </w:r>
      <w:r w:rsidR="006F3BEC" w:rsidRPr="00B324FD">
        <w:rPr>
          <w:rFonts w:cs="Arial"/>
        </w:rPr>
        <w:t>clients</w:t>
      </w:r>
      <w:r w:rsidR="00D2509D" w:rsidRPr="00B324FD">
        <w:rPr>
          <w:rFonts w:cs="Arial"/>
        </w:rPr>
        <w:t xml:space="preserve"> (</w:t>
      </w:r>
      <w:r w:rsidR="00AF37E8" w:rsidRPr="00B324FD">
        <w:rPr>
          <w:rFonts w:cs="Arial"/>
        </w:rPr>
        <w:t>80</w:t>
      </w:r>
      <w:r w:rsidR="00A836AD" w:rsidRPr="00B324FD">
        <w:rPr>
          <w:rFonts w:cs="Arial"/>
        </w:rPr>
        <w:t xml:space="preserve"> </w:t>
      </w:r>
      <w:r w:rsidR="00D2509D" w:rsidRPr="00B324FD">
        <w:rPr>
          <w:rFonts w:cs="Arial"/>
        </w:rPr>
        <w:t xml:space="preserve">female and </w:t>
      </w:r>
      <w:r w:rsidR="00AF37E8" w:rsidRPr="00B324FD">
        <w:rPr>
          <w:rFonts w:cs="Arial"/>
        </w:rPr>
        <w:t>30</w:t>
      </w:r>
      <w:r w:rsidR="00A836AD" w:rsidRPr="00B324FD">
        <w:rPr>
          <w:rFonts w:cs="Arial"/>
        </w:rPr>
        <w:t xml:space="preserve"> </w:t>
      </w:r>
      <w:r w:rsidR="00D2509D" w:rsidRPr="00B324FD">
        <w:rPr>
          <w:rFonts w:cs="Arial"/>
        </w:rPr>
        <w:t>male)</w:t>
      </w:r>
      <w:r w:rsidR="008C4AFA">
        <w:rPr>
          <w:rFonts w:cs="Arial"/>
        </w:rPr>
        <w:t>, the following table shows the types of interactions</w:t>
      </w:r>
      <w:r w:rsidR="00BB34B7">
        <w:rPr>
          <w:rFonts w:cs="Arial"/>
        </w:rPr>
        <w:t xml:space="preserve"> and the combinations of interactions </w:t>
      </w:r>
      <w:r w:rsidR="007438D5">
        <w:rPr>
          <w:rFonts w:cs="Arial"/>
        </w:rPr>
        <w:t>(</w:t>
      </w:r>
      <w:r w:rsidR="008C4AFA">
        <w:rPr>
          <w:rFonts w:cs="Arial"/>
        </w:rPr>
        <w:t xml:space="preserve">not necessarily enacted </w:t>
      </w:r>
      <w:r w:rsidR="00BB34B7">
        <w:rPr>
          <w:rFonts w:cs="Arial"/>
        </w:rPr>
        <w:t>concurrently</w:t>
      </w:r>
      <w:r w:rsidR="007438D5">
        <w:rPr>
          <w:rFonts w:cs="Arial"/>
        </w:rPr>
        <w:t>)</w:t>
      </w:r>
      <w:r w:rsidR="00784FE7" w:rsidRPr="00B324FD">
        <w:rPr>
          <w:rFonts w:cs="Arial"/>
        </w:rPr>
        <w:t>:</w:t>
      </w:r>
    </w:p>
    <w:p w14:paraId="60DD0882" w14:textId="3587E244" w:rsidR="000745D1" w:rsidRDefault="000745D1" w:rsidP="00DB2BE0">
      <w:pPr>
        <w:ind w:left="-142" w:right="-425"/>
        <w:jc w:val="both"/>
        <w:rPr>
          <w:rFonts w:cs="Arial"/>
        </w:rPr>
      </w:pPr>
    </w:p>
    <w:p w14:paraId="52DD78D1" w14:textId="3C0E0862" w:rsidR="00656C56" w:rsidRDefault="00656C56" w:rsidP="00656C56">
      <w:pPr>
        <w:spacing w:after="120" w:line="240" w:lineRule="auto"/>
        <w:ind w:left="794" w:hanging="794"/>
      </w:pPr>
      <w:r w:rsidRPr="006C6A65">
        <w:rPr>
          <w:b/>
          <w:sz w:val="16"/>
          <w:szCs w:val="16"/>
        </w:rPr>
        <w:t xml:space="preserve">Table </w:t>
      </w:r>
      <w:r w:rsidR="00901CF9">
        <w:rPr>
          <w:b/>
          <w:sz w:val="16"/>
          <w:szCs w:val="16"/>
        </w:rPr>
        <w:t>1</w:t>
      </w:r>
      <w:r w:rsidR="001B247E">
        <w:rPr>
          <w:b/>
          <w:sz w:val="16"/>
          <w:szCs w:val="16"/>
        </w:rPr>
        <w:t>8</w:t>
      </w:r>
      <w:r w:rsidRPr="006C6A65">
        <w:rPr>
          <w:b/>
          <w:sz w:val="16"/>
          <w:szCs w:val="16"/>
        </w:rPr>
        <w:t>:</w:t>
      </w:r>
      <w:r w:rsidRPr="006C6A65">
        <w:rPr>
          <w:sz w:val="16"/>
          <w:szCs w:val="16"/>
        </w:rPr>
        <w:t xml:space="preserve"> Number of</w:t>
      </w:r>
      <w:r w:rsidR="00B55237">
        <w:rPr>
          <w:sz w:val="16"/>
          <w:szCs w:val="16"/>
        </w:rPr>
        <w:t xml:space="preserve"> clients who had an interaction of a voluntary case plan, voluntary income management, case plan or conditional income management</w:t>
      </w:r>
      <w:r w:rsidR="00A57052">
        <w:rPr>
          <w:sz w:val="16"/>
          <w:szCs w:val="16"/>
        </w:rPr>
        <w:t xml:space="preserve"> or any combination of the above</w:t>
      </w:r>
      <w:r w:rsidR="00B55237">
        <w:rPr>
          <w:sz w:val="16"/>
          <w:szCs w:val="16"/>
        </w:rPr>
        <w:t xml:space="preserve"> </w:t>
      </w:r>
      <w:r w:rsidRPr="006C6A65">
        <w:rPr>
          <w:sz w:val="16"/>
          <w:szCs w:val="16"/>
        </w:rPr>
        <w:t xml:space="preserve">1 </w:t>
      </w:r>
      <w:r>
        <w:rPr>
          <w:sz w:val="16"/>
          <w:szCs w:val="16"/>
        </w:rPr>
        <w:t>July 2020 to 30 September 2020.</w:t>
      </w:r>
    </w:p>
    <w:tbl>
      <w:tblPr>
        <w:tblW w:w="5983" w:type="dxa"/>
        <w:tblInd w:w="108" w:type="dxa"/>
        <w:tblLayout w:type="fixed"/>
        <w:tblLook w:val="04A0" w:firstRow="1" w:lastRow="0" w:firstColumn="1" w:lastColumn="0" w:noHBand="0" w:noVBand="1"/>
      </w:tblPr>
      <w:tblGrid>
        <w:gridCol w:w="2864"/>
        <w:gridCol w:w="1039"/>
        <w:gridCol w:w="1040"/>
        <w:gridCol w:w="1040"/>
      </w:tblGrid>
      <w:tr w:rsidR="000745D1" w:rsidRPr="00B324FD" w14:paraId="34D6B450" w14:textId="77777777" w:rsidTr="00922985">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B85A" w14:textId="6FAA99E6" w:rsidR="000745D1" w:rsidRPr="00D22C38" w:rsidRDefault="00D22C38" w:rsidP="000745D1">
            <w:pPr>
              <w:spacing w:line="240" w:lineRule="auto"/>
              <w:rPr>
                <w:rFonts w:cs="Arial"/>
                <w:b/>
                <w:bCs/>
                <w:lang w:eastAsia="en-AU"/>
              </w:rPr>
            </w:pPr>
            <w:r w:rsidRPr="00D22C38">
              <w:rPr>
                <w:rFonts w:cs="Arial"/>
                <w:b/>
                <w:bCs/>
                <w:lang w:eastAsia="en-AU"/>
              </w:rPr>
              <w:t>Type of interaction</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385519DB" w14:textId="77777777" w:rsidR="000745D1" w:rsidRPr="00EF36F2" w:rsidRDefault="000745D1" w:rsidP="000745D1">
            <w:pPr>
              <w:spacing w:line="240" w:lineRule="auto"/>
              <w:rPr>
                <w:rFonts w:cs="Arial"/>
                <w:b/>
                <w:bCs/>
                <w:lang w:eastAsia="en-AU"/>
              </w:rPr>
            </w:pPr>
            <w:r w:rsidRPr="00EF36F2">
              <w:rPr>
                <w:rFonts w:cs="Arial"/>
                <w:b/>
                <w:bCs/>
                <w:lang w:eastAsia="en-AU"/>
              </w:rPr>
              <w:t>Female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3CDB323" w14:textId="77777777" w:rsidR="000745D1" w:rsidRPr="00EF36F2" w:rsidRDefault="000745D1" w:rsidP="000745D1">
            <w:pPr>
              <w:spacing w:line="240" w:lineRule="auto"/>
              <w:rPr>
                <w:rFonts w:cs="Arial"/>
                <w:b/>
                <w:bCs/>
                <w:lang w:eastAsia="en-AU"/>
              </w:rPr>
            </w:pPr>
            <w:r w:rsidRPr="00EF36F2">
              <w:rPr>
                <w:rFonts w:cs="Arial"/>
                <w:b/>
                <w:bCs/>
                <w:lang w:eastAsia="en-AU"/>
              </w:rPr>
              <w:t>Male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55E119D" w14:textId="77777777" w:rsidR="000745D1" w:rsidRPr="00EF36F2" w:rsidRDefault="000745D1" w:rsidP="000745D1">
            <w:pPr>
              <w:spacing w:line="240" w:lineRule="auto"/>
              <w:rPr>
                <w:rFonts w:cs="Arial"/>
                <w:b/>
                <w:bCs/>
                <w:lang w:eastAsia="en-AU"/>
              </w:rPr>
            </w:pPr>
            <w:r w:rsidRPr="00EF36F2">
              <w:rPr>
                <w:rFonts w:cs="Arial"/>
                <w:b/>
                <w:bCs/>
                <w:lang w:eastAsia="en-AU"/>
              </w:rPr>
              <w:t>Total</w:t>
            </w:r>
          </w:p>
        </w:tc>
      </w:tr>
      <w:tr w:rsidR="000745D1" w:rsidRPr="00B324FD" w14:paraId="3B5CC041"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39B4" w14:textId="58EFA5CC" w:rsidR="000745D1" w:rsidRPr="00935039" w:rsidRDefault="000745D1" w:rsidP="000745D1">
            <w:pPr>
              <w:spacing w:line="240" w:lineRule="auto"/>
              <w:rPr>
                <w:rFonts w:cs="Calibri"/>
                <w:lang w:eastAsia="en-AU"/>
              </w:rPr>
            </w:pPr>
            <w:r w:rsidRPr="00935039">
              <w:rPr>
                <w:rFonts w:cs="Calibri"/>
                <w:lang w:eastAsia="en-AU"/>
              </w:rPr>
              <w:t>VCP</w:t>
            </w:r>
            <w:r w:rsidR="007E59D4" w:rsidRPr="00935039">
              <w:rPr>
                <w:rFonts w:cs="Calibri"/>
                <w:lang w:eastAsia="en-AU"/>
              </w:rPr>
              <w:t>, VIM</w:t>
            </w:r>
            <w:r w:rsidRPr="00935039">
              <w:rPr>
                <w:rFonts w:cs="Calibri"/>
                <w:lang w:eastAsia="en-AU"/>
              </w:rPr>
              <w:t xml:space="preserve"> &amp; CIM</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6E4283A8" w14:textId="77777777" w:rsidR="000745D1" w:rsidRPr="00B324FD" w:rsidRDefault="000745D1" w:rsidP="000745D1">
            <w:pPr>
              <w:spacing w:line="240" w:lineRule="auto"/>
              <w:jc w:val="right"/>
              <w:rPr>
                <w:rFonts w:cs="Calibri"/>
                <w:lang w:eastAsia="en-AU"/>
              </w:rPr>
            </w:pPr>
            <w:r w:rsidRPr="00B324FD">
              <w:rPr>
                <w:rFonts w:cs="Calibri"/>
                <w:lang w:eastAsia="en-AU"/>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C1B8FF" w14:textId="77777777" w:rsidR="000745D1" w:rsidRPr="00B324FD" w:rsidRDefault="000745D1" w:rsidP="000745D1">
            <w:pPr>
              <w:spacing w:line="240" w:lineRule="auto"/>
              <w:jc w:val="right"/>
              <w:rPr>
                <w:rFonts w:cs="Calibri"/>
                <w:lang w:eastAsia="en-AU"/>
              </w:rPr>
            </w:pPr>
            <w:r w:rsidRPr="00B324FD">
              <w:rPr>
                <w:rFonts w:cs="Calibri"/>
                <w:lang w:eastAsia="en-AU"/>
              </w:rPr>
              <w:t>0</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AE2D6F2" w14:textId="77777777" w:rsidR="000745D1" w:rsidRPr="00EF36F2" w:rsidRDefault="000745D1" w:rsidP="000745D1">
            <w:pPr>
              <w:spacing w:line="240" w:lineRule="auto"/>
              <w:jc w:val="right"/>
              <w:rPr>
                <w:rFonts w:cs="Arial"/>
                <w:b/>
                <w:bCs/>
                <w:lang w:eastAsia="en-AU"/>
              </w:rPr>
            </w:pPr>
            <w:r w:rsidRPr="00EF36F2">
              <w:rPr>
                <w:rFonts w:cs="Arial"/>
                <w:b/>
                <w:bCs/>
                <w:lang w:eastAsia="en-AU"/>
              </w:rPr>
              <w:t>1</w:t>
            </w:r>
          </w:p>
        </w:tc>
      </w:tr>
      <w:tr w:rsidR="00312D63" w:rsidRPr="00B324FD" w14:paraId="0D10267D"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06664" w14:textId="6AC0FA26" w:rsidR="00312D63" w:rsidRPr="00935039" w:rsidRDefault="00312D63" w:rsidP="00312D63">
            <w:pPr>
              <w:spacing w:line="240" w:lineRule="auto"/>
              <w:rPr>
                <w:rFonts w:cs="Calibri"/>
                <w:lang w:eastAsia="en-AU"/>
              </w:rPr>
            </w:pPr>
            <w:r w:rsidRPr="00935039">
              <w:rPr>
                <w:rFonts w:cs="Calibri"/>
                <w:lang w:eastAsia="en-AU"/>
              </w:rPr>
              <w:t>VCP</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4664FB18" w14:textId="084961EB" w:rsidR="00312D63" w:rsidRPr="00B324FD" w:rsidRDefault="00312D63" w:rsidP="00312D63">
            <w:pPr>
              <w:spacing w:line="240" w:lineRule="auto"/>
              <w:jc w:val="right"/>
              <w:rPr>
                <w:rFonts w:cs="Calibri"/>
                <w:lang w:eastAsia="en-AU"/>
              </w:rPr>
            </w:pPr>
            <w:r w:rsidRPr="00B324FD">
              <w:rPr>
                <w:rFonts w:cs="Calibri"/>
                <w:lang w:eastAsia="en-AU"/>
              </w:rPr>
              <w:t>1</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2B01AFB9" w14:textId="023E2D3F" w:rsidR="00312D63" w:rsidRPr="00B324FD" w:rsidRDefault="00312D63" w:rsidP="00312D63">
            <w:pPr>
              <w:spacing w:line="240" w:lineRule="auto"/>
              <w:jc w:val="right"/>
              <w:rPr>
                <w:rFonts w:cs="Calibri"/>
                <w:lang w:eastAsia="en-AU"/>
              </w:rPr>
            </w:pPr>
            <w:r w:rsidRPr="00B324FD">
              <w:rPr>
                <w:rFonts w:cs="Calibri"/>
                <w:lang w:eastAsia="en-AU"/>
              </w:rPr>
              <w:t>1</w:t>
            </w:r>
          </w:p>
        </w:tc>
        <w:tc>
          <w:tcPr>
            <w:tcW w:w="1040" w:type="dxa"/>
            <w:tcBorders>
              <w:top w:val="nil"/>
              <w:left w:val="single" w:sz="4" w:space="0" w:color="auto"/>
              <w:bottom w:val="single" w:sz="4" w:space="0" w:color="auto"/>
              <w:right w:val="single" w:sz="4" w:space="0" w:color="auto"/>
            </w:tcBorders>
            <w:shd w:val="clear" w:color="auto" w:fill="auto"/>
            <w:noWrap/>
            <w:vAlign w:val="bottom"/>
          </w:tcPr>
          <w:p w14:paraId="7ABF042D" w14:textId="265A7832" w:rsidR="00312D63" w:rsidRPr="00EF36F2" w:rsidRDefault="00312D63" w:rsidP="00312D63">
            <w:pPr>
              <w:spacing w:line="240" w:lineRule="auto"/>
              <w:jc w:val="right"/>
              <w:rPr>
                <w:rFonts w:cs="Arial"/>
                <w:b/>
                <w:bCs/>
                <w:lang w:eastAsia="en-AU"/>
              </w:rPr>
            </w:pPr>
            <w:r w:rsidRPr="00EF36F2">
              <w:rPr>
                <w:rFonts w:cs="Arial"/>
                <w:b/>
                <w:bCs/>
                <w:lang w:eastAsia="en-AU"/>
              </w:rPr>
              <w:t>2</w:t>
            </w:r>
          </w:p>
        </w:tc>
      </w:tr>
      <w:tr w:rsidR="00312D63" w:rsidRPr="00B324FD" w14:paraId="7A4D3CFA"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FC5F" w14:textId="77777777" w:rsidR="00312D63" w:rsidRPr="00935039" w:rsidRDefault="00312D63" w:rsidP="005F5F3D">
            <w:pPr>
              <w:spacing w:line="240" w:lineRule="auto"/>
              <w:rPr>
                <w:rFonts w:cs="Arial"/>
                <w:lang w:eastAsia="en-AU"/>
              </w:rPr>
            </w:pPr>
            <w:r w:rsidRPr="00935039">
              <w:rPr>
                <w:rFonts w:cs="Arial"/>
                <w:lang w:eastAsia="en-AU"/>
              </w:rPr>
              <w:t>CP</w:t>
            </w:r>
          </w:p>
        </w:tc>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FAE92B0" w14:textId="77777777" w:rsidR="00312D63" w:rsidRPr="00B324FD" w:rsidRDefault="00312D63" w:rsidP="005F5F3D">
            <w:pPr>
              <w:spacing w:line="240" w:lineRule="auto"/>
              <w:jc w:val="right"/>
              <w:rPr>
                <w:rFonts w:cs="Calibri"/>
                <w:lang w:eastAsia="en-AU"/>
              </w:rPr>
            </w:pPr>
            <w:r w:rsidRPr="00B324FD">
              <w:rPr>
                <w:rFonts w:cs="Calibri"/>
                <w:lang w:eastAsia="en-AU"/>
              </w:rPr>
              <w:t>48</w:t>
            </w:r>
          </w:p>
        </w:tc>
        <w:tc>
          <w:tcPr>
            <w:tcW w:w="1040" w:type="dxa"/>
            <w:tcBorders>
              <w:top w:val="nil"/>
              <w:left w:val="nil"/>
              <w:bottom w:val="single" w:sz="4" w:space="0" w:color="auto"/>
              <w:right w:val="single" w:sz="4" w:space="0" w:color="auto"/>
            </w:tcBorders>
            <w:shd w:val="clear" w:color="auto" w:fill="auto"/>
            <w:noWrap/>
            <w:vAlign w:val="bottom"/>
            <w:hideMark/>
          </w:tcPr>
          <w:p w14:paraId="473E6365" w14:textId="77777777" w:rsidR="00312D63" w:rsidRPr="00B324FD" w:rsidRDefault="00312D63" w:rsidP="005F5F3D">
            <w:pPr>
              <w:spacing w:line="240" w:lineRule="auto"/>
              <w:jc w:val="right"/>
              <w:rPr>
                <w:rFonts w:cs="Calibri"/>
                <w:lang w:eastAsia="en-AU"/>
              </w:rPr>
            </w:pPr>
            <w:r w:rsidRPr="00B324FD">
              <w:rPr>
                <w:rFonts w:cs="Calibri"/>
                <w:lang w:eastAsia="en-AU"/>
              </w:rPr>
              <w:t>21</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780464" w14:textId="77777777" w:rsidR="00312D63" w:rsidRPr="00EF36F2" w:rsidRDefault="00312D63" w:rsidP="005F5F3D">
            <w:pPr>
              <w:spacing w:line="240" w:lineRule="auto"/>
              <w:jc w:val="right"/>
              <w:rPr>
                <w:rFonts w:cs="Arial"/>
                <w:b/>
                <w:bCs/>
                <w:lang w:eastAsia="en-AU"/>
              </w:rPr>
            </w:pPr>
            <w:r w:rsidRPr="00EF36F2">
              <w:rPr>
                <w:rFonts w:cs="Arial"/>
                <w:b/>
                <w:bCs/>
                <w:lang w:eastAsia="en-AU"/>
              </w:rPr>
              <w:t>69</w:t>
            </w:r>
          </w:p>
        </w:tc>
      </w:tr>
      <w:tr w:rsidR="000745D1" w:rsidRPr="00B324FD" w14:paraId="73D60BF2"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5C3F" w14:textId="77777777" w:rsidR="000745D1" w:rsidRPr="00935039" w:rsidRDefault="000745D1" w:rsidP="000745D1">
            <w:pPr>
              <w:spacing w:line="240" w:lineRule="auto"/>
              <w:rPr>
                <w:rFonts w:cs="Arial"/>
                <w:lang w:eastAsia="en-AU"/>
              </w:rPr>
            </w:pPr>
            <w:r w:rsidRPr="00935039">
              <w:rPr>
                <w:rFonts w:cs="Arial"/>
                <w:lang w:eastAsia="en-AU"/>
              </w:rPr>
              <w:t>CP &amp; CIM</w:t>
            </w:r>
          </w:p>
        </w:tc>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307C68A" w14:textId="77777777" w:rsidR="000745D1" w:rsidRPr="00B324FD" w:rsidRDefault="000745D1" w:rsidP="000745D1">
            <w:pPr>
              <w:spacing w:line="240" w:lineRule="auto"/>
              <w:jc w:val="right"/>
              <w:rPr>
                <w:rFonts w:cs="Calibri"/>
                <w:lang w:eastAsia="en-AU"/>
              </w:rPr>
            </w:pPr>
            <w:r w:rsidRPr="00B324FD">
              <w:rPr>
                <w:rFonts w:cs="Calibri"/>
                <w:lang w:eastAsia="en-AU"/>
              </w:rPr>
              <w:t>11</w:t>
            </w:r>
          </w:p>
        </w:tc>
        <w:tc>
          <w:tcPr>
            <w:tcW w:w="1040" w:type="dxa"/>
            <w:tcBorders>
              <w:top w:val="nil"/>
              <w:left w:val="nil"/>
              <w:bottom w:val="single" w:sz="4" w:space="0" w:color="auto"/>
              <w:right w:val="single" w:sz="4" w:space="0" w:color="auto"/>
            </w:tcBorders>
            <w:shd w:val="clear" w:color="auto" w:fill="auto"/>
            <w:noWrap/>
            <w:vAlign w:val="bottom"/>
            <w:hideMark/>
          </w:tcPr>
          <w:p w14:paraId="7C58541A" w14:textId="77777777" w:rsidR="000745D1" w:rsidRPr="00B324FD" w:rsidRDefault="000745D1" w:rsidP="000745D1">
            <w:pPr>
              <w:spacing w:line="240" w:lineRule="auto"/>
              <w:jc w:val="right"/>
              <w:rPr>
                <w:rFonts w:cs="Calibri"/>
                <w:lang w:eastAsia="en-AU"/>
              </w:rPr>
            </w:pPr>
            <w:r w:rsidRPr="00B324FD">
              <w:rPr>
                <w:rFonts w:cs="Calibri"/>
                <w:lang w:eastAsia="en-AU"/>
              </w:rPr>
              <w:t>2</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39F5D95" w14:textId="77777777" w:rsidR="000745D1" w:rsidRPr="00EF36F2" w:rsidRDefault="000745D1" w:rsidP="000745D1">
            <w:pPr>
              <w:spacing w:line="240" w:lineRule="auto"/>
              <w:jc w:val="right"/>
              <w:rPr>
                <w:rFonts w:cs="Arial"/>
                <w:b/>
                <w:bCs/>
                <w:lang w:eastAsia="en-AU"/>
              </w:rPr>
            </w:pPr>
            <w:r w:rsidRPr="00EF36F2">
              <w:rPr>
                <w:rFonts w:cs="Arial"/>
                <w:b/>
                <w:bCs/>
                <w:lang w:eastAsia="en-AU"/>
              </w:rPr>
              <w:t>13</w:t>
            </w:r>
          </w:p>
        </w:tc>
      </w:tr>
      <w:tr w:rsidR="00312D63" w:rsidRPr="00B324FD" w14:paraId="16BC51D3" w14:textId="77777777" w:rsidTr="00922985">
        <w:trPr>
          <w:trHeight w:val="30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B3F0" w14:textId="77777777" w:rsidR="00312D63" w:rsidRPr="00935039" w:rsidRDefault="00312D63" w:rsidP="005F5F3D">
            <w:pPr>
              <w:spacing w:line="240" w:lineRule="auto"/>
              <w:rPr>
                <w:rFonts w:cs="Arial"/>
                <w:lang w:eastAsia="en-AU"/>
              </w:rPr>
            </w:pPr>
            <w:r w:rsidRPr="00935039">
              <w:rPr>
                <w:rFonts w:cs="Arial"/>
                <w:lang w:eastAsia="en-AU"/>
              </w:rPr>
              <w:t>VIM</w:t>
            </w:r>
          </w:p>
        </w:tc>
        <w:tc>
          <w:tcPr>
            <w:tcW w:w="1039" w:type="dxa"/>
            <w:tcBorders>
              <w:top w:val="nil"/>
              <w:left w:val="nil"/>
              <w:bottom w:val="single" w:sz="4" w:space="0" w:color="auto"/>
              <w:right w:val="single" w:sz="4" w:space="0" w:color="auto"/>
            </w:tcBorders>
            <w:shd w:val="clear" w:color="auto" w:fill="auto"/>
            <w:noWrap/>
            <w:vAlign w:val="bottom"/>
            <w:hideMark/>
          </w:tcPr>
          <w:p w14:paraId="7F03DA45" w14:textId="77777777" w:rsidR="00312D63" w:rsidRPr="00B324FD" w:rsidRDefault="00312D63" w:rsidP="005F5F3D">
            <w:pPr>
              <w:spacing w:line="240" w:lineRule="auto"/>
              <w:jc w:val="right"/>
              <w:rPr>
                <w:rFonts w:cs="Calibri"/>
                <w:lang w:eastAsia="en-AU"/>
              </w:rPr>
            </w:pPr>
            <w:r w:rsidRPr="00B324FD">
              <w:rPr>
                <w:rFonts w:cs="Calibri"/>
                <w:lang w:eastAsia="en-AU"/>
              </w:rPr>
              <w:t>3</w:t>
            </w:r>
          </w:p>
        </w:tc>
        <w:tc>
          <w:tcPr>
            <w:tcW w:w="1040" w:type="dxa"/>
            <w:tcBorders>
              <w:top w:val="nil"/>
              <w:left w:val="nil"/>
              <w:bottom w:val="single" w:sz="4" w:space="0" w:color="auto"/>
              <w:right w:val="single" w:sz="4" w:space="0" w:color="auto"/>
            </w:tcBorders>
            <w:shd w:val="clear" w:color="auto" w:fill="auto"/>
            <w:noWrap/>
            <w:vAlign w:val="bottom"/>
            <w:hideMark/>
          </w:tcPr>
          <w:p w14:paraId="51D99256" w14:textId="77777777" w:rsidR="00312D63" w:rsidRPr="00B324FD" w:rsidRDefault="00312D63" w:rsidP="005F5F3D">
            <w:pPr>
              <w:spacing w:line="240" w:lineRule="auto"/>
              <w:jc w:val="right"/>
              <w:rPr>
                <w:rFonts w:cs="Calibri"/>
                <w:lang w:eastAsia="en-AU"/>
              </w:rPr>
            </w:pPr>
            <w:r w:rsidRPr="00B324FD">
              <w:rPr>
                <w:rFonts w:cs="Calibri"/>
                <w:lang w:eastAsia="en-AU"/>
              </w:rPr>
              <w:t>1</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2CFBE18" w14:textId="77777777" w:rsidR="00312D63" w:rsidRPr="00EF36F2" w:rsidRDefault="00312D63" w:rsidP="005F5F3D">
            <w:pPr>
              <w:spacing w:line="240" w:lineRule="auto"/>
              <w:jc w:val="right"/>
              <w:rPr>
                <w:rFonts w:cs="Arial"/>
                <w:b/>
                <w:bCs/>
                <w:lang w:eastAsia="en-AU"/>
              </w:rPr>
            </w:pPr>
            <w:r w:rsidRPr="00EF36F2">
              <w:rPr>
                <w:rFonts w:cs="Arial"/>
                <w:b/>
                <w:bCs/>
                <w:lang w:eastAsia="en-AU"/>
              </w:rPr>
              <w:t>4</w:t>
            </w:r>
          </w:p>
        </w:tc>
      </w:tr>
      <w:tr w:rsidR="000745D1" w:rsidRPr="00B324FD" w14:paraId="570FCD38" w14:textId="77777777" w:rsidTr="00922985">
        <w:trPr>
          <w:trHeight w:val="300"/>
        </w:trPr>
        <w:tc>
          <w:tcPr>
            <w:tcW w:w="2864" w:type="dxa"/>
            <w:tcBorders>
              <w:top w:val="nil"/>
              <w:left w:val="single" w:sz="4" w:space="0" w:color="auto"/>
              <w:bottom w:val="single" w:sz="4" w:space="0" w:color="auto"/>
              <w:right w:val="single" w:sz="4" w:space="0" w:color="auto"/>
            </w:tcBorders>
            <w:shd w:val="clear" w:color="auto" w:fill="auto"/>
            <w:noWrap/>
            <w:vAlign w:val="bottom"/>
            <w:hideMark/>
          </w:tcPr>
          <w:p w14:paraId="16040F98" w14:textId="77777777" w:rsidR="000745D1" w:rsidRPr="00935039" w:rsidRDefault="000745D1" w:rsidP="000745D1">
            <w:pPr>
              <w:spacing w:line="240" w:lineRule="auto"/>
              <w:rPr>
                <w:rFonts w:cs="Arial"/>
                <w:lang w:eastAsia="en-AU"/>
              </w:rPr>
            </w:pPr>
            <w:r w:rsidRPr="00935039">
              <w:rPr>
                <w:rFonts w:cs="Arial"/>
                <w:lang w:eastAsia="en-AU"/>
              </w:rPr>
              <w:t>CIM</w:t>
            </w:r>
          </w:p>
        </w:tc>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4D6E6BA" w14:textId="77777777" w:rsidR="000745D1" w:rsidRPr="00B324FD" w:rsidRDefault="000745D1" w:rsidP="000745D1">
            <w:pPr>
              <w:spacing w:line="240" w:lineRule="auto"/>
              <w:jc w:val="right"/>
              <w:rPr>
                <w:rFonts w:cs="Calibri"/>
                <w:lang w:eastAsia="en-AU"/>
              </w:rPr>
            </w:pPr>
            <w:r w:rsidRPr="00B324FD">
              <w:rPr>
                <w:rFonts w:cs="Calibri"/>
                <w:lang w:eastAsia="en-AU"/>
              </w:rPr>
              <w:t>16</w:t>
            </w:r>
          </w:p>
        </w:tc>
        <w:tc>
          <w:tcPr>
            <w:tcW w:w="1040" w:type="dxa"/>
            <w:tcBorders>
              <w:top w:val="nil"/>
              <w:left w:val="nil"/>
              <w:bottom w:val="single" w:sz="4" w:space="0" w:color="auto"/>
              <w:right w:val="single" w:sz="4" w:space="0" w:color="auto"/>
            </w:tcBorders>
            <w:shd w:val="clear" w:color="auto" w:fill="auto"/>
            <w:noWrap/>
            <w:vAlign w:val="bottom"/>
            <w:hideMark/>
          </w:tcPr>
          <w:p w14:paraId="335E435D" w14:textId="77777777" w:rsidR="000745D1" w:rsidRPr="00B324FD" w:rsidRDefault="000745D1" w:rsidP="000745D1">
            <w:pPr>
              <w:spacing w:line="240" w:lineRule="auto"/>
              <w:jc w:val="right"/>
              <w:rPr>
                <w:rFonts w:cs="Calibri"/>
                <w:lang w:eastAsia="en-AU"/>
              </w:rPr>
            </w:pPr>
            <w:r w:rsidRPr="00B324FD">
              <w:rPr>
                <w:rFonts w:cs="Calibri"/>
                <w:lang w:eastAsia="en-AU"/>
              </w:rPr>
              <w:t>5</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24B1FCD" w14:textId="77777777" w:rsidR="000745D1" w:rsidRPr="00EF36F2" w:rsidRDefault="000745D1" w:rsidP="000745D1">
            <w:pPr>
              <w:spacing w:line="240" w:lineRule="auto"/>
              <w:jc w:val="right"/>
              <w:rPr>
                <w:rFonts w:cs="Arial"/>
                <w:b/>
                <w:bCs/>
                <w:lang w:eastAsia="en-AU"/>
              </w:rPr>
            </w:pPr>
            <w:r w:rsidRPr="00EF36F2">
              <w:rPr>
                <w:rFonts w:cs="Arial"/>
                <w:b/>
                <w:bCs/>
                <w:lang w:eastAsia="en-AU"/>
              </w:rPr>
              <w:t>21</w:t>
            </w:r>
          </w:p>
        </w:tc>
      </w:tr>
      <w:tr w:rsidR="000745D1" w:rsidRPr="00B324FD" w14:paraId="67732BFC" w14:textId="77777777" w:rsidTr="00922985">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CC61" w14:textId="77777777" w:rsidR="000745D1" w:rsidRPr="00EF36F2" w:rsidRDefault="000745D1" w:rsidP="000745D1">
            <w:pPr>
              <w:spacing w:line="240" w:lineRule="auto"/>
              <w:rPr>
                <w:rFonts w:cs="Arial"/>
                <w:b/>
                <w:bCs/>
                <w:lang w:eastAsia="en-AU"/>
              </w:rPr>
            </w:pPr>
            <w:r w:rsidRPr="00EF36F2">
              <w:rPr>
                <w:rFonts w:cs="Arial"/>
                <w:b/>
                <w:bCs/>
                <w:lang w:eastAsia="en-AU"/>
              </w:rPr>
              <w:t>TOTAL</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2E736946" w14:textId="77777777" w:rsidR="000745D1" w:rsidRPr="00EF36F2" w:rsidRDefault="000745D1" w:rsidP="000745D1">
            <w:pPr>
              <w:spacing w:line="240" w:lineRule="auto"/>
              <w:jc w:val="right"/>
              <w:rPr>
                <w:rFonts w:cs="Arial"/>
                <w:b/>
                <w:bCs/>
                <w:lang w:eastAsia="en-AU"/>
              </w:rPr>
            </w:pPr>
            <w:r w:rsidRPr="00EF36F2">
              <w:rPr>
                <w:rFonts w:cs="Arial"/>
                <w:b/>
                <w:bCs/>
                <w:lang w:eastAsia="en-AU"/>
              </w:rPr>
              <w:t>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C9A7993" w14:textId="77777777" w:rsidR="000745D1" w:rsidRPr="00EF36F2" w:rsidRDefault="000745D1" w:rsidP="000745D1">
            <w:pPr>
              <w:spacing w:line="240" w:lineRule="auto"/>
              <w:jc w:val="right"/>
              <w:rPr>
                <w:rFonts w:cs="Arial"/>
                <w:b/>
                <w:bCs/>
                <w:lang w:eastAsia="en-AU"/>
              </w:rPr>
            </w:pPr>
            <w:r w:rsidRPr="00EF36F2">
              <w:rPr>
                <w:rFonts w:cs="Arial"/>
                <w:b/>
                <w:bCs/>
                <w:lang w:eastAsia="en-AU"/>
              </w:rPr>
              <w:t>30</w:t>
            </w:r>
          </w:p>
        </w:tc>
        <w:tc>
          <w:tcPr>
            <w:tcW w:w="1040" w:type="dxa"/>
            <w:tcBorders>
              <w:top w:val="nil"/>
              <w:left w:val="nil"/>
              <w:bottom w:val="single" w:sz="4" w:space="0" w:color="auto"/>
              <w:right w:val="single" w:sz="4" w:space="0" w:color="auto"/>
            </w:tcBorders>
            <w:shd w:val="clear" w:color="auto" w:fill="auto"/>
            <w:noWrap/>
            <w:vAlign w:val="bottom"/>
            <w:hideMark/>
          </w:tcPr>
          <w:p w14:paraId="6D36B964" w14:textId="77777777" w:rsidR="000745D1" w:rsidRPr="00EF36F2" w:rsidRDefault="000745D1" w:rsidP="000745D1">
            <w:pPr>
              <w:spacing w:line="240" w:lineRule="auto"/>
              <w:jc w:val="right"/>
              <w:rPr>
                <w:rFonts w:cs="Arial"/>
                <w:b/>
                <w:bCs/>
                <w:lang w:eastAsia="en-AU"/>
              </w:rPr>
            </w:pPr>
            <w:r w:rsidRPr="00EF36F2">
              <w:rPr>
                <w:rFonts w:cs="Arial"/>
                <w:b/>
                <w:bCs/>
                <w:lang w:eastAsia="en-AU"/>
              </w:rPr>
              <w:t>110</w:t>
            </w:r>
          </w:p>
        </w:tc>
      </w:tr>
    </w:tbl>
    <w:p w14:paraId="79FEA2E4" w14:textId="77777777" w:rsidR="000745D1" w:rsidRPr="00B324FD" w:rsidRDefault="000745D1" w:rsidP="00DB2BE0">
      <w:pPr>
        <w:ind w:left="-142" w:right="-425"/>
        <w:jc w:val="both"/>
        <w:rPr>
          <w:rFonts w:cs="Arial"/>
        </w:rPr>
      </w:pPr>
    </w:p>
    <w:p w14:paraId="3781F4E8" w14:textId="76D6D7FC" w:rsidR="00E41B55" w:rsidRDefault="00E41B55" w:rsidP="00E41B55">
      <w:pPr>
        <w:ind w:left="-142" w:right="-425"/>
        <w:jc w:val="both"/>
        <w:rPr>
          <w:rFonts w:cs="Arial"/>
        </w:rPr>
      </w:pPr>
      <w:r w:rsidRPr="00B324FD">
        <w:rPr>
          <w:rFonts w:cs="Arial"/>
        </w:rPr>
        <w:lastRenderedPageBreak/>
        <w:t xml:space="preserve">The </w:t>
      </w:r>
      <w:r w:rsidR="002751C1" w:rsidRPr="00B324FD">
        <w:rPr>
          <w:rFonts w:cs="Arial"/>
        </w:rPr>
        <w:t xml:space="preserve">majority of the </w:t>
      </w:r>
      <w:r w:rsidRPr="00B324FD">
        <w:rPr>
          <w:rFonts w:cs="Arial"/>
        </w:rPr>
        <w:t>2</w:t>
      </w:r>
      <w:r w:rsidR="00CC0E54" w:rsidRPr="00B324FD">
        <w:rPr>
          <w:rFonts w:cs="Arial"/>
        </w:rPr>
        <w:t>1</w:t>
      </w:r>
      <w:r w:rsidRPr="00B324FD">
        <w:rPr>
          <w:rFonts w:cs="Arial"/>
        </w:rPr>
        <w:t xml:space="preserve"> clients </w:t>
      </w:r>
      <w:r w:rsidR="002751C1" w:rsidRPr="00B324FD">
        <w:rPr>
          <w:rFonts w:cs="Arial"/>
        </w:rPr>
        <w:t>stated above who were placed on a CIM without a case plan already had an existing case plan in place at the time they were placed on a CIM</w:t>
      </w:r>
      <w:r w:rsidR="00F43ED5" w:rsidRPr="00B324FD">
        <w:rPr>
          <w:rFonts w:cs="Arial"/>
        </w:rPr>
        <w:t>.</w:t>
      </w:r>
    </w:p>
    <w:p w14:paraId="4945AF10" w14:textId="77777777" w:rsidR="009466F4" w:rsidRDefault="009466F4" w:rsidP="009466F4">
      <w:pPr>
        <w:ind w:left="-142" w:right="-425"/>
        <w:jc w:val="both"/>
        <w:rPr>
          <w:rFonts w:cs="Arial"/>
        </w:rPr>
      </w:pPr>
    </w:p>
    <w:p w14:paraId="1159CB03" w14:textId="3BCE2675" w:rsidR="009466F4" w:rsidRPr="00076ED0" w:rsidRDefault="009466F4" w:rsidP="009466F4">
      <w:pPr>
        <w:pStyle w:val="Heading2"/>
      </w:pPr>
      <w:r w:rsidRPr="00076ED0">
        <w:t>Case Management</w:t>
      </w:r>
    </w:p>
    <w:p w14:paraId="3CCDEF88" w14:textId="6F1088E5" w:rsidR="009466F4" w:rsidRDefault="009466F4" w:rsidP="009466F4">
      <w:pPr>
        <w:ind w:left="-142" w:right="-425"/>
        <w:jc w:val="both"/>
        <w:rPr>
          <w:rFonts w:cs="Arial"/>
        </w:rPr>
      </w:pPr>
      <w:r w:rsidRPr="00350FFE">
        <w:rPr>
          <w:rFonts w:cs="Arial"/>
        </w:rPr>
        <w:t xml:space="preserve">As at </w:t>
      </w:r>
      <w:r>
        <w:rPr>
          <w:rFonts w:cs="Arial"/>
        </w:rPr>
        <w:t>3</w:t>
      </w:r>
      <w:r w:rsidR="006D19CC">
        <w:rPr>
          <w:rFonts w:cs="Arial"/>
        </w:rPr>
        <w:t xml:space="preserve">0 </w:t>
      </w:r>
      <w:r w:rsidR="00A836AD">
        <w:rPr>
          <w:rFonts w:cs="Arial"/>
        </w:rPr>
        <w:t xml:space="preserve">September </w:t>
      </w:r>
      <w:r>
        <w:rPr>
          <w:rFonts w:cs="Arial"/>
        </w:rPr>
        <w:t>2020</w:t>
      </w:r>
      <w:r w:rsidRPr="00303C40">
        <w:rPr>
          <w:rFonts w:cs="Arial"/>
        </w:rPr>
        <w:t xml:space="preserve">, </w:t>
      </w:r>
      <w:r w:rsidR="005573E6">
        <w:rPr>
          <w:rFonts w:cs="Arial"/>
        </w:rPr>
        <w:t>317</w:t>
      </w:r>
      <w:r w:rsidR="005573E6" w:rsidRPr="00303C40">
        <w:rPr>
          <w:rFonts w:cs="Arial"/>
        </w:rPr>
        <w:t xml:space="preserve"> </w:t>
      </w:r>
      <w:r w:rsidRPr="00303C40">
        <w:rPr>
          <w:rFonts w:cs="Arial"/>
        </w:rPr>
        <w:t>clients were being case</w:t>
      </w:r>
      <w:r>
        <w:rPr>
          <w:rFonts w:cs="Arial"/>
        </w:rPr>
        <w:t>-</w:t>
      </w:r>
      <w:r w:rsidRPr="00303C40">
        <w:rPr>
          <w:rFonts w:cs="Arial"/>
        </w:rPr>
        <w:t>managed</w:t>
      </w:r>
      <w:r>
        <w:rPr>
          <w:rFonts w:cs="Arial"/>
        </w:rPr>
        <w:t xml:space="preserve"> through a current case plan</w:t>
      </w:r>
      <w:r w:rsidRPr="00E75A03">
        <w:rPr>
          <w:rFonts w:cs="Arial"/>
        </w:rPr>
        <w:t xml:space="preserve">, </w:t>
      </w:r>
      <w:r>
        <w:rPr>
          <w:rFonts w:cs="Arial"/>
        </w:rPr>
        <w:t xml:space="preserve">an increase </w:t>
      </w:r>
      <w:r w:rsidR="00A836AD">
        <w:rPr>
          <w:rFonts w:cs="Arial"/>
        </w:rPr>
        <w:t>of 31 from</w:t>
      </w:r>
      <w:r w:rsidRPr="00303C40">
        <w:rPr>
          <w:rFonts w:cs="Arial"/>
        </w:rPr>
        <w:t xml:space="preserve"> </w:t>
      </w:r>
      <w:r>
        <w:rPr>
          <w:rFonts w:cs="Arial"/>
        </w:rPr>
        <w:t>quarter 4</w:t>
      </w:r>
      <w:r w:rsidR="00A836AD">
        <w:rPr>
          <w:rFonts w:cs="Arial"/>
        </w:rPr>
        <w:t>8</w:t>
      </w:r>
      <w:r>
        <w:rPr>
          <w:rFonts w:cs="Arial"/>
        </w:rPr>
        <w:t>.</w:t>
      </w:r>
      <w:r w:rsidRPr="00303C40">
        <w:rPr>
          <w:rFonts w:cs="Arial"/>
        </w:rPr>
        <w:t xml:space="preserve"> </w:t>
      </w:r>
      <w:r>
        <w:rPr>
          <w:rFonts w:cs="Arial"/>
        </w:rPr>
        <w:t xml:space="preserve">Increases were seen in Aurukun, </w:t>
      </w:r>
      <w:r w:rsidR="006D19CC">
        <w:rPr>
          <w:rFonts w:cs="Arial"/>
        </w:rPr>
        <w:t>Coen</w:t>
      </w:r>
      <w:r w:rsidR="00A836AD">
        <w:rPr>
          <w:rFonts w:cs="Arial"/>
        </w:rPr>
        <w:t xml:space="preserve">, </w:t>
      </w:r>
      <w:r>
        <w:rPr>
          <w:rFonts w:cs="Arial"/>
        </w:rPr>
        <w:t>Doomadgee</w:t>
      </w:r>
      <w:r w:rsidR="00A836AD">
        <w:rPr>
          <w:rFonts w:cs="Arial"/>
        </w:rPr>
        <w:t xml:space="preserve"> and Mossman Gorge</w:t>
      </w:r>
      <w:r>
        <w:rPr>
          <w:rFonts w:cs="Arial"/>
        </w:rPr>
        <w:t xml:space="preserve"> of </w:t>
      </w:r>
      <w:r w:rsidR="006D19CC">
        <w:rPr>
          <w:rFonts w:cs="Arial"/>
        </w:rPr>
        <w:t>1</w:t>
      </w:r>
      <w:r w:rsidR="00A836AD">
        <w:rPr>
          <w:rFonts w:cs="Arial"/>
        </w:rPr>
        <w:t>0</w:t>
      </w:r>
      <w:r>
        <w:rPr>
          <w:rFonts w:cs="Arial"/>
        </w:rPr>
        <w:t xml:space="preserve">, </w:t>
      </w:r>
      <w:r w:rsidR="00A836AD">
        <w:rPr>
          <w:rFonts w:cs="Arial"/>
        </w:rPr>
        <w:t>4</w:t>
      </w:r>
      <w:r>
        <w:rPr>
          <w:rFonts w:cs="Arial"/>
        </w:rPr>
        <w:t>,</w:t>
      </w:r>
      <w:r w:rsidR="00A836AD">
        <w:rPr>
          <w:rFonts w:cs="Arial"/>
        </w:rPr>
        <w:t xml:space="preserve"> 15 and</w:t>
      </w:r>
      <w:r>
        <w:rPr>
          <w:rFonts w:cs="Arial"/>
        </w:rPr>
        <w:t xml:space="preserve"> </w:t>
      </w:r>
      <w:r w:rsidR="00A836AD">
        <w:rPr>
          <w:rFonts w:cs="Arial"/>
        </w:rPr>
        <w:t xml:space="preserve">4 </w:t>
      </w:r>
      <w:r>
        <w:rPr>
          <w:rFonts w:cs="Arial"/>
        </w:rPr>
        <w:t xml:space="preserve">respectively whilst </w:t>
      </w:r>
      <w:r w:rsidR="00A836AD">
        <w:rPr>
          <w:rFonts w:cs="Arial"/>
        </w:rPr>
        <w:t>Hope Vale</w:t>
      </w:r>
      <w:r w:rsidR="006D19CC">
        <w:rPr>
          <w:rFonts w:cs="Arial"/>
        </w:rPr>
        <w:t xml:space="preserve"> </w:t>
      </w:r>
      <w:r>
        <w:rPr>
          <w:rFonts w:cs="Arial"/>
        </w:rPr>
        <w:t xml:space="preserve">decreased by </w:t>
      </w:r>
      <w:r w:rsidR="006D19CC">
        <w:rPr>
          <w:rFonts w:cs="Arial"/>
        </w:rPr>
        <w:t>2</w:t>
      </w:r>
      <w:r>
        <w:rPr>
          <w:rFonts w:cs="Arial"/>
        </w:rPr>
        <w:t>.</w:t>
      </w:r>
    </w:p>
    <w:p w14:paraId="671396A6" w14:textId="77777777" w:rsidR="007A6883" w:rsidRDefault="007A6883" w:rsidP="00E2657A">
      <w:pPr>
        <w:ind w:left="-142" w:right="-425"/>
        <w:jc w:val="both"/>
        <w:rPr>
          <w:rFonts w:cs="Arial"/>
        </w:rPr>
      </w:pPr>
    </w:p>
    <w:p w14:paraId="6544B717" w14:textId="3BF7AB1A" w:rsidR="005A5B78" w:rsidRPr="00076ED0" w:rsidRDefault="005A5B78" w:rsidP="00986092">
      <w:pPr>
        <w:pStyle w:val="Heading2"/>
      </w:pPr>
      <w:r w:rsidRPr="00076ED0">
        <w:t>Applications to Amend or End Agreements or Orders</w:t>
      </w:r>
    </w:p>
    <w:p w14:paraId="1830CB65" w14:textId="669E972D" w:rsidR="005A5B78" w:rsidRDefault="005573E6" w:rsidP="005A5B78">
      <w:pPr>
        <w:ind w:left="-142" w:right="-425"/>
        <w:jc w:val="both"/>
        <w:rPr>
          <w:rFonts w:cs="Arial"/>
        </w:rPr>
      </w:pPr>
      <w:r>
        <w:rPr>
          <w:rFonts w:cs="Arial"/>
        </w:rPr>
        <w:t xml:space="preserve">Eight </w:t>
      </w:r>
      <w:r w:rsidR="00735BF1">
        <w:rPr>
          <w:rFonts w:cs="Arial"/>
        </w:rPr>
        <w:t>a</w:t>
      </w:r>
      <w:r w:rsidR="005A5B78" w:rsidRPr="009E1D38">
        <w:rPr>
          <w:rFonts w:cs="Arial"/>
        </w:rPr>
        <w:t xml:space="preserve">pplications </w:t>
      </w:r>
      <w:r w:rsidR="00DA5E39">
        <w:rPr>
          <w:rFonts w:cs="Arial"/>
        </w:rPr>
        <w:t>(</w:t>
      </w:r>
      <w:r>
        <w:rPr>
          <w:rFonts w:cs="Arial"/>
        </w:rPr>
        <w:t>5</w:t>
      </w:r>
      <w:r w:rsidR="00435378">
        <w:rPr>
          <w:rFonts w:cs="Arial"/>
        </w:rPr>
        <w:t xml:space="preserve"> </w:t>
      </w:r>
      <w:r w:rsidR="00C36E27">
        <w:rPr>
          <w:rFonts w:cs="Arial"/>
        </w:rPr>
        <w:t>female</w:t>
      </w:r>
      <w:r w:rsidR="004631EF">
        <w:rPr>
          <w:rFonts w:cs="Arial"/>
        </w:rPr>
        <w:t xml:space="preserve"> and </w:t>
      </w:r>
      <w:r>
        <w:rPr>
          <w:rFonts w:cs="Arial"/>
        </w:rPr>
        <w:t>3</w:t>
      </w:r>
      <w:r w:rsidR="004631EF">
        <w:rPr>
          <w:rFonts w:cs="Arial"/>
        </w:rPr>
        <w:t xml:space="preserve"> male</w:t>
      </w:r>
      <w:r w:rsidR="00DA5E39">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960C5D">
        <w:rPr>
          <w:rFonts w:cs="Arial"/>
        </w:rPr>
        <w:t>4</w:t>
      </w:r>
      <w:r>
        <w:rPr>
          <w:rFonts w:cs="Arial"/>
        </w:rPr>
        <w:t>9</w:t>
      </w:r>
      <w:r w:rsidR="005A5B78">
        <w:rPr>
          <w:rFonts w:cs="Arial"/>
        </w:rPr>
        <w:t xml:space="preserve">, </w:t>
      </w:r>
      <w:r w:rsidR="000068E7">
        <w:rPr>
          <w:rFonts w:cs="Arial"/>
        </w:rPr>
        <w:t>a</w:t>
      </w:r>
      <w:r w:rsidR="00435378">
        <w:rPr>
          <w:rFonts w:cs="Arial"/>
        </w:rPr>
        <w:t xml:space="preserve"> decrease </w:t>
      </w:r>
      <w:r w:rsidR="00807B13" w:rsidRPr="009D1AAB">
        <w:rPr>
          <w:rFonts w:cs="Arial"/>
        </w:rPr>
        <w:t xml:space="preserve">of </w:t>
      </w:r>
      <w:r>
        <w:rPr>
          <w:rFonts w:cs="Arial"/>
        </w:rPr>
        <w:t>4</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A168EF">
        <w:t>4</w:t>
      </w:r>
      <w:r>
        <w:t>8</w:t>
      </w:r>
      <w:r w:rsidR="005A5B78" w:rsidRPr="00AF2C25">
        <w:rPr>
          <w:rFonts w:cs="Arial"/>
        </w:rPr>
        <w:t>.</w:t>
      </w:r>
      <w:r w:rsidR="00C36E27">
        <w:rPr>
          <w:rFonts w:cs="Arial"/>
        </w:rPr>
        <w:t xml:space="preserve"> </w:t>
      </w:r>
      <w:r w:rsidR="007D6EF8">
        <w:rPr>
          <w:rFonts w:cs="Arial"/>
        </w:rPr>
        <w:t>A</w:t>
      </w:r>
      <w:r w:rsidR="00C36E27">
        <w:rPr>
          <w:rFonts w:cs="Arial"/>
        </w:rPr>
        <w:t xml:space="preserve"> client may apply to amend or end their agreement or order on multiple occasions throughout a quarter.</w:t>
      </w:r>
      <w:r w:rsidR="005A5B78">
        <w:rPr>
          <w:rFonts w:cs="Arial"/>
        </w:rPr>
        <w:t xml:space="preserve"> </w:t>
      </w:r>
      <w:r w:rsidR="005A5B78" w:rsidRPr="009E1D38">
        <w:rPr>
          <w:rFonts w:cs="Arial"/>
        </w:rPr>
        <w:t xml:space="preserve">Outcomes of the </w:t>
      </w:r>
      <w:r>
        <w:rPr>
          <w:rFonts w:cs="Arial"/>
        </w:rPr>
        <w:t>8</w:t>
      </w:r>
      <w:r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5FAA00F9" w:rsidR="005A5B78" w:rsidRDefault="00DD2006" w:rsidP="002208A5">
      <w:pPr>
        <w:tabs>
          <w:tab w:val="decimal" w:pos="284"/>
          <w:tab w:val="decimal" w:pos="426"/>
          <w:tab w:val="decimal" w:pos="454"/>
          <w:tab w:val="decimal" w:pos="567"/>
        </w:tabs>
        <w:ind w:left="425" w:right="-425" w:hanging="567"/>
        <w:rPr>
          <w:rFonts w:cs="Arial"/>
        </w:rPr>
      </w:pPr>
      <w:r>
        <w:rPr>
          <w:rFonts w:cs="Arial"/>
        </w:rPr>
        <w:tab/>
      </w:r>
      <w:r w:rsidR="00A836AD">
        <w:rPr>
          <w:rFonts w:cs="Arial"/>
        </w:rPr>
        <w:t>4</w:t>
      </w:r>
      <w:r w:rsidR="00AC17D8" w:rsidRPr="009F3758">
        <w:rPr>
          <w:rFonts w:cs="Arial"/>
        </w:rPr>
        <w:t xml:space="preserve"> </w:t>
      </w:r>
      <w:r w:rsidR="00374932" w:rsidRPr="009F3758">
        <w:rPr>
          <w:rFonts w:cs="Arial"/>
        </w:rPr>
        <w:t>A</w:t>
      </w:r>
      <w:r w:rsidR="005A5B78" w:rsidRPr="009F3758">
        <w:rPr>
          <w:rFonts w:cs="Arial"/>
        </w:rPr>
        <w:t xml:space="preserve">pplications granted and </w:t>
      </w:r>
      <w:r w:rsidR="00E76B39" w:rsidRPr="009F3758">
        <w:rPr>
          <w:rFonts w:cs="Arial"/>
        </w:rPr>
        <w:t>i</w:t>
      </w:r>
      <w:r w:rsidR="005A5B78" w:rsidRPr="009F3758">
        <w:rPr>
          <w:rFonts w:cs="Arial"/>
        </w:rPr>
        <w:t xml:space="preserve">ncome </w:t>
      </w:r>
      <w:r w:rsidR="00E76B39" w:rsidRPr="009F3758">
        <w:rPr>
          <w:rFonts w:cs="Arial"/>
        </w:rPr>
        <w:t>m</w:t>
      </w:r>
      <w:r w:rsidR="005A5B78" w:rsidRPr="009F3758">
        <w:rPr>
          <w:rFonts w:cs="Arial"/>
        </w:rPr>
        <w:t>anagement agreements and orders revoked</w:t>
      </w:r>
    </w:p>
    <w:p w14:paraId="33CDE497" w14:textId="1734061E" w:rsidR="00970EFB" w:rsidRDefault="00970EFB" w:rsidP="002208A5">
      <w:pPr>
        <w:tabs>
          <w:tab w:val="decimal" w:pos="284"/>
          <w:tab w:val="decimal" w:pos="426"/>
          <w:tab w:val="decimal" w:pos="454"/>
          <w:tab w:val="decimal" w:pos="567"/>
        </w:tabs>
        <w:ind w:left="425" w:right="-425" w:hanging="567"/>
        <w:rPr>
          <w:rFonts w:cs="Arial"/>
        </w:rPr>
      </w:pPr>
      <w:r>
        <w:rPr>
          <w:rFonts w:cs="Arial"/>
        </w:rPr>
        <w:tab/>
      </w:r>
      <w:r w:rsidR="00435378">
        <w:rPr>
          <w:rFonts w:cs="Arial"/>
        </w:rPr>
        <w:t>2</w:t>
      </w:r>
      <w:r>
        <w:rPr>
          <w:rFonts w:cs="Arial"/>
        </w:rPr>
        <w:t xml:space="preserve"> Application</w:t>
      </w:r>
      <w:r w:rsidR="00EF7CC5">
        <w:rPr>
          <w:rFonts w:cs="Arial"/>
        </w:rPr>
        <w:t>s</w:t>
      </w:r>
      <w:r>
        <w:rPr>
          <w:rFonts w:cs="Arial"/>
        </w:rPr>
        <w:t xml:space="preserve"> </w:t>
      </w:r>
      <w:r w:rsidR="00EF7CC5">
        <w:rPr>
          <w:rFonts w:cs="Arial"/>
        </w:rPr>
        <w:t>refused</w:t>
      </w:r>
    </w:p>
    <w:p w14:paraId="0127B90F" w14:textId="7E0174F2" w:rsidR="00E80FD5" w:rsidRPr="009F3758" w:rsidRDefault="00970EFB" w:rsidP="000D40BB">
      <w:pPr>
        <w:tabs>
          <w:tab w:val="decimal" w:pos="284"/>
          <w:tab w:val="decimal" w:pos="426"/>
          <w:tab w:val="decimal" w:pos="454"/>
          <w:tab w:val="decimal" w:pos="567"/>
        </w:tabs>
        <w:ind w:left="-142" w:right="-425"/>
        <w:rPr>
          <w:rFonts w:cs="Arial"/>
        </w:rPr>
      </w:pPr>
      <w:r>
        <w:rPr>
          <w:rFonts w:cs="Arial"/>
        </w:rPr>
        <w:tab/>
      </w:r>
      <w:r w:rsidR="005573E6">
        <w:rPr>
          <w:rFonts w:cs="Arial"/>
        </w:rPr>
        <w:t>2</w:t>
      </w:r>
      <w:r>
        <w:rPr>
          <w:rFonts w:cs="Arial"/>
        </w:rPr>
        <w:t xml:space="preserve"> Application received at the end of the quarter, decision pending</w:t>
      </w:r>
      <w:r w:rsidR="000445E2">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77777777"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6F7E8B16" w14:textId="77777777" w:rsidR="005517E6" w:rsidRDefault="005517E6" w:rsidP="005A5B78">
      <w:pPr>
        <w:ind w:left="-142" w:right="-425"/>
        <w:jc w:val="both"/>
        <w:rPr>
          <w:rFonts w:cs="Arial"/>
          <w:b/>
          <w:sz w:val="16"/>
          <w:szCs w:val="16"/>
        </w:rPr>
      </w:pPr>
    </w:p>
    <w:p w14:paraId="39114919" w14:textId="15BDD300" w:rsidR="0089756E" w:rsidRPr="008E49AE" w:rsidRDefault="0089756E" w:rsidP="0089756E">
      <w:pPr>
        <w:pStyle w:val="TableCaption"/>
        <w:spacing w:before="0"/>
        <w:ind w:left="0" w:right="-425"/>
        <w:rPr>
          <w:b/>
          <w:i w:val="0"/>
          <w:sz w:val="16"/>
        </w:rPr>
      </w:pPr>
      <w:bookmarkStart w:id="6" w:name="_Toc222226583"/>
      <w:bookmarkStart w:id="7" w:name="_Toc304386232"/>
      <w:bookmarkStart w:id="8" w:name="_Toc304386309"/>
      <w:bookmarkStart w:id="9" w:name="_Toc306011182"/>
      <w:r w:rsidRPr="008E49AE">
        <w:rPr>
          <w:b/>
          <w:i w:val="0"/>
          <w:sz w:val="16"/>
        </w:rPr>
        <w:t>Table 1</w:t>
      </w:r>
      <w:r>
        <w:rPr>
          <w:b/>
          <w:i w:val="0"/>
          <w:sz w:val="16"/>
        </w:rPr>
        <w:t>9</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July 2019 to 30 September </w:t>
      </w:r>
      <w:r w:rsidRPr="008E49AE">
        <w:rPr>
          <w:i w:val="0"/>
          <w:sz w:val="16"/>
        </w:rPr>
        <w:t>20</w:t>
      </w:r>
      <w:r>
        <w:rPr>
          <w:i w:val="0"/>
          <w:sz w:val="16"/>
        </w:rPr>
        <w:t>20</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89756E" w:rsidRPr="00C5395B" w14:paraId="41E760F8" w14:textId="24292063" w:rsidTr="0089756E">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72E0CAF" w14:textId="77777777" w:rsidR="0089756E" w:rsidRPr="00C5395B" w:rsidRDefault="0089756E" w:rsidP="00544691">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0F22452" w14:textId="77777777" w:rsidR="0089756E" w:rsidRPr="00C5395B" w:rsidRDefault="0089756E" w:rsidP="00544691">
            <w:pPr>
              <w:pStyle w:val="TableText"/>
              <w:jc w:val="right"/>
              <w:rPr>
                <w:b/>
                <w:lang w:eastAsia="en-AU"/>
              </w:rPr>
            </w:pPr>
            <w:r>
              <w:rPr>
                <w:b/>
                <w:lang w:eastAsia="en-AU"/>
              </w:rPr>
              <w:t>Qtr 45</w:t>
            </w:r>
          </w:p>
        </w:tc>
        <w:tc>
          <w:tcPr>
            <w:tcW w:w="960" w:type="dxa"/>
            <w:tcBorders>
              <w:top w:val="single" w:sz="4" w:space="0" w:color="auto"/>
              <w:left w:val="nil"/>
              <w:bottom w:val="single" w:sz="4" w:space="0" w:color="auto"/>
              <w:right w:val="single" w:sz="4" w:space="0" w:color="auto"/>
            </w:tcBorders>
          </w:tcPr>
          <w:p w14:paraId="246822A6" w14:textId="77777777" w:rsidR="0089756E" w:rsidRPr="00C5395B" w:rsidRDefault="0089756E" w:rsidP="00544691">
            <w:pPr>
              <w:pStyle w:val="TableText"/>
              <w:jc w:val="right"/>
              <w:rPr>
                <w:b/>
                <w:lang w:eastAsia="en-AU"/>
              </w:rPr>
            </w:pPr>
            <w:r>
              <w:rPr>
                <w:b/>
                <w:lang w:eastAsia="en-AU"/>
              </w:rPr>
              <w:t>Qtr 46</w:t>
            </w:r>
          </w:p>
        </w:tc>
        <w:tc>
          <w:tcPr>
            <w:tcW w:w="960" w:type="dxa"/>
            <w:tcBorders>
              <w:top w:val="single" w:sz="4" w:space="0" w:color="auto"/>
              <w:left w:val="nil"/>
              <w:bottom w:val="single" w:sz="4" w:space="0" w:color="auto"/>
              <w:right w:val="single" w:sz="4" w:space="0" w:color="auto"/>
            </w:tcBorders>
          </w:tcPr>
          <w:p w14:paraId="4A06115F" w14:textId="77777777" w:rsidR="0089756E" w:rsidRDefault="0089756E" w:rsidP="00544691">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65D545E5" w14:textId="77777777" w:rsidR="0089756E" w:rsidRDefault="0089756E" w:rsidP="00544691">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58CC428A" w14:textId="503AF443" w:rsidR="0089756E" w:rsidRDefault="0089756E" w:rsidP="00544691">
            <w:pPr>
              <w:pStyle w:val="TableText"/>
              <w:jc w:val="right"/>
              <w:rPr>
                <w:b/>
                <w:lang w:eastAsia="en-AU"/>
              </w:rPr>
            </w:pPr>
            <w:r>
              <w:rPr>
                <w:b/>
                <w:lang w:eastAsia="en-AU"/>
              </w:rPr>
              <w:t>Qtr 49</w:t>
            </w:r>
          </w:p>
        </w:tc>
      </w:tr>
      <w:tr w:rsidR="00DE1099" w:rsidRPr="00C5395B" w14:paraId="769EA316" w14:textId="2F219A66" w:rsidTr="0089756E">
        <w:trPr>
          <w:trHeight w:val="255"/>
        </w:trPr>
        <w:tc>
          <w:tcPr>
            <w:tcW w:w="2040" w:type="dxa"/>
            <w:tcBorders>
              <w:top w:val="nil"/>
              <w:left w:val="single" w:sz="4" w:space="0" w:color="auto"/>
              <w:bottom w:val="single" w:sz="4" w:space="0" w:color="auto"/>
              <w:right w:val="single" w:sz="4" w:space="0" w:color="auto"/>
            </w:tcBorders>
            <w:noWrap/>
            <w:hideMark/>
          </w:tcPr>
          <w:p w14:paraId="647FF0D2" w14:textId="77777777" w:rsidR="00DE1099" w:rsidRPr="00C5395B" w:rsidRDefault="00DE1099" w:rsidP="00DE109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B261BB8" w14:textId="77777777" w:rsidR="00DE1099" w:rsidRDefault="00DE1099" w:rsidP="00DE1099">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00024A26" w14:textId="77777777" w:rsidR="00DE1099" w:rsidRDefault="00DE1099" w:rsidP="00DE109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2E34149" w14:textId="77777777" w:rsidR="00DE1099" w:rsidRDefault="00DE1099" w:rsidP="00DE1099">
            <w:pPr>
              <w:jc w:val="right"/>
              <w:rPr>
                <w:rFonts w:cs="Arial"/>
              </w:rPr>
            </w:pPr>
            <w:r w:rsidRPr="009205F7">
              <w:rPr>
                <w:rFonts w:cs="Arial"/>
              </w:rPr>
              <w:t>15</w:t>
            </w:r>
          </w:p>
        </w:tc>
        <w:tc>
          <w:tcPr>
            <w:tcW w:w="960" w:type="dxa"/>
            <w:tcBorders>
              <w:top w:val="nil"/>
              <w:left w:val="nil"/>
              <w:bottom w:val="single" w:sz="4" w:space="0" w:color="auto"/>
              <w:right w:val="single" w:sz="4" w:space="0" w:color="auto"/>
            </w:tcBorders>
          </w:tcPr>
          <w:p w14:paraId="134C712E" w14:textId="77777777" w:rsidR="00DE1099" w:rsidRPr="00550A24" w:rsidRDefault="00DE1099" w:rsidP="00DE1099">
            <w:pPr>
              <w:jc w:val="right"/>
              <w:rPr>
                <w:rFonts w:cs="Arial"/>
              </w:rPr>
            </w:pPr>
            <w:r w:rsidRPr="00550A24">
              <w:rPr>
                <w:rFonts w:cs="Arial"/>
              </w:rPr>
              <w:t>6</w:t>
            </w:r>
          </w:p>
        </w:tc>
        <w:tc>
          <w:tcPr>
            <w:tcW w:w="960" w:type="dxa"/>
            <w:tcBorders>
              <w:top w:val="nil"/>
              <w:left w:val="nil"/>
              <w:bottom w:val="single" w:sz="4" w:space="0" w:color="auto"/>
              <w:right w:val="single" w:sz="4" w:space="0" w:color="auto"/>
            </w:tcBorders>
          </w:tcPr>
          <w:p w14:paraId="372D14F8" w14:textId="7C64B7A8" w:rsidR="00DE1099" w:rsidRPr="00DE1099" w:rsidRDefault="00DE1099" w:rsidP="00DE1099">
            <w:pPr>
              <w:jc w:val="right"/>
              <w:rPr>
                <w:rFonts w:cs="Arial"/>
              </w:rPr>
            </w:pPr>
            <w:r w:rsidRPr="00DE1099">
              <w:rPr>
                <w:rFonts w:cs="Arial"/>
              </w:rPr>
              <w:t>3</w:t>
            </w:r>
          </w:p>
        </w:tc>
      </w:tr>
      <w:tr w:rsidR="00DE1099" w:rsidRPr="00C5395B" w14:paraId="2D032650" w14:textId="578A46BC" w:rsidTr="0089756E">
        <w:trPr>
          <w:trHeight w:val="255"/>
        </w:trPr>
        <w:tc>
          <w:tcPr>
            <w:tcW w:w="2040" w:type="dxa"/>
            <w:tcBorders>
              <w:top w:val="nil"/>
              <w:left w:val="single" w:sz="4" w:space="0" w:color="auto"/>
              <w:bottom w:val="single" w:sz="4" w:space="0" w:color="auto"/>
              <w:right w:val="single" w:sz="4" w:space="0" w:color="auto"/>
            </w:tcBorders>
            <w:noWrap/>
            <w:hideMark/>
          </w:tcPr>
          <w:p w14:paraId="3EE377BB" w14:textId="77777777" w:rsidR="00DE1099" w:rsidRPr="00C5395B" w:rsidRDefault="00DE1099" w:rsidP="00DE109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290EF9B" w14:textId="77777777" w:rsidR="00DE1099" w:rsidRDefault="00DE1099" w:rsidP="00DE109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D44C056" w14:textId="77777777" w:rsidR="00DE1099" w:rsidRDefault="00DE1099" w:rsidP="00DE109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1937178" w14:textId="77777777" w:rsidR="00DE1099" w:rsidRDefault="00DE1099" w:rsidP="00DE1099">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5074D458" w14:textId="77777777" w:rsidR="00DE1099" w:rsidRPr="00550A24" w:rsidRDefault="00DE1099" w:rsidP="00DE1099">
            <w:pPr>
              <w:jc w:val="right"/>
              <w:rPr>
                <w:rFonts w:cs="Arial"/>
              </w:rPr>
            </w:pPr>
            <w:r w:rsidRPr="00550A24">
              <w:rPr>
                <w:rFonts w:cs="Arial"/>
              </w:rPr>
              <w:t>0</w:t>
            </w:r>
          </w:p>
        </w:tc>
        <w:tc>
          <w:tcPr>
            <w:tcW w:w="960" w:type="dxa"/>
            <w:tcBorders>
              <w:top w:val="nil"/>
              <w:left w:val="nil"/>
              <w:bottom w:val="single" w:sz="4" w:space="0" w:color="auto"/>
              <w:right w:val="single" w:sz="4" w:space="0" w:color="auto"/>
            </w:tcBorders>
          </w:tcPr>
          <w:p w14:paraId="6EC86F90" w14:textId="3EE6ABAE" w:rsidR="00DE1099" w:rsidRPr="00DE1099" w:rsidRDefault="00DE1099" w:rsidP="00DE1099">
            <w:pPr>
              <w:jc w:val="right"/>
              <w:rPr>
                <w:rFonts w:cs="Arial"/>
              </w:rPr>
            </w:pPr>
            <w:r w:rsidRPr="00DE1099">
              <w:rPr>
                <w:rFonts w:cs="Arial"/>
              </w:rPr>
              <w:t>0</w:t>
            </w:r>
          </w:p>
        </w:tc>
      </w:tr>
      <w:tr w:rsidR="00DE1099" w:rsidRPr="00C5395B" w14:paraId="6BF9123D" w14:textId="1A6CDC47" w:rsidTr="0089756E">
        <w:trPr>
          <w:trHeight w:val="255"/>
        </w:trPr>
        <w:tc>
          <w:tcPr>
            <w:tcW w:w="2040" w:type="dxa"/>
            <w:tcBorders>
              <w:top w:val="nil"/>
              <w:left w:val="single" w:sz="4" w:space="0" w:color="auto"/>
              <w:bottom w:val="single" w:sz="4" w:space="0" w:color="auto"/>
              <w:right w:val="single" w:sz="4" w:space="0" w:color="auto"/>
            </w:tcBorders>
            <w:noWrap/>
          </w:tcPr>
          <w:p w14:paraId="6CE18594" w14:textId="77777777" w:rsidR="00DE1099" w:rsidRPr="00C5395B" w:rsidRDefault="00DE1099" w:rsidP="00DE109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61DAAF2" w14:textId="77777777" w:rsidR="00DE1099" w:rsidRDefault="00DE1099" w:rsidP="00DE1099">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1B33F75C" w14:textId="77777777" w:rsidR="00DE1099" w:rsidRDefault="00DE1099" w:rsidP="00DE1099">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3A5380C" w14:textId="77777777" w:rsidR="00DE1099" w:rsidRDefault="00DE1099" w:rsidP="00DE1099">
            <w:pPr>
              <w:jc w:val="right"/>
              <w:rPr>
                <w:rFonts w:cs="Arial"/>
              </w:rPr>
            </w:pPr>
            <w:r w:rsidRPr="009205F7">
              <w:rPr>
                <w:rFonts w:cs="Arial"/>
              </w:rPr>
              <w:t>1</w:t>
            </w:r>
          </w:p>
        </w:tc>
        <w:tc>
          <w:tcPr>
            <w:tcW w:w="960" w:type="dxa"/>
            <w:tcBorders>
              <w:top w:val="nil"/>
              <w:left w:val="nil"/>
              <w:bottom w:val="single" w:sz="4" w:space="0" w:color="auto"/>
              <w:right w:val="single" w:sz="4" w:space="0" w:color="auto"/>
            </w:tcBorders>
          </w:tcPr>
          <w:p w14:paraId="646403F7" w14:textId="77777777" w:rsidR="00DE1099" w:rsidRPr="00550A24" w:rsidRDefault="00DE1099" w:rsidP="00DE1099">
            <w:pPr>
              <w:jc w:val="right"/>
              <w:rPr>
                <w:rFonts w:cs="Arial"/>
              </w:rPr>
            </w:pPr>
            <w:r w:rsidRPr="00550A24">
              <w:rPr>
                <w:rFonts w:cs="Arial"/>
              </w:rPr>
              <w:t>1</w:t>
            </w:r>
          </w:p>
        </w:tc>
        <w:tc>
          <w:tcPr>
            <w:tcW w:w="960" w:type="dxa"/>
            <w:tcBorders>
              <w:top w:val="nil"/>
              <w:left w:val="nil"/>
              <w:bottom w:val="single" w:sz="4" w:space="0" w:color="auto"/>
              <w:right w:val="single" w:sz="4" w:space="0" w:color="auto"/>
            </w:tcBorders>
          </w:tcPr>
          <w:p w14:paraId="5D4B5819" w14:textId="32551199" w:rsidR="00DE1099" w:rsidRPr="00DE1099" w:rsidRDefault="00DE1099" w:rsidP="00DE1099">
            <w:pPr>
              <w:jc w:val="right"/>
              <w:rPr>
                <w:rFonts w:cs="Arial"/>
              </w:rPr>
            </w:pPr>
            <w:r w:rsidRPr="00DE1099">
              <w:rPr>
                <w:rFonts w:cs="Arial"/>
              </w:rPr>
              <w:t>0</w:t>
            </w:r>
          </w:p>
        </w:tc>
      </w:tr>
      <w:tr w:rsidR="00DE1099" w:rsidRPr="00C5395B" w14:paraId="4F27B8A2" w14:textId="2E7F9BC9" w:rsidTr="0089756E">
        <w:trPr>
          <w:trHeight w:val="255"/>
        </w:trPr>
        <w:tc>
          <w:tcPr>
            <w:tcW w:w="2040" w:type="dxa"/>
            <w:tcBorders>
              <w:top w:val="nil"/>
              <w:left w:val="single" w:sz="4" w:space="0" w:color="auto"/>
              <w:bottom w:val="single" w:sz="4" w:space="0" w:color="auto"/>
              <w:right w:val="single" w:sz="4" w:space="0" w:color="auto"/>
            </w:tcBorders>
            <w:noWrap/>
            <w:hideMark/>
          </w:tcPr>
          <w:p w14:paraId="4D3DA37F" w14:textId="77777777" w:rsidR="00DE1099" w:rsidRPr="00C5395B" w:rsidRDefault="00DE1099" w:rsidP="00DE109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783E27C" w14:textId="77777777" w:rsidR="00DE1099" w:rsidRDefault="00DE1099" w:rsidP="00DE109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994B1CD" w14:textId="77777777" w:rsidR="00DE1099" w:rsidRDefault="00DE1099" w:rsidP="00DE1099">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875B799" w14:textId="77777777" w:rsidR="00DE1099" w:rsidRDefault="00DE1099" w:rsidP="00DE1099">
            <w:pPr>
              <w:jc w:val="right"/>
              <w:rPr>
                <w:rFonts w:cs="Arial"/>
              </w:rPr>
            </w:pPr>
            <w:r w:rsidRPr="009205F7">
              <w:rPr>
                <w:rFonts w:cs="Arial"/>
              </w:rPr>
              <w:t>2</w:t>
            </w:r>
          </w:p>
        </w:tc>
        <w:tc>
          <w:tcPr>
            <w:tcW w:w="960" w:type="dxa"/>
            <w:tcBorders>
              <w:top w:val="nil"/>
              <w:left w:val="nil"/>
              <w:bottom w:val="single" w:sz="4" w:space="0" w:color="auto"/>
              <w:right w:val="single" w:sz="4" w:space="0" w:color="auto"/>
            </w:tcBorders>
          </w:tcPr>
          <w:p w14:paraId="57115647" w14:textId="77777777" w:rsidR="00DE1099" w:rsidRPr="00550A24" w:rsidRDefault="00DE1099" w:rsidP="00DE1099">
            <w:pPr>
              <w:jc w:val="right"/>
              <w:rPr>
                <w:rFonts w:cs="Arial"/>
              </w:rPr>
            </w:pPr>
            <w:r w:rsidRPr="00550A24">
              <w:rPr>
                <w:rFonts w:cs="Arial"/>
              </w:rPr>
              <w:t>3</w:t>
            </w:r>
          </w:p>
        </w:tc>
        <w:tc>
          <w:tcPr>
            <w:tcW w:w="960" w:type="dxa"/>
            <w:tcBorders>
              <w:top w:val="nil"/>
              <w:left w:val="nil"/>
              <w:bottom w:val="single" w:sz="4" w:space="0" w:color="auto"/>
              <w:right w:val="single" w:sz="4" w:space="0" w:color="auto"/>
            </w:tcBorders>
          </w:tcPr>
          <w:p w14:paraId="70884CA7" w14:textId="0490D6D4" w:rsidR="00DE1099" w:rsidRPr="00DE1099" w:rsidRDefault="00DE1099" w:rsidP="00DE1099">
            <w:pPr>
              <w:jc w:val="right"/>
              <w:rPr>
                <w:rFonts w:cs="Arial"/>
              </w:rPr>
            </w:pPr>
            <w:r w:rsidRPr="00DE1099">
              <w:rPr>
                <w:rFonts w:cs="Arial"/>
              </w:rPr>
              <w:t>4</w:t>
            </w:r>
          </w:p>
        </w:tc>
      </w:tr>
      <w:tr w:rsidR="00DE1099" w:rsidRPr="00C5395B" w14:paraId="23A68AC6" w14:textId="37F18C51" w:rsidTr="0089756E">
        <w:trPr>
          <w:trHeight w:val="255"/>
        </w:trPr>
        <w:tc>
          <w:tcPr>
            <w:tcW w:w="2040" w:type="dxa"/>
            <w:tcBorders>
              <w:top w:val="nil"/>
              <w:left w:val="single" w:sz="4" w:space="0" w:color="auto"/>
              <w:bottom w:val="single" w:sz="4" w:space="0" w:color="auto"/>
              <w:right w:val="single" w:sz="4" w:space="0" w:color="auto"/>
            </w:tcBorders>
            <w:noWrap/>
            <w:hideMark/>
          </w:tcPr>
          <w:p w14:paraId="41E30CB2" w14:textId="77777777" w:rsidR="00DE1099" w:rsidRPr="00C5395B" w:rsidRDefault="00DE1099" w:rsidP="00DE109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723EDA8" w14:textId="77777777" w:rsidR="00DE1099" w:rsidRDefault="00DE1099" w:rsidP="00DE109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8610533" w14:textId="77777777" w:rsidR="00DE1099" w:rsidRDefault="00DE1099" w:rsidP="00DE109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D112DBA" w14:textId="77777777" w:rsidR="00DE1099" w:rsidRDefault="00DE1099" w:rsidP="00DE1099">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0713F4E4" w14:textId="77777777" w:rsidR="00DE1099" w:rsidRPr="00550A24" w:rsidRDefault="00DE1099" w:rsidP="00DE1099">
            <w:pPr>
              <w:jc w:val="right"/>
              <w:rPr>
                <w:rFonts w:cs="Arial"/>
              </w:rPr>
            </w:pPr>
            <w:r w:rsidRPr="00550A24">
              <w:rPr>
                <w:rFonts w:cs="Arial"/>
              </w:rPr>
              <w:t>2</w:t>
            </w:r>
          </w:p>
        </w:tc>
        <w:tc>
          <w:tcPr>
            <w:tcW w:w="960" w:type="dxa"/>
            <w:tcBorders>
              <w:top w:val="nil"/>
              <w:left w:val="nil"/>
              <w:bottom w:val="single" w:sz="4" w:space="0" w:color="auto"/>
              <w:right w:val="single" w:sz="4" w:space="0" w:color="auto"/>
            </w:tcBorders>
          </w:tcPr>
          <w:p w14:paraId="48A0DDC3" w14:textId="438E37FD" w:rsidR="00DE1099" w:rsidRPr="00DE1099" w:rsidRDefault="00DE1099" w:rsidP="00DE1099">
            <w:pPr>
              <w:jc w:val="right"/>
              <w:rPr>
                <w:rFonts w:cs="Arial"/>
              </w:rPr>
            </w:pPr>
            <w:r w:rsidRPr="00DE1099">
              <w:rPr>
                <w:rFonts w:cs="Arial"/>
              </w:rPr>
              <w:t>1</w:t>
            </w:r>
          </w:p>
        </w:tc>
      </w:tr>
      <w:tr w:rsidR="00DE1099" w:rsidRPr="00C5395B" w14:paraId="6FBA4443" w14:textId="5E684F9D" w:rsidTr="0089756E">
        <w:trPr>
          <w:trHeight w:val="255"/>
        </w:trPr>
        <w:tc>
          <w:tcPr>
            <w:tcW w:w="2040" w:type="dxa"/>
            <w:tcBorders>
              <w:top w:val="nil"/>
              <w:left w:val="single" w:sz="4" w:space="0" w:color="auto"/>
              <w:bottom w:val="single" w:sz="4" w:space="0" w:color="auto"/>
              <w:right w:val="single" w:sz="4" w:space="0" w:color="auto"/>
            </w:tcBorders>
            <w:noWrap/>
            <w:hideMark/>
          </w:tcPr>
          <w:p w14:paraId="47268D65" w14:textId="77777777" w:rsidR="00DE1099" w:rsidRPr="00C5395B" w:rsidRDefault="00DE1099" w:rsidP="00DE109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1341E0A" w14:textId="77777777" w:rsidR="00DE1099" w:rsidRDefault="00DE1099" w:rsidP="00DE1099">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67712312" w14:textId="77777777" w:rsidR="00DE1099" w:rsidRDefault="00DE1099" w:rsidP="00DE1099">
            <w:pPr>
              <w:jc w:val="right"/>
              <w:rPr>
                <w:rFonts w:cs="Arial"/>
                <w:b/>
                <w:bCs/>
              </w:rPr>
            </w:pPr>
            <w:r>
              <w:rPr>
                <w:rFonts w:cs="Arial"/>
                <w:b/>
                <w:bCs/>
              </w:rPr>
              <w:t>15</w:t>
            </w:r>
          </w:p>
        </w:tc>
        <w:tc>
          <w:tcPr>
            <w:tcW w:w="960" w:type="dxa"/>
            <w:tcBorders>
              <w:top w:val="nil"/>
              <w:left w:val="nil"/>
              <w:bottom w:val="single" w:sz="4" w:space="0" w:color="auto"/>
              <w:right w:val="single" w:sz="4" w:space="0" w:color="auto"/>
            </w:tcBorders>
          </w:tcPr>
          <w:p w14:paraId="7A5B67A4" w14:textId="77777777" w:rsidR="00DE1099" w:rsidRDefault="00DE1099" w:rsidP="00DE1099">
            <w:pPr>
              <w:jc w:val="right"/>
              <w:rPr>
                <w:rFonts w:cs="Arial"/>
                <w:b/>
                <w:bCs/>
              </w:rPr>
            </w:pPr>
            <w:r w:rsidRPr="009205F7">
              <w:rPr>
                <w:rFonts w:cs="Arial"/>
                <w:b/>
                <w:bCs/>
              </w:rPr>
              <w:t>18</w:t>
            </w:r>
          </w:p>
        </w:tc>
        <w:tc>
          <w:tcPr>
            <w:tcW w:w="960" w:type="dxa"/>
            <w:tcBorders>
              <w:top w:val="nil"/>
              <w:left w:val="nil"/>
              <w:bottom w:val="single" w:sz="4" w:space="0" w:color="auto"/>
              <w:right w:val="single" w:sz="4" w:space="0" w:color="auto"/>
            </w:tcBorders>
          </w:tcPr>
          <w:p w14:paraId="1FA3F352" w14:textId="77777777" w:rsidR="00DE1099" w:rsidRPr="00550A24" w:rsidRDefault="00DE1099" w:rsidP="00DE1099">
            <w:pPr>
              <w:jc w:val="right"/>
              <w:rPr>
                <w:rFonts w:cs="Arial"/>
                <w:b/>
                <w:bCs/>
              </w:rPr>
            </w:pPr>
            <w:r w:rsidRPr="00550A24">
              <w:rPr>
                <w:rFonts w:cs="Arial"/>
                <w:b/>
                <w:bCs/>
              </w:rPr>
              <w:t>12</w:t>
            </w:r>
          </w:p>
        </w:tc>
        <w:tc>
          <w:tcPr>
            <w:tcW w:w="960" w:type="dxa"/>
            <w:tcBorders>
              <w:top w:val="nil"/>
              <w:left w:val="nil"/>
              <w:bottom w:val="single" w:sz="4" w:space="0" w:color="auto"/>
              <w:right w:val="single" w:sz="4" w:space="0" w:color="auto"/>
            </w:tcBorders>
          </w:tcPr>
          <w:p w14:paraId="62C328B4" w14:textId="4206CEDC" w:rsidR="00DE1099" w:rsidRPr="00DE1099" w:rsidRDefault="00DE1099" w:rsidP="00DE1099">
            <w:pPr>
              <w:jc w:val="right"/>
              <w:rPr>
                <w:rFonts w:cs="Arial"/>
                <w:b/>
                <w:bCs/>
              </w:rPr>
            </w:pPr>
            <w:r w:rsidRPr="00DE1099">
              <w:rPr>
                <w:rFonts w:cs="Arial"/>
                <w:b/>
                <w:bCs/>
              </w:rPr>
              <w:t>8</w:t>
            </w:r>
          </w:p>
        </w:tc>
      </w:tr>
    </w:tbl>
    <w:p w14:paraId="1062AEED" w14:textId="35B2F420" w:rsidR="00933667" w:rsidRDefault="00933667" w:rsidP="001A0E2E">
      <w:pPr>
        <w:ind w:left="-142"/>
        <w:jc w:val="both"/>
      </w:pPr>
    </w:p>
    <w:p w14:paraId="25F40389" w14:textId="77777777" w:rsidR="00544691" w:rsidRDefault="00544691">
      <w:pPr>
        <w:spacing w:line="240" w:lineRule="auto"/>
        <w:rPr>
          <w:rFonts w:cs="Arial"/>
          <w:b/>
          <w:spacing w:val="-4"/>
          <w:kern w:val="28"/>
        </w:rPr>
      </w:pPr>
      <w:r>
        <w:br w:type="page"/>
      </w:r>
    </w:p>
    <w:p w14:paraId="0CA7602F" w14:textId="408ABFFC" w:rsidR="0013112F" w:rsidRDefault="0013112F" w:rsidP="0013112F">
      <w:pPr>
        <w:pStyle w:val="Heading2"/>
      </w:pPr>
      <w:r w:rsidRPr="008F5BAC">
        <w:lastRenderedPageBreak/>
        <w:t>FRC client population by gender and age</w:t>
      </w:r>
    </w:p>
    <w:p w14:paraId="0C21993C" w14:textId="77777777" w:rsidR="0013112F" w:rsidRDefault="0013112F" w:rsidP="0013112F">
      <w:pPr>
        <w:ind w:left="-142"/>
        <w:jc w:val="both"/>
      </w:pPr>
    </w:p>
    <w:p w14:paraId="00004215" w14:textId="3A88F740" w:rsidR="0013112F" w:rsidRDefault="0013112F" w:rsidP="0013112F">
      <w:pPr>
        <w:ind w:left="-142"/>
        <w:jc w:val="both"/>
      </w:pPr>
      <w:r w:rsidRPr="006C6A65">
        <w:rPr>
          <w:b/>
          <w:sz w:val="16"/>
          <w:szCs w:val="16"/>
        </w:rPr>
        <w:t xml:space="preserve">Table </w:t>
      </w:r>
      <w:r w:rsidR="00544691">
        <w:rPr>
          <w:b/>
          <w:sz w:val="16"/>
          <w:szCs w:val="16"/>
        </w:rPr>
        <w:t>20</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 xml:space="preserve">1 </w:t>
      </w:r>
      <w:r w:rsidR="0044147F">
        <w:rPr>
          <w:sz w:val="16"/>
          <w:szCs w:val="16"/>
        </w:rPr>
        <w:t xml:space="preserve">July </w:t>
      </w:r>
      <w:r w:rsidR="00FC7F2E">
        <w:rPr>
          <w:sz w:val="16"/>
          <w:szCs w:val="16"/>
        </w:rPr>
        <w:t>2020 to 3</w:t>
      </w:r>
      <w:r w:rsidR="00AB2662">
        <w:rPr>
          <w:sz w:val="16"/>
          <w:szCs w:val="16"/>
        </w:rPr>
        <w:t xml:space="preserve">0 </w:t>
      </w:r>
      <w:r w:rsidR="0044147F">
        <w:rPr>
          <w:sz w:val="16"/>
          <w:szCs w:val="16"/>
        </w:rPr>
        <w:t xml:space="preserve">September </w:t>
      </w:r>
      <w:r w:rsidR="00FC7F2E">
        <w:rPr>
          <w:sz w:val="16"/>
          <w:szCs w:val="16"/>
        </w:rPr>
        <w:t>2020.</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291B72">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C670F3" w14:paraId="0C5B3812" w14:textId="77777777" w:rsidTr="00C670F3">
        <w:tc>
          <w:tcPr>
            <w:tcW w:w="5127" w:type="dxa"/>
          </w:tcPr>
          <w:p w14:paraId="465196A7" w14:textId="333D761F" w:rsidR="00C670F3" w:rsidRDefault="00C670F3" w:rsidP="00C670F3">
            <w:pPr>
              <w:jc w:val="both"/>
            </w:pPr>
            <w:r>
              <w:t>Clients who received a notice during the quarter</w:t>
            </w:r>
            <w:r>
              <w:rPr>
                <w:rStyle w:val="FootnoteReference"/>
              </w:rPr>
              <w:footnoteReference w:id="16"/>
            </w:r>
          </w:p>
        </w:tc>
        <w:tc>
          <w:tcPr>
            <w:tcW w:w="1026" w:type="dxa"/>
            <w:vAlign w:val="center"/>
          </w:tcPr>
          <w:p w14:paraId="430D610E" w14:textId="213ECA41" w:rsidR="00C670F3" w:rsidRPr="00C670F3" w:rsidRDefault="00C670F3" w:rsidP="00C670F3">
            <w:pPr>
              <w:jc w:val="right"/>
            </w:pPr>
            <w:r w:rsidRPr="00C670F3">
              <w:rPr>
                <w:rFonts w:cs="Arial"/>
              </w:rPr>
              <w:t>384</w:t>
            </w:r>
          </w:p>
        </w:tc>
        <w:tc>
          <w:tcPr>
            <w:tcW w:w="875" w:type="dxa"/>
            <w:vAlign w:val="center"/>
          </w:tcPr>
          <w:p w14:paraId="73512E80" w14:textId="745A54C8" w:rsidR="00C670F3" w:rsidRPr="00C670F3" w:rsidRDefault="00C670F3" w:rsidP="00C670F3">
            <w:pPr>
              <w:jc w:val="right"/>
            </w:pPr>
            <w:r w:rsidRPr="00C670F3">
              <w:rPr>
                <w:rFonts w:cs="Arial"/>
              </w:rPr>
              <w:t>238</w:t>
            </w:r>
          </w:p>
        </w:tc>
        <w:tc>
          <w:tcPr>
            <w:tcW w:w="463" w:type="dxa"/>
            <w:vAlign w:val="center"/>
          </w:tcPr>
          <w:p w14:paraId="0C71CB3B" w14:textId="48736A21" w:rsidR="00C670F3" w:rsidRPr="00C670F3" w:rsidRDefault="00C670F3" w:rsidP="00C670F3">
            <w:pPr>
              <w:jc w:val="right"/>
            </w:pPr>
            <w:r w:rsidRPr="00C670F3">
              <w:rPr>
                <w:rFonts w:cs="Arial"/>
              </w:rPr>
              <w:t> </w:t>
            </w:r>
          </w:p>
        </w:tc>
        <w:tc>
          <w:tcPr>
            <w:tcW w:w="1140" w:type="dxa"/>
            <w:vAlign w:val="center"/>
          </w:tcPr>
          <w:p w14:paraId="048E4B1D" w14:textId="3F6A5642" w:rsidR="00C670F3" w:rsidRPr="00C670F3" w:rsidRDefault="00C670F3" w:rsidP="00C670F3">
            <w:pPr>
              <w:jc w:val="right"/>
            </w:pPr>
            <w:r w:rsidRPr="00C670F3">
              <w:rPr>
                <w:rFonts w:cs="Arial"/>
              </w:rPr>
              <w:t>37</w:t>
            </w:r>
          </w:p>
        </w:tc>
        <w:tc>
          <w:tcPr>
            <w:tcW w:w="1140" w:type="dxa"/>
            <w:vAlign w:val="center"/>
          </w:tcPr>
          <w:p w14:paraId="61E43F3F" w14:textId="49052C43" w:rsidR="00C670F3" w:rsidRPr="00C670F3" w:rsidRDefault="00C670F3" w:rsidP="00C670F3">
            <w:pPr>
              <w:jc w:val="right"/>
            </w:pPr>
            <w:r w:rsidRPr="00C670F3">
              <w:rPr>
                <w:rFonts w:cs="Arial"/>
              </w:rPr>
              <w:t>38</w:t>
            </w:r>
          </w:p>
        </w:tc>
      </w:tr>
      <w:tr w:rsidR="00C670F3" w14:paraId="0C43D4D1" w14:textId="77777777" w:rsidTr="00C670F3">
        <w:tc>
          <w:tcPr>
            <w:tcW w:w="5127" w:type="dxa"/>
          </w:tcPr>
          <w:p w14:paraId="2282B866" w14:textId="77777777" w:rsidR="00C670F3" w:rsidRDefault="00C670F3" w:rsidP="00C670F3">
            <w:pPr>
              <w:jc w:val="both"/>
            </w:pPr>
            <w:r>
              <w:t>Clients who conferenced during the quarter</w:t>
            </w:r>
            <w:r>
              <w:rPr>
                <w:rStyle w:val="FootnoteReference"/>
              </w:rPr>
              <w:footnoteReference w:id="17"/>
            </w:r>
          </w:p>
        </w:tc>
        <w:tc>
          <w:tcPr>
            <w:tcW w:w="1026" w:type="dxa"/>
            <w:vAlign w:val="center"/>
          </w:tcPr>
          <w:p w14:paraId="0BE8DAD4" w14:textId="667FD5B0" w:rsidR="00C670F3" w:rsidRPr="00C670F3" w:rsidRDefault="00C670F3" w:rsidP="00C670F3">
            <w:pPr>
              <w:jc w:val="right"/>
            </w:pPr>
            <w:r w:rsidRPr="00C670F3">
              <w:rPr>
                <w:rFonts w:cs="Arial"/>
              </w:rPr>
              <w:t>196</w:t>
            </w:r>
          </w:p>
        </w:tc>
        <w:tc>
          <w:tcPr>
            <w:tcW w:w="875" w:type="dxa"/>
            <w:vAlign w:val="center"/>
          </w:tcPr>
          <w:p w14:paraId="7F1FAC36" w14:textId="5135A87D" w:rsidR="00C670F3" w:rsidRPr="00C670F3" w:rsidRDefault="00C670F3" w:rsidP="00C670F3">
            <w:pPr>
              <w:jc w:val="right"/>
            </w:pPr>
            <w:r w:rsidRPr="00C670F3">
              <w:rPr>
                <w:rFonts w:cs="Arial"/>
              </w:rPr>
              <w:t>61</w:t>
            </w:r>
          </w:p>
        </w:tc>
        <w:tc>
          <w:tcPr>
            <w:tcW w:w="463" w:type="dxa"/>
            <w:vAlign w:val="center"/>
          </w:tcPr>
          <w:p w14:paraId="7D1E9278" w14:textId="128D9E4D" w:rsidR="00C670F3" w:rsidRPr="00C670F3" w:rsidRDefault="00C670F3" w:rsidP="00C670F3">
            <w:pPr>
              <w:jc w:val="right"/>
            </w:pPr>
            <w:r w:rsidRPr="00C670F3">
              <w:rPr>
                <w:rFonts w:cs="Arial"/>
              </w:rPr>
              <w:t> </w:t>
            </w:r>
          </w:p>
        </w:tc>
        <w:tc>
          <w:tcPr>
            <w:tcW w:w="1140" w:type="dxa"/>
            <w:vAlign w:val="center"/>
          </w:tcPr>
          <w:p w14:paraId="18E5F35E" w14:textId="5DFEB01C" w:rsidR="00C670F3" w:rsidRPr="00C670F3" w:rsidRDefault="00C670F3" w:rsidP="00C670F3">
            <w:pPr>
              <w:jc w:val="right"/>
            </w:pPr>
            <w:r w:rsidRPr="00C670F3">
              <w:rPr>
                <w:rFonts w:cs="Arial"/>
              </w:rPr>
              <w:t>36</w:t>
            </w:r>
          </w:p>
        </w:tc>
        <w:tc>
          <w:tcPr>
            <w:tcW w:w="1140" w:type="dxa"/>
            <w:vAlign w:val="center"/>
          </w:tcPr>
          <w:p w14:paraId="48B614AC" w14:textId="0EB70E99" w:rsidR="00C670F3" w:rsidRPr="00C670F3" w:rsidRDefault="00C670F3" w:rsidP="00C670F3">
            <w:pPr>
              <w:jc w:val="right"/>
            </w:pPr>
            <w:r w:rsidRPr="00C670F3">
              <w:rPr>
                <w:rFonts w:cs="Arial"/>
              </w:rPr>
              <w:t>40</w:t>
            </w:r>
          </w:p>
        </w:tc>
      </w:tr>
      <w:tr w:rsidR="00C670F3" w14:paraId="11CAB223" w14:textId="77777777" w:rsidTr="00C670F3">
        <w:tc>
          <w:tcPr>
            <w:tcW w:w="5127" w:type="dxa"/>
          </w:tcPr>
          <w:p w14:paraId="21481099" w14:textId="77777777" w:rsidR="00C670F3" w:rsidRDefault="00C670F3" w:rsidP="00C670F3">
            <w:pPr>
              <w:jc w:val="both"/>
            </w:pPr>
            <w:r>
              <w:t>Clients referred during the quarter</w:t>
            </w:r>
            <w:r>
              <w:rPr>
                <w:rStyle w:val="FootnoteReference"/>
              </w:rPr>
              <w:footnoteReference w:id="18"/>
            </w:r>
          </w:p>
        </w:tc>
        <w:tc>
          <w:tcPr>
            <w:tcW w:w="1026" w:type="dxa"/>
            <w:vAlign w:val="center"/>
          </w:tcPr>
          <w:p w14:paraId="64B179AC" w14:textId="1FB7B0B1" w:rsidR="00C670F3" w:rsidRPr="00C670F3" w:rsidRDefault="00C670F3" w:rsidP="00C670F3">
            <w:pPr>
              <w:jc w:val="right"/>
            </w:pPr>
            <w:r w:rsidRPr="00C670F3">
              <w:rPr>
                <w:rFonts w:cs="Arial"/>
              </w:rPr>
              <w:t>61</w:t>
            </w:r>
          </w:p>
        </w:tc>
        <w:tc>
          <w:tcPr>
            <w:tcW w:w="875" w:type="dxa"/>
            <w:vAlign w:val="center"/>
          </w:tcPr>
          <w:p w14:paraId="0795AF41" w14:textId="6502371D" w:rsidR="00C670F3" w:rsidRPr="00C670F3" w:rsidRDefault="00C670F3" w:rsidP="00C670F3">
            <w:pPr>
              <w:jc w:val="right"/>
            </w:pPr>
            <w:r w:rsidRPr="00C670F3">
              <w:rPr>
                <w:rFonts w:cs="Arial"/>
              </w:rPr>
              <w:t>24</w:t>
            </w:r>
          </w:p>
        </w:tc>
        <w:tc>
          <w:tcPr>
            <w:tcW w:w="463" w:type="dxa"/>
            <w:vAlign w:val="center"/>
          </w:tcPr>
          <w:p w14:paraId="1470F615" w14:textId="210931F2" w:rsidR="00C670F3" w:rsidRPr="00C670F3" w:rsidRDefault="00C670F3" w:rsidP="00C670F3">
            <w:pPr>
              <w:jc w:val="right"/>
            </w:pPr>
            <w:r w:rsidRPr="00C670F3">
              <w:rPr>
                <w:rFonts w:cs="Arial"/>
              </w:rPr>
              <w:t> </w:t>
            </w:r>
          </w:p>
        </w:tc>
        <w:tc>
          <w:tcPr>
            <w:tcW w:w="1140" w:type="dxa"/>
            <w:vAlign w:val="center"/>
          </w:tcPr>
          <w:p w14:paraId="4C9D3036" w14:textId="78CDE5A8" w:rsidR="00C670F3" w:rsidRPr="00C670F3" w:rsidRDefault="00C670F3" w:rsidP="00C670F3">
            <w:pPr>
              <w:jc w:val="right"/>
            </w:pPr>
            <w:r w:rsidRPr="00C670F3">
              <w:rPr>
                <w:rFonts w:cs="Arial"/>
              </w:rPr>
              <w:t>37</w:t>
            </w:r>
          </w:p>
        </w:tc>
        <w:tc>
          <w:tcPr>
            <w:tcW w:w="1140" w:type="dxa"/>
            <w:vAlign w:val="center"/>
          </w:tcPr>
          <w:p w14:paraId="454F6461" w14:textId="0DF04895" w:rsidR="00C670F3" w:rsidRPr="00C670F3" w:rsidRDefault="00C670F3" w:rsidP="00C670F3">
            <w:pPr>
              <w:jc w:val="right"/>
            </w:pPr>
            <w:r w:rsidRPr="00C670F3">
              <w:rPr>
                <w:rFonts w:cs="Arial"/>
              </w:rPr>
              <w:t>41</w:t>
            </w:r>
          </w:p>
        </w:tc>
      </w:tr>
      <w:tr w:rsidR="00C670F3" w14:paraId="4205C91F" w14:textId="77777777" w:rsidTr="00C670F3">
        <w:tc>
          <w:tcPr>
            <w:tcW w:w="5127" w:type="dxa"/>
          </w:tcPr>
          <w:p w14:paraId="2820947A" w14:textId="77777777" w:rsidR="00C670F3" w:rsidRDefault="00C670F3" w:rsidP="00C670F3">
            <w:pPr>
              <w:jc w:val="both"/>
            </w:pPr>
            <w:r>
              <w:t>Clients placed on CIM during the quarter</w:t>
            </w:r>
            <w:r>
              <w:rPr>
                <w:rStyle w:val="FootnoteReference"/>
              </w:rPr>
              <w:footnoteReference w:id="19"/>
            </w:r>
          </w:p>
        </w:tc>
        <w:tc>
          <w:tcPr>
            <w:tcW w:w="1026" w:type="dxa"/>
            <w:vAlign w:val="center"/>
          </w:tcPr>
          <w:p w14:paraId="04ECC2CC" w14:textId="561D3AFE" w:rsidR="00C670F3" w:rsidRPr="00C670F3" w:rsidRDefault="00C670F3" w:rsidP="00C670F3">
            <w:pPr>
              <w:jc w:val="right"/>
            </w:pPr>
            <w:r w:rsidRPr="00C670F3">
              <w:rPr>
                <w:rFonts w:cs="Arial"/>
              </w:rPr>
              <w:t>28</w:t>
            </w:r>
          </w:p>
        </w:tc>
        <w:tc>
          <w:tcPr>
            <w:tcW w:w="875" w:type="dxa"/>
            <w:vAlign w:val="center"/>
          </w:tcPr>
          <w:p w14:paraId="09F9C19D" w14:textId="3A6D0B53" w:rsidR="00C670F3" w:rsidRPr="00C670F3" w:rsidRDefault="00C670F3" w:rsidP="00C670F3">
            <w:pPr>
              <w:jc w:val="right"/>
            </w:pPr>
            <w:r w:rsidRPr="00C670F3">
              <w:rPr>
                <w:rFonts w:cs="Arial"/>
              </w:rPr>
              <w:t>7</w:t>
            </w:r>
          </w:p>
        </w:tc>
        <w:tc>
          <w:tcPr>
            <w:tcW w:w="463" w:type="dxa"/>
            <w:vAlign w:val="center"/>
          </w:tcPr>
          <w:p w14:paraId="4D854BAC" w14:textId="04583BF5" w:rsidR="00C670F3" w:rsidRPr="00C670F3" w:rsidRDefault="00C670F3" w:rsidP="00C670F3">
            <w:pPr>
              <w:jc w:val="right"/>
            </w:pPr>
            <w:r w:rsidRPr="00C670F3">
              <w:rPr>
                <w:rFonts w:cs="Arial"/>
              </w:rPr>
              <w:t> </w:t>
            </w:r>
          </w:p>
        </w:tc>
        <w:tc>
          <w:tcPr>
            <w:tcW w:w="1140" w:type="dxa"/>
            <w:vAlign w:val="center"/>
          </w:tcPr>
          <w:p w14:paraId="0DB4E2B3" w14:textId="4800E073" w:rsidR="00C670F3" w:rsidRPr="00C670F3" w:rsidRDefault="00C670F3" w:rsidP="00C670F3">
            <w:pPr>
              <w:jc w:val="right"/>
            </w:pPr>
            <w:r w:rsidRPr="00C670F3">
              <w:rPr>
                <w:rFonts w:cs="Arial"/>
              </w:rPr>
              <w:t>37</w:t>
            </w:r>
          </w:p>
        </w:tc>
        <w:tc>
          <w:tcPr>
            <w:tcW w:w="1140" w:type="dxa"/>
            <w:vAlign w:val="center"/>
          </w:tcPr>
          <w:p w14:paraId="6F699F00" w14:textId="64AF6954" w:rsidR="00C670F3" w:rsidRPr="00C670F3" w:rsidRDefault="00C670F3" w:rsidP="00C670F3">
            <w:pPr>
              <w:jc w:val="right"/>
            </w:pPr>
            <w:r w:rsidRPr="00C670F3">
              <w:rPr>
                <w:rFonts w:cs="Arial"/>
              </w:rPr>
              <w:t>44</w:t>
            </w:r>
          </w:p>
        </w:tc>
      </w:tr>
      <w:tr w:rsidR="00F7407B" w14:paraId="5BC6E4C0" w14:textId="77777777" w:rsidTr="00291B72">
        <w:tc>
          <w:tcPr>
            <w:tcW w:w="5127" w:type="dxa"/>
          </w:tcPr>
          <w:p w14:paraId="1F3A9B4D" w14:textId="4C72181E" w:rsidR="00F7407B" w:rsidRDefault="00F7407B" w:rsidP="00291B72">
            <w:pPr>
              <w:jc w:val="both"/>
            </w:pPr>
            <w:r>
              <w:t>Clients placed on VIM during the quarter</w:t>
            </w:r>
            <w:r>
              <w:rPr>
                <w:rStyle w:val="FootnoteReference"/>
              </w:rPr>
              <w:footnoteReference w:id="20"/>
            </w:r>
          </w:p>
        </w:tc>
        <w:tc>
          <w:tcPr>
            <w:tcW w:w="1026" w:type="dxa"/>
          </w:tcPr>
          <w:p w14:paraId="26649358" w14:textId="1AA6AAFE" w:rsidR="00F7407B" w:rsidRDefault="003B19B6" w:rsidP="00291B72">
            <w:pPr>
              <w:jc w:val="right"/>
            </w:pPr>
            <w:r>
              <w:t>4</w:t>
            </w:r>
          </w:p>
        </w:tc>
        <w:tc>
          <w:tcPr>
            <w:tcW w:w="875" w:type="dxa"/>
          </w:tcPr>
          <w:p w14:paraId="7B755D8C" w14:textId="06FAA3CD" w:rsidR="00F7407B" w:rsidRDefault="003B19B6" w:rsidP="00291B72">
            <w:pPr>
              <w:jc w:val="right"/>
            </w:pPr>
            <w:r>
              <w:t>1</w:t>
            </w:r>
          </w:p>
        </w:tc>
        <w:tc>
          <w:tcPr>
            <w:tcW w:w="463" w:type="dxa"/>
          </w:tcPr>
          <w:p w14:paraId="6092C81B" w14:textId="77777777" w:rsidR="00F7407B" w:rsidRDefault="00F7407B" w:rsidP="00291B72">
            <w:pPr>
              <w:jc w:val="right"/>
            </w:pPr>
          </w:p>
        </w:tc>
        <w:tc>
          <w:tcPr>
            <w:tcW w:w="1140" w:type="dxa"/>
          </w:tcPr>
          <w:p w14:paraId="7A13A493" w14:textId="0BD22EC9" w:rsidR="00F7407B" w:rsidRDefault="003B19B6" w:rsidP="00291B72">
            <w:pPr>
              <w:jc w:val="right"/>
            </w:pPr>
            <w:r>
              <w:t>36</w:t>
            </w:r>
          </w:p>
        </w:tc>
        <w:tc>
          <w:tcPr>
            <w:tcW w:w="1140" w:type="dxa"/>
          </w:tcPr>
          <w:p w14:paraId="5E9D8367" w14:textId="189D1B6B" w:rsidR="00F7407B" w:rsidRDefault="003B19B6" w:rsidP="00291B72">
            <w:pPr>
              <w:jc w:val="right"/>
            </w:pPr>
            <w:r>
              <w:t>56</w:t>
            </w:r>
          </w:p>
        </w:tc>
      </w:tr>
    </w:tbl>
    <w:p w14:paraId="7301897E" w14:textId="77777777" w:rsidR="0013112F" w:rsidRDefault="0013112F" w:rsidP="0013112F">
      <w:pPr>
        <w:spacing w:line="240" w:lineRule="auto"/>
        <w:ind w:left="578" w:right="-425" w:hanging="720"/>
        <w:jc w:val="both"/>
      </w:pPr>
    </w:p>
    <w:p w14:paraId="6CC8EA87" w14:textId="72DA2172" w:rsidR="0013112F" w:rsidRDefault="0013112F" w:rsidP="001A0E2E">
      <w:pPr>
        <w:ind w:left="-142"/>
        <w:jc w:val="both"/>
      </w:pPr>
    </w:p>
    <w:p w14:paraId="0EE0119D" w14:textId="1707D704" w:rsidR="00F500CF" w:rsidRPr="00F500CF" w:rsidRDefault="00F500CF" w:rsidP="00F500CF">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16A26C06"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3C04FA">
        <w:t>50</w:t>
      </w:r>
      <w:r w:rsidR="00F500CF" w:rsidRPr="008E7494">
        <w:t xml:space="preserve"> people as at 30 June </w:t>
      </w:r>
      <w:bookmarkStart w:id="10" w:name="_Ref362343764"/>
      <w:bookmarkStart w:id="11" w:name="_Ref459716764"/>
      <w:r w:rsidR="00F500CF" w:rsidRPr="008E7494">
        <w:t>201</w:t>
      </w:r>
      <w:r w:rsidR="003C04FA">
        <w:t>9</w:t>
      </w:r>
      <w:bookmarkStart w:id="12" w:name="_Ref64367928"/>
      <w:r w:rsidR="00F500CF" w:rsidRPr="00F500CF">
        <w:rPr>
          <w:vertAlign w:val="superscript"/>
        </w:rPr>
        <w:footnoteReference w:id="21"/>
      </w:r>
      <w:bookmarkEnd w:id="10"/>
      <w:bookmarkEnd w:id="11"/>
      <w:bookmarkEnd w:id="12"/>
      <w:r w:rsidR="00F500CF" w:rsidRPr="00F500CF">
        <w:rPr>
          <w:vertAlign w:val="superscript"/>
        </w:rPr>
        <w:t>,</w:t>
      </w:r>
      <w:bookmarkStart w:id="13" w:name="_Ref459716829"/>
      <w:r w:rsidR="00F500CF" w:rsidRPr="00F500CF">
        <w:rPr>
          <w:vertAlign w:val="superscript"/>
        </w:rPr>
        <w:footnoteReference w:id="22"/>
      </w:r>
      <w:bookmarkEnd w:id="13"/>
      <w:r w:rsidR="00F500CF" w:rsidRPr="008E7494">
        <w:t>.</w:t>
      </w:r>
    </w:p>
    <w:p w14:paraId="1D1F7E14" w14:textId="77777777" w:rsidR="00F500CF" w:rsidRDefault="00F500CF" w:rsidP="00EC14C1">
      <w:pPr>
        <w:spacing w:line="240" w:lineRule="auto"/>
        <w:ind w:left="-142" w:right="-425"/>
        <w:jc w:val="both"/>
      </w:pPr>
    </w:p>
    <w:p w14:paraId="5C34875A" w14:textId="2A7C7A60"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14" w:name="_Ref459717187"/>
      <w:r w:rsidR="00F500CF">
        <w:t>2</w:t>
      </w:r>
      <w:r w:rsidR="003C04FA">
        <w:t>60</w:t>
      </w:r>
      <w:r w:rsidR="00F500CF" w:rsidRPr="008E7494">
        <w:t xml:space="preserve"> people as at 30 June 201</w:t>
      </w:r>
      <w:r w:rsidR="003C04FA">
        <w:t>9</w:t>
      </w:r>
      <w:r w:rsidR="008D618D">
        <w:fldChar w:fldCharType="begin"/>
      </w:r>
      <w:r w:rsidR="008D618D">
        <w:instrText xml:space="preserve"> NOTEREF _Ref64367928 \f \h </w:instrText>
      </w:r>
      <w:r w:rsidR="008D618D">
        <w:fldChar w:fldCharType="separate"/>
      </w:r>
      <w:r w:rsidR="00712552" w:rsidRPr="00712552">
        <w:rPr>
          <w:rStyle w:val="FootnoteReference"/>
        </w:rPr>
        <w:t>20</w:t>
      </w:r>
      <w:r w:rsidR="008D618D">
        <w:fldChar w:fldCharType="end"/>
      </w:r>
      <w:r w:rsidR="00F500CF" w:rsidRPr="00F500CF">
        <w:rPr>
          <w:vertAlign w:val="superscript"/>
        </w:rPr>
        <w:t>,</w:t>
      </w:r>
      <w:r w:rsidR="00F500CF" w:rsidRPr="00F500CF">
        <w:rPr>
          <w:vertAlign w:val="superscript"/>
        </w:rPr>
        <w:footnoteReference w:id="23"/>
      </w:r>
      <w:bookmarkEnd w:id="14"/>
      <w:r w:rsidR="00F500CF" w:rsidRPr="008E7494">
        <w:t>.</w:t>
      </w:r>
    </w:p>
    <w:p w14:paraId="6639697A" w14:textId="77777777" w:rsidR="00F500CF" w:rsidRDefault="00F500CF" w:rsidP="00EC14C1">
      <w:pPr>
        <w:spacing w:line="240" w:lineRule="auto"/>
        <w:ind w:left="-142" w:right="-425"/>
        <w:jc w:val="both"/>
      </w:pPr>
    </w:p>
    <w:p w14:paraId="439048BC" w14:textId="7912790F"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w:t>
      </w:r>
      <w:r w:rsidR="003C04FA">
        <w:t>9</w:t>
      </w:r>
      <w:r w:rsidR="00F500CF" w:rsidRPr="008E7494">
        <w:t xml:space="preserve"> people as at 30 June 201</w:t>
      </w:r>
      <w:r w:rsidR="003C04FA">
        <w:t>9</w:t>
      </w:r>
      <w:r w:rsidR="008D618D">
        <w:rPr>
          <w:vertAlign w:val="superscript"/>
        </w:rPr>
        <w:fldChar w:fldCharType="begin"/>
      </w:r>
      <w:r w:rsidR="008D618D">
        <w:instrText xml:space="preserve"> NOTEREF _Ref64367928 \f \h </w:instrText>
      </w:r>
      <w:r w:rsidR="008D618D">
        <w:rPr>
          <w:vertAlign w:val="superscript"/>
        </w:rPr>
      </w:r>
      <w:r w:rsidR="008D618D">
        <w:rPr>
          <w:vertAlign w:val="superscript"/>
        </w:rPr>
        <w:fldChar w:fldCharType="separate"/>
      </w:r>
      <w:r w:rsidR="00712552" w:rsidRPr="00712552">
        <w:rPr>
          <w:rStyle w:val="FootnoteReference"/>
        </w:rPr>
        <w:t>20</w:t>
      </w:r>
      <w:r w:rsidR="008D618D">
        <w:rPr>
          <w:vertAlign w:val="superscript"/>
        </w:rPr>
        <w:fldChar w:fldCharType="end"/>
      </w:r>
      <w:r w:rsidR="002D3AC0">
        <w:rPr>
          <w:vertAlign w:val="superscript"/>
        </w:rPr>
        <w:t>,</w:t>
      </w:r>
      <w:r w:rsidR="002D3AC0">
        <w:rPr>
          <w:vertAlign w:val="superscript"/>
        </w:rPr>
        <w:fldChar w:fldCharType="begin"/>
      </w:r>
      <w:r w:rsidR="002D3AC0">
        <w:rPr>
          <w:vertAlign w:val="superscript"/>
        </w:rPr>
        <w:instrText xml:space="preserve"> NOTEREF _Ref459716829 \f \h </w:instrText>
      </w:r>
      <w:r w:rsidR="002D3AC0">
        <w:rPr>
          <w:vertAlign w:val="superscript"/>
        </w:rPr>
      </w:r>
      <w:r w:rsidR="002D3AC0">
        <w:rPr>
          <w:vertAlign w:val="superscript"/>
        </w:rPr>
        <w:fldChar w:fldCharType="separate"/>
      </w:r>
      <w:r w:rsidR="00712552" w:rsidRPr="00712552">
        <w:rPr>
          <w:rStyle w:val="FootnoteReference"/>
        </w:rPr>
        <w:t>21</w:t>
      </w:r>
      <w:r w:rsidR="002D3AC0">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507195F6"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3C04FA">
        <w:t>35</w:t>
      </w:r>
      <w:r w:rsidR="00F500CF" w:rsidRPr="008E7494">
        <w:t xml:space="preserve"> people as at 30 June 201</w:t>
      </w:r>
      <w:r w:rsidR="003C04FA">
        <w:t>9</w:t>
      </w:r>
      <w:r w:rsidR="008D618D">
        <w:rPr>
          <w:vertAlign w:val="superscript"/>
        </w:rPr>
        <w:fldChar w:fldCharType="begin"/>
      </w:r>
      <w:r w:rsidR="008D618D">
        <w:instrText xml:space="preserve"> NOTEREF _Ref64367928 \f \h </w:instrText>
      </w:r>
      <w:r w:rsidR="008D618D">
        <w:rPr>
          <w:vertAlign w:val="superscript"/>
        </w:rPr>
      </w:r>
      <w:r w:rsidR="008D618D">
        <w:rPr>
          <w:vertAlign w:val="superscript"/>
        </w:rPr>
        <w:fldChar w:fldCharType="separate"/>
      </w:r>
      <w:r w:rsidR="00712552" w:rsidRPr="00712552">
        <w:rPr>
          <w:rStyle w:val="FootnoteReference"/>
        </w:rPr>
        <w:t>20</w:t>
      </w:r>
      <w:r w:rsidR="008D618D">
        <w:rPr>
          <w:vertAlign w:val="superscript"/>
        </w:rPr>
        <w:fldChar w:fldCharType="end"/>
      </w:r>
      <w:r w:rsidR="008D618D">
        <w:rPr>
          <w:vertAlign w:val="superscript"/>
        </w:rPr>
        <w:t>,</w:t>
      </w:r>
      <w:r w:rsidR="008D618D">
        <w:rPr>
          <w:vertAlign w:val="superscript"/>
        </w:rPr>
        <w:fldChar w:fldCharType="begin"/>
      </w:r>
      <w:r w:rsidR="008D618D">
        <w:rPr>
          <w:vertAlign w:val="superscript"/>
        </w:rPr>
        <w:instrText xml:space="preserve"> NOTEREF _Ref459716829 \f \h </w:instrText>
      </w:r>
      <w:r w:rsidR="008D618D">
        <w:rPr>
          <w:vertAlign w:val="superscript"/>
        </w:rPr>
      </w:r>
      <w:r w:rsidR="008D618D">
        <w:rPr>
          <w:vertAlign w:val="superscript"/>
        </w:rPr>
        <w:fldChar w:fldCharType="separate"/>
      </w:r>
      <w:r w:rsidR="00712552" w:rsidRPr="00712552">
        <w:rPr>
          <w:rStyle w:val="FootnoteReference"/>
        </w:rPr>
        <w:t>21</w:t>
      </w:r>
      <w:r w:rsidR="008D618D">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0D0A1498"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201</w:t>
      </w:r>
      <w:r w:rsidR="003C04FA">
        <w:t>9</w:t>
      </w:r>
      <w:r w:rsidR="002D3AC0">
        <w:rPr>
          <w:vertAlign w:val="superscript"/>
        </w:rPr>
        <w:fldChar w:fldCharType="begin"/>
      </w:r>
      <w:r w:rsidR="002D3AC0">
        <w:instrText xml:space="preserve"> NOTEREF _Ref64367928 \f \h </w:instrText>
      </w:r>
      <w:r w:rsidR="002D3AC0">
        <w:rPr>
          <w:vertAlign w:val="superscript"/>
        </w:rPr>
      </w:r>
      <w:r w:rsidR="002D3AC0">
        <w:rPr>
          <w:vertAlign w:val="superscript"/>
        </w:rPr>
        <w:fldChar w:fldCharType="separate"/>
      </w:r>
      <w:r w:rsidR="00712552" w:rsidRPr="00712552">
        <w:rPr>
          <w:rStyle w:val="FootnoteReference"/>
        </w:rPr>
        <w:t>20</w:t>
      </w:r>
      <w:r w:rsidR="002D3AC0">
        <w:rPr>
          <w:vertAlign w:val="superscript"/>
        </w:rPr>
        <w:fldChar w:fldCharType="end"/>
      </w:r>
      <w:r w:rsidR="002D3AC0">
        <w:rPr>
          <w:vertAlign w:val="superscript"/>
        </w:rPr>
        <w:t>,</w:t>
      </w:r>
      <w:r w:rsidR="00F500CF" w:rsidRPr="00F500CF">
        <w:rPr>
          <w:vertAlign w:val="superscript"/>
        </w:rPr>
        <w:footnoteReference w:id="24"/>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77777777" w:rsidR="005A5B78" w:rsidRPr="00E34093" w:rsidRDefault="005A5B78" w:rsidP="005A5B78">
      <w:pPr>
        <w:pStyle w:val="Heading1"/>
        <w:ind w:left="-142" w:right="-426"/>
      </w:pPr>
      <w:bookmarkStart w:id="15" w:name="_Toc39657992"/>
      <w:r w:rsidRPr="00E34093">
        <w:lastRenderedPageBreak/>
        <w:t>2.  Future Direction</w:t>
      </w:r>
      <w:bookmarkEnd w:id="6"/>
      <w:bookmarkEnd w:id="7"/>
      <w:bookmarkEnd w:id="8"/>
      <w:bookmarkEnd w:id="9"/>
      <w:r w:rsidRPr="00E34093">
        <w:t xml:space="preserve"> and Challenges</w:t>
      </w:r>
      <w:bookmarkEnd w:id="15"/>
    </w:p>
    <w:p w14:paraId="66A68EAB" w14:textId="77777777" w:rsidR="005A5B78" w:rsidRDefault="005A5B78" w:rsidP="005A5B78">
      <w:pPr>
        <w:ind w:left="-142" w:right="-425"/>
        <w:jc w:val="both"/>
        <w:rPr>
          <w:rFonts w:cs="Arial"/>
          <w:b/>
          <w:sz w:val="16"/>
          <w:szCs w:val="16"/>
        </w:rPr>
      </w:pPr>
    </w:p>
    <w:p w14:paraId="2C9AE213" w14:textId="6E43ED12" w:rsidR="003A522F" w:rsidRPr="003A522F" w:rsidRDefault="003A522F" w:rsidP="006006C1">
      <w:pPr>
        <w:ind w:left="-142" w:right="-425"/>
        <w:jc w:val="both"/>
        <w:rPr>
          <w:b/>
          <w:bCs/>
        </w:rPr>
      </w:pPr>
      <w:bookmarkStart w:id="16" w:name="RANGE!A4:I20"/>
      <w:bookmarkEnd w:id="16"/>
      <w:r w:rsidRPr="003A522F">
        <w:rPr>
          <w:b/>
          <w:bCs/>
        </w:rPr>
        <w:t>Annual Report</w:t>
      </w:r>
    </w:p>
    <w:p w14:paraId="5C4C03AD" w14:textId="36BACD16" w:rsidR="006006C1" w:rsidRPr="006006C1" w:rsidRDefault="00A01A8E" w:rsidP="006006C1">
      <w:pPr>
        <w:ind w:left="-142" w:right="-425"/>
        <w:jc w:val="both"/>
      </w:pPr>
      <w:r w:rsidRPr="006006C1">
        <w:t xml:space="preserve">Pursuant to Section 143 of the </w:t>
      </w:r>
      <w:r w:rsidRPr="00A01A8E">
        <w:rPr>
          <w:i/>
          <w:iCs/>
        </w:rPr>
        <w:t>Family Responsibilities Commission Act 2008</w:t>
      </w:r>
      <w:r w:rsidRPr="006006C1">
        <w:t xml:space="preserve">, </w:t>
      </w:r>
      <w:r>
        <w:t xml:space="preserve">as soon as practicable after each financial year, but not later than 31 October, the Commissioner must prepare and give the Minister a written report containing a review of the operation of the Commission during the financial year. </w:t>
      </w:r>
      <w:r w:rsidR="00902E40">
        <w:t xml:space="preserve">Much of this quarter </w:t>
      </w:r>
      <w:r w:rsidR="002F3CB4">
        <w:t xml:space="preserve">the Executive Management Team </w:t>
      </w:r>
      <w:r>
        <w:t xml:space="preserve">and publishing staff </w:t>
      </w:r>
      <w:r w:rsidR="00902E40">
        <w:t>ha</w:t>
      </w:r>
      <w:r>
        <w:t>ve</w:t>
      </w:r>
      <w:r w:rsidR="00902E40">
        <w:t xml:space="preserve"> been </w:t>
      </w:r>
      <w:r w:rsidR="005C635E">
        <w:t>occupied</w:t>
      </w:r>
      <w:r w:rsidR="00902E40">
        <w:t xml:space="preserve"> with finalis</w:t>
      </w:r>
      <w:r w:rsidR="00F21B62">
        <w:t>ing</w:t>
      </w:r>
      <w:r w:rsidR="00902E40">
        <w:t xml:space="preserve"> the Commission’s Annual Report 2019-20.</w:t>
      </w:r>
      <w:r w:rsidR="006006C1">
        <w:t xml:space="preserve"> </w:t>
      </w:r>
      <w:r w:rsidR="00A24E30">
        <w:t xml:space="preserve">In October the </w:t>
      </w:r>
      <w:r w:rsidR="006006C1" w:rsidRPr="006006C1">
        <w:t>FRC Annual Report 2019-20 w</w:t>
      </w:r>
      <w:r w:rsidR="00A24E30">
        <w:t>ill be</w:t>
      </w:r>
      <w:r w:rsidR="006006C1" w:rsidRPr="006006C1">
        <w:t xml:space="preserve"> delivered to the Minister’s office, together with an accompanying brief and electronic copy for tabling</w:t>
      </w:r>
      <w:r w:rsidR="00A24E30">
        <w:t xml:space="preserve"> </w:t>
      </w:r>
      <w:r w:rsidR="00A24E30" w:rsidRPr="006006C1">
        <w:t>in the Legislative Assembly</w:t>
      </w:r>
      <w:r w:rsidR="006006C1" w:rsidRPr="006006C1">
        <w:t>.</w:t>
      </w:r>
    </w:p>
    <w:p w14:paraId="6B35F4D6" w14:textId="77777777" w:rsidR="006006C1" w:rsidRPr="006006C1" w:rsidRDefault="006006C1" w:rsidP="006006C1">
      <w:pPr>
        <w:ind w:left="-142" w:right="-425"/>
        <w:jc w:val="both"/>
      </w:pPr>
    </w:p>
    <w:p w14:paraId="4BC0216F" w14:textId="5F53773A" w:rsidR="003A522F" w:rsidRPr="003A522F" w:rsidRDefault="003A522F" w:rsidP="00846C07">
      <w:pPr>
        <w:ind w:left="-142" w:right="-425"/>
        <w:jc w:val="both"/>
        <w:rPr>
          <w:b/>
          <w:bCs/>
        </w:rPr>
      </w:pPr>
      <w:r w:rsidRPr="003A522F">
        <w:rPr>
          <w:b/>
          <w:bCs/>
        </w:rPr>
        <w:t>Family Responsibilities Commission (COVID-19 Emergency Response) Regulation 2020</w:t>
      </w:r>
    </w:p>
    <w:p w14:paraId="23475FB1" w14:textId="34AED796" w:rsidR="00846C07" w:rsidRPr="00846C07" w:rsidRDefault="00437AAA" w:rsidP="00846C07">
      <w:pPr>
        <w:ind w:left="-142" w:right="-425"/>
        <w:jc w:val="both"/>
      </w:pPr>
      <w:r w:rsidRPr="00437AAA">
        <w:t>In March 2020 the Department of Justice and Attorney-General coordinated a whole of government omnibus Bill to respond to the COVID-19 health emergency. Proposed amendments were sought from each department for inclusion in the COVID-19 Emergency Response Bill 2020 to assist in dealing with the declared public health emergency. The Bill was passed in Parliament on 22 April 2020.</w:t>
      </w:r>
      <w:r w:rsidR="00025DDC">
        <w:t xml:space="preserve"> This quarter the Family Responsibilities Commission (COVID-19 Emergency Response) Regulation 2020 was progress</w:t>
      </w:r>
      <w:r w:rsidR="00846C07">
        <w:t>ed</w:t>
      </w:r>
      <w:r w:rsidR="00025DDC">
        <w:t xml:space="preserve"> to the Minister. </w:t>
      </w:r>
      <w:r w:rsidR="00846C07">
        <w:t>T</w:t>
      </w:r>
      <w:r w:rsidR="00846C07" w:rsidRPr="00846C07">
        <w:t xml:space="preserve">he Regulation modifies </w:t>
      </w:r>
      <w:r w:rsidR="00846C07" w:rsidRPr="00846C07">
        <w:rPr>
          <w:i/>
          <w:iCs/>
        </w:rPr>
        <w:t>the Family Responsibilities Commission Act 2008</w:t>
      </w:r>
      <w:r w:rsidR="00846C07" w:rsidRPr="00846C07">
        <w:t xml:space="preserve"> pursuant to the main purposes of the </w:t>
      </w:r>
      <w:r w:rsidR="00846C07" w:rsidRPr="00846C07">
        <w:rPr>
          <w:i/>
          <w:iCs/>
        </w:rPr>
        <w:t>COVID-19 Emergency Response Act 2020</w:t>
      </w:r>
      <w:r w:rsidR="00846C07" w:rsidRPr="00846C07">
        <w:t>, to facilitate the continuance of public administration and protect the health, safety and welfare of people affected by the COVID-19 emergency in the communities of Aurukun, Coen, Doomadgee, Hope Vale and Mossman Gorge.</w:t>
      </w:r>
      <w:r w:rsidR="00846C07">
        <w:t xml:space="preserve"> </w:t>
      </w:r>
      <w:r w:rsidR="00846C07" w:rsidRPr="00846C07">
        <w:t xml:space="preserve">The Regulation allows conferences to be conducted and lawfully binding decisions made by the Family Responsibilities Commissioner (or Deputy Commissioner) and one Local Commissioner for the relevant community, thereby enabling the Commission to continue to hold conferences and make decisions during the COVID-19 emergency. The Regulation </w:t>
      </w:r>
      <w:r w:rsidR="00846C07">
        <w:t xml:space="preserve">also </w:t>
      </w:r>
      <w:r w:rsidR="00846C07" w:rsidRPr="00846C07">
        <w:t>enables the FR</w:t>
      </w:r>
      <w:r w:rsidR="00846C07">
        <w:t xml:space="preserve"> </w:t>
      </w:r>
      <w:r w:rsidR="00846C07" w:rsidRPr="00846C07">
        <w:t>B</w:t>
      </w:r>
      <w:r w:rsidR="00846C07">
        <w:t>oard</w:t>
      </w:r>
      <w:r w:rsidR="00846C07" w:rsidRPr="00846C07">
        <w:t xml:space="preserve"> to meet using communication technology, removing the requirement to meet in person at least once a year.</w:t>
      </w:r>
    </w:p>
    <w:p w14:paraId="5C779EDF" w14:textId="4092B294" w:rsidR="00437AAA" w:rsidRDefault="00025DDC" w:rsidP="00437AAA">
      <w:pPr>
        <w:ind w:left="-142" w:right="-425"/>
        <w:jc w:val="both"/>
      </w:pPr>
      <w:r>
        <w:t>It is anticipated that the Regulation will be made in early October 2020.</w:t>
      </w:r>
    </w:p>
    <w:p w14:paraId="56D9A7DD" w14:textId="7709A9CA" w:rsidR="00846C07" w:rsidRDefault="00846C07" w:rsidP="00437AAA">
      <w:pPr>
        <w:ind w:left="-142" w:right="-425"/>
        <w:jc w:val="both"/>
      </w:pPr>
    </w:p>
    <w:p w14:paraId="32EDA642" w14:textId="6EE44B33" w:rsidR="009167B5" w:rsidRPr="009167B5" w:rsidRDefault="009167B5" w:rsidP="00437AAA">
      <w:pPr>
        <w:ind w:left="-142" w:right="-425"/>
        <w:jc w:val="both"/>
        <w:rPr>
          <w:b/>
          <w:bCs/>
        </w:rPr>
      </w:pPr>
      <w:r>
        <w:rPr>
          <w:b/>
          <w:bCs/>
        </w:rPr>
        <w:t>Resumption of travel to FRC communities</w:t>
      </w:r>
    </w:p>
    <w:p w14:paraId="48C3A8C9" w14:textId="6A1496E4" w:rsidR="00846C07" w:rsidRPr="00437AAA" w:rsidRDefault="009E51EC" w:rsidP="00437AAA">
      <w:pPr>
        <w:ind w:left="-142" w:right="-425"/>
        <w:jc w:val="both"/>
      </w:pPr>
      <w:r>
        <w:t>Commencing from July 2020 Commissioner Williams, Deputy Commissioner Curtin and the Local Registry Coordinators (excepting the Aurukun Registry Coordinator who remained in Aurukun with his family throughout the COVID-19 period) recommenced travelling to the communities to conduct conferencing</w:t>
      </w:r>
      <w:r w:rsidR="00060863">
        <w:t>,</w:t>
      </w:r>
      <w:r w:rsidR="00DB5B35">
        <w:t xml:space="preserve"> support </w:t>
      </w:r>
      <w:r w:rsidR="00F9121F">
        <w:t>the training and professional development of Local Commissioners</w:t>
      </w:r>
      <w:r w:rsidR="00060863">
        <w:t xml:space="preserve">, </w:t>
      </w:r>
      <w:r>
        <w:t xml:space="preserve">and </w:t>
      </w:r>
      <w:r w:rsidR="00060863">
        <w:t xml:space="preserve">undertake </w:t>
      </w:r>
      <w:r>
        <w:t>general community engagement.</w:t>
      </w:r>
      <w:r w:rsidR="00DB5B35">
        <w:t xml:space="preserve"> </w:t>
      </w:r>
      <w:r w:rsidR="00F9121F">
        <w:t xml:space="preserve">Travel was increased on the basis that the window of opportunity to engage locally may close again due </w:t>
      </w:r>
      <w:r w:rsidR="00060863">
        <w:t xml:space="preserve">to the possibility of the </w:t>
      </w:r>
      <w:r w:rsidR="00F9121F">
        <w:t>COVID-19</w:t>
      </w:r>
      <w:r w:rsidR="00060863">
        <w:t xml:space="preserve"> situation evolving rapidly resulting in a possible reinstatement of restrictions.</w:t>
      </w:r>
      <w:r w:rsidR="00CF7E8B">
        <w:t xml:space="preserve"> Medium term planning was undertaken with the Local Registry Coordinators to prioritise tasks including the conferencing of priority clients and strengthen</w:t>
      </w:r>
      <w:r w:rsidR="00E64C00">
        <w:t>ing of</w:t>
      </w:r>
      <w:r w:rsidR="00CF7E8B">
        <w:t xml:space="preserve"> relationships with </w:t>
      </w:r>
      <w:r w:rsidR="00E64C00">
        <w:t xml:space="preserve">community </w:t>
      </w:r>
      <w:r w:rsidR="00CF7E8B">
        <w:t>stakeholders in the event of a future lockdown.</w:t>
      </w:r>
    </w:p>
    <w:p w14:paraId="75083C9B" w14:textId="77777777" w:rsidR="00261F6F" w:rsidRDefault="00261F6F" w:rsidP="001A1C6D">
      <w:pPr>
        <w:ind w:left="-142" w:right="-425"/>
        <w:jc w:val="both"/>
      </w:pPr>
    </w:p>
    <w:p w14:paraId="12216FDB" w14:textId="7416E524" w:rsidR="009167B5" w:rsidRPr="009167B5" w:rsidRDefault="009167B5" w:rsidP="001A1C6D">
      <w:pPr>
        <w:ind w:left="-142" w:right="-425"/>
        <w:jc w:val="both"/>
        <w:rPr>
          <w:b/>
          <w:bCs/>
        </w:rPr>
      </w:pPr>
      <w:r w:rsidRPr="009167B5">
        <w:rPr>
          <w:b/>
          <w:bCs/>
        </w:rPr>
        <w:t>Goward Policy Review into Child Youth Sexual Violence on Cape York Peninsula and West Cairns</w:t>
      </w:r>
    </w:p>
    <w:p w14:paraId="112944A4" w14:textId="724659C1" w:rsidR="009167B5" w:rsidRDefault="00E64C00" w:rsidP="001A1C6D">
      <w:pPr>
        <w:ind w:left="-142" w:right="-425"/>
        <w:jc w:val="both"/>
      </w:pPr>
      <w:r>
        <w:t>Commission</w:t>
      </w:r>
      <w:r w:rsidR="003C2AB1">
        <w:t xml:space="preserve">er Williams, Deputy Commissioner Curtin and the </w:t>
      </w:r>
      <w:r w:rsidR="005C635E">
        <w:t xml:space="preserve">Aurukun </w:t>
      </w:r>
      <w:r w:rsidR="003C2AB1">
        <w:t xml:space="preserve">Local Commissioners were invited by the Cape York Institute to present oral submissions to the </w:t>
      </w:r>
      <w:bookmarkStart w:id="17" w:name="_Hlk57888078"/>
      <w:r w:rsidR="003C2AB1">
        <w:t>Goward Policy Review into Child Youth Sexual Violence on Cape York Peninsula and West Cairns</w:t>
      </w:r>
      <w:bookmarkEnd w:id="17"/>
      <w:r w:rsidR="003C2AB1">
        <w:t xml:space="preserve">. The Commission was advised that the Goward Policy Review was commissioned by </w:t>
      </w:r>
      <w:r w:rsidR="00932776">
        <w:t xml:space="preserve">the </w:t>
      </w:r>
      <w:r w:rsidR="003C2AB1">
        <w:t xml:space="preserve">Cape York Institute to </w:t>
      </w:r>
      <w:r w:rsidR="004220B4">
        <w:t>identify what recommendations from the ‘Smallbone Report’ had been successfully implemented, audit the provision of Government services in Aurukun and Napranum, and make recommendations about measures to protect young people from youth sexual and family violence, and recommend alternative and innovative approaches to reduce the incidence of youth sexual violence and family violence. Oral submissions were provided by the Deputy Commissioner and further clarification provided by Commission</w:t>
      </w:r>
      <w:r w:rsidR="00AC0489">
        <w:t>er</w:t>
      </w:r>
      <w:r w:rsidR="004220B4">
        <w:t xml:space="preserve"> Williams</w:t>
      </w:r>
      <w:r w:rsidR="00DB26C1">
        <w:t xml:space="preserve"> to the review.</w:t>
      </w:r>
    </w:p>
    <w:p w14:paraId="2F8F994C" w14:textId="77777777" w:rsidR="009167B5" w:rsidRDefault="009167B5" w:rsidP="001A1C6D">
      <w:pPr>
        <w:ind w:left="-142" w:right="-425"/>
        <w:jc w:val="both"/>
      </w:pPr>
    </w:p>
    <w:p w14:paraId="2C5C6A56" w14:textId="77777777" w:rsidR="009167B5" w:rsidRDefault="009167B5" w:rsidP="001A1C6D">
      <w:pPr>
        <w:ind w:left="-142" w:right="-425"/>
        <w:jc w:val="both"/>
        <w:rPr>
          <w:b/>
          <w:bCs/>
        </w:rPr>
      </w:pPr>
      <w:r>
        <w:rPr>
          <w:b/>
          <w:bCs/>
        </w:rPr>
        <w:t>Community updates</w:t>
      </w:r>
    </w:p>
    <w:p w14:paraId="106BBF75" w14:textId="77777777" w:rsidR="009167B5" w:rsidRPr="00710F40" w:rsidRDefault="009167B5" w:rsidP="001A1C6D">
      <w:pPr>
        <w:ind w:left="-142" w:right="-425"/>
        <w:jc w:val="both"/>
        <w:rPr>
          <w:u w:val="single"/>
        </w:rPr>
      </w:pPr>
      <w:r w:rsidRPr="00710F40">
        <w:rPr>
          <w:u w:val="single"/>
        </w:rPr>
        <w:t>Aurukun</w:t>
      </w:r>
    </w:p>
    <w:p w14:paraId="4ED642E5" w14:textId="414549D8" w:rsidR="00FE6448" w:rsidRDefault="00FE6448" w:rsidP="00FE6448">
      <w:pPr>
        <w:ind w:left="-142" w:right="-425"/>
        <w:jc w:val="both"/>
      </w:pPr>
      <w:r w:rsidRPr="00FE6448">
        <w:t xml:space="preserve">On 10 September 2020 Commissioner Williams, Registrar Maxine McLeod and Senior Community Coordinator for the Aurukun response, Anne Crampton, participated in a whole of government retrospective review into the Aurukun response via teleconference with the Whole of Government Coordinator, Duane Amos. The Commission reported that initially the State Government response to the Aurukun crisis </w:t>
      </w:r>
      <w:r w:rsidR="00652217">
        <w:t xml:space="preserve">was comprised of </w:t>
      </w:r>
      <w:r w:rsidRPr="00FE6448">
        <w:t xml:space="preserve">different departments and organisations effecting </w:t>
      </w:r>
      <w:r w:rsidR="001E6D62">
        <w:t xml:space="preserve">their own </w:t>
      </w:r>
      <w:r w:rsidRPr="00FE6448">
        <w:t>separate response efforts</w:t>
      </w:r>
      <w:r w:rsidR="001E6D62">
        <w:t xml:space="preserve">. </w:t>
      </w:r>
      <w:r w:rsidRPr="00FE6448">
        <w:t xml:space="preserve">A working coalition did eventuate, </w:t>
      </w:r>
      <w:r w:rsidR="001E6D62">
        <w:t xml:space="preserve">however, </w:t>
      </w:r>
      <w:r w:rsidRPr="00FE6448">
        <w:t xml:space="preserve">and as part of that Anne Crampton was able to link in with </w:t>
      </w:r>
      <w:r>
        <w:t>the DATSIP representative</w:t>
      </w:r>
      <w:r w:rsidRPr="00FE6448">
        <w:t xml:space="preserve"> to locate FRC clients in Cairns. Prior to that, obtaining information regarding clients was a challenge as misconceptions existed regarding the FRC’s legislative jurisdiction outside of the Aurukun community. </w:t>
      </w:r>
      <w:r>
        <w:t>It is worth noting that a</w:t>
      </w:r>
      <w:r w:rsidRPr="00FE6448">
        <w:t xml:space="preserve"> prime example of leadership provided by the Aurukun Local Commissioners during this time was their ability to pull together and act in the best interests of the community, despite the fact that two of them were members of opposing families involved in the conflict and resulting murder, and were able to rise above their individual interests in doing so. The Aurukun Commissioners conferenced </w:t>
      </w:r>
      <w:r w:rsidR="00FA2DF4">
        <w:t xml:space="preserve">clients related to the unrest on </w:t>
      </w:r>
      <w:r w:rsidRPr="00FE6448">
        <w:t>some very challenging notices. They were very professional with every notice and provided the appropriate referrals and support to each community member they conferenced.</w:t>
      </w:r>
    </w:p>
    <w:p w14:paraId="63EA2107" w14:textId="2801FE48" w:rsidR="00C40176" w:rsidRDefault="00C40176" w:rsidP="00FE6448">
      <w:pPr>
        <w:ind w:left="-142" w:right="-425"/>
        <w:jc w:val="both"/>
      </w:pPr>
    </w:p>
    <w:p w14:paraId="590BED91" w14:textId="45FFBF71" w:rsidR="00C40176" w:rsidRPr="00C40176" w:rsidRDefault="00C40176" w:rsidP="00C40176">
      <w:pPr>
        <w:ind w:left="-142" w:right="-425"/>
        <w:jc w:val="both"/>
      </w:pPr>
      <w:r w:rsidRPr="00C40176">
        <w:t>During the COVID</w:t>
      </w:r>
      <w:r w:rsidR="002D1B32">
        <w:t xml:space="preserve"> </w:t>
      </w:r>
      <w:r w:rsidRPr="00C40176">
        <w:t xml:space="preserve">lockdown period many local businesses and service providers ceased operating, however, the government gave the Aurukun Shire Council the option to keep the school open. The FRC supported the Aurukun Shire Council’s decision to keep the school open allowing education to continue as normal. </w:t>
      </w:r>
      <w:bookmarkStart w:id="18" w:name="_Hlk52978568"/>
      <w:r w:rsidRPr="00C40176">
        <w:t xml:space="preserve">Primary school attendance for Term 2 </w:t>
      </w:r>
      <w:r w:rsidR="00E3285C">
        <w:t xml:space="preserve">2020 </w:t>
      </w:r>
      <w:r w:rsidRPr="00C40176">
        <w:t xml:space="preserve">was 41.5 percent, down from Term 1 </w:t>
      </w:r>
      <w:r w:rsidR="005D154D">
        <w:t xml:space="preserve">(49.1 percent) </w:t>
      </w:r>
      <w:r w:rsidRPr="00C40176">
        <w:t xml:space="preserve">and also down from Term 2 2019 which was 43.1 percent. </w:t>
      </w:r>
      <w:bookmarkEnd w:id="18"/>
      <w:r w:rsidR="00353472">
        <w:t xml:space="preserve">Published Term 3 </w:t>
      </w:r>
      <w:r w:rsidR="005C635E">
        <w:t xml:space="preserve">school data </w:t>
      </w:r>
      <w:r w:rsidR="00353472">
        <w:t>for Aurukun primary students shows a slight increase of 0.2 percent to 41.7</w:t>
      </w:r>
      <w:r w:rsidR="005C635E">
        <w:t xml:space="preserve">. </w:t>
      </w:r>
      <w:r w:rsidRPr="00C40176">
        <w:t>The Aurukun State School continues to provide a safe learning environment for the children of the community, and it has disappointed the Local Commissioners that many community members are not taking advantage of educating their children. It is evident that the problem of low school attendance is not singularly a reflection on the school, but clearly reflects broader community issues. The school has developed a case management approach for families with disengaged children, with regular service provider meetings (including the FRC Local Registry Coordinator) to discuss support for these families.</w:t>
      </w:r>
    </w:p>
    <w:p w14:paraId="39A5B54F" w14:textId="77777777" w:rsidR="00C40176" w:rsidRPr="00C40176" w:rsidRDefault="00C40176" w:rsidP="00C40176">
      <w:pPr>
        <w:ind w:left="-142" w:right="-425"/>
        <w:jc w:val="both"/>
      </w:pPr>
    </w:p>
    <w:p w14:paraId="2529652D" w14:textId="13DD8C7B" w:rsidR="00C40176" w:rsidRPr="00C40176" w:rsidRDefault="00C40176" w:rsidP="00C40176">
      <w:pPr>
        <w:ind w:left="-142" w:right="-425"/>
        <w:jc w:val="both"/>
      </w:pPr>
      <w:r w:rsidRPr="00C40176">
        <w:t xml:space="preserve">One of the main effects of the </w:t>
      </w:r>
      <w:r w:rsidR="00767BC5">
        <w:t>p</w:t>
      </w:r>
      <w:r w:rsidRPr="00C40176">
        <w:t xml:space="preserve">andemic on Aurukun was the ceasing of Work for the Dole activities and community members’ reporting obligations. As a result, many adults in households had no day to day routine as they </w:t>
      </w:r>
      <w:r w:rsidR="00E517AB">
        <w:t>were exempt from</w:t>
      </w:r>
      <w:r w:rsidR="00EA006A">
        <w:t xml:space="preserve"> mutual obligation or reporting</w:t>
      </w:r>
      <w:r w:rsidRPr="00C40176">
        <w:t xml:space="preserve"> requirement</w:t>
      </w:r>
      <w:r w:rsidR="00EA006A">
        <w:t>s ordinarily required to receive</w:t>
      </w:r>
      <w:r w:rsidR="00363494">
        <w:t xml:space="preserve"> certain</w:t>
      </w:r>
      <w:r w:rsidR="00EA006A">
        <w:t xml:space="preserve"> welfare payments.</w:t>
      </w:r>
      <w:r w:rsidR="00C90BB0">
        <w:t xml:space="preserve"> </w:t>
      </w:r>
      <w:r w:rsidRPr="00C40176">
        <w:t>The situation was compounded by the COVID stimulus package which saw an increase in money flooding into Aurukun</w:t>
      </w:r>
      <w:r w:rsidR="00EA006A">
        <w:t>.</w:t>
      </w:r>
      <w:r w:rsidR="00E517AB">
        <w:t xml:space="preserve"> It was reported to the FRC that this contributed to an i</w:t>
      </w:r>
      <w:r w:rsidRPr="00C40176">
        <w:t>ncrease in gambling, alcohol</w:t>
      </w:r>
      <w:r w:rsidR="00E517AB">
        <w:t xml:space="preserve"> intake</w:t>
      </w:r>
      <w:r w:rsidRPr="00C40176">
        <w:t xml:space="preserve"> and late-night partying. </w:t>
      </w:r>
    </w:p>
    <w:p w14:paraId="401B4225" w14:textId="77777777" w:rsidR="00C40176" w:rsidRPr="00C40176" w:rsidRDefault="00C40176" w:rsidP="00C40176">
      <w:pPr>
        <w:ind w:left="-142" w:right="-425"/>
        <w:jc w:val="both"/>
      </w:pPr>
    </w:p>
    <w:p w14:paraId="70C55443" w14:textId="77777777" w:rsidR="00C40176" w:rsidRPr="00C40176" w:rsidRDefault="00C40176" w:rsidP="00C40176">
      <w:pPr>
        <w:ind w:left="-142" w:right="-425"/>
        <w:jc w:val="both"/>
      </w:pPr>
      <w:bookmarkStart w:id="19" w:name="_Hlk52977947"/>
      <w:r w:rsidRPr="00C40176">
        <w:t>Since July the Aurukun community has very much returned to normal activity. For the quarter July to September 2020, 35 referrals to support services were made for FRC clients. This compares to the same quarter last year (Quarter 45) where 18 referrals were made to support services.</w:t>
      </w:r>
      <w:bookmarkEnd w:id="19"/>
    </w:p>
    <w:p w14:paraId="6F84E9D8" w14:textId="77777777" w:rsidR="00C40176" w:rsidRPr="00FE6448" w:rsidRDefault="00C40176" w:rsidP="00FE6448">
      <w:pPr>
        <w:ind w:left="-142" w:right="-425"/>
        <w:jc w:val="both"/>
      </w:pPr>
    </w:p>
    <w:p w14:paraId="1E62DCFF" w14:textId="77777777" w:rsidR="009167B5" w:rsidRPr="00710F40" w:rsidRDefault="009167B5" w:rsidP="001A1C6D">
      <w:pPr>
        <w:ind w:left="-142" w:right="-425"/>
        <w:jc w:val="both"/>
        <w:rPr>
          <w:u w:val="single"/>
        </w:rPr>
      </w:pPr>
      <w:r w:rsidRPr="00710F40">
        <w:rPr>
          <w:u w:val="single"/>
        </w:rPr>
        <w:t>Coen</w:t>
      </w:r>
    </w:p>
    <w:p w14:paraId="3FF8A37D" w14:textId="43D09F2B" w:rsidR="00647469" w:rsidRPr="00647469" w:rsidRDefault="00647469" w:rsidP="00647469">
      <w:pPr>
        <w:ind w:left="-142" w:right="-425"/>
        <w:jc w:val="both"/>
      </w:pPr>
      <w:r w:rsidRPr="00647469">
        <w:t xml:space="preserve">Coen community has settled since the ‘Aurukun crisis’ occurred in early January 2020, followed by the onset of the COVID-19 </w:t>
      </w:r>
      <w:r w:rsidR="00767BC5">
        <w:t>P</w:t>
      </w:r>
      <w:r w:rsidRPr="00647469">
        <w:t xml:space="preserve">andemic. There is only one Aurukun family that now remain as permanent residents in Coen since the crisis. The Aurukun crisis and pandemic have highlighted the need for some changes in the community, including a review of the housing situation and the importance of services working in collaboration. </w:t>
      </w:r>
      <w:r>
        <w:t>T</w:t>
      </w:r>
      <w:r w:rsidRPr="00647469">
        <w:t xml:space="preserve">he Department of Housing and Public Works, Cooktown Hub has </w:t>
      </w:r>
      <w:r>
        <w:t>since commenced</w:t>
      </w:r>
      <w:r w:rsidRPr="00647469">
        <w:t xml:space="preserve"> door knocking each home in Coen obtaining evidence to inform a comprehensive </w:t>
      </w:r>
      <w:r w:rsidRPr="00647469">
        <w:lastRenderedPageBreak/>
        <w:t>report on the number of persons in each home (overcrowding), outstanding maintenance issues and which residents require assistance in completing housing applications.</w:t>
      </w:r>
    </w:p>
    <w:p w14:paraId="40A4C07C" w14:textId="77777777" w:rsidR="00647469" w:rsidRPr="00647469" w:rsidRDefault="00647469" w:rsidP="00647469">
      <w:pPr>
        <w:ind w:left="-142" w:right="-425"/>
        <w:jc w:val="both"/>
      </w:pPr>
    </w:p>
    <w:p w14:paraId="59DFA1BA" w14:textId="1758DFAB" w:rsidR="00647469" w:rsidRPr="00647469" w:rsidRDefault="00107CBA" w:rsidP="00647469">
      <w:pPr>
        <w:ind w:left="-142" w:right="-425"/>
        <w:jc w:val="both"/>
      </w:pPr>
      <w:r>
        <w:t xml:space="preserve">The </w:t>
      </w:r>
      <w:r w:rsidR="00647469" w:rsidRPr="00647469">
        <w:t xml:space="preserve">Coen Campus of CYAAA has introduced a new principal in Term 3 who has been well accepted by the community. Primary school attendance for Term 2 </w:t>
      </w:r>
      <w:r w:rsidR="00BF7DAE">
        <w:t xml:space="preserve">2020 </w:t>
      </w:r>
      <w:r w:rsidR="00647469" w:rsidRPr="00647469">
        <w:t>has been published at 78.7 percent, down from 81.0 percent in Term 1</w:t>
      </w:r>
      <w:r w:rsidR="00BF7DAE">
        <w:t xml:space="preserve">, while </w:t>
      </w:r>
      <w:r w:rsidR="00647469" w:rsidRPr="00647469">
        <w:t xml:space="preserve">Term 3 attendance </w:t>
      </w:r>
      <w:r w:rsidR="000F7FE8">
        <w:t xml:space="preserve">has been published at </w:t>
      </w:r>
      <w:r w:rsidR="00647469" w:rsidRPr="00647469">
        <w:t>72.5 percent. Week 5 experienced a high number of absences as many parents and carers informed the principal their children would be attending a significant cultural event to celebrate the first Cape York Indigenous language dictionary held at Port Stewart. Contributing to the attendance percentage are five students still represented on the Coen roll who have left community with their families and not enrolled elsewhere.</w:t>
      </w:r>
    </w:p>
    <w:p w14:paraId="734C4A6A" w14:textId="77777777" w:rsidR="00647469" w:rsidRPr="00647469" w:rsidRDefault="00647469" w:rsidP="00647469">
      <w:pPr>
        <w:ind w:left="-142" w:right="-425"/>
        <w:jc w:val="both"/>
      </w:pPr>
    </w:p>
    <w:p w14:paraId="0768276F" w14:textId="3A52320D" w:rsidR="009167B5" w:rsidRDefault="00647469" w:rsidP="0005566E">
      <w:pPr>
        <w:ind w:left="-142" w:right="-425"/>
        <w:jc w:val="both"/>
      </w:pPr>
      <w:r w:rsidRPr="00647469">
        <w:t xml:space="preserve">Since July 2020 Coen Commissioners have adapted their conferencing style to incorporate a more in-depth case-management focus. These conferences prioritise clients with complex needs and are Case Assessment Conferences involving the collaboration of (in some cases) other family members and support services. </w:t>
      </w:r>
      <w:bookmarkStart w:id="20" w:name="_Hlk53473026"/>
      <w:r w:rsidRPr="00647469">
        <w:t>For the quarter July to September 2020, 8 referrals to support services were made for FRC clients. This compares to the same quarter last year (Quarter 45) where 0 referrals were made to support services.</w:t>
      </w:r>
      <w:bookmarkEnd w:id="20"/>
    </w:p>
    <w:p w14:paraId="3901DDDF" w14:textId="77777777" w:rsidR="00C40176" w:rsidRDefault="00C40176" w:rsidP="001A1C6D">
      <w:pPr>
        <w:ind w:left="-142" w:right="-425"/>
        <w:jc w:val="both"/>
      </w:pPr>
    </w:p>
    <w:p w14:paraId="2CA4E700" w14:textId="4E8535B2" w:rsidR="009167B5" w:rsidRPr="00710F40" w:rsidRDefault="009167B5" w:rsidP="001A1C6D">
      <w:pPr>
        <w:ind w:left="-142" w:right="-425"/>
        <w:jc w:val="both"/>
        <w:rPr>
          <w:u w:val="single"/>
        </w:rPr>
      </w:pPr>
      <w:r w:rsidRPr="00710F40">
        <w:rPr>
          <w:u w:val="single"/>
        </w:rPr>
        <w:t>Doomadgee</w:t>
      </w:r>
    </w:p>
    <w:p w14:paraId="35F57A68" w14:textId="59FA948D" w:rsidR="009167B5" w:rsidRPr="009167B5" w:rsidRDefault="00B502AB" w:rsidP="009167B5">
      <w:pPr>
        <w:ind w:left="-142" w:right="-425"/>
        <w:jc w:val="both"/>
      </w:pPr>
      <w:r w:rsidRPr="00B502AB">
        <w:t xml:space="preserve">The Doomadgee </w:t>
      </w:r>
      <w:r w:rsidR="00C207D6">
        <w:t>State S</w:t>
      </w:r>
      <w:r w:rsidRPr="00B502AB">
        <w:t xml:space="preserve">chool reports they continue to experience issues with the behaviour of children who do not attend school regularly and who, when attending school, struggle to keep up with the curriculum and cause disruption. Additionally, retaining or maintaining staff to execute the School Attendance Officer (SAO) strategy has been difficult. It was </w:t>
      </w:r>
      <w:r w:rsidR="008971A8">
        <w:t xml:space="preserve">previously </w:t>
      </w:r>
      <w:r w:rsidRPr="00B502AB">
        <w:t xml:space="preserve">reported to the </w:t>
      </w:r>
      <w:r w:rsidR="008971A8">
        <w:t xml:space="preserve">FR </w:t>
      </w:r>
      <w:r w:rsidRPr="00B502AB">
        <w:t>Board that the school attendance officers were a newly formed group without the benefit of the former supervisor, that management of the group is vital to ensure its effectiveness and that this manager must be an independent individual, free from involvement in community and family unrest. Despite the reported difficulties, the Doomadgee Commissioners continue to refer clients to the SAO team</w:t>
      </w:r>
      <w:r>
        <w:t xml:space="preserve">. </w:t>
      </w:r>
      <w:r w:rsidR="009167B5" w:rsidRPr="009167B5">
        <w:t>The Commission supports the need for a dedicated school-based professional support program to address behavioural issues in the school and recognises and supports the need to appoint a supervisor to manage the SAO team.</w:t>
      </w:r>
      <w:r w:rsidR="0086068C">
        <w:t xml:space="preserve"> Doomadgee school attendance has continued to decline since the COVID-19 lockdown with Term 3 primary school attendance reported at 30.4 percent.</w:t>
      </w:r>
    </w:p>
    <w:p w14:paraId="6769BB83" w14:textId="3B0FF5C0" w:rsidR="009167B5" w:rsidRDefault="009167B5" w:rsidP="001A1C6D">
      <w:pPr>
        <w:ind w:left="-142" w:right="-425"/>
        <w:jc w:val="both"/>
      </w:pPr>
    </w:p>
    <w:p w14:paraId="2BDE744D" w14:textId="3D24E13B" w:rsidR="00B502AB" w:rsidRPr="009167B5" w:rsidRDefault="00B502AB" w:rsidP="00B502AB">
      <w:pPr>
        <w:ind w:left="-142" w:right="-425"/>
        <w:jc w:val="both"/>
      </w:pPr>
      <w:r w:rsidRPr="009167B5">
        <w:t>Few reports from service providers regarding their engagement with FRC clients during the lockdown period were received. Reports prior to the lockdown and from July 2020 have also been negligible. In order to aid the school to provide quality client progress reports, the Commission has created a basic reporting template which will be provided to the principal in Term 4</w:t>
      </w:r>
      <w:r>
        <w:t xml:space="preserve"> (next quarter)</w:t>
      </w:r>
      <w:r w:rsidRPr="009167B5">
        <w:t xml:space="preserve">. It is hoped the Commission will receive sufficient information from this reporting to enable the Local Commissioners to make informed decisions in conference. The FRC Registry Coordinator is planning to meet and greet the Doomadgee SAO team in October 2020 and the FRC is planning an extra conference during the first week of </w:t>
      </w:r>
      <w:r w:rsidR="005434DC">
        <w:t>T</w:t>
      </w:r>
      <w:r w:rsidRPr="009167B5">
        <w:t xml:space="preserve">erm 1 </w:t>
      </w:r>
      <w:r w:rsidR="005434DC">
        <w:t xml:space="preserve">2021 </w:t>
      </w:r>
      <w:r w:rsidRPr="009167B5">
        <w:t>to start off the new school year.</w:t>
      </w:r>
    </w:p>
    <w:p w14:paraId="1020815F" w14:textId="77777777" w:rsidR="00B502AB" w:rsidRPr="009167B5" w:rsidRDefault="00B502AB" w:rsidP="00B502AB">
      <w:pPr>
        <w:ind w:left="-142" w:right="-425"/>
        <w:jc w:val="both"/>
      </w:pPr>
    </w:p>
    <w:p w14:paraId="5FD3B20D" w14:textId="4EDA8C62" w:rsidR="005F6C7E" w:rsidRPr="005F6C7E" w:rsidRDefault="00B502AB" w:rsidP="005F6C7E">
      <w:pPr>
        <w:ind w:left="-142" w:right="-425"/>
        <w:jc w:val="both"/>
        <w:rPr>
          <w:lang w:val="en-US"/>
        </w:rPr>
      </w:pPr>
      <w:r w:rsidRPr="009167B5">
        <w:t>In broad terms the FRC has commenced targeted engagement with service providers to improve case plan referral outcomes for clients. The Commission is grateful for the assistance of DATSIP Regional Manager, Greg Anderson, for his assistance in providing details of relevant providers and his offer to assist with further engagement with his government counterparts based in Townsville and Mount Isa.</w:t>
      </w:r>
      <w:r w:rsidR="005F6C7E">
        <w:t xml:space="preserve"> </w:t>
      </w:r>
      <w:r w:rsidR="005F6C7E" w:rsidRPr="005F6C7E">
        <w:rPr>
          <w:lang w:val="en-US"/>
        </w:rPr>
        <w:t xml:space="preserve">The Commission strongly </w:t>
      </w:r>
      <w:r w:rsidR="00186C54" w:rsidRPr="005F6C7E">
        <w:rPr>
          <w:lang w:val="en-US"/>
        </w:rPr>
        <w:t xml:space="preserve">believes </w:t>
      </w:r>
      <w:r w:rsidR="005F6C7E" w:rsidRPr="005F6C7E">
        <w:rPr>
          <w:lang w:val="en-US"/>
        </w:rPr>
        <w:t xml:space="preserve">that stakeholder relationships are key to strengthening both the community and government response to social disfunction. The Commission has committed to a weekly presence in Doomadgee with the </w:t>
      </w:r>
      <w:r w:rsidR="00940680">
        <w:rPr>
          <w:lang w:val="en-US"/>
        </w:rPr>
        <w:t xml:space="preserve">Local </w:t>
      </w:r>
      <w:r w:rsidR="005F6C7E" w:rsidRPr="005F6C7E">
        <w:rPr>
          <w:lang w:val="en-US"/>
        </w:rPr>
        <w:t>Registry Coordinator attending in serving weeks and performing case-management and stakeholder engagement, and Commission Williams or Deputy Commissioner Curtin attending every Doomadgee conference for the foreseeable future.</w:t>
      </w:r>
    </w:p>
    <w:p w14:paraId="5762974E" w14:textId="77777777" w:rsidR="005F6C7E" w:rsidRPr="005F6C7E" w:rsidRDefault="005F6C7E" w:rsidP="005F6C7E">
      <w:pPr>
        <w:ind w:left="-142" w:right="-425"/>
        <w:jc w:val="both"/>
        <w:rPr>
          <w:lang w:val="en-US"/>
        </w:rPr>
      </w:pPr>
    </w:p>
    <w:p w14:paraId="4A0FD35B" w14:textId="2C441B03" w:rsidR="00B502AB" w:rsidRDefault="005F6C7E" w:rsidP="005F6C7E">
      <w:pPr>
        <w:ind w:left="-142" w:right="-425"/>
        <w:jc w:val="both"/>
        <w:rPr>
          <w:lang w:val="en-US"/>
        </w:rPr>
      </w:pPr>
      <w:r w:rsidRPr="005F6C7E">
        <w:rPr>
          <w:lang w:val="en-US"/>
        </w:rPr>
        <w:t>On 17 September 2020 Commissioner Williams and Deputy Commissioner Curtin met with Mayor Jason Ned, CEO Garry Jeffries and the Doomadgee Aboriginal Shire Councillors at the D</w:t>
      </w:r>
      <w:r w:rsidR="00710F40">
        <w:rPr>
          <w:lang w:val="en-US"/>
        </w:rPr>
        <w:t xml:space="preserve">oomadgee </w:t>
      </w:r>
      <w:r w:rsidRPr="005F6C7E">
        <w:rPr>
          <w:lang w:val="en-US"/>
        </w:rPr>
        <w:t>A</w:t>
      </w:r>
      <w:r w:rsidR="00710F40">
        <w:rPr>
          <w:lang w:val="en-US"/>
        </w:rPr>
        <w:t xml:space="preserve">boriginal </w:t>
      </w:r>
      <w:r w:rsidRPr="005F6C7E">
        <w:rPr>
          <w:lang w:val="en-US"/>
        </w:rPr>
        <w:t>S</w:t>
      </w:r>
      <w:r w:rsidR="00710F40">
        <w:rPr>
          <w:lang w:val="en-US"/>
        </w:rPr>
        <w:t xml:space="preserve">hire </w:t>
      </w:r>
      <w:r w:rsidRPr="005F6C7E">
        <w:rPr>
          <w:lang w:val="en-US"/>
        </w:rPr>
        <w:t>C</w:t>
      </w:r>
      <w:r w:rsidR="00710F40">
        <w:rPr>
          <w:lang w:val="en-US"/>
        </w:rPr>
        <w:t>ouncil</w:t>
      </w:r>
      <w:r w:rsidRPr="005F6C7E">
        <w:rPr>
          <w:lang w:val="en-US"/>
        </w:rPr>
        <w:t xml:space="preserve"> meeting day. Discussions were held regarding the work of the Commission, the FRC Act, income management and other issues of relevance. A further meeting is planned </w:t>
      </w:r>
      <w:r w:rsidR="008971A8">
        <w:rPr>
          <w:lang w:val="en-US"/>
        </w:rPr>
        <w:t>in Quarter 50</w:t>
      </w:r>
      <w:r w:rsidRPr="005F6C7E">
        <w:rPr>
          <w:lang w:val="en-US"/>
        </w:rPr>
        <w:t xml:space="preserve"> to continue our investment in community relationships.</w:t>
      </w:r>
    </w:p>
    <w:p w14:paraId="488288A8" w14:textId="52C16115" w:rsidR="005F6C7E" w:rsidRDefault="005F6C7E" w:rsidP="005F6C7E">
      <w:pPr>
        <w:ind w:left="-142" w:right="-425"/>
        <w:jc w:val="both"/>
        <w:rPr>
          <w:lang w:val="en-US"/>
        </w:rPr>
      </w:pPr>
    </w:p>
    <w:p w14:paraId="5FB64A7A" w14:textId="03EA92BA" w:rsidR="005F6C7E" w:rsidRDefault="00526B0D" w:rsidP="005F6C7E">
      <w:pPr>
        <w:ind w:left="-142" w:right="-425"/>
        <w:jc w:val="both"/>
      </w:pPr>
      <w:r w:rsidRPr="00AB4634">
        <w:t>Following on from our report last quarter regard</w:t>
      </w:r>
      <w:r w:rsidR="009E652A" w:rsidRPr="00AB4634">
        <w:t>ing</w:t>
      </w:r>
      <w:r w:rsidRPr="00AB4634">
        <w:t xml:space="preserve"> volatile substance </w:t>
      </w:r>
      <w:r w:rsidR="00AB4634">
        <w:t>mis</w:t>
      </w:r>
      <w:r w:rsidRPr="00AB4634">
        <w:t>use (VS</w:t>
      </w:r>
      <w:r w:rsidR="00AB4634">
        <w:t>M</w:t>
      </w:r>
      <w:r w:rsidRPr="00AB4634">
        <w:t xml:space="preserve">) in </w:t>
      </w:r>
      <w:r w:rsidR="00710F40" w:rsidRPr="00AB4634">
        <w:t>Doomadgee</w:t>
      </w:r>
      <w:r w:rsidRPr="00AB4634">
        <w:t>, the community</w:t>
      </w:r>
      <w:r w:rsidR="00710F40" w:rsidRPr="00AB4634">
        <w:t xml:space="preserve"> continues to experience </w:t>
      </w:r>
      <w:r w:rsidRPr="00AB4634">
        <w:t>y</w:t>
      </w:r>
      <w:r w:rsidR="00710F40" w:rsidRPr="00AB4634">
        <w:t xml:space="preserve">outh volatile substance </w:t>
      </w:r>
      <w:r w:rsidRPr="00AB4634">
        <w:t>abu</w:t>
      </w:r>
      <w:r w:rsidR="009E652A" w:rsidRPr="00AB4634">
        <w:t>se incidents</w:t>
      </w:r>
      <w:r w:rsidR="004942C6" w:rsidRPr="00AB4634">
        <w:t xml:space="preserve">. During the period 1 January to </w:t>
      </w:r>
      <w:r w:rsidR="00F709A9">
        <w:t>30</w:t>
      </w:r>
      <w:r w:rsidR="004942C6" w:rsidRPr="00AB4634">
        <w:t xml:space="preserve"> September 2020, </w:t>
      </w:r>
      <w:r w:rsidR="00421432" w:rsidRPr="00AB4634">
        <w:t>138</w:t>
      </w:r>
      <w:r w:rsidR="004942C6" w:rsidRPr="00AB4634">
        <w:t xml:space="preserve"> Child Concern Reports within jurisdiction were received by the Commission relating to </w:t>
      </w:r>
      <w:r w:rsidR="00421432" w:rsidRPr="00AB4634">
        <w:t>94</w:t>
      </w:r>
      <w:r w:rsidR="004942C6" w:rsidRPr="00AB4634">
        <w:t xml:space="preserve"> clients</w:t>
      </w:r>
      <w:r w:rsidR="00AB4634">
        <w:t xml:space="preserve">, a number of which involved </w:t>
      </w:r>
      <w:r w:rsidR="00363494">
        <w:t>VSM (</w:t>
      </w:r>
      <w:r w:rsidR="00E517AB">
        <w:t xml:space="preserve">Volatile </w:t>
      </w:r>
      <w:r w:rsidR="00AB4634">
        <w:t>S</w:t>
      </w:r>
      <w:r w:rsidR="00E517AB">
        <w:t>ubst</w:t>
      </w:r>
      <w:r w:rsidR="00363494">
        <w:t xml:space="preserve">ances </w:t>
      </w:r>
      <w:r w:rsidR="00AB4634">
        <w:t>M</w:t>
      </w:r>
      <w:r w:rsidR="00363494">
        <w:t>isuse)</w:t>
      </w:r>
      <w:r w:rsidR="004942C6" w:rsidRPr="00AB4634">
        <w:t xml:space="preserve">. </w:t>
      </w:r>
      <w:r w:rsidR="009E652A" w:rsidRPr="00AB4634">
        <w:t xml:space="preserve">Clients have been conferenced in regard to these incidents and linked with support services offered by Save the Children. Unfortunately support services are yet to be fully staffed and delivered on the ground. </w:t>
      </w:r>
      <w:r w:rsidR="0097618F" w:rsidRPr="00AB4634">
        <w:t>The Commission considers that VS</w:t>
      </w:r>
      <w:r w:rsidR="00AB4634">
        <w:t>M</w:t>
      </w:r>
      <w:r w:rsidR="0097618F" w:rsidRPr="00AB4634">
        <w:t xml:space="preserve"> counselling should be made available in Doomadgee at the earliest opportunity</w:t>
      </w:r>
      <w:r w:rsidR="00AB4634">
        <w:t xml:space="preserve">. The Commission is advised that as at 15 December 2020, the Doomadgee Roadhouse </w:t>
      </w:r>
      <w:r w:rsidR="00363494">
        <w:t>will</w:t>
      </w:r>
      <w:r w:rsidR="00AB4634">
        <w:t xml:space="preserve"> revert to the sale o</w:t>
      </w:r>
      <w:r w:rsidR="0097618F" w:rsidRPr="00AB4634">
        <w:t>f Opal fuel</w:t>
      </w:r>
      <w:r w:rsidR="00363494">
        <w:t xml:space="preserve"> after positive stakeholder consultation and engagement with the Australian Government.</w:t>
      </w:r>
      <w:r>
        <w:t xml:space="preserve"> </w:t>
      </w:r>
    </w:p>
    <w:p w14:paraId="5C2C2C97" w14:textId="77777777" w:rsidR="00B502AB" w:rsidRDefault="00B502AB" w:rsidP="00B502AB">
      <w:pPr>
        <w:ind w:left="-142" w:right="-425"/>
        <w:jc w:val="both"/>
      </w:pPr>
    </w:p>
    <w:p w14:paraId="0C6FBAE4" w14:textId="77777777" w:rsidR="009167B5" w:rsidRPr="00632336" w:rsidRDefault="009167B5" w:rsidP="001A1C6D">
      <w:pPr>
        <w:ind w:left="-142" w:right="-425"/>
        <w:jc w:val="both"/>
        <w:rPr>
          <w:u w:val="single"/>
        </w:rPr>
      </w:pPr>
      <w:r w:rsidRPr="00632336">
        <w:rPr>
          <w:u w:val="single"/>
        </w:rPr>
        <w:t>Hope Vale</w:t>
      </w:r>
    </w:p>
    <w:p w14:paraId="450D9766" w14:textId="35CDF1E8" w:rsidR="00382221" w:rsidRPr="00382221" w:rsidRDefault="00764DAB" w:rsidP="00382221">
      <w:pPr>
        <w:ind w:left="-142" w:right="-425"/>
        <w:jc w:val="both"/>
      </w:pPr>
      <w:r>
        <w:t xml:space="preserve">The </w:t>
      </w:r>
      <w:r w:rsidR="00382221" w:rsidRPr="00382221">
        <w:t xml:space="preserve">Hope Vale Campus of CYAAA </w:t>
      </w:r>
      <w:r w:rsidR="00F622FF">
        <w:t>T</w:t>
      </w:r>
      <w:r w:rsidR="00382221" w:rsidRPr="00382221">
        <w:t xml:space="preserve">erm 2 </w:t>
      </w:r>
      <w:r w:rsidR="00F946D2">
        <w:t xml:space="preserve">2020 </w:t>
      </w:r>
      <w:r w:rsidR="00382221" w:rsidRPr="00382221">
        <w:t xml:space="preserve">school attendance was reported at 85.3 percent, down </w:t>
      </w:r>
      <w:r w:rsidR="00EA720C">
        <w:t>from the</w:t>
      </w:r>
      <w:r w:rsidR="00F946D2">
        <w:t xml:space="preserve"> 8</w:t>
      </w:r>
      <w:r w:rsidR="00EA720C">
        <w:t>8</w:t>
      </w:r>
      <w:r w:rsidR="00F946D2">
        <w:t>.</w:t>
      </w:r>
      <w:r w:rsidR="00EA720C">
        <w:t>6</w:t>
      </w:r>
      <w:r w:rsidR="00F946D2">
        <w:t xml:space="preserve"> reported for</w:t>
      </w:r>
      <w:r w:rsidR="00382221" w:rsidRPr="00382221">
        <w:t xml:space="preserve"> </w:t>
      </w:r>
      <w:r w:rsidR="00F946D2">
        <w:t>T</w:t>
      </w:r>
      <w:r w:rsidR="00382221" w:rsidRPr="00382221">
        <w:t>erm 1</w:t>
      </w:r>
      <w:r w:rsidR="005215EC">
        <w:t xml:space="preserve">, whilst </w:t>
      </w:r>
      <w:r w:rsidR="002C0A60">
        <w:t xml:space="preserve">Term 3 attendance has been published at 81.7 percent. </w:t>
      </w:r>
      <w:r w:rsidR="00382221" w:rsidRPr="00382221">
        <w:t>Hope Vale community students attending at Cooktown State School (primary and secondary) show</w:t>
      </w:r>
      <w:r>
        <w:t>ed an</w:t>
      </w:r>
      <w:r w:rsidR="00382221" w:rsidRPr="00382221">
        <w:t xml:space="preserve"> increased attendance for </w:t>
      </w:r>
      <w:r w:rsidR="00EA720C">
        <w:t>T</w:t>
      </w:r>
      <w:r w:rsidR="00382221" w:rsidRPr="00382221">
        <w:t xml:space="preserve">erm 2 </w:t>
      </w:r>
      <w:r w:rsidR="005D154D">
        <w:t xml:space="preserve">(75.5 percent) </w:t>
      </w:r>
      <w:r w:rsidR="00382221" w:rsidRPr="00382221">
        <w:t xml:space="preserve">as compared to </w:t>
      </w:r>
      <w:r w:rsidR="00EA720C">
        <w:t>T</w:t>
      </w:r>
      <w:r w:rsidR="00382221" w:rsidRPr="00382221">
        <w:t xml:space="preserve">erm </w:t>
      </w:r>
      <w:r w:rsidR="00382221" w:rsidRPr="00251144">
        <w:t>1</w:t>
      </w:r>
      <w:r w:rsidR="005D154D">
        <w:t xml:space="preserve"> (64.7 percent)</w:t>
      </w:r>
      <w:r w:rsidR="00382221" w:rsidRPr="00251144">
        <w:t xml:space="preserve">. </w:t>
      </w:r>
      <w:r w:rsidR="002C0A60" w:rsidRPr="00251144">
        <w:t xml:space="preserve">Term 3 percentage has again decreased to 64.9 percent. </w:t>
      </w:r>
      <w:r w:rsidR="00251144" w:rsidRPr="00251144">
        <w:t>It should be noted that generally s</w:t>
      </w:r>
      <w:r w:rsidR="002C0A60" w:rsidRPr="00251144">
        <w:t>chool attendance for Term</w:t>
      </w:r>
      <w:r w:rsidR="005C7BE5">
        <w:t xml:space="preserve"> </w:t>
      </w:r>
      <w:r w:rsidR="002C0A60" w:rsidRPr="00251144">
        <w:t xml:space="preserve">3 </w:t>
      </w:r>
      <w:r w:rsidR="00251144" w:rsidRPr="00251144">
        <w:t>across the board tends to be the lowest percentage for the year</w:t>
      </w:r>
      <w:r w:rsidR="00382221" w:rsidRPr="00251144">
        <w:t>.</w:t>
      </w:r>
    </w:p>
    <w:p w14:paraId="35760649" w14:textId="77777777" w:rsidR="00382221" w:rsidRPr="00382221" w:rsidRDefault="00382221" w:rsidP="00382221">
      <w:pPr>
        <w:ind w:left="-142" w:right="-425"/>
        <w:jc w:val="both"/>
      </w:pPr>
    </w:p>
    <w:p w14:paraId="4A301E3F" w14:textId="77777777" w:rsidR="0093335C" w:rsidRPr="00382221" w:rsidRDefault="0093335C" w:rsidP="0093335C">
      <w:pPr>
        <w:ind w:left="-142" w:right="-425"/>
        <w:jc w:val="both"/>
      </w:pPr>
      <w:r w:rsidRPr="00382221">
        <w:t xml:space="preserve">The </w:t>
      </w:r>
      <w:r>
        <w:t>Cooktown</w:t>
      </w:r>
      <w:r w:rsidRPr="00382221">
        <w:t xml:space="preserve"> State School and the Hope Vale community have been making a </w:t>
      </w:r>
      <w:r w:rsidRPr="005D154D">
        <w:t>concerted effort to improve school attendance.</w:t>
      </w:r>
    </w:p>
    <w:p w14:paraId="11944A6F" w14:textId="77777777" w:rsidR="00382221" w:rsidRPr="00382221" w:rsidRDefault="00382221" w:rsidP="00382221">
      <w:pPr>
        <w:ind w:left="-142" w:right="-425"/>
        <w:jc w:val="both"/>
      </w:pPr>
    </w:p>
    <w:p w14:paraId="00F82FC9" w14:textId="49A8AE9E" w:rsidR="00382221" w:rsidRPr="00382221" w:rsidRDefault="00382221" w:rsidP="00C96B34">
      <w:pPr>
        <w:numPr>
          <w:ilvl w:val="0"/>
          <w:numId w:val="34"/>
        </w:numPr>
        <w:ind w:left="284" w:right="-425"/>
        <w:jc w:val="both"/>
      </w:pPr>
      <w:r w:rsidRPr="00382221">
        <w:t xml:space="preserve">The Hope Vale community has been working together to assist to re-engage a group of year 7 </w:t>
      </w:r>
      <w:r w:rsidR="00FF10AE">
        <w:t xml:space="preserve">high school students from </w:t>
      </w:r>
      <w:r w:rsidRPr="00382221">
        <w:t xml:space="preserve">Cooktown State School. Community </w:t>
      </w:r>
      <w:r w:rsidR="001E75B7">
        <w:t>s</w:t>
      </w:r>
      <w:r w:rsidRPr="00382221">
        <w:t>takeholder meetings and Youth Network workshops have been held to review the issues impacting school attendance, student disengagement and juvenile crime.</w:t>
      </w:r>
    </w:p>
    <w:p w14:paraId="4C4DF2FB" w14:textId="2D9D9356" w:rsidR="00382221" w:rsidRPr="00382221" w:rsidRDefault="00382221" w:rsidP="00C96B34">
      <w:pPr>
        <w:numPr>
          <w:ilvl w:val="0"/>
          <w:numId w:val="34"/>
        </w:numPr>
        <w:ind w:left="284" w:right="-425"/>
        <w:jc w:val="both"/>
      </w:pPr>
      <w:r w:rsidRPr="00382221">
        <w:t xml:space="preserve">Since mid-August identified students have been attending a community run program to establish a regular routine to prepare them for their planned return to mainstream education in </w:t>
      </w:r>
      <w:r w:rsidR="00140C5D">
        <w:t>T</w:t>
      </w:r>
      <w:r w:rsidRPr="00382221">
        <w:t>erm 4</w:t>
      </w:r>
      <w:r w:rsidRPr="00FF1F09">
        <w:t>.</w:t>
      </w:r>
    </w:p>
    <w:p w14:paraId="656F7387" w14:textId="1F755A05" w:rsidR="00382221" w:rsidRPr="00382221" w:rsidRDefault="00382221" w:rsidP="00C96B34">
      <w:pPr>
        <w:numPr>
          <w:ilvl w:val="0"/>
          <w:numId w:val="34"/>
        </w:numPr>
        <w:ind w:left="284" w:right="-425"/>
        <w:jc w:val="both"/>
      </w:pPr>
      <w:r w:rsidRPr="00382221">
        <w:t xml:space="preserve">Cooktown State School has initiated Support Plans for students from prep to year 12 and Individual Curriculum </w:t>
      </w:r>
      <w:r w:rsidRPr="00B40846">
        <w:t>Plans for prep to year 10, and has been working in conjunction with the Youth Support Officer</w:t>
      </w:r>
      <w:r w:rsidR="00B40846" w:rsidRPr="00B40846">
        <w:t xml:space="preserve"> from the</w:t>
      </w:r>
      <w:r w:rsidRPr="00B40846">
        <w:t xml:space="preserve"> Hope Vale Aboriginal Shire Council, supporting students who could not return to boarding school during the COVID lockdown.</w:t>
      </w:r>
    </w:p>
    <w:p w14:paraId="7FB0005E" w14:textId="77777777" w:rsidR="00382221" w:rsidRPr="00382221" w:rsidRDefault="00382221" w:rsidP="00C96B34">
      <w:pPr>
        <w:numPr>
          <w:ilvl w:val="0"/>
          <w:numId w:val="34"/>
        </w:numPr>
        <w:ind w:left="284" w:right="-425"/>
        <w:jc w:val="both"/>
      </w:pPr>
      <w:r w:rsidRPr="00382221">
        <w:t>The Cooktown State School and Cooktown District Community Centre have jointly provided assistance by distributing school uniforms and lunch to those students in need. The school has also identified that there is a need for a familiarisation program or induction to assist year 6 students to transition to the high school system.</w:t>
      </w:r>
    </w:p>
    <w:p w14:paraId="1E0B1FCB" w14:textId="77777777" w:rsidR="00382221" w:rsidRPr="00382221" w:rsidRDefault="00382221" w:rsidP="00382221">
      <w:pPr>
        <w:ind w:left="-142" w:right="-425"/>
        <w:jc w:val="both"/>
      </w:pPr>
    </w:p>
    <w:p w14:paraId="47DEDECC" w14:textId="586D1C3F" w:rsidR="00382221" w:rsidRPr="00382221" w:rsidRDefault="00382221" w:rsidP="00382221">
      <w:pPr>
        <w:ind w:left="-142" w:right="-425"/>
        <w:jc w:val="both"/>
      </w:pPr>
      <w:r w:rsidRPr="00382221">
        <w:t xml:space="preserve">Local Commissioners report that during the community lockdowns due to the </w:t>
      </w:r>
      <w:r>
        <w:t>COVID-19 P</w:t>
      </w:r>
      <w:r w:rsidRPr="00382221">
        <w:t xml:space="preserve">andemic noise complaints from partying households in receipt of stimulus payments were causing problems in the Hope Vale community, and the resultant sleep deprivation for community members was impacting school attendance. The Department of Housing and Public Works has since reported a reduction in noise complaints from </w:t>
      </w:r>
      <w:r>
        <w:t>the commencement of this quarter</w:t>
      </w:r>
      <w:r w:rsidRPr="00382221">
        <w:t>.</w:t>
      </w:r>
    </w:p>
    <w:p w14:paraId="4C1614DF" w14:textId="77777777" w:rsidR="00382221" w:rsidRPr="00382221" w:rsidRDefault="00382221" w:rsidP="00382221">
      <w:pPr>
        <w:ind w:left="-142" w:right="-425"/>
        <w:jc w:val="both"/>
      </w:pPr>
    </w:p>
    <w:p w14:paraId="062B83E9" w14:textId="3F6CF477" w:rsidR="00382221" w:rsidRPr="00382221" w:rsidRDefault="00382221" w:rsidP="00382221">
      <w:pPr>
        <w:ind w:left="-142" w:right="-425"/>
        <w:jc w:val="both"/>
      </w:pPr>
      <w:r w:rsidRPr="00382221">
        <w:lastRenderedPageBreak/>
        <w:t>A joint initiative between The Department of Housing and Public Works and local councils has delivered the Family Fresh Food Garden project to public and community housing tenants in Hope Vale, Laura, Wujal Wujal, Coen and Cooktown. The program is set to build 140 garden beds in the Hope Vale community comprising of one square meter raised beds including soil, matting, mulch, seedlings and gardening equipment. This is a great family health project initiated from COVID lockdown which has been supported by DATSIP, Gungarde and My Pathway. Unfortunately, distribution of gardening supplies and equipment has experienced delays due to the non-attendance of some My Pathway participants.</w:t>
      </w:r>
    </w:p>
    <w:p w14:paraId="4E702D67" w14:textId="77777777" w:rsidR="00382221" w:rsidRPr="00382221" w:rsidRDefault="00382221" w:rsidP="00382221">
      <w:pPr>
        <w:ind w:left="-142" w:right="-425"/>
        <w:jc w:val="both"/>
      </w:pPr>
    </w:p>
    <w:p w14:paraId="408AA541" w14:textId="1A6D12A3" w:rsidR="00382221" w:rsidRPr="00382221" w:rsidRDefault="00382221" w:rsidP="00382221">
      <w:pPr>
        <w:ind w:left="-142" w:right="-425"/>
        <w:jc w:val="both"/>
      </w:pPr>
      <w:r w:rsidRPr="00382221">
        <w:t xml:space="preserve">Since July the community has seen the resumption of activities such as District Court sittings, Women’s Group meetings held every Wednesday, and the Men’s Group will recommence meetings from 19 October. </w:t>
      </w:r>
      <w:r w:rsidR="00BD713E">
        <w:t xml:space="preserve">The </w:t>
      </w:r>
      <w:r w:rsidRPr="00382221">
        <w:t>Wellbeing Centre staff are establishing a good rapport with Police to deal with DV cases</w:t>
      </w:r>
      <w:r w:rsidR="00440DE6">
        <w:t xml:space="preserve"> and </w:t>
      </w:r>
      <w:r w:rsidR="0068326E" w:rsidRPr="00382221">
        <w:t xml:space="preserve">Apunipima </w:t>
      </w:r>
      <w:r w:rsidR="0068326E">
        <w:t xml:space="preserve">Cape York Health Council </w:t>
      </w:r>
      <w:r w:rsidRPr="00382221">
        <w:t>are in the process of recruiting for the Alcohol and Other Drugs non-residential program with</w:t>
      </w:r>
      <w:r w:rsidR="00410C79">
        <w:t xml:space="preserve"> </w:t>
      </w:r>
      <w:r w:rsidRPr="00382221">
        <w:t>15 clients registered.</w:t>
      </w:r>
    </w:p>
    <w:p w14:paraId="21F28A7A" w14:textId="77777777" w:rsidR="00382221" w:rsidRPr="00382221" w:rsidRDefault="00382221" w:rsidP="00382221">
      <w:pPr>
        <w:ind w:left="-142" w:right="-425"/>
        <w:jc w:val="both"/>
      </w:pPr>
    </w:p>
    <w:p w14:paraId="465ACF3F" w14:textId="77777777" w:rsidR="00C96B34" w:rsidRDefault="009167B5" w:rsidP="001A1C6D">
      <w:pPr>
        <w:ind w:left="-142" w:right="-425"/>
        <w:jc w:val="both"/>
        <w:rPr>
          <w:u w:val="single"/>
        </w:rPr>
      </w:pPr>
      <w:r w:rsidRPr="00632336">
        <w:rPr>
          <w:u w:val="single"/>
        </w:rPr>
        <w:t>Mossman Gorge</w:t>
      </w:r>
    </w:p>
    <w:p w14:paraId="480AC942" w14:textId="3468073F" w:rsidR="00AF7C07" w:rsidRPr="00AF7C07" w:rsidRDefault="00EE17FC" w:rsidP="00AF7C07">
      <w:pPr>
        <w:ind w:left="-142" w:right="-425"/>
        <w:jc w:val="both"/>
      </w:pPr>
      <w:r>
        <w:t>Community p</w:t>
      </w:r>
      <w:r w:rsidR="00AF7C07" w:rsidRPr="00AF7C07">
        <w:t xml:space="preserve">rimary school published attendance for Term 2 </w:t>
      </w:r>
      <w:r>
        <w:t xml:space="preserve">2020 </w:t>
      </w:r>
      <w:r w:rsidR="00AF7C07" w:rsidRPr="00AF7C07">
        <w:t xml:space="preserve">was 83.2 percent, up from Term 1 which was 69.4 percent, and also up from Term 2 2019 </w:t>
      </w:r>
      <w:r w:rsidR="00607820">
        <w:t>(</w:t>
      </w:r>
      <w:r w:rsidR="00AF7C07" w:rsidRPr="00AF7C07">
        <w:t>70.6 percent</w:t>
      </w:r>
      <w:r w:rsidR="00607820">
        <w:t>)</w:t>
      </w:r>
      <w:r>
        <w:t>, however</w:t>
      </w:r>
      <w:r w:rsidR="00AF7C07" w:rsidRPr="00AF7C07">
        <w:t xml:space="preserve"> </w:t>
      </w:r>
      <w:r w:rsidR="00251144">
        <w:t xml:space="preserve">Term 3 attendance has fallen to 61.4 percent. </w:t>
      </w:r>
      <w:r w:rsidR="00AF7C07" w:rsidRPr="00AF7C07">
        <w:t xml:space="preserve">Due to the small cohort of students in Mossman Gorge a reported absence or illness in one family significantly affects the overall attendance percentages. Local Commissioners have found the reasoning behind student absences is closely connected to families who are experiencing complex issues. Sorry business, particularly for out of town funerals, and families transitioning to and from other communities also affect school attendance. Local Commissioners continue to </w:t>
      </w:r>
      <w:r w:rsidR="00AF7C07" w:rsidRPr="00EE17FC">
        <w:t>work with the community and stakeholders to improve student attendance and although attendance has seen some improvement, they remain concerned at attendance levels</w:t>
      </w:r>
      <w:r w:rsidR="00F87CC5" w:rsidRPr="00EE17FC">
        <w:t xml:space="preserve"> for</w:t>
      </w:r>
      <w:r w:rsidR="00AF7C07" w:rsidRPr="00EE17FC">
        <w:t xml:space="preserve"> </w:t>
      </w:r>
      <w:r w:rsidRPr="00EE17FC">
        <w:t xml:space="preserve">FRC identified </w:t>
      </w:r>
      <w:r w:rsidR="00AF7C07" w:rsidRPr="00EE17FC">
        <w:t xml:space="preserve">high school </w:t>
      </w:r>
      <w:r w:rsidR="00F87CC5" w:rsidRPr="00EE17FC">
        <w:t>students</w:t>
      </w:r>
      <w:r w:rsidR="00AF7C07" w:rsidRPr="00EE17FC">
        <w:t>.</w:t>
      </w:r>
      <w:r w:rsidR="00AF7C07" w:rsidRPr="00AF7C07">
        <w:t xml:space="preserve"> </w:t>
      </w:r>
      <w:bookmarkStart w:id="21" w:name="_Hlk58231108"/>
      <w:r w:rsidR="00AF7C07" w:rsidRPr="00AF7C07">
        <w:t xml:space="preserve">A strategy the Mossman Gorge Commissioners </w:t>
      </w:r>
      <w:r w:rsidR="005E445C">
        <w:t xml:space="preserve">have actively considered this quarter </w:t>
      </w:r>
      <w:r w:rsidR="00AF7C07" w:rsidRPr="00AF7C07">
        <w:t>is to encourage parents to bring their non-attending school child to conference, and there provide the child with a voice to identify their needs, and in collaboration with the parents and school, to identify additional support pathways towards improved attendance. This approach is consistent with section 5(2)(b) of the FRC Act which sets out the principles for administering the Act and makes provision for the Commission to take into account the views and wishes of children where appropriate</w:t>
      </w:r>
      <w:bookmarkEnd w:id="21"/>
      <w:r w:rsidR="00AF7C07" w:rsidRPr="00AF7C07">
        <w:t>.</w:t>
      </w:r>
      <w:r w:rsidR="005E445C">
        <w:t xml:space="preserve"> The school has advised that they will be happy to participate in this strategy commencing from the new school year 2021.</w:t>
      </w:r>
    </w:p>
    <w:p w14:paraId="60D7D565" w14:textId="77777777" w:rsidR="00AF7C07" w:rsidRPr="00AF7C07" w:rsidRDefault="00AF7C07" w:rsidP="00AF7C07">
      <w:pPr>
        <w:ind w:left="-142" w:right="-425"/>
        <w:jc w:val="both"/>
      </w:pPr>
    </w:p>
    <w:p w14:paraId="53227D86" w14:textId="3D4612AF" w:rsidR="00AF7C07" w:rsidRPr="00AF7C07" w:rsidRDefault="00AF7C07" w:rsidP="00AF7C07">
      <w:pPr>
        <w:ind w:left="-142" w:right="-425"/>
        <w:jc w:val="both"/>
      </w:pPr>
      <w:r w:rsidRPr="00AF7C07">
        <w:t xml:space="preserve">The overuse of alcohol remains a problem in Mossman Gorge with visitors from the Mossman area using the Mossman Gorge community as the party place. Mossman Police report there have been many breaches in relation to alcohol. The FRC </w:t>
      </w:r>
      <w:r w:rsidR="009155E4">
        <w:t xml:space="preserve">Local </w:t>
      </w:r>
      <w:r w:rsidRPr="00AF7C07">
        <w:t>Registry Coordinator has been meeting with a coordinated group of services in Mossman and Mossman Gorge (including the Mossman Police) to ensure vulnerable clients have opportunities to engage with wrap around services as an early intervention approach to avoid prison.</w:t>
      </w:r>
    </w:p>
    <w:p w14:paraId="6D3664DA" w14:textId="77777777" w:rsidR="00AF7C07" w:rsidRPr="00AF7C07" w:rsidRDefault="00AF7C07" w:rsidP="00AF7C07">
      <w:pPr>
        <w:ind w:left="-142" w:right="-425"/>
        <w:jc w:val="both"/>
      </w:pPr>
    </w:p>
    <w:p w14:paraId="164B9D4B" w14:textId="5DD54A73" w:rsidR="00AF7C07" w:rsidRPr="00AF7C07" w:rsidRDefault="00AF7C07" w:rsidP="00AF7C07">
      <w:pPr>
        <w:ind w:left="-142" w:right="-425"/>
        <w:jc w:val="both"/>
      </w:pPr>
      <w:r w:rsidRPr="00AF7C07">
        <w:t xml:space="preserve">The Mossman Gorge Commissioners have continued with business as usual during the past quarter utilising COVID-19 safe practices. Operating in a COVID-19 environment has necessitated the Local Commissioners to seek new and innovative strategies to encourage clients to attend conference. One of these strategies has been a change in conference location to better engage clients who are too shamed or have been reluctant to attend the Mossman Gorge registry office in the past. </w:t>
      </w:r>
      <w:r w:rsidR="00F87CC5">
        <w:t xml:space="preserve">This </w:t>
      </w:r>
      <w:r w:rsidRPr="00AF7C07">
        <w:t xml:space="preserve">quarter </w:t>
      </w:r>
      <w:r w:rsidR="00F87CC5">
        <w:t xml:space="preserve">has seen conference attendance of </w:t>
      </w:r>
      <w:r w:rsidRPr="00AF7C07">
        <w:t xml:space="preserve">61 percent, an increase </w:t>
      </w:r>
      <w:r w:rsidR="00E40DDB">
        <w:t>of 18.7 percent from</w:t>
      </w:r>
      <w:r w:rsidRPr="00AF7C07">
        <w:t xml:space="preserve"> the same period last year. As a result of the increase in conference attendance, referrals to support services have also increased.</w:t>
      </w:r>
    </w:p>
    <w:p w14:paraId="53E6D808" w14:textId="1A36E0CD" w:rsidR="00B1509F" w:rsidRPr="00632336" w:rsidRDefault="00B1509F" w:rsidP="001A1C6D">
      <w:pPr>
        <w:ind w:left="-142" w:right="-425"/>
        <w:jc w:val="both"/>
        <w:rPr>
          <w:u w:val="single"/>
        </w:rPr>
      </w:pPr>
      <w:r w:rsidRPr="00632336">
        <w:rPr>
          <w:u w:val="single"/>
        </w:rPr>
        <w:br w:type="page"/>
      </w:r>
    </w:p>
    <w:p w14:paraId="59FA8724" w14:textId="55F36592" w:rsidR="005A5B78" w:rsidRPr="00E34093" w:rsidRDefault="005A5B78" w:rsidP="005A5B78">
      <w:pPr>
        <w:pStyle w:val="Heading1"/>
        <w:ind w:left="-142" w:right="-426"/>
      </w:pPr>
      <w:bookmarkStart w:id="22" w:name="_Toc39657993"/>
      <w:r w:rsidRPr="00E34093">
        <w:lastRenderedPageBreak/>
        <w:t xml:space="preserve">3.  </w:t>
      </w:r>
      <w:r w:rsidR="000541CA">
        <w:t>Governance</w:t>
      </w:r>
      <w:bookmarkEnd w:id="22"/>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98609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Dr Chris Sarra</w:t>
      </w:r>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320827">
      <w:pPr>
        <w:pStyle w:val="Heading2"/>
      </w:pPr>
    </w:p>
    <w:p w14:paraId="660BA16D" w14:textId="4D44E116" w:rsidR="00320827" w:rsidRPr="00E34093" w:rsidRDefault="00320827" w:rsidP="00320827">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3" w:name="_Toc39657994"/>
      <w:r>
        <w:lastRenderedPageBreak/>
        <w:t>4</w:t>
      </w:r>
      <w:r w:rsidRPr="00E34093">
        <w:t>.  Financial Operations</w:t>
      </w:r>
      <w:bookmarkEnd w:id="23"/>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986092">
      <w:pPr>
        <w:pStyle w:val="Heading3"/>
        <w:rPr>
          <w:b/>
        </w:rPr>
      </w:pPr>
      <w:r w:rsidRPr="00BF1639">
        <w:rPr>
          <w:b/>
        </w:rPr>
        <w:t>Income:</w:t>
      </w:r>
    </w:p>
    <w:p w14:paraId="6D17618C" w14:textId="55662B1F"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0C2D12">
        <w:t xml:space="preserve">July </w:t>
      </w:r>
      <w:r w:rsidR="00111F45">
        <w:t>2020</w:t>
      </w:r>
      <w:r w:rsidRPr="008E6DBA">
        <w:t xml:space="preserve"> to </w:t>
      </w:r>
      <w:r w:rsidR="004F7197" w:rsidRPr="008E6DBA">
        <w:t>3</w:t>
      </w:r>
      <w:r w:rsidR="005352C2">
        <w:t xml:space="preserve">0 </w:t>
      </w:r>
      <w:r w:rsidR="000C2D12">
        <w:t xml:space="preserve">September </w:t>
      </w:r>
      <w:r w:rsidR="00111F45">
        <w:t>2020</w:t>
      </w:r>
      <w:r w:rsidRPr="008E6DBA">
        <w:t xml:space="preserve"> totalled $</w:t>
      </w:r>
      <w:r w:rsidR="005352C2" w:rsidRPr="009D3335">
        <w:t>1,</w:t>
      </w:r>
      <w:r w:rsidR="009D3335" w:rsidRPr="009D3335">
        <w:t>046,647</w:t>
      </w:r>
      <w:r w:rsidR="00A504A2" w:rsidRPr="009D3335">
        <w:t>.</w:t>
      </w:r>
      <w:r w:rsidR="00CE6E33" w:rsidRPr="008E6DBA">
        <w:t xml:space="preserve"> </w:t>
      </w:r>
      <w:r w:rsidRPr="008E6DBA">
        <w:t>This income consisted of:</w:t>
      </w:r>
    </w:p>
    <w:p w14:paraId="350616B8" w14:textId="015E868B" w:rsidR="009F0A67" w:rsidRPr="00A504A2" w:rsidRDefault="009F0A67" w:rsidP="009F0A67">
      <w:pPr>
        <w:pStyle w:val="ListBullet2"/>
      </w:pPr>
      <w:r w:rsidRPr="00A253AB">
        <w:t>$</w:t>
      </w:r>
      <w:r w:rsidR="009D3335">
        <w:t>426,500</w:t>
      </w:r>
      <w:r w:rsidRPr="00A253AB">
        <w:t xml:space="preserve"> Queensland</w:t>
      </w:r>
      <w:r w:rsidRPr="00A504A2">
        <w:t xml:space="preserve"> Government funding</w:t>
      </w:r>
    </w:p>
    <w:p w14:paraId="45A2692F" w14:textId="225C2CFC" w:rsidR="009F0A67" w:rsidRPr="00A504A2" w:rsidRDefault="009F0A67" w:rsidP="009F0A67">
      <w:pPr>
        <w:pStyle w:val="ListBullet2"/>
      </w:pPr>
      <w:r w:rsidRPr="00A253AB">
        <w:t>$</w:t>
      </w:r>
      <w:r w:rsidR="009D3335">
        <w:t>163,250</w:t>
      </w:r>
      <w:r w:rsidR="00EB73D5" w:rsidRPr="00A253AB">
        <w:t xml:space="preserve"> </w:t>
      </w:r>
      <w:r w:rsidRPr="00A253AB">
        <w:t>Queensland</w:t>
      </w:r>
      <w:r w:rsidRPr="00A504A2">
        <w:t xml:space="preserve"> Government</w:t>
      </w:r>
      <w:r w:rsidR="003300AB" w:rsidRPr="00A504A2">
        <w:t xml:space="preserve"> funding – Doomadgee</w:t>
      </w:r>
    </w:p>
    <w:p w14:paraId="02AA0FD6" w14:textId="7EAEF0C4" w:rsidR="009F0A67" w:rsidRPr="008E6DBA" w:rsidRDefault="009F0A67" w:rsidP="009F0A67">
      <w:pPr>
        <w:pStyle w:val="ListBullet2"/>
      </w:pPr>
      <w:r w:rsidRPr="008E6DBA">
        <w:t>$</w:t>
      </w:r>
      <w:r w:rsidR="00A253AB" w:rsidRPr="009D3335">
        <w:t>450,000</w:t>
      </w:r>
      <w:r w:rsidR="00932339">
        <w:t xml:space="preserve"> </w:t>
      </w:r>
      <w:r w:rsidRPr="008E6DBA">
        <w:t>Australian Government funding</w:t>
      </w:r>
    </w:p>
    <w:p w14:paraId="512E3D76" w14:textId="54D92B00" w:rsidR="009F0A67" w:rsidRPr="009D3335" w:rsidRDefault="009F0A67" w:rsidP="009F0A67">
      <w:pPr>
        <w:pStyle w:val="ListBullet2"/>
      </w:pPr>
      <w:r w:rsidRPr="008E6DBA">
        <w:t>$</w:t>
      </w:r>
      <w:r w:rsidR="005352C2" w:rsidRPr="009D3335">
        <w:t>6,</w:t>
      </w:r>
      <w:r w:rsidR="009D3335" w:rsidRPr="009D3335">
        <w:t xml:space="preserve">443 </w:t>
      </w:r>
      <w:r w:rsidRPr="009D3335">
        <w:t>interest received</w:t>
      </w:r>
    </w:p>
    <w:p w14:paraId="75F8C4F6" w14:textId="2A537552" w:rsidR="009F0A67" w:rsidRPr="0073709D" w:rsidRDefault="009F0A67" w:rsidP="009F0A67">
      <w:pPr>
        <w:pStyle w:val="ListBullet2"/>
      </w:pPr>
      <w:r w:rsidRPr="009D3335">
        <w:t>$</w:t>
      </w:r>
      <w:r w:rsidR="009D3335" w:rsidRPr="009D3335">
        <w:t>454</w:t>
      </w:r>
      <w:r w:rsidR="005352C2">
        <w:t xml:space="preserve"> </w:t>
      </w:r>
      <w:r w:rsidRPr="008E6DBA">
        <w:t>received</w:t>
      </w:r>
      <w:r w:rsidRPr="0073709D">
        <w:t xml:space="preserve"> in sundry income.</w:t>
      </w:r>
    </w:p>
    <w:p w14:paraId="63A91431" w14:textId="25D2077D" w:rsidR="009F0A67" w:rsidRDefault="009F0A67" w:rsidP="009F0A67">
      <w:pPr>
        <w:ind w:left="-142" w:right="-425"/>
        <w:jc w:val="both"/>
        <w:rPr>
          <w:rFonts w:cs="Arial"/>
        </w:rPr>
      </w:pPr>
      <w:r w:rsidRPr="0073709D">
        <w:rPr>
          <w:rFonts w:cs="Arial"/>
        </w:rPr>
        <w:t xml:space="preserve">The balance of available funds in the bank as at </w:t>
      </w:r>
      <w:r w:rsidR="004F7197" w:rsidRPr="0073709D">
        <w:rPr>
          <w:rFonts w:cs="Arial"/>
        </w:rPr>
        <w:t>3</w:t>
      </w:r>
      <w:r w:rsidR="005352C2">
        <w:rPr>
          <w:rFonts w:cs="Arial"/>
        </w:rPr>
        <w:t xml:space="preserve">0 </w:t>
      </w:r>
      <w:r w:rsidR="000C2D12">
        <w:rPr>
          <w:rFonts w:cs="Arial"/>
        </w:rPr>
        <w:t xml:space="preserve">September </w:t>
      </w:r>
      <w:r w:rsidR="00111F45">
        <w:rPr>
          <w:rFonts w:cs="Arial"/>
        </w:rPr>
        <w:t>2020</w:t>
      </w:r>
      <w:r w:rsidRPr="0073709D">
        <w:rPr>
          <w:rFonts w:cs="Arial"/>
        </w:rPr>
        <w:t xml:space="preserve"> </w:t>
      </w:r>
      <w:r w:rsidRPr="008E6DBA">
        <w:rPr>
          <w:rFonts w:cs="Arial"/>
        </w:rPr>
        <w:t>is $</w:t>
      </w:r>
      <w:r w:rsidR="003D060D">
        <w:rPr>
          <w:rFonts w:cs="Arial"/>
        </w:rPr>
        <w:t>4,305,375</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74BF5">
      <w:pPr>
        <w:pStyle w:val="Heading3"/>
        <w:rPr>
          <w:b/>
        </w:rPr>
      </w:pPr>
      <w:r w:rsidRPr="00BF1639">
        <w:rPr>
          <w:b/>
        </w:rPr>
        <w:t>Expenditure:</w:t>
      </w:r>
    </w:p>
    <w:p w14:paraId="1DC8DF62" w14:textId="715841CD" w:rsidR="00C74BF5" w:rsidRPr="001720D5" w:rsidRDefault="00C74BF5" w:rsidP="00C74BF5">
      <w:pPr>
        <w:pStyle w:val="ListBullet"/>
        <w:ind w:left="2863" w:hanging="3005"/>
      </w:pPr>
      <w:r w:rsidRPr="00BD380A">
        <w:t xml:space="preserve">Expenditure for the period 1 </w:t>
      </w:r>
      <w:r w:rsidR="000C2D12">
        <w:t xml:space="preserve">July </w:t>
      </w:r>
      <w:r w:rsidR="00111F45">
        <w:t>2020</w:t>
      </w:r>
      <w:r w:rsidRPr="00BD380A">
        <w:t xml:space="preserve"> to 3</w:t>
      </w:r>
      <w:r w:rsidR="005352C2">
        <w:t xml:space="preserve">0 </w:t>
      </w:r>
      <w:r w:rsidR="000C2D12">
        <w:t xml:space="preserve">September </w:t>
      </w:r>
      <w:r w:rsidR="00111F45">
        <w:t>2020</w:t>
      </w:r>
      <w:r w:rsidRPr="00BD380A">
        <w:t xml:space="preserve"> was $</w:t>
      </w:r>
      <w:r w:rsidR="003D060D">
        <w:t>907,443</w:t>
      </w:r>
      <w:r>
        <w:t>.</w:t>
      </w:r>
    </w:p>
    <w:p w14:paraId="4555CA86" w14:textId="07475910" w:rsidR="00D840DE" w:rsidRDefault="00D840DE" w:rsidP="009F0A67">
      <w:pPr>
        <w:ind w:left="-142" w:right="-425"/>
        <w:jc w:val="both"/>
        <w:rPr>
          <w:rFonts w:cs="Arial"/>
        </w:rPr>
      </w:pPr>
    </w:p>
    <w:p w14:paraId="40442581" w14:textId="64F3CA05" w:rsidR="00EB0526" w:rsidRDefault="00EB0526" w:rsidP="009D766A">
      <w:pPr>
        <w:ind w:left="-142" w:right="-425"/>
        <w:jc w:val="both"/>
        <w:rPr>
          <w:rFonts w:cs="Arial"/>
          <w:sz w:val="16"/>
          <w:szCs w:val="16"/>
        </w:rPr>
      </w:pPr>
      <w:r w:rsidRPr="009D766A">
        <w:rPr>
          <w:rFonts w:cs="Arial"/>
          <w:b/>
          <w:sz w:val="16"/>
          <w:szCs w:val="16"/>
        </w:rPr>
        <w:t xml:space="preserve">Table </w:t>
      </w:r>
      <w:r w:rsidR="00544691">
        <w:rPr>
          <w:rFonts w:cs="Arial"/>
          <w:b/>
          <w:sz w:val="16"/>
          <w:szCs w:val="16"/>
        </w:rPr>
        <w:t>21</w:t>
      </w:r>
      <w:r w:rsidRPr="009D766A">
        <w:rPr>
          <w:rFonts w:cs="Arial"/>
          <w:sz w:val="16"/>
          <w:szCs w:val="16"/>
        </w:rPr>
        <w:t xml:space="preserve">: Expenditure in </w:t>
      </w:r>
      <w:r w:rsidR="00856C85" w:rsidRPr="009D766A">
        <w:rPr>
          <w:rFonts w:cs="Arial"/>
          <w:sz w:val="16"/>
          <w:szCs w:val="16"/>
        </w:rPr>
        <w:t xml:space="preserve">quarter </w:t>
      </w:r>
      <w:r w:rsidR="00960C5D">
        <w:rPr>
          <w:rFonts w:cs="Arial"/>
          <w:sz w:val="16"/>
          <w:szCs w:val="16"/>
        </w:rPr>
        <w:t>4</w:t>
      </w:r>
      <w:r w:rsidR="000C2D12">
        <w:rPr>
          <w:rFonts w:cs="Arial"/>
          <w:sz w:val="16"/>
          <w:szCs w:val="16"/>
        </w:rPr>
        <w:t>9</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595086E2" w:rsidR="009F0A67" w:rsidRPr="00872CBA" w:rsidRDefault="00297D13" w:rsidP="009F55E0">
            <w:pPr>
              <w:pStyle w:val="StyleTableTextBoldCentered"/>
              <w:rPr>
                <w:lang w:eastAsia="en-AU"/>
              </w:rPr>
            </w:pPr>
            <w:r>
              <w:rPr>
                <w:lang w:eastAsia="en-AU"/>
              </w:rPr>
              <w:t xml:space="preserve">1 </w:t>
            </w:r>
            <w:r w:rsidR="000C2D12">
              <w:rPr>
                <w:lang w:eastAsia="en-AU"/>
              </w:rPr>
              <w:t xml:space="preserve">July </w:t>
            </w:r>
            <w:r w:rsidR="00111F45">
              <w:rPr>
                <w:lang w:eastAsia="en-AU"/>
              </w:rPr>
              <w:t>2020</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3F998B5A" w:rsidR="009F0A67" w:rsidRPr="00872CBA" w:rsidRDefault="00297D13" w:rsidP="009F55E0">
            <w:pPr>
              <w:pStyle w:val="StyleTableTextBoldCentered"/>
              <w:rPr>
                <w:lang w:eastAsia="en-AU"/>
              </w:rPr>
            </w:pPr>
            <w:r>
              <w:rPr>
                <w:lang w:eastAsia="en-AU"/>
              </w:rPr>
              <w:t xml:space="preserve">1 </w:t>
            </w:r>
            <w:r w:rsidR="000C2D12">
              <w:rPr>
                <w:lang w:eastAsia="en-AU"/>
              </w:rPr>
              <w:t xml:space="preserve">July </w:t>
            </w:r>
            <w:r w:rsidR="00111F45">
              <w:rPr>
                <w:lang w:eastAsia="en-AU"/>
              </w:rPr>
              <w:t>2020</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01537BC0" w:rsidR="009F0A67" w:rsidRPr="00872CBA" w:rsidRDefault="004F7197" w:rsidP="009F55E0">
            <w:pPr>
              <w:pStyle w:val="StyleTableTextBoldCentered"/>
              <w:rPr>
                <w:lang w:eastAsia="en-AU"/>
              </w:rPr>
            </w:pPr>
            <w:r>
              <w:rPr>
                <w:lang w:eastAsia="en-AU"/>
              </w:rPr>
              <w:t>3</w:t>
            </w:r>
            <w:r w:rsidR="005352C2">
              <w:rPr>
                <w:lang w:eastAsia="en-AU"/>
              </w:rPr>
              <w:t xml:space="preserve">0 </w:t>
            </w:r>
            <w:r w:rsidR="000C2D12">
              <w:rPr>
                <w:lang w:eastAsia="en-AU"/>
              </w:rPr>
              <w:t xml:space="preserve">September </w:t>
            </w:r>
            <w:r w:rsidR="00EF3D5B">
              <w:rPr>
                <w:lang w:eastAsia="en-AU"/>
              </w:rPr>
              <w:t>2020</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306D814A" w:rsidR="009F0A67" w:rsidRPr="00872CBA" w:rsidRDefault="009F0A67" w:rsidP="004F7197">
            <w:pPr>
              <w:pStyle w:val="StyleTableTextBoldCentered"/>
              <w:rPr>
                <w:lang w:eastAsia="en-AU"/>
              </w:rPr>
            </w:pPr>
            <w:r w:rsidRPr="00872CBA">
              <w:rPr>
                <w:lang w:eastAsia="en-AU"/>
              </w:rPr>
              <w:t xml:space="preserve">Qtr </w:t>
            </w:r>
            <w:r w:rsidR="00960C5D">
              <w:rPr>
                <w:lang w:eastAsia="en-AU"/>
              </w:rPr>
              <w:t>4</w:t>
            </w:r>
            <w:r w:rsidR="000C2D12">
              <w:rPr>
                <w:lang w:eastAsia="en-AU"/>
              </w:rPr>
              <w:t>9</w:t>
            </w:r>
          </w:p>
        </w:tc>
        <w:tc>
          <w:tcPr>
            <w:tcW w:w="2552" w:type="dxa"/>
            <w:tcBorders>
              <w:top w:val="nil"/>
              <w:left w:val="nil"/>
              <w:bottom w:val="nil"/>
              <w:right w:val="single" w:sz="4" w:space="0" w:color="FFFFFF"/>
            </w:tcBorders>
            <w:shd w:val="clear" w:color="auto" w:fill="000000"/>
            <w:noWrap/>
            <w:vAlign w:val="bottom"/>
          </w:tcPr>
          <w:p w14:paraId="7FB7D45D" w14:textId="5BE602FA" w:rsidR="009F0A67" w:rsidRPr="00872CBA" w:rsidRDefault="004F7197" w:rsidP="009F55E0">
            <w:pPr>
              <w:pStyle w:val="StyleTableTextBoldCentered"/>
              <w:rPr>
                <w:lang w:eastAsia="en-AU"/>
              </w:rPr>
            </w:pPr>
            <w:r>
              <w:rPr>
                <w:lang w:eastAsia="en-AU"/>
              </w:rPr>
              <w:t>3</w:t>
            </w:r>
            <w:r w:rsidR="005352C2">
              <w:rPr>
                <w:lang w:eastAsia="en-AU"/>
              </w:rPr>
              <w:t xml:space="preserve">0 </w:t>
            </w:r>
            <w:r w:rsidR="000C2D12">
              <w:rPr>
                <w:lang w:eastAsia="en-AU"/>
              </w:rPr>
              <w:t xml:space="preserve">September </w:t>
            </w:r>
            <w:r w:rsidR="00EF3D5B">
              <w:rPr>
                <w:lang w:eastAsia="en-AU"/>
              </w:rPr>
              <w:t>2020</w:t>
            </w:r>
          </w:p>
        </w:tc>
        <w:tc>
          <w:tcPr>
            <w:tcW w:w="1701" w:type="dxa"/>
            <w:tcBorders>
              <w:top w:val="nil"/>
              <w:left w:val="nil"/>
              <w:bottom w:val="nil"/>
              <w:right w:val="nil"/>
            </w:tcBorders>
            <w:shd w:val="clear" w:color="auto" w:fill="000000"/>
            <w:noWrap/>
            <w:vAlign w:val="bottom"/>
          </w:tcPr>
          <w:p w14:paraId="4A5AEAEC" w14:textId="40484AE1" w:rsidR="009F0A67" w:rsidRPr="00872CBA" w:rsidRDefault="009F0A67" w:rsidP="004F7197">
            <w:pPr>
              <w:pStyle w:val="StyleTableTextBoldCentered"/>
              <w:rPr>
                <w:lang w:eastAsia="en-AU"/>
              </w:rPr>
            </w:pPr>
            <w:r w:rsidRPr="00872CBA">
              <w:rPr>
                <w:lang w:eastAsia="en-AU"/>
              </w:rPr>
              <w:t xml:space="preserve">Qtr </w:t>
            </w:r>
            <w:r w:rsidR="00960C5D">
              <w:rPr>
                <w:lang w:eastAsia="en-AU"/>
              </w:rPr>
              <w:t>4</w:t>
            </w:r>
            <w:r w:rsidR="000C2D12">
              <w:rPr>
                <w:lang w:eastAsia="en-AU"/>
              </w:rPr>
              <w:t>9</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7182583B" w:rsidR="009F0A67" w:rsidRPr="00AE6592" w:rsidRDefault="001458A2" w:rsidP="002E59A0">
            <w:pPr>
              <w:jc w:val="right"/>
            </w:pPr>
            <w:r>
              <w:t>$486,503</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BD380A" w:rsidRDefault="00161960"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62462782" w:rsidR="009F0A67" w:rsidRPr="00AE6592" w:rsidRDefault="001458A2" w:rsidP="002E59A0">
            <w:pPr>
              <w:jc w:val="right"/>
            </w:pPr>
            <w:r>
              <w:t>$53,669</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7EEA5F30" w:rsidR="009F0A67" w:rsidRPr="00AE6592" w:rsidRDefault="001458A2" w:rsidP="002E59A0">
            <w:pPr>
              <w:jc w:val="right"/>
            </w:pPr>
            <w:r>
              <w:t>$61,950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BD380A" w:rsidRDefault="00161960"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43F490BE" w:rsidR="009F0A67" w:rsidRPr="00AE6592" w:rsidRDefault="001458A2" w:rsidP="002E59A0">
            <w:pPr>
              <w:jc w:val="right"/>
            </w:pPr>
            <w:r>
              <w:t>$17,858</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7628CBE7" w:rsidR="009F0A67" w:rsidRPr="00AE6592" w:rsidRDefault="001458A2" w:rsidP="002E59A0">
            <w:pPr>
              <w:jc w:val="right"/>
            </w:pPr>
            <w:r>
              <w:t>$88,976</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BD380A" w:rsidRDefault="00161960"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1F34C342" w:rsidR="009F0A67" w:rsidRPr="00AE6592" w:rsidRDefault="001458A2" w:rsidP="002E59A0">
            <w:pPr>
              <w:jc w:val="right"/>
            </w:pPr>
            <w:r>
              <w:t>$57,103</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6EE65247" w:rsidR="009F0A67" w:rsidRPr="00AE6592" w:rsidRDefault="001458A2" w:rsidP="002E59A0">
            <w:pPr>
              <w:jc w:val="right"/>
            </w:pPr>
            <w:r>
              <w:t>$8,963</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BD380A" w:rsidRDefault="00161960"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411F2CC2" w:rsidR="009F0A67" w:rsidRPr="00AE6592" w:rsidRDefault="001458A2" w:rsidP="002E59A0">
            <w:pPr>
              <w:jc w:val="right"/>
            </w:pPr>
            <w:r>
              <w:t>$39,608</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51875C74" w:rsidR="009F0A67" w:rsidRPr="00AE6592" w:rsidRDefault="001458A2" w:rsidP="002E59A0">
            <w:pPr>
              <w:jc w:val="right"/>
            </w:pPr>
            <w:r>
              <w:t>$7,000</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BD380A" w:rsidRDefault="00161960"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391BC24C" w:rsidR="009F0A67" w:rsidRPr="00AE6592" w:rsidRDefault="001458A2" w:rsidP="002E59A0">
            <w:pPr>
              <w:jc w:val="right"/>
            </w:pPr>
            <w:r>
              <w:t>$69,674</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38F24C19" w:rsidR="007966F3" w:rsidRPr="00AE6592" w:rsidRDefault="001458A2" w:rsidP="002E59A0">
            <w:pPr>
              <w:jc w:val="right"/>
            </w:pPr>
            <w:r>
              <w:t>$3,457</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BD380A" w:rsidRDefault="00161960"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4918BAA0" w:rsidR="007966F3" w:rsidRPr="00AE6592" w:rsidRDefault="001458A2" w:rsidP="002E59A0">
            <w:pPr>
              <w:jc w:val="right"/>
            </w:pPr>
            <w:r>
              <w:t>$12,682</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1458A2" w:rsidRDefault="001458A2" w:rsidP="009F0A67">
            <w:pPr>
              <w:pStyle w:val="TableText"/>
              <w:rPr>
                <w:b/>
                <w:bCs/>
              </w:rPr>
            </w:pPr>
            <w:r w:rsidRPr="001458A2">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6C69ABDF" w:rsidR="009F0A67" w:rsidRPr="00AE6592" w:rsidRDefault="001458A2" w:rsidP="002E59A0">
            <w:pPr>
              <w:jc w:val="right"/>
              <w:rPr>
                <w:b/>
              </w:rPr>
            </w:pPr>
            <w:r>
              <w:rPr>
                <w:b/>
              </w:rPr>
              <w:t>$907,443</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0C0E67EC"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740596DF"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740EEA77" w:rsidR="00C14FC9" w:rsidRDefault="00C14FC9" w:rsidP="0020608D">
      <w:pPr>
        <w:ind w:left="-142" w:right="-425"/>
        <w:jc w:val="both"/>
        <w:rPr>
          <w:rFonts w:cs="Arial"/>
        </w:rPr>
      </w:pPr>
      <w:r w:rsidRPr="0020608D">
        <w:rPr>
          <w:rFonts w:cs="Arial"/>
        </w:rPr>
        <w:t xml:space="preserve">The allocation of the FRC’s costs </w:t>
      </w:r>
      <w:r w:rsidR="00C74BF5">
        <w:rPr>
          <w:rFonts w:cs="Arial"/>
        </w:rPr>
        <w:t>i</w:t>
      </w:r>
      <w:r w:rsidR="00D770E9">
        <w:rPr>
          <w:rFonts w:cs="Arial"/>
        </w:rPr>
        <w:t xml:space="preserve">n quarter </w:t>
      </w:r>
      <w:r w:rsidR="00960C5D">
        <w:rPr>
          <w:rFonts w:cs="Arial"/>
        </w:rPr>
        <w:t>4</w:t>
      </w:r>
      <w:r w:rsidR="006C495B">
        <w:rPr>
          <w:rFonts w:cs="Arial"/>
        </w:rPr>
        <w:t>9</w:t>
      </w:r>
      <w:r w:rsidR="00D770E9">
        <w:rPr>
          <w:rFonts w:cs="Arial"/>
        </w:rPr>
        <w:t xml:space="preserve"> </w:t>
      </w:r>
      <w:r w:rsidRPr="0020608D">
        <w:rPr>
          <w:rFonts w:cs="Arial"/>
        </w:rPr>
        <w:t>based on the above core functions is:</w:t>
      </w:r>
    </w:p>
    <w:p w14:paraId="434EF7B4" w14:textId="77777777" w:rsidR="000541CA" w:rsidRPr="0020608D" w:rsidRDefault="000541CA" w:rsidP="0020608D">
      <w:pPr>
        <w:ind w:left="-142" w:right="-425"/>
        <w:jc w:val="both"/>
        <w:rPr>
          <w:rFonts w:cs="Arial"/>
        </w:rPr>
      </w:pPr>
    </w:p>
    <w:p w14:paraId="63622D46" w14:textId="61747A96" w:rsidR="00544691" w:rsidRPr="00E37B61" w:rsidRDefault="00544691" w:rsidP="00544691">
      <w:pPr>
        <w:pStyle w:val="TableCaption"/>
        <w:spacing w:before="0"/>
        <w:ind w:left="0" w:right="-425"/>
        <w:rPr>
          <w:b/>
          <w:i w:val="0"/>
          <w:sz w:val="16"/>
        </w:rPr>
      </w:pPr>
      <w:r w:rsidRPr="00E37B61">
        <w:rPr>
          <w:b/>
          <w:i w:val="0"/>
          <w:sz w:val="16"/>
        </w:rPr>
        <w:t xml:space="preserve">Table </w:t>
      </w:r>
      <w:r>
        <w:rPr>
          <w:b/>
          <w:i w:val="0"/>
          <w:sz w:val="16"/>
        </w:rPr>
        <w:t>22</w:t>
      </w:r>
      <w:r w:rsidRPr="00E37B61">
        <w:rPr>
          <w:b/>
          <w:i w:val="0"/>
          <w:sz w:val="16"/>
        </w:rPr>
        <w:t xml:space="preserve">: </w:t>
      </w:r>
      <w:r>
        <w:rPr>
          <w:i w:val="0"/>
          <w:sz w:val="16"/>
        </w:rPr>
        <w:t>Allocation of expenses</w:t>
      </w:r>
      <w:r w:rsidRPr="00E37B61">
        <w:rPr>
          <w:i w:val="0"/>
          <w:sz w:val="16"/>
        </w:rPr>
        <w:t xml:space="preserve"> 1 </w:t>
      </w:r>
      <w:r w:rsidR="00127AF5">
        <w:rPr>
          <w:i w:val="0"/>
          <w:sz w:val="16"/>
        </w:rPr>
        <w:t>July</w:t>
      </w:r>
      <w:r>
        <w:rPr>
          <w:i w:val="0"/>
          <w:sz w:val="16"/>
        </w:rPr>
        <w:t xml:space="preserve"> 2020 to 30 </w:t>
      </w:r>
      <w:r w:rsidR="00127AF5">
        <w:rPr>
          <w:i w:val="0"/>
          <w:sz w:val="16"/>
        </w:rPr>
        <w:t>September</w:t>
      </w:r>
      <w:r>
        <w:rPr>
          <w:i w:val="0"/>
          <w:sz w:val="16"/>
        </w:rPr>
        <w:t xml:space="preserve"> </w:t>
      </w:r>
      <w:r w:rsidRPr="00E37B61">
        <w:rPr>
          <w:i w:val="0"/>
          <w:sz w:val="16"/>
        </w:rPr>
        <w:t>20</w:t>
      </w:r>
      <w:r>
        <w:rPr>
          <w:i w:val="0"/>
          <w:sz w:val="16"/>
        </w:rPr>
        <w:t>20</w:t>
      </w:r>
      <w:r w:rsidRPr="00E37B61">
        <w:rPr>
          <w:i w:val="0"/>
          <w:sz w:val="16"/>
        </w:rPr>
        <w:t>.</w:t>
      </w:r>
    </w:p>
    <w:tbl>
      <w:tblPr>
        <w:tblW w:w="4155" w:type="dxa"/>
        <w:tblInd w:w="93" w:type="dxa"/>
        <w:tblLook w:val="04A0" w:firstRow="1" w:lastRow="0" w:firstColumn="1" w:lastColumn="0" w:noHBand="0" w:noVBand="1"/>
      </w:tblPr>
      <w:tblGrid>
        <w:gridCol w:w="2596"/>
        <w:gridCol w:w="1559"/>
      </w:tblGrid>
      <w:tr w:rsidR="00544691" w:rsidRPr="00920636" w14:paraId="62F60930" w14:textId="77777777" w:rsidTr="00544691">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86FCDA4" w14:textId="77777777" w:rsidR="00544691" w:rsidRPr="000F130C" w:rsidRDefault="00544691" w:rsidP="00544691">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0430E60C" w14:textId="77777777" w:rsidR="00544691" w:rsidRDefault="00544691" w:rsidP="00544691">
            <w:pPr>
              <w:pStyle w:val="TableText"/>
              <w:jc w:val="right"/>
              <w:rPr>
                <w:b/>
                <w:lang w:eastAsia="en-AU"/>
              </w:rPr>
            </w:pPr>
            <w:r>
              <w:rPr>
                <w:b/>
                <w:lang w:eastAsia="en-AU"/>
              </w:rPr>
              <w:t>Percentage of Allocated Expenses</w:t>
            </w:r>
          </w:p>
        </w:tc>
      </w:tr>
      <w:tr w:rsidR="00544691" w:rsidRPr="00920636" w14:paraId="22B14436" w14:textId="77777777" w:rsidTr="00544691">
        <w:trPr>
          <w:trHeight w:val="255"/>
        </w:trPr>
        <w:tc>
          <w:tcPr>
            <w:tcW w:w="2596" w:type="dxa"/>
            <w:tcBorders>
              <w:top w:val="nil"/>
              <w:left w:val="single" w:sz="4" w:space="0" w:color="auto"/>
              <w:bottom w:val="single" w:sz="4" w:space="0" w:color="auto"/>
              <w:right w:val="single" w:sz="4" w:space="0" w:color="auto"/>
            </w:tcBorders>
            <w:noWrap/>
          </w:tcPr>
          <w:p w14:paraId="13CB646F" w14:textId="77777777" w:rsidR="00544691" w:rsidRPr="00E72DFB" w:rsidRDefault="00544691" w:rsidP="00544691">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7CD8C2AC" w14:textId="58DF8F39" w:rsidR="00544691" w:rsidRDefault="00EC2138" w:rsidP="00544691">
            <w:pPr>
              <w:pStyle w:val="TableText"/>
              <w:jc w:val="right"/>
              <w:rPr>
                <w:lang w:eastAsia="en-AU"/>
              </w:rPr>
            </w:pPr>
            <w:r>
              <w:rPr>
                <w:lang w:eastAsia="en-AU"/>
              </w:rPr>
              <w:t>28.62</w:t>
            </w:r>
            <w:r w:rsidR="00544691">
              <w:rPr>
                <w:lang w:eastAsia="en-AU"/>
              </w:rPr>
              <w:t>%</w:t>
            </w:r>
          </w:p>
        </w:tc>
      </w:tr>
      <w:tr w:rsidR="00544691" w:rsidRPr="00920636" w14:paraId="06CC8C5A" w14:textId="77777777" w:rsidTr="00544691">
        <w:trPr>
          <w:trHeight w:val="255"/>
        </w:trPr>
        <w:tc>
          <w:tcPr>
            <w:tcW w:w="2596" w:type="dxa"/>
            <w:tcBorders>
              <w:top w:val="nil"/>
              <w:left w:val="single" w:sz="4" w:space="0" w:color="auto"/>
              <w:bottom w:val="single" w:sz="4" w:space="0" w:color="auto"/>
              <w:right w:val="single" w:sz="4" w:space="0" w:color="auto"/>
            </w:tcBorders>
            <w:noWrap/>
            <w:hideMark/>
          </w:tcPr>
          <w:p w14:paraId="05928BAF" w14:textId="77777777" w:rsidR="00544691" w:rsidRPr="00E72DFB" w:rsidRDefault="00544691" w:rsidP="00544691">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tcPr>
          <w:p w14:paraId="620577A9" w14:textId="015D9239" w:rsidR="00544691" w:rsidRDefault="00EC2138" w:rsidP="00544691">
            <w:pPr>
              <w:pStyle w:val="TableText"/>
              <w:jc w:val="right"/>
              <w:rPr>
                <w:lang w:eastAsia="en-AU"/>
              </w:rPr>
            </w:pPr>
            <w:r>
              <w:rPr>
                <w:lang w:eastAsia="en-AU"/>
              </w:rPr>
              <w:t>27.57</w:t>
            </w:r>
            <w:r w:rsidR="00544691">
              <w:rPr>
                <w:lang w:eastAsia="en-AU"/>
              </w:rPr>
              <w:t>%</w:t>
            </w:r>
          </w:p>
        </w:tc>
      </w:tr>
      <w:tr w:rsidR="00544691" w:rsidRPr="00920636" w14:paraId="18BD2695" w14:textId="77777777" w:rsidTr="00544691">
        <w:trPr>
          <w:trHeight w:val="255"/>
        </w:trPr>
        <w:tc>
          <w:tcPr>
            <w:tcW w:w="2596" w:type="dxa"/>
            <w:tcBorders>
              <w:top w:val="nil"/>
              <w:left w:val="single" w:sz="4" w:space="0" w:color="auto"/>
              <w:bottom w:val="single" w:sz="4" w:space="0" w:color="auto"/>
              <w:right w:val="single" w:sz="4" w:space="0" w:color="auto"/>
            </w:tcBorders>
            <w:noWrap/>
            <w:hideMark/>
          </w:tcPr>
          <w:p w14:paraId="70311922" w14:textId="77777777" w:rsidR="00544691" w:rsidRPr="00E72DFB" w:rsidRDefault="00544691" w:rsidP="00544691">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269E0F49" w14:textId="3092AD8E" w:rsidR="00544691" w:rsidRDefault="00EC2138" w:rsidP="00544691">
            <w:pPr>
              <w:pStyle w:val="TableText"/>
              <w:jc w:val="right"/>
              <w:rPr>
                <w:lang w:eastAsia="en-AU"/>
              </w:rPr>
            </w:pPr>
            <w:r>
              <w:rPr>
                <w:lang w:eastAsia="en-AU"/>
              </w:rPr>
              <w:t>43.81</w:t>
            </w:r>
            <w:r w:rsidR="00544691">
              <w:rPr>
                <w:lang w:eastAsia="en-AU"/>
              </w:rPr>
              <w:t>%</w:t>
            </w:r>
          </w:p>
        </w:tc>
      </w:tr>
      <w:tr w:rsidR="00544691" w:rsidRPr="00920636" w14:paraId="220410C2" w14:textId="77777777" w:rsidTr="00544691">
        <w:trPr>
          <w:trHeight w:val="255"/>
        </w:trPr>
        <w:tc>
          <w:tcPr>
            <w:tcW w:w="2596" w:type="dxa"/>
            <w:tcBorders>
              <w:top w:val="nil"/>
              <w:left w:val="single" w:sz="4" w:space="0" w:color="auto"/>
              <w:bottom w:val="single" w:sz="4" w:space="0" w:color="auto"/>
              <w:right w:val="single" w:sz="4" w:space="0" w:color="auto"/>
            </w:tcBorders>
            <w:noWrap/>
            <w:hideMark/>
          </w:tcPr>
          <w:p w14:paraId="2B7DEB69" w14:textId="77777777" w:rsidR="00544691" w:rsidRPr="000F130C" w:rsidRDefault="00544691" w:rsidP="00544691">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18BCE759" w14:textId="77777777" w:rsidR="00544691" w:rsidRDefault="00544691" w:rsidP="00544691">
            <w:pPr>
              <w:pStyle w:val="TableText"/>
              <w:jc w:val="right"/>
              <w:rPr>
                <w:b/>
                <w:lang w:eastAsia="en-AU"/>
              </w:rPr>
            </w:pPr>
            <w:r>
              <w:rPr>
                <w:b/>
                <w:lang w:eastAsia="en-AU"/>
              </w:rPr>
              <w:t>100.00%</w:t>
            </w:r>
          </w:p>
        </w:tc>
      </w:tr>
    </w:tbl>
    <w:p w14:paraId="1103AAA3" w14:textId="77777777" w:rsidR="00544691" w:rsidRDefault="00544691" w:rsidP="00544691">
      <w:pPr>
        <w:ind w:left="-142" w:right="-425"/>
        <w:jc w:val="both"/>
        <w:rPr>
          <w:rFonts w:cs="Arial"/>
          <w:b/>
          <w:sz w:val="16"/>
          <w:szCs w:val="16"/>
        </w:rPr>
      </w:pPr>
    </w:p>
    <w:p w14:paraId="54B5DF9E" w14:textId="77777777" w:rsidR="00544691" w:rsidRDefault="00544691" w:rsidP="00544691">
      <w:pPr>
        <w:ind w:left="-142" w:right="-425"/>
        <w:jc w:val="both"/>
        <w:rPr>
          <w:rFonts w:cs="Arial"/>
        </w:rPr>
      </w:pPr>
      <w:r>
        <w:rPr>
          <w:rFonts w:cs="Arial"/>
        </w:rPr>
        <w:t>R</w:t>
      </w:r>
      <w:r w:rsidRPr="00190B3A">
        <w:rPr>
          <w:rFonts w:cs="Arial"/>
        </w:rPr>
        <w:t>egional operational expenditure by location and quarter</w:t>
      </w:r>
      <w:r>
        <w:rPr>
          <w:rFonts w:cs="Arial"/>
        </w:rPr>
        <w:t>.</w:t>
      </w:r>
    </w:p>
    <w:p w14:paraId="60509746" w14:textId="77777777" w:rsidR="00544691" w:rsidRDefault="00544691" w:rsidP="00544691">
      <w:pPr>
        <w:ind w:left="-142" w:right="-425"/>
        <w:jc w:val="both"/>
        <w:rPr>
          <w:rFonts w:cs="Arial"/>
        </w:rPr>
      </w:pPr>
    </w:p>
    <w:p w14:paraId="0EC84155" w14:textId="6BF20834" w:rsidR="00544691" w:rsidRPr="00E37B61" w:rsidRDefault="00544691" w:rsidP="00544691">
      <w:pPr>
        <w:pStyle w:val="TableCaption"/>
        <w:spacing w:before="0"/>
        <w:ind w:left="0" w:right="-425"/>
        <w:rPr>
          <w:b/>
          <w:i w:val="0"/>
          <w:sz w:val="16"/>
        </w:rPr>
      </w:pPr>
      <w:r w:rsidRPr="00E37B61">
        <w:rPr>
          <w:b/>
          <w:i w:val="0"/>
          <w:sz w:val="16"/>
        </w:rPr>
        <w:t xml:space="preserve">Table </w:t>
      </w:r>
      <w:r>
        <w:rPr>
          <w:b/>
          <w:i w:val="0"/>
          <w:sz w:val="16"/>
        </w:rPr>
        <w:t>19</w:t>
      </w:r>
      <w:r w:rsidRPr="00E37B61">
        <w:rPr>
          <w:b/>
          <w:i w:val="0"/>
          <w:sz w:val="16"/>
        </w:rPr>
        <w:t xml:space="preserve">: </w:t>
      </w:r>
      <w:r w:rsidRPr="00E37B61">
        <w:rPr>
          <w:i w:val="0"/>
          <w:sz w:val="16"/>
        </w:rPr>
        <w:t xml:space="preserve">Operating costs by remote location 1 </w:t>
      </w:r>
      <w:r w:rsidR="00127AF5">
        <w:rPr>
          <w:i w:val="0"/>
          <w:sz w:val="16"/>
        </w:rPr>
        <w:t>July</w:t>
      </w:r>
      <w:r>
        <w:rPr>
          <w:i w:val="0"/>
          <w:sz w:val="16"/>
        </w:rPr>
        <w:t xml:space="preserve"> 2019 to 30 </w:t>
      </w:r>
      <w:r w:rsidR="00127AF5">
        <w:rPr>
          <w:i w:val="0"/>
          <w:sz w:val="16"/>
        </w:rPr>
        <w:t>September</w:t>
      </w:r>
      <w:r>
        <w:rPr>
          <w:i w:val="0"/>
          <w:sz w:val="16"/>
        </w:rPr>
        <w:t xml:space="preserve"> </w:t>
      </w:r>
      <w:r w:rsidRPr="00E37B61">
        <w:rPr>
          <w:i w:val="0"/>
          <w:sz w:val="16"/>
        </w:rPr>
        <w:t>20</w:t>
      </w:r>
      <w:r>
        <w:rPr>
          <w:i w:val="0"/>
          <w:sz w:val="16"/>
        </w:rPr>
        <w:t>20</w:t>
      </w:r>
      <w:r w:rsidRPr="00E37B61">
        <w:rPr>
          <w:i w:val="0"/>
          <w:sz w:val="16"/>
        </w:rPr>
        <w:t>.</w:t>
      </w:r>
    </w:p>
    <w:tbl>
      <w:tblPr>
        <w:tblW w:w="8805" w:type="dxa"/>
        <w:tblInd w:w="93" w:type="dxa"/>
        <w:tblLook w:val="04A0" w:firstRow="1" w:lastRow="0" w:firstColumn="1" w:lastColumn="0" w:noHBand="0" w:noVBand="1"/>
      </w:tblPr>
      <w:tblGrid>
        <w:gridCol w:w="2596"/>
        <w:gridCol w:w="1241"/>
        <w:gridCol w:w="1242"/>
        <w:gridCol w:w="1242"/>
        <w:gridCol w:w="1242"/>
        <w:gridCol w:w="1242"/>
      </w:tblGrid>
      <w:tr w:rsidR="00127AF5" w:rsidRPr="000F130C" w14:paraId="76AE5D9B" w14:textId="2EDB7E1C" w:rsidTr="00127AF5">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37F18BF" w14:textId="77777777" w:rsidR="00127AF5" w:rsidRPr="000F130C" w:rsidRDefault="00127AF5" w:rsidP="00544691">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tcPr>
          <w:p w14:paraId="492617B4" w14:textId="77777777" w:rsidR="00127AF5" w:rsidRDefault="00127AF5" w:rsidP="00544691">
            <w:pPr>
              <w:pStyle w:val="TableText"/>
              <w:jc w:val="right"/>
              <w:rPr>
                <w:b/>
                <w:lang w:eastAsia="en-AU"/>
              </w:rPr>
            </w:pPr>
            <w:r>
              <w:rPr>
                <w:b/>
                <w:lang w:eastAsia="en-AU"/>
              </w:rPr>
              <w:t>Qtr 45</w:t>
            </w:r>
          </w:p>
        </w:tc>
        <w:tc>
          <w:tcPr>
            <w:tcW w:w="1242" w:type="dxa"/>
            <w:tcBorders>
              <w:top w:val="single" w:sz="4" w:space="0" w:color="auto"/>
              <w:left w:val="nil"/>
              <w:bottom w:val="single" w:sz="4" w:space="0" w:color="auto"/>
              <w:right w:val="single" w:sz="4" w:space="0" w:color="auto"/>
            </w:tcBorders>
          </w:tcPr>
          <w:p w14:paraId="55683532" w14:textId="77777777" w:rsidR="00127AF5" w:rsidRDefault="00127AF5" w:rsidP="00544691">
            <w:pPr>
              <w:pStyle w:val="TableText"/>
              <w:jc w:val="right"/>
              <w:rPr>
                <w:b/>
                <w:lang w:eastAsia="en-AU"/>
              </w:rPr>
            </w:pPr>
            <w:r>
              <w:rPr>
                <w:b/>
                <w:lang w:eastAsia="en-AU"/>
              </w:rPr>
              <w:t>Qtr 46</w:t>
            </w:r>
          </w:p>
        </w:tc>
        <w:tc>
          <w:tcPr>
            <w:tcW w:w="1242" w:type="dxa"/>
            <w:tcBorders>
              <w:top w:val="single" w:sz="4" w:space="0" w:color="auto"/>
              <w:left w:val="nil"/>
              <w:bottom w:val="single" w:sz="4" w:space="0" w:color="auto"/>
              <w:right w:val="single" w:sz="4" w:space="0" w:color="auto"/>
            </w:tcBorders>
          </w:tcPr>
          <w:p w14:paraId="19CDB315" w14:textId="77777777" w:rsidR="00127AF5" w:rsidRDefault="00127AF5" w:rsidP="00544691">
            <w:pPr>
              <w:pStyle w:val="TableText"/>
              <w:jc w:val="right"/>
              <w:rPr>
                <w:b/>
                <w:lang w:eastAsia="en-AU"/>
              </w:rPr>
            </w:pPr>
            <w:r>
              <w:rPr>
                <w:b/>
                <w:lang w:eastAsia="en-AU"/>
              </w:rPr>
              <w:t>Qtr 47</w:t>
            </w:r>
          </w:p>
        </w:tc>
        <w:tc>
          <w:tcPr>
            <w:tcW w:w="1242" w:type="dxa"/>
            <w:tcBorders>
              <w:top w:val="single" w:sz="4" w:space="0" w:color="auto"/>
              <w:left w:val="nil"/>
              <w:bottom w:val="single" w:sz="4" w:space="0" w:color="auto"/>
              <w:right w:val="single" w:sz="4" w:space="0" w:color="auto"/>
            </w:tcBorders>
          </w:tcPr>
          <w:p w14:paraId="035BE009" w14:textId="77777777" w:rsidR="00127AF5" w:rsidRDefault="00127AF5" w:rsidP="00544691">
            <w:pPr>
              <w:pStyle w:val="TableText"/>
              <w:jc w:val="right"/>
              <w:rPr>
                <w:b/>
                <w:lang w:eastAsia="en-AU"/>
              </w:rPr>
            </w:pPr>
            <w:r>
              <w:rPr>
                <w:b/>
                <w:lang w:eastAsia="en-AU"/>
              </w:rPr>
              <w:t>Qtr 48</w:t>
            </w:r>
          </w:p>
        </w:tc>
        <w:tc>
          <w:tcPr>
            <w:tcW w:w="1242" w:type="dxa"/>
            <w:tcBorders>
              <w:top w:val="single" w:sz="4" w:space="0" w:color="auto"/>
              <w:left w:val="nil"/>
              <w:bottom w:val="single" w:sz="4" w:space="0" w:color="auto"/>
              <w:right w:val="single" w:sz="4" w:space="0" w:color="auto"/>
            </w:tcBorders>
          </w:tcPr>
          <w:p w14:paraId="3581CD4B" w14:textId="2AF3E2C5" w:rsidR="00127AF5" w:rsidRDefault="00127AF5" w:rsidP="00544691">
            <w:pPr>
              <w:pStyle w:val="TableText"/>
              <w:jc w:val="right"/>
              <w:rPr>
                <w:b/>
                <w:lang w:eastAsia="en-AU"/>
              </w:rPr>
            </w:pPr>
            <w:r>
              <w:rPr>
                <w:b/>
                <w:lang w:eastAsia="en-AU"/>
              </w:rPr>
              <w:t>Qtr 49</w:t>
            </w:r>
          </w:p>
        </w:tc>
      </w:tr>
      <w:tr w:rsidR="00705863" w:rsidRPr="000F130C" w14:paraId="25EF979C" w14:textId="4FAD76E9" w:rsidTr="002948B5">
        <w:trPr>
          <w:trHeight w:val="255"/>
        </w:trPr>
        <w:tc>
          <w:tcPr>
            <w:tcW w:w="2596" w:type="dxa"/>
            <w:tcBorders>
              <w:top w:val="nil"/>
              <w:left w:val="single" w:sz="4" w:space="0" w:color="auto"/>
              <w:bottom w:val="single" w:sz="4" w:space="0" w:color="auto"/>
              <w:right w:val="single" w:sz="4" w:space="0" w:color="auto"/>
            </w:tcBorders>
            <w:noWrap/>
            <w:hideMark/>
          </w:tcPr>
          <w:p w14:paraId="1A4A072F" w14:textId="77777777" w:rsidR="00705863" w:rsidRPr="000F130C" w:rsidRDefault="00705863" w:rsidP="00705863">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vAlign w:val="bottom"/>
          </w:tcPr>
          <w:p w14:paraId="67C04A5F" w14:textId="77777777" w:rsidR="00705863" w:rsidRDefault="00705863" w:rsidP="00705863">
            <w:pPr>
              <w:pStyle w:val="TableText"/>
              <w:jc w:val="right"/>
              <w:rPr>
                <w:lang w:eastAsia="en-AU"/>
              </w:rPr>
            </w:pPr>
            <w:r>
              <w:rPr>
                <w:lang w:eastAsia="en-AU"/>
              </w:rPr>
              <w:t>$</w:t>
            </w:r>
            <w:r w:rsidRPr="00C2602B">
              <w:rPr>
                <w:lang w:eastAsia="en-AU"/>
              </w:rPr>
              <w:t>126K</w:t>
            </w:r>
          </w:p>
        </w:tc>
        <w:tc>
          <w:tcPr>
            <w:tcW w:w="1242" w:type="dxa"/>
            <w:tcBorders>
              <w:top w:val="nil"/>
              <w:left w:val="nil"/>
              <w:bottom w:val="single" w:sz="4" w:space="0" w:color="auto"/>
              <w:right w:val="single" w:sz="4" w:space="0" w:color="auto"/>
            </w:tcBorders>
            <w:vAlign w:val="bottom"/>
          </w:tcPr>
          <w:p w14:paraId="56F1FF18" w14:textId="77777777" w:rsidR="00705863" w:rsidRDefault="00705863" w:rsidP="00705863">
            <w:pPr>
              <w:pStyle w:val="TableText"/>
              <w:jc w:val="right"/>
              <w:rPr>
                <w:lang w:eastAsia="en-AU"/>
              </w:rPr>
            </w:pPr>
            <w:r>
              <w:rPr>
                <w:lang w:eastAsia="en-AU"/>
              </w:rPr>
              <w:t>$110K</w:t>
            </w:r>
          </w:p>
        </w:tc>
        <w:tc>
          <w:tcPr>
            <w:tcW w:w="1242" w:type="dxa"/>
            <w:tcBorders>
              <w:top w:val="nil"/>
              <w:left w:val="nil"/>
              <w:bottom w:val="single" w:sz="4" w:space="0" w:color="auto"/>
              <w:right w:val="single" w:sz="4" w:space="0" w:color="auto"/>
            </w:tcBorders>
          </w:tcPr>
          <w:p w14:paraId="1CD41ABB" w14:textId="77777777" w:rsidR="00705863" w:rsidRDefault="00705863" w:rsidP="00705863">
            <w:pPr>
              <w:pStyle w:val="TableText"/>
              <w:jc w:val="right"/>
              <w:rPr>
                <w:lang w:eastAsia="en-AU"/>
              </w:rPr>
            </w:pPr>
            <w:r>
              <w:rPr>
                <w:lang w:eastAsia="en-AU"/>
              </w:rPr>
              <w:t>$160K</w:t>
            </w:r>
          </w:p>
        </w:tc>
        <w:tc>
          <w:tcPr>
            <w:tcW w:w="1242" w:type="dxa"/>
            <w:tcBorders>
              <w:top w:val="nil"/>
              <w:left w:val="nil"/>
              <w:bottom w:val="single" w:sz="4" w:space="0" w:color="auto"/>
              <w:right w:val="single" w:sz="4" w:space="0" w:color="auto"/>
            </w:tcBorders>
            <w:vAlign w:val="bottom"/>
          </w:tcPr>
          <w:p w14:paraId="101237B3" w14:textId="77777777" w:rsidR="00705863" w:rsidRPr="00346120" w:rsidRDefault="00705863" w:rsidP="00705863">
            <w:pPr>
              <w:pStyle w:val="TableText"/>
              <w:jc w:val="right"/>
              <w:rPr>
                <w:lang w:eastAsia="en-AU"/>
              </w:rPr>
            </w:pPr>
            <w:r w:rsidRPr="00346120">
              <w:rPr>
                <w:color w:val="000000"/>
              </w:rPr>
              <w:t>$117K</w:t>
            </w:r>
          </w:p>
        </w:tc>
        <w:tc>
          <w:tcPr>
            <w:tcW w:w="1242" w:type="dxa"/>
            <w:tcBorders>
              <w:top w:val="nil"/>
              <w:left w:val="nil"/>
              <w:bottom w:val="single" w:sz="4" w:space="0" w:color="auto"/>
              <w:right w:val="single" w:sz="4" w:space="0" w:color="auto"/>
            </w:tcBorders>
            <w:vAlign w:val="bottom"/>
          </w:tcPr>
          <w:p w14:paraId="4CB7991E" w14:textId="00B4F783" w:rsidR="00705863" w:rsidRPr="00705863" w:rsidRDefault="00705863" w:rsidP="00705863">
            <w:pPr>
              <w:pStyle w:val="TableText"/>
              <w:jc w:val="right"/>
              <w:rPr>
                <w:color w:val="000000"/>
              </w:rPr>
            </w:pPr>
            <w:r>
              <w:rPr>
                <w:rFonts w:cs="Calibri"/>
                <w:color w:val="000000"/>
              </w:rPr>
              <w:t>$</w:t>
            </w:r>
            <w:r w:rsidRPr="00705863">
              <w:rPr>
                <w:rFonts w:cs="Calibri"/>
                <w:color w:val="000000"/>
              </w:rPr>
              <w:t>82K</w:t>
            </w:r>
          </w:p>
        </w:tc>
      </w:tr>
      <w:tr w:rsidR="00705863" w:rsidRPr="000F130C" w14:paraId="481CE04E" w14:textId="3A79F0E3" w:rsidTr="002948B5">
        <w:trPr>
          <w:trHeight w:val="255"/>
        </w:trPr>
        <w:tc>
          <w:tcPr>
            <w:tcW w:w="2596" w:type="dxa"/>
            <w:tcBorders>
              <w:top w:val="nil"/>
              <w:left w:val="single" w:sz="4" w:space="0" w:color="auto"/>
              <w:bottom w:val="single" w:sz="4" w:space="0" w:color="auto"/>
              <w:right w:val="single" w:sz="4" w:space="0" w:color="auto"/>
            </w:tcBorders>
            <w:noWrap/>
            <w:hideMark/>
          </w:tcPr>
          <w:p w14:paraId="7397FD62" w14:textId="77777777" w:rsidR="00705863" w:rsidRPr="000F130C" w:rsidRDefault="00705863" w:rsidP="00705863">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vAlign w:val="bottom"/>
          </w:tcPr>
          <w:p w14:paraId="474AF6F0" w14:textId="77777777" w:rsidR="00705863" w:rsidRDefault="00705863" w:rsidP="00705863">
            <w:pPr>
              <w:pStyle w:val="TableText"/>
              <w:jc w:val="right"/>
              <w:rPr>
                <w:lang w:eastAsia="en-AU"/>
              </w:rPr>
            </w:pPr>
            <w:r>
              <w:rPr>
                <w:lang w:eastAsia="en-AU"/>
              </w:rPr>
              <w:t>$</w:t>
            </w:r>
            <w:r w:rsidRPr="00C2602B">
              <w:rPr>
                <w:lang w:eastAsia="en-AU"/>
              </w:rPr>
              <w:t>36K</w:t>
            </w:r>
          </w:p>
        </w:tc>
        <w:tc>
          <w:tcPr>
            <w:tcW w:w="1242" w:type="dxa"/>
            <w:tcBorders>
              <w:top w:val="nil"/>
              <w:left w:val="nil"/>
              <w:bottom w:val="single" w:sz="4" w:space="0" w:color="auto"/>
              <w:right w:val="single" w:sz="4" w:space="0" w:color="auto"/>
            </w:tcBorders>
            <w:vAlign w:val="bottom"/>
          </w:tcPr>
          <w:p w14:paraId="21F01DDF" w14:textId="77777777" w:rsidR="00705863" w:rsidRDefault="00705863" w:rsidP="00705863">
            <w:pPr>
              <w:pStyle w:val="TableText"/>
              <w:jc w:val="right"/>
              <w:rPr>
                <w:lang w:eastAsia="en-AU"/>
              </w:rPr>
            </w:pPr>
            <w:r>
              <w:rPr>
                <w:lang w:eastAsia="en-AU"/>
              </w:rPr>
              <w:t>$17K</w:t>
            </w:r>
          </w:p>
        </w:tc>
        <w:tc>
          <w:tcPr>
            <w:tcW w:w="1242" w:type="dxa"/>
            <w:tcBorders>
              <w:top w:val="nil"/>
              <w:left w:val="nil"/>
              <w:bottom w:val="single" w:sz="4" w:space="0" w:color="auto"/>
              <w:right w:val="single" w:sz="4" w:space="0" w:color="auto"/>
            </w:tcBorders>
          </w:tcPr>
          <w:p w14:paraId="13B6AED5" w14:textId="77777777" w:rsidR="00705863" w:rsidRDefault="00705863" w:rsidP="00705863">
            <w:pPr>
              <w:pStyle w:val="TableText"/>
              <w:jc w:val="right"/>
              <w:rPr>
                <w:lang w:eastAsia="en-AU"/>
              </w:rPr>
            </w:pPr>
            <w:r>
              <w:rPr>
                <w:lang w:eastAsia="en-AU"/>
              </w:rPr>
              <w:t>$29K</w:t>
            </w:r>
          </w:p>
        </w:tc>
        <w:tc>
          <w:tcPr>
            <w:tcW w:w="1242" w:type="dxa"/>
            <w:tcBorders>
              <w:top w:val="nil"/>
              <w:left w:val="nil"/>
              <w:bottom w:val="single" w:sz="4" w:space="0" w:color="auto"/>
              <w:right w:val="single" w:sz="4" w:space="0" w:color="auto"/>
            </w:tcBorders>
            <w:vAlign w:val="bottom"/>
          </w:tcPr>
          <w:p w14:paraId="625DEB68" w14:textId="77777777" w:rsidR="00705863" w:rsidRPr="00346120" w:rsidRDefault="00705863" w:rsidP="00705863">
            <w:pPr>
              <w:pStyle w:val="TableText"/>
              <w:jc w:val="right"/>
              <w:rPr>
                <w:lang w:eastAsia="en-AU"/>
              </w:rPr>
            </w:pPr>
            <w:r w:rsidRPr="00346120">
              <w:rPr>
                <w:color w:val="000000"/>
              </w:rPr>
              <w:t>$16K</w:t>
            </w:r>
          </w:p>
        </w:tc>
        <w:tc>
          <w:tcPr>
            <w:tcW w:w="1242" w:type="dxa"/>
            <w:tcBorders>
              <w:top w:val="nil"/>
              <w:left w:val="nil"/>
              <w:bottom w:val="single" w:sz="4" w:space="0" w:color="auto"/>
              <w:right w:val="single" w:sz="4" w:space="0" w:color="auto"/>
            </w:tcBorders>
            <w:vAlign w:val="bottom"/>
          </w:tcPr>
          <w:p w14:paraId="731AF7E6" w14:textId="3988135D" w:rsidR="00705863" w:rsidRPr="00705863" w:rsidRDefault="00705863" w:rsidP="00705863">
            <w:pPr>
              <w:pStyle w:val="TableText"/>
              <w:jc w:val="right"/>
              <w:rPr>
                <w:color w:val="000000"/>
              </w:rPr>
            </w:pPr>
            <w:r>
              <w:rPr>
                <w:rFonts w:cs="Calibri"/>
                <w:color w:val="000000"/>
              </w:rPr>
              <w:t>$</w:t>
            </w:r>
            <w:r w:rsidRPr="00705863">
              <w:rPr>
                <w:rFonts w:cs="Calibri"/>
                <w:color w:val="000000"/>
              </w:rPr>
              <w:t>30K</w:t>
            </w:r>
          </w:p>
        </w:tc>
      </w:tr>
      <w:tr w:rsidR="00705863" w:rsidRPr="000F130C" w14:paraId="21039B4E" w14:textId="6CA51EAC" w:rsidTr="002948B5">
        <w:trPr>
          <w:trHeight w:val="255"/>
        </w:trPr>
        <w:tc>
          <w:tcPr>
            <w:tcW w:w="2596" w:type="dxa"/>
            <w:tcBorders>
              <w:top w:val="nil"/>
              <w:left w:val="single" w:sz="4" w:space="0" w:color="auto"/>
              <w:bottom w:val="single" w:sz="4" w:space="0" w:color="auto"/>
              <w:right w:val="single" w:sz="4" w:space="0" w:color="auto"/>
            </w:tcBorders>
            <w:noWrap/>
          </w:tcPr>
          <w:p w14:paraId="16D5DCEA" w14:textId="77777777" w:rsidR="00705863" w:rsidRPr="000F130C" w:rsidRDefault="00705863" w:rsidP="00705863">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vAlign w:val="bottom"/>
          </w:tcPr>
          <w:p w14:paraId="0B906C90" w14:textId="77777777" w:rsidR="00705863" w:rsidRDefault="00705863" w:rsidP="00705863">
            <w:pPr>
              <w:pStyle w:val="TableText"/>
              <w:jc w:val="right"/>
              <w:rPr>
                <w:lang w:eastAsia="en-AU"/>
              </w:rPr>
            </w:pPr>
            <w:r>
              <w:rPr>
                <w:lang w:eastAsia="en-AU"/>
              </w:rPr>
              <w:t>$</w:t>
            </w:r>
            <w:r w:rsidRPr="00C2602B">
              <w:rPr>
                <w:lang w:eastAsia="en-AU"/>
              </w:rPr>
              <w:t>141K</w:t>
            </w:r>
          </w:p>
        </w:tc>
        <w:tc>
          <w:tcPr>
            <w:tcW w:w="1242" w:type="dxa"/>
            <w:tcBorders>
              <w:top w:val="nil"/>
              <w:left w:val="nil"/>
              <w:bottom w:val="single" w:sz="4" w:space="0" w:color="auto"/>
              <w:right w:val="single" w:sz="4" w:space="0" w:color="auto"/>
            </w:tcBorders>
            <w:vAlign w:val="bottom"/>
          </w:tcPr>
          <w:p w14:paraId="3EA18297" w14:textId="77777777" w:rsidR="00705863" w:rsidRDefault="00705863" w:rsidP="00705863">
            <w:pPr>
              <w:pStyle w:val="TableText"/>
              <w:jc w:val="right"/>
              <w:rPr>
                <w:lang w:eastAsia="en-AU"/>
              </w:rPr>
            </w:pPr>
            <w:r>
              <w:rPr>
                <w:lang w:eastAsia="en-AU"/>
              </w:rPr>
              <w:t>$145K</w:t>
            </w:r>
          </w:p>
        </w:tc>
        <w:tc>
          <w:tcPr>
            <w:tcW w:w="1242" w:type="dxa"/>
            <w:tcBorders>
              <w:top w:val="nil"/>
              <w:left w:val="nil"/>
              <w:bottom w:val="single" w:sz="4" w:space="0" w:color="auto"/>
              <w:right w:val="single" w:sz="4" w:space="0" w:color="auto"/>
            </w:tcBorders>
          </w:tcPr>
          <w:p w14:paraId="551BB01F" w14:textId="77777777" w:rsidR="00705863" w:rsidRDefault="00705863" w:rsidP="00705863">
            <w:pPr>
              <w:pStyle w:val="TableText"/>
              <w:jc w:val="right"/>
              <w:rPr>
                <w:lang w:eastAsia="en-AU"/>
              </w:rPr>
            </w:pPr>
            <w:r>
              <w:rPr>
                <w:lang w:eastAsia="en-AU"/>
              </w:rPr>
              <w:t>$132K</w:t>
            </w:r>
          </w:p>
        </w:tc>
        <w:tc>
          <w:tcPr>
            <w:tcW w:w="1242" w:type="dxa"/>
            <w:tcBorders>
              <w:top w:val="nil"/>
              <w:left w:val="nil"/>
              <w:bottom w:val="single" w:sz="4" w:space="0" w:color="auto"/>
              <w:right w:val="single" w:sz="4" w:space="0" w:color="auto"/>
            </w:tcBorders>
            <w:vAlign w:val="bottom"/>
          </w:tcPr>
          <w:p w14:paraId="22408A3A" w14:textId="77777777" w:rsidR="00705863" w:rsidRPr="00346120" w:rsidRDefault="00705863" w:rsidP="00705863">
            <w:pPr>
              <w:pStyle w:val="TableText"/>
              <w:jc w:val="right"/>
              <w:rPr>
                <w:lang w:eastAsia="en-AU"/>
              </w:rPr>
            </w:pPr>
            <w:r w:rsidRPr="00346120">
              <w:rPr>
                <w:color w:val="000000"/>
              </w:rPr>
              <w:t>$123K</w:t>
            </w:r>
          </w:p>
        </w:tc>
        <w:tc>
          <w:tcPr>
            <w:tcW w:w="1242" w:type="dxa"/>
            <w:tcBorders>
              <w:top w:val="nil"/>
              <w:left w:val="nil"/>
              <w:bottom w:val="single" w:sz="4" w:space="0" w:color="auto"/>
              <w:right w:val="single" w:sz="4" w:space="0" w:color="auto"/>
            </w:tcBorders>
            <w:vAlign w:val="bottom"/>
          </w:tcPr>
          <w:p w14:paraId="1596B0E3" w14:textId="345BA829" w:rsidR="00705863" w:rsidRPr="00705863" w:rsidRDefault="00705863" w:rsidP="00705863">
            <w:pPr>
              <w:pStyle w:val="TableText"/>
              <w:jc w:val="right"/>
              <w:rPr>
                <w:color w:val="000000"/>
              </w:rPr>
            </w:pPr>
            <w:r>
              <w:rPr>
                <w:rFonts w:cs="Calibri"/>
                <w:color w:val="000000"/>
              </w:rPr>
              <w:t>$</w:t>
            </w:r>
            <w:r w:rsidRPr="00705863">
              <w:rPr>
                <w:rFonts w:cs="Calibri"/>
                <w:color w:val="000000"/>
              </w:rPr>
              <w:t>187K</w:t>
            </w:r>
          </w:p>
        </w:tc>
      </w:tr>
      <w:tr w:rsidR="00705863" w:rsidRPr="000F130C" w14:paraId="0FB58698" w14:textId="510CA671" w:rsidTr="002948B5">
        <w:trPr>
          <w:trHeight w:val="255"/>
        </w:trPr>
        <w:tc>
          <w:tcPr>
            <w:tcW w:w="2596" w:type="dxa"/>
            <w:tcBorders>
              <w:top w:val="nil"/>
              <w:left w:val="single" w:sz="4" w:space="0" w:color="auto"/>
              <w:bottom w:val="single" w:sz="4" w:space="0" w:color="auto"/>
              <w:right w:val="single" w:sz="4" w:space="0" w:color="auto"/>
            </w:tcBorders>
            <w:noWrap/>
            <w:hideMark/>
          </w:tcPr>
          <w:p w14:paraId="2269B6B6" w14:textId="77777777" w:rsidR="00705863" w:rsidRPr="000F130C" w:rsidRDefault="00705863" w:rsidP="00705863">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vAlign w:val="bottom"/>
          </w:tcPr>
          <w:p w14:paraId="43530480" w14:textId="77777777" w:rsidR="00705863" w:rsidRDefault="00705863" w:rsidP="00705863">
            <w:pPr>
              <w:pStyle w:val="TableText"/>
              <w:jc w:val="right"/>
              <w:rPr>
                <w:lang w:eastAsia="en-AU"/>
              </w:rPr>
            </w:pPr>
            <w:r>
              <w:rPr>
                <w:lang w:eastAsia="en-AU"/>
              </w:rPr>
              <w:t>$</w:t>
            </w:r>
            <w:r w:rsidRPr="00C2602B">
              <w:rPr>
                <w:lang w:eastAsia="en-AU"/>
              </w:rPr>
              <w:t>66K</w:t>
            </w:r>
          </w:p>
        </w:tc>
        <w:tc>
          <w:tcPr>
            <w:tcW w:w="1242" w:type="dxa"/>
            <w:tcBorders>
              <w:top w:val="nil"/>
              <w:left w:val="nil"/>
              <w:bottom w:val="single" w:sz="4" w:space="0" w:color="auto"/>
              <w:right w:val="single" w:sz="4" w:space="0" w:color="auto"/>
            </w:tcBorders>
            <w:vAlign w:val="bottom"/>
          </w:tcPr>
          <w:p w14:paraId="62E08434" w14:textId="77777777" w:rsidR="00705863" w:rsidRDefault="00705863" w:rsidP="00705863">
            <w:pPr>
              <w:pStyle w:val="TableText"/>
              <w:jc w:val="right"/>
              <w:rPr>
                <w:lang w:eastAsia="en-AU"/>
              </w:rPr>
            </w:pPr>
            <w:r>
              <w:rPr>
                <w:lang w:eastAsia="en-AU"/>
              </w:rPr>
              <w:t>$51K</w:t>
            </w:r>
          </w:p>
        </w:tc>
        <w:tc>
          <w:tcPr>
            <w:tcW w:w="1242" w:type="dxa"/>
            <w:tcBorders>
              <w:top w:val="nil"/>
              <w:left w:val="nil"/>
              <w:bottom w:val="single" w:sz="4" w:space="0" w:color="auto"/>
              <w:right w:val="single" w:sz="4" w:space="0" w:color="auto"/>
            </w:tcBorders>
          </w:tcPr>
          <w:p w14:paraId="5A3CB9B2" w14:textId="77777777" w:rsidR="00705863" w:rsidRDefault="00705863" w:rsidP="00705863">
            <w:pPr>
              <w:pStyle w:val="TableText"/>
              <w:jc w:val="right"/>
              <w:rPr>
                <w:lang w:eastAsia="en-AU"/>
              </w:rPr>
            </w:pPr>
            <w:r>
              <w:rPr>
                <w:lang w:eastAsia="en-AU"/>
              </w:rPr>
              <w:t>$58K</w:t>
            </w:r>
          </w:p>
        </w:tc>
        <w:tc>
          <w:tcPr>
            <w:tcW w:w="1242" w:type="dxa"/>
            <w:tcBorders>
              <w:top w:val="nil"/>
              <w:left w:val="nil"/>
              <w:bottom w:val="single" w:sz="4" w:space="0" w:color="auto"/>
              <w:right w:val="single" w:sz="4" w:space="0" w:color="auto"/>
            </w:tcBorders>
            <w:vAlign w:val="bottom"/>
          </w:tcPr>
          <w:p w14:paraId="66ACD6B3" w14:textId="77777777" w:rsidR="00705863" w:rsidRPr="00346120" w:rsidRDefault="00705863" w:rsidP="00705863">
            <w:pPr>
              <w:pStyle w:val="TableText"/>
              <w:jc w:val="right"/>
              <w:rPr>
                <w:lang w:eastAsia="en-AU"/>
              </w:rPr>
            </w:pPr>
            <w:r w:rsidRPr="00346120">
              <w:rPr>
                <w:color w:val="000000"/>
              </w:rPr>
              <w:t>$49K</w:t>
            </w:r>
          </w:p>
        </w:tc>
        <w:tc>
          <w:tcPr>
            <w:tcW w:w="1242" w:type="dxa"/>
            <w:tcBorders>
              <w:top w:val="nil"/>
              <w:left w:val="nil"/>
              <w:bottom w:val="single" w:sz="4" w:space="0" w:color="auto"/>
              <w:right w:val="single" w:sz="4" w:space="0" w:color="auto"/>
            </w:tcBorders>
            <w:vAlign w:val="bottom"/>
          </w:tcPr>
          <w:p w14:paraId="6D5A1CCF" w14:textId="3B4EF5E0" w:rsidR="00705863" w:rsidRPr="00705863" w:rsidRDefault="00705863" w:rsidP="00705863">
            <w:pPr>
              <w:pStyle w:val="TableText"/>
              <w:jc w:val="right"/>
              <w:rPr>
                <w:color w:val="000000"/>
              </w:rPr>
            </w:pPr>
            <w:r>
              <w:rPr>
                <w:rFonts w:cs="Calibri"/>
                <w:color w:val="000000"/>
              </w:rPr>
              <w:t>$</w:t>
            </w:r>
            <w:r w:rsidRPr="00705863">
              <w:rPr>
                <w:rFonts w:cs="Calibri"/>
                <w:color w:val="000000"/>
              </w:rPr>
              <w:t>67K</w:t>
            </w:r>
          </w:p>
        </w:tc>
      </w:tr>
      <w:tr w:rsidR="00705863" w:rsidRPr="000F130C" w14:paraId="1974612B" w14:textId="35101049" w:rsidTr="002948B5">
        <w:trPr>
          <w:trHeight w:val="255"/>
        </w:trPr>
        <w:tc>
          <w:tcPr>
            <w:tcW w:w="2596" w:type="dxa"/>
            <w:tcBorders>
              <w:top w:val="nil"/>
              <w:left w:val="single" w:sz="4" w:space="0" w:color="auto"/>
              <w:bottom w:val="single" w:sz="4" w:space="0" w:color="auto"/>
              <w:right w:val="single" w:sz="4" w:space="0" w:color="auto"/>
            </w:tcBorders>
            <w:noWrap/>
            <w:hideMark/>
          </w:tcPr>
          <w:p w14:paraId="41F92878" w14:textId="77777777" w:rsidR="00705863" w:rsidRPr="000F130C" w:rsidRDefault="00705863" w:rsidP="00705863">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vAlign w:val="bottom"/>
          </w:tcPr>
          <w:p w14:paraId="217BACF6" w14:textId="77777777" w:rsidR="00705863" w:rsidRDefault="00705863" w:rsidP="00705863">
            <w:pPr>
              <w:pStyle w:val="TableText"/>
              <w:jc w:val="right"/>
              <w:rPr>
                <w:lang w:eastAsia="en-AU"/>
              </w:rPr>
            </w:pPr>
            <w:r>
              <w:rPr>
                <w:lang w:eastAsia="en-AU"/>
              </w:rPr>
              <w:t>$</w:t>
            </w:r>
            <w:r w:rsidRPr="00C2602B">
              <w:rPr>
                <w:lang w:eastAsia="en-AU"/>
              </w:rPr>
              <w:t>31K</w:t>
            </w:r>
          </w:p>
        </w:tc>
        <w:tc>
          <w:tcPr>
            <w:tcW w:w="1242" w:type="dxa"/>
            <w:tcBorders>
              <w:top w:val="nil"/>
              <w:left w:val="nil"/>
              <w:bottom w:val="single" w:sz="4" w:space="0" w:color="auto"/>
              <w:right w:val="single" w:sz="4" w:space="0" w:color="auto"/>
            </w:tcBorders>
            <w:vAlign w:val="bottom"/>
          </w:tcPr>
          <w:p w14:paraId="20A72678" w14:textId="77777777" w:rsidR="00705863" w:rsidRDefault="00705863" w:rsidP="00705863">
            <w:pPr>
              <w:pStyle w:val="TableText"/>
              <w:jc w:val="right"/>
              <w:rPr>
                <w:lang w:eastAsia="en-AU"/>
              </w:rPr>
            </w:pPr>
            <w:r>
              <w:rPr>
                <w:lang w:eastAsia="en-AU"/>
              </w:rPr>
              <w:t>$24K</w:t>
            </w:r>
          </w:p>
        </w:tc>
        <w:tc>
          <w:tcPr>
            <w:tcW w:w="1242" w:type="dxa"/>
            <w:tcBorders>
              <w:top w:val="nil"/>
              <w:left w:val="nil"/>
              <w:bottom w:val="single" w:sz="4" w:space="0" w:color="auto"/>
              <w:right w:val="single" w:sz="4" w:space="0" w:color="auto"/>
            </w:tcBorders>
          </w:tcPr>
          <w:p w14:paraId="477B9FE9" w14:textId="77777777" w:rsidR="00705863" w:rsidRDefault="00705863" w:rsidP="00705863">
            <w:pPr>
              <w:pStyle w:val="TableText"/>
              <w:jc w:val="right"/>
              <w:rPr>
                <w:lang w:eastAsia="en-AU"/>
              </w:rPr>
            </w:pPr>
            <w:r>
              <w:rPr>
                <w:lang w:eastAsia="en-AU"/>
              </w:rPr>
              <w:t>$28K</w:t>
            </w:r>
          </w:p>
        </w:tc>
        <w:tc>
          <w:tcPr>
            <w:tcW w:w="1242" w:type="dxa"/>
            <w:tcBorders>
              <w:top w:val="nil"/>
              <w:left w:val="nil"/>
              <w:bottom w:val="single" w:sz="4" w:space="0" w:color="auto"/>
              <w:right w:val="single" w:sz="4" w:space="0" w:color="auto"/>
            </w:tcBorders>
            <w:vAlign w:val="bottom"/>
          </w:tcPr>
          <w:p w14:paraId="6CB29112" w14:textId="77777777" w:rsidR="00705863" w:rsidRPr="00346120" w:rsidRDefault="00705863" w:rsidP="00705863">
            <w:pPr>
              <w:pStyle w:val="TableText"/>
              <w:jc w:val="right"/>
              <w:rPr>
                <w:lang w:eastAsia="en-AU"/>
              </w:rPr>
            </w:pPr>
            <w:r w:rsidRPr="00346120">
              <w:rPr>
                <w:color w:val="000000"/>
              </w:rPr>
              <w:t>$25K</w:t>
            </w:r>
          </w:p>
        </w:tc>
        <w:tc>
          <w:tcPr>
            <w:tcW w:w="1242" w:type="dxa"/>
            <w:tcBorders>
              <w:top w:val="nil"/>
              <w:left w:val="nil"/>
              <w:bottom w:val="single" w:sz="4" w:space="0" w:color="auto"/>
              <w:right w:val="single" w:sz="4" w:space="0" w:color="auto"/>
            </w:tcBorders>
            <w:vAlign w:val="bottom"/>
          </w:tcPr>
          <w:p w14:paraId="444D8754" w14:textId="5F3B6911" w:rsidR="00705863" w:rsidRPr="00705863" w:rsidRDefault="00705863" w:rsidP="00705863">
            <w:pPr>
              <w:pStyle w:val="TableText"/>
              <w:jc w:val="right"/>
              <w:rPr>
                <w:color w:val="000000"/>
              </w:rPr>
            </w:pPr>
            <w:r>
              <w:rPr>
                <w:rFonts w:cs="Calibri"/>
                <w:color w:val="000000"/>
              </w:rPr>
              <w:t>$</w:t>
            </w:r>
            <w:r w:rsidRPr="00705863">
              <w:rPr>
                <w:rFonts w:cs="Calibri"/>
                <w:color w:val="000000"/>
              </w:rPr>
              <w:t>32K</w:t>
            </w:r>
          </w:p>
        </w:tc>
      </w:tr>
      <w:tr w:rsidR="00705863" w:rsidRPr="000F130C" w14:paraId="2F5AFFD7" w14:textId="6D4D6DF1" w:rsidTr="002948B5">
        <w:trPr>
          <w:trHeight w:val="255"/>
        </w:trPr>
        <w:tc>
          <w:tcPr>
            <w:tcW w:w="2596" w:type="dxa"/>
            <w:tcBorders>
              <w:top w:val="nil"/>
              <w:left w:val="single" w:sz="4" w:space="0" w:color="auto"/>
              <w:bottom w:val="single" w:sz="4" w:space="0" w:color="auto"/>
              <w:right w:val="single" w:sz="4" w:space="0" w:color="auto"/>
            </w:tcBorders>
            <w:noWrap/>
            <w:hideMark/>
          </w:tcPr>
          <w:p w14:paraId="20C06B64" w14:textId="77777777" w:rsidR="00705863" w:rsidRPr="000F130C" w:rsidRDefault="00705863" w:rsidP="00705863">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vAlign w:val="bottom"/>
          </w:tcPr>
          <w:p w14:paraId="2D1051F2" w14:textId="77777777" w:rsidR="00705863" w:rsidRDefault="00705863" w:rsidP="00705863">
            <w:pPr>
              <w:pStyle w:val="TableText"/>
              <w:jc w:val="right"/>
              <w:rPr>
                <w:b/>
                <w:lang w:eastAsia="en-AU"/>
              </w:rPr>
            </w:pPr>
            <w:r>
              <w:rPr>
                <w:b/>
                <w:lang w:eastAsia="en-AU"/>
              </w:rPr>
              <w:t>$</w:t>
            </w:r>
            <w:r w:rsidRPr="00C2602B">
              <w:rPr>
                <w:b/>
                <w:lang w:eastAsia="en-AU"/>
              </w:rPr>
              <w:t>400K</w:t>
            </w:r>
          </w:p>
        </w:tc>
        <w:tc>
          <w:tcPr>
            <w:tcW w:w="1242" w:type="dxa"/>
            <w:tcBorders>
              <w:top w:val="nil"/>
              <w:left w:val="nil"/>
              <w:bottom w:val="single" w:sz="4" w:space="0" w:color="auto"/>
              <w:right w:val="single" w:sz="4" w:space="0" w:color="auto"/>
            </w:tcBorders>
            <w:vAlign w:val="bottom"/>
          </w:tcPr>
          <w:p w14:paraId="6624873B" w14:textId="77777777" w:rsidR="00705863" w:rsidRDefault="00705863" w:rsidP="00705863">
            <w:pPr>
              <w:pStyle w:val="TableText"/>
              <w:jc w:val="right"/>
              <w:rPr>
                <w:b/>
                <w:lang w:eastAsia="en-AU"/>
              </w:rPr>
            </w:pPr>
            <w:r>
              <w:rPr>
                <w:b/>
                <w:lang w:eastAsia="en-AU"/>
              </w:rPr>
              <w:t>$347K</w:t>
            </w:r>
          </w:p>
        </w:tc>
        <w:tc>
          <w:tcPr>
            <w:tcW w:w="1242" w:type="dxa"/>
            <w:tcBorders>
              <w:top w:val="nil"/>
              <w:left w:val="nil"/>
              <w:bottom w:val="single" w:sz="4" w:space="0" w:color="auto"/>
              <w:right w:val="single" w:sz="4" w:space="0" w:color="auto"/>
            </w:tcBorders>
          </w:tcPr>
          <w:p w14:paraId="2264C5DE" w14:textId="77777777" w:rsidR="00705863" w:rsidRDefault="00705863" w:rsidP="00705863">
            <w:pPr>
              <w:pStyle w:val="TableText"/>
              <w:jc w:val="right"/>
              <w:rPr>
                <w:b/>
                <w:lang w:eastAsia="en-AU"/>
              </w:rPr>
            </w:pPr>
            <w:r>
              <w:rPr>
                <w:b/>
                <w:lang w:eastAsia="en-AU"/>
              </w:rPr>
              <w:t>$407K</w:t>
            </w:r>
          </w:p>
        </w:tc>
        <w:tc>
          <w:tcPr>
            <w:tcW w:w="1242" w:type="dxa"/>
            <w:tcBorders>
              <w:top w:val="nil"/>
              <w:left w:val="nil"/>
              <w:bottom w:val="single" w:sz="4" w:space="0" w:color="auto"/>
              <w:right w:val="single" w:sz="4" w:space="0" w:color="auto"/>
            </w:tcBorders>
            <w:vAlign w:val="bottom"/>
          </w:tcPr>
          <w:p w14:paraId="0F078A8D" w14:textId="77777777" w:rsidR="00705863" w:rsidRPr="00346120" w:rsidRDefault="00705863" w:rsidP="00705863">
            <w:pPr>
              <w:pStyle w:val="TableText"/>
              <w:jc w:val="right"/>
              <w:rPr>
                <w:b/>
                <w:bCs/>
                <w:lang w:eastAsia="en-AU"/>
              </w:rPr>
            </w:pPr>
            <w:r w:rsidRPr="00346120">
              <w:rPr>
                <w:b/>
                <w:bCs/>
                <w:color w:val="000000"/>
              </w:rPr>
              <w:t>$330K</w:t>
            </w:r>
          </w:p>
        </w:tc>
        <w:tc>
          <w:tcPr>
            <w:tcW w:w="1242" w:type="dxa"/>
            <w:tcBorders>
              <w:top w:val="nil"/>
              <w:left w:val="nil"/>
              <w:bottom w:val="single" w:sz="4" w:space="0" w:color="auto"/>
              <w:right w:val="single" w:sz="4" w:space="0" w:color="auto"/>
            </w:tcBorders>
            <w:vAlign w:val="bottom"/>
          </w:tcPr>
          <w:p w14:paraId="4E7F9AE1" w14:textId="053A9117" w:rsidR="00705863" w:rsidRPr="00705863" w:rsidRDefault="00705863" w:rsidP="00705863">
            <w:pPr>
              <w:pStyle w:val="TableText"/>
              <w:jc w:val="right"/>
              <w:rPr>
                <w:b/>
                <w:bCs/>
                <w:color w:val="000000"/>
              </w:rPr>
            </w:pPr>
            <w:r>
              <w:rPr>
                <w:rFonts w:cs="Calibri"/>
                <w:b/>
                <w:bCs/>
                <w:color w:val="000000"/>
              </w:rPr>
              <w:t>$</w:t>
            </w:r>
            <w:r w:rsidRPr="00705863">
              <w:rPr>
                <w:rFonts w:cs="Calibri"/>
                <w:b/>
                <w:bCs/>
                <w:color w:val="000000"/>
              </w:rPr>
              <w:t>398K</w:t>
            </w:r>
          </w:p>
        </w:tc>
      </w:tr>
    </w:tbl>
    <w:p w14:paraId="5115B2EC" w14:textId="77777777" w:rsidR="00544691" w:rsidRDefault="00544691" w:rsidP="00544691">
      <w:pPr>
        <w:ind w:left="-142" w:right="-425"/>
        <w:jc w:val="both"/>
        <w:rPr>
          <w:rFonts w:cs="Arial"/>
        </w:rPr>
      </w:pPr>
    </w:p>
    <w:p w14:paraId="487DDD14" w14:textId="7ECBABFD" w:rsidR="00544691" w:rsidRDefault="00544691" w:rsidP="00544691">
      <w:pPr>
        <w:ind w:left="-142" w:right="-425"/>
        <w:jc w:val="both"/>
        <w:rPr>
          <w:rFonts w:cs="Arial"/>
        </w:rPr>
      </w:pPr>
      <w:r>
        <w:rPr>
          <w:rFonts w:cs="Arial"/>
        </w:rPr>
        <w:t>Cairns expenditure for quarter 4</w:t>
      </w:r>
      <w:r w:rsidR="00127AF5">
        <w:rPr>
          <w:rFonts w:cs="Arial"/>
        </w:rPr>
        <w:t>9</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1F971DD6" w14:textId="77777777" w:rsidR="00544691" w:rsidRDefault="00544691" w:rsidP="00544691">
      <w:pPr>
        <w:ind w:left="-142" w:right="-425"/>
        <w:jc w:val="both"/>
        <w:rPr>
          <w:rFonts w:cs="Arial"/>
        </w:rPr>
      </w:pPr>
    </w:p>
    <w:p w14:paraId="03605EDB" w14:textId="77C24241" w:rsidR="00544691" w:rsidRPr="00E37B61" w:rsidRDefault="00544691" w:rsidP="00544691">
      <w:pPr>
        <w:pStyle w:val="TableCaption"/>
        <w:spacing w:before="0"/>
        <w:ind w:left="0" w:right="-425"/>
        <w:rPr>
          <w:b/>
          <w:i w:val="0"/>
          <w:sz w:val="16"/>
        </w:rPr>
      </w:pPr>
      <w:r w:rsidRPr="00E37B61">
        <w:rPr>
          <w:b/>
          <w:i w:val="0"/>
          <w:sz w:val="16"/>
        </w:rPr>
        <w:t>Table 2</w:t>
      </w:r>
      <w:r>
        <w:rPr>
          <w:b/>
          <w:i w:val="0"/>
          <w:sz w:val="16"/>
        </w:rPr>
        <w:t>0</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sidR="00127AF5">
        <w:rPr>
          <w:i w:val="0"/>
          <w:sz w:val="16"/>
        </w:rPr>
        <w:t>July</w:t>
      </w:r>
      <w:r>
        <w:rPr>
          <w:i w:val="0"/>
          <w:sz w:val="16"/>
        </w:rPr>
        <w:t xml:space="preserve"> 2019 to 30 </w:t>
      </w:r>
      <w:r w:rsidR="00127AF5">
        <w:rPr>
          <w:i w:val="0"/>
          <w:sz w:val="16"/>
        </w:rPr>
        <w:t>September</w:t>
      </w:r>
      <w:r>
        <w:rPr>
          <w:i w:val="0"/>
          <w:sz w:val="16"/>
        </w:rPr>
        <w:t xml:space="preserve"> </w:t>
      </w:r>
      <w:r w:rsidRPr="00E37B61">
        <w:rPr>
          <w:i w:val="0"/>
          <w:sz w:val="16"/>
        </w:rPr>
        <w:t>20</w:t>
      </w:r>
      <w:r>
        <w:rPr>
          <w:i w:val="0"/>
          <w:sz w:val="16"/>
        </w:rPr>
        <w:t>20.</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127AF5" w:rsidRPr="00920636" w14:paraId="0491D4EF" w14:textId="6A9765F8" w:rsidTr="00127AF5">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323AF4F" w14:textId="77777777" w:rsidR="00127AF5" w:rsidRPr="000F130C" w:rsidRDefault="00127AF5" w:rsidP="00544691">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18800FB6" w14:textId="77777777" w:rsidR="00127AF5" w:rsidRDefault="00127AF5" w:rsidP="00544691">
            <w:pPr>
              <w:pStyle w:val="TableText"/>
              <w:jc w:val="right"/>
              <w:rPr>
                <w:b/>
                <w:lang w:eastAsia="en-AU"/>
              </w:rPr>
            </w:pPr>
            <w:r>
              <w:rPr>
                <w:b/>
                <w:lang w:eastAsia="en-AU"/>
              </w:rPr>
              <w:t>Qtr 45</w:t>
            </w:r>
          </w:p>
        </w:tc>
        <w:tc>
          <w:tcPr>
            <w:tcW w:w="1250" w:type="dxa"/>
            <w:tcBorders>
              <w:top w:val="single" w:sz="4" w:space="0" w:color="auto"/>
              <w:left w:val="nil"/>
              <w:bottom w:val="single" w:sz="4" w:space="0" w:color="auto"/>
              <w:right w:val="single" w:sz="4" w:space="0" w:color="auto"/>
            </w:tcBorders>
          </w:tcPr>
          <w:p w14:paraId="03E77656" w14:textId="77777777" w:rsidR="00127AF5" w:rsidRDefault="00127AF5" w:rsidP="00544691">
            <w:pPr>
              <w:pStyle w:val="TableText"/>
              <w:jc w:val="right"/>
              <w:rPr>
                <w:b/>
                <w:lang w:eastAsia="en-AU"/>
              </w:rPr>
            </w:pPr>
            <w:r>
              <w:rPr>
                <w:b/>
                <w:lang w:eastAsia="en-AU"/>
              </w:rPr>
              <w:t>Qtr 46</w:t>
            </w:r>
          </w:p>
        </w:tc>
        <w:tc>
          <w:tcPr>
            <w:tcW w:w="1250" w:type="dxa"/>
            <w:tcBorders>
              <w:top w:val="single" w:sz="4" w:space="0" w:color="auto"/>
              <w:left w:val="nil"/>
              <w:bottom w:val="single" w:sz="4" w:space="0" w:color="auto"/>
              <w:right w:val="single" w:sz="4" w:space="0" w:color="auto"/>
            </w:tcBorders>
          </w:tcPr>
          <w:p w14:paraId="61B38414" w14:textId="77777777" w:rsidR="00127AF5" w:rsidRDefault="00127AF5" w:rsidP="00544691">
            <w:pPr>
              <w:pStyle w:val="TableText"/>
              <w:jc w:val="right"/>
              <w:rPr>
                <w:b/>
                <w:lang w:eastAsia="en-AU"/>
              </w:rPr>
            </w:pPr>
            <w:r>
              <w:rPr>
                <w:b/>
                <w:lang w:eastAsia="en-AU"/>
              </w:rPr>
              <w:t>Qtr 47</w:t>
            </w:r>
          </w:p>
        </w:tc>
        <w:tc>
          <w:tcPr>
            <w:tcW w:w="1250" w:type="dxa"/>
            <w:tcBorders>
              <w:top w:val="single" w:sz="4" w:space="0" w:color="auto"/>
              <w:left w:val="nil"/>
              <w:bottom w:val="single" w:sz="4" w:space="0" w:color="auto"/>
              <w:right w:val="single" w:sz="4" w:space="0" w:color="auto"/>
            </w:tcBorders>
          </w:tcPr>
          <w:p w14:paraId="3EDECE01" w14:textId="77777777" w:rsidR="00127AF5" w:rsidRDefault="00127AF5" w:rsidP="00544691">
            <w:pPr>
              <w:pStyle w:val="TableText"/>
              <w:jc w:val="right"/>
              <w:rPr>
                <w:b/>
                <w:lang w:eastAsia="en-AU"/>
              </w:rPr>
            </w:pPr>
            <w:r>
              <w:rPr>
                <w:b/>
                <w:lang w:eastAsia="en-AU"/>
              </w:rPr>
              <w:t>Qtr 48</w:t>
            </w:r>
          </w:p>
        </w:tc>
        <w:tc>
          <w:tcPr>
            <w:tcW w:w="1250" w:type="dxa"/>
            <w:tcBorders>
              <w:top w:val="single" w:sz="4" w:space="0" w:color="auto"/>
              <w:left w:val="nil"/>
              <w:bottom w:val="single" w:sz="4" w:space="0" w:color="auto"/>
              <w:right w:val="single" w:sz="4" w:space="0" w:color="auto"/>
            </w:tcBorders>
          </w:tcPr>
          <w:p w14:paraId="4D2FD12E" w14:textId="3FBCFA09" w:rsidR="00127AF5" w:rsidRDefault="00127AF5" w:rsidP="00544691">
            <w:pPr>
              <w:pStyle w:val="TableText"/>
              <w:jc w:val="right"/>
              <w:rPr>
                <w:b/>
                <w:lang w:eastAsia="en-AU"/>
              </w:rPr>
            </w:pPr>
            <w:r>
              <w:rPr>
                <w:b/>
                <w:lang w:eastAsia="en-AU"/>
              </w:rPr>
              <w:t>Qtr 49</w:t>
            </w:r>
          </w:p>
        </w:tc>
      </w:tr>
      <w:tr w:rsidR="0074086C" w:rsidRPr="00920636" w14:paraId="2CF64FFB" w14:textId="3E78B5BE" w:rsidTr="00F63F26">
        <w:trPr>
          <w:trHeight w:val="255"/>
        </w:trPr>
        <w:tc>
          <w:tcPr>
            <w:tcW w:w="2596" w:type="dxa"/>
            <w:tcBorders>
              <w:top w:val="nil"/>
              <w:left w:val="single" w:sz="4" w:space="0" w:color="auto"/>
              <w:bottom w:val="single" w:sz="4" w:space="0" w:color="auto"/>
              <w:right w:val="single" w:sz="4" w:space="0" w:color="auto"/>
            </w:tcBorders>
            <w:noWrap/>
          </w:tcPr>
          <w:p w14:paraId="69A27CC2" w14:textId="77777777" w:rsidR="0074086C" w:rsidRPr="00E72DFB" w:rsidRDefault="0074086C" w:rsidP="0074086C">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2129B72C" w14:textId="77777777" w:rsidR="0074086C" w:rsidRDefault="0074086C" w:rsidP="0074086C">
            <w:pPr>
              <w:pStyle w:val="TableText"/>
              <w:jc w:val="right"/>
              <w:rPr>
                <w:lang w:eastAsia="en-AU"/>
              </w:rPr>
            </w:pPr>
            <w:r>
              <w:rPr>
                <w:lang w:eastAsia="en-AU"/>
              </w:rPr>
              <w:t>$253K</w:t>
            </w:r>
          </w:p>
        </w:tc>
        <w:tc>
          <w:tcPr>
            <w:tcW w:w="1250" w:type="dxa"/>
            <w:tcBorders>
              <w:top w:val="nil"/>
              <w:left w:val="nil"/>
              <w:bottom w:val="single" w:sz="4" w:space="0" w:color="auto"/>
              <w:right w:val="single" w:sz="4" w:space="0" w:color="auto"/>
            </w:tcBorders>
          </w:tcPr>
          <w:p w14:paraId="5864CDE0" w14:textId="77777777" w:rsidR="0074086C" w:rsidRDefault="0074086C" w:rsidP="0074086C">
            <w:pPr>
              <w:pStyle w:val="TableText"/>
              <w:jc w:val="right"/>
              <w:rPr>
                <w:lang w:eastAsia="en-AU"/>
              </w:rPr>
            </w:pPr>
            <w:r>
              <w:rPr>
                <w:lang w:eastAsia="en-AU"/>
              </w:rPr>
              <w:t>$266K</w:t>
            </w:r>
          </w:p>
        </w:tc>
        <w:tc>
          <w:tcPr>
            <w:tcW w:w="1250" w:type="dxa"/>
            <w:tcBorders>
              <w:top w:val="nil"/>
              <w:left w:val="nil"/>
              <w:bottom w:val="single" w:sz="4" w:space="0" w:color="auto"/>
              <w:right w:val="single" w:sz="4" w:space="0" w:color="auto"/>
            </w:tcBorders>
          </w:tcPr>
          <w:p w14:paraId="2E3B01BD" w14:textId="77777777" w:rsidR="0074086C" w:rsidRDefault="0074086C" w:rsidP="0074086C">
            <w:pPr>
              <w:pStyle w:val="TableText"/>
              <w:jc w:val="right"/>
              <w:rPr>
                <w:lang w:eastAsia="en-AU"/>
              </w:rPr>
            </w:pPr>
            <w:r>
              <w:rPr>
                <w:lang w:eastAsia="en-AU"/>
              </w:rPr>
              <w:t>$256K</w:t>
            </w:r>
          </w:p>
        </w:tc>
        <w:tc>
          <w:tcPr>
            <w:tcW w:w="1250" w:type="dxa"/>
            <w:tcBorders>
              <w:top w:val="nil"/>
              <w:left w:val="nil"/>
              <w:bottom w:val="single" w:sz="4" w:space="0" w:color="auto"/>
              <w:right w:val="single" w:sz="4" w:space="0" w:color="auto"/>
            </w:tcBorders>
            <w:vAlign w:val="center"/>
          </w:tcPr>
          <w:p w14:paraId="28BE70B3" w14:textId="77777777" w:rsidR="0074086C" w:rsidRDefault="0074086C" w:rsidP="0074086C">
            <w:pPr>
              <w:pStyle w:val="TableText"/>
              <w:jc w:val="right"/>
              <w:rPr>
                <w:lang w:eastAsia="en-AU"/>
              </w:rPr>
            </w:pPr>
            <w:r>
              <w:rPr>
                <w:lang w:eastAsia="en-AU"/>
              </w:rPr>
              <w:t>$</w:t>
            </w:r>
            <w:r w:rsidRPr="00EB7A8F">
              <w:rPr>
                <w:lang w:eastAsia="en-AU"/>
              </w:rPr>
              <w:t>264K</w:t>
            </w:r>
          </w:p>
        </w:tc>
        <w:tc>
          <w:tcPr>
            <w:tcW w:w="1250" w:type="dxa"/>
            <w:tcBorders>
              <w:top w:val="nil"/>
              <w:left w:val="nil"/>
              <w:bottom w:val="single" w:sz="4" w:space="0" w:color="auto"/>
              <w:right w:val="single" w:sz="4" w:space="0" w:color="auto"/>
            </w:tcBorders>
            <w:vAlign w:val="center"/>
          </w:tcPr>
          <w:p w14:paraId="37E1004F" w14:textId="2F95801E" w:rsidR="0074086C" w:rsidRPr="0074086C" w:rsidRDefault="0074086C" w:rsidP="0074086C">
            <w:pPr>
              <w:pStyle w:val="TableText"/>
              <w:jc w:val="right"/>
              <w:rPr>
                <w:lang w:eastAsia="en-AU"/>
              </w:rPr>
            </w:pPr>
            <w:r>
              <w:rPr>
                <w:rFonts w:cs="Arial"/>
              </w:rPr>
              <w:t>$</w:t>
            </w:r>
            <w:r w:rsidRPr="0074086C">
              <w:rPr>
                <w:rFonts w:cs="Arial"/>
              </w:rPr>
              <w:t>260K</w:t>
            </w:r>
          </w:p>
        </w:tc>
      </w:tr>
      <w:tr w:rsidR="0074086C" w:rsidRPr="00920636" w14:paraId="1340CC33" w14:textId="4DD598B6" w:rsidTr="00F63F26">
        <w:trPr>
          <w:trHeight w:val="255"/>
        </w:trPr>
        <w:tc>
          <w:tcPr>
            <w:tcW w:w="2596" w:type="dxa"/>
            <w:tcBorders>
              <w:top w:val="nil"/>
              <w:left w:val="single" w:sz="4" w:space="0" w:color="auto"/>
              <w:bottom w:val="single" w:sz="4" w:space="0" w:color="auto"/>
              <w:right w:val="single" w:sz="4" w:space="0" w:color="auto"/>
            </w:tcBorders>
            <w:noWrap/>
            <w:hideMark/>
          </w:tcPr>
          <w:p w14:paraId="00671892" w14:textId="77777777" w:rsidR="0074086C" w:rsidRPr="00E72DFB" w:rsidRDefault="0074086C" w:rsidP="0074086C">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6B3E990F" w14:textId="77777777" w:rsidR="0074086C" w:rsidRDefault="0074086C" w:rsidP="0074086C">
            <w:pPr>
              <w:pStyle w:val="TableText"/>
              <w:jc w:val="right"/>
              <w:rPr>
                <w:lang w:eastAsia="en-AU"/>
              </w:rPr>
            </w:pPr>
            <w:r>
              <w:rPr>
                <w:lang w:eastAsia="en-AU"/>
              </w:rPr>
              <w:t>$291K</w:t>
            </w:r>
          </w:p>
        </w:tc>
        <w:tc>
          <w:tcPr>
            <w:tcW w:w="1250" w:type="dxa"/>
            <w:tcBorders>
              <w:top w:val="nil"/>
              <w:left w:val="nil"/>
              <w:bottom w:val="single" w:sz="4" w:space="0" w:color="auto"/>
              <w:right w:val="single" w:sz="4" w:space="0" w:color="auto"/>
            </w:tcBorders>
          </w:tcPr>
          <w:p w14:paraId="5B82CCD7" w14:textId="77777777" w:rsidR="0074086C" w:rsidRDefault="0074086C" w:rsidP="0074086C">
            <w:pPr>
              <w:pStyle w:val="TableText"/>
              <w:jc w:val="right"/>
              <w:rPr>
                <w:lang w:eastAsia="en-AU"/>
              </w:rPr>
            </w:pPr>
            <w:r>
              <w:rPr>
                <w:lang w:eastAsia="en-AU"/>
              </w:rPr>
              <w:t>$216K</w:t>
            </w:r>
          </w:p>
        </w:tc>
        <w:tc>
          <w:tcPr>
            <w:tcW w:w="1250" w:type="dxa"/>
            <w:tcBorders>
              <w:top w:val="nil"/>
              <w:left w:val="nil"/>
              <w:bottom w:val="single" w:sz="4" w:space="0" w:color="auto"/>
              <w:right w:val="single" w:sz="4" w:space="0" w:color="auto"/>
            </w:tcBorders>
          </w:tcPr>
          <w:p w14:paraId="43F931D7" w14:textId="77777777" w:rsidR="0074086C" w:rsidRDefault="0074086C" w:rsidP="0074086C">
            <w:pPr>
              <w:pStyle w:val="TableText"/>
              <w:jc w:val="right"/>
              <w:rPr>
                <w:lang w:eastAsia="en-AU"/>
              </w:rPr>
            </w:pPr>
            <w:r>
              <w:rPr>
                <w:lang w:eastAsia="en-AU"/>
              </w:rPr>
              <w:t>$187K</w:t>
            </w:r>
          </w:p>
        </w:tc>
        <w:tc>
          <w:tcPr>
            <w:tcW w:w="1250" w:type="dxa"/>
            <w:tcBorders>
              <w:top w:val="nil"/>
              <w:left w:val="nil"/>
              <w:bottom w:val="single" w:sz="4" w:space="0" w:color="auto"/>
              <w:right w:val="single" w:sz="4" w:space="0" w:color="auto"/>
            </w:tcBorders>
            <w:vAlign w:val="center"/>
          </w:tcPr>
          <w:p w14:paraId="49F9E7DC" w14:textId="77777777" w:rsidR="0074086C" w:rsidRDefault="0074086C" w:rsidP="0074086C">
            <w:pPr>
              <w:pStyle w:val="TableText"/>
              <w:jc w:val="right"/>
              <w:rPr>
                <w:lang w:eastAsia="en-AU"/>
              </w:rPr>
            </w:pPr>
            <w:r>
              <w:rPr>
                <w:lang w:eastAsia="en-AU"/>
              </w:rPr>
              <w:t>$</w:t>
            </w:r>
            <w:r w:rsidRPr="00EB7A8F">
              <w:rPr>
                <w:lang w:eastAsia="en-AU"/>
              </w:rPr>
              <w:t>309K</w:t>
            </w:r>
          </w:p>
        </w:tc>
        <w:tc>
          <w:tcPr>
            <w:tcW w:w="1250" w:type="dxa"/>
            <w:tcBorders>
              <w:top w:val="nil"/>
              <w:left w:val="nil"/>
              <w:bottom w:val="single" w:sz="4" w:space="0" w:color="auto"/>
              <w:right w:val="single" w:sz="4" w:space="0" w:color="auto"/>
            </w:tcBorders>
            <w:vAlign w:val="center"/>
          </w:tcPr>
          <w:p w14:paraId="165058EF" w14:textId="1560DE83" w:rsidR="0074086C" w:rsidRPr="0074086C" w:rsidRDefault="0074086C" w:rsidP="0074086C">
            <w:pPr>
              <w:pStyle w:val="TableText"/>
              <w:jc w:val="right"/>
              <w:rPr>
                <w:lang w:eastAsia="en-AU"/>
              </w:rPr>
            </w:pPr>
            <w:r>
              <w:rPr>
                <w:rFonts w:cs="Arial"/>
              </w:rPr>
              <w:t>$</w:t>
            </w:r>
            <w:r w:rsidRPr="0074086C">
              <w:rPr>
                <w:rFonts w:cs="Arial"/>
              </w:rPr>
              <w:t>250K</w:t>
            </w:r>
          </w:p>
        </w:tc>
      </w:tr>
      <w:tr w:rsidR="0074086C" w:rsidRPr="00920636" w14:paraId="6B9CFC8F" w14:textId="237081FF" w:rsidTr="00F63F26">
        <w:trPr>
          <w:trHeight w:val="255"/>
        </w:trPr>
        <w:tc>
          <w:tcPr>
            <w:tcW w:w="2596" w:type="dxa"/>
            <w:tcBorders>
              <w:top w:val="nil"/>
              <w:left w:val="single" w:sz="4" w:space="0" w:color="auto"/>
              <w:bottom w:val="single" w:sz="4" w:space="0" w:color="auto"/>
              <w:right w:val="single" w:sz="4" w:space="0" w:color="auto"/>
            </w:tcBorders>
            <w:noWrap/>
            <w:hideMark/>
          </w:tcPr>
          <w:p w14:paraId="37E67BDF" w14:textId="77777777" w:rsidR="0074086C" w:rsidRPr="000F130C" w:rsidRDefault="0074086C" w:rsidP="0074086C">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2A0ACD2E" w14:textId="77777777" w:rsidR="0074086C" w:rsidRDefault="0074086C" w:rsidP="0074086C">
            <w:pPr>
              <w:pStyle w:val="TableText"/>
              <w:jc w:val="right"/>
              <w:rPr>
                <w:b/>
                <w:lang w:eastAsia="en-AU"/>
              </w:rPr>
            </w:pPr>
            <w:r>
              <w:rPr>
                <w:b/>
                <w:lang w:eastAsia="en-AU"/>
              </w:rPr>
              <w:t>$544K</w:t>
            </w:r>
          </w:p>
        </w:tc>
        <w:tc>
          <w:tcPr>
            <w:tcW w:w="1250" w:type="dxa"/>
            <w:tcBorders>
              <w:top w:val="nil"/>
              <w:left w:val="nil"/>
              <w:bottom w:val="single" w:sz="4" w:space="0" w:color="auto"/>
              <w:right w:val="single" w:sz="4" w:space="0" w:color="auto"/>
            </w:tcBorders>
          </w:tcPr>
          <w:p w14:paraId="7B6E2CE8" w14:textId="77777777" w:rsidR="0074086C" w:rsidRDefault="0074086C" w:rsidP="0074086C">
            <w:pPr>
              <w:pStyle w:val="TableText"/>
              <w:jc w:val="right"/>
              <w:rPr>
                <w:b/>
                <w:lang w:eastAsia="en-AU"/>
              </w:rPr>
            </w:pPr>
            <w:r>
              <w:rPr>
                <w:b/>
                <w:lang w:eastAsia="en-AU"/>
              </w:rPr>
              <w:t>$482K</w:t>
            </w:r>
          </w:p>
        </w:tc>
        <w:tc>
          <w:tcPr>
            <w:tcW w:w="1250" w:type="dxa"/>
            <w:tcBorders>
              <w:top w:val="nil"/>
              <w:left w:val="nil"/>
              <w:bottom w:val="single" w:sz="4" w:space="0" w:color="auto"/>
              <w:right w:val="single" w:sz="4" w:space="0" w:color="auto"/>
            </w:tcBorders>
          </w:tcPr>
          <w:p w14:paraId="4CBDC042" w14:textId="77777777" w:rsidR="0074086C" w:rsidRDefault="0074086C" w:rsidP="0074086C">
            <w:pPr>
              <w:pStyle w:val="TableText"/>
              <w:jc w:val="right"/>
              <w:rPr>
                <w:b/>
                <w:lang w:eastAsia="en-AU"/>
              </w:rPr>
            </w:pPr>
            <w:r>
              <w:rPr>
                <w:b/>
                <w:lang w:eastAsia="en-AU"/>
              </w:rPr>
              <w:t>$443K</w:t>
            </w:r>
          </w:p>
        </w:tc>
        <w:tc>
          <w:tcPr>
            <w:tcW w:w="1250" w:type="dxa"/>
            <w:tcBorders>
              <w:top w:val="nil"/>
              <w:left w:val="nil"/>
              <w:bottom w:val="single" w:sz="4" w:space="0" w:color="auto"/>
              <w:right w:val="single" w:sz="4" w:space="0" w:color="auto"/>
            </w:tcBorders>
            <w:vAlign w:val="center"/>
          </w:tcPr>
          <w:p w14:paraId="2685871C" w14:textId="77777777" w:rsidR="0074086C" w:rsidRPr="00EB7A8F" w:rsidRDefault="0074086C" w:rsidP="0074086C">
            <w:pPr>
              <w:pStyle w:val="TableText"/>
              <w:jc w:val="right"/>
              <w:rPr>
                <w:b/>
                <w:bCs/>
                <w:lang w:eastAsia="en-AU"/>
              </w:rPr>
            </w:pPr>
            <w:r>
              <w:rPr>
                <w:b/>
                <w:bCs/>
                <w:lang w:eastAsia="en-AU"/>
              </w:rPr>
              <w:t>$</w:t>
            </w:r>
            <w:r w:rsidRPr="00EB7A8F">
              <w:rPr>
                <w:b/>
                <w:bCs/>
                <w:lang w:eastAsia="en-AU"/>
              </w:rPr>
              <w:t>573</w:t>
            </w:r>
            <w:r>
              <w:rPr>
                <w:b/>
                <w:bCs/>
                <w:lang w:eastAsia="en-AU"/>
              </w:rPr>
              <w:t>K</w:t>
            </w:r>
          </w:p>
        </w:tc>
        <w:tc>
          <w:tcPr>
            <w:tcW w:w="1250" w:type="dxa"/>
            <w:tcBorders>
              <w:top w:val="nil"/>
              <w:left w:val="nil"/>
              <w:bottom w:val="single" w:sz="4" w:space="0" w:color="auto"/>
              <w:right w:val="single" w:sz="4" w:space="0" w:color="auto"/>
            </w:tcBorders>
            <w:vAlign w:val="center"/>
          </w:tcPr>
          <w:p w14:paraId="2E37DDD1" w14:textId="30131BDA" w:rsidR="0074086C" w:rsidRPr="0074086C" w:rsidRDefault="0074086C" w:rsidP="0074086C">
            <w:pPr>
              <w:pStyle w:val="TableText"/>
              <w:jc w:val="right"/>
              <w:rPr>
                <w:b/>
                <w:bCs/>
                <w:lang w:eastAsia="en-AU"/>
              </w:rPr>
            </w:pPr>
            <w:r>
              <w:rPr>
                <w:rFonts w:cs="Arial"/>
                <w:b/>
                <w:bCs/>
              </w:rPr>
              <w:t>$</w:t>
            </w:r>
            <w:r w:rsidRPr="0074086C">
              <w:rPr>
                <w:rFonts w:cs="Arial"/>
                <w:b/>
                <w:bCs/>
              </w:rPr>
              <w:t>510</w:t>
            </w:r>
            <w:r>
              <w:rPr>
                <w:rFonts w:cs="Arial"/>
                <w:b/>
                <w:bCs/>
              </w:rPr>
              <w:t>K</w:t>
            </w:r>
          </w:p>
        </w:tc>
      </w:tr>
    </w:tbl>
    <w:p w14:paraId="0091ED6B" w14:textId="77777777" w:rsidR="00544691" w:rsidRDefault="00544691" w:rsidP="00544691">
      <w:pPr>
        <w:ind w:left="-142" w:right="-425"/>
        <w:jc w:val="both"/>
        <w:rPr>
          <w:rFonts w:cs="Arial"/>
        </w:rPr>
      </w:pPr>
    </w:p>
    <w:p w14:paraId="0CFC51BD" w14:textId="29893A70"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402A0760"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51001E73"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0F3D4B">
              <w:rPr>
                <w:rFonts w:ascii="Arial" w:hAnsi="Arial" w:cs="Arial"/>
                <w:b/>
                <w:bCs/>
                <w:noProof/>
                <w:lang w:val="en-US"/>
              </w:rPr>
              <w:t xml:space="preserve">July </w:t>
            </w:r>
            <w:r>
              <w:rPr>
                <w:rFonts w:ascii="Arial" w:hAnsi="Arial" w:cs="Arial"/>
                <w:b/>
                <w:bCs/>
                <w:noProof/>
                <w:lang w:val="en-US"/>
              </w:rPr>
              <w:t>20</w:t>
            </w:r>
            <w:r w:rsidR="001A5CE8">
              <w:rPr>
                <w:rFonts w:ascii="Arial" w:hAnsi="Arial" w:cs="Arial"/>
                <w:b/>
                <w:bCs/>
                <w:noProof/>
                <w:lang w:val="en-US"/>
              </w:rPr>
              <w:t>20</w:t>
            </w:r>
            <w:r>
              <w:rPr>
                <w:rFonts w:ascii="Arial" w:hAnsi="Arial" w:cs="Arial"/>
                <w:b/>
                <w:bCs/>
                <w:noProof/>
                <w:lang w:val="en-US"/>
              </w:rPr>
              <w:t xml:space="preserve"> to 3</w:t>
            </w:r>
            <w:r w:rsidR="000F3D4B">
              <w:rPr>
                <w:rFonts w:ascii="Arial" w:hAnsi="Arial" w:cs="Arial"/>
                <w:b/>
                <w:bCs/>
                <w:noProof/>
                <w:lang w:val="en-US"/>
              </w:rPr>
              <w:t xml:space="preserve">1 December </w:t>
            </w:r>
            <w:r>
              <w:rPr>
                <w:rFonts w:ascii="Arial" w:hAnsi="Arial" w:cs="Arial"/>
                <w:b/>
                <w:bCs/>
                <w:noProof/>
                <w:lang w:val="en-US"/>
              </w:rPr>
              <w:t>20</w:t>
            </w:r>
            <w:r w:rsidR="001A5CE8">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79EDD674" w14:textId="2769D727"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5743B9EE"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6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Cooktown Circuit</w:t>
            </w:r>
          </w:p>
        </w:tc>
      </w:tr>
      <w:tr w:rsidR="00EB0D94" w:rsidRPr="00BC2C5D" w14:paraId="7C66C142" w14:textId="77777777" w:rsidTr="002B2062">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AD227FB"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13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731C4540"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auto"/>
            <w:vAlign w:val="center"/>
          </w:tcPr>
          <w:p w14:paraId="1E99A741"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07B23DF6"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1D0F8B4A" w:rsidR="00EB0D94" w:rsidRPr="007B3063" w:rsidRDefault="006C79D3" w:rsidP="00EB0D94">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CBD91C1" w14:textId="77777777" w:rsidR="002B2062" w:rsidRPr="008E728C" w:rsidRDefault="002B2062" w:rsidP="002B2062">
            <w:pPr>
              <w:jc w:val="center"/>
              <w:rPr>
                <w:rFonts w:ascii="Arial Narrow" w:hAnsi="Arial Narrow" w:cs="Arial"/>
                <w:sz w:val="16"/>
                <w:szCs w:val="16"/>
                <w:highlight w:val="yellow"/>
              </w:rPr>
            </w:pPr>
            <w:r w:rsidRPr="008E728C">
              <w:rPr>
                <w:rFonts w:ascii="Arial Narrow" w:hAnsi="Arial Narrow" w:cs="Arial"/>
                <w:sz w:val="16"/>
                <w:szCs w:val="16"/>
                <w:highlight w:val="yellow"/>
              </w:rPr>
              <w:t>17 Cairns Show Day</w:t>
            </w:r>
          </w:p>
          <w:p w14:paraId="623BE6F6" w14:textId="77777777"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304C5BB3" w14:textId="2F184FFF" w:rsidR="00EB0D94" w:rsidRPr="008E728C" w:rsidRDefault="00EB0D94" w:rsidP="00EB0D94">
            <w:pPr>
              <w:jc w:val="center"/>
              <w:rPr>
                <w:rFonts w:ascii="Arial Narrow" w:hAnsi="Arial Narrow"/>
                <w:color w:val="31849B"/>
                <w:sz w:val="16"/>
                <w:szCs w:val="16"/>
              </w:rPr>
            </w:pPr>
            <w:r w:rsidRPr="008E728C">
              <w:rPr>
                <w:rFonts w:ascii="Arial Narrow" w:hAnsi="Arial Narrow"/>
                <w:color w:val="31849B"/>
                <w:sz w:val="16"/>
                <w:szCs w:val="16"/>
              </w:rPr>
              <w:t>Aurukun Cape B &amp; Coen Cape A Circuit</w:t>
            </w:r>
          </w:p>
        </w:tc>
      </w:tr>
      <w:tr w:rsidR="0005429E" w:rsidRPr="00BC2C5D" w14:paraId="5BA53CBD" w14:textId="77777777" w:rsidTr="00D849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67A4FFB0"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20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2F1D95FB" w:rsidR="0005429E" w:rsidRPr="004E471D" w:rsidRDefault="0005429E" w:rsidP="00EB0D94">
            <w:pPr>
              <w:jc w:val="center"/>
              <w:rPr>
                <w:rFonts w:ascii="Arial Narrow" w:hAnsi="Arial Narrow" w:cs="Arial"/>
                <w:sz w:val="16"/>
                <w:szCs w:val="16"/>
              </w:rPr>
            </w:pPr>
            <w:r w:rsidRPr="006C79D3">
              <w:rPr>
                <w:rFonts w:ascii="Arial Narrow" w:hAnsi="Arial Narrow" w:cs="Arial"/>
                <w:sz w:val="16"/>
                <w:szCs w:val="16"/>
                <w:highlight w:val="yellow"/>
              </w:rPr>
              <w:t>Public Holiday</w:t>
            </w:r>
          </w:p>
        </w:tc>
        <w:tc>
          <w:tcPr>
            <w:tcW w:w="1162" w:type="dxa"/>
            <w:tcBorders>
              <w:top w:val="single" w:sz="18" w:space="0" w:color="BFBFBF"/>
              <w:left w:val="single" w:sz="18" w:space="0" w:color="C0C0C0"/>
              <w:bottom w:val="nil"/>
              <w:right w:val="single" w:sz="18" w:space="0" w:color="BFBFBF"/>
              <w:tr2bl w:val="nil"/>
            </w:tcBorders>
            <w:shd w:val="clear" w:color="auto" w:fill="FF0000"/>
            <w:vAlign w:val="center"/>
          </w:tcPr>
          <w:p w14:paraId="346AA547" w14:textId="7202487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A536749" w14:textId="4C32E61C"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22</w:t>
            </w:r>
          </w:p>
        </w:tc>
        <w:tc>
          <w:tcPr>
            <w:tcW w:w="1162" w:type="dxa"/>
            <w:vMerge w:val="restart"/>
            <w:tcBorders>
              <w:top w:val="single" w:sz="18" w:space="0" w:color="BFBFBF"/>
              <w:left w:val="single" w:sz="18" w:space="0" w:color="C0C0C0"/>
              <w:right w:val="single" w:sz="18" w:space="0" w:color="C0C0C0"/>
            </w:tcBorders>
            <w:shd w:val="clear" w:color="auto" w:fill="769245"/>
            <w:vAlign w:val="center"/>
          </w:tcPr>
          <w:p w14:paraId="6CAE5B32" w14:textId="78A3241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C77EE51" w:rsidR="0005429E" w:rsidRPr="004E471D"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C8C40F7" w14:textId="4E23C8F7" w:rsidR="0005429E" w:rsidRPr="008E728C" w:rsidRDefault="0005429E" w:rsidP="00EB0D94">
            <w:pPr>
              <w:jc w:val="center"/>
              <w:rPr>
                <w:rFonts w:ascii="Arial Narrow" w:hAnsi="Arial Narrow" w:cs="Arial"/>
                <w:sz w:val="16"/>
                <w:szCs w:val="16"/>
              </w:rPr>
            </w:pPr>
            <w:r w:rsidRPr="008E728C">
              <w:rPr>
                <w:rFonts w:ascii="Arial Narrow" w:hAnsi="Arial Narrow" w:cs="Arial"/>
                <w:sz w:val="16"/>
                <w:szCs w:val="16"/>
                <w:highlight w:val="yellow"/>
              </w:rPr>
              <w:t>20 Mossman Show Day</w:t>
            </w:r>
          </w:p>
        </w:tc>
      </w:tr>
      <w:tr w:rsidR="0005429E" w:rsidRPr="00BC2C5D" w14:paraId="0C69CA19"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77050632"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6CB9CC9" w14:textId="77777777" w:rsidR="0005429E" w:rsidRPr="006C79D3" w:rsidRDefault="0005429E" w:rsidP="00EB0D94">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r2bl w:val="nil"/>
            </w:tcBorders>
            <w:shd w:val="clear" w:color="auto" w:fill="31849B"/>
            <w:vAlign w:val="center"/>
          </w:tcPr>
          <w:p w14:paraId="1C4A7ECC" w14:textId="55C150EC"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tcBorders>
              <w:left w:val="single" w:sz="18" w:space="0" w:color="BFBFBF"/>
              <w:right w:val="single" w:sz="18" w:space="0" w:color="C0C0C0"/>
            </w:tcBorders>
            <w:shd w:val="clear" w:color="auto" w:fill="auto"/>
            <w:vAlign w:val="center"/>
          </w:tcPr>
          <w:p w14:paraId="70EF1F4A"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769245"/>
            <w:vAlign w:val="center"/>
          </w:tcPr>
          <w:p w14:paraId="20904927"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5A532CF7" w14:textId="77777777" w:rsidR="0005429E" w:rsidRPr="004E471D"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43F0EABA" w14:textId="77777777" w:rsidR="0005429E" w:rsidRPr="008E728C" w:rsidRDefault="0005429E" w:rsidP="00EB0D94">
            <w:pPr>
              <w:jc w:val="center"/>
              <w:rPr>
                <w:rFonts w:ascii="Arial Narrow" w:hAnsi="Arial Narrow" w:cs="Arial"/>
                <w:sz w:val="16"/>
                <w:szCs w:val="16"/>
                <w:highlight w:val="yellow"/>
              </w:rPr>
            </w:pPr>
          </w:p>
        </w:tc>
      </w:tr>
      <w:tr w:rsidR="0005429E" w:rsidRPr="00BC2C5D" w14:paraId="3FC520FE" w14:textId="77777777" w:rsidTr="00D849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2E2D6A4E" w:rsidR="0005429E" w:rsidRPr="00A634FA" w:rsidRDefault="0005429E" w:rsidP="00EB0D94">
            <w:pPr>
              <w:jc w:val="center"/>
              <w:rPr>
                <w:rFonts w:ascii="Arial Narrow" w:hAnsi="Arial Narrow" w:cs="Arial"/>
                <w:sz w:val="16"/>
                <w:szCs w:val="16"/>
              </w:rPr>
            </w:pPr>
            <w:r>
              <w:rPr>
                <w:rFonts w:ascii="Arial Narrow" w:hAnsi="Arial Narrow" w:cs="Arial"/>
                <w:sz w:val="16"/>
                <w:szCs w:val="16"/>
              </w:rPr>
              <w:t>27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4D14B982" w:rsidR="0005429E" w:rsidRPr="004E471D"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A972A9"/>
            <w:vAlign w:val="center"/>
          </w:tcPr>
          <w:p w14:paraId="211F9DD8" w14:textId="6340A633"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54F73A57" w14:textId="7F93B82D"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29</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2B85F166" w14:textId="632CDBC2"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30</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05429E" w:rsidRPr="004E471D"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05854169" w:rsidR="0005429E" w:rsidRPr="008E728C" w:rsidRDefault="0005429E" w:rsidP="00EB0D94">
            <w:pPr>
              <w:jc w:val="center"/>
              <w:rPr>
                <w:rFonts w:ascii="Arial Narrow" w:hAnsi="Arial Narrow" w:cs="Arial"/>
                <w:sz w:val="16"/>
                <w:szCs w:val="16"/>
              </w:rPr>
            </w:pPr>
          </w:p>
        </w:tc>
      </w:tr>
      <w:tr w:rsidR="0005429E" w:rsidRPr="00BC2C5D" w14:paraId="585CD889" w14:textId="77777777" w:rsidTr="00D8497C">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49BA0C0C"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016CFF6E" w14:textId="77777777" w:rsidR="0005429E" w:rsidRPr="004E471D"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FFFF00"/>
            <w:vAlign w:val="center"/>
          </w:tcPr>
          <w:p w14:paraId="4D8FD4FC" w14:textId="16701F8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21EA9FF7"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C0C0C0"/>
            </w:tcBorders>
            <w:shd w:val="clear" w:color="auto" w:fill="auto"/>
            <w:vAlign w:val="center"/>
          </w:tcPr>
          <w:p w14:paraId="4107928F"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5A8E4AE5" w14:textId="77777777" w:rsidR="0005429E" w:rsidRPr="004E471D" w:rsidRDefault="0005429E"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1FDC0FF4" w14:textId="77777777" w:rsidR="0005429E" w:rsidRPr="008E728C" w:rsidRDefault="0005429E" w:rsidP="00EB0D94">
            <w:pPr>
              <w:jc w:val="center"/>
              <w:rPr>
                <w:rFonts w:ascii="Arial Narrow" w:hAnsi="Arial Narrow" w:cs="Arial"/>
                <w:sz w:val="16"/>
                <w:szCs w:val="16"/>
              </w:rPr>
            </w:pPr>
          </w:p>
        </w:tc>
      </w:tr>
      <w:tr w:rsidR="0005429E" w:rsidRPr="00BC2C5D" w14:paraId="20327535" w14:textId="77777777" w:rsidTr="00D8497C">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088F8A57" w14:textId="2BAA52D7"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3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5BAEBD3" w14:textId="77777777" w:rsidR="0005429E" w:rsidRPr="00A634FA" w:rsidRDefault="0005429E" w:rsidP="00EB0D94">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cBorders>
            <w:shd w:val="clear" w:color="auto" w:fill="auto"/>
            <w:vAlign w:val="center"/>
          </w:tcPr>
          <w:p w14:paraId="6EF5A450" w14:textId="409405A8" w:rsidR="0005429E" w:rsidRPr="00D8497C" w:rsidRDefault="0005429E" w:rsidP="00EB0D94">
            <w:pPr>
              <w:jc w:val="center"/>
              <w:rPr>
                <w:rFonts w:ascii="Arial Narrow" w:hAnsi="Arial Narrow" w:cs="Arial"/>
                <w:sz w:val="16"/>
                <w:szCs w:val="16"/>
              </w:rPr>
            </w:pPr>
            <w:r w:rsidRPr="00D8497C">
              <w:rPr>
                <w:rFonts w:ascii="Arial Narrow" w:hAnsi="Arial Narrow" w:cs="Arial"/>
                <w:sz w:val="16"/>
                <w:szCs w:val="16"/>
                <w:highlight w:val="yellow"/>
              </w:rPr>
              <w:t>Public Holiday</w:t>
            </w:r>
          </w:p>
        </w:tc>
        <w:tc>
          <w:tcPr>
            <w:tcW w:w="1162" w:type="dxa"/>
            <w:vMerge w:val="restart"/>
            <w:tcBorders>
              <w:top w:val="single" w:sz="18" w:space="0" w:color="auto"/>
              <w:left w:val="single" w:sz="18" w:space="0" w:color="BFBFBF"/>
              <w:right w:val="single" w:sz="18" w:space="0" w:color="C0C0C0"/>
            </w:tcBorders>
            <w:shd w:val="clear" w:color="auto" w:fill="FF0000"/>
            <w:vAlign w:val="center"/>
          </w:tcPr>
          <w:p w14:paraId="60AD86C6" w14:textId="66753B87"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5</w:t>
            </w:r>
          </w:p>
        </w:tc>
        <w:tc>
          <w:tcPr>
            <w:tcW w:w="1162" w:type="dxa"/>
            <w:tcBorders>
              <w:top w:val="single" w:sz="18" w:space="0" w:color="auto"/>
              <w:left w:val="single" w:sz="18" w:space="0" w:color="C0C0C0"/>
              <w:bottom w:val="nil"/>
              <w:right w:val="single" w:sz="18" w:space="0" w:color="C0C0C0"/>
            </w:tcBorders>
            <w:shd w:val="clear" w:color="auto" w:fill="FF0000"/>
            <w:vAlign w:val="center"/>
          </w:tcPr>
          <w:p w14:paraId="7C18418D" w14:textId="3A799591"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6</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54A9F445" w14:textId="77777777" w:rsidR="0005429E" w:rsidRPr="008E728C" w:rsidRDefault="0005429E" w:rsidP="002B2062">
            <w:pPr>
              <w:jc w:val="center"/>
              <w:rPr>
                <w:rFonts w:ascii="Arial Narrow" w:hAnsi="Arial Narrow" w:cs="Arial"/>
                <w:sz w:val="16"/>
                <w:szCs w:val="16"/>
              </w:rPr>
            </w:pPr>
            <w:r w:rsidRPr="008E728C">
              <w:rPr>
                <w:rFonts w:ascii="Arial Narrow" w:hAnsi="Arial Narrow" w:cs="Arial"/>
                <w:sz w:val="16"/>
                <w:szCs w:val="16"/>
                <w:highlight w:val="yellow"/>
              </w:rPr>
              <w:t>4 Aurukun Day</w:t>
            </w:r>
          </w:p>
          <w:p w14:paraId="71568B7F" w14:textId="07E62A7B" w:rsidR="0005429E" w:rsidRPr="008E728C" w:rsidRDefault="00CA5C49" w:rsidP="00EB0D94">
            <w:pPr>
              <w:jc w:val="center"/>
              <w:rPr>
                <w:rFonts w:ascii="Arial Narrow" w:hAnsi="Arial Narrow"/>
                <w:color w:val="31849B"/>
                <w:sz w:val="16"/>
                <w:szCs w:val="16"/>
              </w:rPr>
            </w:pPr>
            <w:r>
              <w:rPr>
                <w:rFonts w:ascii="Arial Narrow" w:hAnsi="Arial Narrow"/>
                <w:color w:val="31849B"/>
                <w:sz w:val="16"/>
                <w:szCs w:val="16"/>
              </w:rPr>
              <w:t xml:space="preserve">Cooktown </w:t>
            </w:r>
            <w:r w:rsidR="0005429E" w:rsidRPr="008E728C">
              <w:rPr>
                <w:rFonts w:ascii="Arial Narrow" w:hAnsi="Arial Narrow"/>
                <w:color w:val="31849B"/>
                <w:sz w:val="16"/>
                <w:szCs w:val="16"/>
              </w:rPr>
              <w:t>Circuit</w:t>
            </w:r>
          </w:p>
        </w:tc>
      </w:tr>
      <w:tr w:rsidR="0005429E" w:rsidRPr="00BC2C5D" w14:paraId="57352DC4" w14:textId="77777777" w:rsidTr="00D8497C">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651BFA08"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D53FCA3" w14:textId="77777777" w:rsidR="0005429E" w:rsidRPr="00A634FA" w:rsidRDefault="0005429E" w:rsidP="00EB0D94">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auto"/>
            <w:vAlign w:val="center"/>
          </w:tcPr>
          <w:p w14:paraId="1A100376" w14:textId="77777777" w:rsidR="0005429E" w:rsidRPr="00D8497C" w:rsidRDefault="0005429E" w:rsidP="00EB0D94">
            <w:pPr>
              <w:jc w:val="center"/>
              <w:rPr>
                <w:rFonts w:ascii="Arial Narrow" w:hAnsi="Arial Narrow" w:cs="Arial"/>
                <w:b/>
                <w:bCs/>
                <w:sz w:val="16"/>
                <w:szCs w:val="16"/>
                <w:highlight w:val="yellow"/>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73617E49"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45"/>
            <w:vAlign w:val="center"/>
          </w:tcPr>
          <w:p w14:paraId="7E36AE1A" w14:textId="656BA840"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6</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12C217C1"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3B1607C7" w14:textId="77777777" w:rsidR="0005429E" w:rsidRPr="008E728C" w:rsidRDefault="0005429E" w:rsidP="002B2062">
            <w:pPr>
              <w:jc w:val="center"/>
              <w:rPr>
                <w:rFonts w:ascii="Arial Narrow" w:hAnsi="Arial Narrow" w:cs="Arial"/>
                <w:sz w:val="16"/>
                <w:szCs w:val="16"/>
                <w:highlight w:val="yellow"/>
              </w:rPr>
            </w:pPr>
          </w:p>
        </w:tc>
      </w:tr>
      <w:tr w:rsidR="0005429E" w:rsidRPr="00BC2C5D" w14:paraId="34AF6A84" w14:textId="77777777" w:rsidTr="00D8497C">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3D375699" w:rsidR="0005429E" w:rsidRDefault="0005429E" w:rsidP="00EB0D94">
            <w:pPr>
              <w:jc w:val="center"/>
              <w:rPr>
                <w:rFonts w:ascii="Arial Narrow" w:hAnsi="Arial Narrow" w:cs="Arial"/>
                <w:sz w:val="16"/>
                <w:szCs w:val="16"/>
              </w:rPr>
            </w:pPr>
            <w:r w:rsidRPr="00EB0D94">
              <w:rPr>
                <w:rFonts w:ascii="Arial Narrow" w:hAnsi="Arial Narrow" w:cs="Arial"/>
                <w:sz w:val="16"/>
                <w:szCs w:val="16"/>
              </w:rPr>
              <w:t>10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34B4531E" w14:textId="3F354EDE"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04E57ED8" w14:textId="0096B32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733FC8E2" w14:textId="7B13E689"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8F14CB8" w14:textId="7777777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37A79FEF" w14:textId="7C18FD9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Aurukun Cape B Circuit</w:t>
            </w:r>
          </w:p>
        </w:tc>
      </w:tr>
      <w:tr w:rsidR="0005429E" w:rsidRPr="00BC2C5D" w14:paraId="7A4D2943"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5EDBBA8D"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908A24"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7A105586" w14:textId="5EEA46E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vMerge/>
            <w:tcBorders>
              <w:left w:val="single" w:sz="18" w:space="0" w:color="BFBFBF"/>
              <w:right w:val="single" w:sz="18" w:space="0" w:color="C0C0C0"/>
            </w:tcBorders>
            <w:shd w:val="clear" w:color="auto" w:fill="auto"/>
            <w:vAlign w:val="center"/>
          </w:tcPr>
          <w:p w14:paraId="5FADFCB3"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0C44528"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749DD91C"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69EEF3F" w14:textId="77777777" w:rsidR="0005429E" w:rsidRPr="008E728C" w:rsidRDefault="0005429E" w:rsidP="002B2062">
            <w:pPr>
              <w:jc w:val="center"/>
              <w:rPr>
                <w:rFonts w:ascii="Arial Narrow" w:hAnsi="Arial Narrow"/>
                <w:color w:val="31849B"/>
                <w:sz w:val="16"/>
                <w:szCs w:val="16"/>
              </w:rPr>
            </w:pPr>
          </w:p>
        </w:tc>
      </w:tr>
      <w:tr w:rsidR="0005429E" w:rsidRPr="00BC2C5D" w14:paraId="2980BC10" w14:textId="77777777" w:rsidTr="00D849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23F936D1" w:rsidR="0005429E" w:rsidRPr="00A634FA" w:rsidRDefault="0005429E" w:rsidP="00EB0D94">
            <w:pPr>
              <w:jc w:val="center"/>
              <w:rPr>
                <w:rFonts w:ascii="Arial Narrow" w:hAnsi="Arial Narrow" w:cs="Arial"/>
                <w:sz w:val="16"/>
                <w:szCs w:val="16"/>
              </w:rPr>
            </w:pPr>
            <w:r>
              <w:rPr>
                <w:rFonts w:ascii="Arial Narrow" w:hAnsi="Arial Narrow" w:cs="Arial"/>
                <w:sz w:val="16"/>
                <w:szCs w:val="16"/>
              </w:rPr>
              <w:t>17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1BD711E" w14:textId="2B74BBAA"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3BA986A2" w14:textId="7968612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19</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719EBC8E" w14:textId="6AB1F43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05429E" w:rsidRPr="00A634FA" w:rsidRDefault="0005429E"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05429E" w:rsidRPr="008E728C" w:rsidRDefault="0005429E" w:rsidP="00EB0D94">
            <w:pPr>
              <w:jc w:val="center"/>
              <w:rPr>
                <w:rFonts w:ascii="Arial Narrow" w:hAnsi="Arial Narrow"/>
                <w:sz w:val="16"/>
                <w:szCs w:val="16"/>
              </w:rPr>
            </w:pPr>
          </w:p>
        </w:tc>
      </w:tr>
      <w:tr w:rsidR="0005429E" w:rsidRPr="00BC2C5D" w14:paraId="4A0D7192"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1C7D5C2C"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045BB36"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5E2BB512" w14:textId="4D32075B"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tcBorders>
              <w:left w:val="single" w:sz="18" w:space="0" w:color="BFBFBF"/>
              <w:right w:val="single" w:sz="18" w:space="0" w:color="C0C0C0"/>
            </w:tcBorders>
            <w:shd w:val="clear" w:color="auto" w:fill="auto"/>
            <w:vAlign w:val="center"/>
          </w:tcPr>
          <w:p w14:paraId="4DCE650E"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0207AB0C" w14:textId="27D6A6A6"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20</w:t>
            </w:r>
          </w:p>
        </w:tc>
        <w:tc>
          <w:tcPr>
            <w:tcW w:w="1162" w:type="dxa"/>
            <w:vMerge/>
            <w:tcBorders>
              <w:left w:val="single" w:sz="18" w:space="0" w:color="C0C0C0"/>
              <w:right w:val="single" w:sz="18" w:space="0" w:color="auto"/>
            </w:tcBorders>
            <w:shd w:val="clear" w:color="auto" w:fill="auto"/>
            <w:vAlign w:val="center"/>
          </w:tcPr>
          <w:p w14:paraId="7B39A07B" w14:textId="77777777" w:rsidR="0005429E" w:rsidRPr="00A634FA" w:rsidRDefault="0005429E"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CCE8692" w14:textId="77777777" w:rsidR="0005429E" w:rsidRPr="008E728C" w:rsidRDefault="0005429E" w:rsidP="00EB0D94">
            <w:pPr>
              <w:jc w:val="center"/>
              <w:rPr>
                <w:rFonts w:ascii="Arial Narrow" w:hAnsi="Arial Narrow"/>
                <w:sz w:val="16"/>
                <w:szCs w:val="16"/>
              </w:rPr>
            </w:pPr>
          </w:p>
        </w:tc>
      </w:tr>
      <w:tr w:rsidR="0005429E" w:rsidRPr="00BC2C5D" w14:paraId="3066009B" w14:textId="77777777" w:rsidTr="00D849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306114BC" w:rsidR="0005429E" w:rsidRPr="00A634FA" w:rsidRDefault="0005429E" w:rsidP="00EB0D94">
            <w:pPr>
              <w:jc w:val="center"/>
              <w:rPr>
                <w:rFonts w:ascii="Arial Narrow" w:hAnsi="Arial Narrow" w:cs="Arial"/>
                <w:sz w:val="16"/>
                <w:szCs w:val="16"/>
              </w:rPr>
            </w:pPr>
            <w:r>
              <w:rPr>
                <w:rFonts w:ascii="Arial Narrow" w:hAnsi="Arial Narrow" w:cs="Arial"/>
                <w:sz w:val="16"/>
                <w:szCs w:val="16"/>
              </w:rPr>
              <w:t>24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63E8B25A" w14:textId="29CCF862"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10F20E7" w14:textId="37757DFB"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6C6E2192" w14:textId="00D60A63" w:rsidR="0005429E" w:rsidRPr="00D8497C" w:rsidRDefault="0005429E" w:rsidP="00EB0D94">
            <w:pPr>
              <w:jc w:val="center"/>
              <w:rPr>
                <w:rFonts w:ascii="Arial Narrow" w:hAnsi="Arial Narrow" w:cs="Arial"/>
                <w:b/>
                <w:bCs/>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09A9D1BB" w:rsidR="0005429E" w:rsidRPr="00313AD9" w:rsidRDefault="0005429E" w:rsidP="00EB0D94">
            <w:pPr>
              <w:jc w:val="center"/>
              <w:rPr>
                <w:rFonts w:ascii="Arial Narrow" w:hAnsi="Arial Narrow" w:cs="Arial"/>
                <w:sz w:val="16"/>
                <w:szCs w:val="16"/>
              </w:rPr>
            </w:pPr>
            <w:r w:rsidRPr="006C79D3">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4BE871F4" w:rsidR="0005429E" w:rsidRPr="008E728C" w:rsidRDefault="0005429E" w:rsidP="00EB0D94">
            <w:pPr>
              <w:jc w:val="center"/>
              <w:rPr>
                <w:rFonts w:ascii="Arial Narrow" w:hAnsi="Arial Narrow"/>
                <w:color w:val="31849B"/>
                <w:sz w:val="16"/>
                <w:szCs w:val="16"/>
              </w:rPr>
            </w:pPr>
            <w:r w:rsidRPr="008E728C">
              <w:rPr>
                <w:rFonts w:ascii="Arial Narrow" w:hAnsi="Arial Narrow" w:cs="Arial"/>
                <w:sz w:val="16"/>
                <w:szCs w:val="16"/>
                <w:highlight w:val="yellow"/>
              </w:rPr>
              <w:t>28 Doomadgee Day</w:t>
            </w:r>
          </w:p>
        </w:tc>
      </w:tr>
      <w:tr w:rsidR="0005429E" w:rsidRPr="00BC2C5D" w14:paraId="5866AF96" w14:textId="77777777" w:rsidTr="00D8497C">
        <w:trPr>
          <w:trHeight w:val="285"/>
        </w:trPr>
        <w:tc>
          <w:tcPr>
            <w:tcW w:w="1526" w:type="dxa"/>
            <w:vMerge/>
            <w:tcBorders>
              <w:left w:val="single" w:sz="18" w:space="0" w:color="auto"/>
              <w:right w:val="single" w:sz="18" w:space="0" w:color="C0C0C0"/>
            </w:tcBorders>
            <w:shd w:val="clear" w:color="auto" w:fill="auto"/>
            <w:vAlign w:val="center"/>
          </w:tcPr>
          <w:p w14:paraId="0C914EA2" w14:textId="77777777" w:rsidR="0005429E"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D8257AC"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C6A2B83" w14:textId="06C00A6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vMerge/>
            <w:tcBorders>
              <w:left w:val="single" w:sz="18" w:space="0" w:color="BFBFBF"/>
              <w:right w:val="single" w:sz="18" w:space="0" w:color="C0C0C0"/>
            </w:tcBorders>
            <w:shd w:val="clear" w:color="auto" w:fill="auto"/>
            <w:vAlign w:val="center"/>
          </w:tcPr>
          <w:p w14:paraId="20142C1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40ED211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41C2170" w14:textId="77777777" w:rsidR="0005429E" w:rsidRPr="006C79D3" w:rsidRDefault="0005429E" w:rsidP="00EB0D94">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263B9F9A" w14:textId="77777777" w:rsidR="0005429E" w:rsidRPr="008E728C" w:rsidRDefault="0005429E" w:rsidP="00EB0D94">
            <w:pPr>
              <w:jc w:val="center"/>
              <w:rPr>
                <w:rFonts w:ascii="Arial Narrow" w:hAnsi="Arial Narrow" w:cs="Arial"/>
                <w:sz w:val="16"/>
                <w:szCs w:val="16"/>
                <w:highlight w:val="yellow"/>
              </w:rPr>
            </w:pPr>
          </w:p>
        </w:tc>
      </w:tr>
      <w:tr w:rsidR="0005429E" w:rsidRPr="00BC2C5D" w14:paraId="4F42726F" w14:textId="77777777" w:rsidTr="00B52F71">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547AAE0E" w14:textId="2250241B" w:rsidR="0005429E" w:rsidRPr="00A634FA" w:rsidRDefault="0005429E" w:rsidP="00EB0D94">
            <w:pPr>
              <w:jc w:val="center"/>
              <w:rPr>
                <w:rFonts w:ascii="Arial Narrow" w:hAnsi="Arial Narrow" w:cs="Arial"/>
                <w:sz w:val="16"/>
                <w:szCs w:val="16"/>
              </w:rPr>
            </w:pPr>
            <w:r w:rsidRPr="00EB0D94">
              <w:rPr>
                <w:rFonts w:ascii="Arial Narrow" w:hAnsi="Arial Narrow" w:cs="Arial"/>
                <w:sz w:val="16"/>
                <w:szCs w:val="16"/>
              </w:rPr>
              <w:t>31 August</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01743E49" w14:textId="77777777" w:rsidR="0005429E" w:rsidRPr="00A634FA" w:rsidRDefault="0005429E"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38618E9" w14:textId="105BE438"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768ACC" w14:textId="304EE0CE"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2</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20B7857C" w14:textId="5D131BF8" w:rsidR="0005429E"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B88A390"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03F7AA07" w14:textId="77777777" w:rsidR="0005429E" w:rsidRPr="008E728C" w:rsidRDefault="0005429E" w:rsidP="00EB0D94">
            <w:pPr>
              <w:jc w:val="center"/>
              <w:rPr>
                <w:rFonts w:ascii="Arial Narrow" w:hAnsi="Arial Narrow" w:cs="Arial"/>
                <w:sz w:val="16"/>
                <w:szCs w:val="16"/>
              </w:rPr>
            </w:pPr>
          </w:p>
        </w:tc>
      </w:tr>
      <w:tr w:rsidR="0005429E" w:rsidRPr="00BC2C5D" w14:paraId="6B0B78B6" w14:textId="77777777" w:rsidTr="00B52F71">
        <w:trPr>
          <w:trHeight w:val="285"/>
        </w:trPr>
        <w:tc>
          <w:tcPr>
            <w:tcW w:w="1526" w:type="dxa"/>
            <w:vMerge/>
            <w:tcBorders>
              <w:left w:val="single" w:sz="18" w:space="0" w:color="auto"/>
              <w:right w:val="single" w:sz="18" w:space="0" w:color="C0C0C0"/>
            </w:tcBorders>
            <w:shd w:val="clear" w:color="auto" w:fill="auto"/>
            <w:vAlign w:val="center"/>
          </w:tcPr>
          <w:p w14:paraId="3CD21FD9" w14:textId="77777777" w:rsidR="0005429E" w:rsidRPr="00EB0D94"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1C9562" w14:textId="77777777" w:rsidR="0005429E" w:rsidRPr="00A634FA" w:rsidRDefault="0005429E"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79BAA5E" w14:textId="4124F0D4" w:rsidR="0005429E" w:rsidRPr="00D8497C" w:rsidRDefault="007B2D95" w:rsidP="00EB0D94">
            <w:pPr>
              <w:jc w:val="center"/>
              <w:rPr>
                <w:rFonts w:ascii="Arial Narrow" w:hAnsi="Arial Narrow" w:cs="Arial"/>
                <w:b/>
                <w:bCs/>
                <w:sz w:val="16"/>
                <w:szCs w:val="16"/>
              </w:rPr>
            </w:pPr>
            <w:r w:rsidRPr="00D8497C">
              <w:rPr>
                <w:rFonts w:ascii="Arial Narrow" w:hAnsi="Arial Narrow" w:cs="Arial"/>
                <w:b/>
                <w:bCs/>
                <w:sz w:val="16"/>
                <w:szCs w:val="16"/>
              </w:rPr>
              <w:t>1</w:t>
            </w:r>
          </w:p>
        </w:tc>
        <w:tc>
          <w:tcPr>
            <w:tcW w:w="1162" w:type="dxa"/>
            <w:vMerge/>
            <w:tcBorders>
              <w:left w:val="single" w:sz="18" w:space="0" w:color="BFBFBF"/>
              <w:right w:val="single" w:sz="18" w:space="0" w:color="C0C0C0"/>
            </w:tcBorders>
            <w:shd w:val="clear" w:color="auto" w:fill="auto"/>
            <w:vAlign w:val="center"/>
          </w:tcPr>
          <w:p w14:paraId="69E3A2DA" w14:textId="77777777" w:rsidR="0005429E" w:rsidRPr="00D8497C" w:rsidRDefault="0005429E"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45"/>
            <w:vAlign w:val="center"/>
          </w:tcPr>
          <w:p w14:paraId="5CEB62B4" w14:textId="4137D8E5" w:rsidR="0005429E"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3</w:t>
            </w:r>
          </w:p>
        </w:tc>
        <w:tc>
          <w:tcPr>
            <w:tcW w:w="1162" w:type="dxa"/>
            <w:vMerge/>
            <w:tcBorders>
              <w:left w:val="single" w:sz="18" w:space="0" w:color="C0C0C0"/>
              <w:right w:val="single" w:sz="18" w:space="0" w:color="auto"/>
            </w:tcBorders>
            <w:shd w:val="clear" w:color="auto" w:fill="auto"/>
            <w:vAlign w:val="center"/>
          </w:tcPr>
          <w:p w14:paraId="4D36879B"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FFD1495" w14:textId="77777777" w:rsidR="0005429E" w:rsidRPr="008E728C" w:rsidRDefault="0005429E" w:rsidP="00EB0D94">
            <w:pPr>
              <w:jc w:val="center"/>
              <w:rPr>
                <w:rFonts w:ascii="Arial Narrow" w:hAnsi="Arial Narrow" w:cs="Arial"/>
                <w:sz w:val="16"/>
                <w:szCs w:val="16"/>
              </w:rPr>
            </w:pPr>
          </w:p>
        </w:tc>
      </w:tr>
      <w:tr w:rsidR="006C79D3" w:rsidRPr="00BC2C5D" w14:paraId="1709D6A1" w14:textId="77777777" w:rsidTr="00B52F71">
        <w:trPr>
          <w:trHeight w:val="567"/>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51BF0A00" w14:textId="0E98266F" w:rsidR="006C79D3" w:rsidRPr="00390B39" w:rsidRDefault="006C79D3" w:rsidP="00390B39">
            <w:pPr>
              <w:jc w:val="center"/>
              <w:rPr>
                <w:rFonts w:ascii="Arial Narrow" w:hAnsi="Arial Narrow" w:cs="Arial"/>
                <w:sz w:val="16"/>
                <w:szCs w:val="16"/>
              </w:rPr>
            </w:pPr>
            <w:r>
              <w:rPr>
                <w:rFonts w:ascii="Arial Narrow" w:hAnsi="Arial Narrow" w:cs="Arial"/>
                <w:sz w:val="16"/>
                <w:szCs w:val="16"/>
              </w:rPr>
              <w:t>7 September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28EF7F10"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FF00"/>
            <w:vAlign w:val="center"/>
          </w:tcPr>
          <w:p w14:paraId="06EA5338" w14:textId="1688A7E7"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66874CFB"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FA11784"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12101718"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617882D" w14:textId="77777777" w:rsidR="002B2062"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Cooktown – Circuit</w:t>
            </w:r>
          </w:p>
          <w:p w14:paraId="0E52BC2E" w14:textId="4FCFC717" w:rsidR="006C79D3"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Aurukun Cape B &amp; Coen Cape A Circuit</w:t>
            </w:r>
          </w:p>
        </w:tc>
      </w:tr>
      <w:tr w:rsidR="006C79D3" w:rsidRPr="00BC2C5D" w14:paraId="73DF2101" w14:textId="77777777" w:rsidTr="00A57D22">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6F7B8E84" w14:textId="144218E1" w:rsidR="006C79D3" w:rsidRPr="00390B39" w:rsidRDefault="006C79D3" w:rsidP="00390B39">
            <w:pPr>
              <w:jc w:val="center"/>
              <w:rPr>
                <w:rFonts w:ascii="Arial Narrow" w:hAnsi="Arial Narrow" w:cs="Arial"/>
                <w:sz w:val="16"/>
                <w:szCs w:val="16"/>
              </w:rPr>
            </w:pPr>
            <w:r>
              <w:rPr>
                <w:rFonts w:ascii="Arial Narrow" w:hAnsi="Arial Narrow" w:cs="Arial"/>
                <w:sz w:val="16"/>
                <w:szCs w:val="16"/>
              </w:rPr>
              <w:t>14 September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72174859"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A972A9"/>
            <w:vAlign w:val="center"/>
          </w:tcPr>
          <w:p w14:paraId="023F7BD7" w14:textId="3252590D"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A972A9"/>
            <w:vAlign w:val="center"/>
          </w:tcPr>
          <w:p w14:paraId="587EA42C" w14:textId="53504F37" w:rsidR="006C79D3" w:rsidRPr="00D8497C" w:rsidRDefault="007B2D95"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16</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0D6D0741" w14:textId="77777777" w:rsidR="006C79D3" w:rsidRPr="00D8497C" w:rsidRDefault="006C79D3" w:rsidP="00EB0D94">
            <w:pPr>
              <w:jc w:val="center"/>
              <w:rPr>
                <w:rFonts w:ascii="Arial Narrow" w:hAnsi="Arial Narrow" w:cs="Arial"/>
                <w:b/>
                <w:bCs/>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auto"/>
            <w:vAlign w:val="center"/>
          </w:tcPr>
          <w:p w14:paraId="2ABBF5DF"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07D43AC4" w14:textId="3F92A4C6" w:rsidR="006C79D3" w:rsidRPr="008E728C" w:rsidRDefault="002B2062" w:rsidP="00EB0D94">
            <w:pPr>
              <w:jc w:val="center"/>
              <w:rPr>
                <w:rFonts w:ascii="Arial Narrow" w:hAnsi="Arial Narrow"/>
                <w:color w:val="31849B"/>
                <w:sz w:val="16"/>
                <w:szCs w:val="16"/>
              </w:rPr>
            </w:pPr>
            <w:r w:rsidRPr="008E728C">
              <w:rPr>
                <w:rFonts w:ascii="Arial Narrow" w:hAnsi="Arial Narrow"/>
                <w:color w:val="31849B"/>
                <w:sz w:val="16"/>
                <w:szCs w:val="16"/>
              </w:rPr>
              <w:t>Doomadgee – Gulf Circuit</w:t>
            </w:r>
          </w:p>
        </w:tc>
      </w:tr>
      <w:tr w:rsidR="006C79D3" w:rsidRPr="00BC2C5D" w14:paraId="307A9FC1" w14:textId="77777777" w:rsidTr="002B2062">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3CB29D9B" w14:textId="30BEE196" w:rsidR="006C79D3" w:rsidRPr="00390B39" w:rsidRDefault="006C79D3" w:rsidP="00390B39">
            <w:pPr>
              <w:jc w:val="center"/>
              <w:rPr>
                <w:rFonts w:ascii="Arial Narrow" w:hAnsi="Arial Narrow" w:cs="Arial"/>
                <w:sz w:val="16"/>
                <w:szCs w:val="16"/>
              </w:rPr>
            </w:pPr>
            <w:r>
              <w:rPr>
                <w:rFonts w:ascii="Arial Narrow" w:hAnsi="Arial Narrow" w:cs="Arial"/>
                <w:sz w:val="16"/>
                <w:szCs w:val="16"/>
              </w:rPr>
              <w:t>21 September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2B552431"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7C5A4051"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2D625F6F"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31F3F07A"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765D5946"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7636D447" w14:textId="77777777" w:rsidR="006C79D3" w:rsidRPr="008E728C" w:rsidRDefault="006C79D3" w:rsidP="00EB0D94">
            <w:pPr>
              <w:jc w:val="center"/>
              <w:rPr>
                <w:rFonts w:ascii="Arial Narrow" w:hAnsi="Arial Narrow"/>
                <w:sz w:val="16"/>
                <w:szCs w:val="16"/>
              </w:rPr>
            </w:pPr>
          </w:p>
        </w:tc>
      </w:tr>
      <w:tr w:rsidR="006C79D3" w:rsidRPr="00BC2C5D" w14:paraId="04B98309" w14:textId="77777777" w:rsidTr="002B2062">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62C0ACD4" w:rsidR="006C79D3" w:rsidRPr="00390B39" w:rsidRDefault="006C79D3" w:rsidP="00390B39">
            <w:pPr>
              <w:jc w:val="center"/>
              <w:rPr>
                <w:rFonts w:ascii="Arial Narrow" w:hAnsi="Arial Narrow" w:cs="Arial"/>
                <w:sz w:val="16"/>
                <w:szCs w:val="16"/>
              </w:rPr>
            </w:pPr>
            <w:r>
              <w:rPr>
                <w:rFonts w:ascii="Arial Narrow" w:hAnsi="Arial Narrow" w:cs="Arial"/>
                <w:sz w:val="16"/>
                <w:szCs w:val="16"/>
              </w:rPr>
              <w:t>28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642C16FC" w14:textId="77777777" w:rsidR="006C79D3" w:rsidRPr="00A634FA"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D9D9D9"/>
            <w:vAlign w:val="center"/>
          </w:tcPr>
          <w:p w14:paraId="0A7AAF2C"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1F9ED47F"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D9D9D9"/>
            <w:vAlign w:val="center"/>
          </w:tcPr>
          <w:p w14:paraId="2B4AD7BE" w14:textId="77777777" w:rsidR="006C79D3" w:rsidRDefault="006C79D3"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77777777" w:rsidR="006C79D3" w:rsidRPr="00A634FA" w:rsidRDefault="006C79D3" w:rsidP="00EB0D94">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3EB018F0" w14:textId="77777777" w:rsidR="006C79D3" w:rsidRPr="008E728C" w:rsidRDefault="006C79D3" w:rsidP="00EB0D94">
            <w:pPr>
              <w:jc w:val="center"/>
              <w:rPr>
                <w:rFonts w:ascii="Arial Narrow" w:hAnsi="Arial Narrow"/>
                <w:sz w:val="16"/>
                <w:szCs w:val="16"/>
              </w:rPr>
            </w:pPr>
          </w:p>
        </w:tc>
      </w:tr>
      <w:tr w:rsidR="00F65FFD" w:rsidRPr="00BC2C5D" w14:paraId="1920F1D5" w14:textId="77777777" w:rsidTr="0005429E">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6B99C0EE" w:rsidR="00F65FFD" w:rsidRPr="00A634FA" w:rsidRDefault="00F65FFD" w:rsidP="00390B39">
            <w:pPr>
              <w:jc w:val="center"/>
              <w:rPr>
                <w:rFonts w:ascii="Arial Narrow" w:hAnsi="Arial Narrow" w:cs="Arial"/>
                <w:sz w:val="16"/>
                <w:szCs w:val="16"/>
              </w:rPr>
            </w:pPr>
            <w:r w:rsidRPr="00390B39">
              <w:rPr>
                <w:rFonts w:ascii="Arial Narrow" w:hAnsi="Arial Narrow" w:cs="Arial"/>
                <w:sz w:val="16"/>
                <w:szCs w:val="16"/>
              </w:rPr>
              <w:t>5 October</w:t>
            </w:r>
          </w:p>
        </w:tc>
        <w:tc>
          <w:tcPr>
            <w:tcW w:w="1051" w:type="dxa"/>
            <w:tcBorders>
              <w:top w:val="single" w:sz="18" w:space="0" w:color="auto"/>
              <w:left w:val="single" w:sz="18" w:space="0" w:color="C0C0C0"/>
              <w:right w:val="single" w:sz="18" w:space="0" w:color="C0C0C0"/>
            </w:tcBorders>
            <w:shd w:val="clear" w:color="auto" w:fill="auto"/>
            <w:vAlign w:val="center"/>
          </w:tcPr>
          <w:p w14:paraId="56638F21" w14:textId="4AD8749C" w:rsidR="00F65FFD" w:rsidRPr="00A634FA" w:rsidRDefault="008D4D8C"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auto"/>
            <w:vAlign w:val="center"/>
          </w:tcPr>
          <w:p w14:paraId="4476C160" w14:textId="48888BC1"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FF0000"/>
            <w:vAlign w:val="center"/>
          </w:tcPr>
          <w:p w14:paraId="1AE5584B" w14:textId="662CF19C" w:rsidR="00F65FFD"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C0C0C0"/>
            </w:tcBorders>
            <w:shd w:val="clear" w:color="auto" w:fill="FF0000"/>
            <w:vAlign w:val="center"/>
          </w:tcPr>
          <w:p w14:paraId="6B78F59B" w14:textId="653DCE07" w:rsidR="00F65FFD"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F65FFD" w:rsidRPr="00A634FA" w:rsidRDefault="00F65FFD"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8C9CF80" w14:textId="77777777" w:rsidR="002B2062" w:rsidRPr="008E728C" w:rsidRDefault="002B2062" w:rsidP="002B2062">
            <w:pPr>
              <w:jc w:val="center"/>
              <w:rPr>
                <w:rFonts w:ascii="Arial Narrow" w:hAnsi="Arial Narrow" w:cs="Arial"/>
                <w:sz w:val="16"/>
                <w:szCs w:val="16"/>
                <w:highlight w:val="yellow"/>
              </w:rPr>
            </w:pPr>
            <w:r w:rsidRPr="008E728C">
              <w:rPr>
                <w:rFonts w:ascii="Arial Narrow" w:hAnsi="Arial Narrow" w:cs="Arial"/>
                <w:sz w:val="16"/>
                <w:szCs w:val="16"/>
                <w:highlight w:val="yellow"/>
              </w:rPr>
              <w:t>5 Queen’s Birthday</w:t>
            </w:r>
          </w:p>
          <w:p w14:paraId="51EA0079" w14:textId="212A41B6" w:rsidR="00F65FFD" w:rsidRPr="008E728C" w:rsidRDefault="002B2062" w:rsidP="002B2062">
            <w:pPr>
              <w:jc w:val="center"/>
              <w:rPr>
                <w:rFonts w:ascii="Arial Narrow" w:hAnsi="Arial Narrow"/>
                <w:color w:val="31849B"/>
                <w:sz w:val="16"/>
                <w:szCs w:val="16"/>
              </w:rPr>
            </w:pPr>
            <w:r w:rsidRPr="008E728C">
              <w:rPr>
                <w:rFonts w:ascii="Arial Narrow" w:hAnsi="Arial Narrow"/>
                <w:color w:val="31849B"/>
                <w:sz w:val="16"/>
                <w:szCs w:val="16"/>
              </w:rPr>
              <w:t>Cooktown – Circuit</w:t>
            </w:r>
          </w:p>
        </w:tc>
      </w:tr>
      <w:tr w:rsidR="0005429E" w:rsidRPr="00BC2C5D" w14:paraId="3D55130B" w14:textId="77777777" w:rsidTr="00B52F71">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6AA58986"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12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2F78CCA0" w14:textId="534CE637"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484ED60A" w14:textId="5D9316C0"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14</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3761527" w14:textId="2012417B"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2EACFDBF" w14:textId="77777777" w:rsidR="0005429E" w:rsidRPr="008E728C" w:rsidRDefault="0005429E" w:rsidP="002B2062">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184F82AE" w14:textId="3D8F50C5" w:rsidR="0005429E" w:rsidRPr="008E728C" w:rsidRDefault="0005429E" w:rsidP="002B2062">
            <w:pPr>
              <w:jc w:val="center"/>
              <w:rPr>
                <w:rFonts w:ascii="Arial Narrow" w:hAnsi="Arial Narrow"/>
                <w:sz w:val="16"/>
                <w:szCs w:val="16"/>
              </w:rPr>
            </w:pPr>
            <w:r w:rsidRPr="008E728C">
              <w:rPr>
                <w:rFonts w:ascii="Arial Narrow" w:hAnsi="Arial Narrow"/>
                <w:color w:val="31849B"/>
                <w:sz w:val="16"/>
                <w:szCs w:val="16"/>
              </w:rPr>
              <w:t>Aurukun Cape B Circuit</w:t>
            </w:r>
          </w:p>
        </w:tc>
      </w:tr>
      <w:tr w:rsidR="0005429E" w:rsidRPr="00BC2C5D" w14:paraId="4789E44D" w14:textId="77777777" w:rsidTr="00B52F71">
        <w:trPr>
          <w:trHeight w:val="285"/>
        </w:trPr>
        <w:tc>
          <w:tcPr>
            <w:tcW w:w="1526" w:type="dxa"/>
            <w:vMerge/>
            <w:tcBorders>
              <w:left w:val="single" w:sz="18" w:space="0" w:color="auto"/>
              <w:right w:val="single" w:sz="18" w:space="0" w:color="C0C0C0"/>
            </w:tcBorders>
            <w:shd w:val="clear" w:color="auto" w:fill="auto"/>
            <w:vAlign w:val="center"/>
          </w:tcPr>
          <w:p w14:paraId="45492481" w14:textId="77777777" w:rsidR="0005429E" w:rsidRPr="00390B39" w:rsidRDefault="0005429E"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20A4F71"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00966F15" w14:textId="749C77D7"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13</w:t>
            </w:r>
          </w:p>
        </w:tc>
        <w:tc>
          <w:tcPr>
            <w:tcW w:w="1162" w:type="dxa"/>
            <w:vMerge/>
            <w:tcBorders>
              <w:left w:val="single" w:sz="18" w:space="0" w:color="BFBFBF"/>
              <w:right w:val="single" w:sz="18" w:space="0" w:color="C0C0C0"/>
            </w:tcBorders>
            <w:shd w:val="clear" w:color="auto" w:fill="auto"/>
            <w:vAlign w:val="center"/>
          </w:tcPr>
          <w:p w14:paraId="2630219E" w14:textId="77777777" w:rsidR="0005429E" w:rsidRPr="00D8497C" w:rsidRDefault="0005429E"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1F866B97" w14:textId="0AF241D0"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15</w:t>
            </w:r>
          </w:p>
        </w:tc>
        <w:tc>
          <w:tcPr>
            <w:tcW w:w="1162" w:type="dxa"/>
            <w:vMerge/>
            <w:tcBorders>
              <w:left w:val="single" w:sz="18" w:space="0" w:color="C0C0C0"/>
              <w:right w:val="single" w:sz="18" w:space="0" w:color="auto"/>
            </w:tcBorders>
            <w:shd w:val="clear" w:color="auto" w:fill="auto"/>
            <w:vAlign w:val="center"/>
          </w:tcPr>
          <w:p w14:paraId="02DA3FE3"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9D18FE4" w14:textId="77777777" w:rsidR="0005429E" w:rsidRPr="008E728C" w:rsidRDefault="0005429E" w:rsidP="002B2062">
            <w:pPr>
              <w:jc w:val="center"/>
              <w:rPr>
                <w:rFonts w:ascii="Arial Narrow" w:hAnsi="Arial Narrow"/>
                <w:color w:val="31849B"/>
                <w:sz w:val="16"/>
                <w:szCs w:val="16"/>
              </w:rPr>
            </w:pPr>
          </w:p>
        </w:tc>
      </w:tr>
      <w:tr w:rsidR="0005429E" w:rsidRPr="00BC2C5D" w14:paraId="172CB696" w14:textId="77777777" w:rsidTr="00B52F71">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5C5B84E5"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19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08AE848D"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70BA213D" w:rsidR="0005429E"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20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452473F2" w:rsidR="0005429E" w:rsidRPr="00D8497C" w:rsidRDefault="00D8497C" w:rsidP="00EB0D94">
            <w:pPr>
              <w:jc w:val="center"/>
              <w:rPr>
                <w:rFonts w:ascii="Arial Narrow" w:hAnsi="Arial Narrow" w:cs="Arial"/>
                <w:b/>
                <w:bCs/>
                <w:sz w:val="16"/>
                <w:szCs w:val="16"/>
              </w:rPr>
            </w:pPr>
            <w:r w:rsidRPr="00D8497C">
              <w:rPr>
                <w:rFonts w:ascii="Arial Narrow" w:hAnsi="Arial Narrow" w:cs="Arial"/>
                <w:b/>
                <w:bCs/>
                <w:sz w:val="16"/>
                <w:szCs w:val="16"/>
              </w:rPr>
              <w:t>21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4644ACBE"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3C10777D" w:rsidR="0005429E" w:rsidRPr="008E728C" w:rsidRDefault="0005429E" w:rsidP="00EB0D94">
            <w:pPr>
              <w:jc w:val="center"/>
              <w:rPr>
                <w:rFonts w:ascii="Arial Narrow" w:hAnsi="Arial Narrow" w:cs="Arial"/>
                <w:sz w:val="16"/>
                <w:szCs w:val="16"/>
              </w:rPr>
            </w:pPr>
          </w:p>
        </w:tc>
      </w:tr>
      <w:tr w:rsidR="0005429E" w:rsidRPr="00BC2C5D" w14:paraId="616A9BDF" w14:textId="77777777" w:rsidTr="004E2033">
        <w:trPr>
          <w:trHeight w:val="285"/>
        </w:trPr>
        <w:tc>
          <w:tcPr>
            <w:tcW w:w="1526" w:type="dxa"/>
            <w:vMerge/>
            <w:tcBorders>
              <w:left w:val="single" w:sz="18" w:space="0" w:color="auto"/>
              <w:bottom w:val="single" w:sz="18" w:space="0" w:color="BFBFBF"/>
              <w:right w:val="single" w:sz="18" w:space="0" w:color="C0C0C0"/>
            </w:tcBorders>
            <w:shd w:val="clear" w:color="auto" w:fill="auto"/>
            <w:vAlign w:val="center"/>
          </w:tcPr>
          <w:p w14:paraId="19548D56" w14:textId="77777777" w:rsidR="0005429E" w:rsidRPr="00390B39" w:rsidRDefault="0005429E" w:rsidP="00EB0D94">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uto"/>
            <w:vAlign w:val="center"/>
          </w:tcPr>
          <w:p w14:paraId="5BBED4E3"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2F9EE98" w14:textId="4D1BB347" w:rsidR="0005429E" w:rsidRPr="00D8497C" w:rsidRDefault="00D8497C" w:rsidP="00F65FFD">
            <w:pPr>
              <w:jc w:val="center"/>
              <w:rPr>
                <w:rFonts w:ascii="Arial Narrow" w:hAnsi="Arial Narrow" w:cs="Arial"/>
                <w:b/>
                <w:bCs/>
                <w:color w:val="000000"/>
                <w:sz w:val="16"/>
                <w:szCs w:val="16"/>
              </w:rPr>
            </w:pPr>
            <w:r w:rsidRPr="00D8497C">
              <w:rPr>
                <w:rFonts w:ascii="Arial Narrow" w:hAnsi="Arial Narrow" w:cs="Arial"/>
                <w:b/>
                <w:bCs/>
                <w:color w:val="000000"/>
                <w:sz w:val="16"/>
                <w:szCs w:val="16"/>
              </w:rPr>
              <w:t>20</w:t>
            </w:r>
          </w:p>
        </w:tc>
        <w:tc>
          <w:tcPr>
            <w:tcW w:w="1162" w:type="dxa"/>
            <w:vMerge/>
            <w:tcBorders>
              <w:left w:val="single" w:sz="18" w:space="0" w:color="BFBFBF"/>
              <w:right w:val="single" w:sz="18" w:space="0" w:color="C0C0C0"/>
            </w:tcBorders>
            <w:shd w:val="clear" w:color="auto" w:fill="auto"/>
            <w:vAlign w:val="center"/>
          </w:tcPr>
          <w:p w14:paraId="094306C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6B68A82F" w14:textId="77777777" w:rsidR="0005429E" w:rsidRPr="00D8497C" w:rsidRDefault="0005429E" w:rsidP="00EB0D94">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2908F861"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82D6AE4" w14:textId="77777777" w:rsidR="0005429E" w:rsidRPr="008E728C" w:rsidRDefault="0005429E" w:rsidP="00EB0D94">
            <w:pPr>
              <w:jc w:val="center"/>
              <w:rPr>
                <w:rFonts w:ascii="Arial Narrow" w:hAnsi="Arial Narrow" w:cs="Arial"/>
                <w:sz w:val="16"/>
                <w:szCs w:val="16"/>
              </w:rPr>
            </w:pPr>
          </w:p>
        </w:tc>
      </w:tr>
      <w:tr w:rsidR="0005429E" w:rsidRPr="00BC2C5D" w14:paraId="512E60FF" w14:textId="77777777" w:rsidTr="004E2033">
        <w:trPr>
          <w:trHeight w:val="285"/>
        </w:trPr>
        <w:tc>
          <w:tcPr>
            <w:tcW w:w="1526" w:type="dxa"/>
            <w:vMerge w:val="restart"/>
            <w:tcBorders>
              <w:top w:val="single" w:sz="18" w:space="0" w:color="BFBFBF"/>
              <w:left w:val="single" w:sz="18" w:space="0" w:color="auto"/>
              <w:bottom w:val="single" w:sz="18" w:space="0" w:color="auto"/>
              <w:right w:val="single" w:sz="18" w:space="0" w:color="C0C0C0"/>
            </w:tcBorders>
            <w:shd w:val="clear" w:color="auto" w:fill="auto"/>
            <w:vAlign w:val="center"/>
          </w:tcPr>
          <w:p w14:paraId="40EA42D4" w14:textId="0C71011E" w:rsidR="0005429E" w:rsidRPr="00A634FA" w:rsidRDefault="0005429E" w:rsidP="00EB0D94">
            <w:pPr>
              <w:jc w:val="center"/>
              <w:rPr>
                <w:rFonts w:ascii="Arial Narrow" w:hAnsi="Arial Narrow" w:cs="Arial"/>
                <w:sz w:val="16"/>
                <w:szCs w:val="16"/>
              </w:rPr>
            </w:pPr>
            <w:r w:rsidRPr="00390B39">
              <w:rPr>
                <w:rFonts w:ascii="Arial Narrow" w:hAnsi="Arial Narrow" w:cs="Arial"/>
                <w:sz w:val="16"/>
                <w:szCs w:val="16"/>
              </w:rPr>
              <w:t>26 October</w:t>
            </w:r>
          </w:p>
        </w:tc>
        <w:tc>
          <w:tcPr>
            <w:tcW w:w="1051" w:type="dxa"/>
            <w:vMerge w:val="restart"/>
            <w:tcBorders>
              <w:top w:val="single" w:sz="18" w:space="0" w:color="BFBFBF"/>
              <w:left w:val="single" w:sz="18" w:space="0" w:color="C0C0C0"/>
              <w:bottom w:val="single" w:sz="18" w:space="0" w:color="auto"/>
              <w:right w:val="single" w:sz="18" w:space="0" w:color="C0C0C0"/>
            </w:tcBorders>
            <w:shd w:val="clear" w:color="auto" w:fill="auto"/>
            <w:vAlign w:val="center"/>
          </w:tcPr>
          <w:p w14:paraId="7612969B" w14:textId="77777777" w:rsidR="0005429E" w:rsidRPr="00A634FA" w:rsidRDefault="0005429E"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42289F1C" w14:textId="7A6FA907" w:rsidR="0005429E" w:rsidRPr="00D8497C" w:rsidRDefault="00D8497C" w:rsidP="00A57D22">
            <w:pPr>
              <w:ind w:left="1440" w:hanging="1440"/>
              <w:jc w:val="center"/>
              <w:rPr>
                <w:rFonts w:ascii="Arial Narrow" w:hAnsi="Arial Narrow" w:cs="Arial"/>
                <w:b/>
                <w:bCs/>
                <w:color w:val="000000"/>
                <w:sz w:val="16"/>
                <w:szCs w:val="16"/>
              </w:rPr>
            </w:pPr>
            <w:r w:rsidRPr="00D8497C">
              <w:rPr>
                <w:rFonts w:ascii="Arial Narrow" w:hAnsi="Arial Narrow" w:cs="Arial"/>
                <w:b/>
                <w:bCs/>
                <w:color w:val="000000"/>
                <w:sz w:val="16"/>
                <w:szCs w:val="16"/>
              </w:rPr>
              <w:t>27</w:t>
            </w:r>
          </w:p>
        </w:tc>
        <w:tc>
          <w:tcPr>
            <w:tcW w:w="1162" w:type="dxa"/>
            <w:vMerge w:val="restart"/>
            <w:tcBorders>
              <w:top w:val="single" w:sz="18" w:space="0" w:color="C0C0C0"/>
              <w:left w:val="single" w:sz="18" w:space="0" w:color="BFBFBF"/>
              <w:bottom w:val="single" w:sz="18" w:space="0" w:color="auto"/>
              <w:right w:val="single" w:sz="18" w:space="0" w:color="C0C0C0"/>
            </w:tcBorders>
            <w:shd w:val="clear" w:color="auto" w:fill="A972A9"/>
            <w:vAlign w:val="center"/>
          </w:tcPr>
          <w:p w14:paraId="2B6CD71B" w14:textId="2DFDD83E" w:rsidR="0005429E" w:rsidRPr="00D8497C" w:rsidRDefault="00D8497C" w:rsidP="00A57D22">
            <w:pPr>
              <w:ind w:left="1440" w:hanging="1440"/>
              <w:jc w:val="center"/>
              <w:rPr>
                <w:rFonts w:ascii="Arial Narrow" w:hAnsi="Arial Narrow" w:cs="Arial"/>
                <w:b/>
                <w:bCs/>
                <w:sz w:val="16"/>
                <w:szCs w:val="16"/>
              </w:rPr>
            </w:pPr>
            <w:r w:rsidRPr="00D8497C">
              <w:rPr>
                <w:rFonts w:ascii="Arial Narrow" w:hAnsi="Arial Narrow" w:cs="Arial"/>
                <w:b/>
                <w:bCs/>
                <w:sz w:val="16"/>
                <w:szCs w:val="16"/>
              </w:rPr>
              <w:t>28</w:t>
            </w:r>
          </w:p>
        </w:tc>
        <w:tc>
          <w:tcPr>
            <w:tcW w:w="1162" w:type="dxa"/>
            <w:vMerge w:val="restart"/>
            <w:tcBorders>
              <w:top w:val="single" w:sz="18" w:space="0" w:color="C0C0C0"/>
              <w:left w:val="single" w:sz="18" w:space="0" w:color="C0C0C0"/>
              <w:bottom w:val="single" w:sz="18" w:space="0" w:color="auto"/>
              <w:right w:val="single" w:sz="18" w:space="0" w:color="C0C0C0"/>
            </w:tcBorders>
            <w:shd w:val="clear" w:color="auto" w:fill="769245"/>
            <w:vAlign w:val="center"/>
          </w:tcPr>
          <w:p w14:paraId="0984E9CC" w14:textId="6367C574"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29</w:t>
            </w:r>
          </w:p>
        </w:tc>
        <w:tc>
          <w:tcPr>
            <w:tcW w:w="1162" w:type="dxa"/>
            <w:vMerge w:val="restart"/>
            <w:tcBorders>
              <w:top w:val="single" w:sz="18" w:space="0" w:color="BFBFBF"/>
              <w:left w:val="single" w:sz="18" w:space="0" w:color="C0C0C0"/>
              <w:bottom w:val="single" w:sz="18" w:space="0" w:color="auto"/>
              <w:right w:val="single" w:sz="18" w:space="0" w:color="auto"/>
            </w:tcBorders>
            <w:shd w:val="clear" w:color="auto" w:fill="auto"/>
            <w:vAlign w:val="center"/>
          </w:tcPr>
          <w:p w14:paraId="4B09F96C"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bottom w:val="single" w:sz="18" w:space="0" w:color="auto"/>
              <w:right w:val="single" w:sz="18" w:space="0" w:color="auto"/>
            </w:tcBorders>
            <w:shd w:val="clear" w:color="auto" w:fill="auto"/>
            <w:vAlign w:val="center"/>
          </w:tcPr>
          <w:p w14:paraId="58B2748E" w14:textId="5EC4D112" w:rsidR="0005429E" w:rsidRPr="008E728C" w:rsidRDefault="0005429E" w:rsidP="00EB0D94">
            <w:pPr>
              <w:jc w:val="center"/>
              <w:rPr>
                <w:rFonts w:ascii="Arial Narrow" w:hAnsi="Arial Narrow" w:cs="Arial"/>
                <w:sz w:val="16"/>
                <w:szCs w:val="16"/>
              </w:rPr>
            </w:pPr>
          </w:p>
        </w:tc>
      </w:tr>
      <w:tr w:rsidR="0005429E" w:rsidRPr="00BC2C5D" w14:paraId="2959A1C2" w14:textId="77777777" w:rsidTr="004E2033">
        <w:trPr>
          <w:trHeight w:val="285"/>
        </w:trPr>
        <w:tc>
          <w:tcPr>
            <w:tcW w:w="1526" w:type="dxa"/>
            <w:vMerge/>
            <w:tcBorders>
              <w:top w:val="single" w:sz="18" w:space="0" w:color="C0C0C0"/>
              <w:left w:val="single" w:sz="18" w:space="0" w:color="auto"/>
              <w:bottom w:val="single" w:sz="18" w:space="0" w:color="auto"/>
              <w:right w:val="single" w:sz="18" w:space="0" w:color="C0C0C0"/>
            </w:tcBorders>
            <w:shd w:val="clear" w:color="auto" w:fill="auto"/>
            <w:vAlign w:val="center"/>
          </w:tcPr>
          <w:p w14:paraId="6B86628A" w14:textId="77777777" w:rsidR="0005429E" w:rsidRPr="00390B39" w:rsidRDefault="0005429E" w:rsidP="00EB0D94">
            <w:pPr>
              <w:jc w:val="center"/>
              <w:rPr>
                <w:rFonts w:ascii="Arial Narrow" w:hAnsi="Arial Narrow" w:cs="Arial"/>
                <w:sz w:val="16"/>
                <w:szCs w:val="16"/>
              </w:rPr>
            </w:pPr>
          </w:p>
        </w:tc>
        <w:tc>
          <w:tcPr>
            <w:tcW w:w="1051" w:type="dxa"/>
            <w:vMerge/>
            <w:tcBorders>
              <w:top w:val="single" w:sz="18" w:space="0" w:color="C0C0C0"/>
              <w:left w:val="single" w:sz="18" w:space="0" w:color="C0C0C0"/>
              <w:bottom w:val="single" w:sz="18" w:space="0" w:color="auto"/>
              <w:right w:val="single" w:sz="18" w:space="0" w:color="C0C0C0"/>
            </w:tcBorders>
            <w:shd w:val="clear" w:color="auto" w:fill="auto"/>
            <w:vAlign w:val="center"/>
          </w:tcPr>
          <w:p w14:paraId="1D7F34C8" w14:textId="77777777" w:rsidR="0005429E" w:rsidRPr="00A634FA" w:rsidRDefault="0005429E"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4189ED2" w14:textId="18C0297E" w:rsidR="0005429E" w:rsidRPr="00D8497C" w:rsidRDefault="00D8497C" w:rsidP="00EB0D94">
            <w:pPr>
              <w:jc w:val="center"/>
              <w:rPr>
                <w:rFonts w:ascii="Arial Narrow" w:hAnsi="Arial Narrow" w:cs="Arial"/>
                <w:b/>
                <w:bCs/>
                <w:color w:val="000000"/>
                <w:sz w:val="16"/>
                <w:szCs w:val="16"/>
              </w:rPr>
            </w:pPr>
            <w:r w:rsidRPr="00D8497C">
              <w:rPr>
                <w:rFonts w:ascii="Arial Narrow" w:hAnsi="Arial Narrow" w:cs="Arial"/>
                <w:b/>
                <w:bCs/>
                <w:color w:val="000000"/>
                <w:sz w:val="16"/>
                <w:szCs w:val="16"/>
              </w:rPr>
              <w:t>27</w:t>
            </w:r>
          </w:p>
        </w:tc>
        <w:tc>
          <w:tcPr>
            <w:tcW w:w="1162" w:type="dxa"/>
            <w:vMerge/>
            <w:tcBorders>
              <w:left w:val="single" w:sz="18" w:space="0" w:color="BFBFBF"/>
              <w:bottom w:val="single" w:sz="18" w:space="0" w:color="auto"/>
              <w:right w:val="single" w:sz="18" w:space="0" w:color="C0C0C0"/>
            </w:tcBorders>
            <w:shd w:val="clear" w:color="auto" w:fill="auto"/>
            <w:vAlign w:val="center"/>
          </w:tcPr>
          <w:p w14:paraId="2F91A0AD" w14:textId="77777777" w:rsidR="0005429E" w:rsidRPr="00D8497C" w:rsidRDefault="0005429E" w:rsidP="00EB0D94">
            <w:pPr>
              <w:jc w:val="center"/>
              <w:rPr>
                <w:rFonts w:ascii="Arial Narrow" w:hAnsi="Arial Narrow" w:cs="Arial"/>
                <w:b/>
                <w:bCs/>
                <w:sz w:val="16"/>
                <w:szCs w:val="16"/>
              </w:rPr>
            </w:pPr>
          </w:p>
        </w:tc>
        <w:tc>
          <w:tcPr>
            <w:tcW w:w="1162" w:type="dxa"/>
            <w:vMerge/>
            <w:tcBorders>
              <w:left w:val="single" w:sz="18" w:space="0" w:color="C0C0C0"/>
              <w:bottom w:val="single" w:sz="18" w:space="0" w:color="auto"/>
              <w:right w:val="single" w:sz="18" w:space="0" w:color="C0C0C0"/>
            </w:tcBorders>
            <w:shd w:val="clear" w:color="auto" w:fill="769245"/>
            <w:vAlign w:val="center"/>
          </w:tcPr>
          <w:p w14:paraId="00CDE425" w14:textId="77777777" w:rsidR="0005429E" w:rsidRPr="00D8497C" w:rsidRDefault="0005429E" w:rsidP="00EB0D94">
            <w:pPr>
              <w:jc w:val="center"/>
              <w:rPr>
                <w:rFonts w:ascii="Arial Narrow" w:hAnsi="Arial Narrow" w:cs="Arial"/>
                <w:b/>
                <w:bCs/>
                <w:color w:val="000000"/>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75B60401" w14:textId="77777777" w:rsidR="0005429E" w:rsidRPr="00A634FA" w:rsidRDefault="0005429E"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62C48CC7" w14:textId="77777777" w:rsidR="0005429E" w:rsidRPr="008E728C" w:rsidRDefault="0005429E" w:rsidP="00EB0D94">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4E2033" w:rsidRPr="00BC2C5D" w14:paraId="0CE321A3" w14:textId="77777777" w:rsidTr="008C43D2">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96DAD36" w14:textId="4CEA456F" w:rsidR="004E2033" w:rsidRPr="00390B39" w:rsidRDefault="004E2033" w:rsidP="00C5507C">
            <w:pPr>
              <w:jc w:val="center"/>
              <w:rPr>
                <w:rFonts w:ascii="Arial Narrow" w:hAnsi="Arial Narrow" w:cs="Arial"/>
                <w:sz w:val="16"/>
                <w:szCs w:val="16"/>
              </w:rPr>
            </w:pPr>
            <w:r w:rsidRPr="00390B39">
              <w:rPr>
                <w:rFonts w:ascii="Arial Narrow" w:hAnsi="Arial Narrow" w:cs="Arial"/>
                <w:sz w:val="16"/>
                <w:szCs w:val="16"/>
              </w:rPr>
              <w:t>2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F9AEB6D" w14:textId="77777777" w:rsidR="004E2033" w:rsidRPr="006C79D3" w:rsidRDefault="004E2033"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5468345" w14:textId="52768200"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3</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D26E3A1" w14:textId="27660933"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4</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37F7711A" w14:textId="107BC325" w:rsidR="004E2033" w:rsidRPr="00D8497C" w:rsidRDefault="004E2033" w:rsidP="00C5507C">
            <w:pPr>
              <w:jc w:val="center"/>
              <w:rPr>
                <w:rFonts w:ascii="Arial Narrow" w:hAnsi="Arial Narrow" w:cs="Arial"/>
                <w:b/>
                <w:bCs/>
                <w:sz w:val="16"/>
                <w:szCs w:val="16"/>
              </w:rPr>
            </w:pPr>
            <w:r w:rsidRPr="00D8497C">
              <w:rPr>
                <w:rFonts w:ascii="Arial Narrow" w:hAnsi="Arial Narrow" w:cs="Arial"/>
                <w:b/>
                <w:bCs/>
                <w:sz w:val="16"/>
                <w:szCs w:val="16"/>
              </w:rPr>
              <w:t>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4E2033" w:rsidRPr="00A634FA" w:rsidRDefault="004E2033"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6FA1F35" w:rsidR="004E2033" w:rsidRPr="008E728C" w:rsidRDefault="004E2033" w:rsidP="00C5507C">
            <w:pPr>
              <w:jc w:val="center"/>
              <w:rPr>
                <w:rFonts w:ascii="Arial Narrow" w:hAnsi="Arial Narrow" w:cs="Arial"/>
                <w:sz w:val="16"/>
                <w:szCs w:val="16"/>
                <w:highlight w:val="yellow"/>
              </w:rPr>
            </w:pPr>
            <w:r w:rsidRPr="008E728C">
              <w:rPr>
                <w:rFonts w:ascii="Arial Narrow" w:hAnsi="Arial Narrow"/>
                <w:color w:val="31849B"/>
                <w:sz w:val="16"/>
                <w:szCs w:val="16"/>
              </w:rPr>
              <w:t>Cooktown – Circuit</w:t>
            </w:r>
          </w:p>
        </w:tc>
      </w:tr>
      <w:tr w:rsidR="004E2033" w:rsidRPr="00BC2C5D" w14:paraId="45D8417E" w14:textId="77777777" w:rsidTr="008C43D2">
        <w:trPr>
          <w:trHeight w:val="284"/>
        </w:trPr>
        <w:tc>
          <w:tcPr>
            <w:tcW w:w="1526" w:type="dxa"/>
            <w:vMerge/>
            <w:tcBorders>
              <w:left w:val="single" w:sz="18" w:space="0" w:color="auto"/>
              <w:right w:val="single" w:sz="18" w:space="0" w:color="C0C0C0"/>
            </w:tcBorders>
            <w:shd w:val="clear" w:color="auto" w:fill="auto"/>
            <w:vAlign w:val="center"/>
          </w:tcPr>
          <w:p w14:paraId="0E9E61E5" w14:textId="77777777" w:rsidR="004E2033" w:rsidRPr="00390B39" w:rsidRDefault="004E2033"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D1E5958" w14:textId="77777777" w:rsidR="004E2033" w:rsidRPr="006C79D3" w:rsidRDefault="004E2033"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05665ED" w14:textId="4D9E7B26" w:rsidR="004E2033" w:rsidRPr="00D8497C" w:rsidRDefault="004E2033" w:rsidP="00C5507C">
            <w:pPr>
              <w:jc w:val="center"/>
              <w:rPr>
                <w:rFonts w:ascii="Arial Narrow" w:hAnsi="Arial Narrow" w:cs="Arial"/>
                <w:b/>
                <w:bCs/>
                <w:sz w:val="16"/>
                <w:szCs w:val="16"/>
              </w:rPr>
            </w:pPr>
            <w:r>
              <w:rPr>
                <w:rFonts w:ascii="Arial Narrow" w:hAnsi="Arial Narrow" w:cs="Arial"/>
                <w:b/>
                <w:bCs/>
                <w:sz w:val="16"/>
                <w:szCs w:val="16"/>
              </w:rPr>
              <w:t>3</w:t>
            </w:r>
          </w:p>
        </w:tc>
        <w:tc>
          <w:tcPr>
            <w:tcW w:w="1162" w:type="dxa"/>
            <w:vMerge/>
            <w:tcBorders>
              <w:left w:val="single" w:sz="18" w:space="0" w:color="BFBFBF"/>
              <w:right w:val="single" w:sz="18" w:space="0" w:color="C0C0C0"/>
            </w:tcBorders>
            <w:shd w:val="clear" w:color="auto" w:fill="FF0000"/>
            <w:vAlign w:val="center"/>
          </w:tcPr>
          <w:p w14:paraId="4D9110BC" w14:textId="77777777" w:rsidR="004E2033" w:rsidRPr="00D8497C" w:rsidRDefault="004E2033" w:rsidP="00C5507C">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FF0000"/>
            <w:vAlign w:val="center"/>
          </w:tcPr>
          <w:p w14:paraId="513BDBC1" w14:textId="77777777" w:rsidR="004E2033" w:rsidRPr="00D8497C" w:rsidRDefault="004E2033" w:rsidP="00C5507C">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006A64B1" w14:textId="77777777" w:rsidR="004E2033" w:rsidRPr="00A634FA" w:rsidRDefault="004E2033"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0CA58B28" w14:textId="77777777" w:rsidR="004E2033" w:rsidRPr="008E728C" w:rsidRDefault="004E2033" w:rsidP="00C5507C">
            <w:pPr>
              <w:jc w:val="center"/>
              <w:rPr>
                <w:rFonts w:ascii="Arial Narrow" w:hAnsi="Arial Narrow"/>
                <w:color w:val="31849B"/>
                <w:sz w:val="16"/>
                <w:szCs w:val="16"/>
              </w:rPr>
            </w:pPr>
          </w:p>
        </w:tc>
      </w:tr>
      <w:tr w:rsidR="00C5507C" w:rsidRPr="00BC2C5D" w14:paraId="3EA964B8" w14:textId="77777777" w:rsidTr="008C43D2">
        <w:trPr>
          <w:trHeight w:val="285"/>
        </w:trPr>
        <w:tc>
          <w:tcPr>
            <w:tcW w:w="1526" w:type="dxa"/>
            <w:tcBorders>
              <w:top w:val="single" w:sz="18" w:space="0" w:color="C0C0C0"/>
              <w:left w:val="single" w:sz="18" w:space="0" w:color="auto"/>
              <w:right w:val="single" w:sz="18" w:space="0" w:color="C0C0C0"/>
            </w:tcBorders>
            <w:shd w:val="clear" w:color="auto" w:fill="auto"/>
            <w:vAlign w:val="center"/>
          </w:tcPr>
          <w:p w14:paraId="0A6385D6" w14:textId="3DCE8BFA" w:rsidR="00C5507C" w:rsidRPr="00390B39" w:rsidRDefault="00C5507C" w:rsidP="00C5507C">
            <w:pPr>
              <w:jc w:val="center"/>
              <w:rPr>
                <w:rFonts w:ascii="Arial Narrow" w:hAnsi="Arial Narrow" w:cs="Arial"/>
                <w:sz w:val="16"/>
                <w:szCs w:val="16"/>
              </w:rPr>
            </w:pPr>
            <w:r>
              <w:rPr>
                <w:rFonts w:ascii="Arial Narrow" w:hAnsi="Arial Narrow" w:cs="Arial"/>
                <w:sz w:val="16"/>
                <w:szCs w:val="16"/>
              </w:rPr>
              <w:t>9 November</w:t>
            </w:r>
          </w:p>
        </w:tc>
        <w:tc>
          <w:tcPr>
            <w:tcW w:w="1051" w:type="dxa"/>
            <w:tcBorders>
              <w:top w:val="single" w:sz="18" w:space="0" w:color="C0C0C0"/>
              <w:left w:val="single" w:sz="18" w:space="0" w:color="C0C0C0"/>
              <w:right w:val="single" w:sz="18" w:space="0" w:color="C0C0C0"/>
            </w:tcBorders>
            <w:shd w:val="clear" w:color="auto" w:fill="auto"/>
            <w:vAlign w:val="center"/>
          </w:tcPr>
          <w:p w14:paraId="27120716" w14:textId="77777777" w:rsidR="00C5507C" w:rsidRPr="006C79D3" w:rsidRDefault="00C5507C"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37DCDA26"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10</w:t>
            </w:r>
          </w:p>
        </w:tc>
        <w:tc>
          <w:tcPr>
            <w:tcW w:w="1162" w:type="dxa"/>
            <w:tcBorders>
              <w:top w:val="single" w:sz="18" w:space="0" w:color="C0C0C0"/>
              <w:left w:val="single" w:sz="18" w:space="0" w:color="BFBFBF"/>
              <w:right w:val="single" w:sz="18" w:space="0" w:color="C0C0C0"/>
            </w:tcBorders>
            <w:shd w:val="clear" w:color="auto" w:fill="A972A9"/>
            <w:vAlign w:val="center"/>
          </w:tcPr>
          <w:p w14:paraId="05A7C8EF" w14:textId="2EA9C5F6"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11</w:t>
            </w:r>
          </w:p>
        </w:tc>
        <w:tc>
          <w:tcPr>
            <w:tcW w:w="1162" w:type="dxa"/>
            <w:tcBorders>
              <w:top w:val="single" w:sz="18" w:space="0" w:color="C0C0C0"/>
              <w:left w:val="single" w:sz="18" w:space="0" w:color="C0C0C0"/>
              <w:right w:val="single" w:sz="18" w:space="0" w:color="C0C0C0"/>
            </w:tcBorders>
            <w:shd w:val="clear" w:color="auto" w:fill="769245"/>
            <w:vAlign w:val="center"/>
          </w:tcPr>
          <w:p w14:paraId="10D421D0" w14:textId="421C4642" w:rsidR="00C5507C" w:rsidRPr="00D8497C" w:rsidRDefault="00C5507C" w:rsidP="00C5507C">
            <w:pPr>
              <w:jc w:val="center"/>
              <w:rPr>
                <w:rFonts w:ascii="Arial Narrow" w:hAnsi="Arial Narrow" w:cs="Arial"/>
                <w:b/>
                <w:bCs/>
                <w:sz w:val="16"/>
                <w:szCs w:val="16"/>
              </w:rPr>
            </w:pPr>
            <w:r w:rsidRPr="00D8497C">
              <w:rPr>
                <w:rFonts w:ascii="Arial Narrow" w:hAnsi="Arial Narrow" w:cs="Arial"/>
                <w:b/>
                <w:bCs/>
                <w:sz w:val="16"/>
                <w:szCs w:val="16"/>
              </w:rPr>
              <w:t>12</w:t>
            </w: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5507C" w:rsidRPr="00A634FA" w:rsidRDefault="00C5507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51C02E4A" w14:textId="77777777" w:rsidR="00C5507C" w:rsidRPr="008E728C" w:rsidRDefault="00C5507C" w:rsidP="00C5507C">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711145A3" w14:textId="54BC9E54" w:rsidR="00C5507C" w:rsidRPr="008E728C" w:rsidRDefault="00C5507C" w:rsidP="00C5507C">
            <w:pPr>
              <w:jc w:val="center"/>
              <w:rPr>
                <w:rFonts w:ascii="Arial Narrow" w:hAnsi="Arial Narrow" w:cs="Arial"/>
                <w:sz w:val="16"/>
                <w:szCs w:val="16"/>
                <w:highlight w:val="yellow"/>
              </w:rPr>
            </w:pPr>
            <w:r w:rsidRPr="008E728C">
              <w:rPr>
                <w:rFonts w:ascii="Arial Narrow" w:hAnsi="Arial Narrow"/>
                <w:color w:val="31849B"/>
                <w:sz w:val="16"/>
                <w:szCs w:val="16"/>
              </w:rPr>
              <w:t>Aurukun Cape B &amp; Coen Cape A Circuit</w:t>
            </w:r>
          </w:p>
        </w:tc>
      </w:tr>
      <w:tr w:rsidR="0005429E" w:rsidRPr="00BC2C5D" w14:paraId="3766C4CB" w14:textId="77777777" w:rsidTr="00C5507C">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312383D3" w:rsidR="0005429E" w:rsidRDefault="0005429E" w:rsidP="00390B39">
            <w:pPr>
              <w:jc w:val="center"/>
              <w:rPr>
                <w:rFonts w:ascii="Arial Narrow" w:hAnsi="Arial Narrow" w:cs="Arial"/>
                <w:sz w:val="16"/>
                <w:szCs w:val="16"/>
              </w:rPr>
            </w:pPr>
            <w:r w:rsidRPr="00390B39">
              <w:rPr>
                <w:rFonts w:ascii="Arial Narrow" w:hAnsi="Arial Narrow" w:cs="Arial"/>
                <w:sz w:val="16"/>
                <w:szCs w:val="16"/>
              </w:rPr>
              <w:t>16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77777777" w:rsidR="0005429E" w:rsidRPr="006C79D3" w:rsidRDefault="0005429E"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758B3B5"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17</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407CB1AA"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E61EDBE" w14:textId="68CD758D"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77777777" w:rsidR="0005429E" w:rsidRPr="008E728C" w:rsidRDefault="0005429E" w:rsidP="00390B39">
            <w:pPr>
              <w:jc w:val="center"/>
              <w:rPr>
                <w:rFonts w:ascii="Arial Narrow" w:hAnsi="Arial Narrow" w:cs="Arial"/>
                <w:sz w:val="16"/>
                <w:szCs w:val="16"/>
                <w:highlight w:val="yellow"/>
              </w:rPr>
            </w:pPr>
          </w:p>
        </w:tc>
      </w:tr>
      <w:tr w:rsidR="0005429E" w:rsidRPr="00BC2C5D" w14:paraId="427135F9" w14:textId="77777777" w:rsidTr="00C5507C">
        <w:trPr>
          <w:trHeight w:val="285"/>
        </w:trPr>
        <w:tc>
          <w:tcPr>
            <w:tcW w:w="1526" w:type="dxa"/>
            <w:vMerge/>
            <w:tcBorders>
              <w:left w:val="single" w:sz="18" w:space="0" w:color="auto"/>
              <w:right w:val="single" w:sz="18" w:space="0" w:color="C0C0C0"/>
            </w:tcBorders>
            <w:shd w:val="clear" w:color="auto" w:fill="auto"/>
            <w:vAlign w:val="center"/>
          </w:tcPr>
          <w:p w14:paraId="2A62993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9C2786" w14:textId="77777777" w:rsidR="0005429E" w:rsidRPr="006C79D3" w:rsidRDefault="0005429E"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38A50C08" w14:textId="4AB665CC"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17</w:t>
            </w:r>
          </w:p>
        </w:tc>
        <w:tc>
          <w:tcPr>
            <w:tcW w:w="1162" w:type="dxa"/>
            <w:vMerge/>
            <w:tcBorders>
              <w:left w:val="single" w:sz="18" w:space="0" w:color="BFBFBF"/>
              <w:right w:val="single" w:sz="18" w:space="0" w:color="C0C0C0"/>
            </w:tcBorders>
            <w:shd w:val="clear" w:color="auto" w:fill="auto"/>
            <w:vAlign w:val="center"/>
          </w:tcPr>
          <w:p w14:paraId="2ECB6C45"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auto"/>
            <w:vAlign w:val="center"/>
          </w:tcPr>
          <w:p w14:paraId="4D0552FB"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604D3EB3"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0E6B38DD" w14:textId="77777777" w:rsidR="0005429E" w:rsidRPr="008E728C" w:rsidRDefault="0005429E" w:rsidP="00390B39">
            <w:pPr>
              <w:jc w:val="center"/>
              <w:rPr>
                <w:rFonts w:ascii="Arial Narrow" w:hAnsi="Arial Narrow" w:cs="Arial"/>
                <w:sz w:val="16"/>
                <w:szCs w:val="16"/>
                <w:highlight w:val="yellow"/>
              </w:rPr>
            </w:pPr>
          </w:p>
        </w:tc>
      </w:tr>
      <w:tr w:rsidR="0005429E" w:rsidRPr="00BC2C5D" w14:paraId="2952A691" w14:textId="77777777" w:rsidTr="00C5507C">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154D9152" w:rsidR="0005429E" w:rsidRPr="00A634FA" w:rsidRDefault="0005429E" w:rsidP="00390B39">
            <w:pPr>
              <w:jc w:val="center"/>
              <w:rPr>
                <w:rFonts w:ascii="Arial Narrow" w:hAnsi="Arial Narrow" w:cs="Arial"/>
                <w:sz w:val="16"/>
                <w:szCs w:val="16"/>
              </w:rPr>
            </w:pPr>
            <w:r w:rsidRPr="00390B39">
              <w:rPr>
                <w:rFonts w:ascii="Arial Narrow" w:hAnsi="Arial Narrow" w:cs="Arial"/>
                <w:sz w:val="16"/>
                <w:szCs w:val="16"/>
              </w:rPr>
              <w:t>23 November</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05429E" w:rsidRPr="00A634FA" w:rsidRDefault="0005429E" w:rsidP="00390B39">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4423C25E" w14:textId="172C98A3"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24</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67E71AFC"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25</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58F79EF" w14:textId="1ADC1ED6"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4A5B443B" w:rsidR="0005429E" w:rsidRPr="008E728C" w:rsidRDefault="0005429E" w:rsidP="00390B39">
            <w:pPr>
              <w:jc w:val="center"/>
              <w:rPr>
                <w:rFonts w:ascii="Arial Narrow" w:hAnsi="Arial Narrow" w:cs="Arial"/>
                <w:sz w:val="16"/>
                <w:szCs w:val="16"/>
              </w:rPr>
            </w:pPr>
          </w:p>
        </w:tc>
      </w:tr>
      <w:tr w:rsidR="0005429E" w:rsidRPr="00BC2C5D" w14:paraId="2E729446" w14:textId="77777777" w:rsidTr="00C5507C">
        <w:trPr>
          <w:trHeight w:val="285"/>
        </w:trPr>
        <w:tc>
          <w:tcPr>
            <w:tcW w:w="1526" w:type="dxa"/>
            <w:vMerge/>
            <w:tcBorders>
              <w:left w:val="single" w:sz="18" w:space="0" w:color="auto"/>
              <w:right w:val="single" w:sz="18" w:space="0" w:color="C0C0C0"/>
            </w:tcBorders>
            <w:shd w:val="clear" w:color="auto" w:fill="auto"/>
            <w:vAlign w:val="center"/>
          </w:tcPr>
          <w:p w14:paraId="7B12232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1DB08CE"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972A9"/>
            <w:vAlign w:val="center"/>
          </w:tcPr>
          <w:p w14:paraId="4AED6987" w14:textId="77777777" w:rsidR="0005429E" w:rsidRPr="00D8497C" w:rsidRDefault="0005429E" w:rsidP="00390B39">
            <w:pPr>
              <w:jc w:val="center"/>
              <w:rPr>
                <w:rFonts w:ascii="Arial Narrow" w:hAnsi="Arial Narrow" w:cs="Arial"/>
                <w:b/>
                <w:bCs/>
                <w:sz w:val="16"/>
                <w:szCs w:val="16"/>
              </w:rPr>
            </w:pPr>
          </w:p>
        </w:tc>
        <w:tc>
          <w:tcPr>
            <w:tcW w:w="1162" w:type="dxa"/>
            <w:vMerge/>
            <w:tcBorders>
              <w:left w:val="single" w:sz="18" w:space="0" w:color="BFBFBF"/>
              <w:right w:val="single" w:sz="18" w:space="0" w:color="C0C0C0"/>
            </w:tcBorders>
            <w:shd w:val="clear" w:color="auto" w:fill="A972A9"/>
            <w:vAlign w:val="center"/>
          </w:tcPr>
          <w:p w14:paraId="10F63DB5" w14:textId="77777777" w:rsidR="0005429E" w:rsidRPr="00D8497C" w:rsidRDefault="0005429E" w:rsidP="00390B39">
            <w:pPr>
              <w:jc w:val="center"/>
              <w:rPr>
                <w:rFonts w:ascii="Arial Narrow" w:hAnsi="Arial Narrow" w:cs="Arial"/>
                <w:b/>
                <w:bCs/>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45"/>
            <w:vAlign w:val="center"/>
          </w:tcPr>
          <w:p w14:paraId="51AA152E" w14:textId="19F23C22" w:rsidR="0005429E"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26</w:t>
            </w:r>
          </w:p>
        </w:tc>
        <w:tc>
          <w:tcPr>
            <w:tcW w:w="1162" w:type="dxa"/>
            <w:vMerge/>
            <w:tcBorders>
              <w:left w:val="single" w:sz="18" w:space="0" w:color="C0C0C0"/>
              <w:right w:val="single" w:sz="18" w:space="0" w:color="auto"/>
            </w:tcBorders>
            <w:shd w:val="clear" w:color="auto" w:fill="auto"/>
            <w:vAlign w:val="center"/>
          </w:tcPr>
          <w:p w14:paraId="04FB6A0B"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C1FE3CA" w14:textId="77777777" w:rsidR="0005429E" w:rsidRPr="008E728C" w:rsidRDefault="0005429E" w:rsidP="00390B39">
            <w:pPr>
              <w:jc w:val="center"/>
              <w:rPr>
                <w:rFonts w:ascii="Arial Narrow" w:hAnsi="Arial Narrow" w:cs="Arial"/>
                <w:sz w:val="16"/>
                <w:szCs w:val="16"/>
              </w:rPr>
            </w:pPr>
          </w:p>
        </w:tc>
      </w:tr>
      <w:tr w:rsidR="00A57D22" w:rsidRPr="00BC2C5D" w14:paraId="1CA5194F" w14:textId="77777777" w:rsidTr="00C5507C">
        <w:trPr>
          <w:trHeight w:val="330"/>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2BA1EFD1" w:rsidR="00A57D22" w:rsidRPr="00A634FA" w:rsidRDefault="00A57D22" w:rsidP="00390B39">
            <w:pPr>
              <w:jc w:val="center"/>
              <w:rPr>
                <w:rFonts w:ascii="Arial Narrow" w:hAnsi="Arial Narrow" w:cs="Arial"/>
                <w:sz w:val="16"/>
                <w:szCs w:val="16"/>
              </w:rPr>
            </w:pPr>
            <w:r w:rsidRPr="00390B39">
              <w:rPr>
                <w:rFonts w:ascii="Arial Narrow" w:hAnsi="Arial Narrow" w:cs="Arial"/>
                <w:sz w:val="16"/>
                <w:szCs w:val="16"/>
              </w:rPr>
              <w:t>30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A57D22" w:rsidRPr="00A634FA" w:rsidRDefault="00A57D22"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5280C7F2" w14:textId="761E2C0F"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1</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31836070" w14:textId="7E8D2851"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18177425" w14:textId="0850A8C9" w:rsidR="00A57D22" w:rsidRPr="00D8497C" w:rsidRDefault="00D8497C" w:rsidP="00390B39">
            <w:pPr>
              <w:jc w:val="center"/>
              <w:rPr>
                <w:rFonts w:ascii="Arial Narrow" w:hAnsi="Arial Narrow" w:cs="Arial"/>
                <w:b/>
                <w:bCs/>
                <w:sz w:val="16"/>
                <w:szCs w:val="16"/>
              </w:rPr>
            </w:pPr>
            <w:r w:rsidRPr="00D8497C">
              <w:rPr>
                <w:rFonts w:ascii="Arial Narrow" w:hAnsi="Arial Narrow" w:cs="Arial"/>
                <w:b/>
                <w:bCs/>
                <w:sz w:val="16"/>
                <w:szCs w:val="16"/>
              </w:rPr>
              <w:t>3</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A57D22" w:rsidRPr="00A634FA" w:rsidRDefault="00A57D22" w:rsidP="00390B3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C5DBFF1" w14:textId="77777777" w:rsidR="00A57D22" w:rsidRPr="008E728C" w:rsidRDefault="00A57D22" w:rsidP="008D4D8C">
            <w:pPr>
              <w:jc w:val="center"/>
              <w:rPr>
                <w:rFonts w:ascii="Arial Narrow" w:hAnsi="Arial Narrow" w:cs="Arial"/>
                <w:sz w:val="16"/>
                <w:szCs w:val="16"/>
                <w:highlight w:val="green"/>
              </w:rPr>
            </w:pPr>
            <w:r w:rsidRPr="008E728C">
              <w:rPr>
                <w:rFonts w:ascii="Arial Narrow" w:hAnsi="Arial Narrow" w:cs="Arial"/>
                <w:sz w:val="16"/>
                <w:szCs w:val="16"/>
                <w:highlight w:val="green"/>
              </w:rPr>
              <w:t>CYAAA, Aurukun and Doomadgee schools finish 4/12/2020</w:t>
            </w:r>
          </w:p>
          <w:p w14:paraId="6C9148DC" w14:textId="43994C3A" w:rsidR="00A57D22" w:rsidRPr="008E728C" w:rsidRDefault="00A57D22" w:rsidP="008D4D8C">
            <w:pPr>
              <w:jc w:val="center"/>
              <w:rPr>
                <w:rFonts w:ascii="Arial Narrow" w:hAnsi="Arial Narrow" w:cs="Arial"/>
                <w:sz w:val="16"/>
                <w:szCs w:val="16"/>
                <w:highlight w:val="yellow"/>
              </w:rPr>
            </w:pPr>
            <w:r w:rsidRPr="008E728C">
              <w:rPr>
                <w:rFonts w:ascii="Arial Narrow" w:hAnsi="Arial Narrow"/>
                <w:color w:val="31849B"/>
                <w:sz w:val="16"/>
                <w:szCs w:val="16"/>
              </w:rPr>
              <w:t>Cooktown – Circuit</w:t>
            </w:r>
          </w:p>
        </w:tc>
      </w:tr>
      <w:tr w:rsidR="00A57D22" w:rsidRPr="00BC2C5D" w14:paraId="71A1399F" w14:textId="77777777" w:rsidTr="00C5507C">
        <w:trPr>
          <w:trHeight w:val="330"/>
        </w:trPr>
        <w:tc>
          <w:tcPr>
            <w:tcW w:w="1526" w:type="dxa"/>
            <w:vMerge/>
            <w:tcBorders>
              <w:left w:val="single" w:sz="18" w:space="0" w:color="auto"/>
              <w:right w:val="single" w:sz="18" w:space="0" w:color="C0C0C0"/>
            </w:tcBorders>
            <w:shd w:val="clear" w:color="auto" w:fill="auto"/>
            <w:vAlign w:val="center"/>
          </w:tcPr>
          <w:p w14:paraId="3FF9A1CD" w14:textId="77777777" w:rsidR="00A57D22" w:rsidRPr="00390B39" w:rsidRDefault="00A57D22"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6C108CA" w14:textId="77777777" w:rsidR="00A57D22" w:rsidRPr="00A634FA" w:rsidRDefault="00A57D22"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167B2CFD" w14:textId="1967D627" w:rsidR="00A57D22" w:rsidRPr="00D8497C" w:rsidRDefault="00D8497C" w:rsidP="00390B39">
            <w:pPr>
              <w:jc w:val="center"/>
              <w:rPr>
                <w:rFonts w:ascii="Arial Narrow" w:hAnsi="Arial Narrow" w:cs="Arial"/>
                <w:b/>
                <w:bCs/>
                <w:color w:val="000000"/>
                <w:sz w:val="16"/>
                <w:szCs w:val="16"/>
              </w:rPr>
            </w:pPr>
            <w:r w:rsidRPr="00D8497C">
              <w:rPr>
                <w:rFonts w:ascii="Arial Narrow" w:hAnsi="Arial Narrow" w:cs="Arial"/>
                <w:b/>
                <w:bCs/>
                <w:color w:val="000000"/>
                <w:sz w:val="16"/>
                <w:szCs w:val="16"/>
              </w:rPr>
              <w:t>1</w:t>
            </w:r>
          </w:p>
        </w:tc>
        <w:tc>
          <w:tcPr>
            <w:tcW w:w="1162" w:type="dxa"/>
            <w:vMerge/>
            <w:tcBorders>
              <w:left w:val="single" w:sz="18" w:space="0" w:color="BFBFBF"/>
              <w:right w:val="single" w:sz="18" w:space="0" w:color="C0C0C0"/>
            </w:tcBorders>
            <w:shd w:val="clear" w:color="auto" w:fill="auto"/>
            <w:vAlign w:val="center"/>
          </w:tcPr>
          <w:p w14:paraId="0E79A634" w14:textId="77777777" w:rsidR="00A57D22" w:rsidRPr="00D8497C" w:rsidRDefault="00A57D22" w:rsidP="00390B39">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C0C0C0"/>
            </w:tcBorders>
            <w:shd w:val="clear" w:color="auto" w:fill="auto"/>
            <w:vAlign w:val="center"/>
          </w:tcPr>
          <w:p w14:paraId="6BE9C685" w14:textId="77777777" w:rsidR="00A57D22" w:rsidRPr="00D8497C" w:rsidRDefault="00A57D22"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0271CDE9" w14:textId="77777777" w:rsidR="00A57D22" w:rsidRPr="00A634FA" w:rsidRDefault="00A57D22"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62F52534" w14:textId="77777777" w:rsidR="00A57D22" w:rsidRPr="008E728C" w:rsidRDefault="00A57D22" w:rsidP="008D4D8C">
            <w:pPr>
              <w:jc w:val="center"/>
              <w:rPr>
                <w:rFonts w:ascii="Arial Narrow" w:hAnsi="Arial Narrow" w:cs="Arial"/>
                <w:sz w:val="16"/>
                <w:szCs w:val="16"/>
                <w:highlight w:val="green"/>
              </w:rPr>
            </w:pPr>
          </w:p>
        </w:tc>
      </w:tr>
      <w:tr w:rsidR="00313AD9" w:rsidRPr="00BC2C5D" w14:paraId="6A282D96" w14:textId="77777777" w:rsidTr="00C5507C">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18D2906F" w:rsidR="00313AD9" w:rsidRPr="00A634FA" w:rsidRDefault="00390B39" w:rsidP="00313AD9">
            <w:pPr>
              <w:jc w:val="center"/>
              <w:rPr>
                <w:rFonts w:ascii="Arial Narrow" w:hAnsi="Arial Narrow" w:cs="Arial"/>
                <w:sz w:val="16"/>
                <w:szCs w:val="16"/>
              </w:rPr>
            </w:pPr>
            <w:r>
              <w:rPr>
                <w:rFonts w:ascii="Arial Narrow" w:hAnsi="Arial Narrow" w:cs="Arial"/>
                <w:sz w:val="16"/>
                <w:szCs w:val="16"/>
              </w:rPr>
              <w:t>7 December</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61BB7C07" w:rsidR="00313AD9" w:rsidRPr="00A634FA" w:rsidRDefault="00313AD9"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FFFF00"/>
            <w:vAlign w:val="center"/>
          </w:tcPr>
          <w:p w14:paraId="09C9C0A4" w14:textId="3F8F534F" w:rsidR="00313AD9" w:rsidRPr="00D8497C" w:rsidRDefault="00D8497C" w:rsidP="00313AD9">
            <w:pPr>
              <w:jc w:val="center"/>
              <w:rPr>
                <w:rFonts w:ascii="Arial Narrow" w:hAnsi="Arial Narrow" w:cs="Arial"/>
                <w:b/>
                <w:bCs/>
                <w:color w:val="000000"/>
                <w:sz w:val="16"/>
                <w:szCs w:val="16"/>
              </w:rPr>
            </w:pPr>
            <w:r w:rsidRPr="00D8497C">
              <w:rPr>
                <w:rFonts w:ascii="Arial Narrow" w:hAnsi="Arial Narrow" w:cs="Arial"/>
                <w:b/>
                <w:bCs/>
                <w:color w:val="000000"/>
                <w:sz w:val="16"/>
                <w:szCs w:val="16"/>
              </w:rPr>
              <w:t>8</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1BF01046" w14:textId="50B90251" w:rsidR="00313AD9" w:rsidRPr="00D8497C" w:rsidRDefault="00313AD9" w:rsidP="00313AD9">
            <w:pPr>
              <w:jc w:val="center"/>
              <w:rPr>
                <w:rFonts w:ascii="Arial Narrow" w:hAnsi="Arial Narrow" w:cs="Arial"/>
                <w:b/>
                <w:bCs/>
                <w:color w:val="000000"/>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3AD05D9" w14:textId="649AB22B" w:rsidR="00313AD9" w:rsidRPr="00D8497C" w:rsidRDefault="00313AD9" w:rsidP="00313AD9">
            <w:pPr>
              <w:jc w:val="center"/>
              <w:rPr>
                <w:rFonts w:ascii="Arial Narrow" w:hAnsi="Arial Narrow" w:cs="Arial"/>
                <w:b/>
                <w:bCs/>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13AD9" w:rsidRPr="00A634FA" w:rsidRDefault="00313AD9" w:rsidP="00313AD9">
            <w:pPr>
              <w:jc w:val="center"/>
              <w:rPr>
                <w:rFonts w:ascii="Arial Narrow" w:hAnsi="Arial Narrow" w:cs="Arial"/>
                <w:sz w:val="16"/>
                <w:szCs w:val="16"/>
                <w:highlight w:val="yellow"/>
              </w:rPr>
            </w:pPr>
          </w:p>
        </w:tc>
        <w:tc>
          <w:tcPr>
            <w:tcW w:w="3633" w:type="dxa"/>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50389F49" w14:textId="77777777" w:rsidR="008D4D8C" w:rsidRPr="008E728C" w:rsidRDefault="008D4D8C" w:rsidP="008D4D8C">
            <w:pPr>
              <w:jc w:val="center"/>
              <w:rPr>
                <w:rFonts w:ascii="Arial Narrow" w:hAnsi="Arial Narrow" w:cs="Arial"/>
                <w:sz w:val="16"/>
                <w:szCs w:val="16"/>
              </w:rPr>
            </w:pPr>
            <w:r w:rsidRPr="008E728C">
              <w:rPr>
                <w:rFonts w:ascii="Arial Narrow" w:hAnsi="Arial Narrow" w:cs="Arial"/>
                <w:sz w:val="16"/>
                <w:szCs w:val="16"/>
              </w:rPr>
              <w:t>Mossman schools finish 11/12/20</w:t>
            </w:r>
          </w:p>
          <w:p w14:paraId="27439BBF" w14:textId="77777777" w:rsidR="008D4D8C" w:rsidRPr="008E728C" w:rsidRDefault="008D4D8C" w:rsidP="008D4D8C">
            <w:pPr>
              <w:jc w:val="center"/>
              <w:rPr>
                <w:rFonts w:ascii="Arial Narrow" w:hAnsi="Arial Narrow"/>
                <w:color w:val="31849B"/>
                <w:sz w:val="16"/>
                <w:szCs w:val="16"/>
              </w:rPr>
            </w:pPr>
            <w:r w:rsidRPr="008E728C">
              <w:rPr>
                <w:rFonts w:ascii="Arial Narrow" w:hAnsi="Arial Narrow"/>
                <w:color w:val="31849B"/>
                <w:sz w:val="16"/>
                <w:szCs w:val="16"/>
              </w:rPr>
              <w:t>Doomadgee – Gulf Circuit</w:t>
            </w:r>
          </w:p>
          <w:p w14:paraId="7594D7D0" w14:textId="67BABB43" w:rsidR="002F0FCC" w:rsidRPr="008E728C" w:rsidRDefault="008D4D8C" w:rsidP="008D4D8C">
            <w:pPr>
              <w:jc w:val="center"/>
              <w:rPr>
                <w:rFonts w:ascii="Arial Narrow" w:hAnsi="Arial Narrow"/>
                <w:sz w:val="16"/>
                <w:szCs w:val="16"/>
              </w:rPr>
            </w:pPr>
            <w:r w:rsidRPr="008E728C">
              <w:rPr>
                <w:rFonts w:ascii="Arial Narrow" w:hAnsi="Arial Narrow"/>
                <w:color w:val="31849B"/>
                <w:sz w:val="16"/>
                <w:szCs w:val="16"/>
              </w:rPr>
              <w:t>Aurukun Cape B Circuit</w:t>
            </w:r>
          </w:p>
        </w:tc>
      </w:tr>
      <w:tr w:rsidR="004B316F" w:rsidRPr="00BC2C5D" w14:paraId="5AD4A603" w14:textId="77777777" w:rsidTr="00C5507C">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541D2196" w14:textId="49F767B3" w:rsidR="004B316F" w:rsidRDefault="004B316F" w:rsidP="00313AD9">
            <w:pPr>
              <w:jc w:val="center"/>
              <w:rPr>
                <w:rFonts w:ascii="Arial Narrow" w:hAnsi="Arial Narrow" w:cs="Arial"/>
                <w:sz w:val="16"/>
                <w:szCs w:val="16"/>
              </w:rPr>
            </w:pPr>
            <w:r>
              <w:rPr>
                <w:rFonts w:ascii="Arial Narrow" w:hAnsi="Arial Narrow" w:cs="Arial"/>
                <w:sz w:val="16"/>
                <w:szCs w:val="16"/>
              </w:rPr>
              <w:t>1</w:t>
            </w:r>
            <w:r w:rsidR="00390B39">
              <w:rPr>
                <w:rFonts w:ascii="Arial Narrow" w:hAnsi="Arial Narrow" w:cs="Arial"/>
                <w:sz w:val="16"/>
                <w:szCs w:val="16"/>
              </w:rPr>
              <w:t>4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7C9E53CD" w14:textId="77777777" w:rsidR="004B316F" w:rsidRPr="00A634FA" w:rsidRDefault="004B316F"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6101D748" w14:textId="43104D39" w:rsidR="004B316F" w:rsidRDefault="004B316F" w:rsidP="00313AD9">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1EACD015" w14:textId="3FBB542F" w:rsidR="004B316F" w:rsidRDefault="004B316F" w:rsidP="00313AD9">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66B770D2" w14:textId="652D2F47" w:rsidR="004B316F" w:rsidRDefault="004B316F"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26701529" w14:textId="77777777" w:rsidR="004B316F" w:rsidRPr="00A634FA" w:rsidRDefault="004B316F"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34E89CD0" w14:textId="117B9F8C" w:rsidR="004B316F" w:rsidRPr="008E728C" w:rsidRDefault="004B316F" w:rsidP="002F0FCC">
            <w:pPr>
              <w:jc w:val="center"/>
              <w:rPr>
                <w:rFonts w:ascii="Arial Narrow" w:hAnsi="Arial Narrow"/>
                <w:sz w:val="16"/>
                <w:szCs w:val="16"/>
              </w:rPr>
            </w:pPr>
          </w:p>
        </w:tc>
      </w:tr>
      <w:tr w:rsidR="002B2062" w:rsidRPr="00BC2C5D" w14:paraId="358400C0" w14:textId="77777777" w:rsidTr="00C5507C">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7774EA67" w:rsidR="002B2062" w:rsidRDefault="002B2062" w:rsidP="002B2062">
            <w:pPr>
              <w:jc w:val="center"/>
              <w:rPr>
                <w:rFonts w:ascii="Arial Narrow" w:hAnsi="Arial Narrow" w:cs="Arial"/>
                <w:sz w:val="16"/>
                <w:szCs w:val="16"/>
              </w:rPr>
            </w:pPr>
            <w:r>
              <w:rPr>
                <w:rFonts w:ascii="Arial Narrow" w:hAnsi="Arial Narrow" w:cs="Arial"/>
                <w:sz w:val="16"/>
                <w:szCs w:val="16"/>
              </w:rPr>
              <w:t>21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B517AC3"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5FDF62BB" w:rsidR="002B2062" w:rsidRPr="008E728C" w:rsidRDefault="002B2062" w:rsidP="002B2062">
            <w:pPr>
              <w:jc w:val="center"/>
              <w:rPr>
                <w:rFonts w:ascii="Arial Narrow" w:hAnsi="Arial Narrow"/>
                <w:sz w:val="16"/>
                <w:szCs w:val="16"/>
              </w:rPr>
            </w:pPr>
            <w:r w:rsidRPr="008E728C">
              <w:rPr>
                <w:rFonts w:ascii="Arial Narrow" w:hAnsi="Arial Narrow" w:cs="Arial"/>
                <w:sz w:val="16"/>
                <w:szCs w:val="16"/>
                <w:highlight w:val="yellow"/>
              </w:rPr>
              <w:t>25 Christmas Day</w:t>
            </w:r>
          </w:p>
        </w:tc>
      </w:tr>
      <w:tr w:rsidR="002B2062" w:rsidRPr="00BC2C5D" w14:paraId="454096CA" w14:textId="77777777" w:rsidTr="00C5507C">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17DB7C3F" w:rsidR="002B2062" w:rsidRDefault="002B2062" w:rsidP="002B2062">
            <w:pPr>
              <w:jc w:val="center"/>
              <w:rPr>
                <w:rFonts w:ascii="Arial Narrow" w:hAnsi="Arial Narrow" w:cs="Arial"/>
                <w:sz w:val="16"/>
                <w:szCs w:val="16"/>
              </w:rPr>
            </w:pPr>
            <w:r>
              <w:rPr>
                <w:rFonts w:ascii="Arial Narrow" w:hAnsi="Arial Narrow" w:cs="Arial"/>
                <w:sz w:val="16"/>
                <w:szCs w:val="16"/>
              </w:rPr>
              <w:t>28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5A3A4E55"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09DBFDBB" w:rsidR="002B2062" w:rsidRPr="00A634FA" w:rsidRDefault="002B2062"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7A1A328" w14:textId="77777777" w:rsidR="002B2062" w:rsidRPr="008E728C" w:rsidRDefault="002B2062" w:rsidP="002B2062">
            <w:pPr>
              <w:jc w:val="center"/>
              <w:rPr>
                <w:rFonts w:ascii="Arial Narrow" w:hAnsi="Arial Narrow" w:cs="Arial"/>
                <w:sz w:val="16"/>
                <w:szCs w:val="16"/>
              </w:rPr>
            </w:pPr>
            <w:r w:rsidRPr="008E728C">
              <w:rPr>
                <w:rFonts w:ascii="Arial Narrow" w:hAnsi="Arial Narrow" w:cs="Arial"/>
                <w:sz w:val="16"/>
                <w:szCs w:val="16"/>
                <w:highlight w:val="yellow"/>
              </w:rPr>
              <w:t>28 Boxing Day Public Holiday, 1 New Year’s Day</w:t>
            </w:r>
          </w:p>
          <w:p w14:paraId="684BF69B" w14:textId="6EFD2685" w:rsidR="002B2062" w:rsidRPr="008E728C" w:rsidRDefault="002B2062" w:rsidP="002B2062">
            <w:pPr>
              <w:jc w:val="center"/>
              <w:rPr>
                <w:rFonts w:ascii="Arial Narrow" w:hAnsi="Arial Narrow"/>
                <w:sz w:val="16"/>
                <w:szCs w:val="16"/>
              </w:rPr>
            </w:pPr>
            <w:r w:rsidRPr="008E728C">
              <w:rPr>
                <w:rFonts w:ascii="Arial Narrow" w:hAnsi="Arial Narrow" w:cs="Arial"/>
                <w:sz w:val="16"/>
                <w:szCs w:val="16"/>
              </w:rPr>
              <w:t>29, 30, 31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C16D1C">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5469D5">
        <w:trPr>
          <w:trHeight w:val="284"/>
        </w:trPr>
        <w:tc>
          <w:tcPr>
            <w:tcW w:w="3539"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126"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6"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48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13"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61495AE" w14:textId="77777777" w:rsidTr="005469D5">
        <w:trPr>
          <w:trHeight w:val="284"/>
        </w:trPr>
        <w:tc>
          <w:tcPr>
            <w:tcW w:w="3539" w:type="dxa"/>
            <w:shd w:val="clear" w:color="auto" w:fill="auto"/>
            <w:vAlign w:val="center"/>
          </w:tcPr>
          <w:p w14:paraId="162B3C56" w14:textId="4D607764" w:rsidR="00B60E22" w:rsidRPr="00E67BBC" w:rsidRDefault="00B60E22" w:rsidP="00E67BBC">
            <w:pPr>
              <w:rPr>
                <w:rFonts w:ascii="Arial" w:hAnsi="Arial" w:cs="Arial"/>
              </w:rPr>
            </w:pPr>
            <w:r>
              <w:rPr>
                <w:rFonts w:ascii="Arial" w:hAnsi="Arial" w:cs="Arial"/>
              </w:rPr>
              <w:t>Cairns – Deputy Commissioner</w:t>
            </w:r>
          </w:p>
        </w:tc>
        <w:tc>
          <w:tcPr>
            <w:tcW w:w="2126" w:type="dxa"/>
            <w:shd w:val="clear" w:color="auto" w:fill="auto"/>
            <w:vAlign w:val="center"/>
          </w:tcPr>
          <w:p w14:paraId="13B665B8" w14:textId="5B851FD8" w:rsidR="00B60E22" w:rsidRPr="00E67BBC" w:rsidRDefault="00B60E22" w:rsidP="00E67BBC">
            <w:pPr>
              <w:rPr>
                <w:rFonts w:ascii="Arial" w:hAnsi="Arial" w:cs="Arial"/>
              </w:rPr>
            </w:pPr>
            <w:r>
              <w:rPr>
                <w:rFonts w:ascii="Arial" w:hAnsi="Arial" w:cs="Arial"/>
              </w:rPr>
              <w:t>Mr Rod Curtin</w:t>
            </w:r>
          </w:p>
        </w:tc>
        <w:tc>
          <w:tcPr>
            <w:tcW w:w="1266" w:type="dxa"/>
            <w:shd w:val="clear" w:color="auto" w:fill="auto"/>
            <w:vAlign w:val="center"/>
          </w:tcPr>
          <w:p w14:paraId="5768F957" w14:textId="3C879442" w:rsidR="00B60E22" w:rsidRPr="00E67BBC" w:rsidRDefault="00B60E22" w:rsidP="00E67BBC">
            <w:pPr>
              <w:jc w:val="center"/>
              <w:rPr>
                <w:rFonts w:ascii="Arial" w:hAnsi="Arial" w:cs="Arial"/>
              </w:rPr>
            </w:pPr>
            <w:r>
              <w:rPr>
                <w:rFonts w:ascii="Arial" w:hAnsi="Arial" w:cs="Arial"/>
              </w:rPr>
              <w:t>4081 8410</w:t>
            </w:r>
          </w:p>
        </w:tc>
        <w:tc>
          <w:tcPr>
            <w:tcW w:w="1485" w:type="dxa"/>
            <w:shd w:val="clear" w:color="auto" w:fill="auto"/>
            <w:vAlign w:val="center"/>
          </w:tcPr>
          <w:p w14:paraId="713272F7" w14:textId="484957E6" w:rsidR="00B60E22" w:rsidRPr="00E67BBC" w:rsidRDefault="00B60E22" w:rsidP="00E67BBC">
            <w:pPr>
              <w:jc w:val="center"/>
              <w:rPr>
                <w:rFonts w:ascii="Arial" w:hAnsi="Arial" w:cs="Arial"/>
              </w:rPr>
            </w:pPr>
            <w:r>
              <w:rPr>
                <w:rFonts w:ascii="Arial" w:hAnsi="Arial" w:cs="Arial"/>
              </w:rPr>
              <w:t>0419 647 948</w:t>
            </w:r>
          </w:p>
        </w:tc>
        <w:tc>
          <w:tcPr>
            <w:tcW w:w="1213" w:type="dxa"/>
            <w:shd w:val="clear" w:color="auto" w:fill="auto"/>
            <w:vAlign w:val="center"/>
          </w:tcPr>
          <w:p w14:paraId="3771714E" w14:textId="38978160" w:rsidR="00B60E22" w:rsidRPr="00E67BBC" w:rsidRDefault="00B60E22" w:rsidP="00E67BBC">
            <w:pPr>
              <w:jc w:val="center"/>
              <w:rPr>
                <w:rFonts w:ascii="Arial" w:hAnsi="Arial" w:cs="Arial"/>
              </w:rPr>
            </w:pPr>
            <w:r>
              <w:rPr>
                <w:rFonts w:ascii="Arial" w:hAnsi="Arial" w:cs="Arial"/>
              </w:rPr>
              <w:t>4041 0974</w:t>
            </w:r>
          </w:p>
        </w:tc>
      </w:tr>
      <w:tr w:rsidR="00E67BBC" w:rsidRPr="00D83311" w14:paraId="4AE1FE76" w14:textId="77777777" w:rsidTr="005469D5">
        <w:trPr>
          <w:trHeight w:val="284"/>
        </w:trPr>
        <w:tc>
          <w:tcPr>
            <w:tcW w:w="3539"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126"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6"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48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13"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5469D5">
        <w:trPr>
          <w:trHeight w:val="284"/>
        </w:trPr>
        <w:tc>
          <w:tcPr>
            <w:tcW w:w="3539"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126"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6"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48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13"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0AA468FE" w14:textId="77777777" w:rsidTr="005469D5">
        <w:trPr>
          <w:trHeight w:val="284"/>
        </w:trPr>
        <w:tc>
          <w:tcPr>
            <w:tcW w:w="3539"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126"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6"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48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13"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5469D5">
        <w:trPr>
          <w:trHeight w:val="284"/>
        </w:trPr>
        <w:tc>
          <w:tcPr>
            <w:tcW w:w="3539" w:type="dxa"/>
            <w:shd w:val="clear" w:color="auto" w:fill="auto"/>
            <w:vAlign w:val="center"/>
          </w:tcPr>
          <w:p w14:paraId="605C8262" w14:textId="45F1162A" w:rsidR="00E67BBC" w:rsidRPr="00E67BBC" w:rsidRDefault="00E67BBC" w:rsidP="00E67BBC">
            <w:pPr>
              <w:rPr>
                <w:rFonts w:ascii="Arial" w:hAnsi="Arial" w:cs="Arial"/>
              </w:rPr>
            </w:pPr>
            <w:r w:rsidRPr="00E67BBC">
              <w:rPr>
                <w:rFonts w:ascii="Arial" w:hAnsi="Arial" w:cs="Arial"/>
              </w:rPr>
              <w:t xml:space="preserve">Coen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802C696" w14:textId="58D68447" w:rsidR="00E67BBC" w:rsidRPr="00E67BBC" w:rsidRDefault="00E67BBC" w:rsidP="00E67BBC">
            <w:pPr>
              <w:rPr>
                <w:rFonts w:ascii="Arial" w:hAnsi="Arial" w:cs="Arial"/>
              </w:rPr>
            </w:pPr>
            <w:r w:rsidRPr="00E67BBC">
              <w:rPr>
                <w:rFonts w:ascii="Arial" w:hAnsi="Arial" w:cs="Arial"/>
              </w:rPr>
              <w:t>Ms Sandi Rye</w:t>
            </w:r>
          </w:p>
        </w:tc>
        <w:tc>
          <w:tcPr>
            <w:tcW w:w="1266"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48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13"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5469D5">
        <w:trPr>
          <w:trHeight w:val="284"/>
        </w:trPr>
        <w:tc>
          <w:tcPr>
            <w:tcW w:w="3539" w:type="dxa"/>
            <w:shd w:val="clear" w:color="auto" w:fill="auto"/>
            <w:vAlign w:val="center"/>
          </w:tcPr>
          <w:p w14:paraId="364D4494" w14:textId="6395816C" w:rsidR="00E67BBC" w:rsidRPr="00E67BBC" w:rsidRDefault="00E67BBC" w:rsidP="00E67BBC">
            <w:pPr>
              <w:rPr>
                <w:rFonts w:ascii="Arial" w:hAnsi="Arial" w:cs="Arial"/>
              </w:rPr>
            </w:pPr>
            <w:r w:rsidRPr="00E67BBC">
              <w:rPr>
                <w:rFonts w:ascii="Arial" w:hAnsi="Arial" w:cs="Arial"/>
              </w:rPr>
              <w:t xml:space="preserve">Acting Doomadgee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6"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48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13"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5469D5">
        <w:trPr>
          <w:trHeight w:val="284"/>
        </w:trPr>
        <w:tc>
          <w:tcPr>
            <w:tcW w:w="3539" w:type="dxa"/>
            <w:shd w:val="clear" w:color="auto" w:fill="auto"/>
            <w:vAlign w:val="center"/>
          </w:tcPr>
          <w:p w14:paraId="7D09B19F" w14:textId="7E81ED31" w:rsidR="00E67BBC" w:rsidRPr="00E67BBC" w:rsidRDefault="00E67BBC" w:rsidP="00E67BBC">
            <w:pPr>
              <w:rPr>
                <w:rFonts w:ascii="Arial" w:hAnsi="Arial" w:cs="Arial"/>
              </w:rPr>
            </w:pPr>
            <w:r w:rsidRPr="00E67BBC">
              <w:rPr>
                <w:rFonts w:ascii="Arial" w:hAnsi="Arial" w:cs="Arial"/>
              </w:rPr>
              <w:t xml:space="preserve">Acting Hope Vale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48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4311B17" w14:textId="77777777" w:rsidTr="005469D5">
        <w:trPr>
          <w:trHeight w:val="284"/>
        </w:trPr>
        <w:tc>
          <w:tcPr>
            <w:tcW w:w="3539" w:type="dxa"/>
            <w:shd w:val="clear" w:color="auto" w:fill="auto"/>
            <w:vAlign w:val="center"/>
          </w:tcPr>
          <w:p w14:paraId="73107646" w14:textId="1B350B59" w:rsidR="00B60E22" w:rsidRPr="00E67BBC" w:rsidRDefault="00B60E22" w:rsidP="00B60E22">
            <w:pPr>
              <w:rPr>
                <w:rFonts w:ascii="Arial" w:hAnsi="Arial" w:cs="Arial"/>
              </w:rPr>
            </w:pPr>
            <w:r w:rsidRPr="00E67BBC">
              <w:rPr>
                <w:rFonts w:ascii="Arial" w:hAnsi="Arial" w:cs="Arial"/>
              </w:rPr>
              <w:t xml:space="preserve">Mossman Gorge Local </w:t>
            </w:r>
            <w:r>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9965F87" w14:textId="1879CD66" w:rsidR="00B60E22" w:rsidRPr="00E67BBC" w:rsidRDefault="00B60E22" w:rsidP="00B60E22">
            <w:pPr>
              <w:rPr>
                <w:rFonts w:ascii="Arial" w:hAnsi="Arial" w:cs="Arial"/>
              </w:rPr>
            </w:pPr>
            <w:r w:rsidRPr="00E67BBC">
              <w:rPr>
                <w:rFonts w:ascii="Arial" w:hAnsi="Arial" w:cs="Arial"/>
              </w:rPr>
              <w:t>Ms Sandi Rye</w:t>
            </w:r>
          </w:p>
        </w:tc>
        <w:tc>
          <w:tcPr>
            <w:tcW w:w="1266" w:type="dxa"/>
            <w:shd w:val="clear" w:color="auto" w:fill="auto"/>
            <w:vAlign w:val="center"/>
          </w:tcPr>
          <w:p w14:paraId="78DBA0DF" w14:textId="77777777" w:rsidR="00B60E22" w:rsidRPr="00E67BBC" w:rsidRDefault="00B60E22" w:rsidP="00B60E22">
            <w:pPr>
              <w:jc w:val="center"/>
              <w:rPr>
                <w:rFonts w:ascii="Arial" w:hAnsi="Arial" w:cs="Arial"/>
              </w:rPr>
            </w:pPr>
          </w:p>
        </w:tc>
        <w:tc>
          <w:tcPr>
            <w:tcW w:w="1485" w:type="dxa"/>
            <w:shd w:val="clear" w:color="auto" w:fill="auto"/>
            <w:vAlign w:val="center"/>
          </w:tcPr>
          <w:p w14:paraId="1CB77B42" w14:textId="34E21ABB" w:rsidR="00B60E22" w:rsidRPr="00E67BBC" w:rsidRDefault="00B60E22" w:rsidP="00B60E22">
            <w:pPr>
              <w:jc w:val="center"/>
              <w:rPr>
                <w:rFonts w:ascii="Arial" w:hAnsi="Arial" w:cs="Arial"/>
              </w:rPr>
            </w:pPr>
            <w:r w:rsidRPr="00E67BBC">
              <w:rPr>
                <w:rFonts w:ascii="Arial" w:hAnsi="Arial" w:cs="Arial"/>
              </w:rPr>
              <w:t>0417 798 392</w:t>
            </w:r>
          </w:p>
        </w:tc>
        <w:tc>
          <w:tcPr>
            <w:tcW w:w="1213" w:type="dxa"/>
            <w:shd w:val="clear" w:color="auto" w:fill="auto"/>
            <w:vAlign w:val="center"/>
          </w:tcPr>
          <w:p w14:paraId="46004A59" w14:textId="62742EFF" w:rsidR="00B60E22" w:rsidRPr="00E67BBC" w:rsidRDefault="00B60E22" w:rsidP="00B60E22">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237A61">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DCF6" w14:textId="77777777" w:rsidR="00D37CF2" w:rsidRDefault="00D37CF2">
      <w:r>
        <w:separator/>
      </w:r>
    </w:p>
  </w:endnote>
  <w:endnote w:type="continuationSeparator" w:id="0">
    <w:p w14:paraId="41CFC827" w14:textId="77777777" w:rsidR="00D37CF2" w:rsidRDefault="00D37CF2">
      <w:r>
        <w:continuationSeparator/>
      </w:r>
    </w:p>
  </w:endnote>
  <w:endnote w:type="continuationNotice" w:id="1">
    <w:p w14:paraId="00F068CD" w14:textId="77777777" w:rsidR="00D37CF2" w:rsidRDefault="00D37C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5B26" w14:textId="77777777" w:rsidR="00D37CF2" w:rsidRDefault="00D37CF2"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D37CF2" w:rsidRDefault="00D37CF2"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23E" w14:textId="77777777" w:rsidR="00D37CF2" w:rsidRDefault="00D37CF2"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D37CF2" w:rsidRDefault="00D37CF2"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EC2" w14:textId="77777777" w:rsidR="00D37CF2" w:rsidRDefault="00D37CF2"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7FCA3" w14:textId="77777777" w:rsidR="00D37CF2" w:rsidRDefault="00D37CF2">
      <w:r>
        <w:separator/>
      </w:r>
    </w:p>
  </w:footnote>
  <w:footnote w:type="continuationSeparator" w:id="0">
    <w:p w14:paraId="44E66A37" w14:textId="77777777" w:rsidR="00D37CF2" w:rsidRDefault="00D37CF2">
      <w:r>
        <w:continuationSeparator/>
      </w:r>
    </w:p>
  </w:footnote>
  <w:footnote w:type="continuationNotice" w:id="1">
    <w:p w14:paraId="6117002E" w14:textId="77777777" w:rsidR="00D37CF2" w:rsidRDefault="00D37CF2">
      <w:pPr>
        <w:spacing w:line="240" w:lineRule="auto"/>
      </w:pPr>
    </w:p>
  </w:footnote>
  <w:footnote w:id="2">
    <w:p w14:paraId="0E53FAAB" w14:textId="2D309F62" w:rsidR="00D37CF2" w:rsidRDefault="00D37CF2" w:rsidP="00452E54">
      <w:pPr>
        <w:pStyle w:val="FootnoteText"/>
      </w:pPr>
      <w:r>
        <w:rPr>
          <w:rStyle w:val="FootnoteReference"/>
        </w:rPr>
        <w:footnoteRef/>
      </w:r>
      <w:r>
        <w:t xml:space="preserve"> </w:t>
      </w:r>
      <w:r w:rsidRPr="00D6330F">
        <w:rPr>
          <w:sz w:val="16"/>
          <w:szCs w:val="16"/>
        </w:rPr>
        <w:t>Agency notices are counted on the basis of the number of persons named on the notice</w:t>
      </w:r>
      <w:r>
        <w:rPr>
          <w:sz w:val="16"/>
          <w:szCs w:val="16"/>
        </w:rPr>
        <w:t xml:space="preserve">  (e.g.</w:t>
      </w:r>
      <w:r w:rsidRPr="00D6330F">
        <w:rPr>
          <w:sz w:val="16"/>
          <w:szCs w:val="16"/>
        </w:rPr>
        <w:t xml:space="preserve"> a Child Safety and Welfare notice relating to two parents is counted as two notices and if three children from one family have an unexplained absence on one day, it is counted as three individual </w:t>
      </w:r>
      <w:r>
        <w:rPr>
          <w:sz w:val="16"/>
          <w:szCs w:val="16"/>
        </w:rPr>
        <w:t xml:space="preserve">School Attendance </w:t>
      </w:r>
      <w:r w:rsidRPr="00D6330F">
        <w:rPr>
          <w:sz w:val="16"/>
          <w:szCs w:val="16"/>
        </w:rPr>
        <w:t>notices</w:t>
      </w:r>
      <w:r>
        <w:rPr>
          <w:sz w:val="16"/>
          <w:szCs w:val="16"/>
        </w:rPr>
        <w:t>)</w:t>
      </w:r>
      <w:r w:rsidRPr="00D6330F">
        <w:rPr>
          <w:sz w:val="16"/>
          <w:szCs w:val="16"/>
        </w:rPr>
        <w:t>.</w:t>
      </w:r>
    </w:p>
  </w:footnote>
  <w:footnote w:id="3">
    <w:p w14:paraId="264E5477" w14:textId="1CC6D825" w:rsidR="00D37CF2" w:rsidRPr="00850FF3" w:rsidRDefault="00D37CF2" w:rsidP="00452E54">
      <w:pPr>
        <w:pStyle w:val="FootnoteText"/>
        <w:rPr>
          <w:sz w:val="16"/>
          <w:szCs w:val="16"/>
        </w:rPr>
      </w:pPr>
      <w:r w:rsidRPr="00850FF3">
        <w:rPr>
          <w:rStyle w:val="FootnoteReference"/>
          <w:sz w:val="16"/>
          <w:szCs w:val="16"/>
        </w:rPr>
        <w:footnoteRef/>
      </w:r>
      <w:r w:rsidRPr="00B23C25">
        <w:rPr>
          <w:rStyle w:val="FootnoteReference"/>
        </w:rPr>
        <w:t xml:space="preserve"> </w:t>
      </w:r>
      <w:r w:rsidRPr="00B23C25">
        <w:rPr>
          <w:rStyle w:val="FootnoteReference"/>
          <w:sz w:val="16"/>
          <w:szCs w:val="16"/>
          <w:vertAlign w:val="baseline"/>
        </w:rPr>
        <w:t xml:space="preserve">A case plan can have multiple referrals </w:t>
      </w:r>
      <w:r>
        <w:rPr>
          <w:sz w:val="16"/>
          <w:szCs w:val="16"/>
        </w:rPr>
        <w:t>(</w:t>
      </w:r>
      <w:r w:rsidRPr="00B23C25">
        <w:rPr>
          <w:rStyle w:val="FootnoteReference"/>
          <w:sz w:val="16"/>
          <w:szCs w:val="16"/>
          <w:vertAlign w:val="baseline"/>
        </w:rPr>
        <w:t>e.g. a client may be referred to both the Wellbeing Centre and MPower under the same case plan</w:t>
      </w:r>
      <w:r>
        <w:rPr>
          <w:sz w:val="16"/>
          <w:szCs w:val="16"/>
        </w:rPr>
        <w:t>)</w:t>
      </w:r>
      <w:r w:rsidRPr="00B23C25">
        <w:rPr>
          <w:rStyle w:val="FootnoteReference"/>
          <w:sz w:val="16"/>
          <w:szCs w:val="16"/>
          <w:vertAlign w:val="baseline"/>
        </w:rPr>
        <w:t>.</w:t>
      </w:r>
    </w:p>
  </w:footnote>
  <w:footnote w:id="4">
    <w:p w14:paraId="32DD5081" w14:textId="47B2D4F9" w:rsidR="00D37CF2" w:rsidRPr="00B23C25" w:rsidRDefault="00D37CF2" w:rsidP="00452E54">
      <w:pPr>
        <w:pStyle w:val="FootnoteText"/>
      </w:pPr>
      <w:r w:rsidRPr="00B23C25">
        <w:rPr>
          <w:rStyle w:val="FootnoteReference"/>
          <w:sz w:val="16"/>
          <w:szCs w:val="16"/>
        </w:rPr>
        <w:footnoteRef/>
      </w:r>
      <w:r w:rsidRPr="00B23C25">
        <w:rPr>
          <w:rStyle w:val="FootnoteReference"/>
          <w:sz w:val="16"/>
          <w:szCs w:val="16"/>
        </w:rPr>
        <w:t xml:space="preserve"> </w:t>
      </w:r>
      <w:r w:rsidRPr="00CC2B00">
        <w:rPr>
          <w:rStyle w:val="FootnoteReference"/>
          <w:sz w:val="16"/>
          <w:szCs w:val="16"/>
          <w:vertAlign w:val="baseline"/>
        </w:rPr>
        <w:t>During t</w:t>
      </w:r>
      <w:r w:rsidRPr="00CC2B00">
        <w:rPr>
          <w:sz w:val="16"/>
          <w:szCs w:val="16"/>
        </w:rPr>
        <w:t>he quarter</w:t>
      </w:r>
      <w:r>
        <w:rPr>
          <w:sz w:val="16"/>
          <w:szCs w:val="16"/>
        </w:rPr>
        <w:t>:</w:t>
      </w:r>
      <w:r w:rsidRPr="00CC2B00">
        <w:rPr>
          <w:rStyle w:val="FootnoteReference"/>
          <w:sz w:val="16"/>
          <w:szCs w:val="16"/>
          <w:vertAlign w:val="baseline"/>
        </w:rPr>
        <w:t xml:space="preserve"> </w:t>
      </w:r>
      <w:r w:rsidRPr="00CC2B00">
        <w:rPr>
          <w:sz w:val="16"/>
          <w:szCs w:val="16"/>
        </w:rPr>
        <w:t>3 voluntary agreements, 39</w:t>
      </w:r>
      <w:r w:rsidRPr="00CC2B00">
        <w:rPr>
          <w:rStyle w:val="FootnoteReference"/>
          <w:sz w:val="16"/>
          <w:szCs w:val="16"/>
          <w:vertAlign w:val="baseline"/>
        </w:rPr>
        <w:t xml:space="preserve"> a</w:t>
      </w:r>
      <w:r w:rsidRPr="00CC2B00">
        <w:rPr>
          <w:sz w:val="16"/>
          <w:szCs w:val="16"/>
        </w:rPr>
        <w:t>greements and</w:t>
      </w:r>
      <w:r w:rsidRPr="00CC2B00">
        <w:rPr>
          <w:rStyle w:val="FootnoteReference"/>
          <w:sz w:val="16"/>
          <w:szCs w:val="16"/>
          <w:vertAlign w:val="baseline"/>
        </w:rPr>
        <w:t xml:space="preserve"> 4</w:t>
      </w:r>
      <w:r w:rsidRPr="00CC2B00">
        <w:rPr>
          <w:sz w:val="16"/>
          <w:szCs w:val="16"/>
        </w:rPr>
        <w:t>4</w:t>
      </w:r>
      <w:r w:rsidRPr="00CC2B00">
        <w:rPr>
          <w:rStyle w:val="FootnoteReference"/>
          <w:sz w:val="16"/>
          <w:szCs w:val="16"/>
          <w:vertAlign w:val="baseline"/>
        </w:rPr>
        <w:t xml:space="preserve"> orders to attend community support services</w:t>
      </w:r>
      <w:r>
        <w:rPr>
          <w:rStyle w:val="FootnoteReference"/>
          <w:sz w:val="16"/>
          <w:szCs w:val="16"/>
          <w:vertAlign w:val="baseline"/>
        </w:rPr>
        <w:t>,</w:t>
      </w:r>
      <w:r w:rsidRPr="00CC2B00">
        <w:rPr>
          <w:rStyle w:val="FootnoteReference"/>
          <w:sz w:val="16"/>
          <w:szCs w:val="16"/>
          <w:vertAlign w:val="baseline"/>
        </w:rPr>
        <w:t xml:space="preserve"> </w:t>
      </w:r>
      <w:r w:rsidRPr="00CC2B00">
        <w:rPr>
          <w:sz w:val="16"/>
          <w:szCs w:val="16"/>
        </w:rPr>
        <w:t>1 agreement for CIM</w:t>
      </w:r>
      <w:r>
        <w:rPr>
          <w:sz w:val="16"/>
          <w:szCs w:val="16"/>
        </w:rPr>
        <w:t>,</w:t>
      </w:r>
      <w:r w:rsidRPr="00CC2B00">
        <w:rPr>
          <w:sz w:val="16"/>
          <w:szCs w:val="16"/>
        </w:rPr>
        <w:t xml:space="preserve"> </w:t>
      </w:r>
      <w:r w:rsidRPr="00CC2B00">
        <w:rPr>
          <w:rStyle w:val="FootnoteReference"/>
          <w:sz w:val="16"/>
          <w:szCs w:val="16"/>
          <w:vertAlign w:val="baseline"/>
        </w:rPr>
        <w:t>3</w:t>
      </w:r>
      <w:r w:rsidRPr="00CC2B00">
        <w:rPr>
          <w:sz w:val="16"/>
          <w:szCs w:val="16"/>
        </w:rPr>
        <w:t>4</w:t>
      </w:r>
      <w:r w:rsidRPr="00CC2B00">
        <w:rPr>
          <w:rStyle w:val="FootnoteReference"/>
          <w:sz w:val="16"/>
          <w:szCs w:val="16"/>
          <w:vertAlign w:val="baseline"/>
        </w:rPr>
        <w:t xml:space="preserve"> CIM orders</w:t>
      </w:r>
      <w:r w:rsidRPr="00CC2B00">
        <w:rPr>
          <w:sz w:val="16"/>
          <w:szCs w:val="16"/>
        </w:rPr>
        <w:t xml:space="preserve"> and 5 VIMs </w:t>
      </w:r>
      <w:r w:rsidRPr="00CC2B00">
        <w:rPr>
          <w:rStyle w:val="FootnoteReference"/>
          <w:sz w:val="16"/>
          <w:szCs w:val="16"/>
          <w:vertAlign w:val="baseline"/>
        </w:rPr>
        <w:t>relate to 1</w:t>
      </w:r>
      <w:r w:rsidRPr="00CC2B00">
        <w:rPr>
          <w:sz w:val="16"/>
          <w:szCs w:val="16"/>
        </w:rPr>
        <w:t>1</w:t>
      </w:r>
      <w:r w:rsidRPr="00CC2B00">
        <w:rPr>
          <w:rStyle w:val="FootnoteReference"/>
          <w:sz w:val="16"/>
          <w:szCs w:val="16"/>
          <w:vertAlign w:val="baseline"/>
        </w:rPr>
        <w:t>0 unique clients.</w:t>
      </w:r>
      <w:r w:rsidRPr="00B23C25">
        <w:rPr>
          <w:rStyle w:val="FootnoteReference"/>
          <w:sz w:val="16"/>
          <w:szCs w:val="16"/>
          <w:vertAlign w:val="baseline"/>
        </w:rPr>
        <w:t xml:space="preserve"> </w:t>
      </w:r>
    </w:p>
  </w:footnote>
  <w:footnote w:id="5">
    <w:p w14:paraId="668C67D9" w14:textId="7A1ED83E" w:rsidR="00D37CF2" w:rsidRPr="00712552" w:rsidRDefault="00D37CF2">
      <w:pPr>
        <w:pStyle w:val="FootnoteText"/>
        <w:rPr>
          <w:sz w:val="16"/>
          <w:szCs w:val="16"/>
        </w:rPr>
      </w:pPr>
      <w:r w:rsidRPr="00712552">
        <w:rPr>
          <w:rStyle w:val="FootnoteReference"/>
          <w:sz w:val="16"/>
          <w:szCs w:val="16"/>
        </w:rPr>
        <w:footnoteRef/>
      </w:r>
      <w:r w:rsidRPr="00712552">
        <w:rPr>
          <w:sz w:val="16"/>
          <w:szCs w:val="16"/>
        </w:rPr>
        <w:t xml:space="preserve"> Reasons an Agency Notice may be deemed not within the FRC’s jurisdiction include (a non-exhaustive list): the person the subject of the Agency Notice is found not to be a ‘relevant person’ pursuant to the FRC Act and cannot be held responsible for the alleged behaviour; is no longer a community member living in a welfare reform community area; ceases to be in receipt of a certain welfare payments; or the notifying agency has not complied with the statutory requirements and the Agency Notice is invalid. </w:t>
      </w:r>
    </w:p>
  </w:footnote>
  <w:footnote w:id="6">
    <w:p w14:paraId="621C3F9F" w14:textId="77777777" w:rsidR="00D37CF2" w:rsidRPr="00850FF3" w:rsidRDefault="00D37CF2"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7">
    <w:p w14:paraId="0902E148" w14:textId="590901FA" w:rsidR="00D37CF2" w:rsidRDefault="00D37CF2">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 Safety, Youth and Women only.</w:t>
      </w:r>
    </w:p>
  </w:footnote>
  <w:footnote w:id="8">
    <w:p w14:paraId="70C1A401" w14:textId="77777777" w:rsidR="00D37CF2" w:rsidRPr="004B50DF" w:rsidRDefault="00D37CF2"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9">
    <w:p w14:paraId="3B048D5D" w14:textId="4F4A86C8"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Due to the small numbers a breakdown by community is not provided to protect the privacy of clients</w:t>
      </w:r>
    </w:p>
  </w:footnote>
  <w:footnote w:id="10">
    <w:p w14:paraId="1869075C" w14:textId="1D66F758"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Voluntary Case Plan Agreement</w:t>
      </w:r>
    </w:p>
  </w:footnote>
  <w:footnote w:id="11">
    <w:p w14:paraId="5C08A0BB" w14:textId="6432352D"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Voluntary Income Management Agreement</w:t>
      </w:r>
    </w:p>
  </w:footnote>
  <w:footnote w:id="12">
    <w:p w14:paraId="261A40E4" w14:textId="66D9BDDE"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Case Plan entered into by agreement with the client</w:t>
      </w:r>
    </w:p>
  </w:footnote>
  <w:footnote w:id="13">
    <w:p w14:paraId="5CFD1C97" w14:textId="32E63D39"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Compulsory Income Management entered into by agreement with the client</w:t>
      </w:r>
    </w:p>
  </w:footnote>
  <w:footnote w:id="14">
    <w:p w14:paraId="3A8C7709" w14:textId="0F515D71" w:rsidR="00D37CF2" w:rsidRPr="00544691" w:rsidRDefault="00D37CF2">
      <w:pPr>
        <w:pStyle w:val="FootnoteText"/>
        <w:rPr>
          <w:sz w:val="16"/>
          <w:szCs w:val="16"/>
        </w:rPr>
      </w:pPr>
      <w:r w:rsidRPr="00544691">
        <w:rPr>
          <w:rStyle w:val="FootnoteReference"/>
          <w:sz w:val="16"/>
          <w:szCs w:val="16"/>
        </w:rPr>
        <w:footnoteRef/>
      </w:r>
      <w:r w:rsidRPr="00544691">
        <w:rPr>
          <w:sz w:val="16"/>
          <w:szCs w:val="16"/>
        </w:rPr>
        <w:t xml:space="preserve"> Case Plan ordered by the Commission</w:t>
      </w:r>
    </w:p>
  </w:footnote>
  <w:footnote w:id="15">
    <w:p w14:paraId="0C1DD48F" w14:textId="05A494A6" w:rsidR="00D37CF2" w:rsidRDefault="00D37CF2">
      <w:pPr>
        <w:pStyle w:val="FootnoteText"/>
      </w:pPr>
      <w:r w:rsidRPr="00544691">
        <w:rPr>
          <w:rStyle w:val="FootnoteReference"/>
          <w:sz w:val="16"/>
          <w:szCs w:val="16"/>
        </w:rPr>
        <w:footnoteRef/>
      </w:r>
      <w:r w:rsidRPr="00544691">
        <w:rPr>
          <w:sz w:val="16"/>
          <w:szCs w:val="16"/>
        </w:rPr>
        <w:t xml:space="preserve"> Compulsory Income Management ordered by the Commission</w:t>
      </w:r>
    </w:p>
  </w:footnote>
  <w:footnote w:id="16">
    <w:p w14:paraId="1D04A1CF" w14:textId="77777777" w:rsidR="00D37CF2" w:rsidRDefault="00D37CF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7">
    <w:p w14:paraId="55C03F91" w14:textId="77777777" w:rsidR="00D37CF2" w:rsidRDefault="00D37CF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8">
    <w:p w14:paraId="4B536E73" w14:textId="77777777" w:rsidR="00D37CF2" w:rsidRDefault="00D37CF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case plan during the quarter</w:t>
      </w:r>
      <w:r w:rsidRPr="007A314B">
        <w:rPr>
          <w:rStyle w:val="FootnoteReference"/>
          <w:sz w:val="16"/>
          <w:szCs w:val="16"/>
          <w:vertAlign w:val="baseline"/>
        </w:rPr>
        <w:t>.</w:t>
      </w:r>
    </w:p>
  </w:footnote>
  <w:footnote w:id="19">
    <w:p w14:paraId="5AC10446" w14:textId="77777777" w:rsidR="00D37CF2" w:rsidRDefault="00D37CF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CIM’d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CIM during the quarter</w:t>
      </w:r>
      <w:r w:rsidRPr="007A314B">
        <w:rPr>
          <w:rStyle w:val="FootnoteReference"/>
          <w:sz w:val="16"/>
          <w:szCs w:val="16"/>
          <w:vertAlign w:val="baseline"/>
        </w:rPr>
        <w:t>.</w:t>
      </w:r>
    </w:p>
  </w:footnote>
  <w:footnote w:id="20">
    <w:p w14:paraId="5014099E" w14:textId="3220E02F" w:rsidR="00D37CF2" w:rsidRDefault="00D37CF2">
      <w:pPr>
        <w:pStyle w:val="FootnoteText"/>
      </w:pPr>
      <w:r w:rsidRPr="00A46F7B">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VIM’d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s</w:t>
      </w:r>
      <w:r>
        <w:rPr>
          <w:sz w:val="16"/>
          <w:szCs w:val="16"/>
        </w:rPr>
        <w:t>tart date of the agreement where the client was placed on a VIM during the quarter</w:t>
      </w:r>
      <w:r w:rsidRPr="007A314B">
        <w:rPr>
          <w:rStyle w:val="FootnoteReference"/>
          <w:sz w:val="16"/>
          <w:szCs w:val="16"/>
          <w:vertAlign w:val="baseline"/>
        </w:rPr>
        <w:t>.</w:t>
      </w:r>
    </w:p>
  </w:footnote>
  <w:footnote w:id="21">
    <w:p w14:paraId="15716F00" w14:textId="26382896" w:rsidR="00D37CF2" w:rsidRDefault="00D37CF2"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2">
    <w:p w14:paraId="3BBC0E7E" w14:textId="41F30A76" w:rsidR="00D37CF2" w:rsidRDefault="00D37CF2"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3">
    <w:p w14:paraId="3884DA28" w14:textId="23E533ED" w:rsidR="00D37CF2" w:rsidRDefault="00D37CF2"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4">
    <w:p w14:paraId="5BB1F6F6" w14:textId="2B05C385" w:rsidR="00D37CF2" w:rsidRDefault="00D37CF2"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82A3" w14:textId="65FBE856" w:rsidR="00D37CF2" w:rsidRDefault="00D37CF2">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D37CF2" w:rsidRDefault="00D37CF2"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D37CF2" w:rsidRDefault="00D37CF2"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D37CF2" w:rsidRDefault="00D37CF2"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D37CF2" w:rsidRDefault="00D37CF2"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CF0E" w14:textId="4A7D87C0" w:rsidR="00D37CF2" w:rsidRDefault="00D37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8980" w14:textId="77777777" w:rsidR="00D37CF2" w:rsidRDefault="00D37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4E0210"/>
    <w:multiLevelType w:val="hybridMultilevel"/>
    <w:tmpl w:val="82C4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8"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B599D"/>
    <w:multiLevelType w:val="hybridMultilevel"/>
    <w:tmpl w:val="A8F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5407658"/>
    <w:multiLevelType w:val="hybridMultilevel"/>
    <w:tmpl w:val="89F6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6"/>
  </w:num>
  <w:num w:numId="3">
    <w:abstractNumId w:val="9"/>
  </w:num>
  <w:num w:numId="4">
    <w:abstractNumId w:val="27"/>
  </w:num>
  <w:num w:numId="5">
    <w:abstractNumId w:val="31"/>
  </w:num>
  <w:num w:numId="6">
    <w:abstractNumId w:val="1"/>
  </w:num>
  <w:num w:numId="7">
    <w:abstractNumId w:val="14"/>
  </w:num>
  <w:num w:numId="8">
    <w:abstractNumId w:val="3"/>
  </w:num>
  <w:num w:numId="9">
    <w:abstractNumId w:val="17"/>
  </w:num>
  <w:num w:numId="10">
    <w:abstractNumId w:val="18"/>
  </w:num>
  <w:num w:numId="11">
    <w:abstractNumId w:val="30"/>
  </w:num>
  <w:num w:numId="12">
    <w:abstractNumId w:val="15"/>
  </w:num>
  <w:num w:numId="13">
    <w:abstractNumId w:val="28"/>
  </w:num>
  <w:num w:numId="14">
    <w:abstractNumId w:val="8"/>
  </w:num>
  <w:num w:numId="15">
    <w:abstractNumId w:val="5"/>
  </w:num>
  <w:num w:numId="16">
    <w:abstractNumId w:val="4"/>
  </w:num>
  <w:num w:numId="17">
    <w:abstractNumId w:val="10"/>
  </w:num>
  <w:num w:numId="18">
    <w:abstractNumId w:val="24"/>
  </w:num>
  <w:num w:numId="19">
    <w:abstractNumId w:val="23"/>
  </w:num>
  <w:num w:numId="20">
    <w:abstractNumId w:val="13"/>
  </w:num>
  <w:num w:numId="21">
    <w:abstractNumId w:val="6"/>
  </w:num>
  <w:num w:numId="22">
    <w:abstractNumId w:val="1"/>
  </w:num>
  <w:num w:numId="23">
    <w:abstractNumId w:val="1"/>
  </w:num>
  <w:num w:numId="24">
    <w:abstractNumId w:val="7"/>
  </w:num>
  <w:num w:numId="25">
    <w:abstractNumId w:val="22"/>
  </w:num>
  <w:num w:numId="26">
    <w:abstractNumId w:val="19"/>
  </w:num>
  <w:num w:numId="27">
    <w:abstractNumId w:val="0"/>
  </w:num>
  <w:num w:numId="28">
    <w:abstractNumId w:val="11"/>
  </w:num>
  <w:num w:numId="29">
    <w:abstractNumId w:val="20"/>
  </w:num>
  <w:num w:numId="30">
    <w:abstractNumId w:val="21"/>
  </w:num>
  <w:num w:numId="31">
    <w:abstractNumId w:val="25"/>
  </w:num>
  <w:num w:numId="32">
    <w:abstractNumId w:val="29"/>
  </w:num>
  <w:num w:numId="33">
    <w:abstractNumId w:val="12"/>
  </w:num>
  <w:num w:numId="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96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B81"/>
    <w:rsid w:val="00006CA5"/>
    <w:rsid w:val="000072FE"/>
    <w:rsid w:val="00007930"/>
    <w:rsid w:val="00007A59"/>
    <w:rsid w:val="00007B00"/>
    <w:rsid w:val="00007BA5"/>
    <w:rsid w:val="000102C9"/>
    <w:rsid w:val="00010328"/>
    <w:rsid w:val="0001094E"/>
    <w:rsid w:val="00010EF3"/>
    <w:rsid w:val="000111F9"/>
    <w:rsid w:val="0001136D"/>
    <w:rsid w:val="000116C1"/>
    <w:rsid w:val="000117D2"/>
    <w:rsid w:val="00011851"/>
    <w:rsid w:val="000118DB"/>
    <w:rsid w:val="00011A27"/>
    <w:rsid w:val="00011A44"/>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3EA1"/>
    <w:rsid w:val="00024088"/>
    <w:rsid w:val="000242AA"/>
    <w:rsid w:val="000243EF"/>
    <w:rsid w:val="000245C3"/>
    <w:rsid w:val="00024A73"/>
    <w:rsid w:val="00024B81"/>
    <w:rsid w:val="00024BC6"/>
    <w:rsid w:val="00024C90"/>
    <w:rsid w:val="00025054"/>
    <w:rsid w:val="00025194"/>
    <w:rsid w:val="000256E1"/>
    <w:rsid w:val="000257CF"/>
    <w:rsid w:val="00025928"/>
    <w:rsid w:val="0002593E"/>
    <w:rsid w:val="000259FA"/>
    <w:rsid w:val="00025B58"/>
    <w:rsid w:val="00025D77"/>
    <w:rsid w:val="00025DBA"/>
    <w:rsid w:val="00025DDC"/>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EA9"/>
    <w:rsid w:val="0003023A"/>
    <w:rsid w:val="000305F2"/>
    <w:rsid w:val="0003062F"/>
    <w:rsid w:val="000308B0"/>
    <w:rsid w:val="000308D1"/>
    <w:rsid w:val="00030ADB"/>
    <w:rsid w:val="00030E9D"/>
    <w:rsid w:val="00031361"/>
    <w:rsid w:val="0003139F"/>
    <w:rsid w:val="0003140A"/>
    <w:rsid w:val="00031735"/>
    <w:rsid w:val="0003174C"/>
    <w:rsid w:val="0003177B"/>
    <w:rsid w:val="0003177F"/>
    <w:rsid w:val="000317DC"/>
    <w:rsid w:val="0003185A"/>
    <w:rsid w:val="00031AEB"/>
    <w:rsid w:val="00031C25"/>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C3"/>
    <w:rsid w:val="00034FA6"/>
    <w:rsid w:val="00035006"/>
    <w:rsid w:val="00035309"/>
    <w:rsid w:val="00035794"/>
    <w:rsid w:val="000357ED"/>
    <w:rsid w:val="000358AC"/>
    <w:rsid w:val="00036093"/>
    <w:rsid w:val="000361E4"/>
    <w:rsid w:val="00036306"/>
    <w:rsid w:val="000364B5"/>
    <w:rsid w:val="0003677B"/>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658"/>
    <w:rsid w:val="0005394C"/>
    <w:rsid w:val="00053C24"/>
    <w:rsid w:val="00053ED3"/>
    <w:rsid w:val="00054129"/>
    <w:rsid w:val="000541CA"/>
    <w:rsid w:val="000541CF"/>
    <w:rsid w:val="0005429E"/>
    <w:rsid w:val="000544BC"/>
    <w:rsid w:val="00054771"/>
    <w:rsid w:val="0005494A"/>
    <w:rsid w:val="00054CCC"/>
    <w:rsid w:val="00054E05"/>
    <w:rsid w:val="00054F6B"/>
    <w:rsid w:val="0005529E"/>
    <w:rsid w:val="000553D0"/>
    <w:rsid w:val="0005566E"/>
    <w:rsid w:val="00055789"/>
    <w:rsid w:val="00055891"/>
    <w:rsid w:val="00055ADA"/>
    <w:rsid w:val="00055B55"/>
    <w:rsid w:val="00055F4B"/>
    <w:rsid w:val="00055FB2"/>
    <w:rsid w:val="00056329"/>
    <w:rsid w:val="0005638B"/>
    <w:rsid w:val="0005638D"/>
    <w:rsid w:val="000566F8"/>
    <w:rsid w:val="00056B48"/>
    <w:rsid w:val="00056D0D"/>
    <w:rsid w:val="00057179"/>
    <w:rsid w:val="000575B6"/>
    <w:rsid w:val="00057823"/>
    <w:rsid w:val="0005786D"/>
    <w:rsid w:val="00057A8F"/>
    <w:rsid w:val="00057B6E"/>
    <w:rsid w:val="0006007E"/>
    <w:rsid w:val="00060351"/>
    <w:rsid w:val="000603B6"/>
    <w:rsid w:val="0006064F"/>
    <w:rsid w:val="00060733"/>
    <w:rsid w:val="00060863"/>
    <w:rsid w:val="00060C99"/>
    <w:rsid w:val="0006112C"/>
    <w:rsid w:val="000612F5"/>
    <w:rsid w:val="00061307"/>
    <w:rsid w:val="00061780"/>
    <w:rsid w:val="00061B71"/>
    <w:rsid w:val="00061DDC"/>
    <w:rsid w:val="00061EE8"/>
    <w:rsid w:val="00062332"/>
    <w:rsid w:val="00062612"/>
    <w:rsid w:val="000627DE"/>
    <w:rsid w:val="000628DC"/>
    <w:rsid w:val="00062C5A"/>
    <w:rsid w:val="000630B4"/>
    <w:rsid w:val="00063231"/>
    <w:rsid w:val="0006382E"/>
    <w:rsid w:val="00063A31"/>
    <w:rsid w:val="00063B44"/>
    <w:rsid w:val="00063C4B"/>
    <w:rsid w:val="0006411B"/>
    <w:rsid w:val="00064419"/>
    <w:rsid w:val="000646F9"/>
    <w:rsid w:val="00064A70"/>
    <w:rsid w:val="00064D55"/>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403"/>
    <w:rsid w:val="000745D1"/>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1CF"/>
    <w:rsid w:val="00080235"/>
    <w:rsid w:val="0008053E"/>
    <w:rsid w:val="0008069E"/>
    <w:rsid w:val="000806FF"/>
    <w:rsid w:val="00080A6A"/>
    <w:rsid w:val="00080CC6"/>
    <w:rsid w:val="00080FE0"/>
    <w:rsid w:val="0008114B"/>
    <w:rsid w:val="000815E5"/>
    <w:rsid w:val="00081689"/>
    <w:rsid w:val="00081AA0"/>
    <w:rsid w:val="00081AA9"/>
    <w:rsid w:val="000823AD"/>
    <w:rsid w:val="0008253E"/>
    <w:rsid w:val="0008254C"/>
    <w:rsid w:val="0008278B"/>
    <w:rsid w:val="0008286C"/>
    <w:rsid w:val="00082B15"/>
    <w:rsid w:val="00082B63"/>
    <w:rsid w:val="00082CD9"/>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E8B"/>
    <w:rsid w:val="0009108F"/>
    <w:rsid w:val="0009129E"/>
    <w:rsid w:val="000912B2"/>
    <w:rsid w:val="000914CC"/>
    <w:rsid w:val="000915D5"/>
    <w:rsid w:val="000915DB"/>
    <w:rsid w:val="0009165D"/>
    <w:rsid w:val="00091828"/>
    <w:rsid w:val="00091AD9"/>
    <w:rsid w:val="00091AF2"/>
    <w:rsid w:val="00091AF9"/>
    <w:rsid w:val="00091DE0"/>
    <w:rsid w:val="00091EEA"/>
    <w:rsid w:val="00091F90"/>
    <w:rsid w:val="000921F0"/>
    <w:rsid w:val="0009231E"/>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10A"/>
    <w:rsid w:val="000A110F"/>
    <w:rsid w:val="000A121A"/>
    <w:rsid w:val="000A14E2"/>
    <w:rsid w:val="000A155A"/>
    <w:rsid w:val="000A19DD"/>
    <w:rsid w:val="000A1E36"/>
    <w:rsid w:val="000A203F"/>
    <w:rsid w:val="000A20DE"/>
    <w:rsid w:val="000A223C"/>
    <w:rsid w:val="000A22E3"/>
    <w:rsid w:val="000A288F"/>
    <w:rsid w:val="000A28A4"/>
    <w:rsid w:val="000A2A02"/>
    <w:rsid w:val="000A2BCD"/>
    <w:rsid w:val="000A2C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70F"/>
    <w:rsid w:val="000A5823"/>
    <w:rsid w:val="000A58DF"/>
    <w:rsid w:val="000A59EC"/>
    <w:rsid w:val="000A5A63"/>
    <w:rsid w:val="000A5E6C"/>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D9"/>
    <w:rsid w:val="000B6294"/>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A9A"/>
    <w:rsid w:val="000C0CAB"/>
    <w:rsid w:val="000C0D6A"/>
    <w:rsid w:val="000C0E3B"/>
    <w:rsid w:val="000C0E40"/>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5D2"/>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AA8"/>
    <w:rsid w:val="000D5C0F"/>
    <w:rsid w:val="000D5EAA"/>
    <w:rsid w:val="000D603B"/>
    <w:rsid w:val="000D619E"/>
    <w:rsid w:val="000D622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C6D"/>
    <w:rsid w:val="000E2D5D"/>
    <w:rsid w:val="000E2F26"/>
    <w:rsid w:val="000E3108"/>
    <w:rsid w:val="000E3118"/>
    <w:rsid w:val="000E31BE"/>
    <w:rsid w:val="000E3531"/>
    <w:rsid w:val="000E3A4C"/>
    <w:rsid w:val="000E3C69"/>
    <w:rsid w:val="000E3FC6"/>
    <w:rsid w:val="000E410D"/>
    <w:rsid w:val="000E4145"/>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32"/>
    <w:rsid w:val="000F0E40"/>
    <w:rsid w:val="000F1060"/>
    <w:rsid w:val="000F1085"/>
    <w:rsid w:val="000F1394"/>
    <w:rsid w:val="000F153D"/>
    <w:rsid w:val="000F18B2"/>
    <w:rsid w:val="000F1CC5"/>
    <w:rsid w:val="000F1E2D"/>
    <w:rsid w:val="000F1E82"/>
    <w:rsid w:val="000F1EFA"/>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A7B"/>
    <w:rsid w:val="000F4AF1"/>
    <w:rsid w:val="000F4D8D"/>
    <w:rsid w:val="000F513B"/>
    <w:rsid w:val="000F51A0"/>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174"/>
    <w:rsid w:val="001079D3"/>
    <w:rsid w:val="00107C49"/>
    <w:rsid w:val="00107C7A"/>
    <w:rsid w:val="00107CBA"/>
    <w:rsid w:val="00107F54"/>
    <w:rsid w:val="00110477"/>
    <w:rsid w:val="001105D4"/>
    <w:rsid w:val="00110869"/>
    <w:rsid w:val="00110A72"/>
    <w:rsid w:val="00110B01"/>
    <w:rsid w:val="00110B39"/>
    <w:rsid w:val="00110BDF"/>
    <w:rsid w:val="00110E11"/>
    <w:rsid w:val="001110D5"/>
    <w:rsid w:val="0011142A"/>
    <w:rsid w:val="001114D4"/>
    <w:rsid w:val="001114E8"/>
    <w:rsid w:val="00111B27"/>
    <w:rsid w:val="00111E4B"/>
    <w:rsid w:val="00111F45"/>
    <w:rsid w:val="0011233B"/>
    <w:rsid w:val="0011234B"/>
    <w:rsid w:val="00112797"/>
    <w:rsid w:val="0011298A"/>
    <w:rsid w:val="001129EF"/>
    <w:rsid w:val="00112D16"/>
    <w:rsid w:val="00112EDE"/>
    <w:rsid w:val="00112EEC"/>
    <w:rsid w:val="00112EF3"/>
    <w:rsid w:val="00113244"/>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F51"/>
    <w:rsid w:val="001151C6"/>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6F5"/>
    <w:rsid w:val="001179BE"/>
    <w:rsid w:val="00117C54"/>
    <w:rsid w:val="00117DD2"/>
    <w:rsid w:val="00117F5F"/>
    <w:rsid w:val="0012005D"/>
    <w:rsid w:val="00120068"/>
    <w:rsid w:val="001200DF"/>
    <w:rsid w:val="00120380"/>
    <w:rsid w:val="001204F2"/>
    <w:rsid w:val="001209F3"/>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57C"/>
    <w:rsid w:val="0012263A"/>
    <w:rsid w:val="00122C57"/>
    <w:rsid w:val="00122CE6"/>
    <w:rsid w:val="0012303B"/>
    <w:rsid w:val="001230C7"/>
    <w:rsid w:val="001233D2"/>
    <w:rsid w:val="00123451"/>
    <w:rsid w:val="00123457"/>
    <w:rsid w:val="00123469"/>
    <w:rsid w:val="00123756"/>
    <w:rsid w:val="001237F8"/>
    <w:rsid w:val="0012398D"/>
    <w:rsid w:val="00123D7E"/>
    <w:rsid w:val="00123F42"/>
    <w:rsid w:val="00124281"/>
    <w:rsid w:val="00124579"/>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400"/>
    <w:rsid w:val="0012658A"/>
    <w:rsid w:val="001265B8"/>
    <w:rsid w:val="0012689B"/>
    <w:rsid w:val="001268F4"/>
    <w:rsid w:val="00126B85"/>
    <w:rsid w:val="00126EB5"/>
    <w:rsid w:val="00126EF5"/>
    <w:rsid w:val="00126FD1"/>
    <w:rsid w:val="00127068"/>
    <w:rsid w:val="00127369"/>
    <w:rsid w:val="0012749C"/>
    <w:rsid w:val="0012758D"/>
    <w:rsid w:val="00127702"/>
    <w:rsid w:val="001278F1"/>
    <w:rsid w:val="00127938"/>
    <w:rsid w:val="001279EA"/>
    <w:rsid w:val="00127A28"/>
    <w:rsid w:val="00127AF5"/>
    <w:rsid w:val="00127CEE"/>
    <w:rsid w:val="00130190"/>
    <w:rsid w:val="0013023B"/>
    <w:rsid w:val="00130576"/>
    <w:rsid w:val="00130578"/>
    <w:rsid w:val="001305E3"/>
    <w:rsid w:val="001306E6"/>
    <w:rsid w:val="001306F8"/>
    <w:rsid w:val="001307E4"/>
    <w:rsid w:val="00130B12"/>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4144"/>
    <w:rsid w:val="00134234"/>
    <w:rsid w:val="0013425E"/>
    <w:rsid w:val="00134545"/>
    <w:rsid w:val="001345A9"/>
    <w:rsid w:val="0013470F"/>
    <w:rsid w:val="001347A9"/>
    <w:rsid w:val="00134A17"/>
    <w:rsid w:val="00134AB7"/>
    <w:rsid w:val="00134B1E"/>
    <w:rsid w:val="00134CB1"/>
    <w:rsid w:val="00134DB1"/>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BCF"/>
    <w:rsid w:val="00136CE2"/>
    <w:rsid w:val="00137236"/>
    <w:rsid w:val="00137747"/>
    <w:rsid w:val="00137947"/>
    <w:rsid w:val="00137A77"/>
    <w:rsid w:val="00137DCB"/>
    <w:rsid w:val="00137FD2"/>
    <w:rsid w:val="001401D2"/>
    <w:rsid w:val="001408BC"/>
    <w:rsid w:val="00140B54"/>
    <w:rsid w:val="00140B6F"/>
    <w:rsid w:val="00140C5D"/>
    <w:rsid w:val="00140C62"/>
    <w:rsid w:val="00140D53"/>
    <w:rsid w:val="00140D6E"/>
    <w:rsid w:val="00140E4E"/>
    <w:rsid w:val="00140EA9"/>
    <w:rsid w:val="00140EF2"/>
    <w:rsid w:val="00140F10"/>
    <w:rsid w:val="0014115A"/>
    <w:rsid w:val="001413C4"/>
    <w:rsid w:val="001413EE"/>
    <w:rsid w:val="00141CB2"/>
    <w:rsid w:val="00141E01"/>
    <w:rsid w:val="00142227"/>
    <w:rsid w:val="0014227C"/>
    <w:rsid w:val="001422E9"/>
    <w:rsid w:val="00142532"/>
    <w:rsid w:val="00142D1A"/>
    <w:rsid w:val="00142EF0"/>
    <w:rsid w:val="001430F9"/>
    <w:rsid w:val="001431C4"/>
    <w:rsid w:val="001433C8"/>
    <w:rsid w:val="0014343E"/>
    <w:rsid w:val="001434A1"/>
    <w:rsid w:val="001438AC"/>
    <w:rsid w:val="00143C4D"/>
    <w:rsid w:val="00144134"/>
    <w:rsid w:val="0014415F"/>
    <w:rsid w:val="00144171"/>
    <w:rsid w:val="001446E3"/>
    <w:rsid w:val="001447CA"/>
    <w:rsid w:val="001449A4"/>
    <w:rsid w:val="00144ACD"/>
    <w:rsid w:val="00144B23"/>
    <w:rsid w:val="00144C55"/>
    <w:rsid w:val="00144CF9"/>
    <w:rsid w:val="00144DB6"/>
    <w:rsid w:val="00144FEF"/>
    <w:rsid w:val="00145063"/>
    <w:rsid w:val="001453DE"/>
    <w:rsid w:val="001458A2"/>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DE4"/>
    <w:rsid w:val="00154E3C"/>
    <w:rsid w:val="00154F6F"/>
    <w:rsid w:val="001554C1"/>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D7"/>
    <w:rsid w:val="00165083"/>
    <w:rsid w:val="00165263"/>
    <w:rsid w:val="001652F8"/>
    <w:rsid w:val="001654A8"/>
    <w:rsid w:val="00165792"/>
    <w:rsid w:val="00165A39"/>
    <w:rsid w:val="00165FAB"/>
    <w:rsid w:val="0016605D"/>
    <w:rsid w:val="00166102"/>
    <w:rsid w:val="00166EDA"/>
    <w:rsid w:val="0016719F"/>
    <w:rsid w:val="00167496"/>
    <w:rsid w:val="0016768A"/>
    <w:rsid w:val="00167CEF"/>
    <w:rsid w:val="00167D59"/>
    <w:rsid w:val="00167F73"/>
    <w:rsid w:val="00170861"/>
    <w:rsid w:val="001709BF"/>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2F2"/>
    <w:rsid w:val="00192389"/>
    <w:rsid w:val="00192506"/>
    <w:rsid w:val="00192737"/>
    <w:rsid w:val="001927AD"/>
    <w:rsid w:val="001928E3"/>
    <w:rsid w:val="00192AD0"/>
    <w:rsid w:val="00192D8A"/>
    <w:rsid w:val="00192E60"/>
    <w:rsid w:val="00192FD5"/>
    <w:rsid w:val="001933E1"/>
    <w:rsid w:val="001935FC"/>
    <w:rsid w:val="0019391E"/>
    <w:rsid w:val="00193997"/>
    <w:rsid w:val="00193DC9"/>
    <w:rsid w:val="00193FBE"/>
    <w:rsid w:val="00194083"/>
    <w:rsid w:val="0019429D"/>
    <w:rsid w:val="001942EC"/>
    <w:rsid w:val="00194B76"/>
    <w:rsid w:val="00194BA3"/>
    <w:rsid w:val="00194DC1"/>
    <w:rsid w:val="00195130"/>
    <w:rsid w:val="0019514A"/>
    <w:rsid w:val="00195208"/>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457C"/>
    <w:rsid w:val="001B45FE"/>
    <w:rsid w:val="001B469B"/>
    <w:rsid w:val="001B46CB"/>
    <w:rsid w:val="001B4754"/>
    <w:rsid w:val="001B4B37"/>
    <w:rsid w:val="001B4F7A"/>
    <w:rsid w:val="001B4F91"/>
    <w:rsid w:val="001B500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2DC"/>
    <w:rsid w:val="001D2406"/>
    <w:rsid w:val="001D2418"/>
    <w:rsid w:val="001D25A7"/>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74A0"/>
    <w:rsid w:val="001D797E"/>
    <w:rsid w:val="001D7A3E"/>
    <w:rsid w:val="001D7FCF"/>
    <w:rsid w:val="001E00B7"/>
    <w:rsid w:val="001E0159"/>
    <w:rsid w:val="001E01D3"/>
    <w:rsid w:val="001E0595"/>
    <w:rsid w:val="001E0973"/>
    <w:rsid w:val="001E09F4"/>
    <w:rsid w:val="001E0A8F"/>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AFF"/>
    <w:rsid w:val="001E5E0B"/>
    <w:rsid w:val="001E5F1A"/>
    <w:rsid w:val="001E63FB"/>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8E5"/>
    <w:rsid w:val="001F4A16"/>
    <w:rsid w:val="001F4FEB"/>
    <w:rsid w:val="001F5BB7"/>
    <w:rsid w:val="001F5C15"/>
    <w:rsid w:val="001F5D20"/>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7D9"/>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6C4"/>
    <w:rsid w:val="00211B15"/>
    <w:rsid w:val="00211BC4"/>
    <w:rsid w:val="00211D40"/>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05"/>
    <w:rsid w:val="002208A5"/>
    <w:rsid w:val="00220E92"/>
    <w:rsid w:val="00221573"/>
    <w:rsid w:val="00221A5E"/>
    <w:rsid w:val="00221B17"/>
    <w:rsid w:val="0022208F"/>
    <w:rsid w:val="002220BA"/>
    <w:rsid w:val="002222C3"/>
    <w:rsid w:val="00222300"/>
    <w:rsid w:val="0022232B"/>
    <w:rsid w:val="00222473"/>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33"/>
    <w:rsid w:val="00226FAC"/>
    <w:rsid w:val="00227336"/>
    <w:rsid w:val="002275EB"/>
    <w:rsid w:val="00227972"/>
    <w:rsid w:val="002279C6"/>
    <w:rsid w:val="00227D2C"/>
    <w:rsid w:val="00227E3A"/>
    <w:rsid w:val="00227E88"/>
    <w:rsid w:val="002307F0"/>
    <w:rsid w:val="00230AE7"/>
    <w:rsid w:val="00230B87"/>
    <w:rsid w:val="00230D71"/>
    <w:rsid w:val="00230D8F"/>
    <w:rsid w:val="00231E8C"/>
    <w:rsid w:val="002323FE"/>
    <w:rsid w:val="0023286B"/>
    <w:rsid w:val="002328A1"/>
    <w:rsid w:val="002328D0"/>
    <w:rsid w:val="00232CA2"/>
    <w:rsid w:val="00233092"/>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A61"/>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373"/>
    <w:rsid w:val="002455F7"/>
    <w:rsid w:val="00245A2B"/>
    <w:rsid w:val="00245C15"/>
    <w:rsid w:val="00245CC2"/>
    <w:rsid w:val="00245DEC"/>
    <w:rsid w:val="00245F85"/>
    <w:rsid w:val="00246234"/>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70B"/>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1F6F"/>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5074"/>
    <w:rsid w:val="002655EF"/>
    <w:rsid w:val="0026566D"/>
    <w:rsid w:val="0026581C"/>
    <w:rsid w:val="00265846"/>
    <w:rsid w:val="00265BCB"/>
    <w:rsid w:val="00265C05"/>
    <w:rsid w:val="00265C3D"/>
    <w:rsid w:val="00265CE8"/>
    <w:rsid w:val="00265DD2"/>
    <w:rsid w:val="002660E7"/>
    <w:rsid w:val="0026615C"/>
    <w:rsid w:val="00266A6B"/>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0FD2"/>
    <w:rsid w:val="00271050"/>
    <w:rsid w:val="00271729"/>
    <w:rsid w:val="00271824"/>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73"/>
    <w:rsid w:val="00281EE5"/>
    <w:rsid w:val="00282049"/>
    <w:rsid w:val="002822AD"/>
    <w:rsid w:val="002824A1"/>
    <w:rsid w:val="00282676"/>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87FD5"/>
    <w:rsid w:val="00290677"/>
    <w:rsid w:val="00290943"/>
    <w:rsid w:val="00290F7D"/>
    <w:rsid w:val="00290F99"/>
    <w:rsid w:val="0029104A"/>
    <w:rsid w:val="002911E2"/>
    <w:rsid w:val="002914BA"/>
    <w:rsid w:val="00291A00"/>
    <w:rsid w:val="00291B72"/>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A0053"/>
    <w:rsid w:val="002A0093"/>
    <w:rsid w:val="002A022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1C6"/>
    <w:rsid w:val="002A581C"/>
    <w:rsid w:val="002A5824"/>
    <w:rsid w:val="002A5FDD"/>
    <w:rsid w:val="002A6300"/>
    <w:rsid w:val="002A6348"/>
    <w:rsid w:val="002A64D8"/>
    <w:rsid w:val="002A6642"/>
    <w:rsid w:val="002A6696"/>
    <w:rsid w:val="002A67EA"/>
    <w:rsid w:val="002A6D93"/>
    <w:rsid w:val="002A6F53"/>
    <w:rsid w:val="002A70E5"/>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10D"/>
    <w:rsid w:val="002C0454"/>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95"/>
    <w:rsid w:val="002C2777"/>
    <w:rsid w:val="002C27B8"/>
    <w:rsid w:val="002C2B3F"/>
    <w:rsid w:val="002C2D72"/>
    <w:rsid w:val="002C2EAF"/>
    <w:rsid w:val="002C314C"/>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3FB"/>
    <w:rsid w:val="002C6496"/>
    <w:rsid w:val="002C6BAC"/>
    <w:rsid w:val="002C6C51"/>
    <w:rsid w:val="002C71DF"/>
    <w:rsid w:val="002C7536"/>
    <w:rsid w:val="002C7757"/>
    <w:rsid w:val="002C7B8C"/>
    <w:rsid w:val="002C7DD5"/>
    <w:rsid w:val="002C7E65"/>
    <w:rsid w:val="002C7FBF"/>
    <w:rsid w:val="002D075F"/>
    <w:rsid w:val="002D083F"/>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AE"/>
    <w:rsid w:val="002D24E5"/>
    <w:rsid w:val="002D259F"/>
    <w:rsid w:val="002D28AE"/>
    <w:rsid w:val="002D2CE0"/>
    <w:rsid w:val="002D2F24"/>
    <w:rsid w:val="002D2FEF"/>
    <w:rsid w:val="002D384C"/>
    <w:rsid w:val="002D3A3D"/>
    <w:rsid w:val="002D3AC0"/>
    <w:rsid w:val="002D3AF6"/>
    <w:rsid w:val="002D3AFF"/>
    <w:rsid w:val="002D3BE3"/>
    <w:rsid w:val="002D3C1F"/>
    <w:rsid w:val="002D3C2C"/>
    <w:rsid w:val="002D3D6A"/>
    <w:rsid w:val="002D3FB3"/>
    <w:rsid w:val="002D4651"/>
    <w:rsid w:val="002D4865"/>
    <w:rsid w:val="002D4AB4"/>
    <w:rsid w:val="002D4B7B"/>
    <w:rsid w:val="002D4B9F"/>
    <w:rsid w:val="002D4D1D"/>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1B05"/>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CB4"/>
    <w:rsid w:val="002F3E73"/>
    <w:rsid w:val="002F3FD3"/>
    <w:rsid w:val="002F4011"/>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CC7"/>
    <w:rsid w:val="002F7E2F"/>
    <w:rsid w:val="00300140"/>
    <w:rsid w:val="00300262"/>
    <w:rsid w:val="003003D3"/>
    <w:rsid w:val="003003EF"/>
    <w:rsid w:val="00300523"/>
    <w:rsid w:val="00300553"/>
    <w:rsid w:val="0030063A"/>
    <w:rsid w:val="003007A2"/>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D99"/>
    <w:rsid w:val="00317E87"/>
    <w:rsid w:val="00317EC2"/>
    <w:rsid w:val="00317F1C"/>
    <w:rsid w:val="0032010D"/>
    <w:rsid w:val="0032016F"/>
    <w:rsid w:val="00320827"/>
    <w:rsid w:val="003209BA"/>
    <w:rsid w:val="00320A8C"/>
    <w:rsid w:val="00320CBD"/>
    <w:rsid w:val="00320DD9"/>
    <w:rsid w:val="00320DDD"/>
    <w:rsid w:val="00320E07"/>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6"/>
    <w:rsid w:val="00322A29"/>
    <w:rsid w:val="00322C7B"/>
    <w:rsid w:val="00322D11"/>
    <w:rsid w:val="00322F4E"/>
    <w:rsid w:val="003232D4"/>
    <w:rsid w:val="003234E2"/>
    <w:rsid w:val="00323668"/>
    <w:rsid w:val="003236D4"/>
    <w:rsid w:val="00323710"/>
    <w:rsid w:val="00323C66"/>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76"/>
    <w:rsid w:val="0033079D"/>
    <w:rsid w:val="00330817"/>
    <w:rsid w:val="00330989"/>
    <w:rsid w:val="003309E2"/>
    <w:rsid w:val="00330A43"/>
    <w:rsid w:val="00331327"/>
    <w:rsid w:val="00331348"/>
    <w:rsid w:val="00331426"/>
    <w:rsid w:val="003317A0"/>
    <w:rsid w:val="00331973"/>
    <w:rsid w:val="00331AF7"/>
    <w:rsid w:val="00331B33"/>
    <w:rsid w:val="00331C51"/>
    <w:rsid w:val="00331E49"/>
    <w:rsid w:val="003320E2"/>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164"/>
    <w:rsid w:val="00334241"/>
    <w:rsid w:val="0033436E"/>
    <w:rsid w:val="003343BA"/>
    <w:rsid w:val="00334534"/>
    <w:rsid w:val="00334C7C"/>
    <w:rsid w:val="00334CD6"/>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472"/>
    <w:rsid w:val="003538F9"/>
    <w:rsid w:val="00353BC8"/>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A3"/>
    <w:rsid w:val="003633F5"/>
    <w:rsid w:val="00363494"/>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247C"/>
    <w:rsid w:val="003724A2"/>
    <w:rsid w:val="00372A5B"/>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35D"/>
    <w:rsid w:val="0038170A"/>
    <w:rsid w:val="00381869"/>
    <w:rsid w:val="0038198C"/>
    <w:rsid w:val="003819C7"/>
    <w:rsid w:val="00381AB2"/>
    <w:rsid w:val="00381CB6"/>
    <w:rsid w:val="00382221"/>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B7E"/>
    <w:rsid w:val="00385BA9"/>
    <w:rsid w:val="00385D4D"/>
    <w:rsid w:val="00385E8A"/>
    <w:rsid w:val="003861A4"/>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DA"/>
    <w:rsid w:val="003A0913"/>
    <w:rsid w:val="003A0BF2"/>
    <w:rsid w:val="003A0D90"/>
    <w:rsid w:val="003A1128"/>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2F"/>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97"/>
    <w:rsid w:val="003B00BB"/>
    <w:rsid w:val="003B02AF"/>
    <w:rsid w:val="003B047C"/>
    <w:rsid w:val="003B05FA"/>
    <w:rsid w:val="003B0C41"/>
    <w:rsid w:val="003B178C"/>
    <w:rsid w:val="003B19B6"/>
    <w:rsid w:val="003B1A97"/>
    <w:rsid w:val="003B2043"/>
    <w:rsid w:val="003B24BC"/>
    <w:rsid w:val="003B2558"/>
    <w:rsid w:val="003B268E"/>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2AB1"/>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BB"/>
    <w:rsid w:val="003C68D8"/>
    <w:rsid w:val="003C68D9"/>
    <w:rsid w:val="003C6C01"/>
    <w:rsid w:val="003C702B"/>
    <w:rsid w:val="003C7118"/>
    <w:rsid w:val="003C71F1"/>
    <w:rsid w:val="003C73C3"/>
    <w:rsid w:val="003C7722"/>
    <w:rsid w:val="003C7736"/>
    <w:rsid w:val="003C7AD0"/>
    <w:rsid w:val="003C7C8A"/>
    <w:rsid w:val="003C7E28"/>
    <w:rsid w:val="003C7E32"/>
    <w:rsid w:val="003C7F4E"/>
    <w:rsid w:val="003D040F"/>
    <w:rsid w:val="003D0468"/>
    <w:rsid w:val="003D060D"/>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E5"/>
    <w:rsid w:val="003D6E6D"/>
    <w:rsid w:val="003D6FAA"/>
    <w:rsid w:val="003D728B"/>
    <w:rsid w:val="003D72D0"/>
    <w:rsid w:val="003D7977"/>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5002"/>
    <w:rsid w:val="003E532B"/>
    <w:rsid w:val="003E5362"/>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A7C"/>
    <w:rsid w:val="003F3BC6"/>
    <w:rsid w:val="003F3E8A"/>
    <w:rsid w:val="003F4141"/>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9A0"/>
    <w:rsid w:val="003F6AA9"/>
    <w:rsid w:val="003F6C84"/>
    <w:rsid w:val="003F7010"/>
    <w:rsid w:val="003F70FA"/>
    <w:rsid w:val="003F7153"/>
    <w:rsid w:val="003F71D2"/>
    <w:rsid w:val="003F7445"/>
    <w:rsid w:val="003F751F"/>
    <w:rsid w:val="003F75B5"/>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C"/>
    <w:rsid w:val="00405E9E"/>
    <w:rsid w:val="00406034"/>
    <w:rsid w:val="00406091"/>
    <w:rsid w:val="004061B3"/>
    <w:rsid w:val="004062A0"/>
    <w:rsid w:val="004063DB"/>
    <w:rsid w:val="004064E0"/>
    <w:rsid w:val="00406691"/>
    <w:rsid w:val="004066F9"/>
    <w:rsid w:val="004068F7"/>
    <w:rsid w:val="00407034"/>
    <w:rsid w:val="0040708B"/>
    <w:rsid w:val="00407098"/>
    <w:rsid w:val="004074BB"/>
    <w:rsid w:val="004076D9"/>
    <w:rsid w:val="00407A20"/>
    <w:rsid w:val="00407BC1"/>
    <w:rsid w:val="00407C52"/>
    <w:rsid w:val="004101FD"/>
    <w:rsid w:val="0041033B"/>
    <w:rsid w:val="004107D8"/>
    <w:rsid w:val="004107FD"/>
    <w:rsid w:val="00410923"/>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4A0"/>
    <w:rsid w:val="0042256B"/>
    <w:rsid w:val="0042279A"/>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A16"/>
    <w:rsid w:val="00427D68"/>
    <w:rsid w:val="00427F76"/>
    <w:rsid w:val="004302A8"/>
    <w:rsid w:val="00430725"/>
    <w:rsid w:val="0043081A"/>
    <w:rsid w:val="004309F9"/>
    <w:rsid w:val="00430B5A"/>
    <w:rsid w:val="00430BA9"/>
    <w:rsid w:val="00430BBB"/>
    <w:rsid w:val="00430CFC"/>
    <w:rsid w:val="00430D2D"/>
    <w:rsid w:val="00430E5B"/>
    <w:rsid w:val="0043105F"/>
    <w:rsid w:val="004313B0"/>
    <w:rsid w:val="0043175D"/>
    <w:rsid w:val="00431861"/>
    <w:rsid w:val="00431E31"/>
    <w:rsid w:val="00431FBF"/>
    <w:rsid w:val="00432066"/>
    <w:rsid w:val="0043225E"/>
    <w:rsid w:val="00432360"/>
    <w:rsid w:val="0043260A"/>
    <w:rsid w:val="0043261E"/>
    <w:rsid w:val="0043286C"/>
    <w:rsid w:val="00432BFD"/>
    <w:rsid w:val="00432E0D"/>
    <w:rsid w:val="00433124"/>
    <w:rsid w:val="004333A2"/>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3EA"/>
    <w:rsid w:val="004364B8"/>
    <w:rsid w:val="00436842"/>
    <w:rsid w:val="004369C3"/>
    <w:rsid w:val="00436A80"/>
    <w:rsid w:val="00436C41"/>
    <w:rsid w:val="00436CB6"/>
    <w:rsid w:val="004373CB"/>
    <w:rsid w:val="00437550"/>
    <w:rsid w:val="00437797"/>
    <w:rsid w:val="00437AAA"/>
    <w:rsid w:val="00437CA2"/>
    <w:rsid w:val="00437FC4"/>
    <w:rsid w:val="00437FDD"/>
    <w:rsid w:val="0044017B"/>
    <w:rsid w:val="004404B7"/>
    <w:rsid w:val="00440B0B"/>
    <w:rsid w:val="00440DE6"/>
    <w:rsid w:val="00440F4D"/>
    <w:rsid w:val="00441022"/>
    <w:rsid w:val="00441166"/>
    <w:rsid w:val="004411D9"/>
    <w:rsid w:val="004413A7"/>
    <w:rsid w:val="004413E1"/>
    <w:rsid w:val="0044147F"/>
    <w:rsid w:val="00441576"/>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CAD"/>
    <w:rsid w:val="00447D92"/>
    <w:rsid w:val="00447E0A"/>
    <w:rsid w:val="004500C3"/>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6D1"/>
    <w:rsid w:val="004527B4"/>
    <w:rsid w:val="00452BC2"/>
    <w:rsid w:val="00452C1A"/>
    <w:rsid w:val="00452D94"/>
    <w:rsid w:val="00452DBE"/>
    <w:rsid w:val="00452E54"/>
    <w:rsid w:val="004531B0"/>
    <w:rsid w:val="004532DF"/>
    <w:rsid w:val="0045335E"/>
    <w:rsid w:val="00453616"/>
    <w:rsid w:val="00453A02"/>
    <w:rsid w:val="00453C57"/>
    <w:rsid w:val="00453FCB"/>
    <w:rsid w:val="0045431E"/>
    <w:rsid w:val="00454343"/>
    <w:rsid w:val="00454602"/>
    <w:rsid w:val="00454779"/>
    <w:rsid w:val="0045485E"/>
    <w:rsid w:val="00454A2C"/>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85F"/>
    <w:rsid w:val="004618CD"/>
    <w:rsid w:val="004619FC"/>
    <w:rsid w:val="00461C9B"/>
    <w:rsid w:val="00461DCA"/>
    <w:rsid w:val="00461E64"/>
    <w:rsid w:val="00462040"/>
    <w:rsid w:val="004626D1"/>
    <w:rsid w:val="004626D9"/>
    <w:rsid w:val="004626EF"/>
    <w:rsid w:val="004627F2"/>
    <w:rsid w:val="004627FD"/>
    <w:rsid w:val="00462A87"/>
    <w:rsid w:val="00462B49"/>
    <w:rsid w:val="00462B5A"/>
    <w:rsid w:val="00462F65"/>
    <w:rsid w:val="004631EF"/>
    <w:rsid w:val="004632E6"/>
    <w:rsid w:val="0046348E"/>
    <w:rsid w:val="00463496"/>
    <w:rsid w:val="0046354F"/>
    <w:rsid w:val="004636A1"/>
    <w:rsid w:val="00463C5D"/>
    <w:rsid w:val="00463E4B"/>
    <w:rsid w:val="0046401E"/>
    <w:rsid w:val="0046444F"/>
    <w:rsid w:val="00464609"/>
    <w:rsid w:val="004647A0"/>
    <w:rsid w:val="00464890"/>
    <w:rsid w:val="00464BE4"/>
    <w:rsid w:val="00464CD6"/>
    <w:rsid w:val="00464FA2"/>
    <w:rsid w:val="00465337"/>
    <w:rsid w:val="004653A1"/>
    <w:rsid w:val="004655FD"/>
    <w:rsid w:val="00465B0D"/>
    <w:rsid w:val="00465CF6"/>
    <w:rsid w:val="00465DC6"/>
    <w:rsid w:val="00465E54"/>
    <w:rsid w:val="0046692E"/>
    <w:rsid w:val="00466AA4"/>
    <w:rsid w:val="00466AC8"/>
    <w:rsid w:val="00466B4F"/>
    <w:rsid w:val="00466CA9"/>
    <w:rsid w:val="00466D38"/>
    <w:rsid w:val="00467EA0"/>
    <w:rsid w:val="0047039E"/>
    <w:rsid w:val="00470430"/>
    <w:rsid w:val="00470477"/>
    <w:rsid w:val="0047056F"/>
    <w:rsid w:val="004708AB"/>
    <w:rsid w:val="004708DC"/>
    <w:rsid w:val="00470DC7"/>
    <w:rsid w:val="00470E46"/>
    <w:rsid w:val="00470F49"/>
    <w:rsid w:val="004711BB"/>
    <w:rsid w:val="00471224"/>
    <w:rsid w:val="0047151C"/>
    <w:rsid w:val="004715BA"/>
    <w:rsid w:val="004717FB"/>
    <w:rsid w:val="00471956"/>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FA4"/>
    <w:rsid w:val="00475020"/>
    <w:rsid w:val="004753C9"/>
    <w:rsid w:val="004756A9"/>
    <w:rsid w:val="00475871"/>
    <w:rsid w:val="00475B13"/>
    <w:rsid w:val="00475BE3"/>
    <w:rsid w:val="00475BF7"/>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31C"/>
    <w:rsid w:val="00484577"/>
    <w:rsid w:val="0048493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B40"/>
    <w:rsid w:val="00490C41"/>
    <w:rsid w:val="00490C9A"/>
    <w:rsid w:val="00490D4B"/>
    <w:rsid w:val="00490FBF"/>
    <w:rsid w:val="0049161E"/>
    <w:rsid w:val="004917EA"/>
    <w:rsid w:val="0049188A"/>
    <w:rsid w:val="004919B5"/>
    <w:rsid w:val="00491EB9"/>
    <w:rsid w:val="00492333"/>
    <w:rsid w:val="00492362"/>
    <w:rsid w:val="004924A8"/>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90C"/>
    <w:rsid w:val="004A2A97"/>
    <w:rsid w:val="004A328E"/>
    <w:rsid w:val="004A34D8"/>
    <w:rsid w:val="004A3990"/>
    <w:rsid w:val="004A3FA3"/>
    <w:rsid w:val="004A46B5"/>
    <w:rsid w:val="004A4BAD"/>
    <w:rsid w:val="004A4DDC"/>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A7F3E"/>
    <w:rsid w:val="004B009C"/>
    <w:rsid w:val="004B03DB"/>
    <w:rsid w:val="004B058A"/>
    <w:rsid w:val="004B068E"/>
    <w:rsid w:val="004B077A"/>
    <w:rsid w:val="004B08E0"/>
    <w:rsid w:val="004B09A5"/>
    <w:rsid w:val="004B0C90"/>
    <w:rsid w:val="004B0CB7"/>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EFA"/>
    <w:rsid w:val="004B4F69"/>
    <w:rsid w:val="004B503A"/>
    <w:rsid w:val="004B50DA"/>
    <w:rsid w:val="004B50DF"/>
    <w:rsid w:val="004B5139"/>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A41"/>
    <w:rsid w:val="004C5AC2"/>
    <w:rsid w:val="004C5E07"/>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A65"/>
    <w:rsid w:val="004C7E09"/>
    <w:rsid w:val="004C7F5B"/>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CE3"/>
    <w:rsid w:val="004E32B4"/>
    <w:rsid w:val="004E3431"/>
    <w:rsid w:val="004E36B7"/>
    <w:rsid w:val="004E3868"/>
    <w:rsid w:val="004E3C82"/>
    <w:rsid w:val="004E3E3C"/>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41B"/>
    <w:rsid w:val="004E6528"/>
    <w:rsid w:val="004E67C6"/>
    <w:rsid w:val="004E69C0"/>
    <w:rsid w:val="004E6A54"/>
    <w:rsid w:val="004E6CC7"/>
    <w:rsid w:val="004E6CED"/>
    <w:rsid w:val="004E6E8A"/>
    <w:rsid w:val="004E712C"/>
    <w:rsid w:val="004E7252"/>
    <w:rsid w:val="004E737D"/>
    <w:rsid w:val="004E77F5"/>
    <w:rsid w:val="004E7904"/>
    <w:rsid w:val="004E7A5A"/>
    <w:rsid w:val="004E7C55"/>
    <w:rsid w:val="004E7C90"/>
    <w:rsid w:val="004E7D80"/>
    <w:rsid w:val="004E7E73"/>
    <w:rsid w:val="004E7EA2"/>
    <w:rsid w:val="004F0248"/>
    <w:rsid w:val="004F0397"/>
    <w:rsid w:val="004F04E7"/>
    <w:rsid w:val="004F05E5"/>
    <w:rsid w:val="004F0661"/>
    <w:rsid w:val="004F089D"/>
    <w:rsid w:val="004F0AD1"/>
    <w:rsid w:val="004F0AF0"/>
    <w:rsid w:val="004F0DCB"/>
    <w:rsid w:val="004F0F73"/>
    <w:rsid w:val="004F100E"/>
    <w:rsid w:val="004F1154"/>
    <w:rsid w:val="004F13D9"/>
    <w:rsid w:val="004F149C"/>
    <w:rsid w:val="004F1513"/>
    <w:rsid w:val="004F1517"/>
    <w:rsid w:val="004F15D3"/>
    <w:rsid w:val="004F19DC"/>
    <w:rsid w:val="004F1A68"/>
    <w:rsid w:val="004F1B2C"/>
    <w:rsid w:val="004F1B82"/>
    <w:rsid w:val="004F1CAD"/>
    <w:rsid w:val="004F1DEE"/>
    <w:rsid w:val="004F1EF4"/>
    <w:rsid w:val="004F222B"/>
    <w:rsid w:val="004F2364"/>
    <w:rsid w:val="004F246A"/>
    <w:rsid w:val="004F2575"/>
    <w:rsid w:val="004F2597"/>
    <w:rsid w:val="004F29C1"/>
    <w:rsid w:val="004F2A7E"/>
    <w:rsid w:val="004F2EC8"/>
    <w:rsid w:val="004F33AE"/>
    <w:rsid w:val="004F34C9"/>
    <w:rsid w:val="004F3686"/>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531"/>
    <w:rsid w:val="005008A3"/>
    <w:rsid w:val="005008F5"/>
    <w:rsid w:val="00500DE5"/>
    <w:rsid w:val="00501124"/>
    <w:rsid w:val="005013FE"/>
    <w:rsid w:val="0050160E"/>
    <w:rsid w:val="005019E2"/>
    <w:rsid w:val="00501AD8"/>
    <w:rsid w:val="00501C00"/>
    <w:rsid w:val="00501E26"/>
    <w:rsid w:val="00501EC3"/>
    <w:rsid w:val="00501F90"/>
    <w:rsid w:val="00502647"/>
    <w:rsid w:val="005029CF"/>
    <w:rsid w:val="00502BE6"/>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9F"/>
    <w:rsid w:val="005046E4"/>
    <w:rsid w:val="005048E8"/>
    <w:rsid w:val="00504947"/>
    <w:rsid w:val="00504D38"/>
    <w:rsid w:val="00504EDC"/>
    <w:rsid w:val="005050C6"/>
    <w:rsid w:val="005051F6"/>
    <w:rsid w:val="0050528E"/>
    <w:rsid w:val="0050529F"/>
    <w:rsid w:val="00505339"/>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B51"/>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5EC"/>
    <w:rsid w:val="00521C85"/>
    <w:rsid w:val="00521C88"/>
    <w:rsid w:val="00521CB6"/>
    <w:rsid w:val="00521D17"/>
    <w:rsid w:val="00522525"/>
    <w:rsid w:val="005226A4"/>
    <w:rsid w:val="00522862"/>
    <w:rsid w:val="00522C00"/>
    <w:rsid w:val="00522C52"/>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258"/>
    <w:rsid w:val="00525347"/>
    <w:rsid w:val="005256E7"/>
    <w:rsid w:val="00525951"/>
    <w:rsid w:val="00525A97"/>
    <w:rsid w:val="00525B5C"/>
    <w:rsid w:val="00525BDF"/>
    <w:rsid w:val="00525D65"/>
    <w:rsid w:val="00525E17"/>
    <w:rsid w:val="00525FEB"/>
    <w:rsid w:val="00526087"/>
    <w:rsid w:val="005265FF"/>
    <w:rsid w:val="00526713"/>
    <w:rsid w:val="00526875"/>
    <w:rsid w:val="0052691D"/>
    <w:rsid w:val="00526AA6"/>
    <w:rsid w:val="00526B0D"/>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4E"/>
    <w:rsid w:val="005373E8"/>
    <w:rsid w:val="00537564"/>
    <w:rsid w:val="00537C8D"/>
    <w:rsid w:val="00537CD2"/>
    <w:rsid w:val="00537D2F"/>
    <w:rsid w:val="00537E11"/>
    <w:rsid w:val="00537ED7"/>
    <w:rsid w:val="00537F8B"/>
    <w:rsid w:val="00540202"/>
    <w:rsid w:val="0054059B"/>
    <w:rsid w:val="00540AB5"/>
    <w:rsid w:val="00540B29"/>
    <w:rsid w:val="00541160"/>
    <w:rsid w:val="00541651"/>
    <w:rsid w:val="005416CE"/>
    <w:rsid w:val="00541781"/>
    <w:rsid w:val="00541BBB"/>
    <w:rsid w:val="00542708"/>
    <w:rsid w:val="00542714"/>
    <w:rsid w:val="00542D6B"/>
    <w:rsid w:val="00542E61"/>
    <w:rsid w:val="00543143"/>
    <w:rsid w:val="005434DC"/>
    <w:rsid w:val="005434F9"/>
    <w:rsid w:val="0054384C"/>
    <w:rsid w:val="00543A6B"/>
    <w:rsid w:val="0054414B"/>
    <w:rsid w:val="005441B3"/>
    <w:rsid w:val="0054437D"/>
    <w:rsid w:val="005443F6"/>
    <w:rsid w:val="00544428"/>
    <w:rsid w:val="00544554"/>
    <w:rsid w:val="00544691"/>
    <w:rsid w:val="005447D1"/>
    <w:rsid w:val="005448D3"/>
    <w:rsid w:val="00544C45"/>
    <w:rsid w:val="00545324"/>
    <w:rsid w:val="00545492"/>
    <w:rsid w:val="005455B5"/>
    <w:rsid w:val="00545875"/>
    <w:rsid w:val="0054587A"/>
    <w:rsid w:val="00545A2D"/>
    <w:rsid w:val="00545F0C"/>
    <w:rsid w:val="00546205"/>
    <w:rsid w:val="00546432"/>
    <w:rsid w:val="00546447"/>
    <w:rsid w:val="00546499"/>
    <w:rsid w:val="005464E0"/>
    <w:rsid w:val="00546590"/>
    <w:rsid w:val="005468ED"/>
    <w:rsid w:val="005469D5"/>
    <w:rsid w:val="00546B4C"/>
    <w:rsid w:val="00546C52"/>
    <w:rsid w:val="00546D77"/>
    <w:rsid w:val="00546FD0"/>
    <w:rsid w:val="00547200"/>
    <w:rsid w:val="005472F7"/>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8D"/>
    <w:rsid w:val="005545B0"/>
    <w:rsid w:val="005546E4"/>
    <w:rsid w:val="0055483A"/>
    <w:rsid w:val="00554FF4"/>
    <w:rsid w:val="0055510F"/>
    <w:rsid w:val="005555A5"/>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1066"/>
    <w:rsid w:val="005610B7"/>
    <w:rsid w:val="00561100"/>
    <w:rsid w:val="0056110E"/>
    <w:rsid w:val="00561330"/>
    <w:rsid w:val="005614F0"/>
    <w:rsid w:val="00561803"/>
    <w:rsid w:val="005619BE"/>
    <w:rsid w:val="00561A1A"/>
    <w:rsid w:val="00561D61"/>
    <w:rsid w:val="00561D93"/>
    <w:rsid w:val="00561EBA"/>
    <w:rsid w:val="00561EFF"/>
    <w:rsid w:val="0056204E"/>
    <w:rsid w:val="0056205F"/>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69F"/>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5F"/>
    <w:rsid w:val="00577BF3"/>
    <w:rsid w:val="00577CB3"/>
    <w:rsid w:val="00577D72"/>
    <w:rsid w:val="00577D85"/>
    <w:rsid w:val="005802B1"/>
    <w:rsid w:val="005804E0"/>
    <w:rsid w:val="00580663"/>
    <w:rsid w:val="00580673"/>
    <w:rsid w:val="0058067A"/>
    <w:rsid w:val="005809B5"/>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DC6"/>
    <w:rsid w:val="00590EC7"/>
    <w:rsid w:val="0059107E"/>
    <w:rsid w:val="005911A8"/>
    <w:rsid w:val="005911FB"/>
    <w:rsid w:val="0059137F"/>
    <w:rsid w:val="005913AD"/>
    <w:rsid w:val="005915E7"/>
    <w:rsid w:val="0059166C"/>
    <w:rsid w:val="005918B9"/>
    <w:rsid w:val="005918CD"/>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403C"/>
    <w:rsid w:val="0059427E"/>
    <w:rsid w:val="005943D6"/>
    <w:rsid w:val="00594570"/>
    <w:rsid w:val="00594597"/>
    <w:rsid w:val="005945D6"/>
    <w:rsid w:val="0059469F"/>
    <w:rsid w:val="0059494D"/>
    <w:rsid w:val="00594B41"/>
    <w:rsid w:val="00594EF9"/>
    <w:rsid w:val="00595598"/>
    <w:rsid w:val="00595798"/>
    <w:rsid w:val="00595B1C"/>
    <w:rsid w:val="00595C7F"/>
    <w:rsid w:val="00595E6A"/>
    <w:rsid w:val="00595F9D"/>
    <w:rsid w:val="00596169"/>
    <w:rsid w:val="0059616C"/>
    <w:rsid w:val="0059627E"/>
    <w:rsid w:val="005966AA"/>
    <w:rsid w:val="00596888"/>
    <w:rsid w:val="00596931"/>
    <w:rsid w:val="005969B0"/>
    <w:rsid w:val="00596D78"/>
    <w:rsid w:val="00597115"/>
    <w:rsid w:val="005972AF"/>
    <w:rsid w:val="005975A0"/>
    <w:rsid w:val="005977C9"/>
    <w:rsid w:val="005977D9"/>
    <w:rsid w:val="0059783B"/>
    <w:rsid w:val="005978FE"/>
    <w:rsid w:val="0059797A"/>
    <w:rsid w:val="005979C0"/>
    <w:rsid w:val="00597BFC"/>
    <w:rsid w:val="00597DE8"/>
    <w:rsid w:val="005A02C1"/>
    <w:rsid w:val="005A0387"/>
    <w:rsid w:val="005A04A1"/>
    <w:rsid w:val="005A05A0"/>
    <w:rsid w:val="005A082A"/>
    <w:rsid w:val="005A088E"/>
    <w:rsid w:val="005A0970"/>
    <w:rsid w:val="005A0BBB"/>
    <w:rsid w:val="005A0C6B"/>
    <w:rsid w:val="005A0EEF"/>
    <w:rsid w:val="005A126A"/>
    <w:rsid w:val="005A126F"/>
    <w:rsid w:val="005A16EE"/>
    <w:rsid w:val="005A1741"/>
    <w:rsid w:val="005A202E"/>
    <w:rsid w:val="005A2540"/>
    <w:rsid w:val="005A2967"/>
    <w:rsid w:val="005A29E0"/>
    <w:rsid w:val="005A2DD8"/>
    <w:rsid w:val="005A2DE3"/>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5CD"/>
    <w:rsid w:val="005A47CD"/>
    <w:rsid w:val="005A4965"/>
    <w:rsid w:val="005A49B9"/>
    <w:rsid w:val="005A5112"/>
    <w:rsid w:val="005A5187"/>
    <w:rsid w:val="005A559A"/>
    <w:rsid w:val="005A592D"/>
    <w:rsid w:val="005A5954"/>
    <w:rsid w:val="005A5B78"/>
    <w:rsid w:val="005A5C3C"/>
    <w:rsid w:val="005A5D84"/>
    <w:rsid w:val="005A5E71"/>
    <w:rsid w:val="005A6184"/>
    <w:rsid w:val="005A6206"/>
    <w:rsid w:val="005A620F"/>
    <w:rsid w:val="005A63A6"/>
    <w:rsid w:val="005A63A9"/>
    <w:rsid w:val="005A64E5"/>
    <w:rsid w:val="005A6B72"/>
    <w:rsid w:val="005A6DE6"/>
    <w:rsid w:val="005A6E85"/>
    <w:rsid w:val="005A704F"/>
    <w:rsid w:val="005A70C7"/>
    <w:rsid w:val="005A71BF"/>
    <w:rsid w:val="005A7276"/>
    <w:rsid w:val="005A728E"/>
    <w:rsid w:val="005A768D"/>
    <w:rsid w:val="005A7973"/>
    <w:rsid w:val="005A7A60"/>
    <w:rsid w:val="005A7A8E"/>
    <w:rsid w:val="005A7D23"/>
    <w:rsid w:val="005A7DE1"/>
    <w:rsid w:val="005A7F29"/>
    <w:rsid w:val="005B000A"/>
    <w:rsid w:val="005B0076"/>
    <w:rsid w:val="005B00FC"/>
    <w:rsid w:val="005B0100"/>
    <w:rsid w:val="005B0290"/>
    <w:rsid w:val="005B0614"/>
    <w:rsid w:val="005B0760"/>
    <w:rsid w:val="005B0761"/>
    <w:rsid w:val="005B095E"/>
    <w:rsid w:val="005B0A38"/>
    <w:rsid w:val="005B0B09"/>
    <w:rsid w:val="005B0D42"/>
    <w:rsid w:val="005B0EB7"/>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9DA"/>
    <w:rsid w:val="005B4EDF"/>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215"/>
    <w:rsid w:val="005C02C6"/>
    <w:rsid w:val="005C02EB"/>
    <w:rsid w:val="005C0309"/>
    <w:rsid w:val="005C062E"/>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61"/>
    <w:rsid w:val="005C58CE"/>
    <w:rsid w:val="005C59DC"/>
    <w:rsid w:val="005C5B37"/>
    <w:rsid w:val="005C5C8C"/>
    <w:rsid w:val="005C5DE5"/>
    <w:rsid w:val="005C61C9"/>
    <w:rsid w:val="005C62D7"/>
    <w:rsid w:val="005C635E"/>
    <w:rsid w:val="005C6705"/>
    <w:rsid w:val="005C6774"/>
    <w:rsid w:val="005C688C"/>
    <w:rsid w:val="005C68E6"/>
    <w:rsid w:val="005C69AF"/>
    <w:rsid w:val="005C71DE"/>
    <w:rsid w:val="005C74C7"/>
    <w:rsid w:val="005C7548"/>
    <w:rsid w:val="005C77D1"/>
    <w:rsid w:val="005C7AD6"/>
    <w:rsid w:val="005C7BE5"/>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262"/>
    <w:rsid w:val="005D22D4"/>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772"/>
    <w:rsid w:val="005D4916"/>
    <w:rsid w:val="005D49E8"/>
    <w:rsid w:val="005D4A57"/>
    <w:rsid w:val="005D4AAB"/>
    <w:rsid w:val="005D5013"/>
    <w:rsid w:val="005D509B"/>
    <w:rsid w:val="005D5597"/>
    <w:rsid w:val="005D578C"/>
    <w:rsid w:val="005D5EEE"/>
    <w:rsid w:val="005D6180"/>
    <w:rsid w:val="005D618E"/>
    <w:rsid w:val="005D6406"/>
    <w:rsid w:val="005D6479"/>
    <w:rsid w:val="005D64B9"/>
    <w:rsid w:val="005D6649"/>
    <w:rsid w:val="005D699E"/>
    <w:rsid w:val="005D6DA3"/>
    <w:rsid w:val="005D6F1F"/>
    <w:rsid w:val="005D7073"/>
    <w:rsid w:val="005D74DD"/>
    <w:rsid w:val="005D7930"/>
    <w:rsid w:val="005D7A87"/>
    <w:rsid w:val="005D7C06"/>
    <w:rsid w:val="005D7CE3"/>
    <w:rsid w:val="005D7DC7"/>
    <w:rsid w:val="005D7E48"/>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EC9"/>
    <w:rsid w:val="005E3F53"/>
    <w:rsid w:val="005E405D"/>
    <w:rsid w:val="005E40B9"/>
    <w:rsid w:val="005E422E"/>
    <w:rsid w:val="005E4274"/>
    <w:rsid w:val="005E42C5"/>
    <w:rsid w:val="005E42EC"/>
    <w:rsid w:val="005E4425"/>
    <w:rsid w:val="005E445C"/>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2A6"/>
    <w:rsid w:val="005E677A"/>
    <w:rsid w:val="005E69DE"/>
    <w:rsid w:val="005E70B6"/>
    <w:rsid w:val="005E715F"/>
    <w:rsid w:val="005E726B"/>
    <w:rsid w:val="005E7285"/>
    <w:rsid w:val="005E729B"/>
    <w:rsid w:val="005E7477"/>
    <w:rsid w:val="005E76ED"/>
    <w:rsid w:val="005E7A41"/>
    <w:rsid w:val="005E7AC1"/>
    <w:rsid w:val="005E7C75"/>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8C"/>
    <w:rsid w:val="005F2FE8"/>
    <w:rsid w:val="005F3063"/>
    <w:rsid w:val="005F315D"/>
    <w:rsid w:val="005F33AB"/>
    <w:rsid w:val="005F33D5"/>
    <w:rsid w:val="005F397B"/>
    <w:rsid w:val="005F3C30"/>
    <w:rsid w:val="005F3EB4"/>
    <w:rsid w:val="005F4BFA"/>
    <w:rsid w:val="005F5321"/>
    <w:rsid w:val="005F544B"/>
    <w:rsid w:val="005F57C2"/>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1FA"/>
    <w:rsid w:val="006002A5"/>
    <w:rsid w:val="006002EA"/>
    <w:rsid w:val="00600310"/>
    <w:rsid w:val="006004A1"/>
    <w:rsid w:val="006004BE"/>
    <w:rsid w:val="006004C7"/>
    <w:rsid w:val="006005A2"/>
    <w:rsid w:val="006006C1"/>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D3D"/>
    <w:rsid w:val="00602DFB"/>
    <w:rsid w:val="00602E65"/>
    <w:rsid w:val="00602F6F"/>
    <w:rsid w:val="006030A4"/>
    <w:rsid w:val="006032B3"/>
    <w:rsid w:val="0060373C"/>
    <w:rsid w:val="00603938"/>
    <w:rsid w:val="00603ADC"/>
    <w:rsid w:val="00603BFE"/>
    <w:rsid w:val="00603DFC"/>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860"/>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50"/>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C70"/>
    <w:rsid w:val="00646F86"/>
    <w:rsid w:val="0064729C"/>
    <w:rsid w:val="00647300"/>
    <w:rsid w:val="00647469"/>
    <w:rsid w:val="006474FD"/>
    <w:rsid w:val="0064769C"/>
    <w:rsid w:val="00647861"/>
    <w:rsid w:val="00647AB8"/>
    <w:rsid w:val="00647FD8"/>
    <w:rsid w:val="006503F1"/>
    <w:rsid w:val="00650501"/>
    <w:rsid w:val="006505E9"/>
    <w:rsid w:val="006507D1"/>
    <w:rsid w:val="00650B45"/>
    <w:rsid w:val="00650CC7"/>
    <w:rsid w:val="00650D7D"/>
    <w:rsid w:val="006517E0"/>
    <w:rsid w:val="006518F2"/>
    <w:rsid w:val="00651AD6"/>
    <w:rsid w:val="00652217"/>
    <w:rsid w:val="00652373"/>
    <w:rsid w:val="00652389"/>
    <w:rsid w:val="006524B7"/>
    <w:rsid w:val="006525FB"/>
    <w:rsid w:val="0065265E"/>
    <w:rsid w:val="00652D47"/>
    <w:rsid w:val="00652DB6"/>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5457"/>
    <w:rsid w:val="0065566F"/>
    <w:rsid w:val="00655774"/>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2218"/>
    <w:rsid w:val="00662392"/>
    <w:rsid w:val="00662523"/>
    <w:rsid w:val="0066293B"/>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453"/>
    <w:rsid w:val="006655E3"/>
    <w:rsid w:val="006655F8"/>
    <w:rsid w:val="006656F9"/>
    <w:rsid w:val="0066593C"/>
    <w:rsid w:val="006659D1"/>
    <w:rsid w:val="00665B5E"/>
    <w:rsid w:val="00665D69"/>
    <w:rsid w:val="00665E1B"/>
    <w:rsid w:val="00665F6E"/>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70022"/>
    <w:rsid w:val="006700AD"/>
    <w:rsid w:val="00670117"/>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26E"/>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D24"/>
    <w:rsid w:val="0069602F"/>
    <w:rsid w:val="00696374"/>
    <w:rsid w:val="00696639"/>
    <w:rsid w:val="006966E4"/>
    <w:rsid w:val="00696709"/>
    <w:rsid w:val="006967C5"/>
    <w:rsid w:val="0069683A"/>
    <w:rsid w:val="006968C1"/>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6DE"/>
    <w:rsid w:val="006A69DD"/>
    <w:rsid w:val="006A6A5C"/>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030"/>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EA"/>
    <w:rsid w:val="006D1203"/>
    <w:rsid w:val="006D1442"/>
    <w:rsid w:val="006D14E5"/>
    <w:rsid w:val="006D1575"/>
    <w:rsid w:val="006D19CC"/>
    <w:rsid w:val="006D1FD2"/>
    <w:rsid w:val="006D227C"/>
    <w:rsid w:val="006D24F9"/>
    <w:rsid w:val="006D2546"/>
    <w:rsid w:val="006D25F8"/>
    <w:rsid w:val="006D27D5"/>
    <w:rsid w:val="006D27FD"/>
    <w:rsid w:val="006D3286"/>
    <w:rsid w:val="006D344D"/>
    <w:rsid w:val="006D359E"/>
    <w:rsid w:val="006D396E"/>
    <w:rsid w:val="006D3E99"/>
    <w:rsid w:val="006D4303"/>
    <w:rsid w:val="006D432A"/>
    <w:rsid w:val="006D4958"/>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BEC"/>
    <w:rsid w:val="006F3DBA"/>
    <w:rsid w:val="006F3DC6"/>
    <w:rsid w:val="006F3EFE"/>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EAC"/>
    <w:rsid w:val="006F6FA1"/>
    <w:rsid w:val="006F7331"/>
    <w:rsid w:val="006F7C1D"/>
    <w:rsid w:val="006F7D10"/>
    <w:rsid w:val="006F7DDE"/>
    <w:rsid w:val="006F7EC0"/>
    <w:rsid w:val="006F7F9C"/>
    <w:rsid w:val="00700084"/>
    <w:rsid w:val="00700168"/>
    <w:rsid w:val="0070023D"/>
    <w:rsid w:val="00700258"/>
    <w:rsid w:val="00700391"/>
    <w:rsid w:val="00700B5D"/>
    <w:rsid w:val="00700F3A"/>
    <w:rsid w:val="00700F85"/>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863"/>
    <w:rsid w:val="00705AE1"/>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552"/>
    <w:rsid w:val="0071260F"/>
    <w:rsid w:val="00712674"/>
    <w:rsid w:val="00712678"/>
    <w:rsid w:val="0071295C"/>
    <w:rsid w:val="00712C1B"/>
    <w:rsid w:val="00712DB1"/>
    <w:rsid w:val="00712E5A"/>
    <w:rsid w:val="00712E70"/>
    <w:rsid w:val="00712FC4"/>
    <w:rsid w:val="00713035"/>
    <w:rsid w:val="0071307F"/>
    <w:rsid w:val="007132EB"/>
    <w:rsid w:val="0071350B"/>
    <w:rsid w:val="007138B8"/>
    <w:rsid w:val="00713911"/>
    <w:rsid w:val="00713BAA"/>
    <w:rsid w:val="007141FF"/>
    <w:rsid w:val="007143B9"/>
    <w:rsid w:val="00714A85"/>
    <w:rsid w:val="00714B44"/>
    <w:rsid w:val="00714B4E"/>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42C5"/>
    <w:rsid w:val="007242D3"/>
    <w:rsid w:val="007247DF"/>
    <w:rsid w:val="007247FC"/>
    <w:rsid w:val="00724890"/>
    <w:rsid w:val="007248AC"/>
    <w:rsid w:val="00724D8A"/>
    <w:rsid w:val="0072506D"/>
    <w:rsid w:val="0072512D"/>
    <w:rsid w:val="0072517F"/>
    <w:rsid w:val="007252BD"/>
    <w:rsid w:val="00725610"/>
    <w:rsid w:val="007257DE"/>
    <w:rsid w:val="0072593C"/>
    <w:rsid w:val="0072595E"/>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0EB"/>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86C"/>
    <w:rsid w:val="007409D1"/>
    <w:rsid w:val="00740C65"/>
    <w:rsid w:val="00740E75"/>
    <w:rsid w:val="00740EC1"/>
    <w:rsid w:val="00740FA2"/>
    <w:rsid w:val="00740FDF"/>
    <w:rsid w:val="00741A7D"/>
    <w:rsid w:val="00741AB8"/>
    <w:rsid w:val="00741B35"/>
    <w:rsid w:val="00741DE1"/>
    <w:rsid w:val="007420DC"/>
    <w:rsid w:val="00742983"/>
    <w:rsid w:val="00742BB4"/>
    <w:rsid w:val="00742C03"/>
    <w:rsid w:val="00742C12"/>
    <w:rsid w:val="00742CBF"/>
    <w:rsid w:val="00742D5F"/>
    <w:rsid w:val="007430B7"/>
    <w:rsid w:val="0074311E"/>
    <w:rsid w:val="00743146"/>
    <w:rsid w:val="0074385A"/>
    <w:rsid w:val="007438D5"/>
    <w:rsid w:val="00743900"/>
    <w:rsid w:val="0074391B"/>
    <w:rsid w:val="00743A98"/>
    <w:rsid w:val="00743E28"/>
    <w:rsid w:val="0074418F"/>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1F8"/>
    <w:rsid w:val="00756279"/>
    <w:rsid w:val="007563A7"/>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BA7"/>
    <w:rsid w:val="00762C7B"/>
    <w:rsid w:val="00762D60"/>
    <w:rsid w:val="00762E48"/>
    <w:rsid w:val="00762F11"/>
    <w:rsid w:val="00762F44"/>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7172"/>
    <w:rsid w:val="00767196"/>
    <w:rsid w:val="00767A3A"/>
    <w:rsid w:val="00767A5A"/>
    <w:rsid w:val="00767B12"/>
    <w:rsid w:val="00767BC5"/>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4AD"/>
    <w:rsid w:val="007734B0"/>
    <w:rsid w:val="00773676"/>
    <w:rsid w:val="007738B1"/>
    <w:rsid w:val="00773AE5"/>
    <w:rsid w:val="00773D8A"/>
    <w:rsid w:val="00773F5B"/>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C0"/>
    <w:rsid w:val="0077617B"/>
    <w:rsid w:val="00776295"/>
    <w:rsid w:val="0077678E"/>
    <w:rsid w:val="00776C26"/>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587"/>
    <w:rsid w:val="007916AC"/>
    <w:rsid w:val="00791820"/>
    <w:rsid w:val="00791C76"/>
    <w:rsid w:val="00791E02"/>
    <w:rsid w:val="00791E1C"/>
    <w:rsid w:val="0079214B"/>
    <w:rsid w:val="00792185"/>
    <w:rsid w:val="007924EC"/>
    <w:rsid w:val="00792899"/>
    <w:rsid w:val="007928AB"/>
    <w:rsid w:val="00792AA1"/>
    <w:rsid w:val="00792DD3"/>
    <w:rsid w:val="0079312D"/>
    <w:rsid w:val="00793163"/>
    <w:rsid w:val="007931BF"/>
    <w:rsid w:val="0079320D"/>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652"/>
    <w:rsid w:val="007976B9"/>
    <w:rsid w:val="00797813"/>
    <w:rsid w:val="00797C42"/>
    <w:rsid w:val="00797D04"/>
    <w:rsid w:val="00797FB4"/>
    <w:rsid w:val="007A002E"/>
    <w:rsid w:val="007A02D2"/>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CAE"/>
    <w:rsid w:val="007A7D0C"/>
    <w:rsid w:val="007A7EE4"/>
    <w:rsid w:val="007B00FE"/>
    <w:rsid w:val="007B01B5"/>
    <w:rsid w:val="007B0206"/>
    <w:rsid w:val="007B07DF"/>
    <w:rsid w:val="007B0AE6"/>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D95"/>
    <w:rsid w:val="007B2EB0"/>
    <w:rsid w:val="007B3062"/>
    <w:rsid w:val="007B3063"/>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510"/>
    <w:rsid w:val="007B5641"/>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86E"/>
    <w:rsid w:val="007C1AA9"/>
    <w:rsid w:val="007C1C47"/>
    <w:rsid w:val="007C1C66"/>
    <w:rsid w:val="007C1CD6"/>
    <w:rsid w:val="007C1D68"/>
    <w:rsid w:val="007C1F0A"/>
    <w:rsid w:val="007C23D2"/>
    <w:rsid w:val="007C2836"/>
    <w:rsid w:val="007C284C"/>
    <w:rsid w:val="007C2C70"/>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466"/>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C04"/>
    <w:rsid w:val="007D1C2A"/>
    <w:rsid w:val="007D1C47"/>
    <w:rsid w:val="007D1DE2"/>
    <w:rsid w:val="007D1EAA"/>
    <w:rsid w:val="007D2030"/>
    <w:rsid w:val="007D24B2"/>
    <w:rsid w:val="007D24F1"/>
    <w:rsid w:val="007D29AC"/>
    <w:rsid w:val="007D2BE7"/>
    <w:rsid w:val="007D2D2E"/>
    <w:rsid w:val="007D2EFB"/>
    <w:rsid w:val="007D2FAE"/>
    <w:rsid w:val="007D2FD5"/>
    <w:rsid w:val="007D30A4"/>
    <w:rsid w:val="007D32DC"/>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C7"/>
    <w:rsid w:val="007E2236"/>
    <w:rsid w:val="007E22F4"/>
    <w:rsid w:val="007E25CF"/>
    <w:rsid w:val="007E27BA"/>
    <w:rsid w:val="007E2917"/>
    <w:rsid w:val="007E294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FFC"/>
    <w:rsid w:val="007E6024"/>
    <w:rsid w:val="007E65A1"/>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D11"/>
    <w:rsid w:val="007F6DD5"/>
    <w:rsid w:val="007F6E02"/>
    <w:rsid w:val="007F7087"/>
    <w:rsid w:val="007F7212"/>
    <w:rsid w:val="007F7397"/>
    <w:rsid w:val="007F74BA"/>
    <w:rsid w:val="007F77D1"/>
    <w:rsid w:val="007F7865"/>
    <w:rsid w:val="007F7FD6"/>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13B"/>
    <w:rsid w:val="0080351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006"/>
    <w:rsid w:val="008051EA"/>
    <w:rsid w:val="008057AD"/>
    <w:rsid w:val="00805988"/>
    <w:rsid w:val="00805A43"/>
    <w:rsid w:val="00805AE5"/>
    <w:rsid w:val="00805B0F"/>
    <w:rsid w:val="00805FD7"/>
    <w:rsid w:val="00805FF3"/>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6CC"/>
    <w:rsid w:val="00812ACC"/>
    <w:rsid w:val="00812BD6"/>
    <w:rsid w:val="00812DEE"/>
    <w:rsid w:val="00812EC9"/>
    <w:rsid w:val="0081321E"/>
    <w:rsid w:val="00813226"/>
    <w:rsid w:val="00813265"/>
    <w:rsid w:val="00813479"/>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362"/>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D6"/>
    <w:rsid w:val="0084785F"/>
    <w:rsid w:val="00847C6E"/>
    <w:rsid w:val="00847CF9"/>
    <w:rsid w:val="00847E53"/>
    <w:rsid w:val="00847F86"/>
    <w:rsid w:val="00850230"/>
    <w:rsid w:val="00850881"/>
    <w:rsid w:val="00850FF3"/>
    <w:rsid w:val="008512B3"/>
    <w:rsid w:val="008514CA"/>
    <w:rsid w:val="00851842"/>
    <w:rsid w:val="0085191A"/>
    <w:rsid w:val="00851E77"/>
    <w:rsid w:val="0085204D"/>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886"/>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96"/>
    <w:rsid w:val="00875DC8"/>
    <w:rsid w:val="0087636C"/>
    <w:rsid w:val="008763A7"/>
    <w:rsid w:val="00876507"/>
    <w:rsid w:val="00876713"/>
    <w:rsid w:val="00876941"/>
    <w:rsid w:val="00876A40"/>
    <w:rsid w:val="00876A45"/>
    <w:rsid w:val="00876C0B"/>
    <w:rsid w:val="00876C55"/>
    <w:rsid w:val="00876F67"/>
    <w:rsid w:val="00877132"/>
    <w:rsid w:val="008772BE"/>
    <w:rsid w:val="00877337"/>
    <w:rsid w:val="00877443"/>
    <w:rsid w:val="00877569"/>
    <w:rsid w:val="008775B0"/>
    <w:rsid w:val="00877943"/>
    <w:rsid w:val="00877FA9"/>
    <w:rsid w:val="0088003B"/>
    <w:rsid w:val="00880053"/>
    <w:rsid w:val="00880232"/>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8B5"/>
    <w:rsid w:val="00885A1F"/>
    <w:rsid w:val="00885E43"/>
    <w:rsid w:val="00885E7C"/>
    <w:rsid w:val="00885F6C"/>
    <w:rsid w:val="0088626E"/>
    <w:rsid w:val="00886393"/>
    <w:rsid w:val="008867D4"/>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32B"/>
    <w:rsid w:val="008913DA"/>
    <w:rsid w:val="00891427"/>
    <w:rsid w:val="008916EA"/>
    <w:rsid w:val="00891C61"/>
    <w:rsid w:val="008921CB"/>
    <w:rsid w:val="00892335"/>
    <w:rsid w:val="0089237D"/>
    <w:rsid w:val="00892615"/>
    <w:rsid w:val="00892707"/>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897"/>
    <w:rsid w:val="008959B9"/>
    <w:rsid w:val="00895C20"/>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56E"/>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D9"/>
    <w:rsid w:val="008B3475"/>
    <w:rsid w:val="008B354B"/>
    <w:rsid w:val="008B35A5"/>
    <w:rsid w:val="008B35DB"/>
    <w:rsid w:val="008B3ABB"/>
    <w:rsid w:val="008B3B51"/>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EF0"/>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907"/>
    <w:rsid w:val="008C2AB5"/>
    <w:rsid w:val="008C2C35"/>
    <w:rsid w:val="008C2DD2"/>
    <w:rsid w:val="008C2EFC"/>
    <w:rsid w:val="008C2FA4"/>
    <w:rsid w:val="008C2FF8"/>
    <w:rsid w:val="008C31E6"/>
    <w:rsid w:val="008C32DB"/>
    <w:rsid w:val="008C3639"/>
    <w:rsid w:val="008C3855"/>
    <w:rsid w:val="008C3879"/>
    <w:rsid w:val="008C3B1B"/>
    <w:rsid w:val="008C4190"/>
    <w:rsid w:val="008C42CC"/>
    <w:rsid w:val="008C43D2"/>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4D8C"/>
    <w:rsid w:val="008D51A1"/>
    <w:rsid w:val="008D5B52"/>
    <w:rsid w:val="008D5D33"/>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BAC"/>
    <w:rsid w:val="008F5E96"/>
    <w:rsid w:val="008F6181"/>
    <w:rsid w:val="008F61AF"/>
    <w:rsid w:val="008F61DB"/>
    <w:rsid w:val="008F6299"/>
    <w:rsid w:val="008F62EA"/>
    <w:rsid w:val="008F666F"/>
    <w:rsid w:val="008F6708"/>
    <w:rsid w:val="008F6A96"/>
    <w:rsid w:val="008F6C0E"/>
    <w:rsid w:val="008F73A6"/>
    <w:rsid w:val="008F78EE"/>
    <w:rsid w:val="008F7933"/>
    <w:rsid w:val="008F7D30"/>
    <w:rsid w:val="008F7E9F"/>
    <w:rsid w:val="00900037"/>
    <w:rsid w:val="00900094"/>
    <w:rsid w:val="00900210"/>
    <w:rsid w:val="00900501"/>
    <w:rsid w:val="00900973"/>
    <w:rsid w:val="00900992"/>
    <w:rsid w:val="00900EA4"/>
    <w:rsid w:val="009012A2"/>
    <w:rsid w:val="00901449"/>
    <w:rsid w:val="009015BB"/>
    <w:rsid w:val="00901694"/>
    <w:rsid w:val="0090186D"/>
    <w:rsid w:val="0090190D"/>
    <w:rsid w:val="009019A8"/>
    <w:rsid w:val="00901BE7"/>
    <w:rsid w:val="00901CF9"/>
    <w:rsid w:val="00901D09"/>
    <w:rsid w:val="009023BD"/>
    <w:rsid w:val="0090260A"/>
    <w:rsid w:val="009026A5"/>
    <w:rsid w:val="00902E40"/>
    <w:rsid w:val="00902E6F"/>
    <w:rsid w:val="00903126"/>
    <w:rsid w:val="009031C6"/>
    <w:rsid w:val="009031D9"/>
    <w:rsid w:val="0090328C"/>
    <w:rsid w:val="00903415"/>
    <w:rsid w:val="009037C3"/>
    <w:rsid w:val="00903887"/>
    <w:rsid w:val="0090398D"/>
    <w:rsid w:val="00903A08"/>
    <w:rsid w:val="00903A7B"/>
    <w:rsid w:val="00903BB4"/>
    <w:rsid w:val="0090411E"/>
    <w:rsid w:val="009042BF"/>
    <w:rsid w:val="00904589"/>
    <w:rsid w:val="0090475A"/>
    <w:rsid w:val="00904E38"/>
    <w:rsid w:val="009052ED"/>
    <w:rsid w:val="00905542"/>
    <w:rsid w:val="00905545"/>
    <w:rsid w:val="0090579C"/>
    <w:rsid w:val="009058A9"/>
    <w:rsid w:val="00905A8C"/>
    <w:rsid w:val="00905BB5"/>
    <w:rsid w:val="00905CE5"/>
    <w:rsid w:val="00905E21"/>
    <w:rsid w:val="00905E48"/>
    <w:rsid w:val="00905F33"/>
    <w:rsid w:val="0090607D"/>
    <w:rsid w:val="009061B8"/>
    <w:rsid w:val="009061EA"/>
    <w:rsid w:val="00906293"/>
    <w:rsid w:val="009065A4"/>
    <w:rsid w:val="00906B0A"/>
    <w:rsid w:val="00906DF5"/>
    <w:rsid w:val="00907262"/>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D6"/>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4027"/>
    <w:rsid w:val="0091423B"/>
    <w:rsid w:val="0091434F"/>
    <w:rsid w:val="0091458E"/>
    <w:rsid w:val="0091466C"/>
    <w:rsid w:val="00914714"/>
    <w:rsid w:val="00914A09"/>
    <w:rsid w:val="00914DE7"/>
    <w:rsid w:val="00914EEC"/>
    <w:rsid w:val="009150CB"/>
    <w:rsid w:val="00915219"/>
    <w:rsid w:val="009152FF"/>
    <w:rsid w:val="009155E4"/>
    <w:rsid w:val="00915708"/>
    <w:rsid w:val="00915764"/>
    <w:rsid w:val="009158B7"/>
    <w:rsid w:val="009159B4"/>
    <w:rsid w:val="009159C9"/>
    <w:rsid w:val="00915CD3"/>
    <w:rsid w:val="009161E1"/>
    <w:rsid w:val="009161EF"/>
    <w:rsid w:val="0091627F"/>
    <w:rsid w:val="00916486"/>
    <w:rsid w:val="00916552"/>
    <w:rsid w:val="009167B5"/>
    <w:rsid w:val="009169F8"/>
    <w:rsid w:val="00916C6A"/>
    <w:rsid w:val="00916CAA"/>
    <w:rsid w:val="00916D3A"/>
    <w:rsid w:val="00916EA9"/>
    <w:rsid w:val="00917944"/>
    <w:rsid w:val="00917AB4"/>
    <w:rsid w:val="00917B2B"/>
    <w:rsid w:val="00917C40"/>
    <w:rsid w:val="0092011A"/>
    <w:rsid w:val="00920134"/>
    <w:rsid w:val="0092015D"/>
    <w:rsid w:val="00920343"/>
    <w:rsid w:val="00920495"/>
    <w:rsid w:val="00920A25"/>
    <w:rsid w:val="00920B35"/>
    <w:rsid w:val="00920C63"/>
    <w:rsid w:val="00920EB8"/>
    <w:rsid w:val="00920F71"/>
    <w:rsid w:val="00920FDA"/>
    <w:rsid w:val="00921148"/>
    <w:rsid w:val="0092128B"/>
    <w:rsid w:val="0092145E"/>
    <w:rsid w:val="00921813"/>
    <w:rsid w:val="0092190B"/>
    <w:rsid w:val="00921986"/>
    <w:rsid w:val="009220A9"/>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908"/>
    <w:rsid w:val="00924C11"/>
    <w:rsid w:val="00924CDD"/>
    <w:rsid w:val="00924EA8"/>
    <w:rsid w:val="00924EED"/>
    <w:rsid w:val="0092515B"/>
    <w:rsid w:val="0092539E"/>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35C"/>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68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F62"/>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837"/>
    <w:rsid w:val="00957A47"/>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390"/>
    <w:rsid w:val="0096240D"/>
    <w:rsid w:val="0096252B"/>
    <w:rsid w:val="009626C7"/>
    <w:rsid w:val="009627D3"/>
    <w:rsid w:val="00962B95"/>
    <w:rsid w:val="00962EB2"/>
    <w:rsid w:val="00962EED"/>
    <w:rsid w:val="00962F88"/>
    <w:rsid w:val="00963053"/>
    <w:rsid w:val="0096314B"/>
    <w:rsid w:val="009635FB"/>
    <w:rsid w:val="009637A0"/>
    <w:rsid w:val="009640AF"/>
    <w:rsid w:val="009641D3"/>
    <w:rsid w:val="009646A9"/>
    <w:rsid w:val="009648E2"/>
    <w:rsid w:val="00964A63"/>
    <w:rsid w:val="00964B57"/>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6A"/>
    <w:rsid w:val="0097475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DB"/>
    <w:rsid w:val="009764C0"/>
    <w:rsid w:val="009764C4"/>
    <w:rsid w:val="009766EE"/>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250"/>
    <w:rsid w:val="00986650"/>
    <w:rsid w:val="009866FC"/>
    <w:rsid w:val="00986859"/>
    <w:rsid w:val="00986869"/>
    <w:rsid w:val="00986B90"/>
    <w:rsid w:val="00986BCC"/>
    <w:rsid w:val="00986E3C"/>
    <w:rsid w:val="00986F73"/>
    <w:rsid w:val="009870F5"/>
    <w:rsid w:val="0098725B"/>
    <w:rsid w:val="009877D1"/>
    <w:rsid w:val="00987A9E"/>
    <w:rsid w:val="00987AB7"/>
    <w:rsid w:val="00987BD8"/>
    <w:rsid w:val="00987F61"/>
    <w:rsid w:val="00990012"/>
    <w:rsid w:val="00990238"/>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785"/>
    <w:rsid w:val="00994941"/>
    <w:rsid w:val="00994A80"/>
    <w:rsid w:val="00994CF5"/>
    <w:rsid w:val="00994F8F"/>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256"/>
    <w:rsid w:val="009B1435"/>
    <w:rsid w:val="009B1779"/>
    <w:rsid w:val="009B1926"/>
    <w:rsid w:val="009B1BC2"/>
    <w:rsid w:val="009B1D11"/>
    <w:rsid w:val="009B1D12"/>
    <w:rsid w:val="009B1DB4"/>
    <w:rsid w:val="009B2143"/>
    <w:rsid w:val="009B2553"/>
    <w:rsid w:val="009B26C7"/>
    <w:rsid w:val="009B275F"/>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402"/>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35C"/>
    <w:rsid w:val="009C14AA"/>
    <w:rsid w:val="009C1599"/>
    <w:rsid w:val="009C19A2"/>
    <w:rsid w:val="009C1CEA"/>
    <w:rsid w:val="009C211A"/>
    <w:rsid w:val="009C21DB"/>
    <w:rsid w:val="009C2977"/>
    <w:rsid w:val="009C2A6E"/>
    <w:rsid w:val="009C2B8B"/>
    <w:rsid w:val="009C2C0A"/>
    <w:rsid w:val="009C2FDB"/>
    <w:rsid w:val="009C329D"/>
    <w:rsid w:val="009C3316"/>
    <w:rsid w:val="009C36BA"/>
    <w:rsid w:val="009C3A3A"/>
    <w:rsid w:val="009C401E"/>
    <w:rsid w:val="009C4170"/>
    <w:rsid w:val="009C4319"/>
    <w:rsid w:val="009C44E3"/>
    <w:rsid w:val="009C4519"/>
    <w:rsid w:val="009C49B2"/>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F64"/>
    <w:rsid w:val="009C607E"/>
    <w:rsid w:val="009C6113"/>
    <w:rsid w:val="009C63D0"/>
    <w:rsid w:val="009C649A"/>
    <w:rsid w:val="009C6696"/>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82"/>
    <w:rsid w:val="009D1609"/>
    <w:rsid w:val="009D187E"/>
    <w:rsid w:val="009D1894"/>
    <w:rsid w:val="009D1AAB"/>
    <w:rsid w:val="009D1CCE"/>
    <w:rsid w:val="009D1D6A"/>
    <w:rsid w:val="009D1E35"/>
    <w:rsid w:val="009D1FC1"/>
    <w:rsid w:val="009D2166"/>
    <w:rsid w:val="009D24E7"/>
    <w:rsid w:val="009D2973"/>
    <w:rsid w:val="009D2A3D"/>
    <w:rsid w:val="009D2C04"/>
    <w:rsid w:val="009D305F"/>
    <w:rsid w:val="009D3149"/>
    <w:rsid w:val="009D3335"/>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96F"/>
    <w:rsid w:val="009E4B16"/>
    <w:rsid w:val="009E4EA1"/>
    <w:rsid w:val="009E501D"/>
    <w:rsid w:val="009E51EC"/>
    <w:rsid w:val="009E5318"/>
    <w:rsid w:val="009E5461"/>
    <w:rsid w:val="009E573B"/>
    <w:rsid w:val="009E57A4"/>
    <w:rsid w:val="009E5955"/>
    <w:rsid w:val="009E5AF1"/>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A59"/>
    <w:rsid w:val="009F5BEA"/>
    <w:rsid w:val="009F5C88"/>
    <w:rsid w:val="009F5DE8"/>
    <w:rsid w:val="009F5E53"/>
    <w:rsid w:val="009F5F37"/>
    <w:rsid w:val="009F612E"/>
    <w:rsid w:val="009F63D1"/>
    <w:rsid w:val="009F63F4"/>
    <w:rsid w:val="009F6C17"/>
    <w:rsid w:val="009F6DA5"/>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A8E"/>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518"/>
    <w:rsid w:val="00A07682"/>
    <w:rsid w:val="00A078B9"/>
    <w:rsid w:val="00A07AAD"/>
    <w:rsid w:val="00A07B48"/>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1F5"/>
    <w:rsid w:val="00A11250"/>
    <w:rsid w:val="00A1127A"/>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CD"/>
    <w:rsid w:val="00A14A4D"/>
    <w:rsid w:val="00A14AB2"/>
    <w:rsid w:val="00A14ACE"/>
    <w:rsid w:val="00A14B13"/>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54"/>
    <w:rsid w:val="00A23EA3"/>
    <w:rsid w:val="00A2416F"/>
    <w:rsid w:val="00A242D2"/>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C4A"/>
    <w:rsid w:val="00A33D0D"/>
    <w:rsid w:val="00A33DF1"/>
    <w:rsid w:val="00A340C0"/>
    <w:rsid w:val="00A34155"/>
    <w:rsid w:val="00A3416B"/>
    <w:rsid w:val="00A34371"/>
    <w:rsid w:val="00A34538"/>
    <w:rsid w:val="00A345F2"/>
    <w:rsid w:val="00A34D6C"/>
    <w:rsid w:val="00A34FA9"/>
    <w:rsid w:val="00A355D1"/>
    <w:rsid w:val="00A3570D"/>
    <w:rsid w:val="00A35D82"/>
    <w:rsid w:val="00A36064"/>
    <w:rsid w:val="00A36203"/>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41A"/>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6F7B"/>
    <w:rsid w:val="00A47336"/>
    <w:rsid w:val="00A47572"/>
    <w:rsid w:val="00A47738"/>
    <w:rsid w:val="00A47CEF"/>
    <w:rsid w:val="00A47D0C"/>
    <w:rsid w:val="00A47D29"/>
    <w:rsid w:val="00A47F58"/>
    <w:rsid w:val="00A47FEE"/>
    <w:rsid w:val="00A5047D"/>
    <w:rsid w:val="00A504A2"/>
    <w:rsid w:val="00A504F5"/>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617"/>
    <w:rsid w:val="00A538C0"/>
    <w:rsid w:val="00A53B0A"/>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BB"/>
    <w:rsid w:val="00A5760A"/>
    <w:rsid w:val="00A57642"/>
    <w:rsid w:val="00A5769C"/>
    <w:rsid w:val="00A57BCE"/>
    <w:rsid w:val="00A57D22"/>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279"/>
    <w:rsid w:val="00A65324"/>
    <w:rsid w:val="00A6553F"/>
    <w:rsid w:val="00A655AC"/>
    <w:rsid w:val="00A65691"/>
    <w:rsid w:val="00A656B3"/>
    <w:rsid w:val="00A6580E"/>
    <w:rsid w:val="00A65919"/>
    <w:rsid w:val="00A65B45"/>
    <w:rsid w:val="00A66056"/>
    <w:rsid w:val="00A66472"/>
    <w:rsid w:val="00A665F6"/>
    <w:rsid w:val="00A667A1"/>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73"/>
    <w:rsid w:val="00A82DCC"/>
    <w:rsid w:val="00A82EB7"/>
    <w:rsid w:val="00A82ECC"/>
    <w:rsid w:val="00A82FB9"/>
    <w:rsid w:val="00A83239"/>
    <w:rsid w:val="00A83254"/>
    <w:rsid w:val="00A83661"/>
    <w:rsid w:val="00A836AD"/>
    <w:rsid w:val="00A8393F"/>
    <w:rsid w:val="00A83C7F"/>
    <w:rsid w:val="00A83F65"/>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1C"/>
    <w:rsid w:val="00A85F30"/>
    <w:rsid w:val="00A86589"/>
    <w:rsid w:val="00A8668C"/>
    <w:rsid w:val="00A8670D"/>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AD"/>
    <w:rsid w:val="00A96CED"/>
    <w:rsid w:val="00A96D95"/>
    <w:rsid w:val="00A96E80"/>
    <w:rsid w:val="00A96FD8"/>
    <w:rsid w:val="00A9712F"/>
    <w:rsid w:val="00A971BF"/>
    <w:rsid w:val="00A9732B"/>
    <w:rsid w:val="00A973C8"/>
    <w:rsid w:val="00A97BA5"/>
    <w:rsid w:val="00AA01F9"/>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8A0"/>
    <w:rsid w:val="00AA1913"/>
    <w:rsid w:val="00AA1CA2"/>
    <w:rsid w:val="00AA1F34"/>
    <w:rsid w:val="00AA2012"/>
    <w:rsid w:val="00AA2574"/>
    <w:rsid w:val="00AA2955"/>
    <w:rsid w:val="00AA2A8F"/>
    <w:rsid w:val="00AA2FE8"/>
    <w:rsid w:val="00AA32F6"/>
    <w:rsid w:val="00AA3388"/>
    <w:rsid w:val="00AA3450"/>
    <w:rsid w:val="00AA3497"/>
    <w:rsid w:val="00AA34CE"/>
    <w:rsid w:val="00AA34D8"/>
    <w:rsid w:val="00AA36EB"/>
    <w:rsid w:val="00AA3738"/>
    <w:rsid w:val="00AA3755"/>
    <w:rsid w:val="00AA39F1"/>
    <w:rsid w:val="00AA3C6E"/>
    <w:rsid w:val="00AA3DC3"/>
    <w:rsid w:val="00AA409E"/>
    <w:rsid w:val="00AA4130"/>
    <w:rsid w:val="00AA4186"/>
    <w:rsid w:val="00AA41E5"/>
    <w:rsid w:val="00AA43DD"/>
    <w:rsid w:val="00AA45EC"/>
    <w:rsid w:val="00AA4779"/>
    <w:rsid w:val="00AA4C41"/>
    <w:rsid w:val="00AA4E04"/>
    <w:rsid w:val="00AA502C"/>
    <w:rsid w:val="00AA5077"/>
    <w:rsid w:val="00AA50D0"/>
    <w:rsid w:val="00AA537F"/>
    <w:rsid w:val="00AA5678"/>
    <w:rsid w:val="00AA5794"/>
    <w:rsid w:val="00AA58AD"/>
    <w:rsid w:val="00AA5933"/>
    <w:rsid w:val="00AA5B54"/>
    <w:rsid w:val="00AA5D46"/>
    <w:rsid w:val="00AA5F2B"/>
    <w:rsid w:val="00AA606C"/>
    <w:rsid w:val="00AA6298"/>
    <w:rsid w:val="00AA62B3"/>
    <w:rsid w:val="00AA6331"/>
    <w:rsid w:val="00AA64DD"/>
    <w:rsid w:val="00AA67F7"/>
    <w:rsid w:val="00AA689D"/>
    <w:rsid w:val="00AA68CE"/>
    <w:rsid w:val="00AA6AEA"/>
    <w:rsid w:val="00AA6BD9"/>
    <w:rsid w:val="00AA6C15"/>
    <w:rsid w:val="00AA6F94"/>
    <w:rsid w:val="00AA715E"/>
    <w:rsid w:val="00AA73E6"/>
    <w:rsid w:val="00AA756B"/>
    <w:rsid w:val="00AA7781"/>
    <w:rsid w:val="00AA77B2"/>
    <w:rsid w:val="00AA7D41"/>
    <w:rsid w:val="00AA7EA8"/>
    <w:rsid w:val="00AA7EDF"/>
    <w:rsid w:val="00AA7F5F"/>
    <w:rsid w:val="00AB00CC"/>
    <w:rsid w:val="00AB0126"/>
    <w:rsid w:val="00AB0288"/>
    <w:rsid w:val="00AB08EC"/>
    <w:rsid w:val="00AB08F7"/>
    <w:rsid w:val="00AB0A7F"/>
    <w:rsid w:val="00AB0AE2"/>
    <w:rsid w:val="00AB0C49"/>
    <w:rsid w:val="00AB0DA8"/>
    <w:rsid w:val="00AB0FF1"/>
    <w:rsid w:val="00AB1156"/>
    <w:rsid w:val="00AB1469"/>
    <w:rsid w:val="00AB1C04"/>
    <w:rsid w:val="00AB20B4"/>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634"/>
    <w:rsid w:val="00AB4910"/>
    <w:rsid w:val="00AB4BCF"/>
    <w:rsid w:val="00AB4C3A"/>
    <w:rsid w:val="00AB4CEF"/>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E7F"/>
    <w:rsid w:val="00AD1F10"/>
    <w:rsid w:val="00AD1F65"/>
    <w:rsid w:val="00AD2012"/>
    <w:rsid w:val="00AD2267"/>
    <w:rsid w:val="00AD2714"/>
    <w:rsid w:val="00AD27CD"/>
    <w:rsid w:val="00AD289B"/>
    <w:rsid w:val="00AD2CBF"/>
    <w:rsid w:val="00AD303D"/>
    <w:rsid w:val="00AD3206"/>
    <w:rsid w:val="00AD330B"/>
    <w:rsid w:val="00AD3A43"/>
    <w:rsid w:val="00AD3A57"/>
    <w:rsid w:val="00AD3CC5"/>
    <w:rsid w:val="00AD3CF6"/>
    <w:rsid w:val="00AD3D2A"/>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97A"/>
    <w:rsid w:val="00AE3A44"/>
    <w:rsid w:val="00AE3B23"/>
    <w:rsid w:val="00AE3C37"/>
    <w:rsid w:val="00AE3D32"/>
    <w:rsid w:val="00AE3E59"/>
    <w:rsid w:val="00AE3EB2"/>
    <w:rsid w:val="00AE3F15"/>
    <w:rsid w:val="00AE4870"/>
    <w:rsid w:val="00AE4D7D"/>
    <w:rsid w:val="00AE4E7A"/>
    <w:rsid w:val="00AE4E92"/>
    <w:rsid w:val="00AE4F7B"/>
    <w:rsid w:val="00AE541A"/>
    <w:rsid w:val="00AE5C52"/>
    <w:rsid w:val="00AE5E63"/>
    <w:rsid w:val="00AE60BF"/>
    <w:rsid w:val="00AE618A"/>
    <w:rsid w:val="00AE6592"/>
    <w:rsid w:val="00AE65CC"/>
    <w:rsid w:val="00AE6C43"/>
    <w:rsid w:val="00AE6CE4"/>
    <w:rsid w:val="00AE6D53"/>
    <w:rsid w:val="00AE6E04"/>
    <w:rsid w:val="00AE6E1E"/>
    <w:rsid w:val="00AE6F95"/>
    <w:rsid w:val="00AE7059"/>
    <w:rsid w:val="00AE7243"/>
    <w:rsid w:val="00AE77C6"/>
    <w:rsid w:val="00AE78BF"/>
    <w:rsid w:val="00AE7B90"/>
    <w:rsid w:val="00AE7BD5"/>
    <w:rsid w:val="00AE7D69"/>
    <w:rsid w:val="00AE7FD6"/>
    <w:rsid w:val="00AF040D"/>
    <w:rsid w:val="00AF0525"/>
    <w:rsid w:val="00AF05A8"/>
    <w:rsid w:val="00AF0656"/>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E12"/>
    <w:rsid w:val="00AF4055"/>
    <w:rsid w:val="00AF44BA"/>
    <w:rsid w:val="00AF46D8"/>
    <w:rsid w:val="00AF4764"/>
    <w:rsid w:val="00AF47A1"/>
    <w:rsid w:val="00AF493E"/>
    <w:rsid w:val="00AF4C4D"/>
    <w:rsid w:val="00AF4C7C"/>
    <w:rsid w:val="00AF504E"/>
    <w:rsid w:val="00AF55C7"/>
    <w:rsid w:val="00AF5696"/>
    <w:rsid w:val="00AF59F8"/>
    <w:rsid w:val="00AF6899"/>
    <w:rsid w:val="00AF6BD9"/>
    <w:rsid w:val="00AF6E10"/>
    <w:rsid w:val="00AF6E56"/>
    <w:rsid w:val="00AF7082"/>
    <w:rsid w:val="00AF77AA"/>
    <w:rsid w:val="00AF79D6"/>
    <w:rsid w:val="00AF7AB8"/>
    <w:rsid w:val="00AF7C00"/>
    <w:rsid w:val="00AF7C07"/>
    <w:rsid w:val="00B00544"/>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3668"/>
    <w:rsid w:val="00B03698"/>
    <w:rsid w:val="00B036D4"/>
    <w:rsid w:val="00B03770"/>
    <w:rsid w:val="00B039E0"/>
    <w:rsid w:val="00B03BD3"/>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76"/>
    <w:rsid w:val="00B068BE"/>
    <w:rsid w:val="00B06A61"/>
    <w:rsid w:val="00B06C82"/>
    <w:rsid w:val="00B06D64"/>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97D"/>
    <w:rsid w:val="00B23A2D"/>
    <w:rsid w:val="00B23AD9"/>
    <w:rsid w:val="00B23C25"/>
    <w:rsid w:val="00B23ECC"/>
    <w:rsid w:val="00B23F61"/>
    <w:rsid w:val="00B24052"/>
    <w:rsid w:val="00B241C7"/>
    <w:rsid w:val="00B244A7"/>
    <w:rsid w:val="00B2474E"/>
    <w:rsid w:val="00B2475E"/>
    <w:rsid w:val="00B24A0F"/>
    <w:rsid w:val="00B25008"/>
    <w:rsid w:val="00B2506E"/>
    <w:rsid w:val="00B255D0"/>
    <w:rsid w:val="00B2577A"/>
    <w:rsid w:val="00B25842"/>
    <w:rsid w:val="00B25D2C"/>
    <w:rsid w:val="00B25E5C"/>
    <w:rsid w:val="00B260CE"/>
    <w:rsid w:val="00B261EF"/>
    <w:rsid w:val="00B26263"/>
    <w:rsid w:val="00B2638A"/>
    <w:rsid w:val="00B2683C"/>
    <w:rsid w:val="00B2690B"/>
    <w:rsid w:val="00B26CAD"/>
    <w:rsid w:val="00B26D72"/>
    <w:rsid w:val="00B26D79"/>
    <w:rsid w:val="00B27181"/>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CE"/>
    <w:rsid w:val="00B317C6"/>
    <w:rsid w:val="00B318EF"/>
    <w:rsid w:val="00B31956"/>
    <w:rsid w:val="00B31B42"/>
    <w:rsid w:val="00B31CB1"/>
    <w:rsid w:val="00B32201"/>
    <w:rsid w:val="00B324FD"/>
    <w:rsid w:val="00B32553"/>
    <w:rsid w:val="00B32A8B"/>
    <w:rsid w:val="00B32B26"/>
    <w:rsid w:val="00B32C8F"/>
    <w:rsid w:val="00B32E9A"/>
    <w:rsid w:val="00B331E6"/>
    <w:rsid w:val="00B33530"/>
    <w:rsid w:val="00B335C3"/>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846"/>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A1"/>
    <w:rsid w:val="00B446D1"/>
    <w:rsid w:val="00B44C79"/>
    <w:rsid w:val="00B44D5C"/>
    <w:rsid w:val="00B44EC8"/>
    <w:rsid w:val="00B4516C"/>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D0"/>
    <w:rsid w:val="00B521C2"/>
    <w:rsid w:val="00B5224E"/>
    <w:rsid w:val="00B522B9"/>
    <w:rsid w:val="00B522EE"/>
    <w:rsid w:val="00B528B4"/>
    <w:rsid w:val="00B52D91"/>
    <w:rsid w:val="00B52F71"/>
    <w:rsid w:val="00B53881"/>
    <w:rsid w:val="00B5399B"/>
    <w:rsid w:val="00B53F62"/>
    <w:rsid w:val="00B54042"/>
    <w:rsid w:val="00B540F0"/>
    <w:rsid w:val="00B542A2"/>
    <w:rsid w:val="00B54807"/>
    <w:rsid w:val="00B54A9E"/>
    <w:rsid w:val="00B54ACA"/>
    <w:rsid w:val="00B54B1E"/>
    <w:rsid w:val="00B54CD4"/>
    <w:rsid w:val="00B54D84"/>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A3F"/>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539"/>
    <w:rsid w:val="00B70800"/>
    <w:rsid w:val="00B70AF9"/>
    <w:rsid w:val="00B70B41"/>
    <w:rsid w:val="00B70DEE"/>
    <w:rsid w:val="00B70E47"/>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9BB"/>
    <w:rsid w:val="00B72A26"/>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38B"/>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96"/>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53F"/>
    <w:rsid w:val="00B846F8"/>
    <w:rsid w:val="00B849F3"/>
    <w:rsid w:val="00B84F4F"/>
    <w:rsid w:val="00B853F7"/>
    <w:rsid w:val="00B8541D"/>
    <w:rsid w:val="00B85773"/>
    <w:rsid w:val="00B85C16"/>
    <w:rsid w:val="00B85F01"/>
    <w:rsid w:val="00B86208"/>
    <w:rsid w:val="00B869BF"/>
    <w:rsid w:val="00B86A5B"/>
    <w:rsid w:val="00B86C48"/>
    <w:rsid w:val="00B86D91"/>
    <w:rsid w:val="00B86EE2"/>
    <w:rsid w:val="00B870D5"/>
    <w:rsid w:val="00B8753A"/>
    <w:rsid w:val="00B8755A"/>
    <w:rsid w:val="00B876BB"/>
    <w:rsid w:val="00B878C1"/>
    <w:rsid w:val="00B87981"/>
    <w:rsid w:val="00B87B6F"/>
    <w:rsid w:val="00B87C89"/>
    <w:rsid w:val="00B87CE8"/>
    <w:rsid w:val="00B87E9C"/>
    <w:rsid w:val="00B87F6D"/>
    <w:rsid w:val="00B90041"/>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27F"/>
    <w:rsid w:val="00B924E0"/>
    <w:rsid w:val="00B926E0"/>
    <w:rsid w:val="00B928F1"/>
    <w:rsid w:val="00B92A0A"/>
    <w:rsid w:val="00B92B90"/>
    <w:rsid w:val="00B92D00"/>
    <w:rsid w:val="00B92F78"/>
    <w:rsid w:val="00B93017"/>
    <w:rsid w:val="00B93141"/>
    <w:rsid w:val="00B9327A"/>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6E06"/>
    <w:rsid w:val="00B9709A"/>
    <w:rsid w:val="00B973C7"/>
    <w:rsid w:val="00B9753A"/>
    <w:rsid w:val="00B97651"/>
    <w:rsid w:val="00B97786"/>
    <w:rsid w:val="00B978AC"/>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775"/>
    <w:rsid w:val="00BA292C"/>
    <w:rsid w:val="00BA293E"/>
    <w:rsid w:val="00BA298F"/>
    <w:rsid w:val="00BA2AE2"/>
    <w:rsid w:val="00BA2C1E"/>
    <w:rsid w:val="00BA2C3C"/>
    <w:rsid w:val="00BA2C5E"/>
    <w:rsid w:val="00BA2EB3"/>
    <w:rsid w:val="00BA2F24"/>
    <w:rsid w:val="00BA32E9"/>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210"/>
    <w:rsid w:val="00BA634B"/>
    <w:rsid w:val="00BA658E"/>
    <w:rsid w:val="00BA6611"/>
    <w:rsid w:val="00BA6A4E"/>
    <w:rsid w:val="00BA6C5F"/>
    <w:rsid w:val="00BA7015"/>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BA3"/>
    <w:rsid w:val="00BB3CED"/>
    <w:rsid w:val="00BB3EA7"/>
    <w:rsid w:val="00BB3F1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6CC"/>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8E3"/>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44AA"/>
    <w:rsid w:val="00BE44B3"/>
    <w:rsid w:val="00BE4558"/>
    <w:rsid w:val="00BE45B6"/>
    <w:rsid w:val="00BE473F"/>
    <w:rsid w:val="00BE4A78"/>
    <w:rsid w:val="00BE4B79"/>
    <w:rsid w:val="00BE4B82"/>
    <w:rsid w:val="00BE4DF2"/>
    <w:rsid w:val="00BE5037"/>
    <w:rsid w:val="00BE50D2"/>
    <w:rsid w:val="00BE531E"/>
    <w:rsid w:val="00BE54A3"/>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B32"/>
    <w:rsid w:val="00BE7DAF"/>
    <w:rsid w:val="00BE7E1E"/>
    <w:rsid w:val="00BE7EC7"/>
    <w:rsid w:val="00BE7F68"/>
    <w:rsid w:val="00BF0333"/>
    <w:rsid w:val="00BF053B"/>
    <w:rsid w:val="00BF0816"/>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5BF"/>
    <w:rsid w:val="00C01687"/>
    <w:rsid w:val="00C017A9"/>
    <w:rsid w:val="00C01A73"/>
    <w:rsid w:val="00C01B78"/>
    <w:rsid w:val="00C01E5D"/>
    <w:rsid w:val="00C01EC0"/>
    <w:rsid w:val="00C02177"/>
    <w:rsid w:val="00C02509"/>
    <w:rsid w:val="00C02A43"/>
    <w:rsid w:val="00C02C01"/>
    <w:rsid w:val="00C02E65"/>
    <w:rsid w:val="00C03081"/>
    <w:rsid w:val="00C0315D"/>
    <w:rsid w:val="00C03278"/>
    <w:rsid w:val="00C032DC"/>
    <w:rsid w:val="00C0345D"/>
    <w:rsid w:val="00C03647"/>
    <w:rsid w:val="00C036AB"/>
    <w:rsid w:val="00C03797"/>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ACD"/>
    <w:rsid w:val="00C14C85"/>
    <w:rsid w:val="00C14D00"/>
    <w:rsid w:val="00C14DFE"/>
    <w:rsid w:val="00C14FC9"/>
    <w:rsid w:val="00C150F2"/>
    <w:rsid w:val="00C1555A"/>
    <w:rsid w:val="00C15841"/>
    <w:rsid w:val="00C15AAF"/>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C8E"/>
    <w:rsid w:val="00C22ECF"/>
    <w:rsid w:val="00C22F96"/>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76"/>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7C"/>
    <w:rsid w:val="00C42FA9"/>
    <w:rsid w:val="00C4320D"/>
    <w:rsid w:val="00C4329E"/>
    <w:rsid w:val="00C432DD"/>
    <w:rsid w:val="00C4394A"/>
    <w:rsid w:val="00C43987"/>
    <w:rsid w:val="00C43C6F"/>
    <w:rsid w:val="00C43C9D"/>
    <w:rsid w:val="00C43D38"/>
    <w:rsid w:val="00C43F7F"/>
    <w:rsid w:val="00C44358"/>
    <w:rsid w:val="00C44841"/>
    <w:rsid w:val="00C448D2"/>
    <w:rsid w:val="00C44911"/>
    <w:rsid w:val="00C44A80"/>
    <w:rsid w:val="00C44C8F"/>
    <w:rsid w:val="00C452A4"/>
    <w:rsid w:val="00C457EB"/>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D9"/>
    <w:rsid w:val="00C502BD"/>
    <w:rsid w:val="00C50305"/>
    <w:rsid w:val="00C506FD"/>
    <w:rsid w:val="00C50754"/>
    <w:rsid w:val="00C5084F"/>
    <w:rsid w:val="00C50918"/>
    <w:rsid w:val="00C509DC"/>
    <w:rsid w:val="00C50C22"/>
    <w:rsid w:val="00C50D7A"/>
    <w:rsid w:val="00C50F49"/>
    <w:rsid w:val="00C51073"/>
    <w:rsid w:val="00C51087"/>
    <w:rsid w:val="00C51096"/>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86F"/>
    <w:rsid w:val="00C64BCD"/>
    <w:rsid w:val="00C64CB6"/>
    <w:rsid w:val="00C64D01"/>
    <w:rsid w:val="00C64D33"/>
    <w:rsid w:val="00C64E2A"/>
    <w:rsid w:val="00C651AB"/>
    <w:rsid w:val="00C65372"/>
    <w:rsid w:val="00C65442"/>
    <w:rsid w:val="00C655B4"/>
    <w:rsid w:val="00C656A6"/>
    <w:rsid w:val="00C65A29"/>
    <w:rsid w:val="00C65B32"/>
    <w:rsid w:val="00C65B7E"/>
    <w:rsid w:val="00C65F97"/>
    <w:rsid w:val="00C66386"/>
    <w:rsid w:val="00C66923"/>
    <w:rsid w:val="00C66DC6"/>
    <w:rsid w:val="00C66E9F"/>
    <w:rsid w:val="00C66FEE"/>
    <w:rsid w:val="00C670F3"/>
    <w:rsid w:val="00C6738E"/>
    <w:rsid w:val="00C676E5"/>
    <w:rsid w:val="00C678D4"/>
    <w:rsid w:val="00C6790C"/>
    <w:rsid w:val="00C67914"/>
    <w:rsid w:val="00C67E53"/>
    <w:rsid w:val="00C67EBE"/>
    <w:rsid w:val="00C700EC"/>
    <w:rsid w:val="00C703CE"/>
    <w:rsid w:val="00C704EA"/>
    <w:rsid w:val="00C706AD"/>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74F"/>
    <w:rsid w:val="00C75B2D"/>
    <w:rsid w:val="00C75F25"/>
    <w:rsid w:val="00C765EA"/>
    <w:rsid w:val="00C766DB"/>
    <w:rsid w:val="00C76D62"/>
    <w:rsid w:val="00C76D70"/>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6E"/>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B27"/>
    <w:rsid w:val="00C84C59"/>
    <w:rsid w:val="00C84CEF"/>
    <w:rsid w:val="00C84E0D"/>
    <w:rsid w:val="00C852CA"/>
    <w:rsid w:val="00C85381"/>
    <w:rsid w:val="00C85534"/>
    <w:rsid w:val="00C8561F"/>
    <w:rsid w:val="00C857B0"/>
    <w:rsid w:val="00C8596E"/>
    <w:rsid w:val="00C85A36"/>
    <w:rsid w:val="00C85F8B"/>
    <w:rsid w:val="00C85FD0"/>
    <w:rsid w:val="00C86018"/>
    <w:rsid w:val="00C8608B"/>
    <w:rsid w:val="00C86459"/>
    <w:rsid w:val="00C8645C"/>
    <w:rsid w:val="00C86675"/>
    <w:rsid w:val="00C870EA"/>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28"/>
    <w:rsid w:val="00C90338"/>
    <w:rsid w:val="00C908CB"/>
    <w:rsid w:val="00C90BB0"/>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30"/>
    <w:rsid w:val="00C950F5"/>
    <w:rsid w:val="00C95372"/>
    <w:rsid w:val="00C9588A"/>
    <w:rsid w:val="00C95944"/>
    <w:rsid w:val="00C95C6C"/>
    <w:rsid w:val="00C95CA4"/>
    <w:rsid w:val="00C95DC8"/>
    <w:rsid w:val="00C95E55"/>
    <w:rsid w:val="00C95E83"/>
    <w:rsid w:val="00C95E8A"/>
    <w:rsid w:val="00C96327"/>
    <w:rsid w:val="00C96344"/>
    <w:rsid w:val="00C965C9"/>
    <w:rsid w:val="00C9696D"/>
    <w:rsid w:val="00C96B34"/>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4852"/>
    <w:rsid w:val="00CA4ADE"/>
    <w:rsid w:val="00CA4CC4"/>
    <w:rsid w:val="00CA4DC6"/>
    <w:rsid w:val="00CA4F52"/>
    <w:rsid w:val="00CA4F61"/>
    <w:rsid w:val="00CA4F77"/>
    <w:rsid w:val="00CA5233"/>
    <w:rsid w:val="00CA53EA"/>
    <w:rsid w:val="00CA5604"/>
    <w:rsid w:val="00CA5825"/>
    <w:rsid w:val="00CA5C49"/>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D8F"/>
    <w:rsid w:val="00CA7E1A"/>
    <w:rsid w:val="00CA7F72"/>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E54"/>
    <w:rsid w:val="00CC100C"/>
    <w:rsid w:val="00CC123D"/>
    <w:rsid w:val="00CC12B5"/>
    <w:rsid w:val="00CC1364"/>
    <w:rsid w:val="00CC1493"/>
    <w:rsid w:val="00CC14B5"/>
    <w:rsid w:val="00CC15A5"/>
    <w:rsid w:val="00CC15D1"/>
    <w:rsid w:val="00CC1BE1"/>
    <w:rsid w:val="00CC1F56"/>
    <w:rsid w:val="00CC1F93"/>
    <w:rsid w:val="00CC244D"/>
    <w:rsid w:val="00CC24DF"/>
    <w:rsid w:val="00CC254C"/>
    <w:rsid w:val="00CC27F8"/>
    <w:rsid w:val="00CC2970"/>
    <w:rsid w:val="00CC2B00"/>
    <w:rsid w:val="00CC2C03"/>
    <w:rsid w:val="00CC2C25"/>
    <w:rsid w:val="00CC2C8F"/>
    <w:rsid w:val="00CC3208"/>
    <w:rsid w:val="00CC347B"/>
    <w:rsid w:val="00CC363C"/>
    <w:rsid w:val="00CC387E"/>
    <w:rsid w:val="00CC3C15"/>
    <w:rsid w:val="00CC4029"/>
    <w:rsid w:val="00CC424A"/>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8CD"/>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BD9"/>
    <w:rsid w:val="00CD1E00"/>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A0A"/>
    <w:rsid w:val="00CD7B59"/>
    <w:rsid w:val="00CD7DCE"/>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BC2"/>
    <w:rsid w:val="00CE1ECF"/>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4FF8"/>
    <w:rsid w:val="00CE51D1"/>
    <w:rsid w:val="00CE5245"/>
    <w:rsid w:val="00CE525A"/>
    <w:rsid w:val="00CE57DE"/>
    <w:rsid w:val="00CE5828"/>
    <w:rsid w:val="00CE5A2E"/>
    <w:rsid w:val="00CE5C01"/>
    <w:rsid w:val="00CE5C84"/>
    <w:rsid w:val="00CE5CB8"/>
    <w:rsid w:val="00CE6003"/>
    <w:rsid w:val="00CE682D"/>
    <w:rsid w:val="00CE6B35"/>
    <w:rsid w:val="00CE6DCD"/>
    <w:rsid w:val="00CE6E33"/>
    <w:rsid w:val="00CE6EFB"/>
    <w:rsid w:val="00CE7264"/>
    <w:rsid w:val="00CE7265"/>
    <w:rsid w:val="00CE72C1"/>
    <w:rsid w:val="00CE7442"/>
    <w:rsid w:val="00CE7481"/>
    <w:rsid w:val="00CE7616"/>
    <w:rsid w:val="00CE76F2"/>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C07"/>
    <w:rsid w:val="00CF1E06"/>
    <w:rsid w:val="00CF2180"/>
    <w:rsid w:val="00CF2440"/>
    <w:rsid w:val="00CF24C4"/>
    <w:rsid w:val="00CF266F"/>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22F"/>
    <w:rsid w:val="00CF6489"/>
    <w:rsid w:val="00CF653E"/>
    <w:rsid w:val="00CF655A"/>
    <w:rsid w:val="00CF66FA"/>
    <w:rsid w:val="00CF67F8"/>
    <w:rsid w:val="00CF69E0"/>
    <w:rsid w:val="00CF6B24"/>
    <w:rsid w:val="00CF6E51"/>
    <w:rsid w:val="00CF768B"/>
    <w:rsid w:val="00CF7740"/>
    <w:rsid w:val="00CF79B0"/>
    <w:rsid w:val="00CF7D62"/>
    <w:rsid w:val="00CF7E45"/>
    <w:rsid w:val="00CF7E8B"/>
    <w:rsid w:val="00CF7F7A"/>
    <w:rsid w:val="00D00877"/>
    <w:rsid w:val="00D008BA"/>
    <w:rsid w:val="00D0093F"/>
    <w:rsid w:val="00D009EF"/>
    <w:rsid w:val="00D014F4"/>
    <w:rsid w:val="00D015A3"/>
    <w:rsid w:val="00D01686"/>
    <w:rsid w:val="00D017C0"/>
    <w:rsid w:val="00D01D84"/>
    <w:rsid w:val="00D01DAE"/>
    <w:rsid w:val="00D0218E"/>
    <w:rsid w:val="00D02237"/>
    <w:rsid w:val="00D02900"/>
    <w:rsid w:val="00D02938"/>
    <w:rsid w:val="00D02B21"/>
    <w:rsid w:val="00D02B4D"/>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A"/>
    <w:rsid w:val="00D05772"/>
    <w:rsid w:val="00D05E0E"/>
    <w:rsid w:val="00D05E46"/>
    <w:rsid w:val="00D05F31"/>
    <w:rsid w:val="00D0609A"/>
    <w:rsid w:val="00D0624F"/>
    <w:rsid w:val="00D06298"/>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4AA"/>
    <w:rsid w:val="00D14885"/>
    <w:rsid w:val="00D148EA"/>
    <w:rsid w:val="00D1495C"/>
    <w:rsid w:val="00D14AC2"/>
    <w:rsid w:val="00D14FD9"/>
    <w:rsid w:val="00D15486"/>
    <w:rsid w:val="00D15668"/>
    <w:rsid w:val="00D15733"/>
    <w:rsid w:val="00D1574B"/>
    <w:rsid w:val="00D1591A"/>
    <w:rsid w:val="00D15A5E"/>
    <w:rsid w:val="00D15DF3"/>
    <w:rsid w:val="00D15E1F"/>
    <w:rsid w:val="00D1608C"/>
    <w:rsid w:val="00D16264"/>
    <w:rsid w:val="00D1657C"/>
    <w:rsid w:val="00D16700"/>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620"/>
    <w:rsid w:val="00D2779D"/>
    <w:rsid w:val="00D278DC"/>
    <w:rsid w:val="00D27F0E"/>
    <w:rsid w:val="00D3028D"/>
    <w:rsid w:val="00D30730"/>
    <w:rsid w:val="00D30ACF"/>
    <w:rsid w:val="00D30C42"/>
    <w:rsid w:val="00D30ECE"/>
    <w:rsid w:val="00D30EEA"/>
    <w:rsid w:val="00D30F9E"/>
    <w:rsid w:val="00D30FA6"/>
    <w:rsid w:val="00D3106F"/>
    <w:rsid w:val="00D3122E"/>
    <w:rsid w:val="00D31356"/>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CF2"/>
    <w:rsid w:val="00D37FCF"/>
    <w:rsid w:val="00D401A6"/>
    <w:rsid w:val="00D40470"/>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BBE"/>
    <w:rsid w:val="00D44C67"/>
    <w:rsid w:val="00D44D63"/>
    <w:rsid w:val="00D44D6A"/>
    <w:rsid w:val="00D44F15"/>
    <w:rsid w:val="00D44F1C"/>
    <w:rsid w:val="00D45039"/>
    <w:rsid w:val="00D45371"/>
    <w:rsid w:val="00D45389"/>
    <w:rsid w:val="00D4569F"/>
    <w:rsid w:val="00D457BE"/>
    <w:rsid w:val="00D458F5"/>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4C4"/>
    <w:rsid w:val="00D51567"/>
    <w:rsid w:val="00D517A9"/>
    <w:rsid w:val="00D5186C"/>
    <w:rsid w:val="00D5189B"/>
    <w:rsid w:val="00D51A77"/>
    <w:rsid w:val="00D51AFF"/>
    <w:rsid w:val="00D51B2C"/>
    <w:rsid w:val="00D51E4A"/>
    <w:rsid w:val="00D52145"/>
    <w:rsid w:val="00D523B5"/>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88D"/>
    <w:rsid w:val="00D5795F"/>
    <w:rsid w:val="00D57A1D"/>
    <w:rsid w:val="00D57E13"/>
    <w:rsid w:val="00D6016A"/>
    <w:rsid w:val="00D601C0"/>
    <w:rsid w:val="00D60273"/>
    <w:rsid w:val="00D60461"/>
    <w:rsid w:val="00D60977"/>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0D4"/>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98"/>
    <w:rsid w:val="00D77450"/>
    <w:rsid w:val="00D776AB"/>
    <w:rsid w:val="00D77954"/>
    <w:rsid w:val="00D77B4C"/>
    <w:rsid w:val="00D77C33"/>
    <w:rsid w:val="00D77C79"/>
    <w:rsid w:val="00D77E38"/>
    <w:rsid w:val="00D80043"/>
    <w:rsid w:val="00D80082"/>
    <w:rsid w:val="00D802EF"/>
    <w:rsid w:val="00D803B6"/>
    <w:rsid w:val="00D805D6"/>
    <w:rsid w:val="00D8088C"/>
    <w:rsid w:val="00D809C3"/>
    <w:rsid w:val="00D80B4C"/>
    <w:rsid w:val="00D80B84"/>
    <w:rsid w:val="00D80BDB"/>
    <w:rsid w:val="00D80EFB"/>
    <w:rsid w:val="00D8116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558"/>
    <w:rsid w:val="00D848EA"/>
    <w:rsid w:val="00D84916"/>
    <w:rsid w:val="00D8497C"/>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5BD"/>
    <w:rsid w:val="00D92758"/>
    <w:rsid w:val="00D9279D"/>
    <w:rsid w:val="00D92828"/>
    <w:rsid w:val="00D92C61"/>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E4A"/>
    <w:rsid w:val="00DA2E54"/>
    <w:rsid w:val="00DA2F14"/>
    <w:rsid w:val="00DA2FB6"/>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8A3"/>
    <w:rsid w:val="00DA7996"/>
    <w:rsid w:val="00DA7FF2"/>
    <w:rsid w:val="00DB0139"/>
    <w:rsid w:val="00DB0205"/>
    <w:rsid w:val="00DB03B3"/>
    <w:rsid w:val="00DB04A8"/>
    <w:rsid w:val="00DB07BF"/>
    <w:rsid w:val="00DB0A4C"/>
    <w:rsid w:val="00DB0E9B"/>
    <w:rsid w:val="00DB1306"/>
    <w:rsid w:val="00DB15B2"/>
    <w:rsid w:val="00DB160D"/>
    <w:rsid w:val="00DB1714"/>
    <w:rsid w:val="00DB1A3D"/>
    <w:rsid w:val="00DB1BB8"/>
    <w:rsid w:val="00DB1DBC"/>
    <w:rsid w:val="00DB21BF"/>
    <w:rsid w:val="00DB225B"/>
    <w:rsid w:val="00DB2533"/>
    <w:rsid w:val="00DB253E"/>
    <w:rsid w:val="00DB25D0"/>
    <w:rsid w:val="00DB26AF"/>
    <w:rsid w:val="00DB26C1"/>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81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4B5"/>
    <w:rsid w:val="00DD4839"/>
    <w:rsid w:val="00DD4984"/>
    <w:rsid w:val="00DD498F"/>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A4C"/>
    <w:rsid w:val="00DE0A6B"/>
    <w:rsid w:val="00DE0BB5"/>
    <w:rsid w:val="00DE1099"/>
    <w:rsid w:val="00DE11DC"/>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3BDE"/>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1"/>
    <w:rsid w:val="00DF4A6A"/>
    <w:rsid w:val="00DF501B"/>
    <w:rsid w:val="00DF56C5"/>
    <w:rsid w:val="00DF57AB"/>
    <w:rsid w:val="00DF5A78"/>
    <w:rsid w:val="00DF5A82"/>
    <w:rsid w:val="00DF5B67"/>
    <w:rsid w:val="00DF5B70"/>
    <w:rsid w:val="00DF5B7F"/>
    <w:rsid w:val="00DF5C27"/>
    <w:rsid w:val="00DF6023"/>
    <w:rsid w:val="00DF69BE"/>
    <w:rsid w:val="00DF6CCC"/>
    <w:rsid w:val="00DF6CDE"/>
    <w:rsid w:val="00DF6DA7"/>
    <w:rsid w:val="00DF6DE0"/>
    <w:rsid w:val="00DF6F0B"/>
    <w:rsid w:val="00DF6F36"/>
    <w:rsid w:val="00DF73F9"/>
    <w:rsid w:val="00DF76DC"/>
    <w:rsid w:val="00DF7A33"/>
    <w:rsid w:val="00DF7B9E"/>
    <w:rsid w:val="00DF7BDE"/>
    <w:rsid w:val="00DF7CE4"/>
    <w:rsid w:val="00E00037"/>
    <w:rsid w:val="00E000CB"/>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6B"/>
    <w:rsid w:val="00E036FC"/>
    <w:rsid w:val="00E03A7C"/>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BF7"/>
    <w:rsid w:val="00E100D1"/>
    <w:rsid w:val="00E103E5"/>
    <w:rsid w:val="00E1041B"/>
    <w:rsid w:val="00E104AD"/>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F25"/>
    <w:rsid w:val="00E2114D"/>
    <w:rsid w:val="00E212CA"/>
    <w:rsid w:val="00E21630"/>
    <w:rsid w:val="00E21A09"/>
    <w:rsid w:val="00E21A92"/>
    <w:rsid w:val="00E21BAE"/>
    <w:rsid w:val="00E220E0"/>
    <w:rsid w:val="00E2247D"/>
    <w:rsid w:val="00E22579"/>
    <w:rsid w:val="00E22629"/>
    <w:rsid w:val="00E22783"/>
    <w:rsid w:val="00E227A6"/>
    <w:rsid w:val="00E2283D"/>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B7"/>
    <w:rsid w:val="00E265F7"/>
    <w:rsid w:val="00E268B8"/>
    <w:rsid w:val="00E26D11"/>
    <w:rsid w:val="00E26DAC"/>
    <w:rsid w:val="00E26F46"/>
    <w:rsid w:val="00E27426"/>
    <w:rsid w:val="00E27498"/>
    <w:rsid w:val="00E274B8"/>
    <w:rsid w:val="00E2750A"/>
    <w:rsid w:val="00E275C5"/>
    <w:rsid w:val="00E27911"/>
    <w:rsid w:val="00E27CFE"/>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A8"/>
    <w:rsid w:val="00E313C2"/>
    <w:rsid w:val="00E31525"/>
    <w:rsid w:val="00E31AC8"/>
    <w:rsid w:val="00E31BC3"/>
    <w:rsid w:val="00E31C9B"/>
    <w:rsid w:val="00E31D9D"/>
    <w:rsid w:val="00E31DE6"/>
    <w:rsid w:val="00E31DFC"/>
    <w:rsid w:val="00E32142"/>
    <w:rsid w:val="00E3285C"/>
    <w:rsid w:val="00E328F0"/>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E6"/>
    <w:rsid w:val="00E45245"/>
    <w:rsid w:val="00E454D7"/>
    <w:rsid w:val="00E456A9"/>
    <w:rsid w:val="00E45B05"/>
    <w:rsid w:val="00E45BF8"/>
    <w:rsid w:val="00E45D18"/>
    <w:rsid w:val="00E45D8D"/>
    <w:rsid w:val="00E46145"/>
    <w:rsid w:val="00E463D0"/>
    <w:rsid w:val="00E46470"/>
    <w:rsid w:val="00E467B1"/>
    <w:rsid w:val="00E468AD"/>
    <w:rsid w:val="00E46AAE"/>
    <w:rsid w:val="00E46E65"/>
    <w:rsid w:val="00E47328"/>
    <w:rsid w:val="00E47759"/>
    <w:rsid w:val="00E47B97"/>
    <w:rsid w:val="00E47C15"/>
    <w:rsid w:val="00E47D1B"/>
    <w:rsid w:val="00E47F37"/>
    <w:rsid w:val="00E5001E"/>
    <w:rsid w:val="00E5044E"/>
    <w:rsid w:val="00E5052F"/>
    <w:rsid w:val="00E50626"/>
    <w:rsid w:val="00E506C6"/>
    <w:rsid w:val="00E507C5"/>
    <w:rsid w:val="00E50A85"/>
    <w:rsid w:val="00E51086"/>
    <w:rsid w:val="00E513D7"/>
    <w:rsid w:val="00E51456"/>
    <w:rsid w:val="00E517AB"/>
    <w:rsid w:val="00E518FE"/>
    <w:rsid w:val="00E51984"/>
    <w:rsid w:val="00E51E62"/>
    <w:rsid w:val="00E51E8E"/>
    <w:rsid w:val="00E52031"/>
    <w:rsid w:val="00E520F8"/>
    <w:rsid w:val="00E52316"/>
    <w:rsid w:val="00E52408"/>
    <w:rsid w:val="00E527A5"/>
    <w:rsid w:val="00E52969"/>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9A"/>
    <w:rsid w:val="00E6179E"/>
    <w:rsid w:val="00E618B9"/>
    <w:rsid w:val="00E618E7"/>
    <w:rsid w:val="00E61DAD"/>
    <w:rsid w:val="00E61DEE"/>
    <w:rsid w:val="00E624D6"/>
    <w:rsid w:val="00E625E5"/>
    <w:rsid w:val="00E62C39"/>
    <w:rsid w:val="00E62C99"/>
    <w:rsid w:val="00E62E89"/>
    <w:rsid w:val="00E62EDE"/>
    <w:rsid w:val="00E62F5D"/>
    <w:rsid w:val="00E633B2"/>
    <w:rsid w:val="00E637E3"/>
    <w:rsid w:val="00E638E0"/>
    <w:rsid w:val="00E63E04"/>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E54"/>
    <w:rsid w:val="00E65E57"/>
    <w:rsid w:val="00E65ED2"/>
    <w:rsid w:val="00E65EF6"/>
    <w:rsid w:val="00E65F52"/>
    <w:rsid w:val="00E6602E"/>
    <w:rsid w:val="00E66056"/>
    <w:rsid w:val="00E66333"/>
    <w:rsid w:val="00E663F5"/>
    <w:rsid w:val="00E666B4"/>
    <w:rsid w:val="00E666F9"/>
    <w:rsid w:val="00E6690B"/>
    <w:rsid w:val="00E669CD"/>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70320"/>
    <w:rsid w:val="00E70615"/>
    <w:rsid w:val="00E70887"/>
    <w:rsid w:val="00E70E44"/>
    <w:rsid w:val="00E70EE0"/>
    <w:rsid w:val="00E70F07"/>
    <w:rsid w:val="00E710D0"/>
    <w:rsid w:val="00E711B7"/>
    <w:rsid w:val="00E71366"/>
    <w:rsid w:val="00E716F2"/>
    <w:rsid w:val="00E71871"/>
    <w:rsid w:val="00E719EA"/>
    <w:rsid w:val="00E71A0B"/>
    <w:rsid w:val="00E71DB5"/>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3E"/>
    <w:rsid w:val="00E760DC"/>
    <w:rsid w:val="00E761F4"/>
    <w:rsid w:val="00E76345"/>
    <w:rsid w:val="00E764C0"/>
    <w:rsid w:val="00E766E2"/>
    <w:rsid w:val="00E76B39"/>
    <w:rsid w:val="00E76D54"/>
    <w:rsid w:val="00E77123"/>
    <w:rsid w:val="00E77130"/>
    <w:rsid w:val="00E772A9"/>
    <w:rsid w:val="00E77332"/>
    <w:rsid w:val="00E776B7"/>
    <w:rsid w:val="00E7790B"/>
    <w:rsid w:val="00E77B26"/>
    <w:rsid w:val="00E77CA4"/>
    <w:rsid w:val="00E80359"/>
    <w:rsid w:val="00E80389"/>
    <w:rsid w:val="00E8059F"/>
    <w:rsid w:val="00E80D3C"/>
    <w:rsid w:val="00E80D40"/>
    <w:rsid w:val="00E80DAC"/>
    <w:rsid w:val="00E80FD5"/>
    <w:rsid w:val="00E810E5"/>
    <w:rsid w:val="00E811BC"/>
    <w:rsid w:val="00E815D9"/>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525C"/>
    <w:rsid w:val="00E852A6"/>
    <w:rsid w:val="00E8533B"/>
    <w:rsid w:val="00E85442"/>
    <w:rsid w:val="00E854FC"/>
    <w:rsid w:val="00E85747"/>
    <w:rsid w:val="00E857ED"/>
    <w:rsid w:val="00E86173"/>
    <w:rsid w:val="00E863FF"/>
    <w:rsid w:val="00E86752"/>
    <w:rsid w:val="00E86948"/>
    <w:rsid w:val="00E869D8"/>
    <w:rsid w:val="00E86AE7"/>
    <w:rsid w:val="00E87165"/>
    <w:rsid w:val="00E875D5"/>
    <w:rsid w:val="00E877AB"/>
    <w:rsid w:val="00E877BA"/>
    <w:rsid w:val="00E8795D"/>
    <w:rsid w:val="00E87AAD"/>
    <w:rsid w:val="00E87C17"/>
    <w:rsid w:val="00E9034B"/>
    <w:rsid w:val="00E90407"/>
    <w:rsid w:val="00E90463"/>
    <w:rsid w:val="00E90575"/>
    <w:rsid w:val="00E905C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542"/>
    <w:rsid w:val="00E97741"/>
    <w:rsid w:val="00E97ACF"/>
    <w:rsid w:val="00E97CAC"/>
    <w:rsid w:val="00E97DDB"/>
    <w:rsid w:val="00E97FFA"/>
    <w:rsid w:val="00E97FFC"/>
    <w:rsid w:val="00EA006A"/>
    <w:rsid w:val="00EA00AE"/>
    <w:rsid w:val="00EA0695"/>
    <w:rsid w:val="00EA0802"/>
    <w:rsid w:val="00EA0B10"/>
    <w:rsid w:val="00EA1028"/>
    <w:rsid w:val="00EA13B2"/>
    <w:rsid w:val="00EA1463"/>
    <w:rsid w:val="00EA169C"/>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20C"/>
    <w:rsid w:val="00EA732B"/>
    <w:rsid w:val="00EA7361"/>
    <w:rsid w:val="00EA74E7"/>
    <w:rsid w:val="00EA76D5"/>
    <w:rsid w:val="00EA780F"/>
    <w:rsid w:val="00EA7A50"/>
    <w:rsid w:val="00EA7B2A"/>
    <w:rsid w:val="00EA7CB6"/>
    <w:rsid w:val="00EA7FBE"/>
    <w:rsid w:val="00EB0140"/>
    <w:rsid w:val="00EB0348"/>
    <w:rsid w:val="00EB04FA"/>
    <w:rsid w:val="00EB0526"/>
    <w:rsid w:val="00EB078E"/>
    <w:rsid w:val="00EB0A53"/>
    <w:rsid w:val="00EB0AA9"/>
    <w:rsid w:val="00EB0C59"/>
    <w:rsid w:val="00EB0D94"/>
    <w:rsid w:val="00EB0DAA"/>
    <w:rsid w:val="00EB0F6E"/>
    <w:rsid w:val="00EB1044"/>
    <w:rsid w:val="00EB10F4"/>
    <w:rsid w:val="00EB1146"/>
    <w:rsid w:val="00EB1328"/>
    <w:rsid w:val="00EB1701"/>
    <w:rsid w:val="00EB1CCA"/>
    <w:rsid w:val="00EB2078"/>
    <w:rsid w:val="00EB21BE"/>
    <w:rsid w:val="00EB22CA"/>
    <w:rsid w:val="00EB2464"/>
    <w:rsid w:val="00EB2777"/>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BF"/>
    <w:rsid w:val="00EB54E6"/>
    <w:rsid w:val="00EB5560"/>
    <w:rsid w:val="00EB561A"/>
    <w:rsid w:val="00EB5A3F"/>
    <w:rsid w:val="00EB6046"/>
    <w:rsid w:val="00EB6449"/>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138"/>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5E0D"/>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94F"/>
    <w:rsid w:val="00F029B0"/>
    <w:rsid w:val="00F02AD5"/>
    <w:rsid w:val="00F02AF6"/>
    <w:rsid w:val="00F02B98"/>
    <w:rsid w:val="00F02EED"/>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09D"/>
    <w:rsid w:val="00F10BEA"/>
    <w:rsid w:val="00F10F69"/>
    <w:rsid w:val="00F10FC0"/>
    <w:rsid w:val="00F111A4"/>
    <w:rsid w:val="00F11315"/>
    <w:rsid w:val="00F1132E"/>
    <w:rsid w:val="00F11E1C"/>
    <w:rsid w:val="00F12377"/>
    <w:rsid w:val="00F123D2"/>
    <w:rsid w:val="00F1252A"/>
    <w:rsid w:val="00F12626"/>
    <w:rsid w:val="00F12A63"/>
    <w:rsid w:val="00F12B0F"/>
    <w:rsid w:val="00F12C72"/>
    <w:rsid w:val="00F12DAA"/>
    <w:rsid w:val="00F13270"/>
    <w:rsid w:val="00F13956"/>
    <w:rsid w:val="00F13ED5"/>
    <w:rsid w:val="00F13FF1"/>
    <w:rsid w:val="00F1425C"/>
    <w:rsid w:val="00F1446D"/>
    <w:rsid w:val="00F14539"/>
    <w:rsid w:val="00F1459C"/>
    <w:rsid w:val="00F146BA"/>
    <w:rsid w:val="00F147CC"/>
    <w:rsid w:val="00F148B0"/>
    <w:rsid w:val="00F15056"/>
    <w:rsid w:val="00F1537E"/>
    <w:rsid w:val="00F1592C"/>
    <w:rsid w:val="00F15959"/>
    <w:rsid w:val="00F15A7E"/>
    <w:rsid w:val="00F15A83"/>
    <w:rsid w:val="00F15B73"/>
    <w:rsid w:val="00F15BD4"/>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D8"/>
    <w:rsid w:val="00F20C37"/>
    <w:rsid w:val="00F20E4F"/>
    <w:rsid w:val="00F20FF7"/>
    <w:rsid w:val="00F21308"/>
    <w:rsid w:val="00F215F1"/>
    <w:rsid w:val="00F21775"/>
    <w:rsid w:val="00F2193B"/>
    <w:rsid w:val="00F21A0C"/>
    <w:rsid w:val="00F21AC4"/>
    <w:rsid w:val="00F21B62"/>
    <w:rsid w:val="00F21B71"/>
    <w:rsid w:val="00F21CD6"/>
    <w:rsid w:val="00F223E4"/>
    <w:rsid w:val="00F22A3A"/>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AF9"/>
    <w:rsid w:val="00F24B08"/>
    <w:rsid w:val="00F24BE7"/>
    <w:rsid w:val="00F24DEE"/>
    <w:rsid w:val="00F24DF6"/>
    <w:rsid w:val="00F24E20"/>
    <w:rsid w:val="00F24F79"/>
    <w:rsid w:val="00F2503B"/>
    <w:rsid w:val="00F255E3"/>
    <w:rsid w:val="00F257B3"/>
    <w:rsid w:val="00F25CAD"/>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30A2"/>
    <w:rsid w:val="00F332BF"/>
    <w:rsid w:val="00F3330A"/>
    <w:rsid w:val="00F33352"/>
    <w:rsid w:val="00F3359A"/>
    <w:rsid w:val="00F339CF"/>
    <w:rsid w:val="00F33CAF"/>
    <w:rsid w:val="00F33D38"/>
    <w:rsid w:val="00F33D61"/>
    <w:rsid w:val="00F33E5D"/>
    <w:rsid w:val="00F34002"/>
    <w:rsid w:val="00F3407B"/>
    <w:rsid w:val="00F34627"/>
    <w:rsid w:val="00F346C2"/>
    <w:rsid w:val="00F34802"/>
    <w:rsid w:val="00F34924"/>
    <w:rsid w:val="00F349FA"/>
    <w:rsid w:val="00F34BE9"/>
    <w:rsid w:val="00F34C42"/>
    <w:rsid w:val="00F34D77"/>
    <w:rsid w:val="00F34E49"/>
    <w:rsid w:val="00F34EF0"/>
    <w:rsid w:val="00F3508B"/>
    <w:rsid w:val="00F3589E"/>
    <w:rsid w:val="00F358EE"/>
    <w:rsid w:val="00F36671"/>
    <w:rsid w:val="00F36D9D"/>
    <w:rsid w:val="00F36E46"/>
    <w:rsid w:val="00F372E7"/>
    <w:rsid w:val="00F375D2"/>
    <w:rsid w:val="00F37604"/>
    <w:rsid w:val="00F377C3"/>
    <w:rsid w:val="00F37A46"/>
    <w:rsid w:val="00F37B73"/>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C"/>
    <w:rsid w:val="00F44609"/>
    <w:rsid w:val="00F44B20"/>
    <w:rsid w:val="00F45128"/>
    <w:rsid w:val="00F45353"/>
    <w:rsid w:val="00F45359"/>
    <w:rsid w:val="00F457BC"/>
    <w:rsid w:val="00F458F2"/>
    <w:rsid w:val="00F45A02"/>
    <w:rsid w:val="00F45AA8"/>
    <w:rsid w:val="00F45D13"/>
    <w:rsid w:val="00F45D4D"/>
    <w:rsid w:val="00F46272"/>
    <w:rsid w:val="00F464BA"/>
    <w:rsid w:val="00F4666D"/>
    <w:rsid w:val="00F4695B"/>
    <w:rsid w:val="00F46BC0"/>
    <w:rsid w:val="00F46D4D"/>
    <w:rsid w:val="00F46D9D"/>
    <w:rsid w:val="00F46F56"/>
    <w:rsid w:val="00F4719E"/>
    <w:rsid w:val="00F471BA"/>
    <w:rsid w:val="00F47473"/>
    <w:rsid w:val="00F47A25"/>
    <w:rsid w:val="00F47A98"/>
    <w:rsid w:val="00F47B1C"/>
    <w:rsid w:val="00F47BC7"/>
    <w:rsid w:val="00F47D1B"/>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5FFD"/>
    <w:rsid w:val="00F6615A"/>
    <w:rsid w:val="00F661AA"/>
    <w:rsid w:val="00F662A4"/>
    <w:rsid w:val="00F66445"/>
    <w:rsid w:val="00F666AA"/>
    <w:rsid w:val="00F669FB"/>
    <w:rsid w:val="00F669FE"/>
    <w:rsid w:val="00F66E36"/>
    <w:rsid w:val="00F66F32"/>
    <w:rsid w:val="00F67080"/>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9A9"/>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407B"/>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92"/>
    <w:rsid w:val="00F77760"/>
    <w:rsid w:val="00F77889"/>
    <w:rsid w:val="00F77967"/>
    <w:rsid w:val="00F77AB5"/>
    <w:rsid w:val="00F77D0B"/>
    <w:rsid w:val="00F77D4C"/>
    <w:rsid w:val="00F80570"/>
    <w:rsid w:val="00F80967"/>
    <w:rsid w:val="00F80FC4"/>
    <w:rsid w:val="00F810F1"/>
    <w:rsid w:val="00F812A5"/>
    <w:rsid w:val="00F813CE"/>
    <w:rsid w:val="00F81462"/>
    <w:rsid w:val="00F814DE"/>
    <w:rsid w:val="00F816E5"/>
    <w:rsid w:val="00F81983"/>
    <w:rsid w:val="00F81994"/>
    <w:rsid w:val="00F819BA"/>
    <w:rsid w:val="00F81AA7"/>
    <w:rsid w:val="00F81CDC"/>
    <w:rsid w:val="00F81D2D"/>
    <w:rsid w:val="00F8205F"/>
    <w:rsid w:val="00F82149"/>
    <w:rsid w:val="00F82468"/>
    <w:rsid w:val="00F8273A"/>
    <w:rsid w:val="00F8278D"/>
    <w:rsid w:val="00F827D0"/>
    <w:rsid w:val="00F82833"/>
    <w:rsid w:val="00F82E58"/>
    <w:rsid w:val="00F82E78"/>
    <w:rsid w:val="00F82F56"/>
    <w:rsid w:val="00F83081"/>
    <w:rsid w:val="00F83344"/>
    <w:rsid w:val="00F83835"/>
    <w:rsid w:val="00F83B66"/>
    <w:rsid w:val="00F83C10"/>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CC5"/>
    <w:rsid w:val="00F87CD3"/>
    <w:rsid w:val="00F87D51"/>
    <w:rsid w:val="00F87F7E"/>
    <w:rsid w:val="00F87FED"/>
    <w:rsid w:val="00F90079"/>
    <w:rsid w:val="00F9024E"/>
    <w:rsid w:val="00F9063A"/>
    <w:rsid w:val="00F906AD"/>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65"/>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C10"/>
    <w:rsid w:val="00FA0D86"/>
    <w:rsid w:val="00FA0F09"/>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F7"/>
    <w:rsid w:val="00FB020A"/>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F77"/>
    <w:rsid w:val="00FB5274"/>
    <w:rsid w:val="00FB5400"/>
    <w:rsid w:val="00FB5520"/>
    <w:rsid w:val="00FB5921"/>
    <w:rsid w:val="00FB5A07"/>
    <w:rsid w:val="00FB5CEB"/>
    <w:rsid w:val="00FB5F28"/>
    <w:rsid w:val="00FB61C0"/>
    <w:rsid w:val="00FB62E1"/>
    <w:rsid w:val="00FB6701"/>
    <w:rsid w:val="00FB6B32"/>
    <w:rsid w:val="00FB6BE3"/>
    <w:rsid w:val="00FB6C6F"/>
    <w:rsid w:val="00FB6CCC"/>
    <w:rsid w:val="00FB7041"/>
    <w:rsid w:val="00FB7088"/>
    <w:rsid w:val="00FB7109"/>
    <w:rsid w:val="00FB75CC"/>
    <w:rsid w:val="00FB764D"/>
    <w:rsid w:val="00FB78FD"/>
    <w:rsid w:val="00FB79D9"/>
    <w:rsid w:val="00FB7A02"/>
    <w:rsid w:val="00FB7AA0"/>
    <w:rsid w:val="00FB7AFC"/>
    <w:rsid w:val="00FB7BC5"/>
    <w:rsid w:val="00FC008A"/>
    <w:rsid w:val="00FC01DC"/>
    <w:rsid w:val="00FC026E"/>
    <w:rsid w:val="00FC03C2"/>
    <w:rsid w:val="00FC06AA"/>
    <w:rsid w:val="00FC074A"/>
    <w:rsid w:val="00FC090C"/>
    <w:rsid w:val="00FC0B40"/>
    <w:rsid w:val="00FC0E55"/>
    <w:rsid w:val="00FC1051"/>
    <w:rsid w:val="00FC10AA"/>
    <w:rsid w:val="00FC10BE"/>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D84"/>
    <w:rsid w:val="00FC7D89"/>
    <w:rsid w:val="00FC7F2E"/>
    <w:rsid w:val="00FD02BA"/>
    <w:rsid w:val="00FD03B3"/>
    <w:rsid w:val="00FD082A"/>
    <w:rsid w:val="00FD0B65"/>
    <w:rsid w:val="00FD0DF9"/>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6FE"/>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36E"/>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448"/>
    <w:rsid w:val="00FE6692"/>
    <w:rsid w:val="00FE671E"/>
    <w:rsid w:val="00FE683B"/>
    <w:rsid w:val="00FE68E3"/>
    <w:rsid w:val="00FE695C"/>
    <w:rsid w:val="00FE7382"/>
    <w:rsid w:val="00FE73FA"/>
    <w:rsid w:val="00FE7478"/>
    <w:rsid w:val="00FE751A"/>
    <w:rsid w:val="00FE7EB1"/>
    <w:rsid w:val="00FF018E"/>
    <w:rsid w:val="00FF074F"/>
    <w:rsid w:val="00FF0899"/>
    <w:rsid w:val="00FF0A64"/>
    <w:rsid w:val="00FF0BF7"/>
    <w:rsid w:val="00FF0C53"/>
    <w:rsid w:val="00FF0F2B"/>
    <w:rsid w:val="00FF1014"/>
    <w:rsid w:val="00FF10AE"/>
    <w:rsid w:val="00FF1196"/>
    <w:rsid w:val="00FF1296"/>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300D"/>
    <w:rsid w:val="00FF3063"/>
    <w:rsid w:val="00FF3138"/>
    <w:rsid w:val="00FF3363"/>
    <w:rsid w:val="00FF36CB"/>
    <w:rsid w:val="00FF3ED1"/>
    <w:rsid w:val="00FF40E6"/>
    <w:rsid w:val="00FF487B"/>
    <w:rsid w:val="00FF4B37"/>
    <w:rsid w:val="00FF4E22"/>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986092"/>
    <w:pPr>
      <w:spacing w:line="288" w:lineRule="auto"/>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986092"/>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96</TotalTime>
  <Pages>24</Pages>
  <Words>8693</Words>
  <Characters>45884</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54469</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44</cp:revision>
  <cp:lastPrinted>2021-03-08T04:49:00Z</cp:lastPrinted>
  <dcterms:created xsi:type="dcterms:W3CDTF">2021-02-18T23:43:00Z</dcterms:created>
  <dcterms:modified xsi:type="dcterms:W3CDTF">2021-10-22T01:47:00Z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