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EBD2A" w14:textId="77777777" w:rsidR="00900037" w:rsidRPr="00CB7EE5" w:rsidRDefault="00900037" w:rsidP="002B6652">
      <w:pPr>
        <w:spacing w:line="240" w:lineRule="auto"/>
        <w:ind w:left="-426"/>
        <w:rPr>
          <w:u w:val="single"/>
        </w:rPr>
      </w:pPr>
    </w:p>
    <w:p w14:paraId="026BF729" w14:textId="77777777" w:rsidR="00900037" w:rsidRPr="00013220" w:rsidRDefault="00900037" w:rsidP="002B6652">
      <w:pPr>
        <w:spacing w:line="240" w:lineRule="auto"/>
        <w:ind w:left="-426"/>
      </w:pPr>
    </w:p>
    <w:p w14:paraId="02F59FF6" w14:textId="77777777" w:rsidR="00900037" w:rsidRPr="00013220" w:rsidRDefault="00900037" w:rsidP="002B6652">
      <w:pPr>
        <w:spacing w:line="240" w:lineRule="auto"/>
        <w:ind w:left="-426"/>
      </w:pPr>
    </w:p>
    <w:p w14:paraId="24065F76" w14:textId="77777777" w:rsidR="00900037" w:rsidRPr="00013220" w:rsidRDefault="00900037" w:rsidP="002B6652">
      <w:pPr>
        <w:spacing w:line="240" w:lineRule="auto"/>
        <w:ind w:left="-426"/>
      </w:pPr>
    </w:p>
    <w:p w14:paraId="2388FA18" w14:textId="77777777" w:rsidR="00900037" w:rsidRPr="00013220" w:rsidRDefault="00900037" w:rsidP="002B6652">
      <w:pPr>
        <w:spacing w:line="240" w:lineRule="auto"/>
        <w:ind w:left="-426"/>
      </w:pPr>
    </w:p>
    <w:p w14:paraId="58EF40CF" w14:textId="77777777" w:rsidR="00900037" w:rsidRPr="00013220" w:rsidRDefault="00900037" w:rsidP="002B6652">
      <w:pPr>
        <w:pStyle w:val="Title"/>
        <w:spacing w:before="200"/>
        <w:ind w:left="-426" w:right="-623"/>
        <w:jc w:val="center"/>
        <w:rPr>
          <w:color w:val="000080"/>
        </w:rPr>
      </w:pPr>
      <w:r w:rsidRPr="00013220">
        <w:rPr>
          <w:caps w:val="0"/>
          <w:color w:val="000080"/>
        </w:rPr>
        <w:t>Family Responsibilities Commission</w:t>
      </w:r>
    </w:p>
    <w:p w14:paraId="6D963A16" w14:textId="77777777" w:rsidR="00900037" w:rsidRPr="00013220" w:rsidRDefault="00900037" w:rsidP="002B6652">
      <w:pPr>
        <w:pStyle w:val="Subtitle"/>
        <w:ind w:left="-426" w:right="-623"/>
      </w:pPr>
    </w:p>
    <w:p w14:paraId="373F459E" w14:textId="77777777" w:rsidR="00900037" w:rsidRPr="00013220" w:rsidRDefault="00900037" w:rsidP="002B6652">
      <w:pPr>
        <w:pStyle w:val="Subtitle"/>
        <w:ind w:left="-426" w:right="-623"/>
      </w:pPr>
    </w:p>
    <w:p w14:paraId="1BB6C9F6" w14:textId="185B6995" w:rsidR="00900037" w:rsidRPr="00013220" w:rsidRDefault="00900037" w:rsidP="00BF19BD">
      <w:pPr>
        <w:pStyle w:val="Subtitle"/>
        <w:ind w:left="-426" w:right="-623"/>
        <w:jc w:val="center"/>
      </w:pPr>
      <w:r w:rsidRPr="00013220">
        <w:t>Report to the Family Responsibilities Board</w:t>
      </w:r>
    </w:p>
    <w:p w14:paraId="4E6EB2C4" w14:textId="77777777" w:rsidR="00900037" w:rsidRPr="00013220" w:rsidRDefault="00900037" w:rsidP="002B6652">
      <w:pPr>
        <w:pStyle w:val="Subtitle"/>
        <w:ind w:left="-426" w:right="-623"/>
      </w:pPr>
    </w:p>
    <w:p w14:paraId="07CCDF39" w14:textId="77777777" w:rsidR="00900037" w:rsidRPr="00013220" w:rsidRDefault="00900037" w:rsidP="002B6652">
      <w:pPr>
        <w:pStyle w:val="Subtitle"/>
        <w:ind w:left="-426" w:right="-623"/>
      </w:pPr>
    </w:p>
    <w:p w14:paraId="599C5543" w14:textId="77777777" w:rsidR="00900037" w:rsidRPr="006F7EC0" w:rsidRDefault="00900037" w:rsidP="006F7EC0">
      <w:pPr>
        <w:pStyle w:val="Title"/>
        <w:spacing w:before="200"/>
        <w:ind w:left="-426" w:right="-623"/>
        <w:jc w:val="center"/>
        <w:rPr>
          <w:caps w:val="0"/>
          <w:color w:val="000080"/>
          <w:sz w:val="44"/>
          <w:szCs w:val="44"/>
        </w:rPr>
      </w:pPr>
      <w:r w:rsidRPr="006F7EC0">
        <w:rPr>
          <w:caps w:val="0"/>
          <w:color w:val="000080"/>
          <w:sz w:val="44"/>
          <w:szCs w:val="44"/>
        </w:rPr>
        <w:t>Quarterly Report</w:t>
      </w:r>
    </w:p>
    <w:p w14:paraId="5D7FD716" w14:textId="5B24E821" w:rsidR="00900037" w:rsidRPr="006F7EC0" w:rsidRDefault="00DB225B" w:rsidP="006F7EC0">
      <w:pPr>
        <w:pStyle w:val="Title"/>
        <w:spacing w:before="200"/>
        <w:ind w:left="-426" w:right="-623"/>
        <w:jc w:val="center"/>
        <w:rPr>
          <w:caps w:val="0"/>
        </w:rPr>
      </w:pPr>
      <w:r w:rsidRPr="006F7EC0">
        <w:rPr>
          <w:caps w:val="0"/>
        </w:rPr>
        <w:t>N</w:t>
      </w:r>
      <w:r w:rsidR="00900037" w:rsidRPr="006F7EC0">
        <w:rPr>
          <w:caps w:val="0"/>
        </w:rPr>
        <w:t xml:space="preserve">o. </w:t>
      </w:r>
      <w:r w:rsidR="00493E0D">
        <w:rPr>
          <w:caps w:val="0"/>
        </w:rPr>
        <w:t>5</w:t>
      </w:r>
      <w:r w:rsidR="00D53637">
        <w:rPr>
          <w:caps w:val="0"/>
        </w:rPr>
        <w:t>1</w:t>
      </w:r>
    </w:p>
    <w:p w14:paraId="0C6B487A" w14:textId="77777777" w:rsidR="00900037" w:rsidRPr="00013220" w:rsidRDefault="00900037" w:rsidP="002B6652">
      <w:pPr>
        <w:pStyle w:val="Subtitle"/>
        <w:ind w:left="-426" w:right="-623"/>
        <w:jc w:val="center"/>
        <w:rPr>
          <w:b/>
          <w:i w:val="0"/>
          <w:sz w:val="36"/>
          <w:szCs w:val="36"/>
        </w:rPr>
      </w:pPr>
    </w:p>
    <w:p w14:paraId="0AC82FDD" w14:textId="2871F1C9" w:rsidR="00900037" w:rsidRPr="006F7EC0" w:rsidRDefault="00D53637" w:rsidP="006F7EC0">
      <w:pPr>
        <w:pStyle w:val="Title"/>
        <w:spacing w:before="200"/>
        <w:ind w:left="-426" w:right="-623"/>
        <w:jc w:val="center"/>
        <w:rPr>
          <w:caps w:val="0"/>
          <w:sz w:val="28"/>
          <w:szCs w:val="28"/>
        </w:rPr>
      </w:pPr>
      <w:r>
        <w:rPr>
          <w:caps w:val="0"/>
          <w:sz w:val="28"/>
          <w:szCs w:val="28"/>
        </w:rPr>
        <w:t xml:space="preserve">January </w:t>
      </w:r>
      <w:r w:rsidR="00960C5D">
        <w:rPr>
          <w:caps w:val="0"/>
          <w:sz w:val="28"/>
          <w:szCs w:val="28"/>
        </w:rPr>
        <w:t>202</w:t>
      </w:r>
      <w:r>
        <w:rPr>
          <w:caps w:val="0"/>
          <w:sz w:val="28"/>
          <w:szCs w:val="28"/>
        </w:rPr>
        <w:t>1</w:t>
      </w:r>
      <w:r w:rsidR="00A27797">
        <w:rPr>
          <w:caps w:val="0"/>
          <w:sz w:val="28"/>
          <w:szCs w:val="28"/>
        </w:rPr>
        <w:t xml:space="preserve"> </w:t>
      </w:r>
      <w:r w:rsidR="00900037" w:rsidRPr="006F7EC0">
        <w:rPr>
          <w:caps w:val="0"/>
          <w:sz w:val="28"/>
          <w:szCs w:val="28"/>
        </w:rPr>
        <w:t>t</w:t>
      </w:r>
      <w:r w:rsidR="00D00877">
        <w:rPr>
          <w:caps w:val="0"/>
          <w:sz w:val="28"/>
          <w:szCs w:val="28"/>
        </w:rPr>
        <w:t xml:space="preserve">o </w:t>
      </w:r>
      <w:r>
        <w:rPr>
          <w:caps w:val="0"/>
          <w:sz w:val="28"/>
          <w:szCs w:val="28"/>
        </w:rPr>
        <w:t xml:space="preserve">March </w:t>
      </w:r>
      <w:r w:rsidR="00960C5D">
        <w:rPr>
          <w:caps w:val="0"/>
          <w:sz w:val="28"/>
          <w:szCs w:val="28"/>
        </w:rPr>
        <w:t>202</w:t>
      </w:r>
      <w:r>
        <w:rPr>
          <w:caps w:val="0"/>
          <w:sz w:val="28"/>
          <w:szCs w:val="28"/>
        </w:rPr>
        <w:t>1</w:t>
      </w:r>
    </w:p>
    <w:p w14:paraId="3CE0E5F6" w14:textId="77777777" w:rsidR="00900037" w:rsidRPr="00013220" w:rsidRDefault="00900037" w:rsidP="002B6652">
      <w:pPr>
        <w:pStyle w:val="Subtitle"/>
        <w:ind w:left="-426" w:right="-623"/>
      </w:pPr>
    </w:p>
    <w:p w14:paraId="1AE2DC72" w14:textId="77777777" w:rsidR="00900037" w:rsidRPr="00013220" w:rsidRDefault="00900037" w:rsidP="002B6652">
      <w:pPr>
        <w:pStyle w:val="Subtitle"/>
        <w:ind w:left="-426" w:right="-623"/>
      </w:pPr>
    </w:p>
    <w:p w14:paraId="0C2FBF3C" w14:textId="5082CFDF" w:rsidR="00900037" w:rsidRPr="00013220" w:rsidRDefault="00900037" w:rsidP="002B6652">
      <w:pPr>
        <w:pStyle w:val="Subtitle"/>
        <w:ind w:left="-426" w:right="-623"/>
      </w:pPr>
    </w:p>
    <w:p w14:paraId="1EC80EA8" w14:textId="77777777" w:rsidR="00900037" w:rsidRPr="00013220" w:rsidRDefault="00900037" w:rsidP="002B6652">
      <w:pPr>
        <w:pStyle w:val="Subtitle"/>
        <w:ind w:left="-426" w:right="-623"/>
      </w:pPr>
    </w:p>
    <w:p w14:paraId="7BE6FCCC" w14:textId="77777777" w:rsidR="00900037" w:rsidRPr="00013220" w:rsidRDefault="00900037" w:rsidP="002B6652">
      <w:pPr>
        <w:pStyle w:val="Subtitle"/>
        <w:ind w:left="-426" w:right="-623"/>
      </w:pPr>
    </w:p>
    <w:p w14:paraId="677D2008" w14:textId="77777777" w:rsidR="00900037" w:rsidRPr="00013220" w:rsidRDefault="00900037" w:rsidP="002B6652">
      <w:pPr>
        <w:pStyle w:val="Subtitle"/>
        <w:ind w:left="-426" w:right="-623"/>
      </w:pPr>
    </w:p>
    <w:p w14:paraId="4642D1E9" w14:textId="77777777" w:rsidR="00900037" w:rsidRPr="00013220" w:rsidRDefault="00900037" w:rsidP="002B6652">
      <w:pPr>
        <w:pStyle w:val="Subtitle"/>
        <w:ind w:left="-426" w:right="-623"/>
      </w:pPr>
    </w:p>
    <w:p w14:paraId="0C7BACEB" w14:textId="77777777" w:rsidR="00900037" w:rsidRPr="00013220" w:rsidRDefault="00900037" w:rsidP="002B6652">
      <w:pPr>
        <w:pStyle w:val="Subtitle"/>
        <w:ind w:left="-426" w:right="-623"/>
      </w:pPr>
    </w:p>
    <w:p w14:paraId="7FA55B9B" w14:textId="77777777" w:rsidR="00900037" w:rsidRPr="00013220" w:rsidRDefault="00900037" w:rsidP="002B6652">
      <w:pPr>
        <w:pStyle w:val="Subtitle"/>
        <w:ind w:left="-426" w:right="-623"/>
      </w:pPr>
    </w:p>
    <w:p w14:paraId="05B837E8" w14:textId="77777777" w:rsidR="00900037" w:rsidRPr="00013220" w:rsidRDefault="00900037" w:rsidP="002B6652">
      <w:pPr>
        <w:pStyle w:val="Subtitle"/>
        <w:ind w:left="-426" w:right="-623"/>
      </w:pPr>
    </w:p>
    <w:p w14:paraId="074576A8" w14:textId="77777777" w:rsidR="00900037" w:rsidRPr="00013220" w:rsidRDefault="00900037" w:rsidP="002B6652">
      <w:pPr>
        <w:pStyle w:val="Subtitle"/>
        <w:ind w:left="-426" w:right="-623"/>
      </w:pPr>
    </w:p>
    <w:p w14:paraId="0EE5C76D" w14:textId="77777777" w:rsidR="00900037" w:rsidRPr="00013220" w:rsidRDefault="00900037" w:rsidP="002B6652">
      <w:pPr>
        <w:pStyle w:val="Subtitle"/>
        <w:ind w:left="-426" w:right="-623"/>
      </w:pPr>
    </w:p>
    <w:p w14:paraId="20206383" w14:textId="77777777" w:rsidR="00900037" w:rsidRPr="00013220" w:rsidRDefault="00900037" w:rsidP="002B6652">
      <w:pPr>
        <w:pStyle w:val="Subtitle"/>
        <w:ind w:left="-426" w:right="-623"/>
      </w:pPr>
    </w:p>
    <w:p w14:paraId="159653F0" w14:textId="77777777" w:rsidR="00900037" w:rsidRPr="00013220" w:rsidRDefault="00900037" w:rsidP="002B6652">
      <w:pPr>
        <w:pStyle w:val="Subtitle"/>
        <w:ind w:left="-426" w:right="-623"/>
      </w:pPr>
    </w:p>
    <w:p w14:paraId="431ECC45" w14:textId="07B882F4" w:rsidR="00900037" w:rsidRPr="00013220" w:rsidRDefault="00900037" w:rsidP="002B6652">
      <w:pPr>
        <w:pStyle w:val="Subtitle"/>
        <w:ind w:left="-426" w:right="-623"/>
        <w:jc w:val="center"/>
        <w:rPr>
          <w:sz w:val="22"/>
          <w:szCs w:val="22"/>
        </w:rPr>
      </w:pPr>
      <w:r w:rsidRPr="00013220">
        <w:rPr>
          <w:sz w:val="22"/>
          <w:szCs w:val="22"/>
        </w:rPr>
        <w:t xml:space="preserve">Report prepared by the Family Responsibilities Commission under the </w:t>
      </w:r>
      <w:r>
        <w:rPr>
          <w:sz w:val="22"/>
          <w:szCs w:val="22"/>
        </w:rPr>
        <w:t>l</w:t>
      </w:r>
      <w:r w:rsidRPr="00013220">
        <w:rPr>
          <w:sz w:val="22"/>
          <w:szCs w:val="22"/>
        </w:rPr>
        <w:t xml:space="preserve">eadership of </w:t>
      </w:r>
      <w:r w:rsidRPr="006E4237">
        <w:rPr>
          <w:sz w:val="22"/>
          <w:szCs w:val="22"/>
        </w:rPr>
        <w:t xml:space="preserve">Commissioner </w:t>
      </w:r>
      <w:r w:rsidR="00A619C7">
        <w:rPr>
          <w:sz w:val="22"/>
          <w:szCs w:val="22"/>
        </w:rPr>
        <w:t>Tammy Williams</w:t>
      </w:r>
    </w:p>
    <w:p w14:paraId="0F8F41BF" w14:textId="77777777" w:rsidR="00900037" w:rsidRPr="00013220" w:rsidRDefault="00900037" w:rsidP="002B6652">
      <w:pPr>
        <w:pStyle w:val="Subtitle"/>
        <w:ind w:left="-426" w:right="-623"/>
      </w:pPr>
    </w:p>
    <w:p w14:paraId="05D9E53A" w14:textId="77777777" w:rsidR="00900037" w:rsidRDefault="00900037" w:rsidP="002B6652">
      <w:pPr>
        <w:pStyle w:val="Subtitle"/>
        <w:ind w:left="-426" w:right="-623"/>
        <w:sectPr w:rsidR="00900037" w:rsidSect="005B6887">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680" w:right="1134" w:bottom="284" w:left="1134" w:header="0" w:footer="964" w:gutter="0"/>
          <w:pgNumType w:start="1"/>
          <w:cols w:space="720"/>
          <w:titlePg/>
          <w:docGrid w:linePitch="360"/>
        </w:sectPr>
      </w:pPr>
    </w:p>
    <w:p w14:paraId="133B9553" w14:textId="77777777" w:rsidR="00900037" w:rsidRPr="00DA4801" w:rsidRDefault="00900037" w:rsidP="002B6652">
      <w:pPr>
        <w:pStyle w:val="Subtitle"/>
        <w:ind w:left="-426" w:right="-623"/>
      </w:pPr>
    </w:p>
    <w:p w14:paraId="6FDC4DEB" w14:textId="77777777" w:rsidR="00900037" w:rsidRPr="00DD384D" w:rsidRDefault="00900037" w:rsidP="00CD22AA">
      <w:pPr>
        <w:pStyle w:val="Heading4"/>
        <w:spacing w:after="120"/>
      </w:pPr>
      <w:r>
        <w:br w:type="page"/>
      </w:r>
      <w:r w:rsidRPr="00DD384D">
        <w:lastRenderedPageBreak/>
        <w:t>Executive Summary</w:t>
      </w:r>
    </w:p>
    <w:p w14:paraId="71A6161F" w14:textId="2FCF0BBD" w:rsidR="00B24A0F" w:rsidRDefault="00E744F9" w:rsidP="00F46F56">
      <w:pPr>
        <w:spacing w:after="120"/>
        <w:ind w:left="-567" w:right="-425"/>
        <w:jc w:val="both"/>
      </w:pPr>
      <w:r>
        <w:t xml:space="preserve">Quantified in the table below are the activities undertaken by the Commission during </w:t>
      </w:r>
      <w:r w:rsidR="00A15FC1">
        <w:t xml:space="preserve">quarter </w:t>
      </w:r>
      <w:r w:rsidR="00281E08">
        <w:t>5</w:t>
      </w:r>
      <w:r w:rsidR="00D53637">
        <w:t>1</w:t>
      </w:r>
      <w:r w:rsidR="00281E08">
        <w:t xml:space="preserve"> </w:t>
      </w:r>
      <w:r>
        <w:t>with comparisons shown to the previous quarter.</w:t>
      </w:r>
    </w:p>
    <w:p w14:paraId="0BAB96E1" w14:textId="491F642A" w:rsidR="00C7128D" w:rsidRPr="00C7128D" w:rsidRDefault="00C7128D" w:rsidP="00C7128D">
      <w:pPr>
        <w:spacing w:after="120" w:line="240" w:lineRule="auto"/>
        <w:ind w:right="-425"/>
        <w:jc w:val="both"/>
        <w:rPr>
          <w:sz w:val="16"/>
          <w:szCs w:val="16"/>
        </w:rPr>
      </w:pPr>
      <w:bookmarkStart w:id="0" w:name="_Hlk38021442"/>
      <w:r w:rsidRPr="00012B69">
        <w:rPr>
          <w:b/>
          <w:sz w:val="16"/>
          <w:szCs w:val="16"/>
        </w:rPr>
        <w:t>Table 1:</w:t>
      </w:r>
      <w:r w:rsidRPr="00012B69">
        <w:rPr>
          <w:sz w:val="16"/>
          <w:szCs w:val="16"/>
        </w:rPr>
        <w:t xml:space="preserve"> Activity from 1 </w:t>
      </w:r>
      <w:r w:rsidR="00165E4D">
        <w:rPr>
          <w:sz w:val="16"/>
          <w:szCs w:val="16"/>
        </w:rPr>
        <w:t>October</w:t>
      </w:r>
      <w:r w:rsidR="009A7C28">
        <w:rPr>
          <w:sz w:val="16"/>
          <w:szCs w:val="16"/>
        </w:rPr>
        <w:t xml:space="preserve"> 202</w:t>
      </w:r>
      <w:r w:rsidR="00165E4D">
        <w:rPr>
          <w:sz w:val="16"/>
          <w:szCs w:val="16"/>
        </w:rPr>
        <w:t>0</w:t>
      </w:r>
      <w:r>
        <w:rPr>
          <w:sz w:val="16"/>
          <w:szCs w:val="16"/>
        </w:rPr>
        <w:t xml:space="preserve"> to </w:t>
      </w:r>
      <w:r w:rsidR="004F7197">
        <w:rPr>
          <w:sz w:val="16"/>
          <w:szCs w:val="16"/>
        </w:rPr>
        <w:t>3</w:t>
      </w:r>
      <w:r w:rsidR="00D53637">
        <w:rPr>
          <w:sz w:val="16"/>
          <w:szCs w:val="16"/>
        </w:rPr>
        <w:t>1 March</w:t>
      </w:r>
      <w:r w:rsidR="00F420EA">
        <w:rPr>
          <w:sz w:val="16"/>
          <w:szCs w:val="16"/>
        </w:rPr>
        <w:t xml:space="preserve"> </w:t>
      </w:r>
      <w:r w:rsidR="00111F45">
        <w:rPr>
          <w:sz w:val="16"/>
          <w:szCs w:val="16"/>
        </w:rPr>
        <w:t>202</w:t>
      </w:r>
      <w:r w:rsidR="00D53637">
        <w:rPr>
          <w:sz w:val="16"/>
          <w:szCs w:val="16"/>
        </w:rPr>
        <w:t>1</w:t>
      </w:r>
      <w:r w:rsidR="00881F6A">
        <w:rPr>
          <w:sz w:val="16"/>
          <w:szCs w:val="16"/>
        </w:rPr>
        <w:t>.</w:t>
      </w:r>
    </w:p>
    <w:tbl>
      <w:tblPr>
        <w:tblW w:w="9389" w:type="dxa"/>
        <w:tblInd w:w="103" w:type="dxa"/>
        <w:tblLook w:val="04A0" w:firstRow="1" w:lastRow="0" w:firstColumn="1" w:lastColumn="0" w:noHBand="0" w:noVBand="1"/>
      </w:tblPr>
      <w:tblGrid>
        <w:gridCol w:w="7405"/>
        <w:gridCol w:w="992"/>
        <w:gridCol w:w="992"/>
      </w:tblGrid>
      <w:tr w:rsidR="00D53637" w:rsidRPr="00504360" w14:paraId="0784B417" w14:textId="773E2A2D" w:rsidTr="0013564C">
        <w:trPr>
          <w:trHeight w:val="398"/>
        </w:trPr>
        <w:tc>
          <w:tcPr>
            <w:tcW w:w="7405" w:type="dxa"/>
            <w:tcBorders>
              <w:top w:val="single" w:sz="4" w:space="0" w:color="auto"/>
              <w:left w:val="single" w:sz="4" w:space="0" w:color="auto"/>
              <w:bottom w:val="single" w:sz="4" w:space="0" w:color="auto"/>
              <w:right w:val="single" w:sz="4" w:space="0" w:color="auto"/>
            </w:tcBorders>
            <w:shd w:val="clear" w:color="auto" w:fill="auto"/>
            <w:hideMark/>
          </w:tcPr>
          <w:p w14:paraId="7078D1DE" w14:textId="7FB879A0" w:rsidR="00D53637" w:rsidRPr="00504360" w:rsidRDefault="00D53637" w:rsidP="00D53637">
            <w:pPr>
              <w:spacing w:before="60" w:line="240" w:lineRule="auto"/>
              <w:rPr>
                <w:rFonts w:cs="Arial"/>
                <w:b/>
                <w:bCs/>
                <w:sz w:val="18"/>
                <w:szCs w:val="18"/>
                <w:lang w:eastAsia="en-AU"/>
              </w:rPr>
            </w:pPr>
            <w:r w:rsidRPr="00504360">
              <w:rPr>
                <w:rFonts w:cs="Arial"/>
                <w:b/>
                <w:bCs/>
                <w:sz w:val="18"/>
                <w:szCs w:val="18"/>
                <w:lang w:eastAsia="en-AU"/>
              </w:rPr>
              <w:t>Activity for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618129B" w14:textId="76C864BC"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Qtr 50</w:t>
            </w:r>
          </w:p>
        </w:tc>
        <w:tc>
          <w:tcPr>
            <w:tcW w:w="992" w:type="dxa"/>
            <w:tcBorders>
              <w:top w:val="single" w:sz="4" w:space="0" w:color="auto"/>
              <w:left w:val="single" w:sz="4" w:space="0" w:color="auto"/>
              <w:bottom w:val="single" w:sz="4" w:space="0" w:color="auto"/>
              <w:right w:val="single" w:sz="4" w:space="0" w:color="auto"/>
            </w:tcBorders>
          </w:tcPr>
          <w:p w14:paraId="26E501C0" w14:textId="7BB4F6BD" w:rsidR="00D53637" w:rsidRPr="00504360" w:rsidRDefault="00D53637" w:rsidP="00D53637">
            <w:pPr>
              <w:spacing w:before="60" w:line="240" w:lineRule="auto"/>
              <w:jc w:val="right"/>
              <w:rPr>
                <w:rFonts w:cs="Arial"/>
                <w:b/>
                <w:bCs/>
                <w:sz w:val="18"/>
                <w:szCs w:val="18"/>
                <w:lang w:eastAsia="en-AU"/>
              </w:rPr>
            </w:pPr>
            <w:r w:rsidRPr="00504360">
              <w:rPr>
                <w:rFonts w:cs="Arial"/>
                <w:b/>
                <w:bCs/>
                <w:sz w:val="18"/>
                <w:szCs w:val="18"/>
                <w:lang w:eastAsia="en-AU"/>
              </w:rPr>
              <w:t>Qtr 5</w:t>
            </w:r>
            <w:r>
              <w:rPr>
                <w:rFonts w:cs="Arial"/>
                <w:b/>
                <w:bCs/>
                <w:sz w:val="18"/>
                <w:szCs w:val="18"/>
                <w:lang w:eastAsia="en-AU"/>
              </w:rPr>
              <w:t>1</w:t>
            </w:r>
          </w:p>
        </w:tc>
      </w:tr>
      <w:tr w:rsidR="00D53637" w:rsidRPr="00504360" w14:paraId="2B1B5FCF" w14:textId="3A80F0E7"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E8F5726" w14:textId="0D4E4259" w:rsidR="00D53637" w:rsidRPr="00504360" w:rsidRDefault="00D53637" w:rsidP="00D53637">
            <w:pPr>
              <w:spacing w:line="240" w:lineRule="auto"/>
              <w:rPr>
                <w:rFonts w:cs="Arial"/>
                <w:sz w:val="18"/>
                <w:szCs w:val="18"/>
                <w:lang w:eastAsia="en-AU"/>
              </w:rPr>
            </w:pPr>
            <w:r w:rsidRPr="00504360">
              <w:rPr>
                <w:rFonts w:cs="Arial"/>
                <w:sz w:val="18"/>
                <w:szCs w:val="18"/>
                <w:lang w:eastAsia="en-AU"/>
              </w:rPr>
              <w:t>Total number of notices received by the Commission</w:t>
            </w:r>
            <w:r w:rsidRPr="00504360">
              <w:rPr>
                <w:rStyle w:val="FootnoteReference"/>
                <w:sz w:val="18"/>
                <w:szCs w:val="18"/>
                <w:lang w:eastAsia="en-AU"/>
              </w:rPr>
              <w:footnoteReference w:id="2"/>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0EF57E" w14:textId="639FC4A9" w:rsidR="00D53637" w:rsidRPr="00504360" w:rsidRDefault="00D53637" w:rsidP="00D53637">
            <w:pPr>
              <w:spacing w:line="240" w:lineRule="auto"/>
              <w:jc w:val="right"/>
              <w:rPr>
                <w:rFonts w:cs="Arial"/>
                <w:sz w:val="18"/>
                <w:szCs w:val="18"/>
              </w:rPr>
            </w:pPr>
            <w:r w:rsidRPr="00504360">
              <w:rPr>
                <w:rFonts w:cs="Arial"/>
                <w:sz w:val="18"/>
                <w:szCs w:val="18"/>
              </w:rPr>
              <w:t>2,14</w:t>
            </w:r>
            <w:r>
              <w:rPr>
                <w:rFonts w:cs="Arial"/>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7FA692B3" w14:textId="523AA392" w:rsidR="00D53637" w:rsidRPr="00504360" w:rsidRDefault="002C083A" w:rsidP="00D53637">
            <w:pPr>
              <w:spacing w:line="240" w:lineRule="auto"/>
              <w:jc w:val="right"/>
              <w:rPr>
                <w:rFonts w:cs="Arial"/>
                <w:sz w:val="18"/>
                <w:szCs w:val="18"/>
              </w:rPr>
            </w:pPr>
            <w:r>
              <w:rPr>
                <w:rFonts w:cs="Arial"/>
                <w:sz w:val="18"/>
                <w:szCs w:val="18"/>
              </w:rPr>
              <w:t>2,01</w:t>
            </w:r>
            <w:r w:rsidR="009C3D8B">
              <w:rPr>
                <w:rFonts w:cs="Arial"/>
                <w:sz w:val="18"/>
                <w:szCs w:val="18"/>
              </w:rPr>
              <w:t>4</w:t>
            </w:r>
          </w:p>
        </w:tc>
      </w:tr>
      <w:tr w:rsidR="00D53637" w:rsidRPr="00504360" w14:paraId="624B7E23" w14:textId="3456D37D"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B61E1FF" w14:textId="27709ABE" w:rsidR="00D53637" w:rsidRPr="00504360" w:rsidRDefault="00D53637" w:rsidP="00D53637">
            <w:pPr>
              <w:spacing w:line="240" w:lineRule="auto"/>
              <w:rPr>
                <w:rFonts w:cs="Arial"/>
                <w:sz w:val="18"/>
                <w:szCs w:val="18"/>
                <w:lang w:eastAsia="en-AU"/>
              </w:rPr>
            </w:pPr>
            <w:r w:rsidRPr="00504360">
              <w:rPr>
                <w:rFonts w:cs="Arial"/>
                <w:sz w:val="18"/>
                <w:szCs w:val="18"/>
                <w:lang w:eastAsia="en-AU"/>
              </w:rPr>
              <w:tab/>
              <w:t>Number of within jurisdiction notices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27E321" w14:textId="0DDD945F" w:rsidR="00D53637" w:rsidRPr="00504360" w:rsidRDefault="00D53637" w:rsidP="00D53637">
            <w:pPr>
              <w:spacing w:line="240" w:lineRule="auto"/>
              <w:jc w:val="right"/>
              <w:rPr>
                <w:rFonts w:cs="Arial"/>
                <w:sz w:val="18"/>
                <w:szCs w:val="18"/>
              </w:rPr>
            </w:pPr>
            <w:r w:rsidRPr="00504360">
              <w:rPr>
                <w:rFonts w:cs="Arial"/>
                <w:sz w:val="18"/>
                <w:szCs w:val="18"/>
              </w:rPr>
              <w:t>1,12</w:t>
            </w:r>
            <w:r>
              <w:rPr>
                <w:rFonts w:cs="Arial"/>
                <w:sz w:val="18"/>
                <w:szCs w:val="18"/>
              </w:rPr>
              <w:t>5</w:t>
            </w:r>
          </w:p>
        </w:tc>
        <w:tc>
          <w:tcPr>
            <w:tcW w:w="992" w:type="dxa"/>
            <w:tcBorders>
              <w:top w:val="single" w:sz="4" w:space="0" w:color="auto"/>
              <w:left w:val="single" w:sz="4" w:space="0" w:color="auto"/>
              <w:bottom w:val="single" w:sz="4" w:space="0" w:color="auto"/>
              <w:right w:val="single" w:sz="4" w:space="0" w:color="auto"/>
            </w:tcBorders>
          </w:tcPr>
          <w:p w14:paraId="01FC42FF" w14:textId="186C9805" w:rsidR="00D53637" w:rsidRPr="00504360" w:rsidRDefault="002378AE" w:rsidP="00D53637">
            <w:pPr>
              <w:spacing w:line="240" w:lineRule="auto"/>
              <w:jc w:val="right"/>
              <w:rPr>
                <w:rFonts w:cs="Arial"/>
                <w:sz w:val="18"/>
                <w:szCs w:val="18"/>
              </w:rPr>
            </w:pPr>
            <w:r>
              <w:rPr>
                <w:rFonts w:cs="Arial"/>
                <w:sz w:val="18"/>
                <w:szCs w:val="18"/>
              </w:rPr>
              <w:t>1,0</w:t>
            </w:r>
            <w:r w:rsidR="006D2A88">
              <w:rPr>
                <w:rFonts w:cs="Arial"/>
                <w:sz w:val="18"/>
                <w:szCs w:val="18"/>
              </w:rPr>
              <w:t>5</w:t>
            </w:r>
            <w:r w:rsidR="009C3D8B">
              <w:rPr>
                <w:rFonts w:cs="Arial"/>
                <w:sz w:val="18"/>
                <w:szCs w:val="18"/>
              </w:rPr>
              <w:t>9</w:t>
            </w:r>
          </w:p>
        </w:tc>
      </w:tr>
      <w:tr w:rsidR="00D53637" w:rsidRPr="00504360" w14:paraId="387F01C7" w14:textId="45A2E948" w:rsidTr="0013564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955DD30" w14:textId="25ED2372" w:rsidR="00D53637" w:rsidRPr="00504360" w:rsidRDefault="00D53637" w:rsidP="00D53637">
            <w:pPr>
              <w:spacing w:line="240" w:lineRule="auto"/>
              <w:rPr>
                <w:rFonts w:cs="Arial"/>
                <w:sz w:val="18"/>
                <w:szCs w:val="18"/>
                <w:lang w:eastAsia="en-AU"/>
              </w:rPr>
            </w:pPr>
            <w:r w:rsidRPr="00504360">
              <w:rPr>
                <w:rFonts w:cs="Arial"/>
                <w:sz w:val="18"/>
                <w:szCs w:val="18"/>
                <w:lang w:eastAsia="en-AU"/>
              </w:rPr>
              <w:tab/>
              <w:t>Number of not within jurisdiction notices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137253" w14:textId="5A1189CE" w:rsidR="00D53637" w:rsidRPr="00504360" w:rsidRDefault="00D53637" w:rsidP="00D53637">
            <w:pPr>
              <w:spacing w:line="240" w:lineRule="auto"/>
              <w:jc w:val="right"/>
              <w:rPr>
                <w:rFonts w:cs="Arial"/>
                <w:sz w:val="18"/>
                <w:szCs w:val="18"/>
              </w:rPr>
            </w:pPr>
            <w:r w:rsidRPr="00504360">
              <w:rPr>
                <w:rFonts w:cs="Arial"/>
                <w:sz w:val="18"/>
                <w:szCs w:val="18"/>
              </w:rPr>
              <w:t>1,020</w:t>
            </w:r>
          </w:p>
        </w:tc>
        <w:tc>
          <w:tcPr>
            <w:tcW w:w="992" w:type="dxa"/>
            <w:tcBorders>
              <w:top w:val="single" w:sz="4" w:space="0" w:color="auto"/>
              <w:left w:val="single" w:sz="4" w:space="0" w:color="auto"/>
              <w:bottom w:val="single" w:sz="4" w:space="0" w:color="auto"/>
              <w:right w:val="single" w:sz="4" w:space="0" w:color="auto"/>
            </w:tcBorders>
          </w:tcPr>
          <w:p w14:paraId="15DC554A" w14:textId="4C3A82CB" w:rsidR="00D53637" w:rsidRPr="00504360" w:rsidRDefault="002378AE" w:rsidP="00D53637">
            <w:pPr>
              <w:spacing w:line="240" w:lineRule="auto"/>
              <w:jc w:val="right"/>
              <w:rPr>
                <w:rFonts w:cs="Arial"/>
                <w:sz w:val="18"/>
                <w:szCs w:val="18"/>
              </w:rPr>
            </w:pPr>
            <w:r>
              <w:rPr>
                <w:rFonts w:cs="Arial"/>
                <w:sz w:val="18"/>
                <w:szCs w:val="18"/>
              </w:rPr>
              <w:t>9</w:t>
            </w:r>
            <w:r w:rsidR="002C083A">
              <w:rPr>
                <w:rFonts w:cs="Arial"/>
                <w:sz w:val="18"/>
                <w:szCs w:val="18"/>
              </w:rPr>
              <w:t>55</w:t>
            </w:r>
          </w:p>
        </w:tc>
      </w:tr>
      <w:tr w:rsidR="00D53637" w:rsidRPr="00504360" w14:paraId="5B71472F" w14:textId="40C0B21A"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8542D45" w14:textId="56E95F4F" w:rsidR="00D53637" w:rsidRPr="00504360" w:rsidRDefault="00D53637" w:rsidP="00D53637">
            <w:pPr>
              <w:spacing w:line="240" w:lineRule="auto"/>
              <w:rPr>
                <w:rFonts w:cs="Arial"/>
                <w:sz w:val="18"/>
                <w:szCs w:val="18"/>
                <w:lang w:eastAsia="en-AU"/>
              </w:rPr>
            </w:pPr>
            <w:r w:rsidRPr="00504360">
              <w:rPr>
                <w:rFonts w:cs="Arial"/>
                <w:sz w:val="18"/>
                <w:szCs w:val="18"/>
                <w:lang w:eastAsia="en-AU"/>
              </w:rPr>
              <w:t>Number of clients notified to the Commission from within jurisdiction notices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596AF6" w14:textId="5BF99CB6" w:rsidR="00D53637" w:rsidRPr="00504360" w:rsidRDefault="00D53637" w:rsidP="00D53637">
            <w:pPr>
              <w:spacing w:line="240" w:lineRule="auto"/>
              <w:jc w:val="right"/>
              <w:rPr>
                <w:rFonts w:cs="Arial"/>
                <w:sz w:val="18"/>
                <w:szCs w:val="18"/>
                <w:lang w:eastAsia="en-AU"/>
              </w:rPr>
            </w:pPr>
            <w:r w:rsidRPr="00504360">
              <w:rPr>
                <w:rFonts w:cs="Arial"/>
                <w:sz w:val="18"/>
                <w:szCs w:val="18"/>
              </w:rPr>
              <w:t>56</w:t>
            </w:r>
            <w:r>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3B7D6E74" w14:textId="33CF5CA5" w:rsidR="00D53637" w:rsidRPr="00504360" w:rsidRDefault="002378AE" w:rsidP="00D53637">
            <w:pPr>
              <w:spacing w:line="240" w:lineRule="auto"/>
              <w:jc w:val="right"/>
              <w:rPr>
                <w:rFonts w:cs="Arial"/>
                <w:sz w:val="18"/>
                <w:szCs w:val="18"/>
              </w:rPr>
            </w:pPr>
            <w:r>
              <w:rPr>
                <w:rFonts w:cs="Arial"/>
                <w:sz w:val="18"/>
                <w:szCs w:val="18"/>
              </w:rPr>
              <w:t>58</w:t>
            </w:r>
            <w:r w:rsidR="009C3D8B">
              <w:rPr>
                <w:rFonts w:cs="Arial"/>
                <w:sz w:val="18"/>
                <w:szCs w:val="18"/>
              </w:rPr>
              <w:t>5</w:t>
            </w:r>
          </w:p>
        </w:tc>
      </w:tr>
      <w:tr w:rsidR="000E415A" w:rsidRPr="00504360" w14:paraId="5B70DF90" w14:textId="56033E44"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79B93333" w14:textId="77777777" w:rsidR="000E415A" w:rsidRPr="00504360" w:rsidRDefault="000E415A" w:rsidP="000E41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EE2223" w14:textId="4F2F592A"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5578A6A5" w14:textId="1212EF7D" w:rsidR="000E415A" w:rsidRPr="00504360" w:rsidRDefault="000E415A" w:rsidP="000E415A">
            <w:pPr>
              <w:spacing w:line="240" w:lineRule="auto"/>
              <w:jc w:val="right"/>
              <w:rPr>
                <w:rFonts w:cs="Arial"/>
                <w:sz w:val="18"/>
                <w:szCs w:val="18"/>
              </w:rPr>
            </w:pPr>
          </w:p>
        </w:tc>
      </w:tr>
      <w:tr w:rsidR="001E2C9A" w:rsidRPr="00504360" w14:paraId="4598B5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4812E09" w14:textId="50613199" w:rsidR="001E2C9A" w:rsidRPr="001E2C9A" w:rsidRDefault="001E2C9A" w:rsidP="00D53637">
            <w:pPr>
              <w:spacing w:line="240" w:lineRule="auto"/>
              <w:rPr>
                <w:rFonts w:cs="Arial"/>
                <w:b/>
                <w:bCs/>
                <w:sz w:val="18"/>
                <w:szCs w:val="18"/>
                <w:lang w:eastAsia="en-AU"/>
              </w:rPr>
            </w:pPr>
            <w:r w:rsidRPr="001E2C9A">
              <w:rPr>
                <w:rFonts w:cs="Arial"/>
                <w:b/>
                <w:bCs/>
                <w:sz w:val="18"/>
                <w:szCs w:val="18"/>
                <w:lang w:eastAsia="en-AU"/>
              </w:rPr>
              <w:t>Conferences</w:t>
            </w:r>
            <w:r w:rsidR="000D5911">
              <w:rPr>
                <w:rFonts w:cs="Arial"/>
                <w:b/>
                <w:bCs/>
                <w:sz w:val="18"/>
                <w:szCs w:val="18"/>
                <w:lang w:eastAsia="en-AU"/>
              </w:rPr>
              <w:t xml:space="preserve"> and </w:t>
            </w:r>
            <w:r w:rsidR="004C0274">
              <w:rPr>
                <w:rFonts w:cs="Arial"/>
                <w:b/>
                <w:bCs/>
                <w:sz w:val="18"/>
                <w:szCs w:val="18"/>
                <w:lang w:eastAsia="en-AU"/>
              </w:rPr>
              <w:t>a</w:t>
            </w:r>
            <w:r w:rsidR="000D5911">
              <w:rPr>
                <w:rFonts w:cs="Arial"/>
                <w:b/>
                <w:bCs/>
                <w:sz w:val="18"/>
                <w:szCs w:val="18"/>
                <w:lang w:eastAsia="en-AU"/>
              </w:rPr>
              <w:t xml:space="preserve">pplication </w:t>
            </w:r>
            <w:r w:rsidR="004C0274">
              <w:rPr>
                <w:rFonts w:cs="Arial"/>
                <w:b/>
                <w:bCs/>
                <w:sz w:val="18"/>
                <w:szCs w:val="18"/>
                <w:lang w:eastAsia="en-AU"/>
              </w:rPr>
              <w:t>h</w:t>
            </w:r>
            <w:r w:rsidR="000D5911">
              <w:rPr>
                <w:rFonts w:cs="Arial"/>
                <w:b/>
                <w:bCs/>
                <w:sz w:val="18"/>
                <w:szCs w:val="18"/>
                <w:lang w:eastAsia="en-AU"/>
              </w:rPr>
              <w:t>earings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CFF46B" w14:textId="77777777" w:rsidR="001E2C9A" w:rsidRPr="00504360" w:rsidRDefault="001E2C9A" w:rsidP="00D53637">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6E0B551" w14:textId="77777777" w:rsidR="001E2C9A" w:rsidRDefault="001E2C9A" w:rsidP="00D53637">
            <w:pPr>
              <w:spacing w:line="240" w:lineRule="auto"/>
              <w:jc w:val="right"/>
              <w:rPr>
                <w:rFonts w:cs="Arial"/>
                <w:sz w:val="18"/>
                <w:szCs w:val="18"/>
              </w:rPr>
            </w:pPr>
          </w:p>
        </w:tc>
      </w:tr>
      <w:tr w:rsidR="00D53637" w:rsidRPr="00504360" w14:paraId="6640BF7C" w14:textId="109DF005"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F4BA4D9" w14:textId="42488895" w:rsidR="00D53637" w:rsidRPr="00504360" w:rsidRDefault="00D53637" w:rsidP="00D53637">
            <w:pPr>
              <w:spacing w:line="240" w:lineRule="auto"/>
              <w:rPr>
                <w:rFonts w:cs="Arial"/>
                <w:sz w:val="18"/>
                <w:szCs w:val="18"/>
                <w:lang w:eastAsia="en-AU"/>
              </w:rPr>
            </w:pPr>
            <w:r w:rsidRPr="00504360">
              <w:rPr>
                <w:rFonts w:cs="Arial"/>
                <w:sz w:val="18"/>
                <w:szCs w:val="18"/>
                <w:lang w:eastAsia="en-AU"/>
              </w:rPr>
              <w:t>Number of clients served to attend conference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00172A" w14:textId="19896FBD" w:rsidR="00D53637" w:rsidRPr="00504360" w:rsidRDefault="00D53637" w:rsidP="00D53637">
            <w:pPr>
              <w:spacing w:line="240" w:lineRule="auto"/>
              <w:jc w:val="right"/>
              <w:rPr>
                <w:rFonts w:cs="Arial"/>
                <w:sz w:val="18"/>
                <w:szCs w:val="18"/>
              </w:rPr>
            </w:pPr>
            <w:r w:rsidRPr="00504360">
              <w:rPr>
                <w:rFonts w:cs="Arial"/>
                <w:sz w:val="18"/>
                <w:szCs w:val="18"/>
              </w:rPr>
              <w:t>322</w:t>
            </w:r>
          </w:p>
        </w:tc>
        <w:tc>
          <w:tcPr>
            <w:tcW w:w="992" w:type="dxa"/>
            <w:tcBorders>
              <w:top w:val="single" w:sz="4" w:space="0" w:color="auto"/>
              <w:left w:val="single" w:sz="4" w:space="0" w:color="auto"/>
              <w:bottom w:val="single" w:sz="4" w:space="0" w:color="auto"/>
              <w:right w:val="single" w:sz="4" w:space="0" w:color="auto"/>
            </w:tcBorders>
            <w:vAlign w:val="center"/>
          </w:tcPr>
          <w:p w14:paraId="160DAEC2" w14:textId="62AA98FA" w:rsidR="00D53637" w:rsidRPr="00504360" w:rsidRDefault="002378AE" w:rsidP="00D53637">
            <w:pPr>
              <w:spacing w:line="240" w:lineRule="auto"/>
              <w:jc w:val="right"/>
              <w:rPr>
                <w:rFonts w:cs="Arial"/>
                <w:sz w:val="18"/>
                <w:szCs w:val="18"/>
              </w:rPr>
            </w:pPr>
            <w:r>
              <w:rPr>
                <w:rFonts w:cs="Arial"/>
                <w:sz w:val="18"/>
                <w:szCs w:val="18"/>
              </w:rPr>
              <w:t>303</w:t>
            </w:r>
          </w:p>
        </w:tc>
      </w:tr>
      <w:tr w:rsidR="00D53637" w:rsidRPr="00504360" w14:paraId="32D36153" w14:textId="25F6122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B5EF887" w14:textId="0727519C" w:rsidR="00D53637" w:rsidRPr="00504360" w:rsidRDefault="00D53637" w:rsidP="00D53637">
            <w:pPr>
              <w:spacing w:line="240" w:lineRule="auto"/>
              <w:rPr>
                <w:rFonts w:cs="Arial"/>
                <w:sz w:val="18"/>
                <w:szCs w:val="18"/>
                <w:lang w:eastAsia="en-AU"/>
              </w:rPr>
            </w:pPr>
            <w:r w:rsidRPr="00504360">
              <w:rPr>
                <w:rFonts w:cs="Arial"/>
                <w:sz w:val="18"/>
                <w:szCs w:val="18"/>
                <w:lang w:eastAsia="en-AU"/>
              </w:rPr>
              <w:t>Conferences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570F9A1" w14:textId="66F46BA6" w:rsidR="00D53637" w:rsidRPr="00504360" w:rsidRDefault="00D53637" w:rsidP="00D53637">
            <w:pPr>
              <w:spacing w:line="240" w:lineRule="auto"/>
              <w:jc w:val="right"/>
              <w:rPr>
                <w:rFonts w:cs="Arial"/>
                <w:sz w:val="18"/>
                <w:szCs w:val="18"/>
                <w:lang w:eastAsia="en-AU"/>
              </w:rPr>
            </w:pPr>
            <w:r w:rsidRPr="00504360">
              <w:rPr>
                <w:rFonts w:cs="Arial"/>
                <w:sz w:val="18"/>
                <w:szCs w:val="18"/>
              </w:rPr>
              <w:t>424</w:t>
            </w:r>
          </w:p>
        </w:tc>
        <w:tc>
          <w:tcPr>
            <w:tcW w:w="992" w:type="dxa"/>
            <w:tcBorders>
              <w:top w:val="single" w:sz="4" w:space="0" w:color="auto"/>
              <w:left w:val="single" w:sz="4" w:space="0" w:color="auto"/>
              <w:bottom w:val="single" w:sz="4" w:space="0" w:color="auto"/>
              <w:right w:val="single" w:sz="4" w:space="0" w:color="auto"/>
            </w:tcBorders>
            <w:vAlign w:val="center"/>
          </w:tcPr>
          <w:p w14:paraId="6C226B08" w14:textId="0180B242" w:rsidR="00D53637" w:rsidRPr="00504360" w:rsidRDefault="002378AE" w:rsidP="00D53637">
            <w:pPr>
              <w:spacing w:line="240" w:lineRule="auto"/>
              <w:jc w:val="right"/>
              <w:rPr>
                <w:rFonts w:cs="Arial"/>
                <w:sz w:val="18"/>
                <w:szCs w:val="18"/>
              </w:rPr>
            </w:pPr>
            <w:r>
              <w:rPr>
                <w:rFonts w:cs="Arial"/>
                <w:sz w:val="18"/>
                <w:szCs w:val="18"/>
              </w:rPr>
              <w:t>371</w:t>
            </w:r>
          </w:p>
        </w:tc>
      </w:tr>
      <w:tr w:rsidR="000D5911" w:rsidRPr="00504360" w14:paraId="206F5C6C"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38238C3" w14:textId="718C875E" w:rsidR="000D5911" w:rsidRPr="00504360" w:rsidRDefault="000D5911" w:rsidP="00D53637">
            <w:pPr>
              <w:spacing w:line="240" w:lineRule="auto"/>
              <w:rPr>
                <w:rFonts w:cs="Arial"/>
                <w:sz w:val="18"/>
                <w:szCs w:val="18"/>
                <w:lang w:eastAsia="en-AU"/>
              </w:rPr>
            </w:pPr>
            <w:r>
              <w:rPr>
                <w:rFonts w:cs="Arial"/>
                <w:sz w:val="18"/>
                <w:szCs w:val="18"/>
                <w:lang w:eastAsia="en-AU"/>
              </w:rPr>
              <w:t xml:space="preserve">Application </w:t>
            </w:r>
            <w:r w:rsidR="004C0274">
              <w:rPr>
                <w:rFonts w:cs="Arial"/>
                <w:sz w:val="18"/>
                <w:szCs w:val="18"/>
                <w:lang w:eastAsia="en-AU"/>
              </w:rPr>
              <w:t>h</w:t>
            </w:r>
            <w:r>
              <w:rPr>
                <w:rFonts w:cs="Arial"/>
                <w:sz w:val="18"/>
                <w:szCs w:val="18"/>
                <w:lang w:eastAsia="en-AU"/>
              </w:rPr>
              <w:t>earings conducted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C88547" w14:textId="77777777" w:rsidR="000D5911" w:rsidRPr="00504360" w:rsidRDefault="000D5911" w:rsidP="00D53637">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8ADD91F" w14:textId="1288AFEF" w:rsidR="000D5911" w:rsidRDefault="000D5911" w:rsidP="00D53637">
            <w:pPr>
              <w:spacing w:line="240" w:lineRule="auto"/>
              <w:jc w:val="right"/>
              <w:rPr>
                <w:rFonts w:cs="Arial"/>
                <w:sz w:val="18"/>
                <w:szCs w:val="18"/>
              </w:rPr>
            </w:pPr>
            <w:r>
              <w:rPr>
                <w:rFonts w:cs="Arial"/>
                <w:sz w:val="18"/>
                <w:szCs w:val="18"/>
              </w:rPr>
              <w:t>11</w:t>
            </w:r>
          </w:p>
        </w:tc>
      </w:tr>
      <w:tr w:rsidR="00D53637" w:rsidRPr="00504360" w14:paraId="5461BF2B" w14:textId="7F70F316"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1A9D1E6" w14:textId="11B4B2F7" w:rsidR="00D53637" w:rsidRPr="00504360" w:rsidRDefault="00D53637" w:rsidP="00D53637">
            <w:pPr>
              <w:spacing w:line="240" w:lineRule="auto"/>
              <w:rPr>
                <w:rFonts w:cs="Arial"/>
                <w:sz w:val="18"/>
                <w:szCs w:val="18"/>
                <w:lang w:eastAsia="en-AU"/>
              </w:rPr>
            </w:pPr>
            <w:r w:rsidRPr="00504360">
              <w:rPr>
                <w:rFonts w:cs="Arial"/>
                <w:sz w:val="18"/>
                <w:szCs w:val="18"/>
                <w:lang w:eastAsia="en-AU"/>
              </w:rPr>
              <w:t>Conference</w:t>
            </w:r>
            <w:r w:rsidR="000D5911">
              <w:rPr>
                <w:rFonts w:cs="Arial"/>
                <w:sz w:val="18"/>
                <w:szCs w:val="18"/>
                <w:lang w:eastAsia="en-AU"/>
              </w:rPr>
              <w:t xml:space="preserve"> and application hearing</w:t>
            </w:r>
            <w:r w:rsidRPr="00504360">
              <w:rPr>
                <w:rFonts w:cs="Arial"/>
                <w:sz w:val="18"/>
                <w:szCs w:val="18"/>
                <w:lang w:eastAsia="en-AU"/>
              </w:rPr>
              <w:t xml:space="preserve"> attendance percentage</w:t>
            </w:r>
            <w:bookmarkStart w:id="1" w:name="_Ref74209318"/>
            <w:r w:rsidR="00EE7D25">
              <w:rPr>
                <w:rStyle w:val="FootnoteReference"/>
                <w:sz w:val="18"/>
                <w:szCs w:val="18"/>
                <w:lang w:eastAsia="en-AU"/>
              </w:rPr>
              <w:footnoteReference w:id="3"/>
            </w:r>
            <w:bookmarkEnd w:id="1"/>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E62DFC" w14:textId="673A94C5" w:rsidR="00D53637" w:rsidRPr="00504360" w:rsidRDefault="00D53637" w:rsidP="00D53637">
            <w:pPr>
              <w:spacing w:line="240" w:lineRule="auto"/>
              <w:jc w:val="right"/>
              <w:rPr>
                <w:rFonts w:cs="Arial"/>
                <w:sz w:val="18"/>
                <w:szCs w:val="18"/>
                <w:lang w:eastAsia="en-AU"/>
              </w:rPr>
            </w:pPr>
            <w:r w:rsidRPr="00504360">
              <w:rPr>
                <w:rFonts w:cs="Arial"/>
                <w:sz w:val="18"/>
                <w:szCs w:val="18"/>
              </w:rPr>
              <w:t>60%</w:t>
            </w:r>
          </w:p>
        </w:tc>
        <w:tc>
          <w:tcPr>
            <w:tcW w:w="992" w:type="dxa"/>
            <w:tcBorders>
              <w:top w:val="single" w:sz="4" w:space="0" w:color="auto"/>
              <w:left w:val="single" w:sz="4" w:space="0" w:color="auto"/>
              <w:bottom w:val="single" w:sz="4" w:space="0" w:color="auto"/>
              <w:right w:val="single" w:sz="4" w:space="0" w:color="auto"/>
            </w:tcBorders>
            <w:vAlign w:val="center"/>
          </w:tcPr>
          <w:p w14:paraId="2B2A8376" w14:textId="55CC391C" w:rsidR="00D53637" w:rsidRPr="00504360" w:rsidRDefault="002378AE" w:rsidP="00D53637">
            <w:pPr>
              <w:spacing w:line="240" w:lineRule="auto"/>
              <w:jc w:val="right"/>
              <w:rPr>
                <w:rFonts w:cs="Arial"/>
                <w:sz w:val="18"/>
                <w:szCs w:val="18"/>
              </w:rPr>
            </w:pPr>
            <w:r>
              <w:rPr>
                <w:rFonts w:cs="Arial"/>
                <w:sz w:val="18"/>
                <w:szCs w:val="18"/>
              </w:rPr>
              <w:t>6</w:t>
            </w:r>
            <w:r w:rsidR="000D5911">
              <w:rPr>
                <w:rFonts w:cs="Arial"/>
                <w:sz w:val="18"/>
                <w:szCs w:val="18"/>
              </w:rPr>
              <w:t>3</w:t>
            </w:r>
            <w:r>
              <w:rPr>
                <w:rFonts w:cs="Arial"/>
                <w:sz w:val="18"/>
                <w:szCs w:val="18"/>
              </w:rPr>
              <w:t>%</w:t>
            </w:r>
          </w:p>
        </w:tc>
      </w:tr>
      <w:tr w:rsidR="00D53637" w:rsidRPr="00504360" w14:paraId="71489B13" w14:textId="19021212"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3AC9675E" w14:textId="38883825" w:rsidR="00D53637" w:rsidRPr="00504360" w:rsidRDefault="00D53637" w:rsidP="00D53637">
            <w:pPr>
              <w:spacing w:line="240" w:lineRule="auto"/>
              <w:rPr>
                <w:rFonts w:cs="Arial"/>
                <w:sz w:val="18"/>
                <w:szCs w:val="18"/>
                <w:lang w:eastAsia="en-AU"/>
              </w:rPr>
            </w:pPr>
            <w:r w:rsidRPr="00504360">
              <w:rPr>
                <w:rFonts w:cs="Arial"/>
                <w:sz w:val="18"/>
                <w:szCs w:val="18"/>
                <w:lang w:eastAsia="en-AU"/>
              </w:rPr>
              <w:t xml:space="preserve">Conference </w:t>
            </w:r>
            <w:r w:rsidR="000D5911">
              <w:rPr>
                <w:rFonts w:cs="Arial"/>
                <w:sz w:val="18"/>
                <w:szCs w:val="18"/>
                <w:lang w:eastAsia="en-AU"/>
              </w:rPr>
              <w:t xml:space="preserve">and application hearing </w:t>
            </w:r>
            <w:r w:rsidRPr="00504360">
              <w:rPr>
                <w:rFonts w:cs="Arial"/>
                <w:sz w:val="18"/>
                <w:szCs w:val="18"/>
                <w:lang w:eastAsia="en-AU"/>
              </w:rPr>
              <w:t>non-attendance percentage with acceptable (reasonable) excuse</w:t>
            </w:r>
            <w:r w:rsidR="00866AD6" w:rsidRPr="00866AD6">
              <w:rPr>
                <w:rFonts w:cs="Arial"/>
                <w:sz w:val="18"/>
                <w:szCs w:val="18"/>
                <w:vertAlign w:val="superscript"/>
                <w:lang w:eastAsia="en-AU"/>
              </w:rPr>
              <w:fldChar w:fldCharType="begin"/>
            </w:r>
            <w:r w:rsidR="00866AD6" w:rsidRPr="00866AD6">
              <w:rPr>
                <w:rFonts w:cs="Arial"/>
                <w:sz w:val="18"/>
                <w:szCs w:val="18"/>
                <w:vertAlign w:val="superscript"/>
                <w:lang w:eastAsia="en-AU"/>
              </w:rPr>
              <w:instrText xml:space="preserve"> NOTEREF _Ref74209318 \h </w:instrText>
            </w:r>
            <w:r w:rsidR="00866AD6">
              <w:rPr>
                <w:rFonts w:cs="Arial"/>
                <w:sz w:val="18"/>
                <w:szCs w:val="18"/>
                <w:vertAlign w:val="superscript"/>
                <w:lang w:eastAsia="en-AU"/>
              </w:rPr>
              <w:instrText xml:space="preserve"> \* MERGEFORMAT </w:instrText>
            </w:r>
            <w:r w:rsidR="00866AD6" w:rsidRPr="00866AD6">
              <w:rPr>
                <w:rFonts w:cs="Arial"/>
                <w:sz w:val="18"/>
                <w:szCs w:val="18"/>
                <w:vertAlign w:val="superscript"/>
                <w:lang w:eastAsia="en-AU"/>
              </w:rPr>
            </w:r>
            <w:r w:rsidR="00866AD6" w:rsidRPr="00866AD6">
              <w:rPr>
                <w:rFonts w:cs="Arial"/>
                <w:sz w:val="18"/>
                <w:szCs w:val="18"/>
                <w:vertAlign w:val="superscript"/>
                <w:lang w:eastAsia="en-AU"/>
              </w:rPr>
              <w:fldChar w:fldCharType="separate"/>
            </w:r>
            <w:r w:rsidR="001934B3">
              <w:rPr>
                <w:rFonts w:cs="Arial"/>
                <w:sz w:val="18"/>
                <w:szCs w:val="18"/>
                <w:vertAlign w:val="superscript"/>
                <w:lang w:eastAsia="en-AU"/>
              </w:rPr>
              <w:t>2</w:t>
            </w:r>
            <w:r w:rsidR="00866AD6" w:rsidRPr="00866AD6">
              <w:rPr>
                <w:rFonts w:cs="Arial"/>
                <w:sz w:val="18"/>
                <w:szCs w:val="18"/>
                <w:vertAlign w:val="superscript"/>
                <w:lang w:eastAsia="en-AU"/>
              </w:rPr>
              <w:fldChar w:fldCharType="end"/>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8F4389" w14:textId="4D6A3E4E" w:rsidR="00D53637" w:rsidRPr="00504360" w:rsidRDefault="00D53637" w:rsidP="00D53637">
            <w:pPr>
              <w:spacing w:line="240" w:lineRule="auto"/>
              <w:jc w:val="right"/>
              <w:rPr>
                <w:rFonts w:cs="Arial"/>
                <w:sz w:val="18"/>
                <w:szCs w:val="18"/>
                <w:lang w:eastAsia="en-AU"/>
              </w:rPr>
            </w:pPr>
            <w:r w:rsidRPr="00504360">
              <w:rPr>
                <w:rFonts w:cs="Arial"/>
                <w:sz w:val="18"/>
                <w:szCs w:val="18"/>
              </w:rPr>
              <w:t>2</w:t>
            </w:r>
            <w:r w:rsidR="00DF1DC4">
              <w:rPr>
                <w:rFonts w:cs="Arial"/>
                <w:sz w:val="18"/>
                <w:szCs w:val="18"/>
              </w:rPr>
              <w:t>8</w:t>
            </w:r>
            <w:r w:rsidRPr="00504360">
              <w:rPr>
                <w:rFonts w:cs="Arial"/>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tcPr>
          <w:p w14:paraId="7F7C0BF6" w14:textId="11A4A048" w:rsidR="00D53637" w:rsidRPr="00504360" w:rsidRDefault="002378AE" w:rsidP="00D53637">
            <w:pPr>
              <w:spacing w:line="240" w:lineRule="auto"/>
              <w:jc w:val="right"/>
              <w:rPr>
                <w:rFonts w:cs="Arial"/>
                <w:sz w:val="18"/>
                <w:szCs w:val="18"/>
              </w:rPr>
            </w:pPr>
            <w:r>
              <w:rPr>
                <w:rFonts w:cs="Arial"/>
                <w:sz w:val="18"/>
                <w:szCs w:val="18"/>
              </w:rPr>
              <w:t>3</w:t>
            </w:r>
            <w:r w:rsidR="00DF1DC4">
              <w:rPr>
                <w:rFonts w:cs="Arial"/>
                <w:sz w:val="18"/>
                <w:szCs w:val="18"/>
              </w:rPr>
              <w:t>8</w:t>
            </w:r>
            <w:r>
              <w:rPr>
                <w:rFonts w:cs="Arial"/>
                <w:sz w:val="18"/>
                <w:szCs w:val="18"/>
              </w:rPr>
              <w:t>%</w:t>
            </w:r>
          </w:p>
        </w:tc>
      </w:tr>
      <w:tr w:rsidR="000E415A" w:rsidRPr="00504360" w14:paraId="000DC7AD" w14:textId="54E3CAE3" w:rsidTr="00C30DBC">
        <w:trPr>
          <w:trHeight w:val="152"/>
        </w:trPr>
        <w:tc>
          <w:tcPr>
            <w:tcW w:w="7405" w:type="dxa"/>
            <w:tcBorders>
              <w:top w:val="nil"/>
              <w:left w:val="single" w:sz="4" w:space="0" w:color="auto"/>
              <w:bottom w:val="single" w:sz="4" w:space="0" w:color="auto"/>
              <w:right w:val="single" w:sz="4" w:space="0" w:color="auto"/>
            </w:tcBorders>
            <w:shd w:val="clear" w:color="auto" w:fill="auto"/>
            <w:vAlign w:val="center"/>
          </w:tcPr>
          <w:p w14:paraId="7D6B840B" w14:textId="77777777" w:rsidR="000E415A" w:rsidRPr="00504360" w:rsidRDefault="000E415A" w:rsidP="000E415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933B" w14:textId="5B8348A1"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41EB3D4F" w14:textId="7241B03E" w:rsidR="000E415A" w:rsidRPr="00504360" w:rsidRDefault="000E415A" w:rsidP="000E415A">
            <w:pPr>
              <w:spacing w:line="240" w:lineRule="auto"/>
              <w:jc w:val="right"/>
              <w:rPr>
                <w:rFonts w:cs="Arial"/>
                <w:sz w:val="18"/>
                <w:szCs w:val="18"/>
                <w:lang w:eastAsia="en-AU"/>
              </w:rPr>
            </w:pPr>
          </w:p>
        </w:tc>
      </w:tr>
      <w:tr w:rsidR="000E415A" w:rsidRPr="00504360" w14:paraId="242866B2" w14:textId="789BC72D"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531F76B6" w14:textId="6FFCCD1B" w:rsidR="000E415A" w:rsidRPr="00504360" w:rsidRDefault="000E415A" w:rsidP="000E415A">
            <w:pPr>
              <w:spacing w:line="240" w:lineRule="auto"/>
              <w:rPr>
                <w:rFonts w:cs="Arial"/>
                <w:b/>
                <w:sz w:val="18"/>
                <w:szCs w:val="18"/>
                <w:lang w:eastAsia="en-AU"/>
              </w:rPr>
            </w:pPr>
            <w:r w:rsidRPr="00504360">
              <w:rPr>
                <w:rFonts w:cs="Arial"/>
                <w:b/>
                <w:sz w:val="18"/>
                <w:szCs w:val="18"/>
                <w:lang w:eastAsia="en-AU"/>
              </w:rPr>
              <w:t xml:space="preserve">Conference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19FCFB" w14:textId="740AB4BC" w:rsidR="000E415A" w:rsidRPr="00504360" w:rsidRDefault="000E415A" w:rsidP="000E415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0B35147E" w14:textId="43A45BA1" w:rsidR="000E415A" w:rsidRPr="00504360" w:rsidRDefault="000E415A" w:rsidP="000E415A">
            <w:pPr>
              <w:spacing w:line="240" w:lineRule="auto"/>
              <w:jc w:val="right"/>
              <w:rPr>
                <w:rFonts w:cs="Arial"/>
                <w:sz w:val="18"/>
                <w:szCs w:val="18"/>
                <w:lang w:eastAsia="en-AU"/>
              </w:rPr>
            </w:pPr>
          </w:p>
        </w:tc>
      </w:tr>
      <w:tr w:rsidR="00D53637" w:rsidRPr="00504360" w14:paraId="5D7BAD0E" w14:textId="0E5FE51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79792EEC" w14:textId="2B628293" w:rsidR="00D53637" w:rsidRPr="00504360" w:rsidRDefault="00D53637" w:rsidP="00D53637">
            <w:pPr>
              <w:spacing w:line="240" w:lineRule="auto"/>
              <w:rPr>
                <w:rFonts w:cs="Arial"/>
                <w:sz w:val="18"/>
                <w:szCs w:val="18"/>
                <w:lang w:eastAsia="en-AU"/>
              </w:rPr>
            </w:pPr>
            <w:r w:rsidRPr="00504360">
              <w:rPr>
                <w:rFonts w:cs="Arial"/>
                <w:sz w:val="18"/>
                <w:szCs w:val="18"/>
              </w:rPr>
              <w:t>Agreements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0A131D" w14:textId="57FB7162" w:rsidR="00D53637" w:rsidRPr="00504360" w:rsidRDefault="00D53637" w:rsidP="00D53637">
            <w:pPr>
              <w:spacing w:line="240" w:lineRule="auto"/>
              <w:jc w:val="right"/>
              <w:rPr>
                <w:rFonts w:cs="Arial"/>
                <w:sz w:val="18"/>
                <w:szCs w:val="18"/>
                <w:lang w:eastAsia="en-AU"/>
              </w:rPr>
            </w:pPr>
            <w:r w:rsidRPr="00504360">
              <w:rPr>
                <w:rFonts w:cs="Arial"/>
                <w:sz w:val="18"/>
                <w:szCs w:val="18"/>
              </w:rPr>
              <w:t>59</w:t>
            </w:r>
          </w:p>
        </w:tc>
        <w:tc>
          <w:tcPr>
            <w:tcW w:w="992" w:type="dxa"/>
            <w:tcBorders>
              <w:top w:val="single" w:sz="4" w:space="0" w:color="auto"/>
              <w:left w:val="single" w:sz="4" w:space="0" w:color="auto"/>
              <w:bottom w:val="single" w:sz="4" w:space="0" w:color="auto"/>
              <w:right w:val="single" w:sz="4" w:space="0" w:color="auto"/>
            </w:tcBorders>
            <w:vAlign w:val="center"/>
          </w:tcPr>
          <w:p w14:paraId="0FE4697E" w14:textId="2908B8D4" w:rsidR="00D53637" w:rsidRPr="00504360" w:rsidRDefault="002378AE" w:rsidP="00D53637">
            <w:pPr>
              <w:spacing w:line="240" w:lineRule="auto"/>
              <w:jc w:val="right"/>
              <w:rPr>
                <w:rFonts w:cs="Arial"/>
                <w:sz w:val="18"/>
                <w:szCs w:val="18"/>
              </w:rPr>
            </w:pPr>
            <w:r>
              <w:rPr>
                <w:rFonts w:cs="Arial"/>
                <w:sz w:val="18"/>
                <w:szCs w:val="18"/>
              </w:rPr>
              <w:t>89</w:t>
            </w:r>
          </w:p>
        </w:tc>
      </w:tr>
      <w:tr w:rsidR="00D53637" w:rsidRPr="00504360" w14:paraId="2EEF3859" w14:textId="48AFBAD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6CAAE493" w14:textId="19D8D91D" w:rsidR="00D53637" w:rsidRPr="00504360" w:rsidRDefault="00D53637" w:rsidP="00D53637">
            <w:pPr>
              <w:spacing w:line="240" w:lineRule="auto"/>
              <w:rPr>
                <w:rFonts w:cs="Arial"/>
                <w:sz w:val="18"/>
                <w:szCs w:val="18"/>
                <w:lang w:eastAsia="en-AU"/>
              </w:rPr>
            </w:pPr>
            <w:r w:rsidRPr="00504360">
              <w:rPr>
                <w:rFonts w:cs="Arial"/>
                <w:sz w:val="18"/>
                <w:szCs w:val="18"/>
              </w:rPr>
              <w:t>Orders made to attend community support services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30FCA38" w14:textId="11E84C3B" w:rsidR="00D53637" w:rsidRPr="00504360" w:rsidRDefault="00D53637" w:rsidP="00D53637">
            <w:pPr>
              <w:spacing w:line="240" w:lineRule="auto"/>
              <w:jc w:val="right"/>
              <w:rPr>
                <w:rFonts w:cs="Arial"/>
                <w:sz w:val="18"/>
                <w:szCs w:val="18"/>
                <w:lang w:eastAsia="en-AU"/>
              </w:rPr>
            </w:pPr>
            <w:r w:rsidRPr="00504360">
              <w:rPr>
                <w:rFonts w:cs="Arial"/>
                <w:sz w:val="18"/>
                <w:szCs w:val="18"/>
              </w:rPr>
              <w:t>63</w:t>
            </w:r>
          </w:p>
        </w:tc>
        <w:tc>
          <w:tcPr>
            <w:tcW w:w="992" w:type="dxa"/>
            <w:tcBorders>
              <w:top w:val="single" w:sz="4" w:space="0" w:color="auto"/>
              <w:left w:val="single" w:sz="4" w:space="0" w:color="auto"/>
              <w:bottom w:val="single" w:sz="4" w:space="0" w:color="auto"/>
              <w:right w:val="single" w:sz="4" w:space="0" w:color="auto"/>
            </w:tcBorders>
            <w:vAlign w:val="center"/>
          </w:tcPr>
          <w:p w14:paraId="189FF9E4" w14:textId="06AA8236" w:rsidR="00D53637" w:rsidRPr="00504360" w:rsidRDefault="002378AE" w:rsidP="00D53637">
            <w:pPr>
              <w:spacing w:line="240" w:lineRule="auto"/>
              <w:jc w:val="right"/>
              <w:rPr>
                <w:rFonts w:cs="Arial"/>
                <w:sz w:val="18"/>
                <w:szCs w:val="18"/>
              </w:rPr>
            </w:pPr>
            <w:r>
              <w:rPr>
                <w:rFonts w:cs="Arial"/>
                <w:sz w:val="18"/>
                <w:szCs w:val="18"/>
              </w:rPr>
              <w:t>21</w:t>
            </w:r>
          </w:p>
        </w:tc>
      </w:tr>
      <w:tr w:rsidR="00D53637" w:rsidRPr="00504360" w14:paraId="6ABD7603" w14:textId="4C42584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A8B33" w14:textId="46622F3D" w:rsidR="00D53637" w:rsidRPr="00504360" w:rsidRDefault="00D53637" w:rsidP="00D53637">
            <w:pPr>
              <w:spacing w:line="240" w:lineRule="auto"/>
              <w:rPr>
                <w:rFonts w:cs="Arial"/>
                <w:sz w:val="18"/>
                <w:szCs w:val="18"/>
                <w:lang w:eastAsia="en-AU"/>
              </w:rPr>
            </w:pPr>
            <w:r>
              <w:rPr>
                <w:rFonts w:cs="Arial"/>
                <w:sz w:val="18"/>
                <w:szCs w:val="18"/>
                <w:lang w:eastAsia="en-AU"/>
              </w:rPr>
              <w:t>Referrals</w:t>
            </w:r>
            <w:r w:rsidRPr="00504360">
              <w:rPr>
                <w:rFonts w:cs="Arial"/>
                <w:sz w:val="18"/>
                <w:szCs w:val="18"/>
                <w:lang w:eastAsia="en-AU"/>
              </w:rPr>
              <w:t xml:space="preserve"> to service providers</w:t>
            </w:r>
            <w:r>
              <w:rPr>
                <w:rFonts w:cs="Arial"/>
                <w:sz w:val="18"/>
                <w:szCs w:val="18"/>
                <w:lang w:eastAsia="en-AU"/>
              </w:rPr>
              <w:t xml:space="preserve"> from Family Responsibilities Agreements and Family Responsibilities Orders</w:t>
            </w:r>
            <w:r w:rsidRPr="00504360">
              <w:rPr>
                <w:rStyle w:val="FootnoteReference"/>
                <w:sz w:val="18"/>
                <w:szCs w:val="18"/>
                <w:lang w:eastAsia="en-AU"/>
              </w:rPr>
              <w:footnoteReference w:id="4"/>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DAD834" w14:textId="6B9940CD" w:rsidR="00D53637" w:rsidRPr="002B5CCE" w:rsidRDefault="00D53637" w:rsidP="00D53637">
            <w:pPr>
              <w:spacing w:line="240" w:lineRule="auto"/>
              <w:jc w:val="right"/>
              <w:rPr>
                <w:rFonts w:cs="Arial"/>
                <w:sz w:val="18"/>
                <w:szCs w:val="18"/>
              </w:rPr>
            </w:pPr>
            <w:r w:rsidRPr="002B5CCE">
              <w:rPr>
                <w:rFonts w:cs="Arial"/>
                <w:sz w:val="18"/>
                <w:szCs w:val="18"/>
              </w:rPr>
              <w:t>139</w:t>
            </w:r>
          </w:p>
        </w:tc>
        <w:tc>
          <w:tcPr>
            <w:tcW w:w="992" w:type="dxa"/>
            <w:tcBorders>
              <w:top w:val="single" w:sz="4" w:space="0" w:color="auto"/>
              <w:left w:val="single" w:sz="4" w:space="0" w:color="auto"/>
              <w:bottom w:val="single" w:sz="4" w:space="0" w:color="auto"/>
              <w:right w:val="single" w:sz="4" w:space="0" w:color="auto"/>
            </w:tcBorders>
            <w:vAlign w:val="center"/>
          </w:tcPr>
          <w:p w14:paraId="28406079" w14:textId="76B4AA3F" w:rsidR="00D53637" w:rsidRPr="002B5CCE" w:rsidRDefault="00540B98" w:rsidP="00D53637">
            <w:pPr>
              <w:spacing w:line="240" w:lineRule="auto"/>
              <w:jc w:val="right"/>
              <w:rPr>
                <w:rFonts w:cs="Arial"/>
                <w:sz w:val="18"/>
                <w:szCs w:val="18"/>
              </w:rPr>
            </w:pPr>
            <w:r>
              <w:rPr>
                <w:rFonts w:cs="Arial"/>
                <w:sz w:val="18"/>
                <w:szCs w:val="18"/>
              </w:rPr>
              <w:t>154</w:t>
            </w:r>
          </w:p>
        </w:tc>
      </w:tr>
      <w:tr w:rsidR="00D53637" w:rsidRPr="00504360" w14:paraId="72AB99E7" w14:textId="283639BC"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CFFF173" w14:textId="2C481091" w:rsidR="00D53637" w:rsidRPr="00504360" w:rsidRDefault="00D53637" w:rsidP="00D53637">
            <w:pPr>
              <w:spacing w:line="240" w:lineRule="auto"/>
              <w:rPr>
                <w:rFonts w:cs="Arial"/>
                <w:sz w:val="18"/>
                <w:szCs w:val="18"/>
                <w:lang w:eastAsia="en-AU"/>
              </w:rPr>
            </w:pPr>
            <w:r w:rsidRPr="00504360">
              <w:rPr>
                <w:rFonts w:cs="Arial"/>
                <w:sz w:val="18"/>
                <w:szCs w:val="18"/>
              </w:rPr>
              <w:t>Orders made for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DEB952" w14:textId="73E7AF54" w:rsidR="00D53637" w:rsidRPr="00504360" w:rsidRDefault="00D53637" w:rsidP="00D53637">
            <w:pPr>
              <w:spacing w:line="240" w:lineRule="auto"/>
              <w:jc w:val="right"/>
              <w:rPr>
                <w:rFonts w:cs="Arial"/>
                <w:sz w:val="18"/>
                <w:szCs w:val="18"/>
                <w:lang w:eastAsia="en-AU"/>
              </w:rPr>
            </w:pPr>
            <w:r w:rsidRPr="00504360">
              <w:rPr>
                <w:rFonts w:cs="Arial"/>
                <w:sz w:val="18"/>
                <w:szCs w:val="18"/>
              </w:rPr>
              <w:t>22</w:t>
            </w:r>
          </w:p>
        </w:tc>
        <w:tc>
          <w:tcPr>
            <w:tcW w:w="992" w:type="dxa"/>
            <w:tcBorders>
              <w:top w:val="single" w:sz="4" w:space="0" w:color="auto"/>
              <w:left w:val="single" w:sz="4" w:space="0" w:color="auto"/>
              <w:bottom w:val="single" w:sz="4" w:space="0" w:color="auto"/>
              <w:right w:val="single" w:sz="4" w:space="0" w:color="auto"/>
            </w:tcBorders>
            <w:vAlign w:val="center"/>
          </w:tcPr>
          <w:p w14:paraId="43519C0A" w14:textId="25CAC22D" w:rsidR="00D53637" w:rsidRPr="00504360" w:rsidRDefault="002378AE" w:rsidP="00D53637">
            <w:pPr>
              <w:spacing w:line="240" w:lineRule="auto"/>
              <w:jc w:val="right"/>
              <w:rPr>
                <w:rFonts w:cs="Arial"/>
                <w:sz w:val="18"/>
                <w:szCs w:val="18"/>
              </w:rPr>
            </w:pPr>
            <w:r>
              <w:rPr>
                <w:rFonts w:cs="Arial"/>
                <w:sz w:val="18"/>
                <w:szCs w:val="18"/>
              </w:rPr>
              <w:t>12</w:t>
            </w:r>
          </w:p>
        </w:tc>
      </w:tr>
      <w:tr w:rsidR="00CF1FE7" w:rsidRPr="00504360" w14:paraId="709C9D12" w14:textId="77777777" w:rsidTr="009C490F">
        <w:trPr>
          <w:trHeight w:val="153"/>
        </w:trPr>
        <w:tc>
          <w:tcPr>
            <w:tcW w:w="7405" w:type="dxa"/>
            <w:tcBorders>
              <w:top w:val="nil"/>
              <w:left w:val="single" w:sz="4" w:space="0" w:color="auto"/>
              <w:bottom w:val="single" w:sz="4" w:space="0" w:color="auto"/>
              <w:right w:val="single" w:sz="4" w:space="0" w:color="auto"/>
            </w:tcBorders>
            <w:shd w:val="clear" w:color="auto" w:fill="auto"/>
            <w:vAlign w:val="center"/>
          </w:tcPr>
          <w:p w14:paraId="17DBDF3C" w14:textId="77777777" w:rsidR="00CF1FE7" w:rsidRPr="00504360" w:rsidRDefault="00CF1FE7" w:rsidP="00D53637">
            <w:pPr>
              <w:spacing w:line="240" w:lineRule="auto"/>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0FBE63" w14:textId="77777777" w:rsidR="00CF1FE7" w:rsidRPr="00504360" w:rsidRDefault="00CF1FE7" w:rsidP="00D53637">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1C07C1A5" w14:textId="77777777" w:rsidR="00CF1FE7" w:rsidRDefault="00CF1FE7" w:rsidP="00D53637">
            <w:pPr>
              <w:spacing w:line="240" w:lineRule="auto"/>
              <w:jc w:val="right"/>
              <w:rPr>
                <w:rFonts w:cs="Arial"/>
                <w:sz w:val="18"/>
                <w:szCs w:val="18"/>
              </w:rPr>
            </w:pPr>
          </w:p>
        </w:tc>
      </w:tr>
      <w:tr w:rsidR="001E2C9A" w:rsidRPr="00504360" w14:paraId="4B8C25F7"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A6A2591" w14:textId="32902B81" w:rsidR="001E2C9A" w:rsidRPr="00504360" w:rsidRDefault="001E2C9A" w:rsidP="001E2C9A">
            <w:pPr>
              <w:spacing w:line="240" w:lineRule="auto"/>
              <w:rPr>
                <w:rFonts w:cs="Arial"/>
                <w:sz w:val="18"/>
                <w:szCs w:val="18"/>
              </w:rPr>
            </w:pPr>
            <w:r>
              <w:rPr>
                <w:rFonts w:cs="Arial"/>
                <w:b/>
                <w:sz w:val="18"/>
                <w:szCs w:val="18"/>
                <w:lang w:eastAsia="en-AU"/>
              </w:rPr>
              <w:t xml:space="preserve">Application </w:t>
            </w:r>
            <w:r w:rsidR="004C0274">
              <w:rPr>
                <w:rFonts w:cs="Arial"/>
                <w:b/>
                <w:sz w:val="18"/>
                <w:szCs w:val="18"/>
                <w:lang w:eastAsia="en-AU"/>
              </w:rPr>
              <w:t>h</w:t>
            </w:r>
            <w:r>
              <w:rPr>
                <w:rFonts w:cs="Arial"/>
                <w:b/>
                <w:sz w:val="18"/>
                <w:szCs w:val="18"/>
                <w:lang w:eastAsia="en-AU"/>
              </w:rPr>
              <w:t>earing</w:t>
            </w:r>
            <w:r w:rsidRPr="00504360">
              <w:rPr>
                <w:rFonts w:cs="Arial"/>
                <w:b/>
                <w:sz w:val="18"/>
                <w:szCs w:val="18"/>
                <w:lang w:eastAsia="en-AU"/>
              </w:rPr>
              <w:t xml:space="preserve"> outcomes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52FEB36" w14:textId="77777777" w:rsidR="001E2C9A" w:rsidRPr="00504360" w:rsidRDefault="001E2C9A" w:rsidP="001E2C9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4A5F7805" w14:textId="77777777" w:rsidR="001E2C9A" w:rsidRDefault="001E2C9A" w:rsidP="001E2C9A">
            <w:pPr>
              <w:spacing w:line="240" w:lineRule="auto"/>
              <w:jc w:val="right"/>
              <w:rPr>
                <w:rFonts w:cs="Arial"/>
                <w:sz w:val="18"/>
                <w:szCs w:val="18"/>
              </w:rPr>
            </w:pPr>
          </w:p>
        </w:tc>
      </w:tr>
      <w:tr w:rsidR="001E2C9A" w:rsidRPr="00504360" w14:paraId="0F426218"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6A41F8" w14:textId="434CC227" w:rsidR="001E2C9A" w:rsidRPr="00504360" w:rsidRDefault="001E2C9A" w:rsidP="001E2C9A">
            <w:pPr>
              <w:spacing w:line="240" w:lineRule="auto"/>
              <w:rPr>
                <w:rFonts w:cs="Arial"/>
                <w:sz w:val="18"/>
                <w:szCs w:val="18"/>
              </w:rPr>
            </w:pPr>
            <w:r>
              <w:rPr>
                <w:rFonts w:cs="Arial"/>
                <w:sz w:val="18"/>
                <w:szCs w:val="18"/>
              </w:rPr>
              <w:t>Case Plan End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271D1B6" w14:textId="77777777" w:rsidR="001E2C9A" w:rsidRPr="00504360" w:rsidRDefault="001E2C9A" w:rsidP="001E2C9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23870E75" w14:textId="07531E21" w:rsidR="001E2C9A" w:rsidRDefault="001E2C9A" w:rsidP="001E2C9A">
            <w:pPr>
              <w:spacing w:line="240" w:lineRule="auto"/>
              <w:jc w:val="right"/>
              <w:rPr>
                <w:rFonts w:cs="Arial"/>
                <w:sz w:val="18"/>
                <w:szCs w:val="18"/>
              </w:rPr>
            </w:pPr>
            <w:r>
              <w:rPr>
                <w:rFonts w:cs="Arial"/>
                <w:sz w:val="18"/>
                <w:szCs w:val="18"/>
              </w:rPr>
              <w:t>5</w:t>
            </w:r>
          </w:p>
        </w:tc>
      </w:tr>
      <w:tr w:rsidR="001E2C9A" w:rsidRPr="00504360" w14:paraId="09FA7CF5"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A8C91F8" w14:textId="4576CD21" w:rsidR="001E2C9A" w:rsidRPr="00504360" w:rsidRDefault="001E2C9A" w:rsidP="001E2C9A">
            <w:pPr>
              <w:spacing w:line="240" w:lineRule="auto"/>
              <w:rPr>
                <w:rFonts w:cs="Arial"/>
                <w:sz w:val="18"/>
                <w:szCs w:val="18"/>
              </w:rPr>
            </w:pPr>
            <w:r>
              <w:rPr>
                <w:rFonts w:cs="Arial"/>
                <w:sz w:val="18"/>
                <w:szCs w:val="18"/>
              </w:rPr>
              <w:t>CIM Amend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C8B98E" w14:textId="77777777" w:rsidR="001E2C9A" w:rsidRPr="00504360" w:rsidRDefault="001E2C9A" w:rsidP="001E2C9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6883239F" w14:textId="1AB77AC2" w:rsidR="001E2C9A" w:rsidRDefault="001E2C9A" w:rsidP="001E2C9A">
            <w:pPr>
              <w:spacing w:line="240" w:lineRule="auto"/>
              <w:jc w:val="right"/>
              <w:rPr>
                <w:rFonts w:cs="Arial"/>
                <w:sz w:val="18"/>
                <w:szCs w:val="18"/>
              </w:rPr>
            </w:pPr>
            <w:r>
              <w:rPr>
                <w:rFonts w:cs="Arial"/>
                <w:sz w:val="18"/>
                <w:szCs w:val="18"/>
              </w:rPr>
              <w:t>3</w:t>
            </w:r>
          </w:p>
        </w:tc>
      </w:tr>
      <w:tr w:rsidR="001E2C9A" w:rsidRPr="00504360" w14:paraId="43EE59F3"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207F49B5" w14:textId="4EAE1471" w:rsidR="001E2C9A" w:rsidRPr="00504360" w:rsidRDefault="001E2C9A" w:rsidP="001E2C9A">
            <w:pPr>
              <w:spacing w:line="240" w:lineRule="auto"/>
              <w:rPr>
                <w:rFonts w:cs="Arial"/>
                <w:sz w:val="18"/>
                <w:szCs w:val="18"/>
              </w:rPr>
            </w:pPr>
            <w:r>
              <w:rPr>
                <w:rFonts w:cs="Arial"/>
                <w:sz w:val="18"/>
                <w:szCs w:val="18"/>
              </w:rPr>
              <w:t>CIM End</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B77EC" w14:textId="77777777" w:rsidR="001E2C9A" w:rsidRPr="00504360" w:rsidRDefault="001E2C9A" w:rsidP="001E2C9A">
            <w:pPr>
              <w:spacing w:line="240" w:lineRule="auto"/>
              <w:jc w:val="right"/>
              <w:rPr>
                <w:rFonts w:cs="Arial"/>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14:paraId="5A748A66" w14:textId="0BED22BF" w:rsidR="001E2C9A" w:rsidRDefault="001E2C9A" w:rsidP="001E2C9A">
            <w:pPr>
              <w:spacing w:line="240" w:lineRule="auto"/>
              <w:jc w:val="right"/>
              <w:rPr>
                <w:rFonts w:cs="Arial"/>
                <w:sz w:val="18"/>
                <w:szCs w:val="18"/>
              </w:rPr>
            </w:pPr>
            <w:r>
              <w:rPr>
                <w:rFonts w:cs="Arial"/>
                <w:sz w:val="18"/>
                <w:szCs w:val="18"/>
              </w:rPr>
              <w:t>3</w:t>
            </w:r>
          </w:p>
        </w:tc>
      </w:tr>
      <w:tr w:rsidR="001E2C9A" w:rsidRPr="00504360" w14:paraId="714A0FD4" w14:textId="2CDC150F" w:rsidTr="00C30DBC">
        <w:trPr>
          <w:trHeight w:val="142"/>
        </w:trPr>
        <w:tc>
          <w:tcPr>
            <w:tcW w:w="7405" w:type="dxa"/>
            <w:tcBorders>
              <w:top w:val="nil"/>
              <w:left w:val="single" w:sz="4" w:space="0" w:color="auto"/>
              <w:bottom w:val="single" w:sz="4" w:space="0" w:color="auto"/>
              <w:right w:val="single" w:sz="4" w:space="0" w:color="auto"/>
            </w:tcBorders>
            <w:shd w:val="clear" w:color="auto" w:fill="auto"/>
            <w:vAlign w:val="center"/>
          </w:tcPr>
          <w:p w14:paraId="52645BC2" w14:textId="77777777" w:rsidR="001E2C9A" w:rsidRPr="00504360" w:rsidRDefault="001E2C9A" w:rsidP="001E2C9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20FCA9" w14:textId="3B51A5F0" w:rsidR="001E2C9A" w:rsidRPr="00504360" w:rsidRDefault="001E2C9A" w:rsidP="001E2C9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1220A9BB" w14:textId="7B7A3D3D" w:rsidR="001E2C9A" w:rsidRPr="00504360" w:rsidRDefault="001E2C9A" w:rsidP="001E2C9A">
            <w:pPr>
              <w:spacing w:line="240" w:lineRule="auto"/>
              <w:jc w:val="right"/>
              <w:rPr>
                <w:rFonts w:cs="Arial"/>
                <w:sz w:val="18"/>
                <w:szCs w:val="18"/>
              </w:rPr>
            </w:pPr>
          </w:p>
        </w:tc>
      </w:tr>
      <w:tr w:rsidR="001E2C9A" w:rsidRPr="00504360" w14:paraId="27606A93" w14:textId="41676DC1"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1ED8383A" w14:textId="79A64F63" w:rsidR="001E2C9A" w:rsidRPr="00504360" w:rsidRDefault="001E2C9A" w:rsidP="001E2C9A">
            <w:pPr>
              <w:spacing w:line="240" w:lineRule="auto"/>
              <w:rPr>
                <w:rFonts w:cs="Arial"/>
                <w:b/>
                <w:sz w:val="18"/>
                <w:szCs w:val="18"/>
                <w:lang w:eastAsia="en-AU"/>
              </w:rPr>
            </w:pPr>
            <w:r w:rsidRPr="00504360">
              <w:rPr>
                <w:rFonts w:cs="Arial"/>
                <w:b/>
                <w:sz w:val="18"/>
                <w:szCs w:val="18"/>
                <w:lang w:eastAsia="en-AU"/>
              </w:rPr>
              <w:t xml:space="preserve">Other activity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F1D3FF" w14:textId="607C1C23" w:rsidR="001E2C9A" w:rsidRPr="00504360" w:rsidRDefault="001E2C9A" w:rsidP="001E2C9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7EA5E94" w14:textId="68A77076" w:rsidR="001E2C9A" w:rsidRPr="00504360" w:rsidRDefault="001E2C9A" w:rsidP="001E2C9A">
            <w:pPr>
              <w:spacing w:line="240" w:lineRule="auto"/>
              <w:jc w:val="right"/>
              <w:rPr>
                <w:rFonts w:cs="Arial"/>
                <w:sz w:val="18"/>
                <w:szCs w:val="18"/>
              </w:rPr>
            </w:pPr>
          </w:p>
        </w:tc>
      </w:tr>
      <w:tr w:rsidR="001E2C9A" w:rsidRPr="00504360" w14:paraId="10C00993"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67F69E80" w14:textId="4ADD5CD0" w:rsidR="001E2C9A" w:rsidRPr="00504360" w:rsidRDefault="001E2C9A" w:rsidP="001E2C9A">
            <w:pPr>
              <w:spacing w:line="240" w:lineRule="auto"/>
              <w:rPr>
                <w:rFonts w:cs="Arial"/>
                <w:sz w:val="18"/>
                <w:szCs w:val="18"/>
                <w:lang w:eastAsia="en-AU"/>
              </w:rPr>
            </w:pPr>
            <w:r w:rsidRPr="00504360">
              <w:rPr>
                <w:rFonts w:cs="Arial"/>
                <w:sz w:val="18"/>
                <w:szCs w:val="18"/>
                <w:lang w:eastAsia="en-AU"/>
              </w:rPr>
              <w:t>Voluntary agreements for a voluntary 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2B8E55" w14:textId="67DAF006" w:rsidR="001E2C9A" w:rsidRPr="00504360" w:rsidRDefault="001E2C9A" w:rsidP="001E2C9A">
            <w:pPr>
              <w:spacing w:line="240" w:lineRule="auto"/>
              <w:jc w:val="right"/>
              <w:rPr>
                <w:rFonts w:cs="Arial"/>
                <w:sz w:val="18"/>
                <w:szCs w:val="18"/>
              </w:rPr>
            </w:pPr>
            <w:r w:rsidRPr="00504360">
              <w:rPr>
                <w:rFonts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tcPr>
          <w:p w14:paraId="51003A0E" w14:textId="211859A2" w:rsidR="001E2C9A" w:rsidRPr="00504360" w:rsidRDefault="001E2C9A" w:rsidP="001E2C9A">
            <w:pPr>
              <w:spacing w:line="240" w:lineRule="auto"/>
              <w:jc w:val="right"/>
              <w:rPr>
                <w:rFonts w:cs="Arial"/>
                <w:sz w:val="18"/>
                <w:szCs w:val="18"/>
              </w:rPr>
            </w:pPr>
            <w:r>
              <w:rPr>
                <w:rFonts w:cs="Arial"/>
                <w:sz w:val="18"/>
                <w:szCs w:val="18"/>
              </w:rPr>
              <w:t>0</w:t>
            </w:r>
          </w:p>
        </w:tc>
      </w:tr>
      <w:tr w:rsidR="001E2C9A" w:rsidRPr="00504360" w14:paraId="7799609E" w14:textId="77777777"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C7EE968" w14:textId="13CE4AF9" w:rsidR="001E2C9A" w:rsidRPr="00504360" w:rsidRDefault="001E2C9A" w:rsidP="001E2C9A">
            <w:pPr>
              <w:spacing w:line="240" w:lineRule="auto"/>
              <w:rPr>
                <w:rFonts w:cs="Arial"/>
                <w:sz w:val="18"/>
                <w:szCs w:val="18"/>
                <w:lang w:eastAsia="en-AU"/>
              </w:rPr>
            </w:pPr>
            <w:r w:rsidRPr="00504360">
              <w:rPr>
                <w:rFonts w:cs="Arial"/>
                <w:sz w:val="18"/>
                <w:szCs w:val="18"/>
                <w:lang w:eastAsia="en-AU"/>
              </w:rPr>
              <w:t>Voluntary referrals to service providers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CD3178" w14:textId="39ED271B" w:rsidR="001E2C9A" w:rsidRPr="00504360" w:rsidRDefault="001E2C9A" w:rsidP="001E2C9A">
            <w:pPr>
              <w:spacing w:line="240" w:lineRule="auto"/>
              <w:jc w:val="right"/>
              <w:rPr>
                <w:rFonts w:cs="Arial"/>
                <w:sz w:val="18"/>
                <w:szCs w:val="18"/>
              </w:rPr>
            </w:pPr>
            <w:r>
              <w:rPr>
                <w:rFonts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14:paraId="79EF97A4" w14:textId="27A9330E" w:rsidR="001E2C9A" w:rsidRPr="00504360" w:rsidRDefault="001E2C9A" w:rsidP="001E2C9A">
            <w:pPr>
              <w:spacing w:line="240" w:lineRule="auto"/>
              <w:jc w:val="right"/>
              <w:rPr>
                <w:rFonts w:cs="Arial"/>
                <w:sz w:val="18"/>
                <w:szCs w:val="18"/>
              </w:rPr>
            </w:pPr>
            <w:r>
              <w:rPr>
                <w:rFonts w:cs="Arial"/>
                <w:sz w:val="18"/>
                <w:szCs w:val="18"/>
              </w:rPr>
              <w:t>0</w:t>
            </w:r>
          </w:p>
        </w:tc>
      </w:tr>
      <w:tr w:rsidR="001E2C9A" w:rsidRPr="00504360" w14:paraId="26B66E57" w14:textId="2A8E255B"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4DFE279D" w14:textId="05FBC141" w:rsidR="001E2C9A" w:rsidRPr="00504360" w:rsidRDefault="001E2C9A" w:rsidP="001E2C9A">
            <w:pPr>
              <w:spacing w:line="240" w:lineRule="auto"/>
              <w:rPr>
                <w:rFonts w:cs="Arial"/>
                <w:sz w:val="18"/>
                <w:szCs w:val="18"/>
                <w:lang w:eastAsia="en-AU"/>
              </w:rPr>
            </w:pPr>
            <w:r w:rsidRPr="00504360">
              <w:rPr>
                <w:rFonts w:cs="Arial"/>
                <w:sz w:val="18"/>
                <w:szCs w:val="18"/>
                <w:lang w:eastAsia="en-AU"/>
              </w:rPr>
              <w:t>Voluntary agreements for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A427F23" w14:textId="1CB2BD11" w:rsidR="001E2C9A" w:rsidRPr="00504360" w:rsidRDefault="001E2C9A" w:rsidP="001E2C9A">
            <w:pPr>
              <w:spacing w:line="240" w:lineRule="auto"/>
              <w:jc w:val="right"/>
              <w:rPr>
                <w:rFonts w:cs="Arial"/>
                <w:sz w:val="18"/>
                <w:szCs w:val="18"/>
              </w:rPr>
            </w:pPr>
            <w:r w:rsidRPr="00504360">
              <w:rPr>
                <w:rFonts w:cs="Arial"/>
                <w:sz w:val="18"/>
                <w:szCs w:val="18"/>
              </w:rPr>
              <w:t>4</w:t>
            </w:r>
          </w:p>
        </w:tc>
        <w:tc>
          <w:tcPr>
            <w:tcW w:w="992" w:type="dxa"/>
            <w:tcBorders>
              <w:top w:val="single" w:sz="4" w:space="0" w:color="auto"/>
              <w:left w:val="single" w:sz="4" w:space="0" w:color="auto"/>
              <w:bottom w:val="single" w:sz="4" w:space="0" w:color="auto"/>
              <w:right w:val="single" w:sz="4" w:space="0" w:color="auto"/>
            </w:tcBorders>
            <w:vAlign w:val="center"/>
          </w:tcPr>
          <w:p w14:paraId="2A3BCB0F" w14:textId="0E3BD00D" w:rsidR="001E2C9A" w:rsidRPr="00504360" w:rsidRDefault="001E2C9A" w:rsidP="001E2C9A">
            <w:pPr>
              <w:spacing w:line="240" w:lineRule="auto"/>
              <w:jc w:val="right"/>
              <w:rPr>
                <w:rFonts w:cs="Arial"/>
                <w:sz w:val="18"/>
                <w:szCs w:val="18"/>
              </w:rPr>
            </w:pPr>
            <w:r>
              <w:rPr>
                <w:rFonts w:cs="Arial"/>
                <w:sz w:val="18"/>
                <w:szCs w:val="18"/>
              </w:rPr>
              <w:t>18</w:t>
            </w:r>
          </w:p>
        </w:tc>
      </w:tr>
      <w:tr w:rsidR="001E2C9A" w:rsidRPr="00504360" w14:paraId="5BAC6AD9" w14:textId="5A28E2CE" w:rsidTr="00C30DBC">
        <w:trPr>
          <w:trHeight w:val="128"/>
        </w:trPr>
        <w:tc>
          <w:tcPr>
            <w:tcW w:w="7405" w:type="dxa"/>
            <w:tcBorders>
              <w:top w:val="nil"/>
              <w:left w:val="single" w:sz="4" w:space="0" w:color="auto"/>
              <w:bottom w:val="single" w:sz="4" w:space="0" w:color="auto"/>
              <w:right w:val="single" w:sz="4" w:space="0" w:color="auto"/>
            </w:tcBorders>
            <w:shd w:val="clear" w:color="auto" w:fill="auto"/>
            <w:vAlign w:val="center"/>
          </w:tcPr>
          <w:p w14:paraId="0C959DC5" w14:textId="77777777" w:rsidR="001E2C9A" w:rsidRPr="00504360" w:rsidRDefault="001E2C9A" w:rsidP="001E2C9A">
            <w:pPr>
              <w:spacing w:line="240" w:lineRule="auto"/>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D25898" w14:textId="14506646" w:rsidR="001E2C9A" w:rsidRPr="00504360" w:rsidRDefault="001E2C9A" w:rsidP="001E2C9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6D91DEF6" w14:textId="587933B3" w:rsidR="001E2C9A" w:rsidRPr="00504360" w:rsidRDefault="001E2C9A" w:rsidP="001E2C9A">
            <w:pPr>
              <w:spacing w:line="240" w:lineRule="auto"/>
              <w:jc w:val="right"/>
              <w:rPr>
                <w:rFonts w:cs="Arial"/>
                <w:sz w:val="18"/>
                <w:szCs w:val="18"/>
              </w:rPr>
            </w:pPr>
          </w:p>
        </w:tc>
      </w:tr>
      <w:tr w:rsidR="001E2C9A" w:rsidRPr="00504360" w14:paraId="509C5408" w14:textId="10237350"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19B2EAC" w14:textId="317F2375" w:rsidR="001E2C9A" w:rsidRPr="00504360" w:rsidRDefault="001E2C9A" w:rsidP="001E2C9A">
            <w:pPr>
              <w:spacing w:line="240" w:lineRule="auto"/>
              <w:rPr>
                <w:rFonts w:cs="Arial"/>
                <w:b/>
                <w:sz w:val="18"/>
                <w:szCs w:val="18"/>
                <w:lang w:eastAsia="en-AU"/>
              </w:rPr>
            </w:pPr>
            <w:r w:rsidRPr="00504360">
              <w:rPr>
                <w:rFonts w:cs="Arial"/>
                <w:b/>
                <w:sz w:val="18"/>
                <w:szCs w:val="18"/>
                <w:lang w:eastAsia="en-AU"/>
              </w:rPr>
              <w:t>Information as at the last day of the quarter</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5A2ACA" w14:textId="6B70530F" w:rsidR="001E2C9A" w:rsidRPr="00504360" w:rsidRDefault="001E2C9A" w:rsidP="001E2C9A">
            <w:pPr>
              <w:spacing w:line="240" w:lineRule="auto"/>
              <w:jc w:val="right"/>
              <w:rPr>
                <w:rFonts w:cs="Arial"/>
                <w:sz w:val="18"/>
                <w:szCs w:val="18"/>
                <w:lang w:eastAsia="en-AU"/>
              </w:rPr>
            </w:pPr>
          </w:p>
        </w:tc>
        <w:tc>
          <w:tcPr>
            <w:tcW w:w="992" w:type="dxa"/>
            <w:tcBorders>
              <w:top w:val="single" w:sz="4" w:space="0" w:color="auto"/>
              <w:left w:val="single" w:sz="4" w:space="0" w:color="auto"/>
              <w:bottom w:val="single" w:sz="4" w:space="0" w:color="auto"/>
              <w:right w:val="single" w:sz="4" w:space="0" w:color="auto"/>
            </w:tcBorders>
            <w:vAlign w:val="center"/>
          </w:tcPr>
          <w:p w14:paraId="3B0B85ED" w14:textId="34D2E3FB" w:rsidR="001E2C9A" w:rsidRPr="00504360" w:rsidRDefault="001E2C9A" w:rsidP="001E2C9A">
            <w:pPr>
              <w:spacing w:line="240" w:lineRule="auto"/>
              <w:jc w:val="right"/>
              <w:rPr>
                <w:rFonts w:cs="Arial"/>
                <w:sz w:val="18"/>
                <w:szCs w:val="18"/>
              </w:rPr>
            </w:pPr>
          </w:p>
        </w:tc>
      </w:tr>
      <w:tr w:rsidR="001E2C9A" w:rsidRPr="00504360" w14:paraId="31E75B35" w14:textId="441DA1F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0D7B0946" w14:textId="03301E21" w:rsidR="001E2C9A" w:rsidRPr="00504360" w:rsidRDefault="001E2C9A" w:rsidP="001E2C9A">
            <w:pPr>
              <w:spacing w:line="240" w:lineRule="auto"/>
              <w:rPr>
                <w:rFonts w:cs="Arial"/>
                <w:sz w:val="18"/>
                <w:szCs w:val="18"/>
                <w:lang w:eastAsia="en-AU"/>
              </w:rPr>
            </w:pPr>
            <w:r w:rsidRPr="00504360">
              <w:rPr>
                <w:rFonts w:cs="Arial"/>
                <w:sz w:val="18"/>
                <w:szCs w:val="18"/>
                <w:lang w:eastAsia="en-AU"/>
              </w:rPr>
              <w:t>Number of clients case-managed through</w:t>
            </w:r>
            <w:r w:rsidR="00A86549">
              <w:rPr>
                <w:rFonts w:cs="Arial"/>
                <w:sz w:val="18"/>
                <w:szCs w:val="18"/>
                <w:lang w:eastAsia="en-AU"/>
              </w:rPr>
              <w:t xml:space="preserve"> current </w:t>
            </w:r>
            <w:r w:rsidR="00A073AF">
              <w:rPr>
                <w:rFonts w:cs="Arial"/>
                <w:sz w:val="18"/>
                <w:szCs w:val="18"/>
                <w:lang w:eastAsia="en-AU"/>
              </w:rPr>
              <w:t xml:space="preserve">non-voluntary </w:t>
            </w:r>
            <w:r w:rsidRPr="00504360">
              <w:rPr>
                <w:rFonts w:cs="Arial"/>
                <w:sz w:val="18"/>
                <w:szCs w:val="18"/>
                <w:lang w:eastAsia="en-AU"/>
              </w:rPr>
              <w:t>case plan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F7D53" w14:textId="1E93E43D" w:rsidR="001E2C9A" w:rsidRPr="00504360" w:rsidRDefault="001E2C9A" w:rsidP="001E2C9A">
            <w:pPr>
              <w:spacing w:line="240" w:lineRule="auto"/>
              <w:jc w:val="right"/>
              <w:rPr>
                <w:rFonts w:cs="Arial"/>
                <w:sz w:val="18"/>
                <w:szCs w:val="18"/>
                <w:lang w:eastAsia="en-AU"/>
              </w:rPr>
            </w:pPr>
            <w:r w:rsidRPr="00504360">
              <w:rPr>
                <w:rFonts w:cs="Arial"/>
                <w:sz w:val="18"/>
                <w:szCs w:val="18"/>
              </w:rPr>
              <w:t>348</w:t>
            </w:r>
          </w:p>
        </w:tc>
        <w:tc>
          <w:tcPr>
            <w:tcW w:w="992" w:type="dxa"/>
            <w:tcBorders>
              <w:top w:val="single" w:sz="4" w:space="0" w:color="auto"/>
              <w:left w:val="single" w:sz="4" w:space="0" w:color="auto"/>
              <w:bottom w:val="single" w:sz="4" w:space="0" w:color="auto"/>
              <w:right w:val="single" w:sz="4" w:space="0" w:color="auto"/>
            </w:tcBorders>
            <w:vAlign w:val="center"/>
          </w:tcPr>
          <w:p w14:paraId="3FDBB53C" w14:textId="2524C0FD" w:rsidR="001E2C9A" w:rsidRPr="00504360" w:rsidRDefault="001E2C9A" w:rsidP="001E2C9A">
            <w:pPr>
              <w:spacing w:line="240" w:lineRule="auto"/>
              <w:jc w:val="right"/>
              <w:rPr>
                <w:rFonts w:cs="Arial"/>
                <w:sz w:val="18"/>
                <w:szCs w:val="18"/>
              </w:rPr>
            </w:pPr>
            <w:r>
              <w:rPr>
                <w:rFonts w:cs="Arial"/>
                <w:sz w:val="18"/>
                <w:szCs w:val="18"/>
              </w:rPr>
              <w:t>318</w:t>
            </w:r>
          </w:p>
        </w:tc>
      </w:tr>
      <w:tr w:rsidR="001E2C9A" w:rsidRPr="00504360" w14:paraId="7D3A6B7A" w14:textId="6AC48839"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tcPr>
          <w:p w14:paraId="770B5254" w14:textId="3C7E5AF6" w:rsidR="001E2C9A" w:rsidRPr="00504360" w:rsidRDefault="001E2C9A" w:rsidP="001E2C9A">
            <w:pPr>
              <w:spacing w:line="240" w:lineRule="auto"/>
              <w:rPr>
                <w:rFonts w:cs="Arial"/>
                <w:sz w:val="18"/>
                <w:szCs w:val="18"/>
                <w:lang w:eastAsia="en-AU"/>
              </w:rPr>
            </w:pPr>
            <w:r w:rsidRPr="00504360">
              <w:rPr>
                <w:rFonts w:cs="Arial"/>
                <w:sz w:val="18"/>
                <w:szCs w:val="18"/>
                <w:lang w:eastAsia="en-AU"/>
              </w:rPr>
              <w:t>Number of clients subject to a current CIM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625868" w14:textId="7EC0AEC1" w:rsidR="001E2C9A" w:rsidRPr="00504360" w:rsidRDefault="001E2C9A" w:rsidP="001E2C9A">
            <w:pPr>
              <w:spacing w:line="240" w:lineRule="auto"/>
              <w:jc w:val="right"/>
              <w:rPr>
                <w:rFonts w:cs="Arial"/>
                <w:sz w:val="18"/>
                <w:szCs w:val="18"/>
                <w:lang w:eastAsia="en-AU"/>
              </w:rPr>
            </w:pPr>
            <w:r w:rsidRPr="00504360">
              <w:rPr>
                <w:rFonts w:cs="Arial"/>
                <w:sz w:val="18"/>
                <w:szCs w:val="18"/>
              </w:rPr>
              <w:t>98</w:t>
            </w:r>
          </w:p>
        </w:tc>
        <w:tc>
          <w:tcPr>
            <w:tcW w:w="992" w:type="dxa"/>
            <w:tcBorders>
              <w:top w:val="single" w:sz="4" w:space="0" w:color="auto"/>
              <w:left w:val="single" w:sz="4" w:space="0" w:color="auto"/>
              <w:bottom w:val="single" w:sz="4" w:space="0" w:color="auto"/>
              <w:right w:val="single" w:sz="4" w:space="0" w:color="auto"/>
            </w:tcBorders>
            <w:vAlign w:val="center"/>
          </w:tcPr>
          <w:p w14:paraId="10AAF336" w14:textId="40EDED19" w:rsidR="001E2C9A" w:rsidRPr="00504360" w:rsidRDefault="001E2C9A" w:rsidP="001E2C9A">
            <w:pPr>
              <w:spacing w:line="240" w:lineRule="auto"/>
              <w:jc w:val="right"/>
              <w:rPr>
                <w:rFonts w:cs="Arial"/>
                <w:sz w:val="18"/>
                <w:szCs w:val="18"/>
              </w:rPr>
            </w:pPr>
            <w:r>
              <w:rPr>
                <w:rFonts w:cs="Arial"/>
                <w:sz w:val="18"/>
                <w:szCs w:val="18"/>
              </w:rPr>
              <w:t>79</w:t>
            </w:r>
          </w:p>
        </w:tc>
      </w:tr>
      <w:tr w:rsidR="001E2C9A" w:rsidRPr="00504360" w14:paraId="7BD55846" w14:textId="094125E1" w:rsidTr="00C30DBC">
        <w:trPr>
          <w:trHeight w:val="300"/>
        </w:trPr>
        <w:tc>
          <w:tcPr>
            <w:tcW w:w="7405" w:type="dxa"/>
            <w:tcBorders>
              <w:top w:val="nil"/>
              <w:left w:val="single" w:sz="4" w:space="0" w:color="auto"/>
              <w:bottom w:val="single" w:sz="4" w:space="0" w:color="auto"/>
              <w:right w:val="single" w:sz="4" w:space="0" w:color="auto"/>
            </w:tcBorders>
            <w:shd w:val="clear" w:color="auto" w:fill="auto"/>
            <w:vAlign w:val="center"/>
            <w:hideMark/>
          </w:tcPr>
          <w:p w14:paraId="5264DBC9" w14:textId="7AF9129F" w:rsidR="001E2C9A" w:rsidRPr="00504360" w:rsidRDefault="001E2C9A" w:rsidP="001E2C9A">
            <w:pPr>
              <w:spacing w:line="240" w:lineRule="auto"/>
              <w:rPr>
                <w:rFonts w:cs="Arial"/>
                <w:sz w:val="18"/>
                <w:szCs w:val="18"/>
                <w:lang w:eastAsia="en-AU"/>
              </w:rPr>
            </w:pPr>
            <w:r w:rsidRPr="00504360">
              <w:rPr>
                <w:rFonts w:cs="Arial"/>
                <w:sz w:val="18"/>
                <w:szCs w:val="18"/>
                <w:lang w:eastAsia="en-AU"/>
              </w:rPr>
              <w:t>Number of clients on a current VIM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508743" w14:textId="46C495A8" w:rsidR="001E2C9A" w:rsidRPr="00504360" w:rsidRDefault="001E2C9A" w:rsidP="001E2C9A">
            <w:pPr>
              <w:spacing w:line="240" w:lineRule="auto"/>
              <w:jc w:val="right"/>
              <w:rPr>
                <w:rFonts w:cs="Arial"/>
                <w:sz w:val="18"/>
                <w:szCs w:val="18"/>
                <w:lang w:eastAsia="en-AU"/>
              </w:rPr>
            </w:pPr>
            <w:r w:rsidRPr="00504360">
              <w:rPr>
                <w:rFonts w:cs="Arial"/>
                <w:sz w:val="18"/>
                <w:szCs w:val="18"/>
              </w:rPr>
              <w:t>11</w:t>
            </w:r>
          </w:p>
        </w:tc>
        <w:tc>
          <w:tcPr>
            <w:tcW w:w="992" w:type="dxa"/>
            <w:tcBorders>
              <w:top w:val="single" w:sz="4" w:space="0" w:color="auto"/>
              <w:left w:val="single" w:sz="4" w:space="0" w:color="auto"/>
              <w:bottom w:val="single" w:sz="4" w:space="0" w:color="auto"/>
              <w:right w:val="single" w:sz="4" w:space="0" w:color="auto"/>
            </w:tcBorders>
            <w:vAlign w:val="center"/>
          </w:tcPr>
          <w:p w14:paraId="2356D240" w14:textId="2C272D4E" w:rsidR="001E2C9A" w:rsidRPr="00504360" w:rsidRDefault="001E2C9A" w:rsidP="001E2C9A">
            <w:pPr>
              <w:spacing w:line="240" w:lineRule="auto"/>
              <w:jc w:val="right"/>
              <w:rPr>
                <w:rFonts w:cs="Arial"/>
                <w:sz w:val="18"/>
                <w:szCs w:val="18"/>
              </w:rPr>
            </w:pPr>
            <w:r>
              <w:rPr>
                <w:rFonts w:cs="Arial"/>
                <w:sz w:val="18"/>
                <w:szCs w:val="18"/>
              </w:rPr>
              <w:t>25</w:t>
            </w:r>
          </w:p>
        </w:tc>
      </w:tr>
      <w:bookmarkEnd w:id="0"/>
    </w:tbl>
    <w:p w14:paraId="2F06A247" w14:textId="77777777" w:rsidR="00D53637" w:rsidRDefault="00D53637" w:rsidP="00C92D4E">
      <w:pPr>
        <w:ind w:left="-142" w:right="-425"/>
        <w:jc w:val="both"/>
        <w:rPr>
          <w:rFonts w:cs="Arial"/>
        </w:rPr>
      </w:pPr>
    </w:p>
    <w:p w14:paraId="33D91FEF" w14:textId="77777777" w:rsidR="00112614" w:rsidRDefault="00112614">
      <w:pPr>
        <w:spacing w:line="240" w:lineRule="auto"/>
        <w:rPr>
          <w:rFonts w:cs="Arial"/>
        </w:rPr>
      </w:pPr>
      <w:r>
        <w:rPr>
          <w:rFonts w:cs="Arial"/>
        </w:rPr>
        <w:br w:type="page"/>
      </w:r>
    </w:p>
    <w:p w14:paraId="54958407" w14:textId="6A2F5201" w:rsidR="004452E4" w:rsidRDefault="00560FC3" w:rsidP="00C92D4E">
      <w:pPr>
        <w:ind w:left="-142" w:right="-425"/>
        <w:jc w:val="both"/>
        <w:rPr>
          <w:rFonts w:cs="Arial"/>
        </w:rPr>
      </w:pPr>
      <w:r>
        <w:rPr>
          <w:rFonts w:cs="Arial"/>
        </w:rPr>
        <w:lastRenderedPageBreak/>
        <w:t xml:space="preserve">The Commission is happy to report that </w:t>
      </w:r>
      <w:r w:rsidR="00F02724">
        <w:rPr>
          <w:rFonts w:cs="Arial"/>
        </w:rPr>
        <w:t>q</w:t>
      </w:r>
      <w:r w:rsidR="00B5474C">
        <w:rPr>
          <w:rFonts w:cs="Arial"/>
        </w:rPr>
        <w:t>uarter 51 saw a</w:t>
      </w:r>
      <w:r w:rsidR="00905E49">
        <w:rPr>
          <w:rFonts w:cs="Arial"/>
        </w:rPr>
        <w:t xml:space="preserve"> continued upward trend</w:t>
      </w:r>
      <w:r w:rsidR="00B5474C">
        <w:rPr>
          <w:rFonts w:cs="Arial"/>
        </w:rPr>
        <w:t xml:space="preserve"> in </w:t>
      </w:r>
      <w:r w:rsidR="00B9380B">
        <w:rPr>
          <w:rFonts w:cs="Arial"/>
        </w:rPr>
        <w:t xml:space="preserve">the number of </w:t>
      </w:r>
      <w:r w:rsidR="00B5474C">
        <w:rPr>
          <w:rFonts w:cs="Arial"/>
        </w:rPr>
        <w:t>agreements to attend support services</w:t>
      </w:r>
      <w:r w:rsidR="0043089E">
        <w:rPr>
          <w:rFonts w:cs="Arial"/>
        </w:rPr>
        <w:t xml:space="preserve"> and v</w:t>
      </w:r>
      <w:r w:rsidR="00B5474C">
        <w:rPr>
          <w:rFonts w:cs="Arial"/>
        </w:rPr>
        <w:t>oluntary agreements to participate in income management</w:t>
      </w:r>
      <w:r>
        <w:rPr>
          <w:rFonts w:cs="Arial"/>
        </w:rPr>
        <w:t xml:space="preserve">, </w:t>
      </w:r>
      <w:r w:rsidR="0043089E">
        <w:rPr>
          <w:rFonts w:cs="Arial"/>
        </w:rPr>
        <w:t>both</w:t>
      </w:r>
      <w:r>
        <w:rPr>
          <w:rFonts w:cs="Arial"/>
        </w:rPr>
        <w:t xml:space="preserve"> of which are indicative of an improvement in social </w:t>
      </w:r>
      <w:r w:rsidR="0043089E">
        <w:rPr>
          <w:rFonts w:cs="Arial"/>
        </w:rPr>
        <w:t>responsibility</w:t>
      </w:r>
      <w:r>
        <w:rPr>
          <w:rFonts w:cs="Arial"/>
        </w:rPr>
        <w:t>.</w:t>
      </w:r>
      <w:r w:rsidR="0043089E">
        <w:rPr>
          <w:rFonts w:cs="Arial"/>
        </w:rPr>
        <w:t xml:space="preserve"> Local Commissioners have also continued to support FRC clients through an increase in referrals to service providers</w:t>
      </w:r>
      <w:r w:rsidR="00905E49">
        <w:rPr>
          <w:rFonts w:cs="Arial"/>
        </w:rPr>
        <w:t xml:space="preserve"> evidencing the </w:t>
      </w:r>
      <w:r w:rsidR="001123DA">
        <w:rPr>
          <w:rFonts w:cs="Arial"/>
        </w:rPr>
        <w:t xml:space="preserve">Commission’s </w:t>
      </w:r>
      <w:r w:rsidR="00905E49">
        <w:rPr>
          <w:rFonts w:cs="Arial"/>
        </w:rPr>
        <w:t>increased focus on capacity-building</w:t>
      </w:r>
      <w:r w:rsidR="0043089E">
        <w:rPr>
          <w:rFonts w:cs="Arial"/>
        </w:rPr>
        <w:t xml:space="preserve">. This reporting period we have added to our activity table above </w:t>
      </w:r>
      <w:r w:rsidR="000F28A9">
        <w:rPr>
          <w:rFonts w:cs="Arial"/>
        </w:rPr>
        <w:t>to separately include</w:t>
      </w:r>
      <w:r w:rsidR="0043089E">
        <w:rPr>
          <w:rFonts w:cs="Arial"/>
        </w:rPr>
        <w:t xml:space="preserve"> </w:t>
      </w:r>
      <w:r w:rsidR="008D7B02">
        <w:rPr>
          <w:rFonts w:cs="Arial"/>
        </w:rPr>
        <w:t>application hearing</w:t>
      </w:r>
      <w:r w:rsidR="006B5AE2">
        <w:rPr>
          <w:rStyle w:val="FootnoteReference"/>
        </w:rPr>
        <w:footnoteReference w:id="5"/>
      </w:r>
      <w:r w:rsidR="008A2DA6">
        <w:rPr>
          <w:rFonts w:cs="Arial"/>
        </w:rPr>
        <w:t xml:space="preserve"> </w:t>
      </w:r>
      <w:r w:rsidR="008D7B02">
        <w:rPr>
          <w:rFonts w:cs="Arial"/>
        </w:rPr>
        <w:t>outcomes. Application hearings demonstrate a level of proactive engagement by FRC clients in their case plan management</w:t>
      </w:r>
      <w:r w:rsidR="003A5D34">
        <w:rPr>
          <w:rFonts w:cs="Arial"/>
        </w:rPr>
        <w:t xml:space="preserve">. Recognition of an improvement in the client’s circumstances and commitment </w:t>
      </w:r>
      <w:r w:rsidR="005A453F">
        <w:rPr>
          <w:rFonts w:cs="Arial"/>
        </w:rPr>
        <w:t xml:space="preserve">to social change </w:t>
      </w:r>
      <w:r w:rsidR="003A5D34">
        <w:rPr>
          <w:rFonts w:cs="Arial"/>
        </w:rPr>
        <w:t>can be revealed in the Commissioners granting of applications</w:t>
      </w:r>
      <w:r w:rsidR="008D7B02">
        <w:rPr>
          <w:rFonts w:cs="Arial"/>
        </w:rPr>
        <w:t xml:space="preserve">, </w:t>
      </w:r>
      <w:r w:rsidR="003A5D34">
        <w:rPr>
          <w:rFonts w:cs="Arial"/>
        </w:rPr>
        <w:t xml:space="preserve">though decisions are made on a </w:t>
      </w:r>
      <w:proofErr w:type="gramStart"/>
      <w:r w:rsidR="003A5D34">
        <w:rPr>
          <w:rFonts w:cs="Arial"/>
        </w:rPr>
        <w:t>ca</w:t>
      </w:r>
      <w:r w:rsidR="005A453F">
        <w:rPr>
          <w:rFonts w:cs="Arial"/>
        </w:rPr>
        <w:t>s</w:t>
      </w:r>
      <w:r w:rsidR="003A5D34">
        <w:rPr>
          <w:rFonts w:cs="Arial"/>
        </w:rPr>
        <w:t>e by case</w:t>
      </w:r>
      <w:proofErr w:type="gramEnd"/>
      <w:r w:rsidR="003A5D34">
        <w:rPr>
          <w:rFonts w:cs="Arial"/>
        </w:rPr>
        <w:t xml:space="preserve"> basis, and only granted </w:t>
      </w:r>
      <w:r w:rsidR="005A453F">
        <w:rPr>
          <w:rFonts w:cs="Arial"/>
        </w:rPr>
        <w:t xml:space="preserve">where Commissioners </w:t>
      </w:r>
      <w:r w:rsidR="008D7B02">
        <w:rPr>
          <w:rFonts w:cs="Arial"/>
        </w:rPr>
        <w:t xml:space="preserve">are </w:t>
      </w:r>
      <w:r w:rsidR="00BA24CE">
        <w:rPr>
          <w:rFonts w:cs="Arial"/>
        </w:rPr>
        <w:t>satisfied as to the client’s progress.</w:t>
      </w:r>
    </w:p>
    <w:p w14:paraId="48F37E74" w14:textId="77777777" w:rsidR="004452E4" w:rsidRDefault="004452E4" w:rsidP="00C92D4E">
      <w:pPr>
        <w:ind w:left="-142" w:right="-425"/>
        <w:jc w:val="both"/>
        <w:rPr>
          <w:rFonts w:cs="Arial"/>
        </w:rPr>
      </w:pPr>
    </w:p>
    <w:p w14:paraId="59A5550D" w14:textId="64323588" w:rsidR="0038169E" w:rsidRDefault="0038169E" w:rsidP="00C92D4E">
      <w:pPr>
        <w:ind w:left="-142" w:right="-425"/>
        <w:jc w:val="both"/>
        <w:rPr>
          <w:rFonts w:cs="Arial"/>
        </w:rPr>
      </w:pPr>
      <w:r>
        <w:rPr>
          <w:rFonts w:cs="Arial"/>
        </w:rPr>
        <w:t xml:space="preserve">The Commission is </w:t>
      </w:r>
      <w:r w:rsidR="00952BA0">
        <w:rPr>
          <w:rFonts w:cs="Arial"/>
        </w:rPr>
        <w:t xml:space="preserve">also </w:t>
      </w:r>
      <w:r>
        <w:rPr>
          <w:rFonts w:cs="Arial"/>
        </w:rPr>
        <w:t xml:space="preserve">happy to report that its Annual Report 2019-20 was tabled in the Queensland Parliament by the </w:t>
      </w:r>
      <w:r w:rsidR="001E2EB9">
        <w:rPr>
          <w:rFonts w:cs="Arial"/>
        </w:rPr>
        <w:t>Honourable Craig Crawford</w:t>
      </w:r>
      <w:r w:rsidR="00952BA0">
        <w:rPr>
          <w:rFonts w:cs="Arial"/>
        </w:rPr>
        <w:t xml:space="preserve"> MP</w:t>
      </w:r>
      <w:r w:rsidR="001E2EB9">
        <w:rPr>
          <w:rFonts w:cs="Arial"/>
        </w:rPr>
        <w:t xml:space="preserve">, </w:t>
      </w:r>
      <w:r w:rsidR="00952BA0" w:rsidRPr="00952BA0">
        <w:rPr>
          <w:rFonts w:cs="Arial"/>
        </w:rPr>
        <w:t>Minister for Seniors and Disability Services</w:t>
      </w:r>
      <w:r w:rsidR="00952BA0">
        <w:rPr>
          <w:rFonts w:cs="Arial"/>
        </w:rPr>
        <w:t xml:space="preserve"> and Minister for Aboriginal and Torres Strait Islander Partnerships</w:t>
      </w:r>
      <w:r w:rsidR="001E2EB9">
        <w:rPr>
          <w:rFonts w:cs="Arial"/>
        </w:rPr>
        <w:t>,</w:t>
      </w:r>
      <w:r>
        <w:rPr>
          <w:rFonts w:cs="Arial"/>
        </w:rPr>
        <w:t xml:space="preserve"> on 3 February 2021</w:t>
      </w:r>
      <w:r w:rsidR="001E2EB9">
        <w:rPr>
          <w:rFonts w:cs="Arial"/>
        </w:rPr>
        <w:t xml:space="preserve"> in accordance with the requirements of the FRC Act</w:t>
      </w:r>
      <w:r>
        <w:rPr>
          <w:rFonts w:cs="Arial"/>
        </w:rPr>
        <w:t xml:space="preserve">. </w:t>
      </w:r>
      <w:r w:rsidR="002A554D">
        <w:rPr>
          <w:rFonts w:cs="Arial"/>
        </w:rPr>
        <w:t>Amongst other achievements the report documents a nearly fivefold increase from the previous financial year in client referrals to community support services</w:t>
      </w:r>
      <w:r w:rsidR="00CD04EE">
        <w:rPr>
          <w:rFonts w:cs="Arial"/>
        </w:rPr>
        <w:t>, evidence of the Commission’</w:t>
      </w:r>
      <w:r w:rsidR="000366FD">
        <w:rPr>
          <w:rFonts w:cs="Arial"/>
        </w:rPr>
        <w:t>s</w:t>
      </w:r>
      <w:r w:rsidR="00CD04EE">
        <w:rPr>
          <w:rFonts w:cs="Arial"/>
        </w:rPr>
        <w:t xml:space="preserve"> ability to support individual behavioural change. The FRC Annual Report 2019-20 can be accessed on the Commission’s website: www.frcq.org.au.</w:t>
      </w:r>
    </w:p>
    <w:p w14:paraId="7ED14530" w14:textId="77777777" w:rsidR="0038169E" w:rsidRDefault="0038169E" w:rsidP="00C92D4E">
      <w:pPr>
        <w:ind w:left="-142" w:right="-425"/>
        <w:jc w:val="both"/>
        <w:rPr>
          <w:rFonts w:cs="Arial"/>
        </w:rPr>
      </w:pPr>
    </w:p>
    <w:p w14:paraId="486A2E44" w14:textId="085E0088" w:rsidR="0044072E" w:rsidRDefault="004452E4" w:rsidP="00C92D4E">
      <w:pPr>
        <w:ind w:left="-142" w:right="-425"/>
        <w:jc w:val="both"/>
        <w:rPr>
          <w:rFonts w:cs="Arial"/>
        </w:rPr>
      </w:pPr>
      <w:r>
        <w:rPr>
          <w:rFonts w:cs="Arial"/>
        </w:rPr>
        <w:t>On 24 February 2021 the Social Security (Administration) (Cashless Welfare – Cape York Area) Determination 2021 was made by the Honourable Anne Ruston</w:t>
      </w:r>
      <w:r w:rsidR="00106394">
        <w:rPr>
          <w:rFonts w:cs="Arial"/>
        </w:rPr>
        <w:t xml:space="preserve"> MP</w:t>
      </w:r>
      <w:r>
        <w:rPr>
          <w:rFonts w:cs="Arial"/>
        </w:rPr>
        <w:t xml:space="preserve">, Minister for Families and Social Services. The Determination gave effect </w:t>
      </w:r>
      <w:r w:rsidR="006F604C">
        <w:rPr>
          <w:rFonts w:cs="Arial"/>
        </w:rPr>
        <w:t xml:space="preserve">as of 17 March 2021 </w:t>
      </w:r>
      <w:r>
        <w:rPr>
          <w:rFonts w:cs="Arial"/>
        </w:rPr>
        <w:t xml:space="preserve">to the transition of income management under the BasicsCard to the Cashless Debit Card in welfare reform community areas (as defined by section 8A of the </w:t>
      </w:r>
      <w:r w:rsidRPr="006F604C">
        <w:rPr>
          <w:rFonts w:cs="Arial"/>
          <w:i/>
          <w:iCs/>
        </w:rPr>
        <w:t>Family Responsibilities Commission Act 2008</w:t>
      </w:r>
      <w:r>
        <w:rPr>
          <w:rFonts w:cs="Arial"/>
        </w:rPr>
        <w:t>)</w:t>
      </w:r>
      <w:r w:rsidR="006F604C">
        <w:rPr>
          <w:rFonts w:cs="Arial"/>
        </w:rPr>
        <w:t xml:space="preserve">. The Commission is pleased that the Australian Government sought to align the </w:t>
      </w:r>
      <w:r w:rsidR="00106394">
        <w:rPr>
          <w:rFonts w:cs="Arial"/>
        </w:rPr>
        <w:t>s</w:t>
      </w:r>
      <w:r w:rsidR="006F604C">
        <w:rPr>
          <w:rFonts w:cs="Arial"/>
        </w:rPr>
        <w:t xml:space="preserve">ocial </w:t>
      </w:r>
      <w:r w:rsidR="00106394">
        <w:rPr>
          <w:rFonts w:cs="Arial"/>
        </w:rPr>
        <w:t>s</w:t>
      </w:r>
      <w:r w:rsidR="006F604C">
        <w:rPr>
          <w:rFonts w:cs="Arial"/>
        </w:rPr>
        <w:t>ecurity legislation with the FRC Act</w:t>
      </w:r>
      <w:r w:rsidR="008267E2">
        <w:rPr>
          <w:rFonts w:cs="Arial"/>
        </w:rPr>
        <w:t>, determining that for subsection 124</w:t>
      </w:r>
      <w:proofErr w:type="gramStart"/>
      <w:r w:rsidR="008267E2">
        <w:rPr>
          <w:rFonts w:cs="Arial"/>
        </w:rPr>
        <w:t>PD(</w:t>
      </w:r>
      <w:proofErr w:type="gramEnd"/>
      <w:r w:rsidR="008267E2">
        <w:rPr>
          <w:rFonts w:cs="Arial"/>
        </w:rPr>
        <w:t xml:space="preserve">1) of the </w:t>
      </w:r>
      <w:r w:rsidR="008267E2" w:rsidRPr="008267E2">
        <w:rPr>
          <w:rFonts w:cs="Arial"/>
          <w:i/>
          <w:iCs/>
        </w:rPr>
        <w:t>Social Security (Administration) Act 1999</w:t>
      </w:r>
      <w:r w:rsidR="008267E2">
        <w:rPr>
          <w:rFonts w:cs="Arial"/>
        </w:rPr>
        <w:t xml:space="preserve">, </w:t>
      </w:r>
      <w:r w:rsidR="00106394">
        <w:rPr>
          <w:rFonts w:cs="Arial"/>
        </w:rPr>
        <w:t xml:space="preserve">the </w:t>
      </w:r>
      <w:r w:rsidR="008267E2">
        <w:rPr>
          <w:rFonts w:cs="Arial"/>
        </w:rPr>
        <w:t>Cape York area is to be the areas prescribed as a welfare reform community area under the FRC Act.</w:t>
      </w:r>
    </w:p>
    <w:p w14:paraId="6F8593BC" w14:textId="77777777" w:rsidR="0044072E" w:rsidRDefault="0044072E" w:rsidP="00C92D4E">
      <w:pPr>
        <w:ind w:left="-142" w:right="-425"/>
        <w:jc w:val="both"/>
        <w:rPr>
          <w:rFonts w:cs="Arial"/>
        </w:rPr>
      </w:pPr>
    </w:p>
    <w:p w14:paraId="0A21DBE4" w14:textId="45A47E05" w:rsidR="003C2EAF" w:rsidRDefault="00B44666" w:rsidP="00C92D4E">
      <w:pPr>
        <w:ind w:left="-142" w:right="-425"/>
        <w:jc w:val="both"/>
        <w:rPr>
          <w:rFonts w:cs="Arial"/>
        </w:rPr>
      </w:pPr>
      <w:r>
        <w:rPr>
          <w:rFonts w:cs="Arial"/>
        </w:rPr>
        <w:t>This quarter, a</w:t>
      </w:r>
      <w:r w:rsidR="0044072E">
        <w:rPr>
          <w:rFonts w:cs="Arial"/>
        </w:rPr>
        <w:t xml:space="preserve">t the invitation of the Community Support and Services Committee, Commissioner Williams, Registrar Maxine </w:t>
      </w:r>
      <w:proofErr w:type="gramStart"/>
      <w:r w:rsidR="0044072E">
        <w:rPr>
          <w:rFonts w:cs="Arial"/>
        </w:rPr>
        <w:t>McLeod</w:t>
      </w:r>
      <w:proofErr w:type="gramEnd"/>
      <w:r w:rsidR="0044072E">
        <w:rPr>
          <w:rFonts w:cs="Arial"/>
        </w:rPr>
        <w:t xml:space="preserve"> and Executive Officer (Finance) Tracey Paterson, attended a public briefing at the Parliamentary Annexe in Brisbane</w:t>
      </w:r>
      <w:r w:rsidR="00D11CB6">
        <w:rPr>
          <w:rFonts w:cs="Arial"/>
        </w:rPr>
        <w:t>. The briefing was</w:t>
      </w:r>
      <w:r w:rsidR="00917DC8">
        <w:rPr>
          <w:rFonts w:cs="Arial"/>
        </w:rPr>
        <w:t xml:space="preserve"> to advise the </w:t>
      </w:r>
      <w:r w:rsidR="003C0C72">
        <w:rPr>
          <w:rFonts w:cs="Arial"/>
        </w:rPr>
        <w:t xml:space="preserve">oversight </w:t>
      </w:r>
      <w:r w:rsidR="00917DC8">
        <w:rPr>
          <w:rFonts w:cs="Arial"/>
        </w:rPr>
        <w:t>Committee on the activities</w:t>
      </w:r>
      <w:r w:rsidR="00D11CB6">
        <w:rPr>
          <w:rFonts w:cs="Arial"/>
        </w:rPr>
        <w:t xml:space="preserve"> and operations</w:t>
      </w:r>
      <w:r w:rsidR="00917DC8">
        <w:rPr>
          <w:rFonts w:cs="Arial"/>
        </w:rPr>
        <w:t xml:space="preserve"> of the FRC</w:t>
      </w:r>
      <w:r w:rsidR="0044072E">
        <w:rPr>
          <w:rFonts w:cs="Arial"/>
        </w:rPr>
        <w:t xml:space="preserve">. </w:t>
      </w:r>
      <w:r w:rsidR="00D11CB6">
        <w:rPr>
          <w:rFonts w:cs="Arial"/>
        </w:rPr>
        <w:t xml:space="preserve">The Commission was happy to advise the Committee that </w:t>
      </w:r>
      <w:r w:rsidR="003C0C72">
        <w:rPr>
          <w:rFonts w:cs="Arial"/>
        </w:rPr>
        <w:t xml:space="preserve">although school attendance remained a challenge, </w:t>
      </w:r>
      <w:r w:rsidR="002A63FD">
        <w:rPr>
          <w:rFonts w:cs="Arial"/>
        </w:rPr>
        <w:t>all FRC communities had improved their primary school attendance from term 3 to term 4</w:t>
      </w:r>
      <w:r w:rsidR="00917DC8">
        <w:rPr>
          <w:rFonts w:cs="Arial"/>
        </w:rPr>
        <w:t xml:space="preserve"> </w:t>
      </w:r>
      <w:r w:rsidR="00E32203">
        <w:rPr>
          <w:rFonts w:cs="Arial"/>
        </w:rPr>
        <w:t xml:space="preserve">2020 </w:t>
      </w:r>
      <w:r w:rsidR="002A63FD">
        <w:rPr>
          <w:rFonts w:cs="Arial"/>
        </w:rPr>
        <w:t xml:space="preserve">and that of the four top performing </w:t>
      </w:r>
      <w:r w:rsidR="003D0D05">
        <w:rPr>
          <w:rFonts w:cs="Arial"/>
        </w:rPr>
        <w:t xml:space="preserve">Indigenous </w:t>
      </w:r>
      <w:r w:rsidR="002A63FD">
        <w:rPr>
          <w:rFonts w:cs="Arial"/>
        </w:rPr>
        <w:t xml:space="preserve">primary schools </w:t>
      </w:r>
      <w:proofErr w:type="gramStart"/>
      <w:r w:rsidR="002A63FD">
        <w:rPr>
          <w:rFonts w:cs="Arial"/>
        </w:rPr>
        <w:t>in regard to</w:t>
      </w:r>
      <w:proofErr w:type="gramEnd"/>
      <w:r w:rsidR="002A63FD">
        <w:rPr>
          <w:rFonts w:cs="Arial"/>
        </w:rPr>
        <w:t xml:space="preserve"> school attendance</w:t>
      </w:r>
      <w:r w:rsidR="00E32203">
        <w:rPr>
          <w:rFonts w:cs="Arial"/>
        </w:rPr>
        <w:t xml:space="preserve"> for term 4</w:t>
      </w:r>
      <w:r w:rsidR="002A63FD">
        <w:rPr>
          <w:rFonts w:cs="Arial"/>
        </w:rPr>
        <w:t xml:space="preserve">, three of them were FRC community schools. </w:t>
      </w:r>
      <w:r w:rsidR="00692AEF">
        <w:rPr>
          <w:rFonts w:cs="Arial"/>
        </w:rPr>
        <w:t>Hope Vale Campus of CYAAA led the state at 83.4 percent attendance.</w:t>
      </w:r>
      <w:r w:rsidR="00453700">
        <w:rPr>
          <w:rFonts w:cs="Arial"/>
        </w:rPr>
        <w:t xml:space="preserve"> </w:t>
      </w:r>
      <w:r w:rsidR="008E5F62">
        <w:rPr>
          <w:rFonts w:cs="Arial"/>
        </w:rPr>
        <w:t xml:space="preserve">Commissioner </w:t>
      </w:r>
      <w:r w:rsidR="00E619B7">
        <w:rPr>
          <w:rFonts w:cs="Arial"/>
        </w:rPr>
        <w:t xml:space="preserve">Williams </w:t>
      </w:r>
      <w:r w:rsidR="00E619B7" w:rsidRPr="00B44666">
        <w:rPr>
          <w:rFonts w:cs="Arial"/>
          <w:bCs/>
        </w:rPr>
        <w:t>provide</w:t>
      </w:r>
      <w:r w:rsidR="00E619B7">
        <w:rPr>
          <w:rFonts w:cs="Arial"/>
          <w:bCs/>
        </w:rPr>
        <w:t>d</w:t>
      </w:r>
      <w:r w:rsidR="00E619B7" w:rsidRPr="00B44666">
        <w:rPr>
          <w:rFonts w:cs="Arial"/>
          <w:bCs/>
        </w:rPr>
        <w:t xml:space="preserve"> an update on the shared outcomes achieved with the support of our tripartite partnership and joint Australian and Queensland government investment</w:t>
      </w:r>
      <w:r w:rsidR="00E619B7">
        <w:rPr>
          <w:rFonts w:cs="Arial"/>
          <w:bCs/>
        </w:rPr>
        <w:t xml:space="preserve"> </w:t>
      </w:r>
      <w:r w:rsidR="00E619B7">
        <w:rPr>
          <w:rFonts w:cs="Arial"/>
        </w:rPr>
        <w:t>highlighted from a</w:t>
      </w:r>
      <w:r w:rsidR="003C0C72">
        <w:rPr>
          <w:rFonts w:cs="Arial"/>
        </w:rPr>
        <w:t>n internal</w:t>
      </w:r>
      <w:r w:rsidR="00E619B7">
        <w:rPr>
          <w:rFonts w:cs="Arial"/>
        </w:rPr>
        <w:t xml:space="preserve"> longitudinal performance assessment of FRC operations since 2008</w:t>
      </w:r>
      <w:r w:rsidR="00E619B7" w:rsidRPr="00B44666">
        <w:rPr>
          <w:rFonts w:cs="Arial"/>
          <w:bCs/>
        </w:rPr>
        <w:t>.</w:t>
      </w:r>
      <w:r w:rsidR="00E32203">
        <w:rPr>
          <w:rFonts w:cs="Arial"/>
          <w:bCs/>
        </w:rPr>
        <w:t xml:space="preserve"> </w:t>
      </w:r>
      <w:r w:rsidR="00E32203">
        <w:rPr>
          <w:rFonts w:cs="Arial"/>
        </w:rPr>
        <w:t>T</w:t>
      </w:r>
      <w:r w:rsidR="00E32203" w:rsidRPr="00B44666">
        <w:rPr>
          <w:rFonts w:cs="Arial"/>
        </w:rPr>
        <w:t xml:space="preserve">he key points from </w:t>
      </w:r>
      <w:r w:rsidR="00FB41E6">
        <w:rPr>
          <w:rFonts w:cs="Arial"/>
        </w:rPr>
        <w:t>the</w:t>
      </w:r>
      <w:r w:rsidR="00E32203" w:rsidRPr="00B44666">
        <w:rPr>
          <w:rFonts w:cs="Arial"/>
        </w:rPr>
        <w:t xml:space="preserve"> longitudinal performance assessment</w:t>
      </w:r>
      <w:r w:rsidR="00E32203">
        <w:rPr>
          <w:rFonts w:cs="Arial"/>
          <w:bCs/>
        </w:rPr>
        <w:t xml:space="preserve"> </w:t>
      </w:r>
      <w:r w:rsidR="003C2EAF">
        <w:rPr>
          <w:rFonts w:cs="Arial"/>
          <w:bCs/>
        </w:rPr>
        <w:t xml:space="preserve">are provided </w:t>
      </w:r>
      <w:r w:rsidR="00E32203">
        <w:rPr>
          <w:rFonts w:cs="Arial"/>
          <w:bCs/>
        </w:rPr>
        <w:t xml:space="preserve">in the Future Direction and Challenges section of this report. </w:t>
      </w:r>
      <w:r w:rsidR="003C2EAF">
        <w:rPr>
          <w:rFonts w:cs="Arial"/>
          <w:bCs/>
        </w:rPr>
        <w:t xml:space="preserve">Further advice was provided to the Committee regarding </w:t>
      </w:r>
      <w:r w:rsidR="008E5F62">
        <w:rPr>
          <w:rFonts w:cs="Arial"/>
        </w:rPr>
        <w:t xml:space="preserve">the </w:t>
      </w:r>
      <w:r w:rsidR="00B80F0C">
        <w:rPr>
          <w:rFonts w:cs="Arial"/>
        </w:rPr>
        <w:t xml:space="preserve">imminent </w:t>
      </w:r>
      <w:r w:rsidR="008E5F62">
        <w:rPr>
          <w:rFonts w:cs="Arial"/>
        </w:rPr>
        <w:t xml:space="preserve">transition </w:t>
      </w:r>
      <w:r w:rsidR="00B80F0C">
        <w:rPr>
          <w:rFonts w:cs="Arial"/>
        </w:rPr>
        <w:t xml:space="preserve">from the BasicsCard </w:t>
      </w:r>
      <w:r w:rsidR="008E5F62">
        <w:rPr>
          <w:rFonts w:cs="Arial"/>
        </w:rPr>
        <w:t>to the Cashless Debit Card</w:t>
      </w:r>
      <w:r w:rsidR="00B80F0C">
        <w:rPr>
          <w:rFonts w:cs="Arial"/>
        </w:rPr>
        <w:t xml:space="preserve"> in FRC communities</w:t>
      </w:r>
      <w:r w:rsidR="008E5F62">
        <w:rPr>
          <w:rFonts w:cs="Arial"/>
        </w:rPr>
        <w:t xml:space="preserve">, </w:t>
      </w:r>
      <w:r w:rsidR="00B80F0C">
        <w:rPr>
          <w:rFonts w:cs="Arial"/>
        </w:rPr>
        <w:t xml:space="preserve">the </w:t>
      </w:r>
      <w:r w:rsidR="008E5F62">
        <w:rPr>
          <w:rFonts w:cs="Arial"/>
        </w:rPr>
        <w:t>funding uncertainty affecting the Commission</w:t>
      </w:r>
      <w:r w:rsidR="003C2EAF">
        <w:rPr>
          <w:rFonts w:cs="Arial"/>
        </w:rPr>
        <w:t xml:space="preserve"> and statutory appointments</w:t>
      </w:r>
      <w:r w:rsidR="008E5F62">
        <w:rPr>
          <w:rFonts w:cs="Arial"/>
        </w:rPr>
        <w:t xml:space="preserve">, </w:t>
      </w:r>
      <w:r w:rsidR="003C2EAF">
        <w:rPr>
          <w:rFonts w:cs="Arial"/>
        </w:rPr>
        <w:t>and the challenges faced by the Commission and Australian and Queensland Governments in providing support services to regionally isolated communities</w:t>
      </w:r>
      <w:r w:rsidR="00BD7E94">
        <w:rPr>
          <w:rFonts w:cs="Arial"/>
        </w:rPr>
        <w:t xml:space="preserve"> (particularly </w:t>
      </w:r>
      <w:proofErr w:type="gramStart"/>
      <w:r w:rsidR="00BD7E94">
        <w:rPr>
          <w:rFonts w:cs="Arial"/>
        </w:rPr>
        <w:t>in regard to</w:t>
      </w:r>
      <w:proofErr w:type="gramEnd"/>
      <w:r w:rsidR="00BD7E94">
        <w:rPr>
          <w:rFonts w:cs="Arial"/>
        </w:rPr>
        <w:t xml:space="preserve"> domestic and family violence counselling)</w:t>
      </w:r>
      <w:r w:rsidR="003C2EAF">
        <w:rPr>
          <w:rFonts w:cs="Arial"/>
        </w:rPr>
        <w:t>.</w:t>
      </w:r>
    </w:p>
    <w:p w14:paraId="4B50EFBB" w14:textId="77777777" w:rsidR="003C2EAF" w:rsidRDefault="003C2EAF" w:rsidP="00C92D4E">
      <w:pPr>
        <w:ind w:left="-142" w:right="-425"/>
        <w:jc w:val="both"/>
        <w:rPr>
          <w:rFonts w:cs="Arial"/>
        </w:rPr>
      </w:pPr>
    </w:p>
    <w:p w14:paraId="1DAD30A5" w14:textId="76C3FE71" w:rsidR="00E61F85" w:rsidRPr="00E61F85" w:rsidRDefault="008A6410" w:rsidP="00E61F85">
      <w:pPr>
        <w:ind w:left="-142" w:right="-425"/>
        <w:jc w:val="both"/>
        <w:rPr>
          <w:rFonts w:cs="Arial"/>
          <w:bCs/>
        </w:rPr>
      </w:pPr>
      <w:r>
        <w:rPr>
          <w:rFonts w:cs="Arial"/>
          <w:bCs/>
        </w:rPr>
        <w:t xml:space="preserve">The transition of FRC active income management clients from the BasicsCard to the Cashless Debit Card occurred </w:t>
      </w:r>
      <w:r w:rsidR="002D70E8">
        <w:rPr>
          <w:rFonts w:cs="Arial"/>
          <w:bCs/>
        </w:rPr>
        <w:t xml:space="preserve">seamlessly </w:t>
      </w:r>
      <w:r>
        <w:rPr>
          <w:rFonts w:cs="Arial"/>
          <w:bCs/>
        </w:rPr>
        <w:t>on 1</w:t>
      </w:r>
      <w:r w:rsidR="00883217">
        <w:rPr>
          <w:rFonts w:cs="Arial"/>
          <w:bCs/>
        </w:rPr>
        <w:t xml:space="preserve">7 March 2021. </w:t>
      </w:r>
      <w:r w:rsidR="009049C2">
        <w:rPr>
          <w:rFonts w:cs="Arial"/>
          <w:bCs/>
        </w:rPr>
        <w:t xml:space="preserve">Prior to the transition </w:t>
      </w:r>
      <w:r w:rsidR="00160B60">
        <w:rPr>
          <w:rFonts w:cs="Arial"/>
          <w:bCs/>
        </w:rPr>
        <w:t xml:space="preserve">the Department of Social Services </w:t>
      </w:r>
      <w:r w:rsidR="00160B60">
        <w:rPr>
          <w:rFonts w:cs="Arial"/>
          <w:bCs/>
        </w:rPr>
        <w:lastRenderedPageBreak/>
        <w:t>(DSS)</w:t>
      </w:r>
      <w:r w:rsidR="009049C2" w:rsidRPr="00E61F85">
        <w:rPr>
          <w:rFonts w:cs="Arial"/>
          <w:bCs/>
        </w:rPr>
        <w:t xml:space="preserve"> </w:t>
      </w:r>
      <w:r w:rsidR="009049C2">
        <w:rPr>
          <w:rFonts w:cs="Arial"/>
          <w:bCs/>
        </w:rPr>
        <w:t xml:space="preserve">was provided </w:t>
      </w:r>
      <w:r w:rsidR="009049C2" w:rsidRPr="00E61F85">
        <w:rPr>
          <w:rFonts w:cs="Arial"/>
          <w:bCs/>
        </w:rPr>
        <w:t>a list of FRC clients on income management (both ordered and voluntary)</w:t>
      </w:r>
      <w:r w:rsidR="009049C2">
        <w:rPr>
          <w:rFonts w:cs="Arial"/>
          <w:bCs/>
        </w:rPr>
        <w:t xml:space="preserve">, and </w:t>
      </w:r>
      <w:r w:rsidR="00DA6226">
        <w:rPr>
          <w:rFonts w:cs="Arial"/>
          <w:bCs/>
        </w:rPr>
        <w:t>DSS</w:t>
      </w:r>
      <w:r w:rsidR="00E61F85" w:rsidRPr="00E61F85">
        <w:rPr>
          <w:rFonts w:cs="Arial"/>
          <w:bCs/>
        </w:rPr>
        <w:t xml:space="preserve">, Services Australia and the </w:t>
      </w:r>
      <w:r w:rsidR="007C2EF6">
        <w:rPr>
          <w:rFonts w:cs="Arial"/>
          <w:bCs/>
        </w:rPr>
        <w:t>Commission</w:t>
      </w:r>
      <w:r w:rsidR="00E61F85" w:rsidRPr="00E61F85">
        <w:rPr>
          <w:rFonts w:cs="Arial"/>
          <w:bCs/>
        </w:rPr>
        <w:t xml:space="preserve"> conducted </w:t>
      </w:r>
      <w:r w:rsidR="009049C2">
        <w:rPr>
          <w:rFonts w:cs="Arial"/>
          <w:bCs/>
        </w:rPr>
        <w:t>fortnightly</w:t>
      </w:r>
      <w:r w:rsidR="00E61F85" w:rsidRPr="00E61F85">
        <w:rPr>
          <w:rFonts w:cs="Arial"/>
          <w:bCs/>
        </w:rPr>
        <w:t xml:space="preserve"> meetings</w:t>
      </w:r>
      <w:r w:rsidR="009049C2">
        <w:rPr>
          <w:rFonts w:cs="Arial"/>
          <w:bCs/>
        </w:rPr>
        <w:t xml:space="preserve"> to </w:t>
      </w:r>
      <w:r w:rsidR="00E61F85" w:rsidRPr="00E61F85">
        <w:rPr>
          <w:rFonts w:cs="Arial"/>
          <w:bCs/>
        </w:rPr>
        <w:t>embed processes for the transition.</w:t>
      </w:r>
      <w:r w:rsidR="009049C2">
        <w:rPr>
          <w:rFonts w:cs="Arial"/>
          <w:bCs/>
        </w:rPr>
        <w:t xml:space="preserve"> </w:t>
      </w:r>
      <w:r w:rsidR="00B45E93">
        <w:rPr>
          <w:rFonts w:cs="Arial"/>
          <w:bCs/>
        </w:rPr>
        <w:t xml:space="preserve">DSS utilised a </w:t>
      </w:r>
      <w:r w:rsidR="00B45E93" w:rsidRPr="00E61F85">
        <w:rPr>
          <w:rFonts w:cs="Arial"/>
          <w:bCs/>
        </w:rPr>
        <w:t>systematic and methodical approach to ensuring all affected participants were contacted</w:t>
      </w:r>
      <w:r w:rsidR="00A25333">
        <w:rPr>
          <w:rFonts w:cs="Arial"/>
          <w:bCs/>
        </w:rPr>
        <w:t>,</w:t>
      </w:r>
      <w:r w:rsidR="00B45E93">
        <w:rPr>
          <w:rFonts w:cs="Arial"/>
          <w:bCs/>
        </w:rPr>
        <w:t xml:space="preserve"> empl</w:t>
      </w:r>
      <w:r w:rsidR="00E61F85" w:rsidRPr="00E61F85">
        <w:rPr>
          <w:rFonts w:cs="Arial"/>
          <w:bCs/>
        </w:rPr>
        <w:t xml:space="preserve">oying several strategies including </w:t>
      </w:r>
      <w:r w:rsidR="00BD7E94">
        <w:rPr>
          <w:rFonts w:cs="Arial"/>
          <w:bCs/>
        </w:rPr>
        <w:t>written correspondence</w:t>
      </w:r>
      <w:r w:rsidR="00E61F85" w:rsidRPr="00E61F85">
        <w:rPr>
          <w:rFonts w:cs="Arial"/>
          <w:bCs/>
        </w:rPr>
        <w:t>, face to face remote servic</w:t>
      </w:r>
      <w:r w:rsidR="001E32EB">
        <w:rPr>
          <w:rFonts w:cs="Arial"/>
          <w:bCs/>
        </w:rPr>
        <w:t>e</w:t>
      </w:r>
      <w:r w:rsidR="00E61F85" w:rsidRPr="00E61F85">
        <w:rPr>
          <w:rFonts w:cs="Arial"/>
          <w:bCs/>
        </w:rPr>
        <w:t xml:space="preserve"> team engagement and outbound calls to ensure participants were aware of the changes and understood how they would be affected.</w:t>
      </w:r>
      <w:r w:rsidR="001E32EB" w:rsidRPr="001E32EB">
        <w:rPr>
          <w:rFonts w:cs="Arial"/>
          <w:bCs/>
        </w:rPr>
        <w:t xml:space="preserve"> </w:t>
      </w:r>
      <w:r w:rsidR="00B45E93" w:rsidRPr="00E61F85">
        <w:rPr>
          <w:rFonts w:cs="Arial"/>
          <w:bCs/>
        </w:rPr>
        <w:t xml:space="preserve">Clients with high balances, recurring </w:t>
      </w:r>
      <w:r w:rsidR="00E909D9" w:rsidRPr="00E61F85">
        <w:rPr>
          <w:rFonts w:cs="Arial"/>
          <w:bCs/>
        </w:rPr>
        <w:t>deductions,</w:t>
      </w:r>
      <w:r w:rsidR="00B45E93" w:rsidRPr="00E61F85">
        <w:rPr>
          <w:rFonts w:cs="Arial"/>
          <w:bCs/>
        </w:rPr>
        <w:t xml:space="preserve"> and payments due on the transition date were prioritised for contact.</w:t>
      </w:r>
      <w:r w:rsidR="00B45E93">
        <w:rPr>
          <w:rFonts w:cs="Arial"/>
          <w:bCs/>
        </w:rPr>
        <w:t xml:space="preserve"> </w:t>
      </w:r>
      <w:r w:rsidR="001E32EB" w:rsidRPr="001E32EB">
        <w:rPr>
          <w:rFonts w:cs="Arial"/>
          <w:bCs/>
        </w:rPr>
        <w:t xml:space="preserve">DSS provided information fact sheets explaining the transition and the differences between the BasicsCard and the Cashless Debit Card which made clear the benefits of the CDC over the BasicsCard. </w:t>
      </w:r>
      <w:r w:rsidR="00B45E93">
        <w:rPr>
          <w:rFonts w:cs="Arial"/>
          <w:bCs/>
        </w:rPr>
        <w:t xml:space="preserve">These fact sheets </w:t>
      </w:r>
      <w:r w:rsidR="00103132">
        <w:rPr>
          <w:rFonts w:cs="Arial"/>
          <w:bCs/>
        </w:rPr>
        <w:t xml:space="preserve">(along with FRC generated fact sheets) </w:t>
      </w:r>
      <w:r w:rsidR="00B45E93">
        <w:rPr>
          <w:rFonts w:cs="Arial"/>
          <w:bCs/>
        </w:rPr>
        <w:t>were distributed by the FRC Commissioners during conferenc</w:t>
      </w:r>
      <w:r w:rsidR="008B31B9">
        <w:rPr>
          <w:rFonts w:cs="Arial"/>
          <w:bCs/>
        </w:rPr>
        <w:t>e</w:t>
      </w:r>
      <w:r w:rsidR="00B45E93">
        <w:rPr>
          <w:rFonts w:cs="Arial"/>
          <w:bCs/>
        </w:rPr>
        <w:t xml:space="preserve"> to ensure clients were aware of the transition, </w:t>
      </w:r>
      <w:proofErr w:type="gramStart"/>
      <w:r w:rsidR="00B45E93">
        <w:rPr>
          <w:rFonts w:cs="Arial"/>
          <w:bCs/>
        </w:rPr>
        <w:t>and also</w:t>
      </w:r>
      <w:proofErr w:type="gramEnd"/>
      <w:r w:rsidR="00B45E93">
        <w:rPr>
          <w:rFonts w:cs="Arial"/>
          <w:bCs/>
        </w:rPr>
        <w:t xml:space="preserve"> </w:t>
      </w:r>
      <w:r w:rsidR="00E54A72">
        <w:rPr>
          <w:rFonts w:cs="Arial"/>
          <w:bCs/>
        </w:rPr>
        <w:t>distributed</w:t>
      </w:r>
      <w:r w:rsidR="005A3C55">
        <w:rPr>
          <w:rFonts w:cs="Arial"/>
          <w:bCs/>
        </w:rPr>
        <w:t xml:space="preserve"> to</w:t>
      </w:r>
      <w:r w:rsidR="00B45E93">
        <w:rPr>
          <w:rFonts w:cs="Arial"/>
          <w:bCs/>
        </w:rPr>
        <w:t xml:space="preserve"> </w:t>
      </w:r>
      <w:r w:rsidR="005A3C55">
        <w:rPr>
          <w:rFonts w:cs="Arial"/>
          <w:bCs/>
        </w:rPr>
        <w:t xml:space="preserve">non-income management </w:t>
      </w:r>
      <w:r w:rsidR="00B45E93">
        <w:rPr>
          <w:rFonts w:cs="Arial"/>
          <w:bCs/>
        </w:rPr>
        <w:t xml:space="preserve">clients </w:t>
      </w:r>
      <w:r w:rsidR="005A3C55">
        <w:rPr>
          <w:rFonts w:cs="Arial"/>
          <w:bCs/>
        </w:rPr>
        <w:t>whilst explaining the benefits that could be afforded through the CDC should they wish to participate on a voluntary basis</w:t>
      </w:r>
      <w:r w:rsidR="00B45E93">
        <w:rPr>
          <w:rFonts w:cs="Arial"/>
          <w:bCs/>
        </w:rPr>
        <w:t xml:space="preserve">. </w:t>
      </w:r>
      <w:r w:rsidR="005A3C55">
        <w:rPr>
          <w:rFonts w:cs="Arial"/>
          <w:bCs/>
        </w:rPr>
        <w:t>The Commission was advised that f</w:t>
      </w:r>
      <w:r w:rsidR="00B579BC">
        <w:rPr>
          <w:rFonts w:cs="Arial"/>
          <w:bCs/>
        </w:rPr>
        <w:t xml:space="preserve">eedback provided </w:t>
      </w:r>
      <w:r w:rsidR="00160B60">
        <w:rPr>
          <w:rFonts w:cs="Arial"/>
          <w:bCs/>
        </w:rPr>
        <w:t xml:space="preserve">from </w:t>
      </w:r>
      <w:r w:rsidR="00E61F85" w:rsidRPr="00E61F85">
        <w:rPr>
          <w:rFonts w:cs="Arial"/>
          <w:bCs/>
        </w:rPr>
        <w:t xml:space="preserve">inbound calls to </w:t>
      </w:r>
      <w:r w:rsidR="00B579BC">
        <w:rPr>
          <w:rFonts w:cs="Arial"/>
          <w:bCs/>
        </w:rPr>
        <w:t xml:space="preserve">the </w:t>
      </w:r>
      <w:r w:rsidR="00160B60">
        <w:rPr>
          <w:rFonts w:cs="Arial"/>
          <w:bCs/>
        </w:rPr>
        <w:t xml:space="preserve">DSS </w:t>
      </w:r>
      <w:r w:rsidR="00E61F85" w:rsidRPr="00E61F85">
        <w:rPr>
          <w:rFonts w:cs="Arial"/>
          <w:bCs/>
        </w:rPr>
        <w:t xml:space="preserve">Cape York support team </w:t>
      </w:r>
      <w:r w:rsidR="005A3C55">
        <w:rPr>
          <w:rFonts w:cs="Arial"/>
          <w:bCs/>
        </w:rPr>
        <w:t xml:space="preserve">during and after the transition </w:t>
      </w:r>
      <w:r w:rsidR="00E61F85" w:rsidRPr="00E61F85">
        <w:rPr>
          <w:rFonts w:cs="Arial"/>
          <w:bCs/>
        </w:rPr>
        <w:t>was primarily positive.</w:t>
      </w:r>
      <w:r w:rsidR="00B579BC">
        <w:rPr>
          <w:rFonts w:cs="Arial"/>
          <w:bCs/>
        </w:rPr>
        <w:t xml:space="preserve"> </w:t>
      </w:r>
      <w:r w:rsidR="00E61F85" w:rsidRPr="00E61F85">
        <w:rPr>
          <w:rFonts w:cs="Arial"/>
          <w:bCs/>
        </w:rPr>
        <w:t xml:space="preserve">DSS released promotional videos explaining </w:t>
      </w:r>
      <w:r w:rsidR="005A3C55">
        <w:rPr>
          <w:rFonts w:cs="Arial"/>
          <w:bCs/>
        </w:rPr>
        <w:t xml:space="preserve">the </w:t>
      </w:r>
      <w:r w:rsidR="00E61F85" w:rsidRPr="00E61F85">
        <w:rPr>
          <w:rFonts w:cs="Arial"/>
          <w:bCs/>
        </w:rPr>
        <w:t xml:space="preserve">CDC for both </w:t>
      </w:r>
      <w:r w:rsidR="00A838E2">
        <w:rPr>
          <w:rFonts w:cs="Arial"/>
          <w:bCs/>
        </w:rPr>
        <w:t xml:space="preserve">the </w:t>
      </w:r>
      <w:r w:rsidR="00E61F85" w:rsidRPr="00E61F85">
        <w:rPr>
          <w:rFonts w:cs="Arial"/>
          <w:bCs/>
        </w:rPr>
        <w:t>N</w:t>
      </w:r>
      <w:r w:rsidR="00A838E2">
        <w:rPr>
          <w:rFonts w:cs="Arial"/>
          <w:bCs/>
        </w:rPr>
        <w:t xml:space="preserve">orthern </w:t>
      </w:r>
      <w:r w:rsidR="00E61F85" w:rsidRPr="00E61F85">
        <w:rPr>
          <w:rFonts w:cs="Arial"/>
          <w:bCs/>
        </w:rPr>
        <w:t>T</w:t>
      </w:r>
      <w:r w:rsidR="00A838E2">
        <w:rPr>
          <w:rFonts w:cs="Arial"/>
          <w:bCs/>
        </w:rPr>
        <w:t>erritory</w:t>
      </w:r>
      <w:r w:rsidR="00E61F85" w:rsidRPr="00E61F85">
        <w:rPr>
          <w:rFonts w:cs="Arial"/>
          <w:bCs/>
        </w:rPr>
        <w:t xml:space="preserve"> and the </w:t>
      </w:r>
      <w:r w:rsidR="00A838E2">
        <w:rPr>
          <w:rFonts w:cs="Arial"/>
          <w:bCs/>
        </w:rPr>
        <w:t xml:space="preserve">FRC </w:t>
      </w:r>
      <w:r w:rsidR="00E61F85" w:rsidRPr="00E61F85">
        <w:rPr>
          <w:rFonts w:cs="Arial"/>
          <w:bCs/>
        </w:rPr>
        <w:t>welfare reform areas</w:t>
      </w:r>
      <w:r w:rsidR="00A838E2">
        <w:rPr>
          <w:rFonts w:cs="Arial"/>
          <w:bCs/>
        </w:rPr>
        <w:t>. T</w:t>
      </w:r>
      <w:r w:rsidR="00E61F85" w:rsidRPr="00E61F85">
        <w:rPr>
          <w:rFonts w:cs="Arial"/>
          <w:bCs/>
        </w:rPr>
        <w:t xml:space="preserve">he videos were </w:t>
      </w:r>
      <w:r w:rsidR="00A838E2">
        <w:rPr>
          <w:rFonts w:cs="Arial"/>
          <w:bCs/>
        </w:rPr>
        <w:t xml:space="preserve">focussed on the benefits of the transition, were presented in an upbeat, positive </w:t>
      </w:r>
      <w:proofErr w:type="gramStart"/>
      <w:r w:rsidR="00A838E2">
        <w:rPr>
          <w:rFonts w:cs="Arial"/>
          <w:bCs/>
        </w:rPr>
        <w:t>manner</w:t>
      </w:r>
      <w:proofErr w:type="gramEnd"/>
      <w:r w:rsidR="00A838E2">
        <w:rPr>
          <w:rFonts w:cs="Arial"/>
          <w:bCs/>
        </w:rPr>
        <w:t xml:space="preserve"> </w:t>
      </w:r>
      <w:r w:rsidR="00E61F85" w:rsidRPr="00E61F85">
        <w:rPr>
          <w:rFonts w:cs="Arial"/>
          <w:bCs/>
        </w:rPr>
        <w:t xml:space="preserve">and </w:t>
      </w:r>
      <w:r w:rsidR="005A3C55">
        <w:rPr>
          <w:rFonts w:cs="Arial"/>
          <w:bCs/>
        </w:rPr>
        <w:t xml:space="preserve">were </w:t>
      </w:r>
      <w:r w:rsidR="00E61F85" w:rsidRPr="00E61F85">
        <w:rPr>
          <w:rFonts w:cs="Arial"/>
          <w:bCs/>
        </w:rPr>
        <w:t>well received.</w:t>
      </w:r>
    </w:p>
    <w:p w14:paraId="6FC2C356" w14:textId="77777777" w:rsidR="00A838E2" w:rsidRDefault="00A838E2" w:rsidP="00E61F85">
      <w:pPr>
        <w:ind w:left="-142" w:right="-425"/>
        <w:jc w:val="both"/>
        <w:rPr>
          <w:rFonts w:cs="Arial"/>
          <w:bCs/>
        </w:rPr>
      </w:pPr>
    </w:p>
    <w:p w14:paraId="03CBEFD1" w14:textId="35DAB28D" w:rsidR="00E61F85" w:rsidRPr="00E61F85" w:rsidRDefault="00A838E2" w:rsidP="00E61F85">
      <w:pPr>
        <w:ind w:left="-142" w:right="-425"/>
        <w:jc w:val="both"/>
        <w:rPr>
          <w:rFonts w:cs="Arial"/>
          <w:bCs/>
        </w:rPr>
      </w:pPr>
      <w:r>
        <w:rPr>
          <w:rFonts w:cs="Arial"/>
          <w:bCs/>
        </w:rPr>
        <w:t xml:space="preserve">From the Commission’s experience on the ground and in the Cairns registry the transition </w:t>
      </w:r>
      <w:r w:rsidR="00B33046">
        <w:rPr>
          <w:rFonts w:cs="Arial"/>
          <w:bCs/>
        </w:rPr>
        <w:t xml:space="preserve">from the BasicsCard to the Cashless Debit Card </w:t>
      </w:r>
      <w:r>
        <w:rPr>
          <w:rFonts w:cs="Arial"/>
          <w:bCs/>
        </w:rPr>
        <w:t xml:space="preserve">was </w:t>
      </w:r>
      <w:r w:rsidR="00B33046">
        <w:rPr>
          <w:rFonts w:cs="Arial"/>
          <w:bCs/>
        </w:rPr>
        <w:t>conducted by DSS and Services Australia in an extremely professional manner</w:t>
      </w:r>
      <w:r w:rsidR="002B60DF">
        <w:rPr>
          <w:rFonts w:cs="Arial"/>
          <w:bCs/>
        </w:rPr>
        <w:t xml:space="preserve"> by</w:t>
      </w:r>
      <w:r w:rsidR="00FC614D">
        <w:rPr>
          <w:rFonts w:cs="Arial"/>
          <w:bCs/>
        </w:rPr>
        <w:t xml:space="preserve"> </w:t>
      </w:r>
      <w:r w:rsidR="002B60DF">
        <w:rPr>
          <w:rFonts w:cs="Arial"/>
          <w:bCs/>
        </w:rPr>
        <w:t xml:space="preserve">partnering with the FRC and other community </w:t>
      </w:r>
      <w:r w:rsidR="004F3CFE">
        <w:rPr>
          <w:rFonts w:cs="Arial"/>
          <w:bCs/>
        </w:rPr>
        <w:t>organisations</w:t>
      </w:r>
      <w:r w:rsidR="002B60DF">
        <w:rPr>
          <w:rFonts w:cs="Arial"/>
          <w:bCs/>
        </w:rPr>
        <w:t xml:space="preserve"> such as the C</w:t>
      </w:r>
      <w:r w:rsidR="00D65215">
        <w:rPr>
          <w:rFonts w:cs="Arial"/>
          <w:bCs/>
        </w:rPr>
        <w:t xml:space="preserve">ape </w:t>
      </w:r>
      <w:r w:rsidR="002B60DF">
        <w:rPr>
          <w:rFonts w:cs="Arial"/>
          <w:bCs/>
        </w:rPr>
        <w:t>Y</w:t>
      </w:r>
      <w:r w:rsidR="00D65215">
        <w:rPr>
          <w:rFonts w:cs="Arial"/>
          <w:bCs/>
        </w:rPr>
        <w:t xml:space="preserve">ork </w:t>
      </w:r>
      <w:r w:rsidR="002B60DF">
        <w:rPr>
          <w:rFonts w:cs="Arial"/>
          <w:bCs/>
        </w:rPr>
        <w:t>P</w:t>
      </w:r>
      <w:r w:rsidR="00D65215">
        <w:rPr>
          <w:rFonts w:cs="Arial"/>
          <w:bCs/>
        </w:rPr>
        <w:t>artnership</w:t>
      </w:r>
      <w:r w:rsidR="002B60DF">
        <w:rPr>
          <w:rFonts w:cs="Arial"/>
          <w:bCs/>
        </w:rPr>
        <w:t xml:space="preserve"> O-</w:t>
      </w:r>
      <w:r w:rsidR="00D65215">
        <w:rPr>
          <w:rFonts w:cs="Arial"/>
          <w:bCs/>
        </w:rPr>
        <w:t>H</w:t>
      </w:r>
      <w:r w:rsidR="002B60DF">
        <w:rPr>
          <w:rFonts w:cs="Arial"/>
          <w:bCs/>
        </w:rPr>
        <w:t>ub</w:t>
      </w:r>
      <w:r w:rsidR="00F67225">
        <w:rPr>
          <w:rFonts w:cs="Arial"/>
          <w:bCs/>
        </w:rPr>
        <w:t xml:space="preserve">. Whilst </w:t>
      </w:r>
      <w:r w:rsidR="00E61F85" w:rsidRPr="00E61F85">
        <w:rPr>
          <w:rFonts w:cs="Arial"/>
          <w:bCs/>
        </w:rPr>
        <w:t xml:space="preserve">DSS </w:t>
      </w:r>
      <w:r w:rsidR="00E54A72">
        <w:rPr>
          <w:rFonts w:cs="Arial"/>
          <w:bCs/>
        </w:rPr>
        <w:t xml:space="preserve">officers </w:t>
      </w:r>
      <w:r w:rsidR="00F67225">
        <w:rPr>
          <w:rFonts w:cs="Arial"/>
          <w:bCs/>
        </w:rPr>
        <w:t>were on the ground in each community during the transition period</w:t>
      </w:r>
      <w:r w:rsidR="0053131F">
        <w:rPr>
          <w:rFonts w:cs="Arial"/>
          <w:bCs/>
        </w:rPr>
        <w:t xml:space="preserve"> they</w:t>
      </w:r>
      <w:r w:rsidR="00E61F85" w:rsidRPr="00E61F85">
        <w:rPr>
          <w:rFonts w:cs="Arial"/>
          <w:bCs/>
        </w:rPr>
        <w:t xml:space="preserve"> </w:t>
      </w:r>
      <w:r w:rsidR="00F67225">
        <w:rPr>
          <w:rFonts w:cs="Arial"/>
          <w:bCs/>
        </w:rPr>
        <w:t>receiv</w:t>
      </w:r>
      <w:r w:rsidR="0053131F">
        <w:rPr>
          <w:rFonts w:cs="Arial"/>
          <w:bCs/>
        </w:rPr>
        <w:t xml:space="preserve">ed a significant </w:t>
      </w:r>
      <w:r w:rsidR="00E61F85" w:rsidRPr="00E61F85">
        <w:rPr>
          <w:rFonts w:cs="Arial"/>
          <w:bCs/>
        </w:rPr>
        <w:t xml:space="preserve">number </w:t>
      </w:r>
      <w:r w:rsidR="0053131F">
        <w:rPr>
          <w:rFonts w:cs="Arial"/>
          <w:bCs/>
        </w:rPr>
        <w:t xml:space="preserve">of requests from </w:t>
      </w:r>
      <w:r w:rsidR="00E61F85" w:rsidRPr="00E61F85">
        <w:rPr>
          <w:rFonts w:cs="Arial"/>
          <w:bCs/>
        </w:rPr>
        <w:t xml:space="preserve">community members </w:t>
      </w:r>
      <w:r w:rsidR="0053131F">
        <w:rPr>
          <w:rFonts w:cs="Arial"/>
          <w:bCs/>
        </w:rPr>
        <w:t xml:space="preserve">to participate on a </w:t>
      </w:r>
      <w:r w:rsidR="00E61F85" w:rsidRPr="00E61F85">
        <w:rPr>
          <w:rFonts w:cs="Arial"/>
          <w:bCs/>
        </w:rPr>
        <w:t xml:space="preserve">voluntary </w:t>
      </w:r>
      <w:r w:rsidR="0053131F">
        <w:rPr>
          <w:rFonts w:cs="Arial"/>
          <w:bCs/>
        </w:rPr>
        <w:t xml:space="preserve">basis </w:t>
      </w:r>
      <w:r w:rsidR="00F67225">
        <w:rPr>
          <w:rFonts w:cs="Arial"/>
          <w:bCs/>
        </w:rPr>
        <w:t xml:space="preserve">in </w:t>
      </w:r>
      <w:r w:rsidR="0053131F">
        <w:rPr>
          <w:rFonts w:cs="Arial"/>
          <w:bCs/>
        </w:rPr>
        <w:t>cashless welfare</w:t>
      </w:r>
      <w:r w:rsidR="00E61F85" w:rsidRPr="00E61F85">
        <w:rPr>
          <w:rFonts w:cs="Arial"/>
          <w:bCs/>
        </w:rPr>
        <w:t xml:space="preserve">. </w:t>
      </w:r>
      <w:r w:rsidR="0053131F">
        <w:rPr>
          <w:rFonts w:cs="Arial"/>
          <w:bCs/>
        </w:rPr>
        <w:t xml:space="preserve">The Commission </w:t>
      </w:r>
      <w:r w:rsidR="00E61F85" w:rsidRPr="00E61F85">
        <w:rPr>
          <w:rFonts w:cs="Arial"/>
          <w:bCs/>
        </w:rPr>
        <w:t>has process</w:t>
      </w:r>
      <w:r w:rsidR="0053131F">
        <w:rPr>
          <w:rFonts w:cs="Arial"/>
          <w:bCs/>
        </w:rPr>
        <w:t>es</w:t>
      </w:r>
      <w:r w:rsidR="00E61F85" w:rsidRPr="00E61F85">
        <w:rPr>
          <w:rFonts w:cs="Arial"/>
          <w:bCs/>
        </w:rPr>
        <w:t xml:space="preserve"> in place </w:t>
      </w:r>
      <w:r w:rsidR="0053131F">
        <w:rPr>
          <w:rFonts w:cs="Arial"/>
          <w:bCs/>
        </w:rPr>
        <w:t xml:space="preserve">to accept voluntary applications for income management </w:t>
      </w:r>
      <w:r w:rsidR="00595DC0">
        <w:rPr>
          <w:rFonts w:cs="Arial"/>
          <w:bCs/>
        </w:rPr>
        <w:t xml:space="preserve">pursuant to sections 106 and 108 of the </w:t>
      </w:r>
      <w:r w:rsidR="00595DC0" w:rsidRPr="00595DC0">
        <w:rPr>
          <w:rFonts w:cs="Arial"/>
          <w:bCs/>
          <w:i/>
          <w:iCs/>
        </w:rPr>
        <w:t>Family Responsibilities Commission Act 2008</w:t>
      </w:r>
      <w:r w:rsidR="00595DC0">
        <w:rPr>
          <w:rFonts w:cs="Arial"/>
          <w:bCs/>
        </w:rPr>
        <w:t xml:space="preserve"> </w:t>
      </w:r>
      <w:r w:rsidR="0053131F">
        <w:rPr>
          <w:rFonts w:cs="Arial"/>
          <w:bCs/>
        </w:rPr>
        <w:t xml:space="preserve">and has commenced engagement to identify, prioritise and process </w:t>
      </w:r>
      <w:r w:rsidR="00B97436">
        <w:rPr>
          <w:rFonts w:cs="Arial"/>
          <w:bCs/>
        </w:rPr>
        <w:t xml:space="preserve">CDC </w:t>
      </w:r>
      <w:r w:rsidR="0053131F">
        <w:rPr>
          <w:rFonts w:cs="Arial"/>
          <w:bCs/>
        </w:rPr>
        <w:t>VIM applications</w:t>
      </w:r>
      <w:r w:rsidR="00E55DA4">
        <w:rPr>
          <w:rFonts w:cs="Arial"/>
          <w:bCs/>
        </w:rPr>
        <w:t xml:space="preserve"> which is evidenced by an over fourfold increase in V</w:t>
      </w:r>
      <w:r w:rsidR="00B97436">
        <w:rPr>
          <w:rFonts w:cs="Arial"/>
          <w:bCs/>
        </w:rPr>
        <w:t>IM</w:t>
      </w:r>
      <w:r w:rsidR="00E55DA4">
        <w:rPr>
          <w:rFonts w:cs="Arial"/>
          <w:bCs/>
        </w:rPr>
        <w:t xml:space="preserve"> </w:t>
      </w:r>
      <w:r w:rsidR="000F28A9">
        <w:rPr>
          <w:rFonts w:cs="Arial"/>
          <w:bCs/>
        </w:rPr>
        <w:t>a</w:t>
      </w:r>
      <w:r w:rsidR="00E55DA4">
        <w:rPr>
          <w:rFonts w:cs="Arial"/>
          <w:bCs/>
        </w:rPr>
        <w:t xml:space="preserve">greements </w:t>
      </w:r>
      <w:r w:rsidR="00B97436">
        <w:rPr>
          <w:rFonts w:cs="Arial"/>
          <w:bCs/>
        </w:rPr>
        <w:t xml:space="preserve">when comparing </w:t>
      </w:r>
      <w:r w:rsidR="003F1527">
        <w:rPr>
          <w:rFonts w:cs="Arial"/>
          <w:bCs/>
        </w:rPr>
        <w:t>q</w:t>
      </w:r>
      <w:r w:rsidR="00B97436">
        <w:rPr>
          <w:rFonts w:cs="Arial"/>
          <w:bCs/>
        </w:rPr>
        <w:t xml:space="preserve">uarter 50 to </w:t>
      </w:r>
      <w:r w:rsidR="003F1527">
        <w:rPr>
          <w:rFonts w:cs="Arial"/>
          <w:bCs/>
        </w:rPr>
        <w:t>q</w:t>
      </w:r>
      <w:r w:rsidR="00B97436">
        <w:rPr>
          <w:rFonts w:cs="Arial"/>
          <w:bCs/>
        </w:rPr>
        <w:t>uarter 51</w:t>
      </w:r>
      <w:r w:rsidR="00E55DA4">
        <w:rPr>
          <w:rFonts w:cs="Arial"/>
          <w:bCs/>
        </w:rPr>
        <w:t xml:space="preserve">. </w:t>
      </w:r>
    </w:p>
    <w:p w14:paraId="4ECD00DB" w14:textId="4FFD8129" w:rsidR="00EF4F64" w:rsidRDefault="00EF4F64" w:rsidP="00C92D4E">
      <w:pPr>
        <w:ind w:left="-142" w:right="-425"/>
        <w:jc w:val="both"/>
        <w:rPr>
          <w:bCs/>
        </w:rPr>
      </w:pPr>
      <w:r w:rsidRPr="00C92D4E">
        <w:rPr>
          <w:rFonts w:cs="Arial"/>
        </w:rPr>
        <w:br w:type="page"/>
      </w:r>
    </w:p>
    <w:p w14:paraId="540F9BC6" w14:textId="77777777" w:rsidR="00E036FC" w:rsidRDefault="00E036FC" w:rsidP="00E036FC">
      <w:pPr>
        <w:spacing w:line="240" w:lineRule="auto"/>
      </w:pPr>
    </w:p>
    <w:p w14:paraId="2C479941" w14:textId="40787C26" w:rsidR="00E158E2" w:rsidRDefault="00E158E2">
      <w:pPr>
        <w:spacing w:line="240" w:lineRule="auto"/>
      </w:pPr>
    </w:p>
    <w:p w14:paraId="42C25446" w14:textId="77777777" w:rsidR="00027EA9" w:rsidRDefault="00027EA9" w:rsidP="00751CB6">
      <w:pPr>
        <w:ind w:left="-567" w:right="-425"/>
        <w:jc w:val="both"/>
      </w:pPr>
    </w:p>
    <w:p w14:paraId="3427C8EA" w14:textId="77777777" w:rsidR="00F55A68" w:rsidRPr="00B04486" w:rsidRDefault="00F55A68" w:rsidP="00B04486">
      <w:pPr>
        <w:pStyle w:val="Heading4"/>
      </w:pPr>
      <w:r w:rsidRPr="00B04486">
        <w:t>Table of contents</w:t>
      </w:r>
    </w:p>
    <w:p w14:paraId="7553776C" w14:textId="77777777" w:rsidR="00F55A68" w:rsidRPr="00E97CAC" w:rsidRDefault="00F55A68" w:rsidP="00F55A68">
      <w:pPr>
        <w:ind w:left="-567" w:right="-425"/>
      </w:pPr>
    </w:p>
    <w:p w14:paraId="071F9D39" w14:textId="4E3D2C1D" w:rsidR="00F058BE" w:rsidRDefault="000541CA">
      <w:pPr>
        <w:pStyle w:val="TOC1"/>
        <w:rPr>
          <w:rFonts w:asciiTheme="minorHAnsi" w:eastAsiaTheme="minorEastAsia" w:hAnsiTheme="minorHAnsi" w:cstheme="minorBidi"/>
          <w:b w:val="0"/>
          <w:noProof/>
          <w:spacing w:val="0"/>
          <w:u w:val="none"/>
          <w:lang w:eastAsia="en-AU"/>
        </w:rPr>
      </w:pPr>
      <w:r w:rsidRPr="007C4066">
        <w:rPr>
          <w:b w:val="0"/>
          <w:spacing w:val="0"/>
          <w:sz w:val="18"/>
          <w:szCs w:val="18"/>
          <w:u w:val="none"/>
        </w:rPr>
        <w:fldChar w:fldCharType="begin"/>
      </w:r>
      <w:r w:rsidRPr="007C4066">
        <w:rPr>
          <w:b w:val="0"/>
          <w:spacing w:val="0"/>
          <w:sz w:val="18"/>
          <w:szCs w:val="18"/>
          <w:u w:val="none"/>
        </w:rPr>
        <w:instrText xml:space="preserve"> TOC \o "1-1" \u </w:instrText>
      </w:r>
      <w:r w:rsidRPr="007C4066">
        <w:rPr>
          <w:b w:val="0"/>
          <w:spacing w:val="0"/>
          <w:sz w:val="18"/>
          <w:szCs w:val="18"/>
          <w:u w:val="none"/>
        </w:rPr>
        <w:fldChar w:fldCharType="separate"/>
      </w:r>
      <w:r w:rsidR="00F058BE">
        <w:rPr>
          <w:noProof/>
        </w:rPr>
        <w:t>1.  Activities and Trends</w:t>
      </w:r>
      <w:r w:rsidR="00F058BE">
        <w:rPr>
          <w:noProof/>
        </w:rPr>
        <w:tab/>
      </w:r>
      <w:r w:rsidR="00F058BE">
        <w:rPr>
          <w:noProof/>
        </w:rPr>
        <w:tab/>
      </w:r>
      <w:r w:rsidR="00F058BE">
        <w:rPr>
          <w:noProof/>
        </w:rPr>
        <w:fldChar w:fldCharType="begin"/>
      </w:r>
      <w:r w:rsidR="00F058BE">
        <w:rPr>
          <w:noProof/>
        </w:rPr>
        <w:instrText xml:space="preserve"> PAGEREF _Toc39657991 \h </w:instrText>
      </w:r>
      <w:r w:rsidR="00F058BE">
        <w:rPr>
          <w:noProof/>
        </w:rPr>
      </w:r>
      <w:r w:rsidR="00F058BE">
        <w:rPr>
          <w:noProof/>
        </w:rPr>
        <w:fldChar w:fldCharType="separate"/>
      </w:r>
      <w:r w:rsidR="001934B3">
        <w:rPr>
          <w:noProof/>
        </w:rPr>
        <w:t>6</w:t>
      </w:r>
      <w:r w:rsidR="00F058BE">
        <w:rPr>
          <w:noProof/>
        </w:rPr>
        <w:fldChar w:fldCharType="end"/>
      </w:r>
    </w:p>
    <w:p w14:paraId="62DF3D4A" w14:textId="6838D6D5" w:rsidR="00F058BE" w:rsidRDefault="00F058BE">
      <w:pPr>
        <w:pStyle w:val="TOC1"/>
        <w:rPr>
          <w:rFonts w:asciiTheme="minorHAnsi" w:eastAsiaTheme="minorEastAsia" w:hAnsiTheme="minorHAnsi" w:cstheme="minorBidi"/>
          <w:b w:val="0"/>
          <w:noProof/>
          <w:spacing w:val="0"/>
          <w:u w:val="none"/>
          <w:lang w:eastAsia="en-AU"/>
        </w:rPr>
      </w:pPr>
      <w:r>
        <w:rPr>
          <w:noProof/>
        </w:rPr>
        <w:t>2.  Future Direction and Challenges</w:t>
      </w:r>
      <w:r>
        <w:rPr>
          <w:noProof/>
        </w:rPr>
        <w:tab/>
      </w:r>
      <w:r>
        <w:rPr>
          <w:noProof/>
        </w:rPr>
        <w:fldChar w:fldCharType="begin"/>
      </w:r>
      <w:r>
        <w:rPr>
          <w:noProof/>
        </w:rPr>
        <w:instrText xml:space="preserve"> PAGEREF _Toc39657992 \h </w:instrText>
      </w:r>
      <w:r>
        <w:rPr>
          <w:noProof/>
        </w:rPr>
      </w:r>
      <w:r>
        <w:rPr>
          <w:noProof/>
        </w:rPr>
        <w:fldChar w:fldCharType="separate"/>
      </w:r>
      <w:r w:rsidR="001934B3">
        <w:rPr>
          <w:noProof/>
        </w:rPr>
        <w:t>20</w:t>
      </w:r>
      <w:r>
        <w:rPr>
          <w:noProof/>
        </w:rPr>
        <w:fldChar w:fldCharType="end"/>
      </w:r>
    </w:p>
    <w:p w14:paraId="293F38D2" w14:textId="15516037" w:rsidR="00F058BE" w:rsidRDefault="00F058BE">
      <w:pPr>
        <w:pStyle w:val="TOC1"/>
        <w:rPr>
          <w:rFonts w:asciiTheme="minorHAnsi" w:eastAsiaTheme="minorEastAsia" w:hAnsiTheme="minorHAnsi" w:cstheme="minorBidi"/>
          <w:b w:val="0"/>
          <w:noProof/>
          <w:spacing w:val="0"/>
          <w:u w:val="none"/>
          <w:lang w:eastAsia="en-AU"/>
        </w:rPr>
      </w:pPr>
      <w:r>
        <w:rPr>
          <w:noProof/>
        </w:rPr>
        <w:t>3.  Governance</w:t>
      </w:r>
      <w:r>
        <w:rPr>
          <w:noProof/>
        </w:rPr>
        <w:tab/>
      </w:r>
      <w:r>
        <w:rPr>
          <w:noProof/>
        </w:rPr>
        <w:tab/>
      </w:r>
      <w:r>
        <w:rPr>
          <w:noProof/>
        </w:rPr>
        <w:fldChar w:fldCharType="begin"/>
      </w:r>
      <w:r>
        <w:rPr>
          <w:noProof/>
        </w:rPr>
        <w:instrText xml:space="preserve"> PAGEREF _Toc39657993 \h </w:instrText>
      </w:r>
      <w:r>
        <w:rPr>
          <w:noProof/>
        </w:rPr>
      </w:r>
      <w:r>
        <w:rPr>
          <w:noProof/>
        </w:rPr>
        <w:fldChar w:fldCharType="separate"/>
      </w:r>
      <w:r w:rsidR="001934B3">
        <w:rPr>
          <w:noProof/>
        </w:rPr>
        <w:t>26</w:t>
      </w:r>
      <w:r>
        <w:rPr>
          <w:noProof/>
        </w:rPr>
        <w:fldChar w:fldCharType="end"/>
      </w:r>
    </w:p>
    <w:p w14:paraId="79738A35" w14:textId="004C8FC6" w:rsidR="00F058BE" w:rsidRDefault="00F058BE">
      <w:pPr>
        <w:pStyle w:val="TOC1"/>
        <w:rPr>
          <w:rFonts w:asciiTheme="minorHAnsi" w:eastAsiaTheme="minorEastAsia" w:hAnsiTheme="minorHAnsi" w:cstheme="minorBidi"/>
          <w:b w:val="0"/>
          <w:noProof/>
          <w:spacing w:val="0"/>
          <w:u w:val="none"/>
          <w:lang w:eastAsia="en-AU"/>
        </w:rPr>
      </w:pPr>
      <w:r>
        <w:rPr>
          <w:noProof/>
        </w:rPr>
        <w:t>4.  Financial Operations</w:t>
      </w:r>
      <w:r>
        <w:rPr>
          <w:noProof/>
        </w:rPr>
        <w:tab/>
      </w:r>
      <w:r>
        <w:rPr>
          <w:noProof/>
        </w:rPr>
        <w:tab/>
      </w:r>
      <w:r>
        <w:rPr>
          <w:noProof/>
        </w:rPr>
        <w:fldChar w:fldCharType="begin"/>
      </w:r>
      <w:r>
        <w:rPr>
          <w:noProof/>
        </w:rPr>
        <w:instrText xml:space="preserve"> PAGEREF _Toc39657994 \h </w:instrText>
      </w:r>
      <w:r>
        <w:rPr>
          <w:noProof/>
        </w:rPr>
      </w:r>
      <w:r>
        <w:rPr>
          <w:noProof/>
        </w:rPr>
        <w:fldChar w:fldCharType="separate"/>
      </w:r>
      <w:r w:rsidR="001934B3">
        <w:rPr>
          <w:noProof/>
        </w:rPr>
        <w:t>27</w:t>
      </w:r>
      <w:r>
        <w:rPr>
          <w:noProof/>
        </w:rPr>
        <w:fldChar w:fldCharType="end"/>
      </w:r>
    </w:p>
    <w:p w14:paraId="2F5097CF" w14:textId="10FEAC9A" w:rsidR="00F55A68" w:rsidRDefault="000541CA" w:rsidP="000541CA">
      <w:pPr>
        <w:pStyle w:val="BodyText"/>
        <w:ind w:left="-284" w:right="-623"/>
        <w:rPr>
          <w:b/>
          <w:spacing w:val="0"/>
          <w:sz w:val="18"/>
          <w:szCs w:val="18"/>
        </w:rPr>
      </w:pPr>
      <w:r w:rsidRPr="007C4066">
        <w:rPr>
          <w:b/>
          <w:spacing w:val="0"/>
          <w:sz w:val="18"/>
          <w:szCs w:val="18"/>
        </w:rPr>
        <w:fldChar w:fldCharType="end"/>
      </w:r>
    </w:p>
    <w:p w14:paraId="41DC9C24" w14:textId="77777777" w:rsidR="00900037" w:rsidRPr="006E5677" w:rsidRDefault="00573507" w:rsidP="00F55A68">
      <w:pPr>
        <w:ind w:right="-425"/>
        <w:rPr>
          <w:b/>
          <w:sz w:val="18"/>
          <w:szCs w:val="18"/>
          <w:u w:val="single"/>
        </w:rPr>
      </w:pPr>
      <w:r>
        <w:rPr>
          <w:noProof/>
          <w:lang w:eastAsia="en-AU"/>
        </w:rPr>
        <mc:AlternateContent>
          <mc:Choice Requires="wps">
            <w:drawing>
              <wp:anchor distT="0" distB="0" distL="114300" distR="114300" simplePos="0" relativeHeight="251657216" behindDoc="0" locked="0" layoutInCell="1" allowOverlap="1" wp14:anchorId="717E0F62" wp14:editId="612B6E5B">
                <wp:simplePos x="0" y="0"/>
                <wp:positionH relativeFrom="column">
                  <wp:posOffset>-120015</wp:posOffset>
                </wp:positionH>
                <wp:positionV relativeFrom="paragraph">
                  <wp:posOffset>60960</wp:posOffset>
                </wp:positionV>
                <wp:extent cx="6412230" cy="4343400"/>
                <wp:effectExtent l="0" t="0" r="26670" b="1905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2230" cy="4343400"/>
                        </a:xfrm>
                        <a:prstGeom prst="rect">
                          <a:avLst/>
                        </a:prstGeom>
                        <a:solidFill>
                          <a:srgbClr val="FFFFFF"/>
                        </a:solidFill>
                        <a:ln w="9525">
                          <a:solidFill>
                            <a:schemeClr val="bg1"/>
                          </a:solidFill>
                          <a:miter lim="800000"/>
                          <a:headEnd/>
                          <a:tailEnd/>
                        </a:ln>
                      </wps:spPr>
                      <wps:txbx>
                        <w:txbxContent>
                          <w:p w14:paraId="02C9A0E4" w14:textId="77777777" w:rsidR="003453AD" w:rsidRPr="00517C0A" w:rsidRDefault="003453AD" w:rsidP="00517C0A">
                            <w:pPr>
                              <w:rPr>
                                <w:b/>
                                <w:sz w:val="18"/>
                                <w:szCs w:val="18"/>
                                <w:u w:val="single"/>
                              </w:rPr>
                            </w:pPr>
                            <w:r w:rsidRPr="00517C0A">
                              <w:rPr>
                                <w:b/>
                                <w:sz w:val="18"/>
                                <w:szCs w:val="18"/>
                                <w:u w:val="single"/>
                              </w:rPr>
                              <w:t>Abbreviations</w:t>
                            </w:r>
                          </w:p>
                          <w:p w14:paraId="545C9CE7" w14:textId="1AA7EBDF" w:rsidR="003453AD" w:rsidRDefault="003453AD"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453AD" w:rsidRDefault="003453AD"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453AD" w:rsidRDefault="003453AD"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453AD" w:rsidRDefault="003453AD"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453AD" w:rsidRPr="00517C0A" w:rsidRDefault="003453AD"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284D90C5" w:rsidR="003453AD" w:rsidRDefault="003453AD"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42B7ADFB" w14:textId="2A73B4E9" w:rsidR="003453AD" w:rsidRPr="00517C0A" w:rsidRDefault="003453AD" w:rsidP="00517C0A">
                            <w:pPr>
                              <w:rPr>
                                <w:sz w:val="18"/>
                                <w:szCs w:val="18"/>
                              </w:rPr>
                            </w:pPr>
                            <w:r>
                              <w:rPr>
                                <w:sz w:val="18"/>
                                <w:szCs w:val="18"/>
                              </w:rPr>
                              <w:t>DIS</w:t>
                            </w:r>
                            <w:r>
                              <w:rPr>
                                <w:sz w:val="18"/>
                                <w:szCs w:val="18"/>
                              </w:rPr>
                              <w:tab/>
                            </w:r>
                            <w:r>
                              <w:rPr>
                                <w:sz w:val="18"/>
                                <w:szCs w:val="18"/>
                              </w:rPr>
                              <w:tab/>
                              <w:t>District Court notice</w:t>
                            </w:r>
                          </w:p>
                          <w:p w14:paraId="677972EA" w14:textId="77777777" w:rsidR="003453AD" w:rsidRDefault="003453AD" w:rsidP="00517C0A">
                            <w:pPr>
                              <w:rPr>
                                <w:sz w:val="18"/>
                                <w:szCs w:val="18"/>
                              </w:rPr>
                            </w:pPr>
                            <w:r>
                              <w:rPr>
                                <w:sz w:val="18"/>
                                <w:szCs w:val="18"/>
                              </w:rPr>
                              <w:t>DVB</w:t>
                            </w:r>
                            <w:r>
                              <w:rPr>
                                <w:sz w:val="18"/>
                                <w:szCs w:val="18"/>
                              </w:rPr>
                              <w:tab/>
                            </w:r>
                            <w:r>
                              <w:rPr>
                                <w:sz w:val="18"/>
                                <w:szCs w:val="18"/>
                              </w:rPr>
                              <w:tab/>
                              <w:t>Domestic Violence Breach</w:t>
                            </w:r>
                          </w:p>
                          <w:p w14:paraId="393A66E8" w14:textId="5BD456C9" w:rsidR="003453AD" w:rsidRDefault="003453AD" w:rsidP="00517C0A">
                            <w:pPr>
                              <w:rPr>
                                <w:sz w:val="18"/>
                                <w:szCs w:val="18"/>
                              </w:rPr>
                            </w:pPr>
                            <w:r>
                              <w:rPr>
                                <w:sz w:val="18"/>
                                <w:szCs w:val="18"/>
                              </w:rPr>
                              <w:t>DVO</w:t>
                            </w:r>
                            <w:r>
                              <w:rPr>
                                <w:sz w:val="18"/>
                                <w:szCs w:val="18"/>
                              </w:rPr>
                              <w:tab/>
                            </w:r>
                            <w:r>
                              <w:rPr>
                                <w:sz w:val="18"/>
                                <w:szCs w:val="18"/>
                              </w:rPr>
                              <w:tab/>
                              <w:t>Domestic Violence Order</w:t>
                            </w:r>
                          </w:p>
                          <w:p w14:paraId="7C124E28" w14:textId="3EA899CB" w:rsidR="003453AD" w:rsidRDefault="003453AD" w:rsidP="00517C0A">
                            <w:pPr>
                              <w:rPr>
                                <w:sz w:val="18"/>
                                <w:szCs w:val="18"/>
                              </w:rPr>
                            </w:pPr>
                            <w:r>
                              <w:rPr>
                                <w:sz w:val="18"/>
                                <w:szCs w:val="18"/>
                              </w:rPr>
                              <w:t>EQ</w:t>
                            </w:r>
                            <w:r>
                              <w:rPr>
                                <w:sz w:val="18"/>
                                <w:szCs w:val="18"/>
                              </w:rPr>
                              <w:tab/>
                            </w:r>
                            <w:r>
                              <w:rPr>
                                <w:sz w:val="18"/>
                                <w:szCs w:val="18"/>
                              </w:rPr>
                              <w:tab/>
                              <w:t>School attendance notice</w:t>
                            </w:r>
                          </w:p>
                          <w:p w14:paraId="108A9B57" w14:textId="77777777" w:rsidR="003453AD" w:rsidRPr="00517C0A" w:rsidRDefault="003453AD"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453AD" w:rsidRDefault="003453AD"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790D44C1" w:rsidR="003453AD" w:rsidRDefault="003453AD" w:rsidP="00517C0A">
                            <w:pPr>
                              <w:rPr>
                                <w:sz w:val="18"/>
                                <w:szCs w:val="18"/>
                              </w:rPr>
                            </w:pPr>
                            <w:r>
                              <w:rPr>
                                <w:sz w:val="18"/>
                                <w:szCs w:val="18"/>
                              </w:rPr>
                              <w:t>HT</w:t>
                            </w:r>
                            <w:r>
                              <w:rPr>
                                <w:sz w:val="18"/>
                                <w:szCs w:val="18"/>
                              </w:rPr>
                              <w:tab/>
                            </w:r>
                            <w:r>
                              <w:rPr>
                                <w:sz w:val="18"/>
                                <w:szCs w:val="18"/>
                              </w:rPr>
                              <w:tab/>
                              <w:t>Housing tenancy breach</w:t>
                            </w:r>
                          </w:p>
                          <w:p w14:paraId="0D13A20B" w14:textId="5D1C0446" w:rsidR="003453AD" w:rsidRDefault="003453AD" w:rsidP="00517C0A">
                            <w:pPr>
                              <w:rPr>
                                <w:sz w:val="18"/>
                                <w:szCs w:val="18"/>
                              </w:rPr>
                            </w:pPr>
                            <w:r>
                              <w:rPr>
                                <w:sz w:val="18"/>
                                <w:szCs w:val="18"/>
                              </w:rPr>
                              <w:t>MAG</w:t>
                            </w:r>
                            <w:r>
                              <w:rPr>
                                <w:sz w:val="18"/>
                                <w:szCs w:val="18"/>
                              </w:rPr>
                              <w:tab/>
                            </w:r>
                            <w:r>
                              <w:rPr>
                                <w:sz w:val="18"/>
                                <w:szCs w:val="18"/>
                              </w:rPr>
                              <w:tab/>
                              <w:t>Magistrates Court notice</w:t>
                            </w:r>
                          </w:p>
                          <w:p w14:paraId="16DCE62C" w14:textId="1CE2DD41" w:rsidR="003453AD" w:rsidRDefault="003453AD" w:rsidP="00517C0A">
                            <w:pPr>
                              <w:rPr>
                                <w:sz w:val="18"/>
                                <w:szCs w:val="18"/>
                              </w:rPr>
                            </w:pPr>
                            <w:r>
                              <w:rPr>
                                <w:sz w:val="18"/>
                                <w:szCs w:val="18"/>
                              </w:rPr>
                              <w:t>NFA</w:t>
                            </w:r>
                            <w:r>
                              <w:rPr>
                                <w:sz w:val="18"/>
                                <w:szCs w:val="18"/>
                              </w:rPr>
                              <w:tab/>
                            </w:r>
                            <w:r>
                              <w:rPr>
                                <w:sz w:val="18"/>
                                <w:szCs w:val="18"/>
                              </w:rPr>
                              <w:tab/>
                              <w:t>No further action</w:t>
                            </w:r>
                          </w:p>
                          <w:p w14:paraId="1F64EDB0" w14:textId="27BF441D" w:rsidR="003453AD" w:rsidRDefault="003453AD" w:rsidP="00517C0A">
                            <w:pPr>
                              <w:rPr>
                                <w:sz w:val="18"/>
                                <w:szCs w:val="18"/>
                              </w:rPr>
                            </w:pPr>
                            <w:r>
                              <w:rPr>
                                <w:sz w:val="18"/>
                                <w:szCs w:val="18"/>
                              </w:rPr>
                              <w:t>SEN</w:t>
                            </w:r>
                            <w:r>
                              <w:rPr>
                                <w:sz w:val="18"/>
                                <w:szCs w:val="18"/>
                              </w:rPr>
                              <w:tab/>
                            </w:r>
                            <w:r>
                              <w:rPr>
                                <w:sz w:val="18"/>
                                <w:szCs w:val="18"/>
                              </w:rPr>
                              <w:tab/>
                              <w:t>School enrolment notice</w:t>
                            </w:r>
                          </w:p>
                          <w:p w14:paraId="6B0017B6" w14:textId="707BB555" w:rsidR="003453AD" w:rsidRDefault="003453AD" w:rsidP="00517C0A">
                            <w:pPr>
                              <w:rPr>
                                <w:sz w:val="18"/>
                                <w:szCs w:val="18"/>
                              </w:rPr>
                            </w:pPr>
                            <w:r>
                              <w:rPr>
                                <w:sz w:val="18"/>
                                <w:szCs w:val="18"/>
                              </w:rPr>
                              <w:t>VCP</w:t>
                            </w:r>
                            <w:r>
                              <w:rPr>
                                <w:sz w:val="18"/>
                                <w:szCs w:val="18"/>
                              </w:rPr>
                              <w:tab/>
                            </w:r>
                            <w:r>
                              <w:rPr>
                                <w:sz w:val="18"/>
                                <w:szCs w:val="18"/>
                              </w:rPr>
                              <w:tab/>
                              <w:t>Voluntary Case Plan</w:t>
                            </w:r>
                          </w:p>
                          <w:p w14:paraId="6E21A2C9" w14:textId="77777777" w:rsidR="003453AD" w:rsidRPr="00517C0A" w:rsidRDefault="003453AD"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453AD" w:rsidRPr="00517C0A" w:rsidRDefault="003453AD"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453AD" w:rsidRPr="00517C0A" w:rsidRDefault="003453AD" w:rsidP="00517C0A">
                            <w:pPr>
                              <w:ind w:left="1418"/>
                              <w:rPr>
                                <w:rFonts w:cs="Arial"/>
                                <w:sz w:val="18"/>
                                <w:szCs w:val="18"/>
                              </w:rPr>
                            </w:pPr>
                            <w:r w:rsidRPr="00517C0A">
                              <w:rPr>
                                <w:rFonts w:cs="Arial"/>
                                <w:sz w:val="18"/>
                                <w:szCs w:val="18"/>
                              </w:rPr>
                              <w:t>Family Responsibilities Commission (the Commission)</w:t>
                            </w:r>
                          </w:p>
                          <w:p w14:paraId="632CC48B" w14:textId="77777777" w:rsidR="003453AD" w:rsidRPr="00517C0A" w:rsidRDefault="003453AD"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453AD" w:rsidRPr="00517C0A" w:rsidRDefault="003453AD"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453AD" w:rsidRPr="00517C0A" w:rsidRDefault="003453AD"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7E0F62" id="_x0000_t202" coordsize="21600,21600" o:spt="202" path="m,l,21600r21600,l21600,xe">
                <v:stroke joinstyle="miter"/>
                <v:path gradientshapeok="t" o:connecttype="rect"/>
              </v:shapetype>
              <v:shape id="Text Box 3" o:spid="_x0000_s1026" type="#_x0000_t202" style="position:absolute;margin-left:-9.45pt;margin-top:4.8pt;width:504.9pt;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" strokecolor="white [3212]">
                <v:textbox>
                  <w:txbxContent>
                    <w:p w14:paraId="02C9A0E4" w14:textId="77777777" w:rsidR="003453AD" w:rsidRPr="00517C0A" w:rsidRDefault="003453AD" w:rsidP="00517C0A">
                      <w:pPr>
                        <w:rPr>
                          <w:b/>
                          <w:sz w:val="18"/>
                          <w:szCs w:val="18"/>
                          <w:u w:val="single"/>
                        </w:rPr>
                      </w:pPr>
                      <w:r w:rsidRPr="00517C0A">
                        <w:rPr>
                          <w:b/>
                          <w:sz w:val="18"/>
                          <w:szCs w:val="18"/>
                          <w:u w:val="single"/>
                        </w:rPr>
                        <w:t>Abbreviations</w:t>
                      </w:r>
                    </w:p>
                    <w:p w14:paraId="545C9CE7" w14:textId="1AA7EBDF" w:rsidR="003453AD" w:rsidRDefault="003453AD" w:rsidP="00517C0A">
                      <w:pPr>
                        <w:rPr>
                          <w:rFonts w:cs="Arial"/>
                          <w:sz w:val="18"/>
                          <w:szCs w:val="18"/>
                        </w:rPr>
                      </w:pPr>
                      <w:r>
                        <w:rPr>
                          <w:rFonts w:cs="Arial"/>
                          <w:sz w:val="18"/>
                          <w:szCs w:val="18"/>
                        </w:rPr>
                        <w:t>CP</w:t>
                      </w:r>
                      <w:r>
                        <w:rPr>
                          <w:rFonts w:cs="Arial"/>
                          <w:sz w:val="18"/>
                          <w:szCs w:val="18"/>
                        </w:rPr>
                        <w:tab/>
                      </w:r>
                      <w:r>
                        <w:rPr>
                          <w:rFonts w:cs="Arial"/>
                          <w:sz w:val="18"/>
                          <w:szCs w:val="18"/>
                        </w:rPr>
                        <w:tab/>
                        <w:t>Case plan</w:t>
                      </w:r>
                    </w:p>
                    <w:p w14:paraId="13B75B7E" w14:textId="37108C8D" w:rsidR="003453AD" w:rsidRDefault="003453AD" w:rsidP="00517C0A">
                      <w:pPr>
                        <w:rPr>
                          <w:rFonts w:cs="Arial"/>
                          <w:sz w:val="18"/>
                          <w:szCs w:val="18"/>
                        </w:rPr>
                      </w:pPr>
                      <w:r>
                        <w:rPr>
                          <w:rFonts w:cs="Arial"/>
                          <w:sz w:val="18"/>
                          <w:szCs w:val="18"/>
                        </w:rPr>
                        <w:t>CPA</w:t>
                      </w:r>
                      <w:r>
                        <w:rPr>
                          <w:rFonts w:cs="Arial"/>
                          <w:sz w:val="18"/>
                          <w:szCs w:val="18"/>
                        </w:rPr>
                        <w:tab/>
                      </w:r>
                      <w:r>
                        <w:rPr>
                          <w:rFonts w:cs="Arial"/>
                          <w:sz w:val="18"/>
                          <w:szCs w:val="18"/>
                        </w:rPr>
                        <w:tab/>
                        <w:t>Case plan agreement</w:t>
                      </w:r>
                    </w:p>
                    <w:p w14:paraId="10ECBC17" w14:textId="56B41125" w:rsidR="003453AD" w:rsidRDefault="003453AD" w:rsidP="00517C0A">
                      <w:pPr>
                        <w:rPr>
                          <w:rFonts w:cs="Arial"/>
                          <w:sz w:val="18"/>
                          <w:szCs w:val="18"/>
                        </w:rPr>
                      </w:pPr>
                      <w:r>
                        <w:rPr>
                          <w:rFonts w:cs="Arial"/>
                          <w:sz w:val="18"/>
                          <w:szCs w:val="18"/>
                        </w:rPr>
                        <w:t>CPO</w:t>
                      </w:r>
                      <w:r>
                        <w:rPr>
                          <w:rFonts w:cs="Arial"/>
                          <w:sz w:val="18"/>
                          <w:szCs w:val="18"/>
                        </w:rPr>
                        <w:tab/>
                      </w:r>
                      <w:r>
                        <w:rPr>
                          <w:rFonts w:cs="Arial"/>
                          <w:sz w:val="18"/>
                          <w:szCs w:val="18"/>
                        </w:rPr>
                        <w:tab/>
                        <w:t>Case plan order</w:t>
                      </w:r>
                    </w:p>
                    <w:p w14:paraId="65E438EC" w14:textId="2D48C5AD" w:rsidR="003453AD" w:rsidRDefault="003453AD" w:rsidP="00517C0A">
                      <w:pPr>
                        <w:rPr>
                          <w:rFonts w:cs="Arial"/>
                          <w:sz w:val="18"/>
                          <w:szCs w:val="18"/>
                        </w:rPr>
                      </w:pPr>
                      <w:r>
                        <w:rPr>
                          <w:rFonts w:cs="Arial"/>
                          <w:sz w:val="18"/>
                          <w:szCs w:val="18"/>
                        </w:rPr>
                        <w:t>CS</w:t>
                      </w:r>
                      <w:r>
                        <w:rPr>
                          <w:rFonts w:cs="Arial"/>
                          <w:sz w:val="18"/>
                          <w:szCs w:val="18"/>
                        </w:rPr>
                        <w:tab/>
                      </w:r>
                      <w:r>
                        <w:rPr>
                          <w:rFonts w:cs="Arial"/>
                          <w:sz w:val="18"/>
                          <w:szCs w:val="18"/>
                        </w:rPr>
                        <w:tab/>
                        <w:t>Child safety and welfare notice</w:t>
                      </w:r>
                    </w:p>
                    <w:p w14:paraId="0C2DEC8D" w14:textId="476A4EC4" w:rsidR="003453AD" w:rsidRPr="00517C0A" w:rsidRDefault="003453AD" w:rsidP="00517C0A">
                      <w:pPr>
                        <w:rPr>
                          <w:rFonts w:cs="Arial"/>
                          <w:sz w:val="18"/>
                          <w:szCs w:val="18"/>
                        </w:rPr>
                      </w:pPr>
                      <w:r w:rsidRPr="00517C0A">
                        <w:rPr>
                          <w:rFonts w:cs="Arial"/>
                          <w:sz w:val="18"/>
                          <w:szCs w:val="18"/>
                        </w:rPr>
                        <w:t>CIM</w:t>
                      </w:r>
                      <w:r w:rsidRPr="00517C0A">
                        <w:rPr>
                          <w:rFonts w:cs="Arial"/>
                          <w:sz w:val="18"/>
                          <w:szCs w:val="18"/>
                        </w:rPr>
                        <w:tab/>
                      </w:r>
                      <w:r w:rsidRPr="00517C0A">
                        <w:rPr>
                          <w:rFonts w:cs="Arial"/>
                          <w:sz w:val="18"/>
                          <w:szCs w:val="18"/>
                        </w:rPr>
                        <w:tab/>
                        <w:t>Conditional Income Management</w:t>
                      </w:r>
                    </w:p>
                    <w:p w14:paraId="58D89450" w14:textId="284D90C5" w:rsidR="003453AD" w:rsidRDefault="003453AD" w:rsidP="00517C0A">
                      <w:pPr>
                        <w:rPr>
                          <w:sz w:val="18"/>
                          <w:szCs w:val="18"/>
                        </w:rPr>
                      </w:pPr>
                      <w:r>
                        <w:rPr>
                          <w:sz w:val="18"/>
                          <w:szCs w:val="18"/>
                        </w:rPr>
                        <w:t>DATSIP</w:t>
                      </w:r>
                      <w:r>
                        <w:rPr>
                          <w:sz w:val="18"/>
                          <w:szCs w:val="18"/>
                        </w:rPr>
                        <w:tab/>
                      </w:r>
                      <w:r>
                        <w:rPr>
                          <w:sz w:val="18"/>
                          <w:szCs w:val="18"/>
                        </w:rPr>
                        <w:tab/>
                        <w:t>Department of Aboriginal and Torres Strait Islander Partnerships</w:t>
                      </w:r>
                    </w:p>
                    <w:p w14:paraId="42B7ADFB" w14:textId="2A73B4E9" w:rsidR="003453AD" w:rsidRPr="00517C0A" w:rsidRDefault="003453AD" w:rsidP="00517C0A">
                      <w:pPr>
                        <w:rPr>
                          <w:sz w:val="18"/>
                          <w:szCs w:val="18"/>
                        </w:rPr>
                      </w:pPr>
                      <w:r>
                        <w:rPr>
                          <w:sz w:val="18"/>
                          <w:szCs w:val="18"/>
                        </w:rPr>
                        <w:t>DIS</w:t>
                      </w:r>
                      <w:r>
                        <w:rPr>
                          <w:sz w:val="18"/>
                          <w:szCs w:val="18"/>
                        </w:rPr>
                        <w:tab/>
                      </w:r>
                      <w:r>
                        <w:rPr>
                          <w:sz w:val="18"/>
                          <w:szCs w:val="18"/>
                        </w:rPr>
                        <w:tab/>
                        <w:t>District Court notice</w:t>
                      </w:r>
                    </w:p>
                    <w:p w14:paraId="677972EA" w14:textId="77777777" w:rsidR="003453AD" w:rsidRDefault="003453AD" w:rsidP="00517C0A">
                      <w:pPr>
                        <w:rPr>
                          <w:sz w:val="18"/>
                          <w:szCs w:val="18"/>
                        </w:rPr>
                      </w:pPr>
                      <w:r>
                        <w:rPr>
                          <w:sz w:val="18"/>
                          <w:szCs w:val="18"/>
                        </w:rPr>
                        <w:t>DVB</w:t>
                      </w:r>
                      <w:r>
                        <w:rPr>
                          <w:sz w:val="18"/>
                          <w:szCs w:val="18"/>
                        </w:rPr>
                        <w:tab/>
                      </w:r>
                      <w:r>
                        <w:rPr>
                          <w:sz w:val="18"/>
                          <w:szCs w:val="18"/>
                        </w:rPr>
                        <w:tab/>
                        <w:t>Domestic Violence Breach</w:t>
                      </w:r>
                    </w:p>
                    <w:p w14:paraId="393A66E8" w14:textId="5BD456C9" w:rsidR="003453AD" w:rsidRDefault="003453AD" w:rsidP="00517C0A">
                      <w:pPr>
                        <w:rPr>
                          <w:sz w:val="18"/>
                          <w:szCs w:val="18"/>
                        </w:rPr>
                      </w:pPr>
                      <w:r>
                        <w:rPr>
                          <w:sz w:val="18"/>
                          <w:szCs w:val="18"/>
                        </w:rPr>
                        <w:t>DVO</w:t>
                      </w:r>
                      <w:r>
                        <w:rPr>
                          <w:sz w:val="18"/>
                          <w:szCs w:val="18"/>
                        </w:rPr>
                        <w:tab/>
                      </w:r>
                      <w:r>
                        <w:rPr>
                          <w:sz w:val="18"/>
                          <w:szCs w:val="18"/>
                        </w:rPr>
                        <w:tab/>
                        <w:t>Domestic Violence Order</w:t>
                      </w:r>
                    </w:p>
                    <w:p w14:paraId="7C124E28" w14:textId="3EA899CB" w:rsidR="003453AD" w:rsidRDefault="003453AD" w:rsidP="00517C0A">
                      <w:pPr>
                        <w:rPr>
                          <w:sz w:val="18"/>
                          <w:szCs w:val="18"/>
                        </w:rPr>
                      </w:pPr>
                      <w:r>
                        <w:rPr>
                          <w:sz w:val="18"/>
                          <w:szCs w:val="18"/>
                        </w:rPr>
                        <w:t>EQ</w:t>
                      </w:r>
                      <w:r>
                        <w:rPr>
                          <w:sz w:val="18"/>
                          <w:szCs w:val="18"/>
                        </w:rPr>
                        <w:tab/>
                      </w:r>
                      <w:r>
                        <w:rPr>
                          <w:sz w:val="18"/>
                          <w:szCs w:val="18"/>
                        </w:rPr>
                        <w:tab/>
                        <w:t>School attendance notice</w:t>
                      </w:r>
                    </w:p>
                    <w:p w14:paraId="108A9B57" w14:textId="77777777" w:rsidR="003453AD" w:rsidRPr="00517C0A" w:rsidRDefault="003453AD" w:rsidP="00517C0A">
                      <w:pPr>
                        <w:rPr>
                          <w:sz w:val="18"/>
                          <w:szCs w:val="18"/>
                        </w:rPr>
                      </w:pPr>
                      <w:r w:rsidRPr="00517C0A">
                        <w:rPr>
                          <w:sz w:val="18"/>
                          <w:szCs w:val="18"/>
                        </w:rPr>
                        <w:t>FRA</w:t>
                      </w:r>
                      <w:r w:rsidRPr="00517C0A">
                        <w:rPr>
                          <w:sz w:val="18"/>
                          <w:szCs w:val="18"/>
                        </w:rPr>
                        <w:tab/>
                      </w:r>
                      <w:r w:rsidRPr="00517C0A">
                        <w:rPr>
                          <w:sz w:val="18"/>
                          <w:szCs w:val="18"/>
                        </w:rPr>
                        <w:tab/>
                        <w:t>Family Responsibilities Agreement</w:t>
                      </w:r>
                    </w:p>
                    <w:p w14:paraId="30760FE7" w14:textId="6520E3B9" w:rsidR="003453AD" w:rsidRDefault="003453AD" w:rsidP="00517C0A">
                      <w:pPr>
                        <w:rPr>
                          <w:sz w:val="18"/>
                          <w:szCs w:val="18"/>
                        </w:rPr>
                      </w:pPr>
                      <w:r w:rsidRPr="00517C0A">
                        <w:rPr>
                          <w:sz w:val="18"/>
                          <w:szCs w:val="18"/>
                        </w:rPr>
                        <w:t>FRC</w:t>
                      </w:r>
                      <w:r w:rsidRPr="00517C0A">
                        <w:rPr>
                          <w:sz w:val="18"/>
                          <w:szCs w:val="18"/>
                        </w:rPr>
                        <w:tab/>
                      </w:r>
                      <w:r w:rsidRPr="00517C0A">
                        <w:rPr>
                          <w:sz w:val="18"/>
                          <w:szCs w:val="18"/>
                        </w:rPr>
                        <w:tab/>
                        <w:t>Family Responsibilities Commission</w:t>
                      </w:r>
                    </w:p>
                    <w:p w14:paraId="39CD2E63" w14:textId="790D44C1" w:rsidR="003453AD" w:rsidRDefault="003453AD" w:rsidP="00517C0A">
                      <w:pPr>
                        <w:rPr>
                          <w:sz w:val="18"/>
                          <w:szCs w:val="18"/>
                        </w:rPr>
                      </w:pPr>
                      <w:r>
                        <w:rPr>
                          <w:sz w:val="18"/>
                          <w:szCs w:val="18"/>
                        </w:rPr>
                        <w:t>HT</w:t>
                      </w:r>
                      <w:r>
                        <w:rPr>
                          <w:sz w:val="18"/>
                          <w:szCs w:val="18"/>
                        </w:rPr>
                        <w:tab/>
                      </w:r>
                      <w:r>
                        <w:rPr>
                          <w:sz w:val="18"/>
                          <w:szCs w:val="18"/>
                        </w:rPr>
                        <w:tab/>
                        <w:t>Housing tenancy breach</w:t>
                      </w:r>
                    </w:p>
                    <w:p w14:paraId="0D13A20B" w14:textId="5D1C0446" w:rsidR="003453AD" w:rsidRDefault="003453AD" w:rsidP="00517C0A">
                      <w:pPr>
                        <w:rPr>
                          <w:sz w:val="18"/>
                          <w:szCs w:val="18"/>
                        </w:rPr>
                      </w:pPr>
                      <w:r>
                        <w:rPr>
                          <w:sz w:val="18"/>
                          <w:szCs w:val="18"/>
                        </w:rPr>
                        <w:t>MAG</w:t>
                      </w:r>
                      <w:r>
                        <w:rPr>
                          <w:sz w:val="18"/>
                          <w:szCs w:val="18"/>
                        </w:rPr>
                        <w:tab/>
                      </w:r>
                      <w:r>
                        <w:rPr>
                          <w:sz w:val="18"/>
                          <w:szCs w:val="18"/>
                        </w:rPr>
                        <w:tab/>
                        <w:t>Magistrates Court notice</w:t>
                      </w:r>
                    </w:p>
                    <w:p w14:paraId="16DCE62C" w14:textId="1CE2DD41" w:rsidR="003453AD" w:rsidRDefault="003453AD" w:rsidP="00517C0A">
                      <w:pPr>
                        <w:rPr>
                          <w:sz w:val="18"/>
                          <w:szCs w:val="18"/>
                        </w:rPr>
                      </w:pPr>
                      <w:r>
                        <w:rPr>
                          <w:sz w:val="18"/>
                          <w:szCs w:val="18"/>
                        </w:rPr>
                        <w:t>NFA</w:t>
                      </w:r>
                      <w:r>
                        <w:rPr>
                          <w:sz w:val="18"/>
                          <w:szCs w:val="18"/>
                        </w:rPr>
                        <w:tab/>
                      </w:r>
                      <w:r>
                        <w:rPr>
                          <w:sz w:val="18"/>
                          <w:szCs w:val="18"/>
                        </w:rPr>
                        <w:tab/>
                        <w:t>No further action</w:t>
                      </w:r>
                    </w:p>
                    <w:p w14:paraId="1F64EDB0" w14:textId="27BF441D" w:rsidR="003453AD" w:rsidRDefault="003453AD" w:rsidP="00517C0A">
                      <w:pPr>
                        <w:rPr>
                          <w:sz w:val="18"/>
                          <w:szCs w:val="18"/>
                        </w:rPr>
                      </w:pPr>
                      <w:r>
                        <w:rPr>
                          <w:sz w:val="18"/>
                          <w:szCs w:val="18"/>
                        </w:rPr>
                        <w:t>SEN</w:t>
                      </w:r>
                      <w:r>
                        <w:rPr>
                          <w:sz w:val="18"/>
                          <w:szCs w:val="18"/>
                        </w:rPr>
                        <w:tab/>
                      </w:r>
                      <w:r>
                        <w:rPr>
                          <w:sz w:val="18"/>
                          <w:szCs w:val="18"/>
                        </w:rPr>
                        <w:tab/>
                        <w:t>School enrolment notice</w:t>
                      </w:r>
                    </w:p>
                    <w:p w14:paraId="6B0017B6" w14:textId="707BB555" w:rsidR="003453AD" w:rsidRDefault="003453AD" w:rsidP="00517C0A">
                      <w:pPr>
                        <w:rPr>
                          <w:sz w:val="18"/>
                          <w:szCs w:val="18"/>
                        </w:rPr>
                      </w:pPr>
                      <w:r>
                        <w:rPr>
                          <w:sz w:val="18"/>
                          <w:szCs w:val="18"/>
                        </w:rPr>
                        <w:t>VCP</w:t>
                      </w:r>
                      <w:r>
                        <w:rPr>
                          <w:sz w:val="18"/>
                          <w:szCs w:val="18"/>
                        </w:rPr>
                        <w:tab/>
                      </w:r>
                      <w:r>
                        <w:rPr>
                          <w:sz w:val="18"/>
                          <w:szCs w:val="18"/>
                        </w:rPr>
                        <w:tab/>
                        <w:t>Voluntary Case Plan</w:t>
                      </w:r>
                    </w:p>
                    <w:p w14:paraId="6E21A2C9" w14:textId="77777777" w:rsidR="003453AD" w:rsidRPr="00517C0A" w:rsidRDefault="003453AD" w:rsidP="00517C0A">
                      <w:pPr>
                        <w:rPr>
                          <w:sz w:val="18"/>
                          <w:szCs w:val="18"/>
                        </w:rPr>
                      </w:pPr>
                      <w:r w:rsidRPr="00517C0A">
                        <w:rPr>
                          <w:rFonts w:cs="Arial"/>
                          <w:sz w:val="18"/>
                          <w:szCs w:val="18"/>
                        </w:rPr>
                        <w:t>VIM</w:t>
                      </w:r>
                      <w:r w:rsidRPr="00517C0A">
                        <w:rPr>
                          <w:rFonts w:cs="Arial"/>
                          <w:sz w:val="18"/>
                          <w:szCs w:val="18"/>
                        </w:rPr>
                        <w:tab/>
                      </w:r>
                      <w:r w:rsidRPr="00517C0A">
                        <w:rPr>
                          <w:rFonts w:cs="Arial"/>
                          <w:sz w:val="18"/>
                          <w:szCs w:val="18"/>
                        </w:rPr>
                        <w:tab/>
                        <w:t>Voluntary Income Management</w:t>
                      </w:r>
                    </w:p>
                    <w:p w14:paraId="1B6EDA5B" w14:textId="77777777" w:rsidR="003453AD" w:rsidRPr="00517C0A" w:rsidRDefault="003453AD" w:rsidP="00517C0A">
                      <w:pPr>
                        <w:rPr>
                          <w:rFonts w:cs="Arial"/>
                          <w:b/>
                          <w:sz w:val="18"/>
                          <w:szCs w:val="18"/>
                        </w:rPr>
                      </w:pPr>
                      <w:r w:rsidRPr="00517C0A">
                        <w:rPr>
                          <w:rFonts w:cs="Arial"/>
                          <w:b/>
                          <w:sz w:val="18"/>
                          <w:szCs w:val="18"/>
                        </w:rPr>
                        <w:t>Also:</w:t>
                      </w:r>
                      <w:r w:rsidRPr="00517C0A">
                        <w:rPr>
                          <w:rFonts w:cs="Arial"/>
                          <w:b/>
                          <w:sz w:val="18"/>
                          <w:szCs w:val="18"/>
                        </w:rPr>
                        <w:tab/>
                      </w:r>
                      <w:r w:rsidRPr="00517C0A">
                        <w:rPr>
                          <w:rFonts w:cs="Arial"/>
                          <w:b/>
                          <w:sz w:val="18"/>
                          <w:szCs w:val="18"/>
                        </w:rPr>
                        <w:tab/>
                      </w:r>
                    </w:p>
                    <w:p w14:paraId="06BB86BD" w14:textId="77777777" w:rsidR="003453AD" w:rsidRPr="00517C0A" w:rsidRDefault="003453AD" w:rsidP="00517C0A">
                      <w:pPr>
                        <w:ind w:left="1418"/>
                        <w:rPr>
                          <w:rFonts w:cs="Arial"/>
                          <w:sz w:val="18"/>
                          <w:szCs w:val="18"/>
                        </w:rPr>
                      </w:pPr>
                      <w:r w:rsidRPr="00517C0A">
                        <w:rPr>
                          <w:rFonts w:cs="Arial"/>
                          <w:sz w:val="18"/>
                          <w:szCs w:val="18"/>
                        </w:rPr>
                        <w:t>Family Responsibilities Commission (the Commission)</w:t>
                      </w:r>
                    </w:p>
                    <w:p w14:paraId="632CC48B" w14:textId="77777777" w:rsidR="003453AD" w:rsidRPr="00517C0A" w:rsidRDefault="003453AD" w:rsidP="00517C0A">
                      <w:pPr>
                        <w:ind w:left="1418"/>
                        <w:rPr>
                          <w:rFonts w:cs="Arial"/>
                          <w:sz w:val="18"/>
                          <w:szCs w:val="18"/>
                        </w:rPr>
                      </w:pPr>
                      <w:r w:rsidRPr="00517C0A">
                        <w:rPr>
                          <w:rFonts w:cs="Arial"/>
                          <w:i/>
                          <w:sz w:val="18"/>
                          <w:szCs w:val="18"/>
                        </w:rPr>
                        <w:t>Family Responsibilities Commission Act 2008</w:t>
                      </w:r>
                      <w:r w:rsidRPr="00517C0A">
                        <w:rPr>
                          <w:rFonts w:cs="Arial"/>
                          <w:sz w:val="18"/>
                          <w:szCs w:val="18"/>
                        </w:rPr>
                        <w:t xml:space="preserve"> (the Act)</w:t>
                      </w:r>
                    </w:p>
                    <w:p w14:paraId="477CF810" w14:textId="7CEFA306" w:rsidR="003453AD" w:rsidRPr="00517C0A" w:rsidRDefault="003453AD" w:rsidP="00517C0A">
                      <w:pPr>
                        <w:ind w:left="1418"/>
                        <w:rPr>
                          <w:rFonts w:cs="Arial"/>
                          <w:sz w:val="18"/>
                          <w:szCs w:val="18"/>
                        </w:rPr>
                      </w:pPr>
                      <w:r w:rsidRPr="00517C0A">
                        <w:rPr>
                          <w:rFonts w:cs="Arial"/>
                          <w:sz w:val="18"/>
                          <w:szCs w:val="18"/>
                        </w:rPr>
                        <w:t xml:space="preserve">Family Responsibilities Commission Registry (the </w:t>
                      </w:r>
                      <w:r>
                        <w:rPr>
                          <w:rFonts w:cs="Arial"/>
                          <w:sz w:val="18"/>
                          <w:szCs w:val="18"/>
                        </w:rPr>
                        <w:t>r</w:t>
                      </w:r>
                      <w:r w:rsidRPr="00517C0A">
                        <w:rPr>
                          <w:rFonts w:cs="Arial"/>
                          <w:sz w:val="18"/>
                          <w:szCs w:val="18"/>
                        </w:rPr>
                        <w:t>egistry)</w:t>
                      </w:r>
                    </w:p>
                    <w:p w14:paraId="20456969" w14:textId="1B332232" w:rsidR="003453AD" w:rsidRPr="00517C0A" w:rsidRDefault="003453AD" w:rsidP="00517C0A">
                      <w:pPr>
                        <w:ind w:left="1418"/>
                        <w:rPr>
                          <w:rFonts w:cs="Arial"/>
                          <w:sz w:val="18"/>
                          <w:szCs w:val="18"/>
                        </w:rPr>
                      </w:pPr>
                      <w:r w:rsidRPr="00517C0A">
                        <w:rPr>
                          <w:rFonts w:cs="Arial"/>
                          <w:sz w:val="18"/>
                          <w:szCs w:val="18"/>
                        </w:rPr>
                        <w:t>Family Responsibilities Board (the</w:t>
                      </w:r>
                      <w:r>
                        <w:rPr>
                          <w:rFonts w:cs="Arial"/>
                          <w:sz w:val="18"/>
                          <w:szCs w:val="18"/>
                        </w:rPr>
                        <w:t xml:space="preserve"> FR</w:t>
                      </w:r>
                      <w:r w:rsidRPr="00517C0A">
                        <w:rPr>
                          <w:rFonts w:cs="Arial"/>
                          <w:sz w:val="18"/>
                          <w:szCs w:val="18"/>
                        </w:rPr>
                        <w:t xml:space="preserve"> Board)</w:t>
                      </w:r>
                    </w:p>
                  </w:txbxContent>
                </v:textbox>
              </v:shape>
            </w:pict>
          </mc:Fallback>
        </mc:AlternateContent>
      </w:r>
    </w:p>
    <w:p w14:paraId="475EF6E8" w14:textId="77777777" w:rsidR="00900037" w:rsidRPr="006E5677" w:rsidRDefault="00900037" w:rsidP="00CD40C0">
      <w:pPr>
        <w:pStyle w:val="BodyText"/>
        <w:ind w:left="-284" w:right="-623"/>
        <w:rPr>
          <w:b/>
          <w:spacing w:val="0"/>
          <w:sz w:val="18"/>
          <w:szCs w:val="18"/>
          <w:u w:val="single"/>
        </w:rPr>
      </w:pPr>
    </w:p>
    <w:p w14:paraId="2132F65A" w14:textId="77777777" w:rsidR="00900037" w:rsidRPr="00867ED5" w:rsidRDefault="00900037" w:rsidP="00AD690C">
      <w:pPr>
        <w:pStyle w:val="InsideTitle"/>
        <w:ind w:left="-142"/>
      </w:pPr>
      <w:r w:rsidRPr="006E5677">
        <w:br w:type="page"/>
      </w:r>
      <w:r w:rsidRPr="00867ED5">
        <w:lastRenderedPageBreak/>
        <w:t xml:space="preserve">Family </w:t>
      </w:r>
      <w:r w:rsidRPr="00520D8C">
        <w:rPr>
          <w:iCs/>
        </w:rPr>
        <w:t>Responsibilities</w:t>
      </w:r>
      <w:r w:rsidRPr="00867ED5">
        <w:t xml:space="preserve"> Commission</w:t>
      </w:r>
    </w:p>
    <w:p w14:paraId="3B21ACE4" w14:textId="77777777" w:rsidR="00900037" w:rsidRPr="00867ED5" w:rsidRDefault="00900037" w:rsidP="00AD690C">
      <w:pPr>
        <w:pStyle w:val="InsideTitle"/>
        <w:ind w:left="-142"/>
      </w:pPr>
      <w:r w:rsidRPr="00867ED5">
        <w:t>Welfare Reforms</w:t>
      </w:r>
    </w:p>
    <w:p w14:paraId="15F28AA3" w14:textId="77777777" w:rsidR="00900037" w:rsidRPr="00407BC1" w:rsidRDefault="00900037" w:rsidP="0039661A">
      <w:pPr>
        <w:pStyle w:val="BodyText"/>
        <w:spacing w:after="0" w:line="240" w:lineRule="auto"/>
        <w:ind w:right="-623"/>
        <w:rPr>
          <w:sz w:val="8"/>
          <w:szCs w:val="8"/>
        </w:rPr>
      </w:pPr>
    </w:p>
    <w:p w14:paraId="14BD4098" w14:textId="2238EF16" w:rsidR="005A5B78" w:rsidRPr="00B04486" w:rsidRDefault="005A5B78" w:rsidP="005A5B78">
      <w:pPr>
        <w:spacing w:after="240" w:line="240" w:lineRule="auto"/>
        <w:ind w:left="-142"/>
        <w:rPr>
          <w:i/>
          <w:sz w:val="24"/>
          <w:szCs w:val="24"/>
        </w:rPr>
      </w:pPr>
      <w:r w:rsidRPr="00B04486">
        <w:rPr>
          <w:i/>
          <w:sz w:val="24"/>
          <w:szCs w:val="24"/>
        </w:rPr>
        <w:t xml:space="preserve">Report to </w:t>
      </w:r>
      <w:r w:rsidR="00AC3213">
        <w:rPr>
          <w:i/>
          <w:sz w:val="24"/>
          <w:szCs w:val="24"/>
        </w:rPr>
        <w:t>3</w:t>
      </w:r>
      <w:r w:rsidR="00F15C75">
        <w:rPr>
          <w:i/>
          <w:sz w:val="24"/>
          <w:szCs w:val="24"/>
        </w:rPr>
        <w:t xml:space="preserve">1 </w:t>
      </w:r>
      <w:r w:rsidR="009A7C28">
        <w:rPr>
          <w:i/>
          <w:sz w:val="24"/>
          <w:szCs w:val="24"/>
        </w:rPr>
        <w:t xml:space="preserve">March </w:t>
      </w:r>
      <w:r w:rsidR="00E53438">
        <w:rPr>
          <w:i/>
          <w:sz w:val="24"/>
          <w:szCs w:val="24"/>
        </w:rPr>
        <w:t>202</w:t>
      </w:r>
      <w:r w:rsidR="009A7C28">
        <w:rPr>
          <w:i/>
          <w:sz w:val="24"/>
          <w:szCs w:val="24"/>
        </w:rPr>
        <w:t>1</w:t>
      </w:r>
      <w:r w:rsidRPr="00B04486">
        <w:rPr>
          <w:i/>
          <w:sz w:val="24"/>
          <w:szCs w:val="24"/>
        </w:rPr>
        <w:t>.</w:t>
      </w:r>
    </w:p>
    <w:p w14:paraId="3B63D598" w14:textId="77777777" w:rsidR="005A5B78" w:rsidRPr="00942B2C" w:rsidRDefault="005A5B78" w:rsidP="005A5B78">
      <w:pPr>
        <w:pStyle w:val="Heading1"/>
        <w:ind w:left="-142" w:right="-426"/>
      </w:pPr>
      <w:bookmarkStart w:id="2" w:name="_Toc222226581"/>
      <w:bookmarkStart w:id="3" w:name="_Toc304386230"/>
      <w:bookmarkStart w:id="4" w:name="_Toc304386307"/>
      <w:bookmarkStart w:id="5" w:name="_Toc306011180"/>
      <w:bookmarkStart w:id="6" w:name="_Toc39657991"/>
      <w:r>
        <w:t>1.  Activities and</w:t>
      </w:r>
      <w:r w:rsidRPr="00942B2C">
        <w:t xml:space="preserve"> </w:t>
      </w:r>
      <w:bookmarkEnd w:id="2"/>
      <w:bookmarkEnd w:id="3"/>
      <w:bookmarkEnd w:id="4"/>
      <w:bookmarkEnd w:id="5"/>
      <w:r>
        <w:t>Trends</w:t>
      </w:r>
      <w:bookmarkEnd w:id="6"/>
    </w:p>
    <w:p w14:paraId="2BAF545E" w14:textId="77E156F5" w:rsidR="009B2EF1" w:rsidRPr="00E6690B" w:rsidRDefault="009B2EF1" w:rsidP="00E6690B">
      <w:pPr>
        <w:tabs>
          <w:tab w:val="left" w:pos="1134"/>
        </w:tabs>
        <w:ind w:left="-142" w:right="-425"/>
        <w:jc w:val="both"/>
      </w:pPr>
    </w:p>
    <w:p w14:paraId="3D98B899" w14:textId="188AEA28" w:rsidR="00237AB1" w:rsidRDefault="00237AB1" w:rsidP="00237AB1">
      <w:pPr>
        <w:pStyle w:val="Heading2"/>
      </w:pPr>
      <w:r>
        <w:t>Client i</w:t>
      </w:r>
      <w:r w:rsidRPr="00F062D1">
        <w:t>nteraction</w:t>
      </w:r>
      <w:r>
        <w:t>s</w:t>
      </w:r>
      <w:r w:rsidRPr="00F062D1">
        <w:t xml:space="preserve"> during the quarter</w:t>
      </w:r>
    </w:p>
    <w:p w14:paraId="21A1CC5F" w14:textId="33AF4F76" w:rsidR="00B740E7" w:rsidRDefault="004E6AD0" w:rsidP="00106EA8">
      <w:pPr>
        <w:tabs>
          <w:tab w:val="left" w:pos="1134"/>
        </w:tabs>
        <w:ind w:left="-142" w:right="-425"/>
        <w:jc w:val="both"/>
      </w:pPr>
      <w:r>
        <w:t xml:space="preserve">The Commission delivers services to communities which are culturally unique and geographically remote. Each community is </w:t>
      </w:r>
      <w:proofErr w:type="gramStart"/>
      <w:r>
        <w:t>different,</w:t>
      </w:r>
      <w:proofErr w:type="gramEnd"/>
      <w:r>
        <w:t xml:space="preserve"> however each can be characterised by the entrenched disadvantage of Indigenous community members. Over-crowded housing, high rates of Indigenous welfare dependency and multi-generational poverty ha</w:t>
      </w:r>
      <w:r w:rsidR="006648A1">
        <w:t>ve</w:t>
      </w:r>
      <w:r>
        <w:t xml:space="preserve"> resulted in communities with high numbers of individuals and families with complex needs.</w:t>
      </w:r>
      <w:r w:rsidR="00F77284">
        <w:t xml:space="preserve"> The Commission has been reporting </w:t>
      </w:r>
      <w:r w:rsidR="0019319F">
        <w:t>on the number of notices individual clients receive</w:t>
      </w:r>
      <w:r w:rsidR="00F77284">
        <w:t xml:space="preserve"> (</w:t>
      </w:r>
      <w:r w:rsidR="0019319F">
        <w:t>refer</w:t>
      </w:r>
      <w:r w:rsidR="00F77284">
        <w:t xml:space="preserve"> graph </w:t>
      </w:r>
      <w:r w:rsidR="00FE5CC2">
        <w:t>4</w:t>
      </w:r>
      <w:r w:rsidR="00F77284">
        <w:t xml:space="preserve">) for </w:t>
      </w:r>
      <w:proofErr w:type="gramStart"/>
      <w:r w:rsidR="00F77284">
        <w:t>a number of</w:t>
      </w:r>
      <w:proofErr w:type="gramEnd"/>
      <w:r w:rsidR="00F77284">
        <w:t xml:space="preserve"> years</w:t>
      </w:r>
      <w:r w:rsidR="007B68DE">
        <w:t xml:space="preserve">. The graph below provides a further insight into the </w:t>
      </w:r>
      <w:r w:rsidR="00F77284">
        <w:t xml:space="preserve">complexity </w:t>
      </w:r>
      <w:r w:rsidR="007B68DE">
        <w:t xml:space="preserve">of the issues faced by </w:t>
      </w:r>
      <w:r w:rsidR="0019319F">
        <w:t>many</w:t>
      </w:r>
      <w:r w:rsidR="007B68DE">
        <w:t xml:space="preserve"> clients. During quarter 51 </w:t>
      </w:r>
      <w:r w:rsidR="00FE5409">
        <w:t xml:space="preserve">502 </w:t>
      </w:r>
      <w:r w:rsidR="006648A1">
        <w:t xml:space="preserve">clients </w:t>
      </w:r>
      <w:r w:rsidR="00FE5409">
        <w:t>(86 percent</w:t>
      </w:r>
      <w:bookmarkStart w:id="7" w:name="_Ref74752937"/>
      <w:r w:rsidR="002D034C">
        <w:rPr>
          <w:rStyle w:val="FootnoteReference"/>
        </w:rPr>
        <w:footnoteReference w:id="6"/>
      </w:r>
      <w:bookmarkEnd w:id="7"/>
      <w:r w:rsidR="006648A1">
        <w:t>)</w:t>
      </w:r>
      <w:r w:rsidR="00FE5409">
        <w:t xml:space="preserve"> were notified to the Commission with only one type of trigger notice, however</w:t>
      </w:r>
      <w:r w:rsidR="0019319F">
        <w:t>,</w:t>
      </w:r>
      <w:r w:rsidR="00FE5409">
        <w:t xml:space="preserve"> the remaining 83 </w:t>
      </w:r>
      <w:r w:rsidR="006648A1">
        <w:t xml:space="preserve">clients </w:t>
      </w:r>
      <w:r w:rsidR="00FE5409">
        <w:t>(14 percent</w:t>
      </w:r>
      <w:r w:rsidR="002D034C" w:rsidRPr="002D034C">
        <w:rPr>
          <w:vertAlign w:val="superscript"/>
        </w:rPr>
        <w:fldChar w:fldCharType="begin"/>
      </w:r>
      <w:r w:rsidR="002D034C" w:rsidRPr="002D034C">
        <w:rPr>
          <w:vertAlign w:val="superscript"/>
        </w:rPr>
        <w:instrText xml:space="preserve"> NOTEREF _Ref74752937 \h </w:instrText>
      </w:r>
      <w:r w:rsidR="002D034C">
        <w:rPr>
          <w:vertAlign w:val="superscript"/>
        </w:rPr>
        <w:instrText xml:space="preserve"> \* MERGEFORMAT </w:instrText>
      </w:r>
      <w:r w:rsidR="002D034C" w:rsidRPr="002D034C">
        <w:rPr>
          <w:vertAlign w:val="superscript"/>
        </w:rPr>
      </w:r>
      <w:r w:rsidR="002D034C" w:rsidRPr="002D034C">
        <w:rPr>
          <w:vertAlign w:val="superscript"/>
        </w:rPr>
        <w:fldChar w:fldCharType="separate"/>
      </w:r>
      <w:r w:rsidR="001934B3">
        <w:rPr>
          <w:vertAlign w:val="superscript"/>
        </w:rPr>
        <w:t>5</w:t>
      </w:r>
      <w:r w:rsidR="002D034C" w:rsidRPr="002D034C">
        <w:rPr>
          <w:vertAlign w:val="superscript"/>
        </w:rPr>
        <w:fldChar w:fldCharType="end"/>
      </w:r>
      <w:r w:rsidR="00FE5409">
        <w:t>) received more than one type of trigger notice.</w:t>
      </w:r>
    </w:p>
    <w:p w14:paraId="613CE34C" w14:textId="77E8D45D" w:rsidR="004128E4" w:rsidRDefault="004128E4" w:rsidP="00106EA8">
      <w:pPr>
        <w:tabs>
          <w:tab w:val="left" w:pos="1134"/>
        </w:tabs>
        <w:ind w:left="-142" w:right="-425"/>
        <w:jc w:val="both"/>
      </w:pPr>
    </w:p>
    <w:p w14:paraId="3ABDA392" w14:textId="037EE65D" w:rsidR="005B6887" w:rsidRPr="00D925BE" w:rsidRDefault="005B6887" w:rsidP="005B6887">
      <w:pPr>
        <w:spacing w:after="120" w:line="240" w:lineRule="auto"/>
        <w:ind w:right="-425"/>
        <w:jc w:val="both"/>
        <w:rPr>
          <w:b/>
          <w:sz w:val="16"/>
          <w:szCs w:val="16"/>
        </w:rPr>
      </w:pPr>
      <w:r w:rsidRPr="00362EE1">
        <w:rPr>
          <w:b/>
          <w:sz w:val="16"/>
          <w:szCs w:val="16"/>
        </w:rPr>
        <w:t xml:space="preserve">Table </w:t>
      </w:r>
      <w:r w:rsidR="00C95264">
        <w:rPr>
          <w:b/>
          <w:sz w:val="16"/>
          <w:szCs w:val="16"/>
        </w:rPr>
        <w:t>2</w:t>
      </w:r>
      <w:r w:rsidRPr="00362EE1">
        <w:rPr>
          <w:b/>
          <w:sz w:val="16"/>
          <w:szCs w:val="16"/>
        </w:rPr>
        <w:t xml:space="preserve">: </w:t>
      </w:r>
      <w:r w:rsidRPr="00D61631">
        <w:rPr>
          <w:rFonts w:cs="Arial"/>
          <w:bCs/>
          <w:sz w:val="16"/>
          <w:szCs w:val="16"/>
        </w:rPr>
        <w:t>Number of</w:t>
      </w:r>
      <w:r>
        <w:rPr>
          <w:rFonts w:cs="Arial"/>
          <w:b/>
          <w:sz w:val="16"/>
          <w:szCs w:val="16"/>
        </w:rPr>
        <w:t xml:space="preserve"> </w:t>
      </w:r>
      <w:r>
        <w:rPr>
          <w:rFonts w:cs="Arial"/>
          <w:sz w:val="16"/>
          <w:szCs w:val="16"/>
        </w:rPr>
        <w:t>clients by number of different types of agency notices received</w:t>
      </w:r>
      <w:r w:rsidRPr="00DA41D1">
        <w:rPr>
          <w:rFonts w:cs="Arial"/>
          <w:sz w:val="16"/>
          <w:szCs w:val="16"/>
        </w:rPr>
        <w:t xml:space="preserve"> </w:t>
      </w:r>
      <w:r>
        <w:rPr>
          <w:rFonts w:cs="Arial"/>
          <w:sz w:val="16"/>
          <w:szCs w:val="16"/>
        </w:rPr>
        <w:t>1 January 2021 to 31 March 2021</w:t>
      </w:r>
      <w:r w:rsidRPr="00DA41D1">
        <w:rPr>
          <w:rFonts w:cs="Arial"/>
          <w:sz w:val="16"/>
          <w:szCs w:val="16"/>
        </w:rPr>
        <w:t>.</w:t>
      </w:r>
    </w:p>
    <w:tbl>
      <w:tblPr>
        <w:tblW w:w="5289" w:type="dxa"/>
        <w:tblInd w:w="93" w:type="dxa"/>
        <w:tblLook w:val="04A0" w:firstRow="1" w:lastRow="0" w:firstColumn="1" w:lastColumn="0" w:noHBand="0" w:noVBand="1"/>
      </w:tblPr>
      <w:tblGrid>
        <w:gridCol w:w="3446"/>
        <w:gridCol w:w="1843"/>
      </w:tblGrid>
      <w:tr w:rsidR="005B6887" w:rsidRPr="006E764C" w14:paraId="3D2ECB68" w14:textId="77777777" w:rsidTr="005B6887">
        <w:trPr>
          <w:trHeight w:val="510"/>
        </w:trPr>
        <w:tc>
          <w:tcPr>
            <w:tcW w:w="3446" w:type="dxa"/>
            <w:tcBorders>
              <w:top w:val="single" w:sz="4" w:space="0" w:color="auto"/>
              <w:left w:val="single" w:sz="4" w:space="0" w:color="auto"/>
              <w:bottom w:val="single" w:sz="4" w:space="0" w:color="auto"/>
              <w:right w:val="single" w:sz="4" w:space="0" w:color="auto"/>
            </w:tcBorders>
            <w:noWrap/>
            <w:hideMark/>
          </w:tcPr>
          <w:p w14:paraId="1838EC7C" w14:textId="3FBC7533" w:rsidR="005B6887" w:rsidRPr="0093030B" w:rsidRDefault="005B6887" w:rsidP="005B6887">
            <w:pPr>
              <w:pStyle w:val="TableText"/>
              <w:rPr>
                <w:b/>
                <w:lang w:eastAsia="en-AU"/>
              </w:rPr>
            </w:pPr>
            <w:r w:rsidRPr="005B6887">
              <w:rPr>
                <w:b/>
                <w:lang w:eastAsia="en-AU"/>
              </w:rPr>
              <w:t>Number of Different Types of Agency Notices Received</w:t>
            </w:r>
          </w:p>
        </w:tc>
        <w:tc>
          <w:tcPr>
            <w:tcW w:w="1843" w:type="dxa"/>
            <w:tcBorders>
              <w:top w:val="single" w:sz="4" w:space="0" w:color="auto"/>
              <w:left w:val="nil"/>
              <w:bottom w:val="single" w:sz="4" w:space="0" w:color="auto"/>
              <w:right w:val="single" w:sz="4" w:space="0" w:color="auto"/>
            </w:tcBorders>
            <w:hideMark/>
          </w:tcPr>
          <w:p w14:paraId="5AD51FB8" w14:textId="77777777" w:rsidR="005B6887" w:rsidRPr="0093030B" w:rsidRDefault="005B6887" w:rsidP="005B6887">
            <w:pPr>
              <w:pStyle w:val="TableText"/>
              <w:rPr>
                <w:b/>
                <w:lang w:eastAsia="en-AU"/>
              </w:rPr>
            </w:pPr>
            <w:r w:rsidRPr="0093030B">
              <w:rPr>
                <w:b/>
                <w:lang w:eastAsia="en-AU"/>
              </w:rPr>
              <w:t>Number of Clients</w:t>
            </w:r>
          </w:p>
        </w:tc>
      </w:tr>
      <w:tr w:rsidR="005B6887" w:rsidRPr="006E764C" w14:paraId="46E04D0B" w14:textId="77777777" w:rsidTr="005B6887">
        <w:trPr>
          <w:trHeight w:val="255"/>
        </w:trPr>
        <w:tc>
          <w:tcPr>
            <w:tcW w:w="3446" w:type="dxa"/>
            <w:tcBorders>
              <w:top w:val="nil"/>
              <w:left w:val="single" w:sz="4" w:space="0" w:color="auto"/>
              <w:bottom w:val="single" w:sz="4" w:space="0" w:color="auto"/>
              <w:right w:val="single" w:sz="4" w:space="0" w:color="auto"/>
            </w:tcBorders>
            <w:noWrap/>
            <w:hideMark/>
          </w:tcPr>
          <w:p w14:paraId="473E2E65" w14:textId="77777777" w:rsidR="005B6887" w:rsidRPr="006E764C" w:rsidRDefault="005B6887" w:rsidP="005B6887">
            <w:pPr>
              <w:pStyle w:val="TableText"/>
              <w:jc w:val="center"/>
              <w:rPr>
                <w:lang w:eastAsia="en-AU"/>
              </w:rPr>
            </w:pPr>
            <w:r w:rsidRPr="006E764C">
              <w:rPr>
                <w:lang w:eastAsia="en-AU"/>
              </w:rPr>
              <w:t>1</w:t>
            </w:r>
          </w:p>
        </w:tc>
        <w:tc>
          <w:tcPr>
            <w:tcW w:w="1843" w:type="dxa"/>
            <w:tcBorders>
              <w:top w:val="nil"/>
              <w:left w:val="nil"/>
              <w:bottom w:val="single" w:sz="4" w:space="0" w:color="auto"/>
              <w:right w:val="single" w:sz="4" w:space="0" w:color="auto"/>
            </w:tcBorders>
            <w:vAlign w:val="bottom"/>
          </w:tcPr>
          <w:p w14:paraId="3786BBD3" w14:textId="3C821847" w:rsidR="005B6887" w:rsidRPr="005B6887" w:rsidRDefault="005B6887" w:rsidP="005B6887">
            <w:pPr>
              <w:jc w:val="right"/>
              <w:rPr>
                <w:rFonts w:cs="Arial"/>
              </w:rPr>
            </w:pPr>
            <w:r w:rsidRPr="005B6887">
              <w:rPr>
                <w:rFonts w:cs="Arial"/>
              </w:rPr>
              <w:t>502</w:t>
            </w:r>
          </w:p>
        </w:tc>
      </w:tr>
      <w:tr w:rsidR="005B6887" w:rsidRPr="006E764C" w14:paraId="3209197C" w14:textId="77777777" w:rsidTr="005B6887">
        <w:trPr>
          <w:trHeight w:val="255"/>
        </w:trPr>
        <w:tc>
          <w:tcPr>
            <w:tcW w:w="3446" w:type="dxa"/>
            <w:tcBorders>
              <w:top w:val="nil"/>
              <w:left w:val="single" w:sz="4" w:space="0" w:color="auto"/>
              <w:bottom w:val="single" w:sz="4" w:space="0" w:color="auto"/>
              <w:right w:val="single" w:sz="4" w:space="0" w:color="auto"/>
            </w:tcBorders>
            <w:noWrap/>
            <w:hideMark/>
          </w:tcPr>
          <w:p w14:paraId="25F86C19" w14:textId="77777777" w:rsidR="005B6887" w:rsidRPr="006E764C" w:rsidRDefault="005B6887" w:rsidP="005B6887">
            <w:pPr>
              <w:pStyle w:val="TableText"/>
              <w:jc w:val="center"/>
              <w:rPr>
                <w:lang w:eastAsia="en-AU"/>
              </w:rPr>
            </w:pPr>
            <w:r w:rsidRPr="006E764C">
              <w:rPr>
                <w:lang w:eastAsia="en-AU"/>
              </w:rPr>
              <w:t>2</w:t>
            </w:r>
          </w:p>
        </w:tc>
        <w:tc>
          <w:tcPr>
            <w:tcW w:w="1843" w:type="dxa"/>
            <w:tcBorders>
              <w:top w:val="nil"/>
              <w:left w:val="nil"/>
              <w:bottom w:val="single" w:sz="4" w:space="0" w:color="auto"/>
              <w:right w:val="single" w:sz="4" w:space="0" w:color="auto"/>
            </w:tcBorders>
            <w:vAlign w:val="bottom"/>
          </w:tcPr>
          <w:p w14:paraId="4657D166" w14:textId="66D8C559" w:rsidR="005B6887" w:rsidRPr="005B6887" w:rsidRDefault="005B6887" w:rsidP="005B6887">
            <w:pPr>
              <w:jc w:val="right"/>
              <w:rPr>
                <w:rFonts w:cs="Arial"/>
              </w:rPr>
            </w:pPr>
            <w:r w:rsidRPr="005B6887">
              <w:rPr>
                <w:rFonts w:cs="Arial"/>
              </w:rPr>
              <w:t>76</w:t>
            </w:r>
          </w:p>
        </w:tc>
      </w:tr>
      <w:tr w:rsidR="005B6887" w:rsidRPr="006E764C" w14:paraId="60AC8D06" w14:textId="77777777" w:rsidTr="005B6887">
        <w:trPr>
          <w:trHeight w:val="255"/>
        </w:trPr>
        <w:tc>
          <w:tcPr>
            <w:tcW w:w="3446" w:type="dxa"/>
            <w:tcBorders>
              <w:top w:val="nil"/>
              <w:left w:val="single" w:sz="4" w:space="0" w:color="auto"/>
              <w:bottom w:val="single" w:sz="4" w:space="0" w:color="auto"/>
              <w:right w:val="single" w:sz="4" w:space="0" w:color="auto"/>
            </w:tcBorders>
            <w:noWrap/>
            <w:hideMark/>
          </w:tcPr>
          <w:p w14:paraId="22238550" w14:textId="77777777" w:rsidR="005B6887" w:rsidRPr="006E764C" w:rsidRDefault="005B6887" w:rsidP="005B6887">
            <w:pPr>
              <w:pStyle w:val="TableText"/>
              <w:jc w:val="center"/>
              <w:rPr>
                <w:lang w:eastAsia="en-AU"/>
              </w:rPr>
            </w:pPr>
            <w:r w:rsidRPr="006E764C">
              <w:rPr>
                <w:lang w:eastAsia="en-AU"/>
              </w:rPr>
              <w:t>3</w:t>
            </w:r>
          </w:p>
        </w:tc>
        <w:tc>
          <w:tcPr>
            <w:tcW w:w="1843" w:type="dxa"/>
            <w:tcBorders>
              <w:top w:val="nil"/>
              <w:left w:val="nil"/>
              <w:bottom w:val="single" w:sz="4" w:space="0" w:color="auto"/>
              <w:right w:val="single" w:sz="4" w:space="0" w:color="auto"/>
            </w:tcBorders>
            <w:vAlign w:val="bottom"/>
          </w:tcPr>
          <w:p w14:paraId="47BE0AAE" w14:textId="1CADB766" w:rsidR="005B6887" w:rsidRPr="005B6887" w:rsidRDefault="005B6887" w:rsidP="005B6887">
            <w:pPr>
              <w:jc w:val="right"/>
              <w:rPr>
                <w:rFonts w:cs="Arial"/>
              </w:rPr>
            </w:pPr>
            <w:r w:rsidRPr="005B6887">
              <w:rPr>
                <w:rFonts w:cs="Arial"/>
              </w:rPr>
              <w:t>6</w:t>
            </w:r>
          </w:p>
        </w:tc>
      </w:tr>
      <w:tr w:rsidR="005B6887" w:rsidRPr="006E764C" w14:paraId="33F8B961" w14:textId="77777777" w:rsidTr="005B6887">
        <w:trPr>
          <w:trHeight w:val="255"/>
        </w:trPr>
        <w:tc>
          <w:tcPr>
            <w:tcW w:w="3446" w:type="dxa"/>
            <w:tcBorders>
              <w:top w:val="nil"/>
              <w:left w:val="single" w:sz="4" w:space="0" w:color="auto"/>
              <w:bottom w:val="single" w:sz="4" w:space="0" w:color="auto"/>
              <w:right w:val="single" w:sz="4" w:space="0" w:color="auto"/>
            </w:tcBorders>
            <w:noWrap/>
            <w:hideMark/>
          </w:tcPr>
          <w:p w14:paraId="56AB1AE3" w14:textId="77777777" w:rsidR="005B6887" w:rsidRPr="006E764C" w:rsidRDefault="005B6887" w:rsidP="005B6887">
            <w:pPr>
              <w:pStyle w:val="TableText"/>
              <w:jc w:val="center"/>
              <w:rPr>
                <w:lang w:eastAsia="en-AU"/>
              </w:rPr>
            </w:pPr>
            <w:r w:rsidRPr="006E764C">
              <w:rPr>
                <w:lang w:eastAsia="en-AU"/>
              </w:rPr>
              <w:t>4</w:t>
            </w:r>
          </w:p>
        </w:tc>
        <w:tc>
          <w:tcPr>
            <w:tcW w:w="1843" w:type="dxa"/>
            <w:tcBorders>
              <w:top w:val="nil"/>
              <w:left w:val="nil"/>
              <w:bottom w:val="single" w:sz="4" w:space="0" w:color="auto"/>
              <w:right w:val="single" w:sz="4" w:space="0" w:color="auto"/>
            </w:tcBorders>
            <w:vAlign w:val="bottom"/>
          </w:tcPr>
          <w:p w14:paraId="7D334C08" w14:textId="6AFF5962" w:rsidR="005B6887" w:rsidRPr="005B6887" w:rsidRDefault="005B6887" w:rsidP="005B6887">
            <w:pPr>
              <w:jc w:val="right"/>
              <w:rPr>
                <w:rFonts w:cs="Arial"/>
              </w:rPr>
            </w:pPr>
            <w:r w:rsidRPr="005B6887">
              <w:rPr>
                <w:rFonts w:cs="Arial"/>
              </w:rPr>
              <w:t>1</w:t>
            </w:r>
          </w:p>
        </w:tc>
      </w:tr>
      <w:tr w:rsidR="005B6887" w:rsidRPr="006E764C" w14:paraId="092E738E" w14:textId="77777777" w:rsidTr="005B6887">
        <w:trPr>
          <w:trHeight w:val="255"/>
        </w:trPr>
        <w:tc>
          <w:tcPr>
            <w:tcW w:w="3446" w:type="dxa"/>
            <w:tcBorders>
              <w:top w:val="nil"/>
              <w:left w:val="single" w:sz="4" w:space="0" w:color="auto"/>
              <w:bottom w:val="single" w:sz="4" w:space="0" w:color="auto"/>
              <w:right w:val="single" w:sz="4" w:space="0" w:color="auto"/>
            </w:tcBorders>
            <w:noWrap/>
            <w:hideMark/>
          </w:tcPr>
          <w:p w14:paraId="54286540" w14:textId="77777777" w:rsidR="005B6887" w:rsidRPr="00645916" w:rsidRDefault="005B6887" w:rsidP="005B6887">
            <w:pPr>
              <w:pStyle w:val="TableText"/>
              <w:jc w:val="center"/>
              <w:rPr>
                <w:b/>
                <w:lang w:eastAsia="en-AU"/>
              </w:rPr>
            </w:pPr>
            <w:r w:rsidRPr="00645916">
              <w:rPr>
                <w:b/>
                <w:lang w:eastAsia="en-AU"/>
              </w:rPr>
              <w:t>TOTAL</w:t>
            </w:r>
          </w:p>
        </w:tc>
        <w:tc>
          <w:tcPr>
            <w:tcW w:w="1843" w:type="dxa"/>
            <w:tcBorders>
              <w:top w:val="nil"/>
              <w:left w:val="nil"/>
              <w:bottom w:val="single" w:sz="4" w:space="0" w:color="auto"/>
              <w:right w:val="single" w:sz="4" w:space="0" w:color="auto"/>
            </w:tcBorders>
            <w:noWrap/>
            <w:vAlign w:val="bottom"/>
          </w:tcPr>
          <w:p w14:paraId="2CC12829" w14:textId="7D40F1C5" w:rsidR="005B6887" w:rsidRPr="005B6887" w:rsidRDefault="005B6887" w:rsidP="005B6887">
            <w:pPr>
              <w:jc w:val="right"/>
              <w:rPr>
                <w:rFonts w:cs="Arial"/>
                <w:b/>
                <w:bCs/>
              </w:rPr>
            </w:pPr>
            <w:r w:rsidRPr="005B6887">
              <w:rPr>
                <w:rFonts w:cs="Arial"/>
                <w:b/>
                <w:bCs/>
              </w:rPr>
              <w:t>585</w:t>
            </w:r>
          </w:p>
        </w:tc>
      </w:tr>
    </w:tbl>
    <w:p w14:paraId="5613CD13" w14:textId="77777777" w:rsidR="005B6887" w:rsidRDefault="005B6887" w:rsidP="005B6887">
      <w:pPr>
        <w:ind w:left="-142" w:right="-425"/>
        <w:jc w:val="both"/>
        <w:rPr>
          <w:rFonts w:cs="Arial"/>
        </w:rPr>
      </w:pPr>
    </w:p>
    <w:p w14:paraId="27EFE698" w14:textId="601097CD" w:rsidR="0019319F" w:rsidRDefault="0019319F" w:rsidP="00106EA8">
      <w:pPr>
        <w:tabs>
          <w:tab w:val="left" w:pos="1134"/>
        </w:tabs>
        <w:ind w:left="-142" w:right="-425"/>
        <w:jc w:val="both"/>
      </w:pPr>
      <w:r>
        <w:t>I</w:t>
      </w:r>
      <w:r w:rsidR="00492241">
        <w:t xml:space="preserve">nvestigations reveal </w:t>
      </w:r>
      <w:r w:rsidR="00A429F9">
        <w:t>th</w:t>
      </w:r>
      <w:r>
        <w:t>e following information regard</w:t>
      </w:r>
      <w:r w:rsidR="003317A8">
        <w:t>ing</w:t>
      </w:r>
      <w:r>
        <w:t xml:space="preserve"> the </w:t>
      </w:r>
      <w:r w:rsidR="003317A8">
        <w:t xml:space="preserve">types of </w:t>
      </w:r>
      <w:r w:rsidR="003E4DE0">
        <w:t xml:space="preserve">sole </w:t>
      </w:r>
      <w:r w:rsidR="003317A8">
        <w:t xml:space="preserve">trigger </w:t>
      </w:r>
      <w:r>
        <w:t xml:space="preserve">notices received by </w:t>
      </w:r>
      <w:r w:rsidR="003317A8">
        <w:t xml:space="preserve">Commission </w:t>
      </w:r>
      <w:r w:rsidR="001B6C3A">
        <w:t xml:space="preserve">clients </w:t>
      </w:r>
      <w:r w:rsidR="003317A8">
        <w:t>during the quarter</w:t>
      </w:r>
      <w:r>
        <w:t>:</w:t>
      </w:r>
    </w:p>
    <w:p w14:paraId="45933DA0" w14:textId="77777777" w:rsidR="003E4DE0" w:rsidRDefault="003E4DE0" w:rsidP="00106EA8">
      <w:pPr>
        <w:tabs>
          <w:tab w:val="left" w:pos="1134"/>
        </w:tabs>
        <w:ind w:left="-142" w:right="-425"/>
        <w:jc w:val="both"/>
      </w:pPr>
    </w:p>
    <w:p w14:paraId="6C36ABA8" w14:textId="573E057E" w:rsidR="003317A8" w:rsidRDefault="003317A8" w:rsidP="003E4DE0">
      <w:pPr>
        <w:tabs>
          <w:tab w:val="left" w:pos="1134"/>
        </w:tabs>
        <w:ind w:left="142" w:right="-425"/>
        <w:jc w:val="both"/>
      </w:pPr>
      <w:r>
        <w:t>53 percent</w:t>
      </w:r>
      <w:r w:rsidR="00556996">
        <w:rPr>
          <w:vertAlign w:val="superscript"/>
        </w:rPr>
        <w:t>4</w:t>
      </w:r>
      <w:r>
        <w:t xml:space="preserve"> received a school attendance notice</w:t>
      </w:r>
    </w:p>
    <w:p w14:paraId="148CD9E5" w14:textId="564C0675" w:rsidR="003317A8" w:rsidRDefault="00492241" w:rsidP="003E4DE0">
      <w:pPr>
        <w:tabs>
          <w:tab w:val="left" w:pos="1134"/>
        </w:tabs>
        <w:ind w:left="142" w:right="-425"/>
        <w:jc w:val="both"/>
      </w:pPr>
      <w:r>
        <w:t>20 percent</w:t>
      </w:r>
      <w:r w:rsidR="002D034C" w:rsidRPr="002D034C">
        <w:rPr>
          <w:vertAlign w:val="superscript"/>
        </w:rPr>
        <w:t>4</w:t>
      </w:r>
      <w:r>
        <w:t xml:space="preserve"> received a Magistrate Co</w:t>
      </w:r>
      <w:r w:rsidR="00E364B4">
        <w:t>u</w:t>
      </w:r>
      <w:r>
        <w:t>rt notice</w:t>
      </w:r>
    </w:p>
    <w:p w14:paraId="2F67FFD0" w14:textId="3DA08973" w:rsidR="003317A8" w:rsidRDefault="00E364B4" w:rsidP="003E4DE0">
      <w:pPr>
        <w:tabs>
          <w:tab w:val="left" w:pos="1134"/>
        </w:tabs>
        <w:ind w:left="142" w:right="-425"/>
        <w:jc w:val="both"/>
      </w:pPr>
      <w:r>
        <w:t>7 percent</w:t>
      </w:r>
      <w:r w:rsidR="002D034C" w:rsidRPr="002D034C">
        <w:rPr>
          <w:vertAlign w:val="superscript"/>
        </w:rPr>
        <w:t>4</w:t>
      </w:r>
      <w:r>
        <w:t xml:space="preserve"> received a domestic violence order notice</w:t>
      </w:r>
      <w:r w:rsidR="001B6C3A">
        <w:t xml:space="preserve"> and</w:t>
      </w:r>
    </w:p>
    <w:p w14:paraId="6BABDAC1" w14:textId="52C5DD8A" w:rsidR="001B6C3A" w:rsidRDefault="00E364B4" w:rsidP="003E4DE0">
      <w:pPr>
        <w:tabs>
          <w:tab w:val="left" w:pos="1134"/>
        </w:tabs>
        <w:ind w:left="142" w:right="-425"/>
        <w:jc w:val="both"/>
      </w:pPr>
      <w:r>
        <w:t>4 percent</w:t>
      </w:r>
      <w:r w:rsidR="002D034C" w:rsidRPr="002D034C">
        <w:rPr>
          <w:vertAlign w:val="superscript"/>
        </w:rPr>
        <w:t>4</w:t>
      </w:r>
      <w:r>
        <w:t xml:space="preserve"> received a child safety and welfare notice.</w:t>
      </w:r>
      <w:r w:rsidR="001133BC">
        <w:t xml:space="preserve"> </w:t>
      </w:r>
    </w:p>
    <w:p w14:paraId="3FF1758E" w14:textId="77777777" w:rsidR="001B6C3A" w:rsidRDefault="001B6C3A" w:rsidP="00106EA8">
      <w:pPr>
        <w:tabs>
          <w:tab w:val="left" w:pos="1134"/>
        </w:tabs>
        <w:ind w:left="-142" w:right="-425"/>
        <w:jc w:val="both"/>
      </w:pPr>
    </w:p>
    <w:p w14:paraId="26281067" w14:textId="3AD1F5EB" w:rsidR="0030587D" w:rsidRDefault="00EA75FE" w:rsidP="00106EA8">
      <w:pPr>
        <w:tabs>
          <w:tab w:val="left" w:pos="1134"/>
        </w:tabs>
        <w:ind w:left="-142" w:right="-425"/>
        <w:jc w:val="both"/>
      </w:pPr>
      <w:r>
        <w:t xml:space="preserve">The remaining sole trigger notices </w:t>
      </w:r>
      <w:r w:rsidR="001B6C3A">
        <w:t xml:space="preserve">received for Commission clients during the quarter </w:t>
      </w:r>
      <w:r w:rsidR="00410B59">
        <w:t>were</w:t>
      </w:r>
      <w:r>
        <w:t xml:space="preserve"> </w:t>
      </w:r>
      <w:r w:rsidR="001B6C3A">
        <w:t xml:space="preserve">1 client with a </w:t>
      </w:r>
      <w:r w:rsidR="001133BC">
        <w:t xml:space="preserve">District Court </w:t>
      </w:r>
      <w:r w:rsidR="001B6C3A">
        <w:t xml:space="preserve">notice, </w:t>
      </w:r>
      <w:r w:rsidR="00542602">
        <w:t xml:space="preserve">4 </w:t>
      </w:r>
      <w:r>
        <w:t>client</w:t>
      </w:r>
      <w:r w:rsidR="00542602">
        <w:t>s</w:t>
      </w:r>
      <w:r w:rsidR="001B6C3A">
        <w:t xml:space="preserve"> with a</w:t>
      </w:r>
      <w:r w:rsidR="001133BC">
        <w:t xml:space="preserve"> domestic violence breach </w:t>
      </w:r>
      <w:r w:rsidR="001B6C3A">
        <w:t xml:space="preserve">notice, </w:t>
      </w:r>
      <w:r w:rsidR="00542602">
        <w:t xml:space="preserve">1 </w:t>
      </w:r>
      <w:r w:rsidR="002A0383">
        <w:t xml:space="preserve">client with </w:t>
      </w:r>
      <w:r w:rsidR="001B6C3A">
        <w:t xml:space="preserve">a </w:t>
      </w:r>
      <w:r w:rsidR="001133BC">
        <w:t>housing tenancy breach</w:t>
      </w:r>
      <w:r w:rsidR="002A0383">
        <w:t xml:space="preserve"> notice and 2 clients with a</w:t>
      </w:r>
      <w:r w:rsidR="001133BC">
        <w:t xml:space="preserve"> school enrolment </w:t>
      </w:r>
      <w:r w:rsidR="002A0383">
        <w:t>breach notice</w:t>
      </w:r>
      <w:r>
        <w:t>.</w:t>
      </w:r>
    </w:p>
    <w:p w14:paraId="1CDA4B4C" w14:textId="7D876332" w:rsidR="0030587D" w:rsidRDefault="0030587D" w:rsidP="00106EA8">
      <w:pPr>
        <w:tabs>
          <w:tab w:val="left" w:pos="1134"/>
        </w:tabs>
        <w:ind w:left="-142" w:right="-425"/>
        <w:jc w:val="both"/>
      </w:pPr>
    </w:p>
    <w:p w14:paraId="78ABBEEE" w14:textId="7C4CF51C" w:rsidR="004E36FE" w:rsidRDefault="00702AE8" w:rsidP="004E36FE">
      <w:pPr>
        <w:tabs>
          <w:tab w:val="left" w:pos="1134"/>
        </w:tabs>
        <w:ind w:left="-142" w:right="-425"/>
        <w:jc w:val="both"/>
      </w:pPr>
      <w:r>
        <w:t>A</w:t>
      </w:r>
      <w:r w:rsidR="002A0383">
        <w:t>dditional</w:t>
      </w:r>
      <w:r w:rsidR="006E1ADD">
        <w:t xml:space="preserve"> insight into</w:t>
      </w:r>
      <w:r w:rsidR="001133BC">
        <w:t xml:space="preserve"> </w:t>
      </w:r>
      <w:r w:rsidR="00C73445">
        <w:t xml:space="preserve">the </w:t>
      </w:r>
      <w:r w:rsidR="00D66185">
        <w:t xml:space="preserve">complexity of </w:t>
      </w:r>
      <w:r w:rsidR="00C73445">
        <w:t>issues faced by clients</w:t>
      </w:r>
      <w:r>
        <w:t xml:space="preserve"> can be seen below</w:t>
      </w:r>
      <w:r w:rsidR="00C73445">
        <w:t xml:space="preserve">. </w:t>
      </w:r>
      <w:r>
        <w:t>Table 2 shows t</w:t>
      </w:r>
      <w:r w:rsidR="00D87B74">
        <w:t xml:space="preserve">he combination of trigger notices received for the </w:t>
      </w:r>
      <w:r w:rsidR="00DB02B5">
        <w:t xml:space="preserve">83 clients </w:t>
      </w:r>
      <w:r w:rsidR="006E1ADD">
        <w:t>w</w:t>
      </w:r>
      <w:r w:rsidR="00266BB4">
        <w:t xml:space="preserve">ith </w:t>
      </w:r>
      <w:r w:rsidR="00DB02B5">
        <w:t xml:space="preserve">more than one </w:t>
      </w:r>
      <w:r w:rsidR="00D87B74">
        <w:t xml:space="preserve">type of </w:t>
      </w:r>
      <w:r w:rsidR="00DB02B5">
        <w:t xml:space="preserve">trigger </w:t>
      </w:r>
      <w:r w:rsidR="00D87B74">
        <w:t xml:space="preserve">notice. One can see that predominantly </w:t>
      </w:r>
      <w:r w:rsidR="00266BB4">
        <w:t xml:space="preserve">the occurrence of </w:t>
      </w:r>
      <w:r w:rsidR="00D87B74">
        <w:t xml:space="preserve">Court convictions </w:t>
      </w:r>
      <w:r w:rsidR="00266BB4">
        <w:t xml:space="preserve">and domestic violence orders/breaches </w:t>
      </w:r>
      <w:r w:rsidR="00D87B74">
        <w:t>feed into education and child safety issues</w:t>
      </w:r>
      <w:r w:rsidR="00266BB4">
        <w:t xml:space="preserve">. </w:t>
      </w:r>
    </w:p>
    <w:p w14:paraId="4DF56508" w14:textId="6FC8AD83" w:rsidR="0030587D" w:rsidRDefault="0030587D" w:rsidP="00106EA8">
      <w:pPr>
        <w:tabs>
          <w:tab w:val="left" w:pos="1134"/>
        </w:tabs>
        <w:ind w:left="-142" w:right="-425"/>
        <w:jc w:val="both"/>
      </w:pPr>
    </w:p>
    <w:p w14:paraId="37877D02" w14:textId="77777777" w:rsidR="00C95264" w:rsidRDefault="00C95264">
      <w:pPr>
        <w:spacing w:line="240" w:lineRule="auto"/>
        <w:rPr>
          <w:b/>
          <w:sz w:val="16"/>
          <w:szCs w:val="16"/>
        </w:rPr>
      </w:pPr>
      <w:r>
        <w:rPr>
          <w:b/>
          <w:sz w:val="16"/>
          <w:szCs w:val="16"/>
        </w:rPr>
        <w:br w:type="page"/>
      </w:r>
    </w:p>
    <w:p w14:paraId="545211AE" w14:textId="1BD4387B" w:rsidR="0030587D" w:rsidRPr="00352CA2" w:rsidRDefault="0030587D" w:rsidP="00352CA2">
      <w:pPr>
        <w:spacing w:after="120" w:line="240" w:lineRule="auto"/>
        <w:ind w:left="794" w:hanging="794"/>
        <w:rPr>
          <w:b/>
          <w:sz w:val="16"/>
          <w:szCs w:val="16"/>
        </w:rPr>
      </w:pPr>
      <w:r w:rsidRPr="00352CA2">
        <w:rPr>
          <w:b/>
          <w:sz w:val="16"/>
          <w:szCs w:val="16"/>
        </w:rPr>
        <w:lastRenderedPageBreak/>
        <w:t xml:space="preserve">Table </w:t>
      </w:r>
      <w:r w:rsidR="00C95264">
        <w:rPr>
          <w:b/>
          <w:sz w:val="16"/>
          <w:szCs w:val="16"/>
        </w:rPr>
        <w:t>3</w:t>
      </w:r>
      <w:r w:rsidRPr="00352CA2">
        <w:rPr>
          <w:b/>
          <w:sz w:val="16"/>
          <w:szCs w:val="16"/>
        </w:rPr>
        <w:t xml:space="preserve">: </w:t>
      </w:r>
      <w:r w:rsidR="00352CA2" w:rsidRPr="00352CA2">
        <w:rPr>
          <w:bCs/>
          <w:sz w:val="16"/>
          <w:szCs w:val="16"/>
        </w:rPr>
        <w:t xml:space="preserve">Number of clients </w:t>
      </w:r>
      <w:r w:rsidR="00266BB4">
        <w:rPr>
          <w:bCs/>
          <w:sz w:val="16"/>
          <w:szCs w:val="16"/>
        </w:rPr>
        <w:t>with</w:t>
      </w:r>
      <w:r w:rsidR="00702AE8">
        <w:rPr>
          <w:bCs/>
          <w:sz w:val="16"/>
          <w:szCs w:val="16"/>
        </w:rPr>
        <w:t xml:space="preserve"> multiple and differing </w:t>
      </w:r>
      <w:r w:rsidR="00352CA2" w:rsidRPr="00352CA2">
        <w:rPr>
          <w:bCs/>
          <w:sz w:val="16"/>
          <w:szCs w:val="16"/>
        </w:rPr>
        <w:t>agency notices from 1 January 2021 to 31 March 2021</w:t>
      </w:r>
      <w:r w:rsidR="00993F41" w:rsidRPr="00993F41">
        <w:rPr>
          <w:rStyle w:val="FootnoteReference"/>
          <w:bCs/>
        </w:rPr>
        <w:footnoteReference w:id="7"/>
      </w:r>
      <w:r w:rsidR="00352CA2" w:rsidRPr="00993F41">
        <w:rPr>
          <w:bCs/>
        </w:rPr>
        <w:t>.</w:t>
      </w:r>
    </w:p>
    <w:tbl>
      <w:tblPr>
        <w:tblW w:w="339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200"/>
        <w:gridCol w:w="1197"/>
      </w:tblGrid>
      <w:tr w:rsidR="00FE5409" w:rsidRPr="00FE5409" w14:paraId="578AE4B1" w14:textId="77777777" w:rsidTr="00352CA2">
        <w:trPr>
          <w:trHeight w:val="765"/>
        </w:trPr>
        <w:tc>
          <w:tcPr>
            <w:tcW w:w="2200" w:type="dxa"/>
            <w:shd w:val="clear" w:color="auto" w:fill="auto"/>
            <w:noWrap/>
            <w:vAlign w:val="bottom"/>
            <w:hideMark/>
          </w:tcPr>
          <w:p w14:paraId="5A4E8D3E" w14:textId="36740BC5" w:rsidR="00FE5409" w:rsidRPr="00FE5409" w:rsidRDefault="0014335A" w:rsidP="00FE5409">
            <w:pPr>
              <w:spacing w:line="240" w:lineRule="auto"/>
              <w:rPr>
                <w:rFonts w:ascii="Calibri" w:hAnsi="Calibri" w:cs="Calibri"/>
                <w:b/>
                <w:bCs/>
                <w:sz w:val="22"/>
                <w:szCs w:val="22"/>
                <w:lang w:eastAsia="en-AU"/>
              </w:rPr>
            </w:pPr>
            <w:r>
              <w:rPr>
                <w:rFonts w:ascii="Calibri" w:hAnsi="Calibri" w:cs="Calibri"/>
                <w:b/>
                <w:bCs/>
                <w:sz w:val="22"/>
                <w:szCs w:val="22"/>
                <w:lang w:eastAsia="en-AU"/>
              </w:rPr>
              <w:t>Type of Agency Notice/s</w:t>
            </w:r>
          </w:p>
        </w:tc>
        <w:tc>
          <w:tcPr>
            <w:tcW w:w="1197" w:type="dxa"/>
            <w:shd w:val="clear" w:color="auto" w:fill="auto"/>
            <w:vAlign w:val="bottom"/>
            <w:hideMark/>
          </w:tcPr>
          <w:p w14:paraId="128D733F" w14:textId="77777777" w:rsidR="00FE5409" w:rsidRPr="00FE5409" w:rsidRDefault="00FE5409" w:rsidP="00FE5409">
            <w:pPr>
              <w:spacing w:line="240" w:lineRule="auto"/>
              <w:jc w:val="center"/>
              <w:rPr>
                <w:rFonts w:ascii="Calibri" w:hAnsi="Calibri" w:cs="Calibri"/>
                <w:b/>
                <w:bCs/>
                <w:sz w:val="22"/>
                <w:szCs w:val="22"/>
                <w:lang w:eastAsia="en-AU"/>
              </w:rPr>
            </w:pPr>
            <w:r w:rsidRPr="00FE5409">
              <w:rPr>
                <w:rFonts w:ascii="Calibri" w:hAnsi="Calibri" w:cs="Calibri"/>
                <w:b/>
                <w:bCs/>
                <w:sz w:val="22"/>
                <w:szCs w:val="22"/>
                <w:lang w:eastAsia="en-AU"/>
              </w:rPr>
              <w:t>Number of clients</w:t>
            </w:r>
          </w:p>
        </w:tc>
      </w:tr>
      <w:tr w:rsidR="00FE5409" w:rsidRPr="00FE5409" w14:paraId="30B9C695" w14:textId="77777777" w:rsidTr="00352CA2">
        <w:trPr>
          <w:trHeight w:val="300"/>
        </w:trPr>
        <w:tc>
          <w:tcPr>
            <w:tcW w:w="2200" w:type="dxa"/>
            <w:shd w:val="clear" w:color="auto" w:fill="auto"/>
            <w:hideMark/>
          </w:tcPr>
          <w:p w14:paraId="01A600CA"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CS,DVB</w:t>
            </w:r>
            <w:proofErr w:type="gramEnd"/>
            <w:r w:rsidRPr="00FE5409">
              <w:rPr>
                <w:rFonts w:cs="Calibri"/>
                <w:color w:val="000000"/>
                <w:lang w:eastAsia="en-AU"/>
              </w:rPr>
              <w:t>,EQ,MAG</w:t>
            </w:r>
          </w:p>
        </w:tc>
        <w:tc>
          <w:tcPr>
            <w:tcW w:w="1197" w:type="dxa"/>
            <w:shd w:val="clear" w:color="auto" w:fill="auto"/>
            <w:hideMark/>
          </w:tcPr>
          <w:p w14:paraId="5878E36E"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w:t>
            </w:r>
          </w:p>
        </w:tc>
      </w:tr>
      <w:tr w:rsidR="00FE5409" w:rsidRPr="00FE5409" w14:paraId="311CAC0C" w14:textId="77777777" w:rsidTr="00352CA2">
        <w:trPr>
          <w:trHeight w:val="300"/>
        </w:trPr>
        <w:tc>
          <w:tcPr>
            <w:tcW w:w="2200" w:type="dxa"/>
            <w:shd w:val="clear" w:color="auto" w:fill="auto"/>
            <w:hideMark/>
          </w:tcPr>
          <w:p w14:paraId="62041C57"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CS,DVB</w:t>
            </w:r>
            <w:proofErr w:type="gramEnd"/>
            <w:r w:rsidRPr="00FE5409">
              <w:rPr>
                <w:rFonts w:cs="Calibri"/>
                <w:color w:val="000000"/>
                <w:lang w:eastAsia="en-AU"/>
              </w:rPr>
              <w:t>,MAG</w:t>
            </w:r>
          </w:p>
        </w:tc>
        <w:tc>
          <w:tcPr>
            <w:tcW w:w="1197" w:type="dxa"/>
            <w:shd w:val="clear" w:color="auto" w:fill="auto"/>
            <w:hideMark/>
          </w:tcPr>
          <w:p w14:paraId="52C02A1E"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w:t>
            </w:r>
          </w:p>
        </w:tc>
      </w:tr>
      <w:tr w:rsidR="00FE5409" w:rsidRPr="00FE5409" w14:paraId="04434822" w14:textId="77777777" w:rsidTr="00352CA2">
        <w:trPr>
          <w:trHeight w:val="300"/>
        </w:trPr>
        <w:tc>
          <w:tcPr>
            <w:tcW w:w="2200" w:type="dxa"/>
            <w:shd w:val="clear" w:color="auto" w:fill="auto"/>
            <w:hideMark/>
          </w:tcPr>
          <w:p w14:paraId="34011875"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CS,DVO</w:t>
            </w:r>
            <w:proofErr w:type="gramEnd"/>
          </w:p>
        </w:tc>
        <w:tc>
          <w:tcPr>
            <w:tcW w:w="1197" w:type="dxa"/>
            <w:shd w:val="clear" w:color="auto" w:fill="auto"/>
            <w:hideMark/>
          </w:tcPr>
          <w:p w14:paraId="29142103"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2</w:t>
            </w:r>
          </w:p>
        </w:tc>
      </w:tr>
      <w:tr w:rsidR="00FE5409" w:rsidRPr="00FE5409" w14:paraId="45421862" w14:textId="77777777" w:rsidTr="00352CA2">
        <w:trPr>
          <w:trHeight w:val="300"/>
        </w:trPr>
        <w:tc>
          <w:tcPr>
            <w:tcW w:w="2200" w:type="dxa"/>
            <w:shd w:val="clear" w:color="auto" w:fill="auto"/>
            <w:hideMark/>
          </w:tcPr>
          <w:p w14:paraId="2433043D"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CS,EQ</w:t>
            </w:r>
            <w:proofErr w:type="gramEnd"/>
          </w:p>
        </w:tc>
        <w:tc>
          <w:tcPr>
            <w:tcW w:w="1197" w:type="dxa"/>
            <w:shd w:val="clear" w:color="auto" w:fill="auto"/>
            <w:hideMark/>
          </w:tcPr>
          <w:p w14:paraId="5436615D"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18</w:t>
            </w:r>
          </w:p>
        </w:tc>
      </w:tr>
      <w:tr w:rsidR="00FE5409" w:rsidRPr="00FE5409" w14:paraId="492A9CC8" w14:textId="77777777" w:rsidTr="00352CA2">
        <w:trPr>
          <w:trHeight w:val="300"/>
        </w:trPr>
        <w:tc>
          <w:tcPr>
            <w:tcW w:w="2200" w:type="dxa"/>
            <w:shd w:val="clear" w:color="auto" w:fill="auto"/>
            <w:hideMark/>
          </w:tcPr>
          <w:p w14:paraId="13AE3B26"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CS,MAG</w:t>
            </w:r>
            <w:proofErr w:type="gramEnd"/>
          </w:p>
        </w:tc>
        <w:tc>
          <w:tcPr>
            <w:tcW w:w="1197" w:type="dxa"/>
            <w:shd w:val="clear" w:color="auto" w:fill="auto"/>
            <w:hideMark/>
          </w:tcPr>
          <w:p w14:paraId="1E1FE897"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w:t>
            </w:r>
          </w:p>
        </w:tc>
      </w:tr>
      <w:tr w:rsidR="00FE5409" w:rsidRPr="00FE5409" w14:paraId="1F7BFD3E" w14:textId="77777777" w:rsidTr="00352CA2">
        <w:trPr>
          <w:trHeight w:val="300"/>
        </w:trPr>
        <w:tc>
          <w:tcPr>
            <w:tcW w:w="2200" w:type="dxa"/>
            <w:shd w:val="clear" w:color="auto" w:fill="auto"/>
            <w:hideMark/>
          </w:tcPr>
          <w:p w14:paraId="7F0F7750"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DVB,DVO</w:t>
            </w:r>
            <w:proofErr w:type="gramEnd"/>
          </w:p>
        </w:tc>
        <w:tc>
          <w:tcPr>
            <w:tcW w:w="1197" w:type="dxa"/>
            <w:shd w:val="clear" w:color="auto" w:fill="auto"/>
            <w:hideMark/>
          </w:tcPr>
          <w:p w14:paraId="0F6136B2"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2</w:t>
            </w:r>
          </w:p>
        </w:tc>
      </w:tr>
      <w:tr w:rsidR="00FE5409" w:rsidRPr="00FE5409" w14:paraId="523D8FF2" w14:textId="77777777" w:rsidTr="00352CA2">
        <w:trPr>
          <w:trHeight w:val="300"/>
        </w:trPr>
        <w:tc>
          <w:tcPr>
            <w:tcW w:w="2200" w:type="dxa"/>
            <w:shd w:val="clear" w:color="auto" w:fill="auto"/>
            <w:hideMark/>
          </w:tcPr>
          <w:p w14:paraId="72AEFE4D"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DVB,DVO</w:t>
            </w:r>
            <w:proofErr w:type="gramEnd"/>
            <w:r w:rsidRPr="00FE5409">
              <w:rPr>
                <w:rFonts w:cs="Calibri"/>
                <w:color w:val="000000"/>
                <w:lang w:eastAsia="en-AU"/>
              </w:rPr>
              <w:t>,MAG</w:t>
            </w:r>
          </w:p>
        </w:tc>
        <w:tc>
          <w:tcPr>
            <w:tcW w:w="1197" w:type="dxa"/>
            <w:shd w:val="clear" w:color="auto" w:fill="auto"/>
            <w:hideMark/>
          </w:tcPr>
          <w:p w14:paraId="3E5EB474"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2</w:t>
            </w:r>
          </w:p>
        </w:tc>
      </w:tr>
      <w:tr w:rsidR="00FE5409" w:rsidRPr="00FE5409" w14:paraId="7473681C" w14:textId="77777777" w:rsidTr="00352CA2">
        <w:trPr>
          <w:trHeight w:val="300"/>
        </w:trPr>
        <w:tc>
          <w:tcPr>
            <w:tcW w:w="2200" w:type="dxa"/>
            <w:shd w:val="clear" w:color="auto" w:fill="auto"/>
            <w:hideMark/>
          </w:tcPr>
          <w:p w14:paraId="1EC80D89"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DVB,EQ</w:t>
            </w:r>
            <w:proofErr w:type="gramEnd"/>
            <w:r w:rsidRPr="00FE5409">
              <w:rPr>
                <w:rFonts w:cs="Calibri"/>
                <w:color w:val="000000"/>
                <w:lang w:eastAsia="en-AU"/>
              </w:rPr>
              <w:t>,MAG</w:t>
            </w:r>
          </w:p>
        </w:tc>
        <w:tc>
          <w:tcPr>
            <w:tcW w:w="1197" w:type="dxa"/>
            <w:shd w:val="clear" w:color="auto" w:fill="auto"/>
            <w:hideMark/>
          </w:tcPr>
          <w:p w14:paraId="7BBBF358"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w:t>
            </w:r>
          </w:p>
        </w:tc>
      </w:tr>
      <w:tr w:rsidR="00FE5409" w:rsidRPr="00FE5409" w14:paraId="6071AA5B" w14:textId="77777777" w:rsidTr="00352CA2">
        <w:trPr>
          <w:trHeight w:val="300"/>
        </w:trPr>
        <w:tc>
          <w:tcPr>
            <w:tcW w:w="2200" w:type="dxa"/>
            <w:shd w:val="clear" w:color="auto" w:fill="auto"/>
            <w:hideMark/>
          </w:tcPr>
          <w:p w14:paraId="0A6DDECE"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DVB,MAG</w:t>
            </w:r>
            <w:proofErr w:type="gramEnd"/>
          </w:p>
        </w:tc>
        <w:tc>
          <w:tcPr>
            <w:tcW w:w="1197" w:type="dxa"/>
            <w:shd w:val="clear" w:color="auto" w:fill="auto"/>
            <w:hideMark/>
          </w:tcPr>
          <w:p w14:paraId="34093637"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9</w:t>
            </w:r>
          </w:p>
        </w:tc>
      </w:tr>
      <w:tr w:rsidR="00FE5409" w:rsidRPr="00FE5409" w14:paraId="395B9232" w14:textId="77777777" w:rsidTr="00352CA2">
        <w:trPr>
          <w:trHeight w:val="300"/>
        </w:trPr>
        <w:tc>
          <w:tcPr>
            <w:tcW w:w="2200" w:type="dxa"/>
            <w:shd w:val="clear" w:color="auto" w:fill="auto"/>
            <w:hideMark/>
          </w:tcPr>
          <w:p w14:paraId="7A7085AF"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DVO,EQ</w:t>
            </w:r>
            <w:proofErr w:type="gramEnd"/>
          </w:p>
        </w:tc>
        <w:tc>
          <w:tcPr>
            <w:tcW w:w="1197" w:type="dxa"/>
            <w:shd w:val="clear" w:color="auto" w:fill="auto"/>
            <w:hideMark/>
          </w:tcPr>
          <w:p w14:paraId="49C583BC"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8</w:t>
            </w:r>
          </w:p>
        </w:tc>
      </w:tr>
      <w:tr w:rsidR="00FE5409" w:rsidRPr="00FE5409" w14:paraId="4E0DE7AE" w14:textId="77777777" w:rsidTr="00352CA2">
        <w:trPr>
          <w:trHeight w:val="300"/>
        </w:trPr>
        <w:tc>
          <w:tcPr>
            <w:tcW w:w="2200" w:type="dxa"/>
            <w:shd w:val="clear" w:color="auto" w:fill="auto"/>
            <w:hideMark/>
          </w:tcPr>
          <w:p w14:paraId="09046C46"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DVO,EQ</w:t>
            </w:r>
            <w:proofErr w:type="gramEnd"/>
            <w:r w:rsidRPr="00FE5409">
              <w:rPr>
                <w:rFonts w:cs="Calibri"/>
                <w:color w:val="000000"/>
                <w:lang w:eastAsia="en-AU"/>
              </w:rPr>
              <w:t>,MAG</w:t>
            </w:r>
          </w:p>
        </w:tc>
        <w:tc>
          <w:tcPr>
            <w:tcW w:w="1197" w:type="dxa"/>
            <w:shd w:val="clear" w:color="auto" w:fill="auto"/>
            <w:hideMark/>
          </w:tcPr>
          <w:p w14:paraId="09BA6052"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2</w:t>
            </w:r>
          </w:p>
        </w:tc>
      </w:tr>
      <w:tr w:rsidR="00FE5409" w:rsidRPr="00FE5409" w14:paraId="0ACB3A1E" w14:textId="77777777" w:rsidTr="00352CA2">
        <w:trPr>
          <w:trHeight w:val="300"/>
        </w:trPr>
        <w:tc>
          <w:tcPr>
            <w:tcW w:w="2200" w:type="dxa"/>
            <w:shd w:val="clear" w:color="auto" w:fill="auto"/>
            <w:hideMark/>
          </w:tcPr>
          <w:p w14:paraId="067DD967"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DVO,MAG</w:t>
            </w:r>
            <w:proofErr w:type="gramEnd"/>
          </w:p>
        </w:tc>
        <w:tc>
          <w:tcPr>
            <w:tcW w:w="1197" w:type="dxa"/>
            <w:shd w:val="clear" w:color="auto" w:fill="auto"/>
            <w:hideMark/>
          </w:tcPr>
          <w:p w14:paraId="2509FA12"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11</w:t>
            </w:r>
          </w:p>
        </w:tc>
      </w:tr>
      <w:tr w:rsidR="00FE5409" w:rsidRPr="00FE5409" w14:paraId="1787C4F7" w14:textId="77777777" w:rsidTr="00352CA2">
        <w:trPr>
          <w:trHeight w:val="300"/>
        </w:trPr>
        <w:tc>
          <w:tcPr>
            <w:tcW w:w="2200" w:type="dxa"/>
            <w:shd w:val="clear" w:color="auto" w:fill="auto"/>
            <w:hideMark/>
          </w:tcPr>
          <w:p w14:paraId="4FDE344B"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EQ,HT</w:t>
            </w:r>
            <w:proofErr w:type="gramEnd"/>
          </w:p>
        </w:tc>
        <w:tc>
          <w:tcPr>
            <w:tcW w:w="1197" w:type="dxa"/>
            <w:shd w:val="clear" w:color="auto" w:fill="auto"/>
            <w:hideMark/>
          </w:tcPr>
          <w:p w14:paraId="1A891217"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w:t>
            </w:r>
          </w:p>
        </w:tc>
      </w:tr>
      <w:tr w:rsidR="00FE5409" w:rsidRPr="00FE5409" w14:paraId="57D16BF0" w14:textId="77777777" w:rsidTr="00352CA2">
        <w:trPr>
          <w:trHeight w:val="300"/>
        </w:trPr>
        <w:tc>
          <w:tcPr>
            <w:tcW w:w="2200" w:type="dxa"/>
            <w:shd w:val="clear" w:color="auto" w:fill="auto"/>
            <w:hideMark/>
          </w:tcPr>
          <w:p w14:paraId="4E9BEB95"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EQ,MAG</w:t>
            </w:r>
            <w:proofErr w:type="gramEnd"/>
          </w:p>
        </w:tc>
        <w:tc>
          <w:tcPr>
            <w:tcW w:w="1197" w:type="dxa"/>
            <w:shd w:val="clear" w:color="auto" w:fill="auto"/>
            <w:hideMark/>
          </w:tcPr>
          <w:p w14:paraId="4EA98147"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22</w:t>
            </w:r>
          </w:p>
        </w:tc>
      </w:tr>
      <w:tr w:rsidR="00FE5409" w:rsidRPr="00FE5409" w14:paraId="6174EF9A" w14:textId="77777777" w:rsidTr="00352CA2">
        <w:trPr>
          <w:trHeight w:val="300"/>
        </w:trPr>
        <w:tc>
          <w:tcPr>
            <w:tcW w:w="2200" w:type="dxa"/>
            <w:shd w:val="clear" w:color="auto" w:fill="auto"/>
            <w:hideMark/>
          </w:tcPr>
          <w:p w14:paraId="1826CCA7"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EQ,SEN</w:t>
            </w:r>
            <w:proofErr w:type="gramEnd"/>
          </w:p>
        </w:tc>
        <w:tc>
          <w:tcPr>
            <w:tcW w:w="1197" w:type="dxa"/>
            <w:shd w:val="clear" w:color="auto" w:fill="auto"/>
            <w:hideMark/>
          </w:tcPr>
          <w:p w14:paraId="2385DCD0"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w:t>
            </w:r>
          </w:p>
        </w:tc>
      </w:tr>
      <w:tr w:rsidR="00FE5409" w:rsidRPr="00FE5409" w14:paraId="329F308F" w14:textId="77777777" w:rsidTr="00352CA2">
        <w:trPr>
          <w:trHeight w:val="300"/>
        </w:trPr>
        <w:tc>
          <w:tcPr>
            <w:tcW w:w="2200" w:type="dxa"/>
            <w:shd w:val="clear" w:color="auto" w:fill="auto"/>
            <w:hideMark/>
          </w:tcPr>
          <w:p w14:paraId="180E8DB4" w14:textId="77777777" w:rsidR="00FE5409" w:rsidRPr="00FE5409" w:rsidRDefault="00FE5409" w:rsidP="00FE5409">
            <w:pPr>
              <w:spacing w:line="240" w:lineRule="auto"/>
              <w:rPr>
                <w:rFonts w:cs="Calibri"/>
                <w:color w:val="000000"/>
                <w:lang w:eastAsia="en-AU"/>
              </w:rPr>
            </w:pPr>
            <w:proofErr w:type="gramStart"/>
            <w:r w:rsidRPr="00FE5409">
              <w:rPr>
                <w:rFonts w:cs="Calibri"/>
                <w:color w:val="000000"/>
                <w:lang w:eastAsia="en-AU"/>
              </w:rPr>
              <w:t>MAG,SEN</w:t>
            </w:r>
            <w:proofErr w:type="gramEnd"/>
          </w:p>
        </w:tc>
        <w:tc>
          <w:tcPr>
            <w:tcW w:w="1197" w:type="dxa"/>
            <w:shd w:val="clear" w:color="auto" w:fill="auto"/>
            <w:hideMark/>
          </w:tcPr>
          <w:p w14:paraId="015EF30F" w14:textId="77777777" w:rsidR="00FE5409" w:rsidRPr="00FE5409" w:rsidRDefault="00FE5409" w:rsidP="00FE5409">
            <w:pPr>
              <w:spacing w:line="240" w:lineRule="auto"/>
              <w:jc w:val="right"/>
              <w:rPr>
                <w:rFonts w:cs="Calibri"/>
                <w:color w:val="000000"/>
                <w:lang w:eastAsia="en-AU"/>
              </w:rPr>
            </w:pPr>
            <w:r w:rsidRPr="00FE5409">
              <w:rPr>
                <w:rFonts w:cs="Calibri"/>
                <w:color w:val="000000"/>
                <w:lang w:eastAsia="en-AU"/>
              </w:rPr>
              <w:t>1</w:t>
            </w:r>
          </w:p>
        </w:tc>
      </w:tr>
      <w:tr w:rsidR="00FE5409" w:rsidRPr="00FE5409" w14:paraId="50E20029" w14:textId="77777777" w:rsidTr="00352CA2">
        <w:trPr>
          <w:trHeight w:val="300"/>
        </w:trPr>
        <w:tc>
          <w:tcPr>
            <w:tcW w:w="2200" w:type="dxa"/>
            <w:shd w:val="clear" w:color="auto" w:fill="auto"/>
            <w:hideMark/>
          </w:tcPr>
          <w:p w14:paraId="53704947" w14:textId="77777777" w:rsidR="00FE5409" w:rsidRPr="00FE5409" w:rsidRDefault="00FE5409" w:rsidP="00FE5409">
            <w:pPr>
              <w:spacing w:line="240" w:lineRule="auto"/>
              <w:rPr>
                <w:rFonts w:cs="Calibri"/>
                <w:b/>
                <w:bCs/>
                <w:color w:val="000000"/>
                <w:lang w:eastAsia="en-AU"/>
              </w:rPr>
            </w:pPr>
            <w:r w:rsidRPr="00FE5409">
              <w:rPr>
                <w:rFonts w:cs="Calibri"/>
                <w:b/>
                <w:bCs/>
                <w:color w:val="000000"/>
                <w:lang w:eastAsia="en-AU"/>
              </w:rPr>
              <w:t>Total</w:t>
            </w:r>
          </w:p>
        </w:tc>
        <w:tc>
          <w:tcPr>
            <w:tcW w:w="1197" w:type="dxa"/>
            <w:shd w:val="clear" w:color="auto" w:fill="auto"/>
            <w:hideMark/>
          </w:tcPr>
          <w:p w14:paraId="15B80D46" w14:textId="7603A74C" w:rsidR="00FE5409" w:rsidRPr="00FE5409" w:rsidRDefault="00266BB4" w:rsidP="00FE5409">
            <w:pPr>
              <w:spacing w:line="240" w:lineRule="auto"/>
              <w:jc w:val="right"/>
              <w:rPr>
                <w:rFonts w:cs="Calibri"/>
                <w:b/>
                <w:bCs/>
                <w:color w:val="000000"/>
                <w:lang w:eastAsia="en-AU"/>
              </w:rPr>
            </w:pPr>
            <w:r>
              <w:rPr>
                <w:rFonts w:cs="Calibri"/>
                <w:b/>
                <w:bCs/>
                <w:color w:val="000000"/>
                <w:lang w:eastAsia="en-AU"/>
              </w:rPr>
              <w:t>83</w:t>
            </w:r>
          </w:p>
        </w:tc>
      </w:tr>
    </w:tbl>
    <w:p w14:paraId="2ADD0DB0" w14:textId="77777777" w:rsidR="00FE5409" w:rsidRDefault="00FE5409" w:rsidP="00106EA8">
      <w:pPr>
        <w:tabs>
          <w:tab w:val="left" w:pos="1134"/>
        </w:tabs>
        <w:ind w:left="-142" w:right="-425"/>
        <w:jc w:val="both"/>
      </w:pPr>
    </w:p>
    <w:p w14:paraId="6AD47BF2" w14:textId="0ED64855" w:rsidR="00342EBC" w:rsidRDefault="00342EBC" w:rsidP="00237AB1">
      <w:pPr>
        <w:ind w:left="-142" w:right="-425"/>
        <w:jc w:val="both"/>
        <w:rPr>
          <w:rFonts w:cs="Arial"/>
        </w:rPr>
      </w:pPr>
      <w:r>
        <w:rPr>
          <w:rFonts w:cs="Arial"/>
        </w:rPr>
        <w:t xml:space="preserve">As a result of </w:t>
      </w:r>
      <w:r w:rsidR="00190C1B">
        <w:rPr>
          <w:rFonts w:cs="Arial"/>
        </w:rPr>
        <w:t>an</w:t>
      </w:r>
      <w:r>
        <w:rPr>
          <w:rFonts w:cs="Arial"/>
        </w:rPr>
        <w:t xml:space="preserve"> extensive upgrade to </w:t>
      </w:r>
      <w:r w:rsidR="00DA38EC">
        <w:rPr>
          <w:rFonts w:cs="Arial"/>
        </w:rPr>
        <w:t xml:space="preserve">the </w:t>
      </w:r>
      <w:r>
        <w:rPr>
          <w:rFonts w:cs="Arial"/>
        </w:rPr>
        <w:t xml:space="preserve">functionality </w:t>
      </w:r>
      <w:r w:rsidR="00DA38EC">
        <w:rPr>
          <w:rFonts w:cs="Arial"/>
        </w:rPr>
        <w:t>of</w:t>
      </w:r>
      <w:r>
        <w:rPr>
          <w:rFonts w:cs="Arial"/>
        </w:rPr>
        <w:t xml:space="preserve"> the CRM </w:t>
      </w:r>
      <w:r w:rsidR="00000FF9">
        <w:rPr>
          <w:rFonts w:cs="Arial"/>
        </w:rPr>
        <w:t>database</w:t>
      </w:r>
      <w:r>
        <w:rPr>
          <w:rFonts w:cs="Arial"/>
        </w:rPr>
        <w:t xml:space="preserve"> implemented in February 2021, the </w:t>
      </w:r>
      <w:r w:rsidR="00000FF9">
        <w:rPr>
          <w:rFonts w:cs="Arial"/>
        </w:rPr>
        <w:t>Commission</w:t>
      </w:r>
      <w:r>
        <w:rPr>
          <w:rFonts w:cs="Arial"/>
        </w:rPr>
        <w:t xml:space="preserve"> is now able to provide a more comprehensive overview of the interactions</w:t>
      </w:r>
      <w:r w:rsidR="00881438">
        <w:rPr>
          <w:rFonts w:cs="Arial"/>
        </w:rPr>
        <w:t xml:space="preserve"> </w:t>
      </w:r>
      <w:r>
        <w:rPr>
          <w:rFonts w:cs="Arial"/>
        </w:rPr>
        <w:t xml:space="preserve">that have taken place </w:t>
      </w:r>
      <w:r w:rsidR="00881438">
        <w:rPr>
          <w:rFonts w:cs="Arial"/>
        </w:rPr>
        <w:t>with</w:t>
      </w:r>
      <w:r>
        <w:rPr>
          <w:rFonts w:cs="Arial"/>
        </w:rPr>
        <w:t xml:space="preserve"> client</w:t>
      </w:r>
      <w:r w:rsidR="00000FF9">
        <w:rPr>
          <w:rFonts w:cs="Arial"/>
        </w:rPr>
        <w:t>s</w:t>
      </w:r>
      <w:r>
        <w:rPr>
          <w:rFonts w:cs="Arial"/>
        </w:rPr>
        <w:t xml:space="preserve"> over </w:t>
      </w:r>
      <w:proofErr w:type="gramStart"/>
      <w:r>
        <w:rPr>
          <w:rFonts w:cs="Arial"/>
        </w:rPr>
        <w:t>a period of time</w:t>
      </w:r>
      <w:proofErr w:type="gramEnd"/>
      <w:r>
        <w:rPr>
          <w:rFonts w:cs="Arial"/>
        </w:rPr>
        <w:t>. The following information</w:t>
      </w:r>
      <w:r w:rsidR="00881438">
        <w:rPr>
          <w:rFonts w:cs="Arial"/>
        </w:rPr>
        <w:t xml:space="preserve"> </w:t>
      </w:r>
      <w:r w:rsidR="00190C1B">
        <w:rPr>
          <w:rFonts w:cs="Arial"/>
        </w:rPr>
        <w:t>consists of</w:t>
      </w:r>
      <w:r>
        <w:rPr>
          <w:rFonts w:cs="Arial"/>
        </w:rPr>
        <w:t xml:space="preserve"> decisions where a final determination has taken place in conference and </w:t>
      </w:r>
      <w:r w:rsidR="00190C1B">
        <w:rPr>
          <w:rFonts w:cs="Arial"/>
        </w:rPr>
        <w:t xml:space="preserve">includes decisions delivered </w:t>
      </w:r>
      <w:r>
        <w:rPr>
          <w:rFonts w:cs="Arial"/>
        </w:rPr>
        <w:t>at application hearing</w:t>
      </w:r>
      <w:r w:rsidR="00190C1B">
        <w:rPr>
          <w:rFonts w:cs="Arial"/>
        </w:rPr>
        <w:t>s. It</w:t>
      </w:r>
      <w:r w:rsidR="00881438">
        <w:rPr>
          <w:rFonts w:cs="Arial"/>
        </w:rPr>
        <w:t xml:space="preserve"> does not include instances w</w:t>
      </w:r>
      <w:r>
        <w:rPr>
          <w:rFonts w:cs="Arial"/>
        </w:rPr>
        <w:t>here a client was rescheduled to another conference due to non-attendance</w:t>
      </w:r>
      <w:r w:rsidR="00190C1B">
        <w:rPr>
          <w:rFonts w:cs="Arial"/>
        </w:rPr>
        <w:t>,</w:t>
      </w:r>
      <w:r>
        <w:rPr>
          <w:rFonts w:cs="Arial"/>
        </w:rPr>
        <w:t xml:space="preserve"> or </w:t>
      </w:r>
      <w:r w:rsidR="00DA38EC">
        <w:rPr>
          <w:rFonts w:cs="Arial"/>
        </w:rPr>
        <w:t>a</w:t>
      </w:r>
      <w:r>
        <w:rPr>
          <w:rFonts w:cs="Arial"/>
        </w:rPr>
        <w:t xml:space="preserve"> conference was adjourned to another date to allow the parties to address matter/s </w:t>
      </w:r>
      <w:r w:rsidR="00190C1B">
        <w:rPr>
          <w:rFonts w:cs="Arial"/>
        </w:rPr>
        <w:t>prior to</w:t>
      </w:r>
      <w:r>
        <w:rPr>
          <w:rFonts w:cs="Arial"/>
        </w:rPr>
        <w:t xml:space="preserve"> </w:t>
      </w:r>
      <w:proofErr w:type="gramStart"/>
      <w:r w:rsidR="00DA38EC">
        <w:rPr>
          <w:rFonts w:cs="Arial"/>
        </w:rPr>
        <w:t xml:space="preserve">making </w:t>
      </w:r>
      <w:r>
        <w:rPr>
          <w:rFonts w:cs="Arial"/>
        </w:rPr>
        <w:t>a determination</w:t>
      </w:r>
      <w:proofErr w:type="gramEnd"/>
      <w:r w:rsidR="00881438">
        <w:rPr>
          <w:rFonts w:cs="Arial"/>
        </w:rPr>
        <w:t>.</w:t>
      </w:r>
    </w:p>
    <w:p w14:paraId="7FBCF624" w14:textId="77777777" w:rsidR="00881438" w:rsidRDefault="00881438" w:rsidP="00237AB1">
      <w:pPr>
        <w:ind w:left="-142" w:right="-425"/>
        <w:jc w:val="both"/>
        <w:rPr>
          <w:rFonts w:cs="Arial"/>
        </w:rPr>
      </w:pPr>
    </w:p>
    <w:p w14:paraId="7A7B2C9D" w14:textId="77777777" w:rsidR="0056316C" w:rsidRDefault="0056316C">
      <w:pPr>
        <w:spacing w:line="240" w:lineRule="auto"/>
        <w:rPr>
          <w:rFonts w:cs="Arial"/>
        </w:rPr>
      </w:pPr>
      <w:r>
        <w:rPr>
          <w:rFonts w:cs="Arial"/>
        </w:rPr>
        <w:br w:type="page"/>
      </w:r>
    </w:p>
    <w:p w14:paraId="65D3405D" w14:textId="0E3E6264" w:rsidR="00237AB1" w:rsidRDefault="00696B4E" w:rsidP="0091685B">
      <w:pPr>
        <w:ind w:left="-142" w:right="-425"/>
        <w:jc w:val="both"/>
        <w:rPr>
          <w:rFonts w:cs="Arial"/>
        </w:rPr>
      </w:pPr>
      <w:r>
        <w:rPr>
          <w:rFonts w:cs="Arial"/>
        </w:rPr>
        <w:lastRenderedPageBreak/>
        <w:t>Show</w:t>
      </w:r>
      <w:r w:rsidR="00F305F2">
        <w:rPr>
          <w:rFonts w:cs="Arial"/>
        </w:rPr>
        <w:t>n</w:t>
      </w:r>
      <w:r>
        <w:rPr>
          <w:rFonts w:cs="Arial"/>
        </w:rPr>
        <w:t xml:space="preserve"> below are t</w:t>
      </w:r>
      <w:r w:rsidR="00237AB1">
        <w:rPr>
          <w:rFonts w:cs="Arial"/>
        </w:rPr>
        <w:t>he number of interactions (excluding reschedules and adjournments during the quarter) that resulted in a voluntary agreement</w:t>
      </w:r>
      <w:r w:rsidR="007F068B">
        <w:rPr>
          <w:rFonts w:cs="Arial"/>
        </w:rPr>
        <w:t>,</w:t>
      </w:r>
      <w:r w:rsidR="00237AB1">
        <w:rPr>
          <w:rFonts w:cs="Arial"/>
        </w:rPr>
        <w:t xml:space="preserve"> a decision by agreement or order</w:t>
      </w:r>
      <w:r w:rsidR="00AE549C">
        <w:rPr>
          <w:rFonts w:cs="Arial"/>
        </w:rPr>
        <w:t>,</w:t>
      </w:r>
      <w:r w:rsidR="007F068B">
        <w:rPr>
          <w:rFonts w:cs="Arial"/>
        </w:rPr>
        <w:t xml:space="preserve"> or a decision </w:t>
      </w:r>
      <w:r w:rsidR="00B23523">
        <w:rPr>
          <w:rFonts w:cs="Arial"/>
        </w:rPr>
        <w:t>delivered at</w:t>
      </w:r>
      <w:r w:rsidR="007F068B">
        <w:rPr>
          <w:rFonts w:cs="Arial"/>
        </w:rPr>
        <w:t xml:space="preserve"> </w:t>
      </w:r>
      <w:r w:rsidR="00DA38EC">
        <w:rPr>
          <w:rFonts w:cs="Arial"/>
        </w:rPr>
        <w:t xml:space="preserve">an </w:t>
      </w:r>
      <w:r w:rsidR="007F068B">
        <w:rPr>
          <w:rFonts w:cs="Arial"/>
        </w:rPr>
        <w:t>application hearing</w:t>
      </w:r>
      <w:r w:rsidR="00237AB1">
        <w:rPr>
          <w:rFonts w:cs="Arial"/>
        </w:rPr>
        <w:t xml:space="preserve">. </w:t>
      </w:r>
      <w:r w:rsidR="00B23523">
        <w:rPr>
          <w:rFonts w:cs="Arial"/>
        </w:rPr>
        <w:t>An increasing t</w:t>
      </w:r>
      <w:r w:rsidR="00237AB1">
        <w:rPr>
          <w:rFonts w:cs="Arial"/>
        </w:rPr>
        <w:t xml:space="preserve">rend of </w:t>
      </w:r>
      <w:r w:rsidR="00B23523">
        <w:rPr>
          <w:rFonts w:cs="Arial"/>
        </w:rPr>
        <w:t>i</w:t>
      </w:r>
      <w:r w:rsidR="00237AB1">
        <w:rPr>
          <w:rFonts w:cs="Arial"/>
        </w:rPr>
        <w:t>nteractions by the client with the Commission on a less intrusive and more proactive basis</w:t>
      </w:r>
      <w:r w:rsidR="00B23523">
        <w:rPr>
          <w:rFonts w:cs="Arial"/>
        </w:rPr>
        <w:t xml:space="preserve"> has been identified</w:t>
      </w:r>
      <w:r w:rsidR="00237AB1">
        <w:rPr>
          <w:rFonts w:cs="Arial"/>
        </w:rPr>
        <w:t xml:space="preserve">, </w:t>
      </w:r>
      <w:proofErr w:type="gramStart"/>
      <w:r w:rsidR="00237AB1">
        <w:rPr>
          <w:rFonts w:cs="Arial"/>
        </w:rPr>
        <w:t>i.e.</w:t>
      </w:r>
      <w:proofErr w:type="gramEnd"/>
      <w:r w:rsidR="00237AB1">
        <w:rPr>
          <w:rFonts w:cs="Arial"/>
        </w:rPr>
        <w:t xml:space="preserve"> where engagement is on a voluntary basis (Table </w:t>
      </w:r>
      <w:r w:rsidR="0091685B">
        <w:rPr>
          <w:rFonts w:cs="Arial"/>
        </w:rPr>
        <w:t>3</w:t>
      </w:r>
      <w:r w:rsidR="00237AB1">
        <w:rPr>
          <w:rFonts w:cs="Arial"/>
        </w:rPr>
        <w:t>)</w:t>
      </w:r>
      <w:r w:rsidR="00AE549C">
        <w:rPr>
          <w:rFonts w:cs="Arial"/>
        </w:rPr>
        <w:t>,</w:t>
      </w:r>
      <w:r w:rsidR="00237AB1">
        <w:rPr>
          <w:rFonts w:cs="Arial"/>
        </w:rPr>
        <w:t xml:space="preserve"> or where acceptance of the Commission’s decision for a referral to support service or income management is by agreement with the client (</w:t>
      </w:r>
      <w:r w:rsidR="00237AB1" w:rsidRPr="001227EE">
        <w:rPr>
          <w:rFonts w:cs="Arial"/>
        </w:rPr>
        <w:t xml:space="preserve">Table </w:t>
      </w:r>
      <w:r w:rsidR="0091685B">
        <w:rPr>
          <w:rFonts w:cs="Arial"/>
        </w:rPr>
        <w:t>4</w:t>
      </w:r>
      <w:r w:rsidR="00237AB1">
        <w:rPr>
          <w:rFonts w:cs="Arial"/>
        </w:rPr>
        <w:t>). The</w:t>
      </w:r>
      <w:r w:rsidR="00B23523">
        <w:rPr>
          <w:rFonts w:cs="Arial"/>
        </w:rPr>
        <w:t xml:space="preserve">se proactive interactions </w:t>
      </w:r>
      <w:proofErr w:type="gramStart"/>
      <w:r w:rsidR="00B23523">
        <w:rPr>
          <w:rFonts w:cs="Arial"/>
        </w:rPr>
        <w:t xml:space="preserve">are </w:t>
      </w:r>
      <w:r w:rsidR="00D505F2">
        <w:rPr>
          <w:rFonts w:cs="Arial"/>
        </w:rPr>
        <w:t>c</w:t>
      </w:r>
      <w:r w:rsidR="00237AB1">
        <w:rPr>
          <w:rFonts w:cs="Arial"/>
        </w:rPr>
        <w:t>onsider</w:t>
      </w:r>
      <w:r w:rsidR="00B23523">
        <w:rPr>
          <w:rFonts w:cs="Arial"/>
        </w:rPr>
        <w:t>ed</w:t>
      </w:r>
      <w:r w:rsidR="00237AB1">
        <w:rPr>
          <w:rFonts w:cs="Arial"/>
        </w:rPr>
        <w:t xml:space="preserve"> to be</w:t>
      </w:r>
      <w:proofErr w:type="gramEnd"/>
      <w:r w:rsidR="00237AB1">
        <w:rPr>
          <w:rFonts w:cs="Arial"/>
        </w:rPr>
        <w:t xml:space="preserve"> a positive indication that community members have developed a consciousness of their actions and are demonstrating early insight into the effect those actions have on others.</w:t>
      </w:r>
    </w:p>
    <w:p w14:paraId="7459190E" w14:textId="77777777" w:rsidR="00237AB1" w:rsidRDefault="00237AB1" w:rsidP="00237AB1">
      <w:pPr>
        <w:ind w:left="-142" w:right="-425"/>
        <w:jc w:val="both"/>
        <w:rPr>
          <w:rFonts w:cs="Arial"/>
        </w:rPr>
      </w:pPr>
    </w:p>
    <w:p w14:paraId="19233629" w14:textId="446E73E9" w:rsidR="00237AB1" w:rsidRPr="0092015D" w:rsidRDefault="00237AB1" w:rsidP="00237AB1">
      <w:pPr>
        <w:spacing w:after="120" w:line="240" w:lineRule="auto"/>
        <w:ind w:left="794" w:hanging="794"/>
      </w:pPr>
      <w:r w:rsidRPr="006C6A65">
        <w:rPr>
          <w:b/>
          <w:sz w:val="16"/>
          <w:szCs w:val="16"/>
        </w:rPr>
        <w:t xml:space="preserve">Table </w:t>
      </w:r>
      <w:r w:rsidR="00C95264">
        <w:rPr>
          <w:b/>
          <w:sz w:val="16"/>
          <w:szCs w:val="16"/>
        </w:rPr>
        <w:t>4</w:t>
      </w:r>
      <w:r w:rsidRPr="006C6A65">
        <w:rPr>
          <w:b/>
          <w:sz w:val="16"/>
          <w:szCs w:val="16"/>
        </w:rPr>
        <w:t>:</w:t>
      </w:r>
      <w:r w:rsidRPr="006C6A65">
        <w:rPr>
          <w:sz w:val="16"/>
          <w:szCs w:val="16"/>
        </w:rPr>
        <w:t xml:space="preserve"> Number of </w:t>
      </w:r>
      <w:r w:rsidRPr="00656C56">
        <w:rPr>
          <w:sz w:val="16"/>
          <w:szCs w:val="16"/>
        </w:rPr>
        <w:t xml:space="preserve">voluntary agreements </w:t>
      </w:r>
      <w:proofErr w:type="gramStart"/>
      <w:r w:rsidRPr="00656C56">
        <w:rPr>
          <w:sz w:val="16"/>
          <w:szCs w:val="16"/>
        </w:rPr>
        <w:t>entered into</w:t>
      </w:r>
      <w:proofErr w:type="gramEnd"/>
      <w:r>
        <w:rPr>
          <w:sz w:val="16"/>
          <w:szCs w:val="16"/>
        </w:rPr>
        <w:t xml:space="preserve"> </w:t>
      </w:r>
      <w:r w:rsidRPr="006C6A65">
        <w:rPr>
          <w:sz w:val="16"/>
          <w:szCs w:val="16"/>
        </w:rPr>
        <w:t xml:space="preserve">1 </w:t>
      </w:r>
      <w:r>
        <w:rPr>
          <w:sz w:val="16"/>
          <w:szCs w:val="16"/>
        </w:rPr>
        <w:t>January 2021 to 31 March 2021</w:t>
      </w:r>
      <w:bookmarkStart w:id="8" w:name="_Ref74754019"/>
      <w:r w:rsidR="00604429" w:rsidRPr="00824FDA">
        <w:rPr>
          <w:rStyle w:val="FootnoteReference"/>
        </w:rPr>
        <w:footnoteReference w:id="8"/>
      </w:r>
      <w:bookmarkEnd w:id="8"/>
      <w:r>
        <w:rPr>
          <w:sz w:val="16"/>
          <w:szCs w:val="16"/>
        </w:rPr>
        <w:t>.</w:t>
      </w:r>
    </w:p>
    <w:tbl>
      <w:tblPr>
        <w:tblStyle w:val="TableGrid"/>
        <w:tblW w:w="0" w:type="auto"/>
        <w:tblInd w:w="108" w:type="dxa"/>
        <w:tblLook w:val="04A0" w:firstRow="1" w:lastRow="0" w:firstColumn="1" w:lastColumn="0" w:noHBand="0" w:noVBand="1"/>
      </w:tblPr>
      <w:tblGrid>
        <w:gridCol w:w="1555"/>
        <w:gridCol w:w="992"/>
        <w:gridCol w:w="1134"/>
        <w:gridCol w:w="992"/>
      </w:tblGrid>
      <w:tr w:rsidR="00237AB1" w:rsidRPr="00776C26" w14:paraId="41B7F57F" w14:textId="77777777" w:rsidTr="00237AB1">
        <w:tc>
          <w:tcPr>
            <w:tcW w:w="4673" w:type="dxa"/>
            <w:gridSpan w:val="4"/>
          </w:tcPr>
          <w:p w14:paraId="76E170F9" w14:textId="5275229E" w:rsidR="00237AB1" w:rsidRPr="00776C26" w:rsidRDefault="00237AB1" w:rsidP="00237AB1">
            <w:pPr>
              <w:ind w:right="-425"/>
              <w:jc w:val="center"/>
              <w:rPr>
                <w:rFonts w:cs="Arial"/>
                <w:b/>
                <w:bCs/>
              </w:rPr>
            </w:pPr>
            <w:r>
              <w:rPr>
                <w:rFonts w:cs="Arial"/>
                <w:b/>
                <w:bCs/>
              </w:rPr>
              <w:t>Voluntary Agreements</w:t>
            </w:r>
          </w:p>
        </w:tc>
      </w:tr>
      <w:tr w:rsidR="00237AB1" w:rsidRPr="00776C26" w14:paraId="1ACB6B25" w14:textId="77777777" w:rsidTr="00237AB1">
        <w:tc>
          <w:tcPr>
            <w:tcW w:w="1555" w:type="dxa"/>
          </w:tcPr>
          <w:p w14:paraId="4951D87C" w14:textId="77777777" w:rsidR="00237AB1" w:rsidRPr="00776C26" w:rsidRDefault="00237AB1" w:rsidP="00237AB1">
            <w:pPr>
              <w:ind w:right="-425"/>
              <w:jc w:val="both"/>
              <w:rPr>
                <w:rFonts w:cs="Arial"/>
                <w:b/>
                <w:bCs/>
              </w:rPr>
            </w:pPr>
          </w:p>
        </w:tc>
        <w:tc>
          <w:tcPr>
            <w:tcW w:w="992" w:type="dxa"/>
          </w:tcPr>
          <w:p w14:paraId="63EAF499" w14:textId="4173984D" w:rsidR="00237AB1" w:rsidRPr="00776C26" w:rsidRDefault="00237AB1" w:rsidP="00237AB1">
            <w:pPr>
              <w:jc w:val="center"/>
              <w:rPr>
                <w:rFonts w:cs="Arial"/>
                <w:b/>
                <w:bCs/>
              </w:rPr>
            </w:pPr>
            <w:r>
              <w:rPr>
                <w:rFonts w:cs="Arial"/>
                <w:b/>
                <w:bCs/>
              </w:rPr>
              <w:t>V</w:t>
            </w:r>
            <w:r w:rsidRPr="00776C26">
              <w:rPr>
                <w:rFonts w:cs="Arial"/>
                <w:b/>
                <w:bCs/>
              </w:rPr>
              <w:t>CP</w:t>
            </w:r>
          </w:p>
        </w:tc>
        <w:tc>
          <w:tcPr>
            <w:tcW w:w="1134" w:type="dxa"/>
          </w:tcPr>
          <w:p w14:paraId="47B66C78" w14:textId="0AA6A076" w:rsidR="00237AB1" w:rsidRPr="00776C26" w:rsidRDefault="00237AB1" w:rsidP="00237AB1">
            <w:pPr>
              <w:jc w:val="center"/>
              <w:rPr>
                <w:rFonts w:cs="Arial"/>
                <w:b/>
                <w:bCs/>
              </w:rPr>
            </w:pPr>
            <w:r>
              <w:rPr>
                <w:rFonts w:cs="Arial"/>
                <w:b/>
                <w:bCs/>
              </w:rPr>
              <w:t>V</w:t>
            </w:r>
            <w:r w:rsidRPr="00776C26">
              <w:rPr>
                <w:rFonts w:cs="Arial"/>
                <w:b/>
                <w:bCs/>
              </w:rPr>
              <w:t>IM</w:t>
            </w:r>
          </w:p>
        </w:tc>
        <w:tc>
          <w:tcPr>
            <w:tcW w:w="992" w:type="dxa"/>
          </w:tcPr>
          <w:p w14:paraId="3C6C1E19" w14:textId="77777777" w:rsidR="00237AB1" w:rsidRPr="00776C26" w:rsidRDefault="00237AB1" w:rsidP="00237AB1">
            <w:pPr>
              <w:jc w:val="right"/>
              <w:rPr>
                <w:rFonts w:cs="Arial"/>
                <w:b/>
                <w:bCs/>
              </w:rPr>
            </w:pPr>
            <w:r w:rsidRPr="00776C26">
              <w:rPr>
                <w:rFonts w:cs="Arial"/>
                <w:b/>
                <w:bCs/>
              </w:rPr>
              <w:t>Total</w:t>
            </w:r>
          </w:p>
        </w:tc>
      </w:tr>
      <w:tr w:rsidR="00237AB1" w:rsidRPr="00776C26" w14:paraId="23E8C631" w14:textId="77777777" w:rsidTr="00237AB1">
        <w:tc>
          <w:tcPr>
            <w:tcW w:w="1555" w:type="dxa"/>
          </w:tcPr>
          <w:p w14:paraId="08DA178D" w14:textId="77777777" w:rsidR="00237AB1" w:rsidRPr="00776C26" w:rsidRDefault="00237AB1" w:rsidP="00237AB1">
            <w:pPr>
              <w:ind w:right="-425"/>
              <w:jc w:val="both"/>
              <w:rPr>
                <w:rFonts w:cs="Arial"/>
                <w:b/>
                <w:bCs/>
              </w:rPr>
            </w:pPr>
            <w:r w:rsidRPr="00776C26">
              <w:rPr>
                <w:rFonts w:cs="Arial"/>
                <w:b/>
                <w:bCs/>
              </w:rPr>
              <w:t>Total</w:t>
            </w:r>
          </w:p>
        </w:tc>
        <w:tc>
          <w:tcPr>
            <w:tcW w:w="992" w:type="dxa"/>
          </w:tcPr>
          <w:p w14:paraId="31C63D09" w14:textId="77777777" w:rsidR="00237AB1" w:rsidRPr="00776C26" w:rsidRDefault="00237AB1" w:rsidP="00237AB1">
            <w:pPr>
              <w:jc w:val="right"/>
              <w:rPr>
                <w:b/>
                <w:bCs/>
              </w:rPr>
            </w:pPr>
            <w:r>
              <w:rPr>
                <w:b/>
                <w:bCs/>
              </w:rPr>
              <w:t>0</w:t>
            </w:r>
          </w:p>
        </w:tc>
        <w:tc>
          <w:tcPr>
            <w:tcW w:w="1134" w:type="dxa"/>
          </w:tcPr>
          <w:p w14:paraId="1D2060AE" w14:textId="77777777" w:rsidR="00237AB1" w:rsidRPr="00776C26" w:rsidRDefault="00237AB1" w:rsidP="00237AB1">
            <w:pPr>
              <w:jc w:val="right"/>
              <w:rPr>
                <w:b/>
                <w:bCs/>
              </w:rPr>
            </w:pPr>
            <w:r>
              <w:rPr>
                <w:b/>
                <w:bCs/>
              </w:rPr>
              <w:t>18</w:t>
            </w:r>
          </w:p>
        </w:tc>
        <w:tc>
          <w:tcPr>
            <w:tcW w:w="992" w:type="dxa"/>
          </w:tcPr>
          <w:p w14:paraId="7E29C7F4" w14:textId="77777777" w:rsidR="00237AB1" w:rsidRPr="00776C26" w:rsidRDefault="00237AB1" w:rsidP="00237AB1">
            <w:pPr>
              <w:jc w:val="right"/>
              <w:rPr>
                <w:b/>
                <w:bCs/>
              </w:rPr>
            </w:pPr>
            <w:r>
              <w:rPr>
                <w:b/>
                <w:bCs/>
              </w:rPr>
              <w:t>18</w:t>
            </w:r>
          </w:p>
        </w:tc>
      </w:tr>
    </w:tbl>
    <w:p w14:paraId="340804AB" w14:textId="2011C4C9" w:rsidR="00C64787" w:rsidRDefault="00C64787" w:rsidP="00237AB1">
      <w:pPr>
        <w:ind w:left="-142" w:right="-425"/>
        <w:jc w:val="both"/>
        <w:rPr>
          <w:rFonts w:cs="Arial"/>
        </w:rPr>
      </w:pPr>
    </w:p>
    <w:p w14:paraId="32A7D6CF" w14:textId="25958132" w:rsidR="00237AB1" w:rsidRPr="0092015D" w:rsidRDefault="00237AB1" w:rsidP="00237AB1">
      <w:pPr>
        <w:spacing w:after="120" w:line="240" w:lineRule="auto"/>
        <w:ind w:left="794" w:hanging="794"/>
      </w:pPr>
      <w:r w:rsidRPr="006C6A65">
        <w:rPr>
          <w:b/>
          <w:sz w:val="16"/>
          <w:szCs w:val="16"/>
        </w:rPr>
        <w:t xml:space="preserve">Table </w:t>
      </w:r>
      <w:r w:rsidR="00C95264">
        <w:rPr>
          <w:b/>
          <w:sz w:val="16"/>
          <w:szCs w:val="16"/>
        </w:rPr>
        <w:t>5</w:t>
      </w:r>
      <w:r w:rsidRPr="006C6A65">
        <w:rPr>
          <w:b/>
          <w:sz w:val="16"/>
          <w:szCs w:val="16"/>
        </w:rPr>
        <w:t>:</w:t>
      </w:r>
      <w:r w:rsidRPr="006C6A65">
        <w:rPr>
          <w:sz w:val="16"/>
          <w:szCs w:val="16"/>
        </w:rPr>
        <w:t xml:space="preserve"> Number of </w:t>
      </w:r>
      <w:r>
        <w:rPr>
          <w:sz w:val="16"/>
          <w:szCs w:val="16"/>
        </w:rPr>
        <w:t xml:space="preserve">decisions by agreement </w:t>
      </w:r>
      <w:proofErr w:type="gramStart"/>
      <w:r w:rsidRPr="00656C56">
        <w:rPr>
          <w:sz w:val="16"/>
          <w:szCs w:val="16"/>
        </w:rPr>
        <w:t>entered into</w:t>
      </w:r>
      <w:proofErr w:type="gramEnd"/>
      <w:r>
        <w:rPr>
          <w:sz w:val="16"/>
          <w:szCs w:val="16"/>
        </w:rPr>
        <w:t xml:space="preserve"> </w:t>
      </w:r>
      <w:r w:rsidRPr="006C6A65">
        <w:rPr>
          <w:sz w:val="16"/>
          <w:szCs w:val="16"/>
        </w:rPr>
        <w:t xml:space="preserve">1 </w:t>
      </w:r>
      <w:r>
        <w:rPr>
          <w:sz w:val="16"/>
          <w:szCs w:val="16"/>
        </w:rPr>
        <w:t>January 2021 to 31 March 2021</w:t>
      </w:r>
      <w:r w:rsidR="008B7FCC" w:rsidRPr="008B7FCC">
        <w:rPr>
          <w:vertAlign w:val="superscript"/>
        </w:rPr>
        <w:fldChar w:fldCharType="begin"/>
      </w:r>
      <w:r w:rsidR="008B7FCC" w:rsidRPr="008B7FCC">
        <w:rPr>
          <w:vertAlign w:val="superscript"/>
        </w:rPr>
        <w:instrText xml:space="preserve"> NOTEREF _Ref74754019 \h  \* MERGEFORMAT </w:instrText>
      </w:r>
      <w:r w:rsidR="008B7FCC" w:rsidRPr="008B7FCC">
        <w:rPr>
          <w:vertAlign w:val="superscript"/>
        </w:rPr>
      </w:r>
      <w:r w:rsidR="008B7FCC" w:rsidRPr="008B7FCC">
        <w:rPr>
          <w:vertAlign w:val="superscript"/>
        </w:rPr>
        <w:fldChar w:fldCharType="separate"/>
      </w:r>
      <w:r w:rsidR="001934B3">
        <w:rPr>
          <w:vertAlign w:val="superscript"/>
        </w:rPr>
        <w:t>7</w:t>
      </w:r>
      <w:r w:rsidR="008B7FCC" w:rsidRPr="008B7FCC">
        <w:rPr>
          <w:vertAlign w:val="superscript"/>
        </w:rPr>
        <w:fldChar w:fldCharType="end"/>
      </w:r>
      <w:r>
        <w:rPr>
          <w:sz w:val="16"/>
          <w:szCs w:val="16"/>
        </w:rPr>
        <w:t>.</w:t>
      </w:r>
    </w:p>
    <w:tbl>
      <w:tblPr>
        <w:tblStyle w:val="TableGrid"/>
        <w:tblW w:w="0" w:type="auto"/>
        <w:tblInd w:w="108" w:type="dxa"/>
        <w:tblLook w:val="04A0" w:firstRow="1" w:lastRow="0" w:firstColumn="1" w:lastColumn="0" w:noHBand="0" w:noVBand="1"/>
      </w:tblPr>
      <w:tblGrid>
        <w:gridCol w:w="1555"/>
        <w:gridCol w:w="992"/>
        <w:gridCol w:w="1134"/>
        <w:gridCol w:w="992"/>
      </w:tblGrid>
      <w:tr w:rsidR="00237AB1" w14:paraId="53E930CE" w14:textId="77777777" w:rsidTr="00237AB1">
        <w:tc>
          <w:tcPr>
            <w:tcW w:w="4673" w:type="dxa"/>
            <w:gridSpan w:val="4"/>
          </w:tcPr>
          <w:p w14:paraId="6BE89000" w14:textId="77777777" w:rsidR="00237AB1" w:rsidRPr="00776C26" w:rsidRDefault="00237AB1" w:rsidP="00237AB1">
            <w:pPr>
              <w:ind w:right="-425"/>
              <w:jc w:val="center"/>
              <w:rPr>
                <w:rFonts w:cs="Arial"/>
                <w:b/>
                <w:bCs/>
              </w:rPr>
            </w:pPr>
            <w:r w:rsidRPr="00776C26">
              <w:rPr>
                <w:rFonts w:cs="Arial"/>
                <w:b/>
                <w:bCs/>
              </w:rPr>
              <w:t>Decisions by Agreement</w:t>
            </w:r>
          </w:p>
        </w:tc>
      </w:tr>
      <w:tr w:rsidR="00237AB1" w14:paraId="1B39E359" w14:textId="77777777" w:rsidTr="00237AB1">
        <w:tc>
          <w:tcPr>
            <w:tcW w:w="1555" w:type="dxa"/>
          </w:tcPr>
          <w:p w14:paraId="340242C0" w14:textId="77777777" w:rsidR="00237AB1" w:rsidRPr="00776C26" w:rsidRDefault="00237AB1" w:rsidP="00237AB1">
            <w:pPr>
              <w:ind w:right="-425"/>
              <w:jc w:val="both"/>
              <w:rPr>
                <w:rFonts w:cs="Arial"/>
                <w:b/>
                <w:bCs/>
              </w:rPr>
            </w:pPr>
            <w:r w:rsidRPr="00776C26">
              <w:rPr>
                <w:rFonts w:cs="Arial"/>
                <w:b/>
                <w:bCs/>
              </w:rPr>
              <w:t>Community</w:t>
            </w:r>
          </w:p>
        </w:tc>
        <w:tc>
          <w:tcPr>
            <w:tcW w:w="992" w:type="dxa"/>
          </w:tcPr>
          <w:p w14:paraId="55C79983" w14:textId="35668438" w:rsidR="00237AB1" w:rsidRPr="00776C26" w:rsidRDefault="00237AB1" w:rsidP="00237AB1">
            <w:pPr>
              <w:jc w:val="center"/>
              <w:rPr>
                <w:rFonts w:cs="Arial"/>
                <w:b/>
                <w:bCs/>
              </w:rPr>
            </w:pPr>
            <w:r w:rsidRPr="00776C26">
              <w:rPr>
                <w:rFonts w:cs="Arial"/>
                <w:b/>
                <w:bCs/>
              </w:rPr>
              <w:t>CP</w:t>
            </w:r>
          </w:p>
        </w:tc>
        <w:tc>
          <w:tcPr>
            <w:tcW w:w="1134" w:type="dxa"/>
          </w:tcPr>
          <w:p w14:paraId="655927A8" w14:textId="38EB1868" w:rsidR="00237AB1" w:rsidRPr="00776C26" w:rsidRDefault="00237AB1" w:rsidP="00237AB1">
            <w:pPr>
              <w:jc w:val="center"/>
              <w:rPr>
                <w:rFonts w:cs="Arial"/>
                <w:b/>
                <w:bCs/>
              </w:rPr>
            </w:pPr>
            <w:r w:rsidRPr="00776C26">
              <w:rPr>
                <w:rFonts w:cs="Arial"/>
                <w:b/>
                <w:bCs/>
              </w:rPr>
              <w:t>CIM</w:t>
            </w:r>
          </w:p>
        </w:tc>
        <w:tc>
          <w:tcPr>
            <w:tcW w:w="992" w:type="dxa"/>
          </w:tcPr>
          <w:p w14:paraId="2853358B" w14:textId="77777777" w:rsidR="00237AB1" w:rsidRPr="00776C26" w:rsidRDefault="00237AB1" w:rsidP="00237AB1">
            <w:pPr>
              <w:jc w:val="right"/>
              <w:rPr>
                <w:rFonts w:cs="Arial"/>
                <w:b/>
                <w:bCs/>
              </w:rPr>
            </w:pPr>
            <w:r w:rsidRPr="00776C26">
              <w:rPr>
                <w:rFonts w:cs="Arial"/>
                <w:b/>
                <w:bCs/>
              </w:rPr>
              <w:t>Total</w:t>
            </w:r>
          </w:p>
        </w:tc>
      </w:tr>
      <w:tr w:rsidR="00237AB1" w14:paraId="604BDE97" w14:textId="77777777" w:rsidTr="00237AB1">
        <w:tc>
          <w:tcPr>
            <w:tcW w:w="1555" w:type="dxa"/>
          </w:tcPr>
          <w:p w14:paraId="16D39C9C" w14:textId="77777777" w:rsidR="00237AB1" w:rsidRPr="00490B40" w:rsidRDefault="00237AB1" w:rsidP="00237AB1">
            <w:pPr>
              <w:ind w:right="-425"/>
              <w:jc w:val="both"/>
              <w:rPr>
                <w:rFonts w:cs="Arial"/>
              </w:rPr>
            </w:pPr>
            <w:r w:rsidRPr="00490B40">
              <w:rPr>
                <w:rFonts w:cs="Arial"/>
              </w:rPr>
              <w:t>AU</w:t>
            </w:r>
          </w:p>
        </w:tc>
        <w:tc>
          <w:tcPr>
            <w:tcW w:w="992" w:type="dxa"/>
            <w:vAlign w:val="bottom"/>
          </w:tcPr>
          <w:p w14:paraId="4F2BC6E4" w14:textId="77777777" w:rsidR="00237AB1" w:rsidRPr="00900EA0" w:rsidRDefault="00237AB1" w:rsidP="00237AB1">
            <w:pPr>
              <w:jc w:val="right"/>
            </w:pPr>
            <w:r w:rsidRPr="00900EA0">
              <w:rPr>
                <w:rFonts w:cs="Arial"/>
              </w:rPr>
              <w:t>59</w:t>
            </w:r>
          </w:p>
        </w:tc>
        <w:tc>
          <w:tcPr>
            <w:tcW w:w="1134" w:type="dxa"/>
            <w:vAlign w:val="bottom"/>
          </w:tcPr>
          <w:p w14:paraId="5D79F7D6" w14:textId="77777777" w:rsidR="00237AB1" w:rsidRPr="00900EA0" w:rsidRDefault="00237AB1" w:rsidP="00237AB1">
            <w:pPr>
              <w:jc w:val="right"/>
            </w:pPr>
            <w:r w:rsidRPr="00900EA0">
              <w:rPr>
                <w:rFonts w:cs="Arial"/>
              </w:rPr>
              <w:t>0</w:t>
            </w:r>
          </w:p>
        </w:tc>
        <w:tc>
          <w:tcPr>
            <w:tcW w:w="992" w:type="dxa"/>
            <w:vAlign w:val="bottom"/>
          </w:tcPr>
          <w:p w14:paraId="2B25B2DF" w14:textId="77777777" w:rsidR="00237AB1" w:rsidRPr="00900EA0" w:rsidRDefault="00237AB1" w:rsidP="00237AB1">
            <w:pPr>
              <w:jc w:val="right"/>
              <w:rPr>
                <w:b/>
                <w:bCs/>
              </w:rPr>
            </w:pPr>
            <w:r w:rsidRPr="00900EA0">
              <w:rPr>
                <w:rFonts w:cs="Arial"/>
                <w:b/>
                <w:bCs/>
              </w:rPr>
              <w:t>59</w:t>
            </w:r>
          </w:p>
        </w:tc>
      </w:tr>
      <w:tr w:rsidR="00237AB1" w14:paraId="1A905600" w14:textId="77777777" w:rsidTr="00237AB1">
        <w:tc>
          <w:tcPr>
            <w:tcW w:w="1555" w:type="dxa"/>
          </w:tcPr>
          <w:p w14:paraId="59A72EEE" w14:textId="77777777" w:rsidR="00237AB1" w:rsidRPr="00490B40" w:rsidRDefault="00237AB1" w:rsidP="00237AB1">
            <w:pPr>
              <w:ind w:right="-425"/>
              <w:jc w:val="both"/>
              <w:rPr>
                <w:rFonts w:cs="Arial"/>
              </w:rPr>
            </w:pPr>
            <w:r w:rsidRPr="00490B40">
              <w:rPr>
                <w:rFonts w:cs="Arial"/>
              </w:rPr>
              <w:t>CO</w:t>
            </w:r>
          </w:p>
        </w:tc>
        <w:tc>
          <w:tcPr>
            <w:tcW w:w="992" w:type="dxa"/>
            <w:vAlign w:val="bottom"/>
          </w:tcPr>
          <w:p w14:paraId="7DC045C3" w14:textId="77777777" w:rsidR="00237AB1" w:rsidRPr="00900EA0" w:rsidRDefault="00237AB1" w:rsidP="00237AB1">
            <w:pPr>
              <w:jc w:val="right"/>
            </w:pPr>
            <w:r w:rsidRPr="00900EA0">
              <w:rPr>
                <w:rFonts w:cs="Arial"/>
              </w:rPr>
              <w:t>1</w:t>
            </w:r>
          </w:p>
        </w:tc>
        <w:tc>
          <w:tcPr>
            <w:tcW w:w="1134" w:type="dxa"/>
            <w:vAlign w:val="bottom"/>
          </w:tcPr>
          <w:p w14:paraId="544139DB" w14:textId="77777777" w:rsidR="00237AB1" w:rsidRPr="00900EA0" w:rsidRDefault="00237AB1" w:rsidP="00237AB1">
            <w:pPr>
              <w:jc w:val="right"/>
            </w:pPr>
            <w:r w:rsidRPr="00900EA0">
              <w:rPr>
                <w:rFonts w:cs="Arial"/>
              </w:rPr>
              <w:t>0</w:t>
            </w:r>
          </w:p>
        </w:tc>
        <w:tc>
          <w:tcPr>
            <w:tcW w:w="992" w:type="dxa"/>
            <w:vAlign w:val="bottom"/>
          </w:tcPr>
          <w:p w14:paraId="655575AD" w14:textId="77777777" w:rsidR="00237AB1" w:rsidRPr="00900EA0" w:rsidRDefault="00237AB1" w:rsidP="00237AB1">
            <w:pPr>
              <w:jc w:val="right"/>
              <w:rPr>
                <w:b/>
                <w:bCs/>
              </w:rPr>
            </w:pPr>
            <w:r w:rsidRPr="00900EA0">
              <w:rPr>
                <w:rFonts w:cs="Arial"/>
                <w:b/>
                <w:bCs/>
              </w:rPr>
              <w:t>1</w:t>
            </w:r>
          </w:p>
        </w:tc>
      </w:tr>
      <w:tr w:rsidR="00237AB1" w14:paraId="577F7E12" w14:textId="77777777" w:rsidTr="00237AB1">
        <w:tc>
          <w:tcPr>
            <w:tcW w:w="1555" w:type="dxa"/>
          </w:tcPr>
          <w:p w14:paraId="2E4003E9" w14:textId="77777777" w:rsidR="00237AB1" w:rsidRPr="00490B40" w:rsidRDefault="00237AB1" w:rsidP="00237AB1">
            <w:pPr>
              <w:ind w:right="-425"/>
              <w:jc w:val="both"/>
              <w:rPr>
                <w:rFonts w:cs="Arial"/>
              </w:rPr>
            </w:pPr>
            <w:r w:rsidRPr="00490B40">
              <w:rPr>
                <w:rFonts w:cs="Arial"/>
              </w:rPr>
              <w:t>DM</w:t>
            </w:r>
          </w:p>
        </w:tc>
        <w:tc>
          <w:tcPr>
            <w:tcW w:w="992" w:type="dxa"/>
            <w:vAlign w:val="bottom"/>
          </w:tcPr>
          <w:p w14:paraId="68E2C72D" w14:textId="77777777" w:rsidR="00237AB1" w:rsidRPr="00900EA0" w:rsidRDefault="00237AB1" w:rsidP="00237AB1">
            <w:pPr>
              <w:jc w:val="right"/>
            </w:pPr>
            <w:r w:rsidRPr="00900EA0">
              <w:rPr>
                <w:rFonts w:cs="Arial"/>
              </w:rPr>
              <w:t>17</w:t>
            </w:r>
          </w:p>
        </w:tc>
        <w:tc>
          <w:tcPr>
            <w:tcW w:w="1134" w:type="dxa"/>
            <w:vAlign w:val="bottom"/>
          </w:tcPr>
          <w:p w14:paraId="5EFFF8C4" w14:textId="77777777" w:rsidR="00237AB1" w:rsidRPr="00900EA0" w:rsidRDefault="00237AB1" w:rsidP="00237AB1">
            <w:pPr>
              <w:jc w:val="right"/>
            </w:pPr>
            <w:r w:rsidRPr="00900EA0">
              <w:rPr>
                <w:rFonts w:cs="Arial"/>
              </w:rPr>
              <w:t>0</w:t>
            </w:r>
          </w:p>
        </w:tc>
        <w:tc>
          <w:tcPr>
            <w:tcW w:w="992" w:type="dxa"/>
            <w:vAlign w:val="bottom"/>
          </w:tcPr>
          <w:p w14:paraId="1CF754DE" w14:textId="77777777" w:rsidR="00237AB1" w:rsidRPr="00900EA0" w:rsidRDefault="00237AB1" w:rsidP="00237AB1">
            <w:pPr>
              <w:jc w:val="right"/>
              <w:rPr>
                <w:b/>
                <w:bCs/>
              </w:rPr>
            </w:pPr>
            <w:r w:rsidRPr="00900EA0">
              <w:rPr>
                <w:rFonts w:cs="Arial"/>
                <w:b/>
                <w:bCs/>
              </w:rPr>
              <w:t>17</w:t>
            </w:r>
          </w:p>
        </w:tc>
      </w:tr>
      <w:tr w:rsidR="00237AB1" w14:paraId="55AC2A32" w14:textId="77777777" w:rsidTr="00237AB1">
        <w:tc>
          <w:tcPr>
            <w:tcW w:w="1555" w:type="dxa"/>
          </w:tcPr>
          <w:p w14:paraId="511465EF" w14:textId="77777777" w:rsidR="00237AB1" w:rsidRPr="00490B40" w:rsidRDefault="00237AB1" w:rsidP="00237AB1">
            <w:pPr>
              <w:ind w:right="-425"/>
              <w:jc w:val="both"/>
              <w:rPr>
                <w:rFonts w:cs="Arial"/>
              </w:rPr>
            </w:pPr>
            <w:r w:rsidRPr="00490B40">
              <w:rPr>
                <w:rFonts w:cs="Arial"/>
              </w:rPr>
              <w:t>HV</w:t>
            </w:r>
          </w:p>
        </w:tc>
        <w:tc>
          <w:tcPr>
            <w:tcW w:w="992" w:type="dxa"/>
            <w:vAlign w:val="bottom"/>
          </w:tcPr>
          <w:p w14:paraId="16976329" w14:textId="77777777" w:rsidR="00237AB1" w:rsidRPr="00900EA0" w:rsidRDefault="00237AB1" w:rsidP="00237AB1">
            <w:pPr>
              <w:jc w:val="right"/>
            </w:pPr>
            <w:r w:rsidRPr="00900EA0">
              <w:rPr>
                <w:rFonts w:cs="Arial"/>
              </w:rPr>
              <w:t>8</w:t>
            </w:r>
          </w:p>
        </w:tc>
        <w:tc>
          <w:tcPr>
            <w:tcW w:w="1134" w:type="dxa"/>
            <w:vAlign w:val="bottom"/>
          </w:tcPr>
          <w:p w14:paraId="48C3CD7F" w14:textId="77777777" w:rsidR="00237AB1" w:rsidRPr="00900EA0" w:rsidRDefault="00237AB1" w:rsidP="00237AB1">
            <w:pPr>
              <w:jc w:val="right"/>
            </w:pPr>
            <w:r w:rsidRPr="00900EA0">
              <w:rPr>
                <w:rFonts w:cs="Arial"/>
              </w:rPr>
              <w:t>0</w:t>
            </w:r>
          </w:p>
        </w:tc>
        <w:tc>
          <w:tcPr>
            <w:tcW w:w="992" w:type="dxa"/>
            <w:vAlign w:val="bottom"/>
          </w:tcPr>
          <w:p w14:paraId="1AAF646B" w14:textId="77777777" w:rsidR="00237AB1" w:rsidRPr="00900EA0" w:rsidRDefault="00237AB1" w:rsidP="00237AB1">
            <w:pPr>
              <w:jc w:val="right"/>
              <w:rPr>
                <w:b/>
                <w:bCs/>
              </w:rPr>
            </w:pPr>
            <w:r w:rsidRPr="00900EA0">
              <w:rPr>
                <w:rFonts w:cs="Arial"/>
                <w:b/>
                <w:bCs/>
              </w:rPr>
              <w:t>8</w:t>
            </w:r>
          </w:p>
        </w:tc>
      </w:tr>
      <w:tr w:rsidR="00237AB1" w14:paraId="50F69E1F" w14:textId="77777777" w:rsidTr="00237AB1">
        <w:tc>
          <w:tcPr>
            <w:tcW w:w="1555" w:type="dxa"/>
          </w:tcPr>
          <w:p w14:paraId="48DBAB63" w14:textId="77777777" w:rsidR="00237AB1" w:rsidRPr="00490B40" w:rsidRDefault="00237AB1" w:rsidP="00237AB1">
            <w:pPr>
              <w:ind w:right="-425"/>
              <w:jc w:val="both"/>
              <w:rPr>
                <w:rFonts w:cs="Arial"/>
              </w:rPr>
            </w:pPr>
            <w:r w:rsidRPr="00490B40">
              <w:rPr>
                <w:rFonts w:cs="Arial"/>
              </w:rPr>
              <w:t>MG</w:t>
            </w:r>
          </w:p>
        </w:tc>
        <w:tc>
          <w:tcPr>
            <w:tcW w:w="992" w:type="dxa"/>
            <w:vAlign w:val="bottom"/>
          </w:tcPr>
          <w:p w14:paraId="2E4ACC08" w14:textId="77777777" w:rsidR="00237AB1" w:rsidRPr="00900EA0" w:rsidRDefault="00237AB1" w:rsidP="00237AB1">
            <w:pPr>
              <w:jc w:val="right"/>
            </w:pPr>
            <w:r w:rsidRPr="00900EA0">
              <w:rPr>
                <w:rFonts w:cs="Arial"/>
              </w:rPr>
              <w:t>4</w:t>
            </w:r>
          </w:p>
        </w:tc>
        <w:tc>
          <w:tcPr>
            <w:tcW w:w="1134" w:type="dxa"/>
            <w:vAlign w:val="bottom"/>
          </w:tcPr>
          <w:p w14:paraId="06822B4C" w14:textId="77777777" w:rsidR="00237AB1" w:rsidRPr="00900EA0" w:rsidRDefault="00237AB1" w:rsidP="00237AB1">
            <w:pPr>
              <w:jc w:val="right"/>
            </w:pPr>
            <w:r w:rsidRPr="00900EA0">
              <w:rPr>
                <w:rFonts w:cs="Arial"/>
              </w:rPr>
              <w:t>0</w:t>
            </w:r>
          </w:p>
        </w:tc>
        <w:tc>
          <w:tcPr>
            <w:tcW w:w="992" w:type="dxa"/>
            <w:vAlign w:val="bottom"/>
          </w:tcPr>
          <w:p w14:paraId="4AC3B4A9" w14:textId="77777777" w:rsidR="00237AB1" w:rsidRPr="00900EA0" w:rsidRDefault="00237AB1" w:rsidP="00237AB1">
            <w:pPr>
              <w:jc w:val="right"/>
              <w:rPr>
                <w:b/>
                <w:bCs/>
              </w:rPr>
            </w:pPr>
            <w:r w:rsidRPr="00900EA0">
              <w:rPr>
                <w:rFonts w:cs="Arial"/>
                <w:b/>
                <w:bCs/>
              </w:rPr>
              <w:t>4</w:t>
            </w:r>
          </w:p>
        </w:tc>
      </w:tr>
      <w:tr w:rsidR="00237AB1" w14:paraId="7BC56D75" w14:textId="77777777" w:rsidTr="00237AB1">
        <w:tc>
          <w:tcPr>
            <w:tcW w:w="1555" w:type="dxa"/>
          </w:tcPr>
          <w:p w14:paraId="201CE63A" w14:textId="77777777" w:rsidR="00237AB1" w:rsidRPr="00776C26" w:rsidRDefault="00237AB1" w:rsidP="00237AB1">
            <w:pPr>
              <w:ind w:right="-425"/>
              <w:jc w:val="both"/>
              <w:rPr>
                <w:rFonts w:cs="Arial"/>
                <w:b/>
                <w:bCs/>
              </w:rPr>
            </w:pPr>
            <w:r w:rsidRPr="00776C26">
              <w:rPr>
                <w:rFonts w:cs="Arial"/>
                <w:b/>
                <w:bCs/>
              </w:rPr>
              <w:t>Total</w:t>
            </w:r>
          </w:p>
        </w:tc>
        <w:tc>
          <w:tcPr>
            <w:tcW w:w="992" w:type="dxa"/>
            <w:vAlign w:val="bottom"/>
          </w:tcPr>
          <w:p w14:paraId="0FB9062E" w14:textId="77777777" w:rsidR="00237AB1" w:rsidRPr="00900EA0" w:rsidRDefault="00237AB1" w:rsidP="00237AB1">
            <w:pPr>
              <w:jc w:val="right"/>
              <w:rPr>
                <w:b/>
                <w:bCs/>
              </w:rPr>
            </w:pPr>
            <w:r w:rsidRPr="00900EA0">
              <w:rPr>
                <w:rFonts w:cs="Arial"/>
                <w:b/>
                <w:bCs/>
              </w:rPr>
              <w:t>89</w:t>
            </w:r>
          </w:p>
        </w:tc>
        <w:tc>
          <w:tcPr>
            <w:tcW w:w="1134" w:type="dxa"/>
            <w:vAlign w:val="bottom"/>
          </w:tcPr>
          <w:p w14:paraId="482ED4A6" w14:textId="77777777" w:rsidR="00237AB1" w:rsidRPr="00900EA0" w:rsidRDefault="00237AB1" w:rsidP="00237AB1">
            <w:pPr>
              <w:jc w:val="right"/>
              <w:rPr>
                <w:b/>
                <w:bCs/>
              </w:rPr>
            </w:pPr>
            <w:r w:rsidRPr="00900EA0">
              <w:rPr>
                <w:rFonts w:cs="Arial"/>
                <w:b/>
                <w:bCs/>
              </w:rPr>
              <w:t>0</w:t>
            </w:r>
          </w:p>
        </w:tc>
        <w:tc>
          <w:tcPr>
            <w:tcW w:w="992" w:type="dxa"/>
            <w:vAlign w:val="bottom"/>
          </w:tcPr>
          <w:p w14:paraId="47A0B826" w14:textId="77777777" w:rsidR="00237AB1" w:rsidRPr="00900EA0" w:rsidRDefault="00237AB1" w:rsidP="00237AB1">
            <w:pPr>
              <w:jc w:val="right"/>
              <w:rPr>
                <w:b/>
                <w:bCs/>
              </w:rPr>
            </w:pPr>
            <w:r w:rsidRPr="00900EA0">
              <w:rPr>
                <w:rFonts w:cs="Arial"/>
                <w:b/>
                <w:bCs/>
              </w:rPr>
              <w:t>89</w:t>
            </w:r>
          </w:p>
        </w:tc>
      </w:tr>
    </w:tbl>
    <w:p w14:paraId="600511AC" w14:textId="77777777" w:rsidR="00237AB1" w:rsidRDefault="00237AB1" w:rsidP="00237AB1">
      <w:pPr>
        <w:ind w:left="-142" w:right="-425"/>
        <w:jc w:val="both"/>
        <w:rPr>
          <w:rFonts w:cs="Arial"/>
        </w:rPr>
      </w:pPr>
    </w:p>
    <w:p w14:paraId="07242880" w14:textId="13B0CC1F" w:rsidR="00237AB1" w:rsidRPr="004B6F52" w:rsidRDefault="00237AB1" w:rsidP="00270A6D">
      <w:pPr>
        <w:spacing w:after="120" w:line="240" w:lineRule="auto"/>
      </w:pPr>
      <w:r w:rsidRPr="004B6F52">
        <w:rPr>
          <w:b/>
          <w:sz w:val="16"/>
          <w:szCs w:val="16"/>
        </w:rPr>
        <w:t xml:space="preserve">Table </w:t>
      </w:r>
      <w:r w:rsidR="00C95264">
        <w:rPr>
          <w:b/>
          <w:sz w:val="16"/>
          <w:szCs w:val="16"/>
        </w:rPr>
        <w:t>6</w:t>
      </w:r>
      <w:r w:rsidRPr="004B6F52">
        <w:rPr>
          <w:b/>
          <w:sz w:val="16"/>
          <w:szCs w:val="16"/>
        </w:rPr>
        <w:t>:</w:t>
      </w:r>
      <w:r w:rsidRPr="004B6F52">
        <w:rPr>
          <w:sz w:val="16"/>
          <w:szCs w:val="16"/>
        </w:rPr>
        <w:t xml:space="preserve"> Number of decisions by order from 1 </w:t>
      </w:r>
      <w:r>
        <w:rPr>
          <w:sz w:val="16"/>
          <w:szCs w:val="16"/>
        </w:rPr>
        <w:t>January 2021</w:t>
      </w:r>
      <w:r w:rsidRPr="004B6F52">
        <w:rPr>
          <w:sz w:val="16"/>
          <w:szCs w:val="16"/>
        </w:rPr>
        <w:t xml:space="preserve"> to 3</w:t>
      </w:r>
      <w:r>
        <w:rPr>
          <w:sz w:val="16"/>
          <w:szCs w:val="16"/>
        </w:rPr>
        <w:t>1 March 2021</w:t>
      </w:r>
      <w:r w:rsidR="008B7FCC" w:rsidRPr="008B7FCC">
        <w:rPr>
          <w:vertAlign w:val="superscript"/>
        </w:rPr>
        <w:fldChar w:fldCharType="begin"/>
      </w:r>
      <w:r w:rsidR="008B7FCC" w:rsidRPr="008B7FCC">
        <w:rPr>
          <w:vertAlign w:val="superscript"/>
        </w:rPr>
        <w:instrText xml:space="preserve"> NOTEREF _Ref74754019 \h  \* MERGEFORMAT </w:instrText>
      </w:r>
      <w:r w:rsidR="008B7FCC" w:rsidRPr="008B7FCC">
        <w:rPr>
          <w:vertAlign w:val="superscript"/>
        </w:rPr>
      </w:r>
      <w:r w:rsidR="008B7FCC" w:rsidRPr="008B7FCC">
        <w:rPr>
          <w:vertAlign w:val="superscript"/>
        </w:rPr>
        <w:fldChar w:fldCharType="separate"/>
      </w:r>
      <w:r w:rsidR="001934B3">
        <w:rPr>
          <w:vertAlign w:val="superscript"/>
        </w:rPr>
        <w:t>7</w:t>
      </w:r>
      <w:r w:rsidR="008B7FCC" w:rsidRPr="008B7FCC">
        <w:rPr>
          <w:vertAlign w:val="superscript"/>
        </w:rPr>
        <w:fldChar w:fldCharType="end"/>
      </w:r>
      <w:r w:rsidRPr="004B6F52">
        <w:rPr>
          <w:sz w:val="16"/>
          <w:szCs w:val="16"/>
        </w:rPr>
        <w:t>.</w:t>
      </w:r>
    </w:p>
    <w:tbl>
      <w:tblPr>
        <w:tblStyle w:val="TableGrid"/>
        <w:tblW w:w="0" w:type="auto"/>
        <w:tblInd w:w="108" w:type="dxa"/>
        <w:tblLook w:val="04A0" w:firstRow="1" w:lastRow="0" w:firstColumn="1" w:lastColumn="0" w:noHBand="0" w:noVBand="1"/>
      </w:tblPr>
      <w:tblGrid>
        <w:gridCol w:w="1487"/>
        <w:gridCol w:w="691"/>
        <w:gridCol w:w="1655"/>
        <w:gridCol w:w="840"/>
        <w:gridCol w:w="1168"/>
        <w:gridCol w:w="1469"/>
        <w:gridCol w:w="1366"/>
        <w:gridCol w:w="845"/>
      </w:tblGrid>
      <w:tr w:rsidR="00237AB1" w:rsidRPr="004B6F52" w14:paraId="53F08652" w14:textId="77777777" w:rsidTr="00237AB1">
        <w:tc>
          <w:tcPr>
            <w:tcW w:w="9521" w:type="dxa"/>
            <w:gridSpan w:val="8"/>
          </w:tcPr>
          <w:p w14:paraId="11325B98" w14:textId="77777777" w:rsidR="00237AB1" w:rsidRPr="004B6F52" w:rsidRDefault="00237AB1" w:rsidP="00237AB1">
            <w:pPr>
              <w:ind w:right="-425"/>
              <w:jc w:val="center"/>
              <w:rPr>
                <w:rFonts w:cs="Arial"/>
                <w:b/>
                <w:bCs/>
              </w:rPr>
            </w:pPr>
            <w:r w:rsidRPr="004B6F52">
              <w:rPr>
                <w:rFonts w:cs="Arial"/>
                <w:b/>
                <w:bCs/>
              </w:rPr>
              <w:t>Decisions by Order</w:t>
            </w:r>
          </w:p>
        </w:tc>
      </w:tr>
      <w:tr w:rsidR="00237AB1" w14:paraId="00D64F33" w14:textId="77777777" w:rsidTr="00237AB1">
        <w:tc>
          <w:tcPr>
            <w:tcW w:w="1487" w:type="dxa"/>
          </w:tcPr>
          <w:p w14:paraId="4D5DE928" w14:textId="77777777" w:rsidR="00237AB1" w:rsidRPr="00FB74E0" w:rsidRDefault="00237AB1" w:rsidP="00237AB1">
            <w:pPr>
              <w:ind w:right="-425"/>
              <w:jc w:val="both"/>
              <w:rPr>
                <w:rFonts w:cs="Arial"/>
                <w:b/>
                <w:bCs/>
                <w:sz w:val="18"/>
                <w:szCs w:val="18"/>
              </w:rPr>
            </w:pPr>
            <w:r w:rsidRPr="00FB74E0">
              <w:rPr>
                <w:rFonts w:cs="Arial"/>
                <w:b/>
                <w:bCs/>
                <w:sz w:val="18"/>
                <w:szCs w:val="18"/>
              </w:rPr>
              <w:t>Community</w:t>
            </w:r>
          </w:p>
        </w:tc>
        <w:tc>
          <w:tcPr>
            <w:tcW w:w="691" w:type="dxa"/>
          </w:tcPr>
          <w:p w14:paraId="26C6768E" w14:textId="2E14333C" w:rsidR="00237AB1" w:rsidRPr="00FB74E0" w:rsidRDefault="00237AB1" w:rsidP="00237AB1">
            <w:pPr>
              <w:jc w:val="center"/>
              <w:rPr>
                <w:rFonts w:cs="Arial"/>
                <w:b/>
                <w:bCs/>
                <w:sz w:val="18"/>
                <w:szCs w:val="18"/>
              </w:rPr>
            </w:pPr>
            <w:r w:rsidRPr="00FB74E0">
              <w:rPr>
                <w:rFonts w:cs="Arial"/>
                <w:b/>
                <w:bCs/>
                <w:sz w:val="18"/>
                <w:szCs w:val="18"/>
              </w:rPr>
              <w:t>CP</w:t>
            </w:r>
          </w:p>
        </w:tc>
        <w:tc>
          <w:tcPr>
            <w:tcW w:w="1655" w:type="dxa"/>
          </w:tcPr>
          <w:p w14:paraId="26BEE2F4" w14:textId="3559A601" w:rsidR="00237AB1" w:rsidRPr="00FB74E0" w:rsidRDefault="00237AB1" w:rsidP="00237AB1">
            <w:pPr>
              <w:jc w:val="center"/>
              <w:rPr>
                <w:rFonts w:cs="Arial"/>
                <w:b/>
                <w:bCs/>
                <w:sz w:val="18"/>
                <w:szCs w:val="18"/>
              </w:rPr>
            </w:pPr>
            <w:r w:rsidRPr="00FB74E0">
              <w:rPr>
                <w:rFonts w:cs="Arial"/>
                <w:b/>
                <w:bCs/>
                <w:sz w:val="18"/>
                <w:szCs w:val="18"/>
              </w:rPr>
              <w:t xml:space="preserve">CP &amp; CIM Concurrently </w:t>
            </w:r>
          </w:p>
        </w:tc>
        <w:tc>
          <w:tcPr>
            <w:tcW w:w="840" w:type="dxa"/>
          </w:tcPr>
          <w:p w14:paraId="04157B6B" w14:textId="57FE5C63" w:rsidR="00237AB1" w:rsidRPr="00FB74E0" w:rsidRDefault="00237AB1" w:rsidP="00237AB1">
            <w:pPr>
              <w:jc w:val="center"/>
              <w:rPr>
                <w:rFonts w:cs="Arial"/>
                <w:b/>
                <w:bCs/>
                <w:sz w:val="18"/>
                <w:szCs w:val="18"/>
              </w:rPr>
            </w:pPr>
            <w:r w:rsidRPr="00FB74E0">
              <w:rPr>
                <w:rFonts w:cs="Arial"/>
                <w:b/>
                <w:bCs/>
                <w:sz w:val="18"/>
                <w:szCs w:val="18"/>
              </w:rPr>
              <w:t>CIM</w:t>
            </w:r>
          </w:p>
        </w:tc>
        <w:tc>
          <w:tcPr>
            <w:tcW w:w="1168" w:type="dxa"/>
          </w:tcPr>
          <w:p w14:paraId="472C6401" w14:textId="77777777" w:rsidR="00237AB1" w:rsidRPr="00FB74E0" w:rsidRDefault="00237AB1" w:rsidP="00237AB1">
            <w:pPr>
              <w:jc w:val="center"/>
              <w:rPr>
                <w:rFonts w:cs="Arial"/>
                <w:b/>
                <w:bCs/>
                <w:sz w:val="18"/>
                <w:szCs w:val="18"/>
              </w:rPr>
            </w:pPr>
            <w:r w:rsidRPr="00FB74E0">
              <w:rPr>
                <w:rFonts w:cs="Arial"/>
                <w:b/>
                <w:bCs/>
                <w:sz w:val="18"/>
                <w:szCs w:val="18"/>
              </w:rPr>
              <w:t>No Further Action</w:t>
            </w:r>
          </w:p>
        </w:tc>
        <w:tc>
          <w:tcPr>
            <w:tcW w:w="1469" w:type="dxa"/>
          </w:tcPr>
          <w:p w14:paraId="0D0553AE" w14:textId="542B28C4" w:rsidR="00237AB1" w:rsidRPr="00FB74E0" w:rsidRDefault="00237AB1" w:rsidP="00237AB1">
            <w:pPr>
              <w:jc w:val="center"/>
              <w:rPr>
                <w:rFonts w:cs="Arial"/>
                <w:b/>
                <w:bCs/>
                <w:sz w:val="18"/>
                <w:szCs w:val="18"/>
              </w:rPr>
            </w:pPr>
            <w:r w:rsidRPr="00FB74E0">
              <w:rPr>
                <w:rFonts w:cs="Arial"/>
                <w:b/>
                <w:bCs/>
                <w:sz w:val="18"/>
                <w:szCs w:val="18"/>
              </w:rPr>
              <w:t>Recommend Support Service</w:t>
            </w:r>
          </w:p>
        </w:tc>
        <w:tc>
          <w:tcPr>
            <w:tcW w:w="1366" w:type="dxa"/>
          </w:tcPr>
          <w:p w14:paraId="20680178" w14:textId="77777777" w:rsidR="00237AB1" w:rsidRPr="00FB74E0" w:rsidRDefault="00237AB1" w:rsidP="00237AB1">
            <w:pPr>
              <w:jc w:val="center"/>
              <w:rPr>
                <w:rFonts w:cs="Arial"/>
                <w:b/>
                <w:bCs/>
                <w:sz w:val="18"/>
                <w:szCs w:val="18"/>
              </w:rPr>
            </w:pPr>
            <w:r w:rsidRPr="00FB74E0">
              <w:rPr>
                <w:rFonts w:cs="Arial"/>
                <w:b/>
                <w:bCs/>
                <w:sz w:val="18"/>
                <w:szCs w:val="18"/>
              </w:rPr>
              <w:t>Reprimand</w:t>
            </w:r>
          </w:p>
        </w:tc>
        <w:tc>
          <w:tcPr>
            <w:tcW w:w="845" w:type="dxa"/>
          </w:tcPr>
          <w:p w14:paraId="510D2877" w14:textId="77777777" w:rsidR="00237AB1" w:rsidRPr="00FB74E0" w:rsidRDefault="00237AB1" w:rsidP="00237AB1">
            <w:pPr>
              <w:jc w:val="right"/>
              <w:rPr>
                <w:rFonts w:cs="Arial"/>
                <w:b/>
                <w:bCs/>
                <w:sz w:val="18"/>
                <w:szCs w:val="18"/>
              </w:rPr>
            </w:pPr>
            <w:r w:rsidRPr="00FB74E0">
              <w:rPr>
                <w:rFonts w:cs="Arial"/>
                <w:b/>
                <w:bCs/>
                <w:sz w:val="18"/>
                <w:szCs w:val="18"/>
              </w:rPr>
              <w:t>Total</w:t>
            </w:r>
          </w:p>
        </w:tc>
      </w:tr>
      <w:tr w:rsidR="00237AB1" w14:paraId="1020AB47" w14:textId="77777777" w:rsidTr="00237AB1">
        <w:tc>
          <w:tcPr>
            <w:tcW w:w="1487" w:type="dxa"/>
          </w:tcPr>
          <w:p w14:paraId="38A91592" w14:textId="77777777" w:rsidR="00237AB1" w:rsidRPr="00490B40" w:rsidRDefault="00237AB1" w:rsidP="00237AB1">
            <w:pPr>
              <w:ind w:right="-425"/>
              <w:jc w:val="both"/>
              <w:rPr>
                <w:rFonts w:cs="Arial"/>
              </w:rPr>
            </w:pPr>
            <w:r w:rsidRPr="00490B40">
              <w:rPr>
                <w:rFonts w:cs="Arial"/>
              </w:rPr>
              <w:t>AU</w:t>
            </w:r>
          </w:p>
        </w:tc>
        <w:tc>
          <w:tcPr>
            <w:tcW w:w="691" w:type="dxa"/>
            <w:vAlign w:val="bottom"/>
          </w:tcPr>
          <w:p w14:paraId="49AD44CD" w14:textId="77777777" w:rsidR="00237AB1" w:rsidRPr="00900EA0" w:rsidRDefault="00237AB1" w:rsidP="00237AB1">
            <w:pPr>
              <w:jc w:val="right"/>
            </w:pPr>
            <w:r w:rsidRPr="00900EA0">
              <w:rPr>
                <w:rFonts w:cs="Arial"/>
              </w:rPr>
              <w:t>3</w:t>
            </w:r>
          </w:p>
        </w:tc>
        <w:tc>
          <w:tcPr>
            <w:tcW w:w="1655" w:type="dxa"/>
            <w:vAlign w:val="bottom"/>
          </w:tcPr>
          <w:p w14:paraId="17354BB6" w14:textId="77777777" w:rsidR="00237AB1" w:rsidRPr="00900EA0" w:rsidRDefault="00237AB1" w:rsidP="00237AB1">
            <w:pPr>
              <w:jc w:val="right"/>
            </w:pPr>
            <w:r w:rsidRPr="00900EA0">
              <w:rPr>
                <w:rFonts w:cs="Arial"/>
              </w:rPr>
              <w:t>0</w:t>
            </w:r>
          </w:p>
        </w:tc>
        <w:tc>
          <w:tcPr>
            <w:tcW w:w="840" w:type="dxa"/>
            <w:vAlign w:val="bottom"/>
          </w:tcPr>
          <w:p w14:paraId="72A6336C" w14:textId="77777777" w:rsidR="00237AB1" w:rsidRPr="00900EA0" w:rsidRDefault="00237AB1" w:rsidP="00237AB1">
            <w:pPr>
              <w:jc w:val="right"/>
            </w:pPr>
            <w:r w:rsidRPr="00900EA0">
              <w:rPr>
                <w:rFonts w:cs="Arial"/>
              </w:rPr>
              <w:t>4</w:t>
            </w:r>
          </w:p>
        </w:tc>
        <w:tc>
          <w:tcPr>
            <w:tcW w:w="1168" w:type="dxa"/>
            <w:vAlign w:val="bottom"/>
          </w:tcPr>
          <w:p w14:paraId="6D0F99D0" w14:textId="77777777" w:rsidR="00237AB1" w:rsidRPr="00900EA0" w:rsidRDefault="00237AB1" w:rsidP="00237AB1">
            <w:pPr>
              <w:jc w:val="right"/>
            </w:pPr>
            <w:r w:rsidRPr="00900EA0">
              <w:rPr>
                <w:rFonts w:cs="Arial"/>
              </w:rPr>
              <w:t>14</w:t>
            </w:r>
          </w:p>
        </w:tc>
        <w:tc>
          <w:tcPr>
            <w:tcW w:w="1469" w:type="dxa"/>
            <w:vAlign w:val="bottom"/>
          </w:tcPr>
          <w:p w14:paraId="0A8CA9D7" w14:textId="77777777" w:rsidR="00237AB1" w:rsidRPr="00900EA0" w:rsidRDefault="00237AB1" w:rsidP="00237AB1">
            <w:pPr>
              <w:jc w:val="right"/>
            </w:pPr>
            <w:r w:rsidRPr="00900EA0">
              <w:rPr>
                <w:rFonts w:cs="Arial"/>
              </w:rPr>
              <w:t>0</w:t>
            </w:r>
          </w:p>
        </w:tc>
        <w:tc>
          <w:tcPr>
            <w:tcW w:w="1366" w:type="dxa"/>
            <w:vAlign w:val="bottom"/>
          </w:tcPr>
          <w:p w14:paraId="515C5886" w14:textId="77777777" w:rsidR="00237AB1" w:rsidRPr="00900EA0" w:rsidRDefault="00237AB1" w:rsidP="00237AB1">
            <w:pPr>
              <w:jc w:val="right"/>
            </w:pPr>
            <w:r w:rsidRPr="00900EA0">
              <w:rPr>
                <w:rFonts w:cs="Arial"/>
              </w:rPr>
              <w:t>15</w:t>
            </w:r>
          </w:p>
        </w:tc>
        <w:tc>
          <w:tcPr>
            <w:tcW w:w="845" w:type="dxa"/>
            <w:vAlign w:val="bottom"/>
          </w:tcPr>
          <w:p w14:paraId="5EBCE817" w14:textId="77777777" w:rsidR="00237AB1" w:rsidRPr="00900EA0" w:rsidRDefault="00237AB1" w:rsidP="00237AB1">
            <w:pPr>
              <w:jc w:val="right"/>
              <w:rPr>
                <w:b/>
                <w:bCs/>
              </w:rPr>
            </w:pPr>
            <w:r w:rsidRPr="00900EA0">
              <w:rPr>
                <w:rFonts w:cs="Arial"/>
                <w:b/>
                <w:bCs/>
              </w:rPr>
              <w:t>36</w:t>
            </w:r>
          </w:p>
        </w:tc>
      </w:tr>
      <w:tr w:rsidR="00237AB1" w14:paraId="301C6385" w14:textId="77777777" w:rsidTr="00237AB1">
        <w:tc>
          <w:tcPr>
            <w:tcW w:w="1487" w:type="dxa"/>
          </w:tcPr>
          <w:p w14:paraId="50576C01" w14:textId="77777777" w:rsidR="00237AB1" w:rsidRPr="00490B40" w:rsidRDefault="00237AB1" w:rsidP="00237AB1">
            <w:pPr>
              <w:ind w:right="-425"/>
              <w:jc w:val="both"/>
              <w:rPr>
                <w:rFonts w:cs="Arial"/>
              </w:rPr>
            </w:pPr>
            <w:r w:rsidRPr="00490B40">
              <w:rPr>
                <w:rFonts w:cs="Arial"/>
              </w:rPr>
              <w:t>CO</w:t>
            </w:r>
          </w:p>
        </w:tc>
        <w:tc>
          <w:tcPr>
            <w:tcW w:w="691" w:type="dxa"/>
            <w:vAlign w:val="bottom"/>
          </w:tcPr>
          <w:p w14:paraId="44D73875" w14:textId="77777777" w:rsidR="00237AB1" w:rsidRPr="00900EA0" w:rsidRDefault="00237AB1" w:rsidP="00237AB1">
            <w:pPr>
              <w:jc w:val="right"/>
            </w:pPr>
            <w:r w:rsidRPr="00900EA0">
              <w:rPr>
                <w:rFonts w:cs="Arial"/>
              </w:rPr>
              <w:t>2</w:t>
            </w:r>
          </w:p>
        </w:tc>
        <w:tc>
          <w:tcPr>
            <w:tcW w:w="1655" w:type="dxa"/>
            <w:vAlign w:val="bottom"/>
          </w:tcPr>
          <w:p w14:paraId="0F9DAF08" w14:textId="77777777" w:rsidR="00237AB1" w:rsidRPr="00900EA0" w:rsidRDefault="00237AB1" w:rsidP="00237AB1">
            <w:pPr>
              <w:jc w:val="right"/>
            </w:pPr>
            <w:r w:rsidRPr="00900EA0">
              <w:rPr>
                <w:rFonts w:cs="Arial"/>
              </w:rPr>
              <w:t>0</w:t>
            </w:r>
          </w:p>
        </w:tc>
        <w:tc>
          <w:tcPr>
            <w:tcW w:w="840" w:type="dxa"/>
            <w:vAlign w:val="bottom"/>
          </w:tcPr>
          <w:p w14:paraId="2F50872C" w14:textId="77777777" w:rsidR="00237AB1" w:rsidRPr="00900EA0" w:rsidRDefault="00237AB1" w:rsidP="00237AB1">
            <w:pPr>
              <w:jc w:val="right"/>
            </w:pPr>
            <w:r w:rsidRPr="00900EA0">
              <w:rPr>
                <w:rFonts w:cs="Arial"/>
              </w:rPr>
              <w:t>0</w:t>
            </w:r>
          </w:p>
        </w:tc>
        <w:tc>
          <w:tcPr>
            <w:tcW w:w="1168" w:type="dxa"/>
            <w:vAlign w:val="bottom"/>
          </w:tcPr>
          <w:p w14:paraId="3F5E5E7A" w14:textId="77777777" w:rsidR="00237AB1" w:rsidRPr="00900EA0" w:rsidRDefault="00237AB1" w:rsidP="00237AB1">
            <w:pPr>
              <w:jc w:val="right"/>
            </w:pPr>
            <w:r w:rsidRPr="00900EA0">
              <w:rPr>
                <w:rFonts w:cs="Arial"/>
              </w:rPr>
              <w:t>2</w:t>
            </w:r>
          </w:p>
        </w:tc>
        <w:tc>
          <w:tcPr>
            <w:tcW w:w="1469" w:type="dxa"/>
            <w:vAlign w:val="bottom"/>
          </w:tcPr>
          <w:p w14:paraId="225B50B4" w14:textId="77777777" w:rsidR="00237AB1" w:rsidRPr="00900EA0" w:rsidRDefault="00237AB1" w:rsidP="00237AB1">
            <w:pPr>
              <w:jc w:val="right"/>
            </w:pPr>
            <w:r w:rsidRPr="00900EA0">
              <w:rPr>
                <w:rFonts w:cs="Arial"/>
              </w:rPr>
              <w:t>1</w:t>
            </w:r>
          </w:p>
        </w:tc>
        <w:tc>
          <w:tcPr>
            <w:tcW w:w="1366" w:type="dxa"/>
            <w:vAlign w:val="bottom"/>
          </w:tcPr>
          <w:p w14:paraId="2433CFD3" w14:textId="77777777" w:rsidR="00237AB1" w:rsidRPr="00900EA0" w:rsidRDefault="00237AB1" w:rsidP="00237AB1">
            <w:pPr>
              <w:jc w:val="right"/>
            </w:pPr>
            <w:r w:rsidRPr="00900EA0">
              <w:rPr>
                <w:rFonts w:cs="Arial"/>
              </w:rPr>
              <w:t>0</w:t>
            </w:r>
          </w:p>
        </w:tc>
        <w:tc>
          <w:tcPr>
            <w:tcW w:w="845" w:type="dxa"/>
            <w:vAlign w:val="bottom"/>
          </w:tcPr>
          <w:p w14:paraId="72B8A199" w14:textId="77777777" w:rsidR="00237AB1" w:rsidRPr="00900EA0" w:rsidRDefault="00237AB1" w:rsidP="00237AB1">
            <w:pPr>
              <w:jc w:val="right"/>
              <w:rPr>
                <w:b/>
                <w:bCs/>
              </w:rPr>
            </w:pPr>
            <w:r w:rsidRPr="00900EA0">
              <w:rPr>
                <w:rFonts w:cs="Arial"/>
                <w:b/>
                <w:bCs/>
              </w:rPr>
              <w:t>5</w:t>
            </w:r>
          </w:p>
        </w:tc>
      </w:tr>
      <w:tr w:rsidR="00237AB1" w14:paraId="1AF88ED4" w14:textId="77777777" w:rsidTr="00237AB1">
        <w:tc>
          <w:tcPr>
            <w:tcW w:w="1487" w:type="dxa"/>
          </w:tcPr>
          <w:p w14:paraId="4C229F63" w14:textId="77777777" w:rsidR="00237AB1" w:rsidRPr="00490B40" w:rsidRDefault="00237AB1" w:rsidP="00237AB1">
            <w:pPr>
              <w:ind w:right="-425"/>
              <w:jc w:val="both"/>
              <w:rPr>
                <w:rFonts w:cs="Arial"/>
              </w:rPr>
            </w:pPr>
            <w:r w:rsidRPr="00490B40">
              <w:rPr>
                <w:rFonts w:cs="Arial"/>
              </w:rPr>
              <w:t>DM</w:t>
            </w:r>
          </w:p>
        </w:tc>
        <w:tc>
          <w:tcPr>
            <w:tcW w:w="691" w:type="dxa"/>
            <w:vAlign w:val="bottom"/>
          </w:tcPr>
          <w:p w14:paraId="67496A09" w14:textId="77777777" w:rsidR="00237AB1" w:rsidRPr="00900EA0" w:rsidRDefault="00237AB1" w:rsidP="00237AB1">
            <w:pPr>
              <w:jc w:val="right"/>
            </w:pPr>
            <w:r w:rsidRPr="00900EA0">
              <w:rPr>
                <w:rFonts w:cs="Arial"/>
              </w:rPr>
              <w:t>7</w:t>
            </w:r>
          </w:p>
        </w:tc>
        <w:tc>
          <w:tcPr>
            <w:tcW w:w="1655" w:type="dxa"/>
            <w:vAlign w:val="bottom"/>
          </w:tcPr>
          <w:p w14:paraId="0675C9A5" w14:textId="77777777" w:rsidR="00237AB1" w:rsidRPr="00900EA0" w:rsidRDefault="00237AB1" w:rsidP="00237AB1">
            <w:pPr>
              <w:jc w:val="right"/>
            </w:pPr>
            <w:r w:rsidRPr="00900EA0">
              <w:rPr>
                <w:rFonts w:cs="Arial"/>
              </w:rPr>
              <w:t>0</w:t>
            </w:r>
          </w:p>
        </w:tc>
        <w:tc>
          <w:tcPr>
            <w:tcW w:w="840" w:type="dxa"/>
            <w:vAlign w:val="bottom"/>
          </w:tcPr>
          <w:p w14:paraId="6FC56168" w14:textId="77777777" w:rsidR="00237AB1" w:rsidRPr="00900EA0" w:rsidRDefault="00237AB1" w:rsidP="00237AB1">
            <w:pPr>
              <w:jc w:val="right"/>
            </w:pPr>
            <w:r w:rsidRPr="00900EA0">
              <w:rPr>
                <w:rFonts w:cs="Arial"/>
              </w:rPr>
              <w:t>2</w:t>
            </w:r>
          </w:p>
        </w:tc>
        <w:tc>
          <w:tcPr>
            <w:tcW w:w="1168" w:type="dxa"/>
            <w:vAlign w:val="bottom"/>
          </w:tcPr>
          <w:p w14:paraId="0236C1E7" w14:textId="77777777" w:rsidR="00237AB1" w:rsidRPr="00900EA0" w:rsidRDefault="00237AB1" w:rsidP="00237AB1">
            <w:pPr>
              <w:jc w:val="right"/>
            </w:pPr>
            <w:r w:rsidRPr="00900EA0">
              <w:rPr>
                <w:rFonts w:cs="Arial"/>
              </w:rPr>
              <w:t>14</w:t>
            </w:r>
          </w:p>
        </w:tc>
        <w:tc>
          <w:tcPr>
            <w:tcW w:w="1469" w:type="dxa"/>
            <w:vAlign w:val="bottom"/>
          </w:tcPr>
          <w:p w14:paraId="09B97CC9" w14:textId="77777777" w:rsidR="00237AB1" w:rsidRPr="00900EA0" w:rsidRDefault="00237AB1" w:rsidP="00237AB1">
            <w:pPr>
              <w:jc w:val="right"/>
            </w:pPr>
            <w:r w:rsidRPr="00900EA0">
              <w:rPr>
                <w:rFonts w:cs="Arial"/>
              </w:rPr>
              <w:t>1</w:t>
            </w:r>
          </w:p>
        </w:tc>
        <w:tc>
          <w:tcPr>
            <w:tcW w:w="1366" w:type="dxa"/>
            <w:vAlign w:val="bottom"/>
          </w:tcPr>
          <w:p w14:paraId="2BF4D189" w14:textId="77777777" w:rsidR="00237AB1" w:rsidRPr="00900EA0" w:rsidRDefault="00237AB1" w:rsidP="00237AB1">
            <w:pPr>
              <w:jc w:val="right"/>
            </w:pPr>
            <w:r w:rsidRPr="00900EA0">
              <w:rPr>
                <w:rFonts w:cs="Arial"/>
              </w:rPr>
              <w:t>20</w:t>
            </w:r>
          </w:p>
        </w:tc>
        <w:tc>
          <w:tcPr>
            <w:tcW w:w="845" w:type="dxa"/>
            <w:vAlign w:val="bottom"/>
          </w:tcPr>
          <w:p w14:paraId="6A174D2C" w14:textId="77777777" w:rsidR="00237AB1" w:rsidRPr="00900EA0" w:rsidRDefault="00237AB1" w:rsidP="00237AB1">
            <w:pPr>
              <w:jc w:val="right"/>
              <w:rPr>
                <w:b/>
                <w:bCs/>
              </w:rPr>
            </w:pPr>
            <w:r w:rsidRPr="00900EA0">
              <w:rPr>
                <w:rFonts w:cs="Arial"/>
                <w:b/>
                <w:bCs/>
              </w:rPr>
              <w:t>44</w:t>
            </w:r>
          </w:p>
        </w:tc>
      </w:tr>
      <w:tr w:rsidR="00237AB1" w14:paraId="0B079D3E" w14:textId="77777777" w:rsidTr="00237AB1">
        <w:tc>
          <w:tcPr>
            <w:tcW w:w="1487" w:type="dxa"/>
          </w:tcPr>
          <w:p w14:paraId="4C8C2425" w14:textId="77777777" w:rsidR="00237AB1" w:rsidRPr="00490B40" w:rsidRDefault="00237AB1" w:rsidP="00237AB1">
            <w:pPr>
              <w:ind w:right="-425"/>
              <w:jc w:val="both"/>
              <w:rPr>
                <w:rFonts w:cs="Arial"/>
              </w:rPr>
            </w:pPr>
            <w:r w:rsidRPr="00490B40">
              <w:rPr>
                <w:rFonts w:cs="Arial"/>
              </w:rPr>
              <w:t>HV</w:t>
            </w:r>
          </w:p>
        </w:tc>
        <w:tc>
          <w:tcPr>
            <w:tcW w:w="691" w:type="dxa"/>
            <w:vAlign w:val="bottom"/>
          </w:tcPr>
          <w:p w14:paraId="37538412" w14:textId="77777777" w:rsidR="00237AB1" w:rsidRPr="00900EA0" w:rsidRDefault="00237AB1" w:rsidP="00237AB1">
            <w:pPr>
              <w:jc w:val="right"/>
            </w:pPr>
            <w:r w:rsidRPr="00900EA0">
              <w:rPr>
                <w:rFonts w:cs="Arial"/>
              </w:rPr>
              <w:t>7</w:t>
            </w:r>
          </w:p>
        </w:tc>
        <w:tc>
          <w:tcPr>
            <w:tcW w:w="1655" w:type="dxa"/>
            <w:vAlign w:val="bottom"/>
          </w:tcPr>
          <w:p w14:paraId="19FE7E35" w14:textId="77777777" w:rsidR="00237AB1" w:rsidRPr="00900EA0" w:rsidRDefault="00237AB1" w:rsidP="00237AB1">
            <w:pPr>
              <w:jc w:val="right"/>
            </w:pPr>
            <w:r w:rsidRPr="00900EA0">
              <w:rPr>
                <w:rFonts w:cs="Arial"/>
              </w:rPr>
              <w:t>0</w:t>
            </w:r>
          </w:p>
        </w:tc>
        <w:tc>
          <w:tcPr>
            <w:tcW w:w="840" w:type="dxa"/>
            <w:vAlign w:val="bottom"/>
          </w:tcPr>
          <w:p w14:paraId="533C7EA9" w14:textId="77777777" w:rsidR="00237AB1" w:rsidRPr="00900EA0" w:rsidRDefault="00237AB1" w:rsidP="00237AB1">
            <w:pPr>
              <w:jc w:val="right"/>
            </w:pPr>
            <w:r w:rsidRPr="00900EA0">
              <w:rPr>
                <w:rFonts w:cs="Arial"/>
              </w:rPr>
              <w:t>2</w:t>
            </w:r>
          </w:p>
        </w:tc>
        <w:tc>
          <w:tcPr>
            <w:tcW w:w="1168" w:type="dxa"/>
            <w:vAlign w:val="bottom"/>
          </w:tcPr>
          <w:p w14:paraId="52D3F734" w14:textId="77777777" w:rsidR="00237AB1" w:rsidRPr="00900EA0" w:rsidRDefault="00237AB1" w:rsidP="00237AB1">
            <w:pPr>
              <w:jc w:val="right"/>
            </w:pPr>
            <w:r w:rsidRPr="00900EA0">
              <w:rPr>
                <w:rFonts w:cs="Arial"/>
              </w:rPr>
              <w:t>38</w:t>
            </w:r>
          </w:p>
        </w:tc>
        <w:tc>
          <w:tcPr>
            <w:tcW w:w="1469" w:type="dxa"/>
            <w:vAlign w:val="bottom"/>
          </w:tcPr>
          <w:p w14:paraId="28BF6F9E" w14:textId="77777777" w:rsidR="00237AB1" w:rsidRPr="00900EA0" w:rsidRDefault="00237AB1" w:rsidP="00237AB1">
            <w:pPr>
              <w:jc w:val="right"/>
            </w:pPr>
            <w:r w:rsidRPr="00900EA0">
              <w:rPr>
                <w:rFonts w:cs="Arial"/>
              </w:rPr>
              <w:t>0</w:t>
            </w:r>
          </w:p>
        </w:tc>
        <w:tc>
          <w:tcPr>
            <w:tcW w:w="1366" w:type="dxa"/>
            <w:vAlign w:val="bottom"/>
          </w:tcPr>
          <w:p w14:paraId="5329BF30" w14:textId="77777777" w:rsidR="00237AB1" w:rsidRPr="00900EA0" w:rsidRDefault="00237AB1" w:rsidP="00237AB1">
            <w:pPr>
              <w:jc w:val="right"/>
            </w:pPr>
            <w:r w:rsidRPr="00900EA0">
              <w:rPr>
                <w:rFonts w:cs="Arial"/>
              </w:rPr>
              <w:t>1</w:t>
            </w:r>
          </w:p>
        </w:tc>
        <w:tc>
          <w:tcPr>
            <w:tcW w:w="845" w:type="dxa"/>
            <w:vAlign w:val="bottom"/>
          </w:tcPr>
          <w:p w14:paraId="03987686" w14:textId="77777777" w:rsidR="00237AB1" w:rsidRPr="00900EA0" w:rsidRDefault="00237AB1" w:rsidP="00237AB1">
            <w:pPr>
              <w:jc w:val="right"/>
              <w:rPr>
                <w:b/>
                <w:bCs/>
              </w:rPr>
            </w:pPr>
            <w:r w:rsidRPr="00900EA0">
              <w:rPr>
                <w:rFonts w:cs="Arial"/>
                <w:b/>
                <w:bCs/>
              </w:rPr>
              <w:t>48</w:t>
            </w:r>
          </w:p>
        </w:tc>
      </w:tr>
      <w:tr w:rsidR="00237AB1" w14:paraId="1A110982" w14:textId="77777777" w:rsidTr="00237AB1">
        <w:tc>
          <w:tcPr>
            <w:tcW w:w="1487" w:type="dxa"/>
          </w:tcPr>
          <w:p w14:paraId="3E280D98" w14:textId="77777777" w:rsidR="00237AB1" w:rsidRPr="00490B40" w:rsidRDefault="00237AB1" w:rsidP="00237AB1">
            <w:pPr>
              <w:ind w:right="-425"/>
              <w:jc w:val="both"/>
              <w:rPr>
                <w:rFonts w:cs="Arial"/>
              </w:rPr>
            </w:pPr>
            <w:r w:rsidRPr="00490B40">
              <w:rPr>
                <w:rFonts w:cs="Arial"/>
              </w:rPr>
              <w:t>MG</w:t>
            </w:r>
          </w:p>
        </w:tc>
        <w:tc>
          <w:tcPr>
            <w:tcW w:w="691" w:type="dxa"/>
            <w:vAlign w:val="bottom"/>
          </w:tcPr>
          <w:p w14:paraId="219E514B" w14:textId="77777777" w:rsidR="00237AB1" w:rsidRPr="00900EA0" w:rsidRDefault="00237AB1" w:rsidP="00237AB1">
            <w:pPr>
              <w:jc w:val="right"/>
            </w:pPr>
            <w:r w:rsidRPr="00900EA0">
              <w:rPr>
                <w:rFonts w:cs="Arial"/>
              </w:rPr>
              <w:t>1</w:t>
            </w:r>
          </w:p>
        </w:tc>
        <w:tc>
          <w:tcPr>
            <w:tcW w:w="1655" w:type="dxa"/>
            <w:vAlign w:val="bottom"/>
          </w:tcPr>
          <w:p w14:paraId="51A17240" w14:textId="77777777" w:rsidR="00237AB1" w:rsidRPr="00900EA0" w:rsidRDefault="00237AB1" w:rsidP="00237AB1">
            <w:pPr>
              <w:jc w:val="right"/>
            </w:pPr>
            <w:r w:rsidRPr="00900EA0">
              <w:rPr>
                <w:rFonts w:cs="Arial"/>
              </w:rPr>
              <w:t>1</w:t>
            </w:r>
          </w:p>
        </w:tc>
        <w:tc>
          <w:tcPr>
            <w:tcW w:w="840" w:type="dxa"/>
            <w:vAlign w:val="bottom"/>
          </w:tcPr>
          <w:p w14:paraId="39A8F072" w14:textId="77777777" w:rsidR="00237AB1" w:rsidRPr="00900EA0" w:rsidRDefault="00237AB1" w:rsidP="00237AB1">
            <w:pPr>
              <w:jc w:val="right"/>
            </w:pPr>
            <w:r w:rsidRPr="00900EA0">
              <w:rPr>
                <w:rFonts w:cs="Arial"/>
              </w:rPr>
              <w:t>3</w:t>
            </w:r>
          </w:p>
        </w:tc>
        <w:tc>
          <w:tcPr>
            <w:tcW w:w="1168" w:type="dxa"/>
            <w:vAlign w:val="bottom"/>
          </w:tcPr>
          <w:p w14:paraId="211D0E2C" w14:textId="77777777" w:rsidR="00237AB1" w:rsidRPr="00900EA0" w:rsidRDefault="00237AB1" w:rsidP="00237AB1">
            <w:pPr>
              <w:jc w:val="right"/>
            </w:pPr>
            <w:r w:rsidRPr="00900EA0">
              <w:rPr>
                <w:rFonts w:cs="Arial"/>
              </w:rPr>
              <w:t>3</w:t>
            </w:r>
          </w:p>
        </w:tc>
        <w:tc>
          <w:tcPr>
            <w:tcW w:w="1469" w:type="dxa"/>
            <w:vAlign w:val="bottom"/>
          </w:tcPr>
          <w:p w14:paraId="72B56FC5" w14:textId="77777777" w:rsidR="00237AB1" w:rsidRPr="00900EA0" w:rsidRDefault="00237AB1" w:rsidP="00237AB1">
            <w:pPr>
              <w:jc w:val="right"/>
            </w:pPr>
            <w:r w:rsidRPr="00900EA0">
              <w:rPr>
                <w:rFonts w:cs="Arial"/>
              </w:rPr>
              <w:t>0</w:t>
            </w:r>
          </w:p>
        </w:tc>
        <w:tc>
          <w:tcPr>
            <w:tcW w:w="1366" w:type="dxa"/>
            <w:vAlign w:val="bottom"/>
          </w:tcPr>
          <w:p w14:paraId="358DC4D7" w14:textId="77777777" w:rsidR="00237AB1" w:rsidRPr="00900EA0" w:rsidRDefault="00237AB1" w:rsidP="00237AB1">
            <w:pPr>
              <w:jc w:val="right"/>
            </w:pPr>
            <w:r w:rsidRPr="00900EA0">
              <w:rPr>
                <w:rFonts w:cs="Arial"/>
              </w:rPr>
              <w:t>0</w:t>
            </w:r>
          </w:p>
        </w:tc>
        <w:tc>
          <w:tcPr>
            <w:tcW w:w="845" w:type="dxa"/>
            <w:vAlign w:val="bottom"/>
          </w:tcPr>
          <w:p w14:paraId="1AC531B7" w14:textId="77777777" w:rsidR="00237AB1" w:rsidRPr="00900EA0" w:rsidRDefault="00237AB1" w:rsidP="00237AB1">
            <w:pPr>
              <w:jc w:val="right"/>
              <w:rPr>
                <w:b/>
                <w:bCs/>
              </w:rPr>
            </w:pPr>
            <w:r w:rsidRPr="00900EA0">
              <w:rPr>
                <w:rFonts w:cs="Arial"/>
                <w:b/>
                <w:bCs/>
              </w:rPr>
              <w:t>8</w:t>
            </w:r>
          </w:p>
        </w:tc>
      </w:tr>
      <w:tr w:rsidR="00237AB1" w14:paraId="7D295E1A" w14:textId="77777777" w:rsidTr="00237AB1">
        <w:tc>
          <w:tcPr>
            <w:tcW w:w="1487" w:type="dxa"/>
          </w:tcPr>
          <w:p w14:paraId="1AA67368" w14:textId="77777777" w:rsidR="00237AB1" w:rsidRPr="00294D17" w:rsidRDefault="00237AB1" w:rsidP="00237AB1">
            <w:pPr>
              <w:ind w:right="-425"/>
              <w:jc w:val="both"/>
              <w:rPr>
                <w:rFonts w:cs="Arial"/>
                <w:b/>
                <w:bCs/>
              </w:rPr>
            </w:pPr>
            <w:r w:rsidRPr="00294D17">
              <w:rPr>
                <w:rFonts w:cs="Arial"/>
                <w:b/>
                <w:bCs/>
              </w:rPr>
              <w:t>Total</w:t>
            </w:r>
          </w:p>
        </w:tc>
        <w:tc>
          <w:tcPr>
            <w:tcW w:w="691" w:type="dxa"/>
            <w:vAlign w:val="bottom"/>
          </w:tcPr>
          <w:p w14:paraId="7EA61294" w14:textId="77777777" w:rsidR="00237AB1" w:rsidRPr="00900EA0" w:rsidRDefault="00237AB1" w:rsidP="00237AB1">
            <w:pPr>
              <w:jc w:val="right"/>
              <w:rPr>
                <w:b/>
                <w:bCs/>
              </w:rPr>
            </w:pPr>
            <w:r w:rsidRPr="00900EA0">
              <w:rPr>
                <w:rFonts w:cs="Arial"/>
                <w:b/>
                <w:bCs/>
              </w:rPr>
              <w:t>20</w:t>
            </w:r>
          </w:p>
        </w:tc>
        <w:tc>
          <w:tcPr>
            <w:tcW w:w="1655" w:type="dxa"/>
            <w:vAlign w:val="bottom"/>
          </w:tcPr>
          <w:p w14:paraId="4423A1A4" w14:textId="77777777" w:rsidR="00237AB1" w:rsidRPr="00900EA0" w:rsidRDefault="00237AB1" w:rsidP="00237AB1">
            <w:pPr>
              <w:jc w:val="right"/>
              <w:rPr>
                <w:b/>
                <w:bCs/>
              </w:rPr>
            </w:pPr>
            <w:r w:rsidRPr="00900EA0">
              <w:rPr>
                <w:rFonts w:cs="Arial"/>
                <w:b/>
                <w:bCs/>
              </w:rPr>
              <w:t>1</w:t>
            </w:r>
          </w:p>
        </w:tc>
        <w:tc>
          <w:tcPr>
            <w:tcW w:w="840" w:type="dxa"/>
            <w:vAlign w:val="bottom"/>
          </w:tcPr>
          <w:p w14:paraId="25FCDD62" w14:textId="77777777" w:rsidR="00237AB1" w:rsidRPr="00900EA0" w:rsidRDefault="00237AB1" w:rsidP="00237AB1">
            <w:pPr>
              <w:jc w:val="right"/>
              <w:rPr>
                <w:b/>
                <w:bCs/>
              </w:rPr>
            </w:pPr>
            <w:r w:rsidRPr="00900EA0">
              <w:rPr>
                <w:rFonts w:cs="Arial"/>
                <w:b/>
                <w:bCs/>
              </w:rPr>
              <w:t>11</w:t>
            </w:r>
          </w:p>
        </w:tc>
        <w:tc>
          <w:tcPr>
            <w:tcW w:w="1168" w:type="dxa"/>
            <w:vAlign w:val="bottom"/>
          </w:tcPr>
          <w:p w14:paraId="70C5B30B" w14:textId="77777777" w:rsidR="00237AB1" w:rsidRPr="00900EA0" w:rsidRDefault="00237AB1" w:rsidP="00237AB1">
            <w:pPr>
              <w:jc w:val="right"/>
              <w:rPr>
                <w:b/>
                <w:bCs/>
              </w:rPr>
            </w:pPr>
            <w:r w:rsidRPr="00900EA0">
              <w:rPr>
                <w:rFonts w:cs="Arial"/>
                <w:b/>
                <w:bCs/>
              </w:rPr>
              <w:t>71</w:t>
            </w:r>
          </w:p>
        </w:tc>
        <w:tc>
          <w:tcPr>
            <w:tcW w:w="1469" w:type="dxa"/>
            <w:vAlign w:val="bottom"/>
          </w:tcPr>
          <w:p w14:paraId="6B72A0E8" w14:textId="77777777" w:rsidR="00237AB1" w:rsidRPr="00900EA0" w:rsidRDefault="00237AB1" w:rsidP="00237AB1">
            <w:pPr>
              <w:jc w:val="right"/>
              <w:rPr>
                <w:b/>
                <w:bCs/>
              </w:rPr>
            </w:pPr>
            <w:r w:rsidRPr="00900EA0">
              <w:rPr>
                <w:rFonts w:cs="Arial"/>
                <w:b/>
                <w:bCs/>
              </w:rPr>
              <w:t>2</w:t>
            </w:r>
          </w:p>
        </w:tc>
        <w:tc>
          <w:tcPr>
            <w:tcW w:w="1366" w:type="dxa"/>
            <w:vAlign w:val="bottom"/>
          </w:tcPr>
          <w:p w14:paraId="2793E47C" w14:textId="77777777" w:rsidR="00237AB1" w:rsidRPr="00900EA0" w:rsidRDefault="00237AB1" w:rsidP="00237AB1">
            <w:pPr>
              <w:jc w:val="right"/>
              <w:rPr>
                <w:b/>
                <w:bCs/>
              </w:rPr>
            </w:pPr>
            <w:r w:rsidRPr="00900EA0">
              <w:rPr>
                <w:rFonts w:cs="Arial"/>
                <w:b/>
                <w:bCs/>
              </w:rPr>
              <w:t>36</w:t>
            </w:r>
          </w:p>
        </w:tc>
        <w:tc>
          <w:tcPr>
            <w:tcW w:w="845" w:type="dxa"/>
            <w:vAlign w:val="bottom"/>
          </w:tcPr>
          <w:p w14:paraId="6FB13ACB" w14:textId="77777777" w:rsidR="00237AB1" w:rsidRPr="00900EA0" w:rsidRDefault="00237AB1" w:rsidP="00237AB1">
            <w:pPr>
              <w:jc w:val="right"/>
              <w:rPr>
                <w:b/>
                <w:bCs/>
              </w:rPr>
            </w:pPr>
            <w:r w:rsidRPr="00900EA0">
              <w:rPr>
                <w:rFonts w:cs="Arial"/>
                <w:b/>
                <w:bCs/>
              </w:rPr>
              <w:t>141</w:t>
            </w:r>
          </w:p>
        </w:tc>
      </w:tr>
    </w:tbl>
    <w:p w14:paraId="370BFC10" w14:textId="6394BA5A" w:rsidR="00D505F2" w:rsidRDefault="00D505F2" w:rsidP="00237AB1">
      <w:pPr>
        <w:ind w:left="-142" w:right="-425"/>
        <w:jc w:val="both"/>
        <w:rPr>
          <w:rFonts w:cs="Arial"/>
        </w:rPr>
      </w:pPr>
    </w:p>
    <w:p w14:paraId="1C006F71" w14:textId="365F2C66" w:rsidR="00270A6D" w:rsidRPr="004B6F52" w:rsidRDefault="00270A6D" w:rsidP="00270A6D">
      <w:pPr>
        <w:spacing w:after="120" w:line="240" w:lineRule="auto"/>
        <w:ind w:left="794" w:hanging="794"/>
      </w:pPr>
      <w:r w:rsidRPr="004B6F52">
        <w:rPr>
          <w:b/>
          <w:sz w:val="16"/>
          <w:szCs w:val="16"/>
        </w:rPr>
        <w:t xml:space="preserve">Table </w:t>
      </w:r>
      <w:r w:rsidR="00C95264">
        <w:rPr>
          <w:b/>
          <w:sz w:val="16"/>
          <w:szCs w:val="16"/>
        </w:rPr>
        <w:t>7</w:t>
      </w:r>
      <w:r w:rsidRPr="004B6F52">
        <w:rPr>
          <w:b/>
          <w:sz w:val="16"/>
          <w:szCs w:val="16"/>
        </w:rPr>
        <w:t>:</w:t>
      </w:r>
      <w:r w:rsidRPr="004B6F52">
        <w:rPr>
          <w:sz w:val="16"/>
          <w:szCs w:val="16"/>
        </w:rPr>
        <w:t xml:space="preserve"> Number of</w:t>
      </w:r>
      <w:r w:rsidR="0054087A">
        <w:rPr>
          <w:sz w:val="16"/>
          <w:szCs w:val="16"/>
        </w:rPr>
        <w:t xml:space="preserve"> decisions by</w:t>
      </w:r>
      <w:r w:rsidRPr="004B6F52">
        <w:rPr>
          <w:sz w:val="16"/>
          <w:szCs w:val="16"/>
        </w:rPr>
        <w:t xml:space="preserve"> </w:t>
      </w:r>
      <w:r w:rsidR="00D505F2">
        <w:rPr>
          <w:sz w:val="16"/>
          <w:szCs w:val="16"/>
        </w:rPr>
        <w:t xml:space="preserve">application hearing </w:t>
      </w:r>
      <w:r w:rsidRPr="004B6F52">
        <w:rPr>
          <w:sz w:val="16"/>
          <w:szCs w:val="16"/>
        </w:rPr>
        <w:t xml:space="preserve">from 1 </w:t>
      </w:r>
      <w:r>
        <w:rPr>
          <w:sz w:val="16"/>
          <w:szCs w:val="16"/>
        </w:rPr>
        <w:t>January 2021</w:t>
      </w:r>
      <w:r w:rsidRPr="004B6F52">
        <w:rPr>
          <w:sz w:val="16"/>
          <w:szCs w:val="16"/>
        </w:rPr>
        <w:t xml:space="preserve"> to 3</w:t>
      </w:r>
      <w:r>
        <w:rPr>
          <w:sz w:val="16"/>
          <w:szCs w:val="16"/>
        </w:rPr>
        <w:t>1 March 2021</w:t>
      </w:r>
      <w:r w:rsidR="008B7FCC" w:rsidRPr="008B7FCC">
        <w:rPr>
          <w:vertAlign w:val="superscript"/>
        </w:rPr>
        <w:fldChar w:fldCharType="begin"/>
      </w:r>
      <w:r w:rsidR="008B7FCC" w:rsidRPr="008B7FCC">
        <w:rPr>
          <w:vertAlign w:val="superscript"/>
        </w:rPr>
        <w:instrText xml:space="preserve"> NOTEREF _Ref74754019 \h  \* MERGEFORMAT </w:instrText>
      </w:r>
      <w:r w:rsidR="008B7FCC" w:rsidRPr="008B7FCC">
        <w:rPr>
          <w:vertAlign w:val="superscript"/>
        </w:rPr>
      </w:r>
      <w:r w:rsidR="008B7FCC" w:rsidRPr="008B7FCC">
        <w:rPr>
          <w:vertAlign w:val="superscript"/>
        </w:rPr>
        <w:fldChar w:fldCharType="separate"/>
      </w:r>
      <w:r w:rsidR="001934B3">
        <w:rPr>
          <w:vertAlign w:val="superscript"/>
        </w:rPr>
        <w:t>7</w:t>
      </w:r>
      <w:r w:rsidR="008B7FCC" w:rsidRPr="008B7FCC">
        <w:rPr>
          <w:vertAlign w:val="superscript"/>
        </w:rPr>
        <w:fldChar w:fldCharType="end"/>
      </w:r>
      <w:r w:rsidRPr="004B6F52">
        <w:rPr>
          <w:sz w:val="16"/>
          <w:szCs w:val="16"/>
        </w:rPr>
        <w:t>.</w:t>
      </w:r>
    </w:p>
    <w:tbl>
      <w:tblPr>
        <w:tblStyle w:val="TableGrid"/>
        <w:tblW w:w="0" w:type="auto"/>
        <w:tblInd w:w="108" w:type="dxa"/>
        <w:tblLayout w:type="fixed"/>
        <w:tblLook w:val="04A0" w:firstRow="1" w:lastRow="0" w:firstColumn="1" w:lastColumn="0" w:noHBand="0" w:noVBand="1"/>
      </w:tblPr>
      <w:tblGrid>
        <w:gridCol w:w="1496"/>
        <w:gridCol w:w="1226"/>
        <w:gridCol w:w="1701"/>
        <w:gridCol w:w="1276"/>
        <w:gridCol w:w="992"/>
      </w:tblGrid>
      <w:tr w:rsidR="003F391E" w14:paraId="38744CDD" w14:textId="77777777" w:rsidTr="00824FDA">
        <w:tc>
          <w:tcPr>
            <w:tcW w:w="6691" w:type="dxa"/>
            <w:gridSpan w:val="5"/>
          </w:tcPr>
          <w:p w14:paraId="1E1C22EB" w14:textId="69C610FA" w:rsidR="003F391E" w:rsidRPr="004B6F52" w:rsidRDefault="003F391E" w:rsidP="003F391E">
            <w:pPr>
              <w:jc w:val="center"/>
              <w:rPr>
                <w:rFonts w:cs="Arial"/>
                <w:b/>
                <w:bCs/>
              </w:rPr>
            </w:pPr>
            <w:r w:rsidRPr="004B6F52">
              <w:rPr>
                <w:rFonts w:cs="Arial"/>
                <w:b/>
                <w:bCs/>
              </w:rPr>
              <w:t>Decisions by</w:t>
            </w:r>
            <w:r>
              <w:rPr>
                <w:rFonts w:cs="Arial"/>
                <w:b/>
                <w:bCs/>
              </w:rPr>
              <w:t xml:space="preserve"> Application Hearing</w:t>
            </w:r>
          </w:p>
        </w:tc>
      </w:tr>
      <w:tr w:rsidR="003F391E" w14:paraId="3B7805EC" w14:textId="77777777" w:rsidTr="00A1262A">
        <w:tc>
          <w:tcPr>
            <w:tcW w:w="1496" w:type="dxa"/>
          </w:tcPr>
          <w:p w14:paraId="2C3BEFA7" w14:textId="77777777" w:rsidR="003F391E" w:rsidRPr="004B6F52" w:rsidRDefault="003F391E" w:rsidP="00A1262A">
            <w:pPr>
              <w:ind w:right="-425"/>
              <w:jc w:val="both"/>
              <w:rPr>
                <w:rFonts w:cs="Arial"/>
                <w:b/>
                <w:bCs/>
              </w:rPr>
            </w:pPr>
            <w:r w:rsidRPr="004B6F52">
              <w:rPr>
                <w:rFonts w:cs="Arial"/>
                <w:b/>
                <w:bCs/>
              </w:rPr>
              <w:t>Community</w:t>
            </w:r>
          </w:p>
        </w:tc>
        <w:tc>
          <w:tcPr>
            <w:tcW w:w="1226" w:type="dxa"/>
          </w:tcPr>
          <w:p w14:paraId="12659BD5" w14:textId="097C06B4" w:rsidR="003F391E" w:rsidRPr="004B6F52" w:rsidRDefault="003F391E" w:rsidP="00A1262A">
            <w:pPr>
              <w:jc w:val="center"/>
              <w:rPr>
                <w:rFonts w:cs="Arial"/>
                <w:b/>
                <w:bCs/>
              </w:rPr>
            </w:pPr>
            <w:r w:rsidRPr="004B6F52">
              <w:rPr>
                <w:rFonts w:cs="Arial"/>
                <w:b/>
                <w:bCs/>
              </w:rPr>
              <w:t>CP</w:t>
            </w:r>
            <w:r>
              <w:rPr>
                <w:rFonts w:cs="Arial"/>
                <w:b/>
                <w:bCs/>
              </w:rPr>
              <w:t xml:space="preserve"> End</w:t>
            </w:r>
          </w:p>
        </w:tc>
        <w:tc>
          <w:tcPr>
            <w:tcW w:w="1701" w:type="dxa"/>
          </w:tcPr>
          <w:p w14:paraId="5F17FCC4" w14:textId="7619E9B3" w:rsidR="003F391E" w:rsidRPr="004B6F52" w:rsidRDefault="003F391E" w:rsidP="00A1262A">
            <w:pPr>
              <w:jc w:val="center"/>
              <w:rPr>
                <w:rFonts w:cs="Arial"/>
                <w:b/>
                <w:bCs/>
              </w:rPr>
            </w:pPr>
            <w:r w:rsidRPr="004B6F52">
              <w:rPr>
                <w:rFonts w:cs="Arial"/>
                <w:b/>
                <w:bCs/>
              </w:rPr>
              <w:t>CIM</w:t>
            </w:r>
            <w:r>
              <w:rPr>
                <w:rFonts w:cs="Arial"/>
                <w:b/>
                <w:bCs/>
              </w:rPr>
              <w:t xml:space="preserve"> Amend</w:t>
            </w:r>
          </w:p>
        </w:tc>
        <w:tc>
          <w:tcPr>
            <w:tcW w:w="1276" w:type="dxa"/>
          </w:tcPr>
          <w:p w14:paraId="3648C27F" w14:textId="77777777" w:rsidR="003F391E" w:rsidRPr="004B6F52" w:rsidRDefault="003F391E" w:rsidP="00A1262A">
            <w:pPr>
              <w:jc w:val="center"/>
              <w:rPr>
                <w:rFonts w:cs="Arial"/>
                <w:b/>
                <w:bCs/>
              </w:rPr>
            </w:pPr>
            <w:r>
              <w:rPr>
                <w:rFonts w:cs="Arial"/>
                <w:b/>
                <w:bCs/>
              </w:rPr>
              <w:t>CIM End</w:t>
            </w:r>
          </w:p>
        </w:tc>
        <w:tc>
          <w:tcPr>
            <w:tcW w:w="992" w:type="dxa"/>
          </w:tcPr>
          <w:p w14:paraId="434B513A" w14:textId="77777777" w:rsidR="003F391E" w:rsidRPr="00294D17" w:rsidRDefault="003F391E" w:rsidP="00A1262A">
            <w:pPr>
              <w:jc w:val="right"/>
              <w:rPr>
                <w:rFonts w:cs="Arial"/>
                <w:b/>
                <w:bCs/>
              </w:rPr>
            </w:pPr>
            <w:r w:rsidRPr="004B6F52">
              <w:rPr>
                <w:rFonts w:cs="Arial"/>
                <w:b/>
                <w:bCs/>
              </w:rPr>
              <w:t>Total</w:t>
            </w:r>
          </w:p>
        </w:tc>
      </w:tr>
      <w:tr w:rsidR="003F391E" w14:paraId="5A3BBB23" w14:textId="77777777" w:rsidTr="00A1262A">
        <w:tc>
          <w:tcPr>
            <w:tcW w:w="1496" w:type="dxa"/>
          </w:tcPr>
          <w:p w14:paraId="0687FF23" w14:textId="77777777" w:rsidR="003F391E" w:rsidRPr="00294D17" w:rsidRDefault="003F391E" w:rsidP="00A1262A">
            <w:pPr>
              <w:ind w:right="-425"/>
              <w:jc w:val="both"/>
              <w:rPr>
                <w:rFonts w:cs="Arial"/>
                <w:b/>
                <w:bCs/>
              </w:rPr>
            </w:pPr>
            <w:r w:rsidRPr="00294D17">
              <w:rPr>
                <w:rFonts w:cs="Arial"/>
                <w:b/>
                <w:bCs/>
              </w:rPr>
              <w:t>Total</w:t>
            </w:r>
          </w:p>
        </w:tc>
        <w:tc>
          <w:tcPr>
            <w:tcW w:w="1226" w:type="dxa"/>
            <w:vAlign w:val="bottom"/>
          </w:tcPr>
          <w:p w14:paraId="2A53915F" w14:textId="77777777" w:rsidR="003F391E" w:rsidRPr="00900EA0" w:rsidRDefault="003F391E" w:rsidP="00A1262A">
            <w:pPr>
              <w:jc w:val="right"/>
              <w:rPr>
                <w:b/>
                <w:bCs/>
              </w:rPr>
            </w:pPr>
            <w:r w:rsidRPr="00900EA0">
              <w:rPr>
                <w:rFonts w:cs="Arial"/>
                <w:b/>
                <w:bCs/>
              </w:rPr>
              <w:t>5</w:t>
            </w:r>
          </w:p>
        </w:tc>
        <w:tc>
          <w:tcPr>
            <w:tcW w:w="1701" w:type="dxa"/>
            <w:vAlign w:val="bottom"/>
          </w:tcPr>
          <w:p w14:paraId="62FCB111" w14:textId="77777777" w:rsidR="003F391E" w:rsidRPr="00900EA0" w:rsidRDefault="003F391E" w:rsidP="00A1262A">
            <w:pPr>
              <w:jc w:val="right"/>
              <w:rPr>
                <w:b/>
                <w:bCs/>
              </w:rPr>
            </w:pPr>
            <w:r w:rsidRPr="00900EA0">
              <w:rPr>
                <w:rFonts w:cs="Arial"/>
                <w:b/>
                <w:bCs/>
              </w:rPr>
              <w:t>3</w:t>
            </w:r>
          </w:p>
        </w:tc>
        <w:tc>
          <w:tcPr>
            <w:tcW w:w="1276" w:type="dxa"/>
            <w:vAlign w:val="bottom"/>
          </w:tcPr>
          <w:p w14:paraId="1321C4ED" w14:textId="77777777" w:rsidR="003F391E" w:rsidRPr="00900EA0" w:rsidRDefault="003F391E" w:rsidP="00A1262A">
            <w:pPr>
              <w:jc w:val="right"/>
              <w:rPr>
                <w:b/>
                <w:bCs/>
              </w:rPr>
            </w:pPr>
            <w:r w:rsidRPr="00900EA0">
              <w:rPr>
                <w:rFonts w:cs="Arial"/>
                <w:b/>
                <w:bCs/>
              </w:rPr>
              <w:t>3</w:t>
            </w:r>
          </w:p>
        </w:tc>
        <w:tc>
          <w:tcPr>
            <w:tcW w:w="992" w:type="dxa"/>
            <w:vAlign w:val="bottom"/>
          </w:tcPr>
          <w:p w14:paraId="542CEAE2" w14:textId="77777777" w:rsidR="003F391E" w:rsidRPr="00900EA0" w:rsidRDefault="003F391E" w:rsidP="00A1262A">
            <w:pPr>
              <w:jc w:val="right"/>
              <w:rPr>
                <w:b/>
                <w:bCs/>
              </w:rPr>
            </w:pPr>
            <w:r w:rsidRPr="00900EA0">
              <w:rPr>
                <w:rFonts w:cs="Arial"/>
                <w:b/>
                <w:bCs/>
              </w:rPr>
              <w:t>8</w:t>
            </w:r>
          </w:p>
        </w:tc>
      </w:tr>
    </w:tbl>
    <w:p w14:paraId="2E740FA1" w14:textId="204942C0" w:rsidR="00D505F2" w:rsidRDefault="00D505F2" w:rsidP="00237AB1">
      <w:pPr>
        <w:ind w:left="-142" w:right="-425"/>
        <w:jc w:val="both"/>
        <w:rPr>
          <w:rFonts w:cs="Arial"/>
          <w:highlight w:val="yellow"/>
        </w:rPr>
      </w:pPr>
      <w:bookmarkStart w:id="9" w:name="_Hlk69483860"/>
    </w:p>
    <w:p w14:paraId="68D6AF55" w14:textId="63B44FA4" w:rsidR="00A42818" w:rsidRDefault="00237AB1" w:rsidP="00A42818">
      <w:pPr>
        <w:ind w:left="-142" w:right="-425"/>
        <w:jc w:val="both"/>
        <w:rPr>
          <w:rFonts w:cs="Arial"/>
        </w:rPr>
      </w:pPr>
      <w:r w:rsidRPr="00CE1294">
        <w:rPr>
          <w:rFonts w:cs="Arial"/>
        </w:rPr>
        <w:t xml:space="preserve">During quarter 51 the number of interactions highlighted in tables </w:t>
      </w:r>
      <w:r w:rsidR="00A42818">
        <w:rPr>
          <w:rFonts w:cs="Arial"/>
        </w:rPr>
        <w:t>3</w:t>
      </w:r>
      <w:r w:rsidR="00A242DD" w:rsidRPr="00CE1294">
        <w:rPr>
          <w:rFonts w:cs="Arial"/>
        </w:rPr>
        <w:t xml:space="preserve">, </w:t>
      </w:r>
      <w:r w:rsidR="00A42818">
        <w:rPr>
          <w:rFonts w:cs="Arial"/>
        </w:rPr>
        <w:t>4</w:t>
      </w:r>
      <w:r w:rsidR="00A242DD" w:rsidRPr="00CE1294">
        <w:rPr>
          <w:rFonts w:cs="Arial"/>
        </w:rPr>
        <w:t xml:space="preserve">, </w:t>
      </w:r>
      <w:r w:rsidR="00A42818">
        <w:rPr>
          <w:rFonts w:cs="Arial"/>
        </w:rPr>
        <w:t>5</w:t>
      </w:r>
      <w:r w:rsidR="00A242DD" w:rsidRPr="00CE1294">
        <w:rPr>
          <w:rFonts w:cs="Arial"/>
        </w:rPr>
        <w:t xml:space="preserve"> and </w:t>
      </w:r>
      <w:r w:rsidR="00A42818">
        <w:rPr>
          <w:rFonts w:cs="Arial"/>
        </w:rPr>
        <w:t>6</w:t>
      </w:r>
      <w:r w:rsidR="00A242DD" w:rsidRPr="00CE1294">
        <w:rPr>
          <w:rFonts w:cs="Arial"/>
        </w:rPr>
        <w:t xml:space="preserve"> </w:t>
      </w:r>
      <w:r w:rsidRPr="00CE1294">
        <w:rPr>
          <w:rFonts w:cs="Arial"/>
        </w:rPr>
        <w:t xml:space="preserve">related to a total of </w:t>
      </w:r>
      <w:r w:rsidR="003C56D8" w:rsidRPr="00CE1294">
        <w:rPr>
          <w:rFonts w:cs="Arial"/>
        </w:rPr>
        <w:t>238</w:t>
      </w:r>
      <w:r w:rsidR="00A242DD" w:rsidRPr="00CE1294">
        <w:rPr>
          <w:rFonts w:cs="Arial"/>
        </w:rPr>
        <w:t xml:space="preserve"> </w:t>
      </w:r>
      <w:r w:rsidRPr="00CE1294">
        <w:rPr>
          <w:rFonts w:cs="Arial"/>
        </w:rPr>
        <w:t>clients (</w:t>
      </w:r>
      <w:r w:rsidR="003C56D8" w:rsidRPr="00CE1294">
        <w:rPr>
          <w:rFonts w:cs="Arial"/>
        </w:rPr>
        <w:t>155</w:t>
      </w:r>
      <w:r w:rsidR="00A242DD" w:rsidRPr="00CE1294">
        <w:rPr>
          <w:rFonts w:cs="Arial"/>
        </w:rPr>
        <w:t xml:space="preserve"> </w:t>
      </w:r>
      <w:r w:rsidRPr="00CE1294">
        <w:rPr>
          <w:rFonts w:cs="Arial"/>
        </w:rPr>
        <w:t xml:space="preserve">female and </w:t>
      </w:r>
      <w:r w:rsidR="003C56D8" w:rsidRPr="00CE1294">
        <w:rPr>
          <w:rFonts w:cs="Arial"/>
        </w:rPr>
        <w:t>83</w:t>
      </w:r>
      <w:r w:rsidR="00A242DD" w:rsidRPr="00CE1294">
        <w:rPr>
          <w:rFonts w:cs="Arial"/>
        </w:rPr>
        <w:t xml:space="preserve"> </w:t>
      </w:r>
      <w:r w:rsidRPr="00CE1294">
        <w:rPr>
          <w:rFonts w:cs="Arial"/>
        </w:rPr>
        <w:t>male)</w:t>
      </w:r>
      <w:r w:rsidR="00A42818">
        <w:rPr>
          <w:rFonts w:cs="Arial"/>
        </w:rPr>
        <w:t>.</w:t>
      </w:r>
      <w:r w:rsidRPr="00CE1294">
        <w:rPr>
          <w:rFonts w:cs="Arial"/>
        </w:rPr>
        <w:t xml:space="preserve"> </w:t>
      </w:r>
      <w:r w:rsidR="00133A05">
        <w:rPr>
          <w:rFonts w:cs="Arial"/>
        </w:rPr>
        <w:t>Please not</w:t>
      </w:r>
      <w:r w:rsidR="00A42818">
        <w:rPr>
          <w:rFonts w:cs="Arial"/>
        </w:rPr>
        <w:t xml:space="preserve"> a</w:t>
      </w:r>
      <w:r w:rsidR="00A42818" w:rsidRPr="00B324FD">
        <w:rPr>
          <w:rFonts w:cs="Arial"/>
        </w:rPr>
        <w:t xml:space="preserve"> client may be placed on a case plan at the beginning of the quarter to one service provider and then referred to another service provider later in the same quarter. Similarly, a client may be placed on a CIM order at 60%, 75% or 90% and then have their </w:t>
      </w:r>
      <w:r w:rsidR="00A42818" w:rsidRPr="00B324FD">
        <w:rPr>
          <w:rFonts w:cs="Arial"/>
        </w:rPr>
        <w:lastRenderedPageBreak/>
        <w:t xml:space="preserve">percentage of income management reduced or increased later in the quarter. A client may also be separately </w:t>
      </w:r>
      <w:r w:rsidR="00A42818">
        <w:rPr>
          <w:rFonts w:cs="Arial"/>
        </w:rPr>
        <w:t xml:space="preserve">or concurrently </w:t>
      </w:r>
      <w:r w:rsidR="00A42818" w:rsidRPr="00B324FD">
        <w:rPr>
          <w:rFonts w:cs="Arial"/>
        </w:rPr>
        <w:t>placed on a case plan and income management throughout the quarter.</w:t>
      </w:r>
    </w:p>
    <w:p w14:paraId="1CAAD6E7" w14:textId="0F114AD7" w:rsidR="00514E25" w:rsidRDefault="00514E25" w:rsidP="00237AB1">
      <w:pPr>
        <w:ind w:left="-142" w:right="-425"/>
        <w:jc w:val="both"/>
        <w:rPr>
          <w:rFonts w:cs="Arial"/>
        </w:rPr>
      </w:pPr>
    </w:p>
    <w:p w14:paraId="5F5FE655" w14:textId="215C4537" w:rsidR="00031A6E" w:rsidRDefault="00031A6E" w:rsidP="00031A6E">
      <w:pPr>
        <w:tabs>
          <w:tab w:val="left" w:pos="1134"/>
        </w:tabs>
        <w:ind w:left="-142" w:right="-425"/>
        <w:jc w:val="both"/>
      </w:pPr>
      <w:r>
        <w:t xml:space="preserve">Clients with </w:t>
      </w:r>
      <w:r w:rsidR="00430499">
        <w:t xml:space="preserve">complex and multifaceted </w:t>
      </w:r>
      <w:r>
        <w:t xml:space="preserve">issues often require solutions which are best coordinated with </w:t>
      </w:r>
      <w:r w:rsidR="00E9725A">
        <w:t xml:space="preserve">multiple service providers who </w:t>
      </w:r>
      <w:r w:rsidR="006F5933">
        <w:t>can</w:t>
      </w:r>
      <w:r w:rsidR="00E9725A">
        <w:t xml:space="preserve"> also </w:t>
      </w:r>
      <w:r>
        <w:t>extend</w:t>
      </w:r>
      <w:r w:rsidR="00E9725A">
        <w:t xml:space="preserve"> assistance</w:t>
      </w:r>
      <w:r>
        <w:t xml:space="preserve"> to family members</w:t>
      </w:r>
      <w:r w:rsidR="00C50FCF">
        <w:t xml:space="preserve">. </w:t>
      </w:r>
      <w:proofErr w:type="gramStart"/>
      <w:r w:rsidR="00C50FCF">
        <w:t>A</w:t>
      </w:r>
      <w:r w:rsidR="00430499">
        <w:t>n</w:t>
      </w:r>
      <w:proofErr w:type="gramEnd"/>
      <w:r w:rsidR="00430499">
        <w:t xml:space="preserve"> holistic approach in regard to these </w:t>
      </w:r>
      <w:r>
        <w:t xml:space="preserve">clients </w:t>
      </w:r>
      <w:r w:rsidR="00430499">
        <w:t xml:space="preserve">which involves their families and </w:t>
      </w:r>
      <w:r w:rsidR="00E9725A">
        <w:t>various</w:t>
      </w:r>
      <w:r w:rsidR="00430499">
        <w:t xml:space="preserve"> service providers is better able to </w:t>
      </w:r>
      <w:r>
        <w:t>empower</w:t>
      </w:r>
      <w:r w:rsidR="00430499">
        <w:t xml:space="preserve"> the client</w:t>
      </w:r>
      <w:r>
        <w:t xml:space="preserve"> to make the necessary changes in their lives to provide for a safe and secure environment for themselves and their families.</w:t>
      </w:r>
    </w:p>
    <w:p w14:paraId="348ADF62" w14:textId="4F599845" w:rsidR="00F77284" w:rsidRDefault="00F77284" w:rsidP="00237AB1">
      <w:pPr>
        <w:ind w:left="-142" w:right="-425"/>
        <w:jc w:val="both"/>
        <w:rPr>
          <w:rFonts w:cs="Arial"/>
        </w:rPr>
      </w:pPr>
    </w:p>
    <w:p w14:paraId="5807989F" w14:textId="5D82C441" w:rsidR="00FB017B" w:rsidRDefault="00A54325" w:rsidP="00CB212B">
      <w:pPr>
        <w:ind w:left="-142" w:right="-425"/>
        <w:jc w:val="both"/>
        <w:rPr>
          <w:rFonts w:cs="Arial"/>
        </w:rPr>
      </w:pPr>
      <w:r>
        <w:rPr>
          <w:rFonts w:cs="Arial"/>
        </w:rPr>
        <w:t>The type</w:t>
      </w:r>
      <w:r w:rsidR="00847739">
        <w:rPr>
          <w:rFonts w:cs="Arial"/>
        </w:rPr>
        <w:t>s</w:t>
      </w:r>
      <w:r>
        <w:rPr>
          <w:rFonts w:cs="Arial"/>
        </w:rPr>
        <w:t xml:space="preserve"> of </w:t>
      </w:r>
      <w:r w:rsidR="0032228D">
        <w:rPr>
          <w:rFonts w:cs="Arial"/>
        </w:rPr>
        <w:t xml:space="preserve">client </w:t>
      </w:r>
      <w:r>
        <w:rPr>
          <w:rFonts w:cs="Arial"/>
        </w:rPr>
        <w:t xml:space="preserve">interactions </w:t>
      </w:r>
      <w:r w:rsidR="0032228D">
        <w:rPr>
          <w:rFonts w:cs="Arial"/>
        </w:rPr>
        <w:t xml:space="preserve">evident in quarter 51 </w:t>
      </w:r>
      <w:r w:rsidR="0032035F">
        <w:rPr>
          <w:rFonts w:cs="Arial"/>
        </w:rPr>
        <w:t xml:space="preserve">reinforce the Commission’s belief that </w:t>
      </w:r>
      <w:r w:rsidR="00847739">
        <w:rPr>
          <w:rFonts w:cs="Arial"/>
        </w:rPr>
        <w:t>our</w:t>
      </w:r>
      <w:r>
        <w:rPr>
          <w:rFonts w:cs="Arial"/>
        </w:rPr>
        <w:t xml:space="preserve"> </w:t>
      </w:r>
      <w:r w:rsidRPr="00D11CB6">
        <w:rPr>
          <w:rFonts w:cs="Arial"/>
        </w:rPr>
        <w:t>client</w:t>
      </w:r>
      <w:r>
        <w:rPr>
          <w:rFonts w:cs="Arial"/>
        </w:rPr>
        <w:t>s</w:t>
      </w:r>
      <w:r w:rsidR="00847739">
        <w:rPr>
          <w:rFonts w:cs="Arial"/>
        </w:rPr>
        <w:t xml:space="preserve"> </w:t>
      </w:r>
      <w:r w:rsidR="00155F40">
        <w:rPr>
          <w:rFonts w:cs="Arial"/>
        </w:rPr>
        <w:t xml:space="preserve">are </w:t>
      </w:r>
      <w:r w:rsidR="00847739">
        <w:rPr>
          <w:rFonts w:cs="Arial"/>
        </w:rPr>
        <w:t>display</w:t>
      </w:r>
      <w:r w:rsidR="00155F40">
        <w:rPr>
          <w:rFonts w:cs="Arial"/>
        </w:rPr>
        <w:t>ing</w:t>
      </w:r>
      <w:r w:rsidR="00847739">
        <w:rPr>
          <w:rFonts w:cs="Arial"/>
        </w:rPr>
        <w:t xml:space="preserve"> a</w:t>
      </w:r>
      <w:r w:rsidRPr="00D11CB6">
        <w:rPr>
          <w:rFonts w:cs="Arial"/>
        </w:rPr>
        <w:t xml:space="preserve"> willingness to change</w:t>
      </w:r>
      <w:r w:rsidR="00474E51">
        <w:rPr>
          <w:rFonts w:cs="Arial"/>
        </w:rPr>
        <w:t xml:space="preserve"> </w:t>
      </w:r>
      <w:r w:rsidR="0032035F">
        <w:rPr>
          <w:rFonts w:cs="Arial"/>
        </w:rPr>
        <w:t xml:space="preserve">with </w:t>
      </w:r>
      <w:r w:rsidR="00474E51">
        <w:rPr>
          <w:rFonts w:cs="Arial"/>
        </w:rPr>
        <w:t>43</w:t>
      </w:r>
      <w:r w:rsidR="00CB212B">
        <w:rPr>
          <w:rFonts w:cs="Arial"/>
        </w:rPr>
        <w:t xml:space="preserve"> percent</w:t>
      </w:r>
      <w:bookmarkStart w:id="10" w:name="_Ref74753250"/>
      <w:r w:rsidR="00837C9F">
        <w:rPr>
          <w:rStyle w:val="FootnoteReference"/>
        </w:rPr>
        <w:footnoteReference w:id="9"/>
      </w:r>
      <w:bookmarkEnd w:id="10"/>
      <w:r w:rsidR="00CB212B">
        <w:rPr>
          <w:rFonts w:cs="Arial"/>
        </w:rPr>
        <w:t xml:space="preserve"> of</w:t>
      </w:r>
      <w:r w:rsidR="00474E51" w:rsidRPr="00514E25">
        <w:rPr>
          <w:rFonts w:cs="Arial"/>
        </w:rPr>
        <w:t xml:space="preserve"> clients </w:t>
      </w:r>
      <w:r w:rsidR="00474E51">
        <w:rPr>
          <w:rFonts w:cs="Arial"/>
        </w:rPr>
        <w:t>enter</w:t>
      </w:r>
      <w:r w:rsidR="004F0C8B">
        <w:rPr>
          <w:rFonts w:cs="Arial"/>
        </w:rPr>
        <w:t>ing</w:t>
      </w:r>
      <w:r w:rsidR="00474E51">
        <w:rPr>
          <w:rFonts w:cs="Arial"/>
        </w:rPr>
        <w:t xml:space="preserve"> into a case plan agreement or VIM or both</w:t>
      </w:r>
      <w:r w:rsidR="00CB212B">
        <w:rPr>
          <w:rFonts w:cs="Arial"/>
        </w:rPr>
        <w:t xml:space="preserve">. </w:t>
      </w:r>
      <w:r w:rsidR="00FB017B">
        <w:rPr>
          <w:rFonts w:cs="Arial"/>
        </w:rPr>
        <w:t xml:space="preserve">The Commissioners also </w:t>
      </w:r>
      <w:r w:rsidR="00CB212B">
        <w:rPr>
          <w:rFonts w:cs="Arial"/>
        </w:rPr>
        <w:t>determined</w:t>
      </w:r>
      <w:r w:rsidR="00FB017B">
        <w:rPr>
          <w:rFonts w:cs="Arial"/>
        </w:rPr>
        <w:t xml:space="preserve"> that 27</w:t>
      </w:r>
      <w:r w:rsidR="00CB212B">
        <w:rPr>
          <w:rFonts w:cs="Arial"/>
        </w:rPr>
        <w:t xml:space="preserve"> percent</w:t>
      </w:r>
      <w:r w:rsidR="0032228D" w:rsidRPr="0098648F">
        <w:rPr>
          <w:rFonts w:cs="Arial"/>
          <w:vertAlign w:val="superscript"/>
        </w:rPr>
        <w:fldChar w:fldCharType="begin"/>
      </w:r>
      <w:r w:rsidR="0032228D" w:rsidRPr="0098648F">
        <w:rPr>
          <w:rFonts w:cs="Arial"/>
          <w:vertAlign w:val="superscript"/>
        </w:rPr>
        <w:instrText xml:space="preserve"> NOTEREF _Ref74753250 \h  \* MERGEFORMAT </w:instrText>
      </w:r>
      <w:r w:rsidR="0032228D" w:rsidRPr="0098648F">
        <w:rPr>
          <w:rFonts w:cs="Arial"/>
          <w:vertAlign w:val="superscript"/>
        </w:rPr>
      </w:r>
      <w:r w:rsidR="0032228D" w:rsidRPr="0098648F">
        <w:rPr>
          <w:rFonts w:cs="Arial"/>
          <w:vertAlign w:val="superscript"/>
        </w:rPr>
        <w:fldChar w:fldCharType="separate"/>
      </w:r>
      <w:r w:rsidR="001934B3">
        <w:rPr>
          <w:rFonts w:cs="Arial"/>
          <w:vertAlign w:val="superscript"/>
        </w:rPr>
        <w:t>8</w:t>
      </w:r>
      <w:r w:rsidR="0032228D" w:rsidRPr="0098648F">
        <w:rPr>
          <w:rFonts w:cs="Arial"/>
          <w:vertAlign w:val="superscript"/>
        </w:rPr>
        <w:fldChar w:fldCharType="end"/>
      </w:r>
      <w:r w:rsidR="00CB212B">
        <w:rPr>
          <w:rFonts w:cs="Arial"/>
        </w:rPr>
        <w:t xml:space="preserve"> of</w:t>
      </w:r>
      <w:r w:rsidR="00FB017B" w:rsidRPr="00514E25">
        <w:rPr>
          <w:rFonts w:cs="Arial"/>
        </w:rPr>
        <w:t xml:space="preserve"> client</w:t>
      </w:r>
      <w:r w:rsidR="00CB212B">
        <w:rPr>
          <w:rFonts w:cs="Arial"/>
        </w:rPr>
        <w:t>s did not</w:t>
      </w:r>
      <w:r w:rsidR="00FB017B">
        <w:rPr>
          <w:rFonts w:cs="Arial"/>
        </w:rPr>
        <w:t xml:space="preserve"> require any further action </w:t>
      </w:r>
      <w:r w:rsidR="00CB212B">
        <w:rPr>
          <w:rFonts w:cs="Arial"/>
        </w:rPr>
        <w:t>on their matter/s, where No Further Action was the only outcome for the quarter</w:t>
      </w:r>
      <w:r w:rsidR="00D15B5A">
        <w:rPr>
          <w:rFonts w:cs="Arial"/>
        </w:rPr>
        <w:t xml:space="preserve">, </w:t>
      </w:r>
      <w:r w:rsidR="00CD0A5A">
        <w:rPr>
          <w:rFonts w:cs="Arial"/>
        </w:rPr>
        <w:t>and</w:t>
      </w:r>
      <w:r w:rsidR="00D15B5A">
        <w:rPr>
          <w:rFonts w:cs="Arial"/>
        </w:rPr>
        <w:t xml:space="preserve"> 13 percent</w:t>
      </w:r>
      <w:r w:rsidR="00407EB2" w:rsidRPr="00407EB2">
        <w:rPr>
          <w:rFonts w:cs="Arial"/>
          <w:vertAlign w:val="superscript"/>
        </w:rPr>
        <w:fldChar w:fldCharType="begin"/>
      </w:r>
      <w:r w:rsidR="00407EB2" w:rsidRPr="00407EB2">
        <w:rPr>
          <w:rFonts w:cs="Arial"/>
          <w:vertAlign w:val="superscript"/>
        </w:rPr>
        <w:instrText xml:space="preserve"> NOTEREF _Ref74753250 \h </w:instrText>
      </w:r>
      <w:r w:rsidR="00407EB2">
        <w:rPr>
          <w:rFonts w:cs="Arial"/>
          <w:vertAlign w:val="superscript"/>
        </w:rPr>
        <w:instrText xml:space="preserve"> \* MERGEFORMAT </w:instrText>
      </w:r>
      <w:r w:rsidR="00407EB2" w:rsidRPr="00407EB2">
        <w:rPr>
          <w:rFonts w:cs="Arial"/>
          <w:vertAlign w:val="superscript"/>
        </w:rPr>
      </w:r>
      <w:r w:rsidR="00407EB2" w:rsidRPr="00407EB2">
        <w:rPr>
          <w:rFonts w:cs="Arial"/>
          <w:vertAlign w:val="superscript"/>
        </w:rPr>
        <w:fldChar w:fldCharType="separate"/>
      </w:r>
      <w:r w:rsidR="001934B3">
        <w:rPr>
          <w:rFonts w:cs="Arial"/>
          <w:vertAlign w:val="superscript"/>
        </w:rPr>
        <w:t>8</w:t>
      </w:r>
      <w:r w:rsidR="00407EB2" w:rsidRPr="00407EB2">
        <w:rPr>
          <w:rFonts w:cs="Arial"/>
          <w:vertAlign w:val="superscript"/>
        </w:rPr>
        <w:fldChar w:fldCharType="end"/>
      </w:r>
      <w:r w:rsidR="00D15B5A">
        <w:rPr>
          <w:rFonts w:cs="Arial"/>
        </w:rPr>
        <w:t xml:space="preserve"> of clients were </w:t>
      </w:r>
      <w:r w:rsidR="0032035F">
        <w:rPr>
          <w:rFonts w:cs="Arial"/>
        </w:rPr>
        <w:t>considered to only require</w:t>
      </w:r>
      <w:r w:rsidR="00D15B5A">
        <w:rPr>
          <w:rFonts w:cs="Arial"/>
        </w:rPr>
        <w:t xml:space="preserve"> a reprimand for their actions.</w:t>
      </w:r>
    </w:p>
    <w:p w14:paraId="32BFD911" w14:textId="5E932527" w:rsidR="00847739" w:rsidRDefault="00847739" w:rsidP="00E16529">
      <w:pPr>
        <w:tabs>
          <w:tab w:val="decimal" w:pos="284"/>
        </w:tabs>
        <w:ind w:left="-142" w:right="-425"/>
        <w:jc w:val="both"/>
        <w:rPr>
          <w:rFonts w:cs="Arial"/>
        </w:rPr>
      </w:pPr>
    </w:p>
    <w:p w14:paraId="34E3F962" w14:textId="19C2823F" w:rsidR="005F330D" w:rsidRDefault="00106839" w:rsidP="005D6EF0">
      <w:pPr>
        <w:tabs>
          <w:tab w:val="decimal" w:pos="284"/>
        </w:tabs>
        <w:ind w:left="-142" w:right="-425"/>
        <w:jc w:val="both"/>
        <w:rPr>
          <w:rFonts w:cs="Arial"/>
        </w:rPr>
      </w:pPr>
      <w:r>
        <w:rPr>
          <w:rFonts w:cs="Arial"/>
        </w:rPr>
        <w:t xml:space="preserve">There </w:t>
      </w:r>
      <w:r w:rsidR="0032035F">
        <w:rPr>
          <w:rFonts w:cs="Arial"/>
        </w:rPr>
        <w:t>remains</w:t>
      </w:r>
      <w:r>
        <w:rPr>
          <w:rFonts w:cs="Arial"/>
        </w:rPr>
        <w:t xml:space="preserve"> a </w:t>
      </w:r>
      <w:r w:rsidR="005D6EF0">
        <w:rPr>
          <w:rFonts w:cs="Arial"/>
        </w:rPr>
        <w:t xml:space="preserve">small </w:t>
      </w:r>
      <w:r>
        <w:rPr>
          <w:rFonts w:cs="Arial"/>
        </w:rPr>
        <w:t xml:space="preserve">cohort of clients who come before the Commission </w:t>
      </w:r>
      <w:r w:rsidR="005D6EF0">
        <w:rPr>
          <w:rFonts w:cs="Arial"/>
        </w:rPr>
        <w:t>(30 clients) who are</w:t>
      </w:r>
      <w:r>
        <w:rPr>
          <w:rFonts w:cs="Arial"/>
        </w:rPr>
        <w:t xml:space="preserve"> unwilling to change their behaviours</w:t>
      </w:r>
      <w:r w:rsidR="00CD0A5A">
        <w:rPr>
          <w:rFonts w:cs="Arial"/>
        </w:rPr>
        <w:t>. T</w:t>
      </w:r>
      <w:r w:rsidR="005F330D">
        <w:rPr>
          <w:rFonts w:cs="Arial"/>
        </w:rPr>
        <w:t>he Commissioners have made the following orders in those situations:</w:t>
      </w:r>
      <w:r w:rsidR="005D6EF0">
        <w:rPr>
          <w:rFonts w:cs="Arial"/>
        </w:rPr>
        <w:t xml:space="preserve"> </w:t>
      </w:r>
      <w:r w:rsidR="005F330D">
        <w:rPr>
          <w:rFonts w:cs="Arial"/>
        </w:rPr>
        <w:t>8 percent</w:t>
      </w:r>
      <w:r w:rsidR="00407EB2" w:rsidRPr="00407EB2">
        <w:rPr>
          <w:rFonts w:cs="Arial"/>
          <w:vertAlign w:val="superscript"/>
        </w:rPr>
        <w:fldChar w:fldCharType="begin"/>
      </w:r>
      <w:r w:rsidR="00407EB2" w:rsidRPr="00407EB2">
        <w:rPr>
          <w:rFonts w:cs="Arial"/>
          <w:vertAlign w:val="superscript"/>
        </w:rPr>
        <w:instrText xml:space="preserve"> NOTEREF _Ref74753250 \h </w:instrText>
      </w:r>
      <w:r w:rsidR="00407EB2">
        <w:rPr>
          <w:rFonts w:cs="Arial"/>
          <w:vertAlign w:val="superscript"/>
        </w:rPr>
        <w:instrText xml:space="preserve"> \* MERGEFORMAT </w:instrText>
      </w:r>
      <w:r w:rsidR="00407EB2" w:rsidRPr="00407EB2">
        <w:rPr>
          <w:rFonts w:cs="Arial"/>
          <w:vertAlign w:val="superscript"/>
        </w:rPr>
      </w:r>
      <w:r w:rsidR="00407EB2" w:rsidRPr="00407EB2">
        <w:rPr>
          <w:rFonts w:cs="Arial"/>
          <w:vertAlign w:val="superscript"/>
        </w:rPr>
        <w:fldChar w:fldCharType="separate"/>
      </w:r>
      <w:r w:rsidR="001934B3">
        <w:rPr>
          <w:rFonts w:cs="Arial"/>
          <w:vertAlign w:val="superscript"/>
        </w:rPr>
        <w:t>8</w:t>
      </w:r>
      <w:r w:rsidR="00407EB2" w:rsidRPr="00407EB2">
        <w:rPr>
          <w:rFonts w:cs="Arial"/>
          <w:vertAlign w:val="superscript"/>
        </w:rPr>
        <w:fldChar w:fldCharType="end"/>
      </w:r>
      <w:r w:rsidR="005F330D">
        <w:rPr>
          <w:rFonts w:cs="Arial"/>
        </w:rPr>
        <w:t xml:space="preserve"> of</w:t>
      </w:r>
      <w:r w:rsidR="00DB2710" w:rsidRPr="00514E25">
        <w:rPr>
          <w:rFonts w:cs="Arial"/>
        </w:rPr>
        <w:t xml:space="preserve"> clients </w:t>
      </w:r>
      <w:r w:rsidR="005D6EF0">
        <w:rPr>
          <w:rFonts w:cs="Arial"/>
        </w:rPr>
        <w:t xml:space="preserve">only </w:t>
      </w:r>
      <w:r w:rsidR="00DB2710" w:rsidRPr="00514E25">
        <w:rPr>
          <w:rFonts w:cs="Arial"/>
        </w:rPr>
        <w:t>had a case plan interaction</w:t>
      </w:r>
      <w:r w:rsidR="005D6EF0">
        <w:rPr>
          <w:rFonts w:cs="Arial"/>
        </w:rPr>
        <w:t xml:space="preserve">; </w:t>
      </w:r>
      <w:r w:rsidR="005F330D">
        <w:rPr>
          <w:rFonts w:cs="Arial"/>
        </w:rPr>
        <w:t>5 percent</w:t>
      </w:r>
      <w:r w:rsidR="00407EB2" w:rsidRPr="00407EB2">
        <w:rPr>
          <w:rFonts w:cs="Arial"/>
          <w:vertAlign w:val="superscript"/>
        </w:rPr>
        <w:fldChar w:fldCharType="begin"/>
      </w:r>
      <w:r w:rsidR="00407EB2" w:rsidRPr="00407EB2">
        <w:rPr>
          <w:rFonts w:cs="Arial"/>
          <w:vertAlign w:val="superscript"/>
        </w:rPr>
        <w:instrText xml:space="preserve"> NOTEREF _Ref74753250 \h </w:instrText>
      </w:r>
      <w:r w:rsidR="00407EB2">
        <w:rPr>
          <w:rFonts w:cs="Arial"/>
          <w:vertAlign w:val="superscript"/>
        </w:rPr>
        <w:instrText xml:space="preserve"> \* MERGEFORMAT </w:instrText>
      </w:r>
      <w:r w:rsidR="00407EB2" w:rsidRPr="00407EB2">
        <w:rPr>
          <w:rFonts w:cs="Arial"/>
          <w:vertAlign w:val="superscript"/>
        </w:rPr>
      </w:r>
      <w:r w:rsidR="00407EB2" w:rsidRPr="00407EB2">
        <w:rPr>
          <w:rFonts w:cs="Arial"/>
          <w:vertAlign w:val="superscript"/>
        </w:rPr>
        <w:fldChar w:fldCharType="separate"/>
      </w:r>
      <w:r w:rsidR="001934B3">
        <w:rPr>
          <w:rFonts w:cs="Arial"/>
          <w:vertAlign w:val="superscript"/>
        </w:rPr>
        <w:t>8</w:t>
      </w:r>
      <w:r w:rsidR="00407EB2" w:rsidRPr="00407EB2">
        <w:rPr>
          <w:rFonts w:cs="Arial"/>
          <w:vertAlign w:val="superscript"/>
        </w:rPr>
        <w:fldChar w:fldCharType="end"/>
      </w:r>
      <w:r w:rsidR="005F330D">
        <w:rPr>
          <w:rFonts w:cs="Arial"/>
        </w:rPr>
        <w:t xml:space="preserve"> of</w:t>
      </w:r>
      <w:r w:rsidR="00514E25" w:rsidRPr="00514E25">
        <w:rPr>
          <w:rFonts w:cs="Arial"/>
        </w:rPr>
        <w:t xml:space="preserve"> clients</w:t>
      </w:r>
      <w:r w:rsidR="005A7C28">
        <w:rPr>
          <w:rFonts w:cs="Arial"/>
        </w:rPr>
        <w:t xml:space="preserve"> only</w:t>
      </w:r>
      <w:r w:rsidR="00514E25" w:rsidRPr="00514E25">
        <w:rPr>
          <w:rFonts w:cs="Arial"/>
        </w:rPr>
        <w:t xml:space="preserve"> had a CIM interaction</w:t>
      </w:r>
      <w:r w:rsidR="005D6EF0">
        <w:rPr>
          <w:rFonts w:cs="Arial"/>
        </w:rPr>
        <w:t xml:space="preserve"> and </w:t>
      </w:r>
      <w:r w:rsidR="005F330D">
        <w:rPr>
          <w:rFonts w:cs="Arial"/>
        </w:rPr>
        <w:t xml:space="preserve">1 </w:t>
      </w:r>
      <w:r w:rsidR="005F330D" w:rsidRPr="00514E25">
        <w:rPr>
          <w:rFonts w:cs="Arial"/>
        </w:rPr>
        <w:t>client</w:t>
      </w:r>
      <w:r w:rsidR="005F330D">
        <w:rPr>
          <w:rFonts w:cs="Arial"/>
        </w:rPr>
        <w:t xml:space="preserve"> </w:t>
      </w:r>
      <w:r w:rsidR="005D6EF0">
        <w:rPr>
          <w:rFonts w:cs="Arial"/>
        </w:rPr>
        <w:t xml:space="preserve">had </w:t>
      </w:r>
      <w:r w:rsidR="006F7D82">
        <w:rPr>
          <w:rFonts w:cs="Arial"/>
        </w:rPr>
        <w:t xml:space="preserve">a CIM and </w:t>
      </w:r>
      <w:r w:rsidR="00591C16">
        <w:rPr>
          <w:rFonts w:cs="Arial"/>
        </w:rPr>
        <w:t>a</w:t>
      </w:r>
      <w:r w:rsidR="006F7D82">
        <w:rPr>
          <w:rFonts w:cs="Arial"/>
        </w:rPr>
        <w:t xml:space="preserve"> case plan</w:t>
      </w:r>
      <w:r w:rsidR="005D6EF0">
        <w:rPr>
          <w:rFonts w:cs="Arial"/>
        </w:rPr>
        <w:t xml:space="preserve"> interaction</w:t>
      </w:r>
      <w:r w:rsidR="006F7D82">
        <w:rPr>
          <w:rFonts w:cs="Arial"/>
        </w:rPr>
        <w:t>.</w:t>
      </w:r>
    </w:p>
    <w:p w14:paraId="1B62EC09" w14:textId="4EE26A57" w:rsidR="00C4082A" w:rsidRDefault="00C4082A" w:rsidP="005D6EF0">
      <w:pPr>
        <w:tabs>
          <w:tab w:val="decimal" w:pos="284"/>
        </w:tabs>
        <w:ind w:left="-142" w:right="-425"/>
        <w:jc w:val="both"/>
        <w:rPr>
          <w:rFonts w:cs="Arial"/>
        </w:rPr>
      </w:pPr>
    </w:p>
    <w:p w14:paraId="5F1665D1" w14:textId="36B14C84" w:rsidR="00C4082A" w:rsidRDefault="00C4082A" w:rsidP="005D6EF0">
      <w:pPr>
        <w:tabs>
          <w:tab w:val="decimal" w:pos="284"/>
        </w:tabs>
        <w:ind w:left="-142" w:right="-425"/>
        <w:jc w:val="both"/>
        <w:rPr>
          <w:rFonts w:cs="Arial"/>
        </w:rPr>
      </w:pPr>
      <w:r>
        <w:rPr>
          <w:rFonts w:cs="Arial"/>
        </w:rPr>
        <w:t xml:space="preserve">A full breakdown of client interactions </w:t>
      </w:r>
      <w:r w:rsidR="00C629BA">
        <w:rPr>
          <w:rFonts w:cs="Arial"/>
        </w:rPr>
        <w:t>(</w:t>
      </w:r>
      <w:r>
        <w:rPr>
          <w:rFonts w:cs="Arial"/>
        </w:rPr>
        <w:t>including combinations of types of interactions</w:t>
      </w:r>
      <w:r w:rsidR="00C629BA">
        <w:rPr>
          <w:rFonts w:cs="Arial"/>
        </w:rPr>
        <w:t>)</w:t>
      </w:r>
      <w:r>
        <w:rPr>
          <w:rFonts w:cs="Arial"/>
        </w:rPr>
        <w:t xml:space="preserve"> </w:t>
      </w:r>
      <w:proofErr w:type="gramStart"/>
      <w:r>
        <w:rPr>
          <w:rFonts w:cs="Arial"/>
        </w:rPr>
        <w:t>are</w:t>
      </w:r>
      <w:proofErr w:type="gramEnd"/>
      <w:r>
        <w:rPr>
          <w:rFonts w:cs="Arial"/>
        </w:rPr>
        <w:t xml:space="preserve"> recorded by the Commission and will inform </w:t>
      </w:r>
      <w:r w:rsidR="00C629BA">
        <w:rPr>
          <w:rFonts w:cs="Arial"/>
        </w:rPr>
        <w:t>future tracking of client progress and ultimately the Commission’s impact on improving social norms.</w:t>
      </w:r>
    </w:p>
    <w:p w14:paraId="2BAE73C8" w14:textId="77777777" w:rsidR="00514E25" w:rsidRPr="0076243B" w:rsidRDefault="00514E25" w:rsidP="00514E25">
      <w:pPr>
        <w:ind w:left="-142" w:right="-425"/>
        <w:jc w:val="both"/>
        <w:rPr>
          <w:rFonts w:cs="Arial"/>
        </w:rPr>
      </w:pPr>
    </w:p>
    <w:bookmarkEnd w:id="9"/>
    <w:p w14:paraId="2A0AE763" w14:textId="77777777" w:rsidR="00257E92" w:rsidRDefault="00257E92">
      <w:pPr>
        <w:spacing w:line="240" w:lineRule="auto"/>
        <w:rPr>
          <w:rFonts w:cs="Arial"/>
          <w:b/>
          <w:spacing w:val="-4"/>
          <w:kern w:val="28"/>
        </w:rPr>
      </w:pPr>
      <w:r>
        <w:br w:type="page"/>
      </w:r>
    </w:p>
    <w:p w14:paraId="01840B62" w14:textId="7289C301" w:rsidR="00986092" w:rsidRPr="00986092" w:rsidRDefault="00986092" w:rsidP="00DB0AEE">
      <w:pPr>
        <w:pStyle w:val="Heading2"/>
      </w:pPr>
      <w:r w:rsidRPr="00986092">
        <w:lastRenderedPageBreak/>
        <w:t>Notices</w:t>
      </w:r>
    </w:p>
    <w:p w14:paraId="41B569DF" w14:textId="40026F11" w:rsidR="005A5B78" w:rsidRPr="00483DC3" w:rsidRDefault="005A5B78" w:rsidP="00483DC3">
      <w:pPr>
        <w:ind w:left="-142" w:right="-425"/>
        <w:jc w:val="both"/>
        <w:rPr>
          <w:rFonts w:cs="Arial"/>
        </w:rPr>
      </w:pPr>
      <w:r w:rsidRPr="00483DC3">
        <w:rPr>
          <w:rFonts w:cs="Arial"/>
        </w:rPr>
        <w:t xml:space="preserve">In </w:t>
      </w:r>
      <w:r w:rsidR="00856C85">
        <w:rPr>
          <w:rFonts w:cs="Arial"/>
        </w:rPr>
        <w:t xml:space="preserve">quarter </w:t>
      </w:r>
      <w:r w:rsidR="00F15C75">
        <w:rPr>
          <w:rFonts w:cs="Arial"/>
        </w:rPr>
        <w:t>5</w:t>
      </w:r>
      <w:r w:rsidR="009A7C28">
        <w:rPr>
          <w:rFonts w:cs="Arial"/>
        </w:rPr>
        <w:t>1</w:t>
      </w:r>
      <w:r w:rsidR="00F15C75" w:rsidRPr="00483DC3">
        <w:rPr>
          <w:rFonts w:cs="Arial"/>
        </w:rPr>
        <w:t xml:space="preserve"> </w:t>
      </w:r>
      <w:r w:rsidRPr="00483DC3">
        <w:rPr>
          <w:rFonts w:cs="Arial"/>
        </w:rPr>
        <w:t xml:space="preserve">the Commission </w:t>
      </w:r>
      <w:r w:rsidRPr="006042AF">
        <w:rPr>
          <w:rFonts w:cs="Arial"/>
        </w:rPr>
        <w:t>received</w:t>
      </w:r>
      <w:r w:rsidR="00E46AAE" w:rsidRPr="006042AF">
        <w:rPr>
          <w:rFonts w:cs="Arial"/>
          <w:bCs/>
        </w:rPr>
        <w:t xml:space="preserve"> </w:t>
      </w:r>
      <w:r w:rsidR="00034D8E">
        <w:rPr>
          <w:rFonts w:cs="Arial"/>
        </w:rPr>
        <w:t>2,01</w:t>
      </w:r>
      <w:r w:rsidR="00575B48">
        <w:rPr>
          <w:rFonts w:cs="Arial"/>
        </w:rPr>
        <w:t>4</w:t>
      </w:r>
      <w:r w:rsidR="00E31BD5" w:rsidRPr="006042AF">
        <w:rPr>
          <w:rFonts w:cs="Arial"/>
        </w:rPr>
        <w:t xml:space="preserve"> </w:t>
      </w:r>
      <w:r w:rsidRPr="006042AF">
        <w:rPr>
          <w:rFonts w:cs="Arial"/>
        </w:rPr>
        <w:t>agency notices</w:t>
      </w:r>
      <w:r w:rsidRPr="006042AF">
        <w:rPr>
          <w:rFonts w:cs="Arial"/>
          <w:vertAlign w:val="superscript"/>
        </w:rPr>
        <w:footnoteReference w:id="10"/>
      </w:r>
      <w:r w:rsidR="00CE6E33" w:rsidRPr="006042AF">
        <w:rPr>
          <w:rFonts w:cs="Arial"/>
        </w:rPr>
        <w:t xml:space="preserve">. </w:t>
      </w:r>
      <w:r w:rsidRPr="006042AF">
        <w:rPr>
          <w:rFonts w:cs="Arial"/>
        </w:rPr>
        <w:t xml:space="preserve">Some individuals may have been the subject of more than one agency notice. Of that figure </w:t>
      </w:r>
      <w:r w:rsidR="0040684B">
        <w:rPr>
          <w:rFonts w:cs="Arial"/>
        </w:rPr>
        <w:t>1,0</w:t>
      </w:r>
      <w:r w:rsidR="005E7F96">
        <w:rPr>
          <w:rFonts w:cs="Arial"/>
        </w:rPr>
        <w:t>5</w:t>
      </w:r>
      <w:r w:rsidR="00575B48">
        <w:rPr>
          <w:rFonts w:cs="Arial"/>
        </w:rPr>
        <w:t>9</w:t>
      </w:r>
      <w:r w:rsidR="005174DF" w:rsidRPr="006042AF">
        <w:rPr>
          <w:rFonts w:cs="Arial"/>
        </w:rPr>
        <w:t xml:space="preserve"> </w:t>
      </w:r>
      <w:r w:rsidRPr="006042AF">
        <w:rPr>
          <w:rFonts w:cs="Arial"/>
        </w:rPr>
        <w:t>notices (</w:t>
      </w:r>
      <w:r w:rsidR="006F22F2">
        <w:rPr>
          <w:rFonts w:cs="Arial"/>
        </w:rPr>
        <w:t>5</w:t>
      </w:r>
      <w:r w:rsidR="00746265">
        <w:rPr>
          <w:rFonts w:cs="Arial"/>
        </w:rPr>
        <w:t>3</w:t>
      </w:r>
      <w:r w:rsidR="00BB3250" w:rsidRPr="006042AF">
        <w:rPr>
          <w:rFonts w:cs="Arial"/>
        </w:rPr>
        <w:t xml:space="preserve"> </w:t>
      </w:r>
      <w:r w:rsidRPr="006042AF">
        <w:rPr>
          <w:rFonts w:cs="Arial"/>
        </w:rPr>
        <w:t>percent</w:t>
      </w:r>
      <w:bookmarkStart w:id="11" w:name="_Ref74752837"/>
      <w:r w:rsidR="00D845E4">
        <w:rPr>
          <w:rStyle w:val="FootnoteReference"/>
        </w:rPr>
        <w:footnoteReference w:id="11"/>
      </w:r>
      <w:bookmarkEnd w:id="11"/>
      <w:r w:rsidRPr="006042AF">
        <w:rPr>
          <w:rFonts w:cs="Arial"/>
        </w:rPr>
        <w:t>)</w:t>
      </w:r>
      <w:r w:rsidR="00F257B3" w:rsidRPr="006042AF">
        <w:rPr>
          <w:rFonts w:cs="Arial"/>
        </w:rPr>
        <w:t xml:space="preserve"> relating to </w:t>
      </w:r>
      <w:r w:rsidR="00CE6519">
        <w:rPr>
          <w:rFonts w:cs="Arial"/>
        </w:rPr>
        <w:t>58</w:t>
      </w:r>
      <w:r w:rsidR="008C350F">
        <w:rPr>
          <w:rFonts w:cs="Arial"/>
        </w:rPr>
        <w:t>5</w:t>
      </w:r>
      <w:r w:rsidR="00CE6519" w:rsidRPr="006042AF">
        <w:rPr>
          <w:rFonts w:cs="Arial"/>
        </w:rPr>
        <w:t xml:space="preserve"> </w:t>
      </w:r>
      <w:r w:rsidR="00F257B3" w:rsidRPr="006042AF">
        <w:rPr>
          <w:rFonts w:cs="Arial"/>
        </w:rPr>
        <w:t>clients</w:t>
      </w:r>
      <w:r w:rsidR="00526AA6" w:rsidRPr="006042AF">
        <w:rPr>
          <w:rFonts w:cs="Arial"/>
        </w:rPr>
        <w:t xml:space="preserve"> </w:t>
      </w:r>
      <w:r w:rsidRPr="006042AF">
        <w:rPr>
          <w:rFonts w:cs="Arial"/>
        </w:rPr>
        <w:t>were within the Commission’s jurisdiction</w:t>
      </w:r>
      <w:r w:rsidR="005A2DE3" w:rsidRPr="006042AF">
        <w:rPr>
          <w:rFonts w:cs="Arial"/>
        </w:rPr>
        <w:t>,</w:t>
      </w:r>
      <w:r w:rsidRPr="006042AF">
        <w:rPr>
          <w:rFonts w:cs="Arial"/>
        </w:rPr>
        <w:t xml:space="preserve"> and </w:t>
      </w:r>
      <w:r w:rsidR="00034D8E">
        <w:rPr>
          <w:rFonts w:cs="Arial"/>
        </w:rPr>
        <w:t>955</w:t>
      </w:r>
      <w:r w:rsidR="0040684B">
        <w:rPr>
          <w:rFonts w:cs="Arial"/>
        </w:rPr>
        <w:t xml:space="preserve"> </w:t>
      </w:r>
      <w:r w:rsidRPr="006042AF">
        <w:rPr>
          <w:rFonts w:cs="Arial"/>
        </w:rPr>
        <w:t>notices (</w:t>
      </w:r>
      <w:r w:rsidR="006F22F2">
        <w:rPr>
          <w:rFonts w:cs="Arial"/>
        </w:rPr>
        <w:t>4</w:t>
      </w:r>
      <w:r w:rsidR="00F20A3E">
        <w:rPr>
          <w:rFonts w:cs="Arial"/>
        </w:rPr>
        <w:t>7</w:t>
      </w:r>
      <w:r w:rsidR="009323C1" w:rsidRPr="006042AF">
        <w:rPr>
          <w:rFonts w:cs="Arial"/>
        </w:rPr>
        <w:t xml:space="preserve"> </w:t>
      </w:r>
      <w:r w:rsidRPr="006042AF">
        <w:rPr>
          <w:rFonts w:cs="Arial"/>
        </w:rPr>
        <w:t>percent</w:t>
      </w:r>
      <w:r w:rsidR="0077142B" w:rsidRPr="0077142B">
        <w:rPr>
          <w:rFonts w:cs="Arial"/>
          <w:vertAlign w:val="superscript"/>
        </w:rPr>
        <w:fldChar w:fldCharType="begin"/>
      </w:r>
      <w:r w:rsidR="0077142B" w:rsidRPr="0077142B">
        <w:rPr>
          <w:rFonts w:cs="Arial"/>
          <w:vertAlign w:val="superscript"/>
        </w:rPr>
        <w:instrText xml:space="preserve"> NOTEREF _Ref74752837 \h  \* MERGEFORMAT </w:instrText>
      </w:r>
      <w:r w:rsidR="0077142B" w:rsidRPr="0077142B">
        <w:rPr>
          <w:rFonts w:cs="Arial"/>
          <w:vertAlign w:val="superscript"/>
        </w:rPr>
      </w:r>
      <w:r w:rsidR="0077142B" w:rsidRPr="0077142B">
        <w:rPr>
          <w:rFonts w:cs="Arial"/>
          <w:vertAlign w:val="superscript"/>
        </w:rPr>
        <w:fldChar w:fldCharType="separate"/>
      </w:r>
      <w:r w:rsidR="001934B3">
        <w:rPr>
          <w:rFonts w:cs="Arial"/>
          <w:vertAlign w:val="superscript"/>
        </w:rPr>
        <w:t>10</w:t>
      </w:r>
      <w:r w:rsidR="0077142B" w:rsidRPr="0077142B">
        <w:rPr>
          <w:rFonts w:cs="Arial"/>
          <w:vertAlign w:val="superscript"/>
        </w:rPr>
        <w:fldChar w:fldCharType="end"/>
      </w:r>
      <w:r w:rsidRPr="00483DC3">
        <w:rPr>
          <w:rFonts w:cs="Arial"/>
        </w:rPr>
        <w:t>) were outside the Commission’s jurisdiction.</w:t>
      </w:r>
    </w:p>
    <w:p w14:paraId="2CBC4CEC" w14:textId="77777777" w:rsidR="001C67F7" w:rsidRPr="00DA470C" w:rsidRDefault="001C67F7" w:rsidP="005A5B78">
      <w:pPr>
        <w:tabs>
          <w:tab w:val="left" w:pos="1134"/>
        </w:tabs>
        <w:ind w:left="-142" w:right="-425"/>
        <w:jc w:val="both"/>
      </w:pPr>
    </w:p>
    <w:p w14:paraId="363A2C28" w14:textId="686CE28D" w:rsidR="005A5B78" w:rsidRDefault="00C7128D" w:rsidP="00C7128D">
      <w:pPr>
        <w:spacing w:after="120" w:line="240" w:lineRule="auto"/>
        <w:ind w:right="-425"/>
        <w:rPr>
          <w:rFonts w:cs="Arial"/>
          <w:b/>
        </w:rPr>
      </w:pPr>
      <w:r>
        <w:rPr>
          <w:b/>
          <w:sz w:val="16"/>
          <w:szCs w:val="16"/>
        </w:rPr>
        <w:t xml:space="preserve">Table </w:t>
      </w:r>
      <w:r w:rsidR="00C95264">
        <w:rPr>
          <w:b/>
          <w:sz w:val="16"/>
          <w:szCs w:val="16"/>
        </w:rPr>
        <w:t>8</w:t>
      </w:r>
      <w:r w:rsidRPr="00012B69">
        <w:rPr>
          <w:b/>
          <w:sz w:val="16"/>
          <w:szCs w:val="16"/>
        </w:rPr>
        <w:t>:</w:t>
      </w:r>
      <w:r w:rsidRPr="00012B69">
        <w:rPr>
          <w:sz w:val="16"/>
          <w:szCs w:val="16"/>
        </w:rPr>
        <w:t xml:space="preserve"> </w:t>
      </w:r>
      <w:r>
        <w:rPr>
          <w:sz w:val="16"/>
          <w:szCs w:val="16"/>
        </w:rPr>
        <w:t xml:space="preserve">In jurisdiction notices by type and community 1 </w:t>
      </w:r>
      <w:r w:rsidR="009A7C28">
        <w:rPr>
          <w:sz w:val="16"/>
          <w:szCs w:val="16"/>
        </w:rPr>
        <w:t>January 2021</w:t>
      </w:r>
      <w:r w:rsidR="00A41820">
        <w:rPr>
          <w:sz w:val="16"/>
          <w:szCs w:val="16"/>
        </w:rPr>
        <w:t xml:space="preserve"> to 3</w:t>
      </w:r>
      <w:r w:rsidR="008772F1">
        <w:rPr>
          <w:sz w:val="16"/>
          <w:szCs w:val="16"/>
        </w:rPr>
        <w:t xml:space="preserve">1 </w:t>
      </w:r>
      <w:r w:rsidR="009A7C28">
        <w:rPr>
          <w:sz w:val="16"/>
          <w:szCs w:val="16"/>
        </w:rPr>
        <w:t>March 2021</w:t>
      </w:r>
      <w:r w:rsidR="00A41820">
        <w:rPr>
          <w:sz w:val="16"/>
          <w:szCs w:val="16"/>
        </w:rPr>
        <w:t>.</w:t>
      </w:r>
    </w:p>
    <w:tbl>
      <w:tblPr>
        <w:tblW w:w="9673" w:type="dxa"/>
        <w:tblInd w:w="103" w:type="dxa"/>
        <w:tblLook w:val="04A0" w:firstRow="1" w:lastRow="0" w:firstColumn="1" w:lastColumn="0" w:noHBand="0" w:noVBand="1"/>
      </w:tblPr>
      <w:tblGrid>
        <w:gridCol w:w="4995"/>
        <w:gridCol w:w="851"/>
        <w:gridCol w:w="850"/>
        <w:gridCol w:w="779"/>
        <w:gridCol w:w="643"/>
        <w:gridCol w:w="706"/>
        <w:gridCol w:w="849"/>
      </w:tblGrid>
      <w:tr w:rsidR="00557E24" w:rsidRPr="00650B45" w14:paraId="3FC0B802" w14:textId="77777777" w:rsidTr="00D31356">
        <w:trPr>
          <w:trHeight w:val="398"/>
        </w:trPr>
        <w:tc>
          <w:tcPr>
            <w:tcW w:w="4995" w:type="dxa"/>
            <w:tcBorders>
              <w:top w:val="single" w:sz="4" w:space="0" w:color="auto"/>
              <w:left w:val="single" w:sz="4" w:space="0" w:color="auto"/>
              <w:bottom w:val="single" w:sz="4" w:space="0" w:color="auto"/>
              <w:right w:val="single" w:sz="4" w:space="0" w:color="auto"/>
            </w:tcBorders>
            <w:shd w:val="clear" w:color="auto" w:fill="auto"/>
            <w:hideMark/>
          </w:tcPr>
          <w:p w14:paraId="70BCB978" w14:textId="77777777" w:rsidR="00557E24" w:rsidRPr="0040594D" w:rsidRDefault="000544BC" w:rsidP="00557E24">
            <w:pPr>
              <w:spacing w:line="240" w:lineRule="auto"/>
              <w:rPr>
                <w:rFonts w:cs="Arial"/>
                <w:b/>
                <w:bCs/>
                <w:lang w:eastAsia="en-AU"/>
              </w:rPr>
            </w:pPr>
            <w:r>
              <w:rPr>
                <w:rFonts w:cs="Arial"/>
                <w:b/>
                <w:bCs/>
                <w:lang w:eastAsia="en-AU"/>
              </w:rPr>
              <w:t>Type of Notice</w:t>
            </w:r>
          </w:p>
        </w:tc>
        <w:tc>
          <w:tcPr>
            <w:tcW w:w="851" w:type="dxa"/>
            <w:tcBorders>
              <w:top w:val="single" w:sz="4" w:space="0" w:color="auto"/>
              <w:left w:val="nil"/>
              <w:bottom w:val="single" w:sz="4" w:space="0" w:color="auto"/>
              <w:right w:val="single" w:sz="4" w:space="0" w:color="auto"/>
            </w:tcBorders>
            <w:shd w:val="clear" w:color="auto" w:fill="auto"/>
            <w:hideMark/>
          </w:tcPr>
          <w:p w14:paraId="1324209D" w14:textId="77777777" w:rsidR="00557E24" w:rsidRPr="0040594D" w:rsidRDefault="00557E24" w:rsidP="00557E24">
            <w:pPr>
              <w:spacing w:line="240" w:lineRule="auto"/>
              <w:jc w:val="center"/>
              <w:rPr>
                <w:rFonts w:cs="Arial"/>
                <w:b/>
                <w:bCs/>
                <w:lang w:eastAsia="en-AU"/>
              </w:rPr>
            </w:pPr>
            <w:r>
              <w:rPr>
                <w:rFonts w:cs="Arial"/>
                <w:b/>
                <w:bCs/>
                <w:lang w:eastAsia="en-AU"/>
              </w:rPr>
              <w:t>AU</w:t>
            </w:r>
          </w:p>
        </w:tc>
        <w:tc>
          <w:tcPr>
            <w:tcW w:w="850" w:type="dxa"/>
            <w:tcBorders>
              <w:top w:val="single" w:sz="4" w:space="0" w:color="auto"/>
              <w:left w:val="nil"/>
              <w:bottom w:val="single" w:sz="4" w:space="0" w:color="auto"/>
              <w:right w:val="single" w:sz="4" w:space="0" w:color="auto"/>
            </w:tcBorders>
            <w:shd w:val="clear" w:color="auto" w:fill="auto"/>
            <w:hideMark/>
          </w:tcPr>
          <w:p w14:paraId="6C03EFCA" w14:textId="77777777" w:rsidR="00557E24" w:rsidRPr="0040594D" w:rsidRDefault="00557E24" w:rsidP="00557E24">
            <w:pPr>
              <w:spacing w:line="240" w:lineRule="auto"/>
              <w:jc w:val="center"/>
              <w:rPr>
                <w:rFonts w:cs="Arial"/>
                <w:b/>
                <w:bCs/>
                <w:lang w:eastAsia="en-AU"/>
              </w:rPr>
            </w:pPr>
            <w:r>
              <w:rPr>
                <w:rFonts w:cs="Arial"/>
                <w:b/>
                <w:bCs/>
                <w:lang w:eastAsia="en-AU"/>
              </w:rPr>
              <w:t>CO</w:t>
            </w:r>
          </w:p>
        </w:tc>
        <w:tc>
          <w:tcPr>
            <w:tcW w:w="779" w:type="dxa"/>
            <w:tcBorders>
              <w:top w:val="single" w:sz="4" w:space="0" w:color="auto"/>
              <w:left w:val="nil"/>
              <w:bottom w:val="single" w:sz="4" w:space="0" w:color="auto"/>
              <w:right w:val="single" w:sz="4" w:space="0" w:color="auto"/>
            </w:tcBorders>
          </w:tcPr>
          <w:p w14:paraId="6E130088" w14:textId="490CBEDC" w:rsidR="00557E24" w:rsidRPr="0040594D" w:rsidRDefault="00557E24" w:rsidP="00557E24">
            <w:pPr>
              <w:spacing w:line="240" w:lineRule="auto"/>
              <w:jc w:val="center"/>
              <w:rPr>
                <w:rFonts w:cs="Arial"/>
                <w:b/>
                <w:bCs/>
                <w:lang w:eastAsia="en-AU"/>
              </w:rPr>
            </w:pPr>
            <w:r>
              <w:rPr>
                <w:rFonts w:cs="Arial"/>
                <w:b/>
                <w:bCs/>
                <w:lang w:eastAsia="en-AU"/>
              </w:rPr>
              <w:t>DM</w:t>
            </w:r>
            <w:r w:rsidR="0049342A">
              <w:rPr>
                <w:rStyle w:val="FootnoteReference"/>
                <w:b/>
                <w:bCs/>
                <w:lang w:eastAsia="en-AU"/>
              </w:rPr>
              <w:footnoteReference w:id="12"/>
            </w:r>
          </w:p>
        </w:tc>
        <w:tc>
          <w:tcPr>
            <w:tcW w:w="643" w:type="dxa"/>
            <w:tcBorders>
              <w:top w:val="single" w:sz="4" w:space="0" w:color="auto"/>
              <w:left w:val="nil"/>
              <w:bottom w:val="single" w:sz="4" w:space="0" w:color="auto"/>
              <w:right w:val="single" w:sz="4" w:space="0" w:color="auto"/>
            </w:tcBorders>
          </w:tcPr>
          <w:p w14:paraId="6A084DD3" w14:textId="77777777" w:rsidR="00557E24" w:rsidRPr="0040594D" w:rsidRDefault="00557E24" w:rsidP="00557E24">
            <w:pPr>
              <w:spacing w:line="240" w:lineRule="auto"/>
              <w:jc w:val="center"/>
              <w:rPr>
                <w:rFonts w:cs="Arial"/>
                <w:b/>
                <w:bCs/>
                <w:lang w:eastAsia="en-AU"/>
              </w:rPr>
            </w:pPr>
            <w:r>
              <w:rPr>
                <w:rFonts w:cs="Arial"/>
                <w:b/>
                <w:bCs/>
                <w:lang w:eastAsia="en-AU"/>
              </w:rPr>
              <w:t>HV</w:t>
            </w:r>
          </w:p>
        </w:tc>
        <w:tc>
          <w:tcPr>
            <w:tcW w:w="706" w:type="dxa"/>
            <w:tcBorders>
              <w:top w:val="single" w:sz="4" w:space="0" w:color="auto"/>
              <w:left w:val="nil"/>
              <w:bottom w:val="single" w:sz="4" w:space="0" w:color="auto"/>
              <w:right w:val="single" w:sz="4" w:space="0" w:color="auto"/>
            </w:tcBorders>
          </w:tcPr>
          <w:p w14:paraId="5B9E918F" w14:textId="77777777" w:rsidR="00557E24" w:rsidRPr="0040594D" w:rsidRDefault="00557E24" w:rsidP="00557E24">
            <w:pPr>
              <w:spacing w:line="240" w:lineRule="auto"/>
              <w:jc w:val="center"/>
              <w:rPr>
                <w:rFonts w:cs="Arial"/>
                <w:b/>
                <w:bCs/>
                <w:lang w:eastAsia="en-AU"/>
              </w:rPr>
            </w:pPr>
            <w:r>
              <w:rPr>
                <w:rFonts w:cs="Arial"/>
                <w:b/>
                <w:bCs/>
                <w:lang w:eastAsia="en-AU"/>
              </w:rPr>
              <w:t>MG</w:t>
            </w:r>
          </w:p>
        </w:tc>
        <w:tc>
          <w:tcPr>
            <w:tcW w:w="849" w:type="dxa"/>
            <w:tcBorders>
              <w:top w:val="single" w:sz="4" w:space="0" w:color="auto"/>
              <w:left w:val="nil"/>
              <w:bottom w:val="single" w:sz="4" w:space="0" w:color="auto"/>
              <w:right w:val="single" w:sz="4" w:space="0" w:color="auto"/>
            </w:tcBorders>
          </w:tcPr>
          <w:p w14:paraId="6D430917" w14:textId="77777777" w:rsidR="00557E24" w:rsidRPr="0040594D" w:rsidRDefault="00557E24" w:rsidP="00557E24">
            <w:pPr>
              <w:spacing w:line="240" w:lineRule="auto"/>
              <w:jc w:val="center"/>
              <w:rPr>
                <w:rFonts w:cs="Arial"/>
                <w:b/>
                <w:bCs/>
                <w:lang w:eastAsia="en-AU"/>
              </w:rPr>
            </w:pPr>
            <w:r>
              <w:rPr>
                <w:rFonts w:cs="Arial"/>
                <w:b/>
                <w:bCs/>
                <w:lang w:eastAsia="en-AU"/>
              </w:rPr>
              <w:t>Total</w:t>
            </w:r>
          </w:p>
        </w:tc>
      </w:tr>
      <w:tr w:rsidR="0098613E" w:rsidRPr="00650B45" w14:paraId="34AFEA3C"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4D5BCFD4" w14:textId="3C47363D" w:rsidR="0098613E" w:rsidRPr="005E0531" w:rsidRDefault="0098613E" w:rsidP="0098613E">
            <w:pPr>
              <w:spacing w:line="240" w:lineRule="auto"/>
              <w:rPr>
                <w:rFonts w:cs="Arial"/>
                <w:bCs/>
                <w:lang w:eastAsia="en-AU"/>
              </w:rPr>
            </w:pPr>
            <w:r w:rsidRPr="005E0531">
              <w:rPr>
                <w:rFonts w:cs="Arial"/>
                <w:bCs/>
                <w:lang w:eastAsia="en-AU"/>
              </w:rPr>
              <w:t>Supreme Court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5640E14A" w14:textId="2C3EEC12" w:rsidR="0098613E" w:rsidRPr="005E0531" w:rsidRDefault="0098613E" w:rsidP="0098613E">
            <w:pPr>
              <w:spacing w:line="240" w:lineRule="auto"/>
              <w:jc w:val="right"/>
              <w:rPr>
                <w:rFonts w:cs="Arial"/>
              </w:rPr>
            </w:pPr>
            <w:r>
              <w:rPr>
                <w:rFonts w:cs="Arial"/>
              </w:rPr>
              <w:t>0</w:t>
            </w:r>
          </w:p>
        </w:tc>
        <w:tc>
          <w:tcPr>
            <w:tcW w:w="850" w:type="dxa"/>
            <w:tcBorders>
              <w:top w:val="single" w:sz="4" w:space="0" w:color="auto"/>
              <w:left w:val="nil"/>
              <w:bottom w:val="single" w:sz="4" w:space="0" w:color="auto"/>
              <w:right w:val="single" w:sz="4" w:space="0" w:color="auto"/>
            </w:tcBorders>
            <w:shd w:val="clear" w:color="auto" w:fill="auto"/>
            <w:vAlign w:val="center"/>
          </w:tcPr>
          <w:p w14:paraId="120FB598" w14:textId="04F33906" w:rsidR="0098613E" w:rsidRPr="005E0531" w:rsidRDefault="0098613E" w:rsidP="0098613E">
            <w:pPr>
              <w:spacing w:line="240" w:lineRule="auto"/>
              <w:jc w:val="right"/>
              <w:rPr>
                <w:rFonts w:cs="Arial"/>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7FB6364C" w14:textId="01DF3D6D" w:rsidR="0098613E" w:rsidRPr="005E0531" w:rsidRDefault="0098613E" w:rsidP="0098613E">
            <w:pPr>
              <w:spacing w:line="240" w:lineRule="auto"/>
              <w:jc w:val="right"/>
              <w:rPr>
                <w:rFonts w:cs="Arial"/>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0C4DF6A7" w14:textId="6C443272" w:rsidR="0098613E" w:rsidRPr="005E0531" w:rsidRDefault="0098613E" w:rsidP="0098613E">
            <w:pPr>
              <w:spacing w:line="240" w:lineRule="auto"/>
              <w:jc w:val="right"/>
              <w:rPr>
                <w:rFonts w:cs="Arial"/>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25FC0DA8" w14:textId="0F5033EF" w:rsidR="0098613E" w:rsidRPr="005E0531" w:rsidRDefault="0098613E" w:rsidP="0098613E">
            <w:pPr>
              <w:spacing w:line="240" w:lineRule="auto"/>
              <w:jc w:val="right"/>
              <w:rPr>
                <w:rFonts w:cs="Arial"/>
              </w:rPr>
            </w:pPr>
            <w:r>
              <w:rPr>
                <w:rFonts w:cs="Arial"/>
              </w:rPr>
              <w:t>0</w:t>
            </w:r>
          </w:p>
        </w:tc>
        <w:tc>
          <w:tcPr>
            <w:tcW w:w="849" w:type="dxa"/>
            <w:tcBorders>
              <w:top w:val="single" w:sz="4" w:space="0" w:color="auto"/>
              <w:left w:val="nil"/>
              <w:bottom w:val="single" w:sz="4" w:space="0" w:color="auto"/>
              <w:right w:val="single" w:sz="4" w:space="0" w:color="auto"/>
            </w:tcBorders>
            <w:vAlign w:val="center"/>
          </w:tcPr>
          <w:p w14:paraId="51A4A738" w14:textId="12E50D40" w:rsidR="0098613E" w:rsidRDefault="0098613E" w:rsidP="0098613E">
            <w:pPr>
              <w:spacing w:line="240" w:lineRule="auto"/>
              <w:jc w:val="right"/>
              <w:rPr>
                <w:rFonts w:cs="Arial"/>
                <w:b/>
                <w:bCs/>
                <w:lang w:eastAsia="en-AU"/>
              </w:rPr>
            </w:pPr>
            <w:r>
              <w:rPr>
                <w:rFonts w:cs="Arial"/>
                <w:b/>
                <w:bCs/>
              </w:rPr>
              <w:t>0</w:t>
            </w:r>
          </w:p>
        </w:tc>
      </w:tr>
      <w:tr w:rsidR="0098613E" w:rsidRPr="00650B45" w14:paraId="440532E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F5FF9EB" w14:textId="77777777" w:rsidR="0098613E" w:rsidRPr="0040594D" w:rsidRDefault="0098613E" w:rsidP="0098613E">
            <w:pPr>
              <w:spacing w:line="240" w:lineRule="auto"/>
              <w:rPr>
                <w:rFonts w:cs="Arial"/>
                <w:lang w:eastAsia="en-AU"/>
              </w:rPr>
            </w:pPr>
            <w:r>
              <w:rPr>
                <w:rFonts w:cs="Arial"/>
              </w:rPr>
              <w:t>District</w:t>
            </w:r>
            <w:r w:rsidRPr="00CC2C25">
              <w:rPr>
                <w:rFonts w:cs="Arial"/>
              </w:rPr>
              <w:t xml:space="preserve"> Court notices</w:t>
            </w:r>
          </w:p>
        </w:tc>
        <w:tc>
          <w:tcPr>
            <w:tcW w:w="851" w:type="dxa"/>
            <w:tcBorders>
              <w:top w:val="nil"/>
              <w:left w:val="nil"/>
              <w:bottom w:val="single" w:sz="4" w:space="0" w:color="auto"/>
              <w:right w:val="single" w:sz="4" w:space="0" w:color="auto"/>
            </w:tcBorders>
            <w:shd w:val="clear" w:color="auto" w:fill="auto"/>
            <w:vAlign w:val="center"/>
          </w:tcPr>
          <w:p w14:paraId="00039A5F" w14:textId="783A1747" w:rsidR="0098613E" w:rsidRPr="0040594D" w:rsidRDefault="0098613E" w:rsidP="0098613E">
            <w:pPr>
              <w:spacing w:line="240" w:lineRule="auto"/>
              <w:jc w:val="right"/>
              <w:rPr>
                <w:rFonts w:cs="Arial"/>
                <w:lang w:eastAsia="en-AU"/>
              </w:rPr>
            </w:pPr>
            <w:r>
              <w:rPr>
                <w:rFonts w:cs="Arial"/>
              </w:rPr>
              <w:t>4</w:t>
            </w:r>
          </w:p>
        </w:tc>
        <w:tc>
          <w:tcPr>
            <w:tcW w:w="850" w:type="dxa"/>
            <w:tcBorders>
              <w:top w:val="nil"/>
              <w:left w:val="nil"/>
              <w:bottom w:val="single" w:sz="4" w:space="0" w:color="auto"/>
              <w:right w:val="single" w:sz="4" w:space="0" w:color="auto"/>
            </w:tcBorders>
            <w:shd w:val="clear" w:color="auto" w:fill="auto"/>
            <w:vAlign w:val="center"/>
          </w:tcPr>
          <w:p w14:paraId="2545D481" w14:textId="679C067C" w:rsidR="0098613E" w:rsidRPr="0040594D" w:rsidRDefault="0098613E" w:rsidP="0098613E">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02F60FDE" w14:textId="67B1C173" w:rsidR="0098613E" w:rsidRDefault="0098613E" w:rsidP="0098613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34CB5F06" w14:textId="29574307" w:rsidR="0098613E" w:rsidRDefault="0098613E" w:rsidP="0098613E">
            <w:pPr>
              <w:spacing w:line="240" w:lineRule="auto"/>
              <w:jc w:val="right"/>
              <w:rPr>
                <w:rFonts w:cs="Arial"/>
                <w:lang w:eastAsia="en-AU"/>
              </w:rPr>
            </w:pPr>
            <w:r>
              <w:rPr>
                <w:rFonts w:cs="Arial"/>
              </w:rPr>
              <w:t>0</w:t>
            </w:r>
          </w:p>
        </w:tc>
        <w:tc>
          <w:tcPr>
            <w:tcW w:w="706" w:type="dxa"/>
            <w:tcBorders>
              <w:top w:val="nil"/>
              <w:left w:val="nil"/>
              <w:bottom w:val="single" w:sz="4" w:space="0" w:color="auto"/>
              <w:right w:val="single" w:sz="4" w:space="0" w:color="auto"/>
            </w:tcBorders>
            <w:vAlign w:val="center"/>
          </w:tcPr>
          <w:p w14:paraId="7909412F" w14:textId="13B32CC0" w:rsidR="0098613E" w:rsidRDefault="0098613E" w:rsidP="0098613E">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731692A8" w14:textId="5BC886FB" w:rsidR="0098613E" w:rsidRPr="00557E24" w:rsidRDefault="0098613E" w:rsidP="0098613E">
            <w:pPr>
              <w:spacing w:line="240" w:lineRule="auto"/>
              <w:jc w:val="right"/>
              <w:rPr>
                <w:rFonts w:cs="Arial"/>
                <w:b/>
                <w:lang w:eastAsia="en-AU"/>
              </w:rPr>
            </w:pPr>
            <w:r>
              <w:rPr>
                <w:rFonts w:cs="Arial"/>
                <w:b/>
                <w:bCs/>
              </w:rPr>
              <w:t>4</w:t>
            </w:r>
          </w:p>
        </w:tc>
      </w:tr>
      <w:tr w:rsidR="0098613E" w:rsidRPr="00650B45" w14:paraId="606D952D"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167E120C" w14:textId="77777777" w:rsidR="0098613E" w:rsidRDefault="0098613E" w:rsidP="0098613E">
            <w:pPr>
              <w:spacing w:line="240" w:lineRule="auto"/>
              <w:rPr>
                <w:rFonts w:cs="Arial"/>
              </w:rPr>
            </w:pPr>
            <w:r w:rsidRPr="00E179B4">
              <w:rPr>
                <w:rFonts w:cs="Arial"/>
              </w:rPr>
              <w:t>Magistrates Court notices</w:t>
            </w:r>
          </w:p>
        </w:tc>
        <w:tc>
          <w:tcPr>
            <w:tcW w:w="851" w:type="dxa"/>
            <w:tcBorders>
              <w:top w:val="nil"/>
              <w:left w:val="nil"/>
              <w:bottom w:val="single" w:sz="4" w:space="0" w:color="auto"/>
              <w:right w:val="single" w:sz="4" w:space="0" w:color="auto"/>
            </w:tcBorders>
            <w:shd w:val="clear" w:color="auto" w:fill="auto"/>
            <w:vAlign w:val="center"/>
          </w:tcPr>
          <w:p w14:paraId="7D871931" w14:textId="36EF4518" w:rsidR="0098613E" w:rsidRPr="0040594D" w:rsidRDefault="0098613E" w:rsidP="0098613E">
            <w:pPr>
              <w:spacing w:line="240" w:lineRule="auto"/>
              <w:jc w:val="right"/>
              <w:rPr>
                <w:rFonts w:cs="Arial"/>
                <w:lang w:eastAsia="en-AU"/>
              </w:rPr>
            </w:pPr>
            <w:r>
              <w:rPr>
                <w:rFonts w:cs="Arial"/>
              </w:rPr>
              <w:t>214</w:t>
            </w:r>
          </w:p>
        </w:tc>
        <w:tc>
          <w:tcPr>
            <w:tcW w:w="850" w:type="dxa"/>
            <w:tcBorders>
              <w:top w:val="nil"/>
              <w:left w:val="nil"/>
              <w:bottom w:val="single" w:sz="4" w:space="0" w:color="auto"/>
              <w:right w:val="single" w:sz="4" w:space="0" w:color="auto"/>
            </w:tcBorders>
            <w:shd w:val="clear" w:color="auto" w:fill="auto"/>
            <w:vAlign w:val="center"/>
          </w:tcPr>
          <w:p w14:paraId="42DE6DE7" w14:textId="17A3740D" w:rsidR="0098613E" w:rsidRDefault="0098613E" w:rsidP="0098613E">
            <w:pPr>
              <w:spacing w:line="240" w:lineRule="auto"/>
              <w:jc w:val="right"/>
              <w:rPr>
                <w:rFonts w:cs="Arial"/>
                <w:lang w:eastAsia="en-AU"/>
              </w:rPr>
            </w:pPr>
            <w:r>
              <w:rPr>
                <w:rFonts w:cs="Arial"/>
              </w:rPr>
              <w:t>3</w:t>
            </w:r>
            <w:r w:rsidR="00CD6527">
              <w:rPr>
                <w:rFonts w:cs="Arial"/>
              </w:rPr>
              <w:t>0</w:t>
            </w:r>
          </w:p>
        </w:tc>
        <w:tc>
          <w:tcPr>
            <w:tcW w:w="779" w:type="dxa"/>
            <w:tcBorders>
              <w:top w:val="nil"/>
              <w:left w:val="nil"/>
              <w:bottom w:val="single" w:sz="4" w:space="0" w:color="auto"/>
              <w:right w:val="single" w:sz="4" w:space="0" w:color="auto"/>
            </w:tcBorders>
            <w:vAlign w:val="center"/>
          </w:tcPr>
          <w:p w14:paraId="6A2B0F8E" w14:textId="212115CA" w:rsidR="0098613E" w:rsidRDefault="0098613E" w:rsidP="0098613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1100B639" w14:textId="640D77CF" w:rsidR="0098613E" w:rsidRDefault="0098613E" w:rsidP="0098613E">
            <w:pPr>
              <w:spacing w:line="240" w:lineRule="auto"/>
              <w:jc w:val="right"/>
              <w:rPr>
                <w:rFonts w:cs="Arial"/>
                <w:lang w:eastAsia="en-AU"/>
              </w:rPr>
            </w:pPr>
            <w:r>
              <w:rPr>
                <w:rFonts w:cs="Arial"/>
              </w:rPr>
              <w:t>7</w:t>
            </w:r>
            <w:r w:rsidR="00CD6527">
              <w:rPr>
                <w:rFonts w:cs="Arial"/>
              </w:rPr>
              <w:t>7</w:t>
            </w:r>
          </w:p>
        </w:tc>
        <w:tc>
          <w:tcPr>
            <w:tcW w:w="706" w:type="dxa"/>
            <w:tcBorders>
              <w:top w:val="nil"/>
              <w:left w:val="nil"/>
              <w:bottom w:val="single" w:sz="4" w:space="0" w:color="auto"/>
              <w:right w:val="single" w:sz="4" w:space="0" w:color="auto"/>
            </w:tcBorders>
            <w:vAlign w:val="center"/>
          </w:tcPr>
          <w:p w14:paraId="635B50F1" w14:textId="7A1F0486" w:rsidR="0098613E" w:rsidRDefault="0098613E" w:rsidP="0098613E">
            <w:pPr>
              <w:spacing w:line="240" w:lineRule="auto"/>
              <w:jc w:val="right"/>
              <w:rPr>
                <w:rFonts w:cs="Arial"/>
                <w:lang w:eastAsia="en-AU"/>
              </w:rPr>
            </w:pPr>
            <w:r>
              <w:rPr>
                <w:rFonts w:cs="Arial"/>
              </w:rPr>
              <w:t>23</w:t>
            </w:r>
          </w:p>
        </w:tc>
        <w:tc>
          <w:tcPr>
            <w:tcW w:w="849" w:type="dxa"/>
            <w:tcBorders>
              <w:top w:val="nil"/>
              <w:left w:val="nil"/>
              <w:bottom w:val="single" w:sz="4" w:space="0" w:color="auto"/>
              <w:right w:val="single" w:sz="4" w:space="0" w:color="auto"/>
            </w:tcBorders>
            <w:vAlign w:val="center"/>
          </w:tcPr>
          <w:p w14:paraId="413D1C25" w14:textId="12FD7F85" w:rsidR="0098613E" w:rsidRPr="00557E24" w:rsidRDefault="0098613E" w:rsidP="0098613E">
            <w:pPr>
              <w:spacing w:line="240" w:lineRule="auto"/>
              <w:jc w:val="right"/>
              <w:rPr>
                <w:rFonts w:cs="Arial"/>
                <w:b/>
                <w:lang w:eastAsia="en-AU"/>
              </w:rPr>
            </w:pPr>
            <w:r>
              <w:rPr>
                <w:rFonts w:cs="Arial"/>
                <w:b/>
                <w:bCs/>
              </w:rPr>
              <w:t>344</w:t>
            </w:r>
          </w:p>
        </w:tc>
      </w:tr>
      <w:tr w:rsidR="0098613E" w:rsidRPr="00650B45" w14:paraId="326E9032"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6700C21A" w14:textId="77777777" w:rsidR="0098613E" w:rsidRDefault="0098613E" w:rsidP="0098613E">
            <w:pPr>
              <w:spacing w:line="240" w:lineRule="auto"/>
              <w:rPr>
                <w:rFonts w:cs="Arial"/>
              </w:rPr>
            </w:pPr>
            <w:r>
              <w:rPr>
                <w:rFonts w:cs="Arial"/>
              </w:rPr>
              <w:t>Domestic Violence Breach notices</w:t>
            </w:r>
          </w:p>
        </w:tc>
        <w:tc>
          <w:tcPr>
            <w:tcW w:w="851" w:type="dxa"/>
            <w:tcBorders>
              <w:top w:val="nil"/>
              <w:left w:val="nil"/>
              <w:bottom w:val="single" w:sz="4" w:space="0" w:color="auto"/>
              <w:right w:val="single" w:sz="4" w:space="0" w:color="auto"/>
            </w:tcBorders>
            <w:shd w:val="clear" w:color="auto" w:fill="auto"/>
            <w:vAlign w:val="center"/>
          </w:tcPr>
          <w:p w14:paraId="232348B9" w14:textId="2211C817" w:rsidR="0098613E" w:rsidRPr="0040594D" w:rsidRDefault="0098613E" w:rsidP="0098613E">
            <w:pPr>
              <w:spacing w:line="240" w:lineRule="auto"/>
              <w:jc w:val="right"/>
              <w:rPr>
                <w:rFonts w:cs="Arial"/>
                <w:lang w:eastAsia="en-AU"/>
              </w:rPr>
            </w:pPr>
            <w:r>
              <w:rPr>
                <w:rFonts w:cs="Arial"/>
              </w:rPr>
              <w:t>20</w:t>
            </w:r>
          </w:p>
        </w:tc>
        <w:tc>
          <w:tcPr>
            <w:tcW w:w="850" w:type="dxa"/>
            <w:tcBorders>
              <w:top w:val="nil"/>
              <w:left w:val="nil"/>
              <w:bottom w:val="single" w:sz="4" w:space="0" w:color="auto"/>
              <w:right w:val="single" w:sz="4" w:space="0" w:color="auto"/>
            </w:tcBorders>
            <w:shd w:val="clear" w:color="auto" w:fill="auto"/>
            <w:vAlign w:val="center"/>
          </w:tcPr>
          <w:p w14:paraId="1BA99C8E" w14:textId="1F35EBBB" w:rsidR="0098613E" w:rsidRDefault="0098613E" w:rsidP="0098613E">
            <w:pPr>
              <w:spacing w:line="240" w:lineRule="auto"/>
              <w:jc w:val="right"/>
              <w:rPr>
                <w:rFonts w:cs="Arial"/>
                <w:lang w:eastAsia="en-AU"/>
              </w:rPr>
            </w:pPr>
            <w:r>
              <w:rPr>
                <w:rFonts w:cs="Arial"/>
              </w:rPr>
              <w:t>8</w:t>
            </w:r>
          </w:p>
        </w:tc>
        <w:tc>
          <w:tcPr>
            <w:tcW w:w="779" w:type="dxa"/>
            <w:tcBorders>
              <w:top w:val="nil"/>
              <w:left w:val="nil"/>
              <w:bottom w:val="single" w:sz="4" w:space="0" w:color="auto"/>
              <w:right w:val="single" w:sz="4" w:space="0" w:color="auto"/>
            </w:tcBorders>
            <w:vAlign w:val="center"/>
          </w:tcPr>
          <w:p w14:paraId="54E7A1AA" w14:textId="72A12272" w:rsidR="0098613E" w:rsidRDefault="0098613E" w:rsidP="0098613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5531EBCB" w14:textId="2AB3747D" w:rsidR="0098613E" w:rsidRDefault="0098613E" w:rsidP="0098613E">
            <w:pPr>
              <w:spacing w:line="240" w:lineRule="auto"/>
              <w:jc w:val="right"/>
              <w:rPr>
                <w:rFonts w:cs="Arial"/>
                <w:lang w:eastAsia="en-AU"/>
              </w:rPr>
            </w:pPr>
            <w:r>
              <w:rPr>
                <w:rFonts w:cs="Arial"/>
              </w:rPr>
              <w:t>2</w:t>
            </w:r>
          </w:p>
        </w:tc>
        <w:tc>
          <w:tcPr>
            <w:tcW w:w="706" w:type="dxa"/>
            <w:tcBorders>
              <w:top w:val="nil"/>
              <w:left w:val="nil"/>
              <w:bottom w:val="single" w:sz="4" w:space="0" w:color="auto"/>
              <w:right w:val="single" w:sz="4" w:space="0" w:color="auto"/>
            </w:tcBorders>
            <w:vAlign w:val="center"/>
          </w:tcPr>
          <w:p w14:paraId="772FC04E" w14:textId="4188A9AA" w:rsidR="0098613E" w:rsidRDefault="0098613E" w:rsidP="0098613E">
            <w:pPr>
              <w:spacing w:line="240" w:lineRule="auto"/>
              <w:jc w:val="right"/>
              <w:rPr>
                <w:rFonts w:cs="Arial"/>
                <w:lang w:eastAsia="en-AU"/>
              </w:rPr>
            </w:pPr>
            <w:r>
              <w:rPr>
                <w:rFonts w:cs="Arial"/>
              </w:rPr>
              <w:t>1</w:t>
            </w:r>
          </w:p>
        </w:tc>
        <w:tc>
          <w:tcPr>
            <w:tcW w:w="849" w:type="dxa"/>
            <w:tcBorders>
              <w:top w:val="nil"/>
              <w:left w:val="nil"/>
              <w:bottom w:val="single" w:sz="4" w:space="0" w:color="auto"/>
              <w:right w:val="single" w:sz="4" w:space="0" w:color="auto"/>
            </w:tcBorders>
            <w:vAlign w:val="center"/>
          </w:tcPr>
          <w:p w14:paraId="7DF1704F" w14:textId="32E1B8D3" w:rsidR="0098613E" w:rsidRPr="00557E24" w:rsidRDefault="0098613E" w:rsidP="0098613E">
            <w:pPr>
              <w:spacing w:line="240" w:lineRule="auto"/>
              <w:jc w:val="right"/>
              <w:rPr>
                <w:rFonts w:cs="Arial"/>
                <w:b/>
                <w:lang w:eastAsia="en-AU"/>
              </w:rPr>
            </w:pPr>
            <w:r>
              <w:rPr>
                <w:rFonts w:cs="Arial"/>
                <w:b/>
                <w:bCs/>
              </w:rPr>
              <w:t>31</w:t>
            </w:r>
          </w:p>
        </w:tc>
      </w:tr>
      <w:tr w:rsidR="0098613E" w:rsidRPr="00650B45" w14:paraId="4D04E998"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569E8DA1" w14:textId="77777777" w:rsidR="0098613E" w:rsidRDefault="0098613E" w:rsidP="0098613E">
            <w:pPr>
              <w:spacing w:line="240" w:lineRule="auto"/>
              <w:rPr>
                <w:rFonts w:cs="Arial"/>
              </w:rPr>
            </w:pPr>
            <w:r w:rsidRPr="00E179B4">
              <w:rPr>
                <w:rFonts w:cs="Arial"/>
              </w:rPr>
              <w:t>Domestic Violence Order notices</w:t>
            </w:r>
          </w:p>
        </w:tc>
        <w:tc>
          <w:tcPr>
            <w:tcW w:w="851" w:type="dxa"/>
            <w:tcBorders>
              <w:top w:val="nil"/>
              <w:left w:val="nil"/>
              <w:bottom w:val="single" w:sz="4" w:space="0" w:color="auto"/>
              <w:right w:val="single" w:sz="4" w:space="0" w:color="auto"/>
            </w:tcBorders>
            <w:shd w:val="clear" w:color="auto" w:fill="auto"/>
            <w:vAlign w:val="center"/>
          </w:tcPr>
          <w:p w14:paraId="1BAC2D8F" w14:textId="187C36DE" w:rsidR="0098613E" w:rsidRPr="0040594D" w:rsidRDefault="0098613E" w:rsidP="0098613E">
            <w:pPr>
              <w:spacing w:line="240" w:lineRule="auto"/>
              <w:jc w:val="right"/>
              <w:rPr>
                <w:rFonts w:cs="Arial"/>
                <w:lang w:eastAsia="en-AU"/>
              </w:rPr>
            </w:pPr>
            <w:r>
              <w:rPr>
                <w:rFonts w:cs="Arial"/>
              </w:rPr>
              <w:t>45</w:t>
            </w:r>
          </w:p>
        </w:tc>
        <w:tc>
          <w:tcPr>
            <w:tcW w:w="850" w:type="dxa"/>
            <w:tcBorders>
              <w:top w:val="nil"/>
              <w:left w:val="nil"/>
              <w:bottom w:val="single" w:sz="4" w:space="0" w:color="auto"/>
              <w:right w:val="single" w:sz="4" w:space="0" w:color="auto"/>
            </w:tcBorders>
            <w:shd w:val="clear" w:color="auto" w:fill="auto"/>
            <w:vAlign w:val="center"/>
          </w:tcPr>
          <w:p w14:paraId="375C9925" w14:textId="7051AFAC" w:rsidR="0098613E" w:rsidRDefault="0098613E" w:rsidP="0098613E">
            <w:pPr>
              <w:spacing w:line="240" w:lineRule="auto"/>
              <w:jc w:val="right"/>
              <w:rPr>
                <w:rFonts w:cs="Arial"/>
                <w:lang w:eastAsia="en-AU"/>
              </w:rPr>
            </w:pPr>
            <w:r>
              <w:rPr>
                <w:rFonts w:cs="Arial"/>
              </w:rPr>
              <w:t>5</w:t>
            </w:r>
          </w:p>
        </w:tc>
        <w:tc>
          <w:tcPr>
            <w:tcW w:w="779" w:type="dxa"/>
            <w:tcBorders>
              <w:top w:val="nil"/>
              <w:left w:val="nil"/>
              <w:bottom w:val="single" w:sz="4" w:space="0" w:color="auto"/>
              <w:right w:val="single" w:sz="4" w:space="0" w:color="auto"/>
            </w:tcBorders>
            <w:vAlign w:val="center"/>
          </w:tcPr>
          <w:p w14:paraId="766C043E" w14:textId="08CD4F33" w:rsidR="0098613E" w:rsidRDefault="0098613E" w:rsidP="0098613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28EBBCA1" w14:textId="476418CA" w:rsidR="0098613E" w:rsidRDefault="0098613E" w:rsidP="0098613E">
            <w:pPr>
              <w:spacing w:line="240" w:lineRule="auto"/>
              <w:jc w:val="right"/>
              <w:rPr>
                <w:rFonts w:cs="Arial"/>
                <w:lang w:eastAsia="en-AU"/>
              </w:rPr>
            </w:pPr>
            <w:r>
              <w:rPr>
                <w:rFonts w:cs="Arial"/>
              </w:rPr>
              <w:t>14</w:t>
            </w:r>
          </w:p>
        </w:tc>
        <w:tc>
          <w:tcPr>
            <w:tcW w:w="706" w:type="dxa"/>
            <w:tcBorders>
              <w:top w:val="nil"/>
              <w:left w:val="nil"/>
              <w:bottom w:val="single" w:sz="4" w:space="0" w:color="auto"/>
              <w:right w:val="single" w:sz="4" w:space="0" w:color="auto"/>
            </w:tcBorders>
            <w:vAlign w:val="center"/>
          </w:tcPr>
          <w:p w14:paraId="76B03AEF" w14:textId="6617DF3D" w:rsidR="0098613E" w:rsidRDefault="0098613E" w:rsidP="0098613E">
            <w:pPr>
              <w:spacing w:line="240" w:lineRule="auto"/>
              <w:jc w:val="right"/>
              <w:rPr>
                <w:rFonts w:cs="Arial"/>
                <w:lang w:eastAsia="en-AU"/>
              </w:rPr>
            </w:pPr>
            <w:r>
              <w:rPr>
                <w:rFonts w:cs="Arial"/>
              </w:rPr>
              <w:t>8</w:t>
            </w:r>
          </w:p>
        </w:tc>
        <w:tc>
          <w:tcPr>
            <w:tcW w:w="849" w:type="dxa"/>
            <w:tcBorders>
              <w:top w:val="nil"/>
              <w:left w:val="nil"/>
              <w:bottom w:val="single" w:sz="4" w:space="0" w:color="auto"/>
              <w:right w:val="single" w:sz="4" w:space="0" w:color="auto"/>
            </w:tcBorders>
            <w:vAlign w:val="center"/>
          </w:tcPr>
          <w:p w14:paraId="61D1E9D8" w14:textId="3CDC098B" w:rsidR="0098613E" w:rsidRPr="00557E24" w:rsidRDefault="0098613E" w:rsidP="0098613E">
            <w:pPr>
              <w:spacing w:line="240" w:lineRule="auto"/>
              <w:jc w:val="right"/>
              <w:rPr>
                <w:rFonts w:cs="Arial"/>
                <w:b/>
                <w:lang w:eastAsia="en-AU"/>
              </w:rPr>
            </w:pPr>
            <w:r>
              <w:rPr>
                <w:rFonts w:cs="Arial"/>
                <w:b/>
                <w:bCs/>
              </w:rPr>
              <w:t>72</w:t>
            </w:r>
          </w:p>
        </w:tc>
      </w:tr>
      <w:tr w:rsidR="0098613E" w:rsidRPr="00650B45" w14:paraId="725BA5E1"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50825C29" w14:textId="77777777" w:rsidR="0098613E" w:rsidRPr="0040594D" w:rsidRDefault="0098613E" w:rsidP="0098613E">
            <w:pPr>
              <w:spacing w:line="240" w:lineRule="auto"/>
              <w:rPr>
                <w:rFonts w:cs="Arial"/>
                <w:lang w:eastAsia="en-AU"/>
              </w:rPr>
            </w:pPr>
            <w:r w:rsidRPr="00CC2C25">
              <w:rPr>
                <w:rFonts w:cs="Arial"/>
              </w:rPr>
              <w:t>School Attendance notices</w:t>
            </w:r>
          </w:p>
        </w:tc>
        <w:tc>
          <w:tcPr>
            <w:tcW w:w="851" w:type="dxa"/>
            <w:tcBorders>
              <w:top w:val="nil"/>
              <w:left w:val="nil"/>
              <w:bottom w:val="single" w:sz="4" w:space="0" w:color="auto"/>
              <w:right w:val="single" w:sz="4" w:space="0" w:color="auto"/>
            </w:tcBorders>
            <w:shd w:val="clear" w:color="auto" w:fill="auto"/>
            <w:vAlign w:val="center"/>
          </w:tcPr>
          <w:p w14:paraId="341678F9" w14:textId="7DACD50F" w:rsidR="0098613E" w:rsidRPr="0040594D" w:rsidRDefault="0098613E" w:rsidP="0098613E">
            <w:pPr>
              <w:spacing w:line="240" w:lineRule="auto"/>
              <w:jc w:val="right"/>
              <w:rPr>
                <w:rFonts w:cs="Arial"/>
                <w:lang w:eastAsia="en-AU"/>
              </w:rPr>
            </w:pPr>
            <w:r>
              <w:rPr>
                <w:rFonts w:cs="Arial"/>
              </w:rPr>
              <w:t>2</w:t>
            </w:r>
            <w:r w:rsidR="00CD6527">
              <w:rPr>
                <w:rFonts w:cs="Arial"/>
              </w:rPr>
              <w:t>0</w:t>
            </w:r>
            <w:r w:rsidR="00575B48">
              <w:rPr>
                <w:rFonts w:cs="Arial"/>
              </w:rPr>
              <w:t>9</w:t>
            </w:r>
          </w:p>
        </w:tc>
        <w:tc>
          <w:tcPr>
            <w:tcW w:w="850" w:type="dxa"/>
            <w:tcBorders>
              <w:top w:val="nil"/>
              <w:left w:val="nil"/>
              <w:bottom w:val="single" w:sz="4" w:space="0" w:color="auto"/>
              <w:right w:val="single" w:sz="4" w:space="0" w:color="auto"/>
            </w:tcBorders>
            <w:shd w:val="clear" w:color="auto" w:fill="auto"/>
            <w:vAlign w:val="center"/>
          </w:tcPr>
          <w:p w14:paraId="5D2BA765" w14:textId="65A97D68" w:rsidR="0098613E" w:rsidRPr="0040594D" w:rsidRDefault="0098613E" w:rsidP="0098613E">
            <w:pPr>
              <w:spacing w:line="240" w:lineRule="auto"/>
              <w:jc w:val="right"/>
              <w:rPr>
                <w:rFonts w:cs="Arial"/>
                <w:lang w:eastAsia="en-AU"/>
              </w:rPr>
            </w:pPr>
            <w:r>
              <w:rPr>
                <w:rFonts w:cs="Arial"/>
              </w:rPr>
              <w:t>1</w:t>
            </w:r>
          </w:p>
        </w:tc>
        <w:tc>
          <w:tcPr>
            <w:tcW w:w="779" w:type="dxa"/>
            <w:tcBorders>
              <w:top w:val="nil"/>
              <w:left w:val="nil"/>
              <w:bottom w:val="single" w:sz="4" w:space="0" w:color="auto"/>
              <w:right w:val="single" w:sz="4" w:space="0" w:color="auto"/>
            </w:tcBorders>
            <w:vAlign w:val="center"/>
          </w:tcPr>
          <w:p w14:paraId="6EC1BDB5" w14:textId="2AF5679C" w:rsidR="0098613E" w:rsidRDefault="0098613E" w:rsidP="0098613E">
            <w:pPr>
              <w:spacing w:line="240" w:lineRule="auto"/>
              <w:jc w:val="right"/>
              <w:rPr>
                <w:rFonts w:cs="Arial"/>
                <w:lang w:eastAsia="en-AU"/>
              </w:rPr>
            </w:pPr>
            <w:r>
              <w:rPr>
                <w:rFonts w:cs="Arial"/>
              </w:rPr>
              <w:t>25</w:t>
            </w:r>
            <w:r w:rsidR="00575B48">
              <w:rPr>
                <w:rFonts w:cs="Arial"/>
              </w:rPr>
              <w:t>2</w:t>
            </w:r>
          </w:p>
        </w:tc>
        <w:tc>
          <w:tcPr>
            <w:tcW w:w="643" w:type="dxa"/>
            <w:tcBorders>
              <w:top w:val="nil"/>
              <w:left w:val="nil"/>
              <w:bottom w:val="single" w:sz="4" w:space="0" w:color="auto"/>
              <w:right w:val="single" w:sz="4" w:space="0" w:color="auto"/>
            </w:tcBorders>
            <w:vAlign w:val="center"/>
          </w:tcPr>
          <w:p w14:paraId="1997B7CD" w14:textId="212ECA44" w:rsidR="0098613E" w:rsidRDefault="0098613E" w:rsidP="0098613E">
            <w:pPr>
              <w:spacing w:line="240" w:lineRule="auto"/>
              <w:jc w:val="right"/>
              <w:rPr>
                <w:rFonts w:cs="Arial"/>
                <w:lang w:eastAsia="en-AU"/>
              </w:rPr>
            </w:pPr>
            <w:r>
              <w:rPr>
                <w:rFonts w:cs="Arial"/>
              </w:rPr>
              <w:t>8</w:t>
            </w:r>
            <w:r w:rsidR="00CD6527">
              <w:rPr>
                <w:rFonts w:cs="Arial"/>
              </w:rPr>
              <w:t>3</w:t>
            </w:r>
          </w:p>
        </w:tc>
        <w:tc>
          <w:tcPr>
            <w:tcW w:w="706" w:type="dxa"/>
            <w:tcBorders>
              <w:top w:val="nil"/>
              <w:left w:val="nil"/>
              <w:bottom w:val="single" w:sz="4" w:space="0" w:color="auto"/>
              <w:right w:val="single" w:sz="4" w:space="0" w:color="auto"/>
            </w:tcBorders>
            <w:vAlign w:val="center"/>
          </w:tcPr>
          <w:p w14:paraId="6C72EE70" w14:textId="314EAD57" w:rsidR="0098613E" w:rsidRDefault="0098613E" w:rsidP="0098613E">
            <w:pPr>
              <w:spacing w:line="240" w:lineRule="auto"/>
              <w:jc w:val="right"/>
              <w:rPr>
                <w:rFonts w:cs="Arial"/>
                <w:lang w:eastAsia="en-AU"/>
              </w:rPr>
            </w:pPr>
            <w:r>
              <w:rPr>
                <w:rFonts w:cs="Arial"/>
              </w:rPr>
              <w:t>8</w:t>
            </w:r>
          </w:p>
        </w:tc>
        <w:tc>
          <w:tcPr>
            <w:tcW w:w="849" w:type="dxa"/>
            <w:tcBorders>
              <w:top w:val="nil"/>
              <w:left w:val="nil"/>
              <w:bottom w:val="single" w:sz="4" w:space="0" w:color="auto"/>
              <w:right w:val="single" w:sz="4" w:space="0" w:color="auto"/>
            </w:tcBorders>
            <w:vAlign w:val="center"/>
          </w:tcPr>
          <w:p w14:paraId="10323D05" w14:textId="66C0C910" w:rsidR="0098613E" w:rsidRPr="00557E24" w:rsidRDefault="0098613E" w:rsidP="0098613E">
            <w:pPr>
              <w:spacing w:line="240" w:lineRule="auto"/>
              <w:jc w:val="right"/>
              <w:rPr>
                <w:rFonts w:cs="Arial"/>
                <w:b/>
                <w:lang w:eastAsia="en-AU"/>
              </w:rPr>
            </w:pPr>
            <w:r>
              <w:rPr>
                <w:rFonts w:cs="Arial"/>
                <w:b/>
                <w:bCs/>
              </w:rPr>
              <w:t>5</w:t>
            </w:r>
            <w:r w:rsidR="00575B48">
              <w:rPr>
                <w:rFonts w:cs="Arial"/>
                <w:b/>
                <w:bCs/>
              </w:rPr>
              <w:t>53</w:t>
            </w:r>
          </w:p>
        </w:tc>
      </w:tr>
      <w:tr w:rsidR="0098613E" w:rsidRPr="00650B45" w14:paraId="427883C4"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40F7AA5D" w14:textId="77777777" w:rsidR="0098613E" w:rsidRPr="0040594D" w:rsidRDefault="0098613E" w:rsidP="0098613E">
            <w:pPr>
              <w:spacing w:line="240" w:lineRule="auto"/>
              <w:rPr>
                <w:rFonts w:cs="Arial"/>
                <w:lang w:eastAsia="en-AU"/>
              </w:rPr>
            </w:pPr>
            <w:r w:rsidRPr="00CC2C25">
              <w:rPr>
                <w:rFonts w:cs="Arial"/>
              </w:rPr>
              <w:t>School Enrolment notice</w:t>
            </w:r>
          </w:p>
        </w:tc>
        <w:tc>
          <w:tcPr>
            <w:tcW w:w="851" w:type="dxa"/>
            <w:tcBorders>
              <w:top w:val="nil"/>
              <w:left w:val="nil"/>
              <w:bottom w:val="single" w:sz="4" w:space="0" w:color="auto"/>
              <w:right w:val="single" w:sz="4" w:space="0" w:color="auto"/>
            </w:tcBorders>
            <w:shd w:val="clear" w:color="auto" w:fill="auto"/>
            <w:vAlign w:val="center"/>
          </w:tcPr>
          <w:p w14:paraId="784F94EA" w14:textId="294643A4" w:rsidR="0098613E" w:rsidRPr="0040594D" w:rsidRDefault="0098613E" w:rsidP="0098613E">
            <w:pPr>
              <w:spacing w:line="240" w:lineRule="auto"/>
              <w:jc w:val="right"/>
              <w:rPr>
                <w:rFonts w:cs="Arial"/>
                <w:lang w:eastAsia="en-AU"/>
              </w:rPr>
            </w:pPr>
            <w:r>
              <w:rPr>
                <w:rFonts w:cs="Arial"/>
              </w:rPr>
              <w:t>2</w:t>
            </w:r>
          </w:p>
        </w:tc>
        <w:tc>
          <w:tcPr>
            <w:tcW w:w="850" w:type="dxa"/>
            <w:tcBorders>
              <w:top w:val="nil"/>
              <w:left w:val="nil"/>
              <w:bottom w:val="single" w:sz="4" w:space="0" w:color="auto"/>
              <w:right w:val="single" w:sz="4" w:space="0" w:color="auto"/>
            </w:tcBorders>
            <w:shd w:val="clear" w:color="auto" w:fill="auto"/>
            <w:vAlign w:val="center"/>
          </w:tcPr>
          <w:p w14:paraId="2010BAC3" w14:textId="079DBA61" w:rsidR="0098613E" w:rsidRPr="0040594D" w:rsidRDefault="0098613E" w:rsidP="0098613E">
            <w:pPr>
              <w:spacing w:line="240" w:lineRule="auto"/>
              <w:jc w:val="right"/>
              <w:rPr>
                <w:rFonts w:cs="Arial"/>
                <w:lang w:eastAsia="en-AU"/>
              </w:rPr>
            </w:pPr>
            <w:r>
              <w:rPr>
                <w:rFonts w:cs="Arial"/>
              </w:rPr>
              <w:t>0</w:t>
            </w:r>
          </w:p>
        </w:tc>
        <w:tc>
          <w:tcPr>
            <w:tcW w:w="779" w:type="dxa"/>
            <w:tcBorders>
              <w:top w:val="nil"/>
              <w:left w:val="nil"/>
              <w:bottom w:val="single" w:sz="4" w:space="0" w:color="auto"/>
              <w:right w:val="single" w:sz="4" w:space="0" w:color="auto"/>
            </w:tcBorders>
            <w:vAlign w:val="center"/>
          </w:tcPr>
          <w:p w14:paraId="3CD99817" w14:textId="4903DFDF" w:rsidR="0098613E" w:rsidRDefault="0098613E" w:rsidP="0098613E">
            <w:pPr>
              <w:spacing w:line="240" w:lineRule="auto"/>
              <w:jc w:val="right"/>
              <w:rPr>
                <w:rFonts w:cs="Arial"/>
                <w:lang w:eastAsia="en-AU"/>
              </w:rPr>
            </w:pPr>
            <w:r>
              <w:rPr>
                <w:rFonts w:cs="Arial"/>
              </w:rPr>
              <w:t>0</w:t>
            </w:r>
          </w:p>
        </w:tc>
        <w:tc>
          <w:tcPr>
            <w:tcW w:w="643" w:type="dxa"/>
            <w:tcBorders>
              <w:top w:val="nil"/>
              <w:left w:val="nil"/>
              <w:bottom w:val="single" w:sz="4" w:space="0" w:color="auto"/>
              <w:right w:val="single" w:sz="4" w:space="0" w:color="auto"/>
            </w:tcBorders>
            <w:vAlign w:val="center"/>
          </w:tcPr>
          <w:p w14:paraId="02AC8E9D" w14:textId="34B0568A" w:rsidR="0098613E" w:rsidRDefault="0098613E" w:rsidP="0098613E">
            <w:pPr>
              <w:spacing w:line="240" w:lineRule="auto"/>
              <w:jc w:val="right"/>
              <w:rPr>
                <w:rFonts w:cs="Arial"/>
                <w:lang w:eastAsia="en-AU"/>
              </w:rPr>
            </w:pPr>
            <w:r>
              <w:rPr>
                <w:rFonts w:cs="Arial"/>
              </w:rPr>
              <w:t>2</w:t>
            </w:r>
          </w:p>
        </w:tc>
        <w:tc>
          <w:tcPr>
            <w:tcW w:w="706" w:type="dxa"/>
            <w:tcBorders>
              <w:top w:val="nil"/>
              <w:left w:val="nil"/>
              <w:bottom w:val="single" w:sz="4" w:space="0" w:color="auto"/>
              <w:right w:val="single" w:sz="4" w:space="0" w:color="auto"/>
            </w:tcBorders>
            <w:vAlign w:val="center"/>
          </w:tcPr>
          <w:p w14:paraId="30E7D1DC" w14:textId="6BF4AE84" w:rsidR="0098613E" w:rsidRDefault="0098613E" w:rsidP="0098613E">
            <w:pPr>
              <w:spacing w:line="240" w:lineRule="auto"/>
              <w:jc w:val="right"/>
              <w:rPr>
                <w:rFonts w:cs="Arial"/>
                <w:lang w:eastAsia="en-AU"/>
              </w:rPr>
            </w:pPr>
            <w:r>
              <w:rPr>
                <w:rFonts w:cs="Arial"/>
              </w:rPr>
              <w:t>0</w:t>
            </w:r>
          </w:p>
        </w:tc>
        <w:tc>
          <w:tcPr>
            <w:tcW w:w="849" w:type="dxa"/>
            <w:tcBorders>
              <w:top w:val="nil"/>
              <w:left w:val="nil"/>
              <w:bottom w:val="single" w:sz="4" w:space="0" w:color="auto"/>
              <w:right w:val="single" w:sz="4" w:space="0" w:color="auto"/>
            </w:tcBorders>
            <w:vAlign w:val="center"/>
          </w:tcPr>
          <w:p w14:paraId="486AC0F0" w14:textId="24D7FB9C" w:rsidR="0098613E" w:rsidRPr="00557E24" w:rsidRDefault="0098613E" w:rsidP="0098613E">
            <w:pPr>
              <w:spacing w:line="240" w:lineRule="auto"/>
              <w:jc w:val="right"/>
              <w:rPr>
                <w:rFonts w:cs="Arial"/>
                <w:b/>
                <w:lang w:eastAsia="en-AU"/>
              </w:rPr>
            </w:pPr>
            <w:r>
              <w:rPr>
                <w:rFonts w:cs="Arial"/>
                <w:b/>
                <w:bCs/>
              </w:rPr>
              <w:t>4</w:t>
            </w:r>
          </w:p>
        </w:tc>
      </w:tr>
      <w:tr w:rsidR="00D763A1" w:rsidRPr="00650B45" w14:paraId="626FFFAF"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hideMark/>
          </w:tcPr>
          <w:p w14:paraId="2463C21C" w14:textId="77777777" w:rsidR="00D763A1" w:rsidRPr="00371BE2" w:rsidRDefault="00D763A1" w:rsidP="00D763A1">
            <w:pPr>
              <w:spacing w:line="240" w:lineRule="auto"/>
              <w:rPr>
                <w:rFonts w:cs="Arial"/>
                <w:lang w:eastAsia="en-AU"/>
              </w:rPr>
            </w:pPr>
            <w:bookmarkStart w:id="12" w:name="_Hlk68592858"/>
            <w:r w:rsidRPr="00371BE2">
              <w:rPr>
                <w:rFonts w:cs="Arial"/>
                <w:lang w:eastAsia="en-AU"/>
              </w:rPr>
              <w:t>Child Safety and Welfare notices</w:t>
            </w:r>
          </w:p>
        </w:tc>
        <w:tc>
          <w:tcPr>
            <w:tcW w:w="851" w:type="dxa"/>
            <w:tcBorders>
              <w:top w:val="nil"/>
              <w:left w:val="nil"/>
              <w:bottom w:val="single" w:sz="4" w:space="0" w:color="auto"/>
              <w:right w:val="single" w:sz="4" w:space="0" w:color="auto"/>
            </w:tcBorders>
            <w:shd w:val="clear" w:color="auto" w:fill="auto"/>
            <w:vAlign w:val="center"/>
          </w:tcPr>
          <w:p w14:paraId="221A5FBA" w14:textId="3A710A4D" w:rsidR="00D763A1" w:rsidRPr="0040594D" w:rsidRDefault="00D763A1" w:rsidP="00D763A1">
            <w:pPr>
              <w:spacing w:line="240" w:lineRule="auto"/>
              <w:jc w:val="right"/>
              <w:rPr>
                <w:rFonts w:cs="Arial"/>
                <w:lang w:eastAsia="en-AU"/>
              </w:rPr>
            </w:pPr>
          </w:p>
        </w:tc>
        <w:tc>
          <w:tcPr>
            <w:tcW w:w="850" w:type="dxa"/>
            <w:tcBorders>
              <w:top w:val="nil"/>
              <w:left w:val="nil"/>
              <w:bottom w:val="single" w:sz="4" w:space="0" w:color="auto"/>
              <w:right w:val="single" w:sz="4" w:space="0" w:color="auto"/>
            </w:tcBorders>
            <w:shd w:val="clear" w:color="auto" w:fill="auto"/>
            <w:vAlign w:val="center"/>
          </w:tcPr>
          <w:p w14:paraId="68D714D8" w14:textId="1DA504EA" w:rsidR="00D763A1" w:rsidRPr="0040594D" w:rsidRDefault="00D763A1" w:rsidP="00D763A1">
            <w:pPr>
              <w:spacing w:line="240" w:lineRule="auto"/>
              <w:jc w:val="right"/>
              <w:rPr>
                <w:rFonts w:cs="Arial"/>
                <w:lang w:eastAsia="en-AU"/>
              </w:rPr>
            </w:pPr>
          </w:p>
        </w:tc>
        <w:tc>
          <w:tcPr>
            <w:tcW w:w="779" w:type="dxa"/>
            <w:tcBorders>
              <w:top w:val="nil"/>
              <w:left w:val="nil"/>
              <w:bottom w:val="single" w:sz="4" w:space="0" w:color="auto"/>
              <w:right w:val="single" w:sz="4" w:space="0" w:color="auto"/>
            </w:tcBorders>
            <w:vAlign w:val="center"/>
          </w:tcPr>
          <w:p w14:paraId="1E479E1A" w14:textId="5EBA4FC9" w:rsidR="00D763A1" w:rsidRDefault="00D763A1" w:rsidP="00D763A1">
            <w:pPr>
              <w:spacing w:line="240" w:lineRule="auto"/>
              <w:jc w:val="right"/>
              <w:rPr>
                <w:rFonts w:cs="Arial"/>
                <w:lang w:eastAsia="en-AU"/>
              </w:rPr>
            </w:pPr>
          </w:p>
        </w:tc>
        <w:tc>
          <w:tcPr>
            <w:tcW w:w="643" w:type="dxa"/>
            <w:tcBorders>
              <w:top w:val="nil"/>
              <w:left w:val="nil"/>
              <w:bottom w:val="single" w:sz="4" w:space="0" w:color="auto"/>
              <w:right w:val="single" w:sz="4" w:space="0" w:color="auto"/>
            </w:tcBorders>
            <w:vAlign w:val="center"/>
          </w:tcPr>
          <w:p w14:paraId="3C891A0C" w14:textId="2C93B680" w:rsidR="00D763A1" w:rsidRDefault="00D763A1" w:rsidP="00D763A1">
            <w:pPr>
              <w:spacing w:line="240" w:lineRule="auto"/>
              <w:jc w:val="right"/>
              <w:rPr>
                <w:rFonts w:cs="Arial"/>
                <w:lang w:eastAsia="en-AU"/>
              </w:rPr>
            </w:pPr>
          </w:p>
        </w:tc>
        <w:tc>
          <w:tcPr>
            <w:tcW w:w="706" w:type="dxa"/>
            <w:tcBorders>
              <w:top w:val="nil"/>
              <w:left w:val="nil"/>
              <w:bottom w:val="single" w:sz="4" w:space="0" w:color="auto"/>
              <w:right w:val="single" w:sz="4" w:space="0" w:color="auto"/>
            </w:tcBorders>
            <w:vAlign w:val="center"/>
          </w:tcPr>
          <w:p w14:paraId="72B90696" w14:textId="39CD163B" w:rsidR="00D763A1" w:rsidRDefault="00D763A1" w:rsidP="00D763A1">
            <w:pPr>
              <w:spacing w:line="240" w:lineRule="auto"/>
              <w:jc w:val="right"/>
              <w:rPr>
                <w:rFonts w:cs="Arial"/>
                <w:lang w:eastAsia="en-AU"/>
              </w:rPr>
            </w:pPr>
          </w:p>
        </w:tc>
        <w:tc>
          <w:tcPr>
            <w:tcW w:w="849" w:type="dxa"/>
            <w:tcBorders>
              <w:top w:val="nil"/>
              <w:left w:val="nil"/>
              <w:bottom w:val="single" w:sz="4" w:space="0" w:color="auto"/>
              <w:right w:val="single" w:sz="4" w:space="0" w:color="auto"/>
            </w:tcBorders>
            <w:vAlign w:val="center"/>
          </w:tcPr>
          <w:p w14:paraId="3F3EAC97" w14:textId="0BDAA516" w:rsidR="00D763A1" w:rsidRPr="00557E24" w:rsidRDefault="00D763A1" w:rsidP="00D763A1">
            <w:pPr>
              <w:spacing w:line="240" w:lineRule="auto"/>
              <w:jc w:val="right"/>
              <w:rPr>
                <w:rFonts w:cs="Arial"/>
                <w:b/>
                <w:lang w:eastAsia="en-AU"/>
              </w:rPr>
            </w:pPr>
          </w:p>
        </w:tc>
      </w:tr>
      <w:bookmarkEnd w:id="12"/>
      <w:tr w:rsidR="0098613E" w:rsidRPr="00650B45" w14:paraId="1804ED43"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3DBFB2B9" w14:textId="5A9B9B27" w:rsidR="0098613E" w:rsidRPr="00371BE2" w:rsidRDefault="0098613E" w:rsidP="0098613E">
            <w:pPr>
              <w:spacing w:line="240" w:lineRule="auto"/>
              <w:rPr>
                <w:rFonts w:cs="Arial"/>
                <w:lang w:eastAsia="en-AU"/>
              </w:rPr>
            </w:pPr>
            <w:r>
              <w:rPr>
                <w:rFonts w:cs="Arial"/>
                <w:lang w:eastAsia="en-AU"/>
              </w:rPr>
              <w:tab/>
              <w:t>Child Concern Reports</w:t>
            </w:r>
          </w:p>
        </w:tc>
        <w:tc>
          <w:tcPr>
            <w:tcW w:w="851" w:type="dxa"/>
            <w:tcBorders>
              <w:top w:val="nil"/>
              <w:left w:val="nil"/>
              <w:bottom w:val="single" w:sz="4" w:space="0" w:color="auto"/>
              <w:right w:val="single" w:sz="4" w:space="0" w:color="auto"/>
            </w:tcBorders>
            <w:shd w:val="clear" w:color="auto" w:fill="auto"/>
            <w:vAlign w:val="center"/>
          </w:tcPr>
          <w:p w14:paraId="7E38485B" w14:textId="5291B9E5" w:rsidR="0098613E" w:rsidRDefault="0098613E" w:rsidP="0098613E">
            <w:pPr>
              <w:spacing w:line="240" w:lineRule="auto"/>
              <w:jc w:val="right"/>
              <w:rPr>
                <w:rFonts w:cs="Arial"/>
              </w:rPr>
            </w:pPr>
            <w:r>
              <w:rPr>
                <w:rFonts w:cs="Arial"/>
              </w:rPr>
              <w:t>4</w:t>
            </w:r>
          </w:p>
        </w:tc>
        <w:tc>
          <w:tcPr>
            <w:tcW w:w="850" w:type="dxa"/>
            <w:tcBorders>
              <w:top w:val="nil"/>
              <w:left w:val="nil"/>
              <w:bottom w:val="single" w:sz="4" w:space="0" w:color="auto"/>
              <w:right w:val="single" w:sz="4" w:space="0" w:color="auto"/>
            </w:tcBorders>
            <w:shd w:val="clear" w:color="auto" w:fill="auto"/>
            <w:vAlign w:val="center"/>
          </w:tcPr>
          <w:p w14:paraId="503CD381" w14:textId="3B955AC9" w:rsidR="0098613E" w:rsidRDefault="0098613E" w:rsidP="0098613E">
            <w:pPr>
              <w:spacing w:line="240" w:lineRule="auto"/>
              <w:jc w:val="right"/>
              <w:rPr>
                <w:rFonts w:cs="Arial"/>
              </w:rPr>
            </w:pPr>
            <w:r>
              <w:rPr>
                <w:rFonts w:cs="Arial"/>
              </w:rPr>
              <w:t>4</w:t>
            </w:r>
          </w:p>
        </w:tc>
        <w:tc>
          <w:tcPr>
            <w:tcW w:w="779" w:type="dxa"/>
            <w:tcBorders>
              <w:top w:val="nil"/>
              <w:left w:val="nil"/>
              <w:bottom w:val="single" w:sz="4" w:space="0" w:color="auto"/>
              <w:right w:val="single" w:sz="4" w:space="0" w:color="auto"/>
            </w:tcBorders>
            <w:vAlign w:val="center"/>
          </w:tcPr>
          <w:p w14:paraId="488ACCDC" w14:textId="6BC8ADA1" w:rsidR="0098613E" w:rsidRDefault="0098613E" w:rsidP="0098613E">
            <w:pPr>
              <w:spacing w:line="240" w:lineRule="auto"/>
              <w:jc w:val="right"/>
              <w:rPr>
                <w:rFonts w:cs="Arial"/>
              </w:rPr>
            </w:pPr>
            <w:r>
              <w:rPr>
                <w:rFonts w:cs="Arial"/>
              </w:rPr>
              <w:t>26</w:t>
            </w:r>
          </w:p>
        </w:tc>
        <w:tc>
          <w:tcPr>
            <w:tcW w:w="643" w:type="dxa"/>
            <w:tcBorders>
              <w:top w:val="nil"/>
              <w:left w:val="nil"/>
              <w:bottom w:val="single" w:sz="4" w:space="0" w:color="auto"/>
              <w:right w:val="single" w:sz="4" w:space="0" w:color="auto"/>
            </w:tcBorders>
            <w:vAlign w:val="center"/>
          </w:tcPr>
          <w:p w14:paraId="0FE1FB54" w14:textId="0CB9E6D0" w:rsidR="0098613E" w:rsidRDefault="0098613E" w:rsidP="0098613E">
            <w:pPr>
              <w:spacing w:line="240" w:lineRule="auto"/>
              <w:jc w:val="right"/>
              <w:rPr>
                <w:rFonts w:cs="Arial"/>
              </w:rPr>
            </w:pPr>
            <w:r>
              <w:rPr>
                <w:rFonts w:cs="Arial"/>
              </w:rPr>
              <w:t>6</w:t>
            </w:r>
          </w:p>
        </w:tc>
        <w:tc>
          <w:tcPr>
            <w:tcW w:w="706" w:type="dxa"/>
            <w:tcBorders>
              <w:top w:val="nil"/>
              <w:left w:val="nil"/>
              <w:bottom w:val="single" w:sz="4" w:space="0" w:color="auto"/>
              <w:right w:val="single" w:sz="4" w:space="0" w:color="auto"/>
            </w:tcBorders>
            <w:vAlign w:val="center"/>
          </w:tcPr>
          <w:p w14:paraId="6B736C1A" w14:textId="52D86DA3" w:rsidR="0098613E" w:rsidRDefault="0098613E" w:rsidP="0098613E">
            <w:pPr>
              <w:spacing w:line="240" w:lineRule="auto"/>
              <w:jc w:val="right"/>
              <w:rPr>
                <w:rFonts w:cs="Arial"/>
              </w:rPr>
            </w:pPr>
            <w:r>
              <w:rPr>
                <w:rFonts w:cs="Arial"/>
              </w:rPr>
              <w:t>2</w:t>
            </w:r>
          </w:p>
        </w:tc>
        <w:tc>
          <w:tcPr>
            <w:tcW w:w="849" w:type="dxa"/>
            <w:tcBorders>
              <w:top w:val="nil"/>
              <w:left w:val="nil"/>
              <w:bottom w:val="single" w:sz="4" w:space="0" w:color="auto"/>
              <w:right w:val="single" w:sz="4" w:space="0" w:color="auto"/>
            </w:tcBorders>
            <w:vAlign w:val="center"/>
          </w:tcPr>
          <w:p w14:paraId="46071030" w14:textId="53F2E945" w:rsidR="0098613E" w:rsidRDefault="0098613E" w:rsidP="0098613E">
            <w:pPr>
              <w:spacing w:line="240" w:lineRule="auto"/>
              <w:jc w:val="right"/>
              <w:rPr>
                <w:rFonts w:cs="Arial"/>
                <w:b/>
                <w:bCs/>
              </w:rPr>
            </w:pPr>
            <w:r>
              <w:rPr>
                <w:rFonts w:cs="Arial"/>
                <w:b/>
                <w:bCs/>
              </w:rPr>
              <w:t>42</w:t>
            </w:r>
          </w:p>
        </w:tc>
      </w:tr>
      <w:tr w:rsidR="0098613E" w:rsidRPr="00650B45" w14:paraId="2A2A6B6B" w14:textId="77777777" w:rsidTr="00D31356">
        <w:trPr>
          <w:trHeight w:val="284"/>
        </w:trPr>
        <w:tc>
          <w:tcPr>
            <w:tcW w:w="4995" w:type="dxa"/>
            <w:tcBorders>
              <w:top w:val="nil"/>
              <w:left w:val="single" w:sz="4" w:space="0" w:color="auto"/>
              <w:bottom w:val="single" w:sz="4" w:space="0" w:color="auto"/>
              <w:right w:val="single" w:sz="4" w:space="0" w:color="auto"/>
            </w:tcBorders>
            <w:shd w:val="clear" w:color="auto" w:fill="auto"/>
            <w:vAlign w:val="center"/>
          </w:tcPr>
          <w:p w14:paraId="4DE3038E" w14:textId="78C5FB05" w:rsidR="0098613E" w:rsidRPr="00371BE2" w:rsidRDefault="0098613E" w:rsidP="0098613E">
            <w:pPr>
              <w:spacing w:line="240" w:lineRule="auto"/>
              <w:rPr>
                <w:rFonts w:cs="Arial"/>
                <w:lang w:eastAsia="en-AU"/>
              </w:rPr>
            </w:pPr>
            <w:r>
              <w:rPr>
                <w:rFonts w:cs="Arial"/>
                <w:lang w:eastAsia="en-AU"/>
              </w:rPr>
              <w:tab/>
              <w:t>Finalised Child Protection Investigations</w:t>
            </w:r>
          </w:p>
        </w:tc>
        <w:tc>
          <w:tcPr>
            <w:tcW w:w="851" w:type="dxa"/>
            <w:tcBorders>
              <w:top w:val="nil"/>
              <w:left w:val="nil"/>
              <w:bottom w:val="single" w:sz="4" w:space="0" w:color="auto"/>
              <w:right w:val="single" w:sz="4" w:space="0" w:color="auto"/>
            </w:tcBorders>
            <w:shd w:val="clear" w:color="auto" w:fill="auto"/>
            <w:vAlign w:val="center"/>
          </w:tcPr>
          <w:p w14:paraId="190C4072" w14:textId="28EBDADA" w:rsidR="0098613E" w:rsidRDefault="0098613E" w:rsidP="0098613E">
            <w:pPr>
              <w:spacing w:line="240" w:lineRule="auto"/>
              <w:jc w:val="right"/>
              <w:rPr>
                <w:rFonts w:cs="Arial"/>
              </w:rPr>
            </w:pPr>
            <w:r>
              <w:rPr>
                <w:rFonts w:cs="Arial"/>
              </w:rPr>
              <w:t>3</w:t>
            </w:r>
          </w:p>
        </w:tc>
        <w:tc>
          <w:tcPr>
            <w:tcW w:w="850" w:type="dxa"/>
            <w:tcBorders>
              <w:top w:val="nil"/>
              <w:left w:val="nil"/>
              <w:bottom w:val="single" w:sz="4" w:space="0" w:color="auto"/>
              <w:right w:val="single" w:sz="4" w:space="0" w:color="auto"/>
            </w:tcBorders>
            <w:shd w:val="clear" w:color="auto" w:fill="auto"/>
            <w:vAlign w:val="center"/>
          </w:tcPr>
          <w:p w14:paraId="0611116F" w14:textId="7B37AE6A" w:rsidR="0098613E" w:rsidRDefault="0098613E" w:rsidP="0098613E">
            <w:pPr>
              <w:spacing w:line="240" w:lineRule="auto"/>
              <w:jc w:val="right"/>
              <w:rPr>
                <w:rFonts w:cs="Arial"/>
              </w:rPr>
            </w:pPr>
            <w:r>
              <w:rPr>
                <w:rFonts w:cs="Arial"/>
              </w:rPr>
              <w:t>0</w:t>
            </w:r>
          </w:p>
        </w:tc>
        <w:tc>
          <w:tcPr>
            <w:tcW w:w="779" w:type="dxa"/>
            <w:tcBorders>
              <w:top w:val="nil"/>
              <w:left w:val="nil"/>
              <w:bottom w:val="single" w:sz="4" w:space="0" w:color="auto"/>
              <w:right w:val="single" w:sz="4" w:space="0" w:color="auto"/>
            </w:tcBorders>
            <w:vAlign w:val="center"/>
          </w:tcPr>
          <w:p w14:paraId="57D695C1" w14:textId="222B14D1" w:rsidR="0098613E" w:rsidRDefault="0098613E" w:rsidP="0098613E">
            <w:pPr>
              <w:spacing w:line="240" w:lineRule="auto"/>
              <w:jc w:val="right"/>
              <w:rPr>
                <w:rFonts w:cs="Arial"/>
              </w:rPr>
            </w:pPr>
            <w:r>
              <w:rPr>
                <w:rFonts w:cs="Arial"/>
              </w:rPr>
              <w:t>0</w:t>
            </w:r>
          </w:p>
        </w:tc>
        <w:tc>
          <w:tcPr>
            <w:tcW w:w="643" w:type="dxa"/>
            <w:tcBorders>
              <w:top w:val="nil"/>
              <w:left w:val="nil"/>
              <w:bottom w:val="single" w:sz="4" w:space="0" w:color="auto"/>
              <w:right w:val="single" w:sz="4" w:space="0" w:color="auto"/>
            </w:tcBorders>
            <w:vAlign w:val="center"/>
          </w:tcPr>
          <w:p w14:paraId="5E3C036C" w14:textId="69CA5696" w:rsidR="0098613E" w:rsidRDefault="0098613E" w:rsidP="0098613E">
            <w:pPr>
              <w:spacing w:line="240" w:lineRule="auto"/>
              <w:jc w:val="right"/>
              <w:rPr>
                <w:rFonts w:cs="Arial"/>
              </w:rPr>
            </w:pPr>
            <w:r>
              <w:rPr>
                <w:rFonts w:cs="Arial"/>
              </w:rPr>
              <w:t>4</w:t>
            </w:r>
          </w:p>
        </w:tc>
        <w:tc>
          <w:tcPr>
            <w:tcW w:w="706" w:type="dxa"/>
            <w:tcBorders>
              <w:top w:val="nil"/>
              <w:left w:val="nil"/>
              <w:bottom w:val="single" w:sz="4" w:space="0" w:color="auto"/>
              <w:right w:val="single" w:sz="4" w:space="0" w:color="auto"/>
            </w:tcBorders>
            <w:vAlign w:val="center"/>
          </w:tcPr>
          <w:p w14:paraId="3F5C3F2B" w14:textId="1268AF55" w:rsidR="0098613E" w:rsidRDefault="0098613E" w:rsidP="0098613E">
            <w:pPr>
              <w:spacing w:line="240" w:lineRule="auto"/>
              <w:jc w:val="right"/>
              <w:rPr>
                <w:rFonts w:cs="Arial"/>
              </w:rPr>
            </w:pPr>
            <w:r>
              <w:rPr>
                <w:rFonts w:cs="Arial"/>
              </w:rPr>
              <w:t>0</w:t>
            </w:r>
          </w:p>
        </w:tc>
        <w:tc>
          <w:tcPr>
            <w:tcW w:w="849" w:type="dxa"/>
            <w:tcBorders>
              <w:top w:val="nil"/>
              <w:left w:val="nil"/>
              <w:bottom w:val="single" w:sz="4" w:space="0" w:color="auto"/>
              <w:right w:val="single" w:sz="4" w:space="0" w:color="auto"/>
            </w:tcBorders>
            <w:vAlign w:val="center"/>
          </w:tcPr>
          <w:p w14:paraId="50F034E7" w14:textId="551B0680" w:rsidR="0098613E" w:rsidRDefault="0098613E" w:rsidP="0098613E">
            <w:pPr>
              <w:spacing w:line="240" w:lineRule="auto"/>
              <w:jc w:val="right"/>
              <w:rPr>
                <w:rFonts w:cs="Arial"/>
                <w:b/>
                <w:bCs/>
              </w:rPr>
            </w:pPr>
            <w:r>
              <w:rPr>
                <w:rFonts w:cs="Arial"/>
                <w:b/>
                <w:bCs/>
              </w:rPr>
              <w:t>7</w:t>
            </w:r>
          </w:p>
        </w:tc>
      </w:tr>
      <w:tr w:rsidR="0098613E" w:rsidRPr="00650B45" w14:paraId="4C455349"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B0CCD0" w14:textId="77777777" w:rsidR="0098613E" w:rsidRPr="00371BE2" w:rsidRDefault="0098613E" w:rsidP="0098613E">
            <w:pPr>
              <w:spacing w:line="240" w:lineRule="auto"/>
              <w:rPr>
                <w:rFonts w:cs="Arial"/>
                <w:lang w:eastAsia="en-AU"/>
              </w:rPr>
            </w:pPr>
            <w:r w:rsidRPr="00371BE2">
              <w:rPr>
                <w:rFonts w:cs="Arial"/>
                <w:lang w:eastAsia="en-AU"/>
              </w:rPr>
              <w:t>Housing Tenancy notices</w:t>
            </w:r>
          </w:p>
        </w:tc>
        <w:tc>
          <w:tcPr>
            <w:tcW w:w="851" w:type="dxa"/>
            <w:tcBorders>
              <w:top w:val="single" w:sz="4" w:space="0" w:color="auto"/>
              <w:left w:val="nil"/>
              <w:bottom w:val="single" w:sz="4" w:space="0" w:color="auto"/>
              <w:right w:val="single" w:sz="4" w:space="0" w:color="auto"/>
            </w:tcBorders>
            <w:shd w:val="clear" w:color="auto" w:fill="auto"/>
            <w:vAlign w:val="center"/>
          </w:tcPr>
          <w:p w14:paraId="02AE4B84" w14:textId="08D5464D" w:rsidR="0098613E" w:rsidRPr="0040594D" w:rsidRDefault="0098613E" w:rsidP="0098613E">
            <w:pPr>
              <w:spacing w:line="240" w:lineRule="auto"/>
              <w:jc w:val="right"/>
              <w:rPr>
                <w:rFonts w:cs="Arial"/>
                <w:lang w:eastAsia="en-AU"/>
              </w:rPr>
            </w:pPr>
            <w:r>
              <w:rPr>
                <w:rFonts w:cs="Arial"/>
              </w:rPr>
              <w:t>1</w:t>
            </w:r>
          </w:p>
        </w:tc>
        <w:tc>
          <w:tcPr>
            <w:tcW w:w="850" w:type="dxa"/>
            <w:tcBorders>
              <w:top w:val="single" w:sz="4" w:space="0" w:color="auto"/>
              <w:left w:val="nil"/>
              <w:bottom w:val="single" w:sz="4" w:space="0" w:color="auto"/>
              <w:right w:val="single" w:sz="4" w:space="0" w:color="auto"/>
            </w:tcBorders>
            <w:shd w:val="clear" w:color="auto" w:fill="auto"/>
            <w:vAlign w:val="center"/>
          </w:tcPr>
          <w:p w14:paraId="7393B57B" w14:textId="78F6BDBA" w:rsidR="0098613E" w:rsidRPr="0040594D" w:rsidRDefault="0098613E" w:rsidP="0098613E">
            <w:pPr>
              <w:spacing w:line="240" w:lineRule="auto"/>
              <w:jc w:val="right"/>
              <w:rPr>
                <w:rFonts w:cs="Arial"/>
                <w:lang w:eastAsia="en-AU"/>
              </w:rPr>
            </w:pPr>
            <w:r>
              <w:rPr>
                <w:rFonts w:cs="Arial"/>
              </w:rPr>
              <w:t>0</w:t>
            </w:r>
          </w:p>
        </w:tc>
        <w:tc>
          <w:tcPr>
            <w:tcW w:w="779" w:type="dxa"/>
            <w:tcBorders>
              <w:top w:val="single" w:sz="4" w:space="0" w:color="auto"/>
              <w:left w:val="nil"/>
              <w:bottom w:val="single" w:sz="4" w:space="0" w:color="auto"/>
              <w:right w:val="single" w:sz="4" w:space="0" w:color="auto"/>
            </w:tcBorders>
            <w:vAlign w:val="center"/>
          </w:tcPr>
          <w:p w14:paraId="04A6282D" w14:textId="2CD98CE5" w:rsidR="0098613E" w:rsidRDefault="0098613E" w:rsidP="0098613E">
            <w:pPr>
              <w:spacing w:line="240" w:lineRule="auto"/>
              <w:jc w:val="right"/>
              <w:rPr>
                <w:rFonts w:cs="Arial"/>
                <w:lang w:eastAsia="en-AU"/>
              </w:rPr>
            </w:pPr>
            <w:r>
              <w:rPr>
                <w:rFonts w:cs="Arial"/>
              </w:rPr>
              <w:t>0</w:t>
            </w:r>
          </w:p>
        </w:tc>
        <w:tc>
          <w:tcPr>
            <w:tcW w:w="643" w:type="dxa"/>
            <w:tcBorders>
              <w:top w:val="single" w:sz="4" w:space="0" w:color="auto"/>
              <w:left w:val="nil"/>
              <w:bottom w:val="single" w:sz="4" w:space="0" w:color="auto"/>
              <w:right w:val="single" w:sz="4" w:space="0" w:color="auto"/>
            </w:tcBorders>
            <w:vAlign w:val="center"/>
          </w:tcPr>
          <w:p w14:paraId="755FED88" w14:textId="30FEFEA4" w:rsidR="0098613E" w:rsidRDefault="0098613E" w:rsidP="0098613E">
            <w:pPr>
              <w:spacing w:line="240" w:lineRule="auto"/>
              <w:jc w:val="right"/>
              <w:rPr>
                <w:rFonts w:cs="Arial"/>
                <w:lang w:eastAsia="en-AU"/>
              </w:rPr>
            </w:pPr>
            <w:r>
              <w:rPr>
                <w:rFonts w:cs="Arial"/>
              </w:rPr>
              <w:t>0</w:t>
            </w:r>
          </w:p>
        </w:tc>
        <w:tc>
          <w:tcPr>
            <w:tcW w:w="706" w:type="dxa"/>
            <w:tcBorders>
              <w:top w:val="single" w:sz="4" w:space="0" w:color="auto"/>
              <w:left w:val="nil"/>
              <w:bottom w:val="single" w:sz="4" w:space="0" w:color="auto"/>
              <w:right w:val="single" w:sz="4" w:space="0" w:color="auto"/>
            </w:tcBorders>
            <w:vAlign w:val="center"/>
          </w:tcPr>
          <w:p w14:paraId="7C287A88" w14:textId="417B9E10" w:rsidR="0098613E" w:rsidRDefault="0098613E" w:rsidP="0098613E">
            <w:pPr>
              <w:spacing w:line="240" w:lineRule="auto"/>
              <w:jc w:val="right"/>
              <w:rPr>
                <w:rFonts w:cs="Arial"/>
                <w:lang w:eastAsia="en-AU"/>
              </w:rPr>
            </w:pPr>
            <w:r>
              <w:rPr>
                <w:rFonts w:cs="Arial"/>
              </w:rPr>
              <w:t>1</w:t>
            </w:r>
          </w:p>
        </w:tc>
        <w:tc>
          <w:tcPr>
            <w:tcW w:w="849" w:type="dxa"/>
            <w:tcBorders>
              <w:top w:val="single" w:sz="4" w:space="0" w:color="auto"/>
              <w:left w:val="nil"/>
              <w:bottom w:val="single" w:sz="4" w:space="0" w:color="auto"/>
              <w:right w:val="single" w:sz="4" w:space="0" w:color="auto"/>
            </w:tcBorders>
            <w:vAlign w:val="center"/>
          </w:tcPr>
          <w:p w14:paraId="37F1A4A0" w14:textId="3E6BA667" w:rsidR="0098613E" w:rsidRPr="00557E24" w:rsidRDefault="0098613E" w:rsidP="0098613E">
            <w:pPr>
              <w:spacing w:line="240" w:lineRule="auto"/>
              <w:jc w:val="right"/>
              <w:rPr>
                <w:rFonts w:cs="Arial"/>
                <w:b/>
                <w:lang w:eastAsia="en-AU"/>
              </w:rPr>
            </w:pPr>
            <w:r>
              <w:rPr>
                <w:rFonts w:cs="Arial"/>
                <w:b/>
                <w:bCs/>
              </w:rPr>
              <w:t>2</w:t>
            </w:r>
          </w:p>
        </w:tc>
      </w:tr>
      <w:tr w:rsidR="00A1262A" w:rsidRPr="00557E24" w14:paraId="3F20CE90" w14:textId="77777777" w:rsidTr="00D31356">
        <w:trPr>
          <w:trHeight w:val="284"/>
        </w:trPr>
        <w:tc>
          <w:tcPr>
            <w:tcW w:w="4995" w:type="dxa"/>
            <w:tcBorders>
              <w:top w:val="single" w:sz="4" w:space="0" w:color="auto"/>
              <w:left w:val="single" w:sz="4" w:space="0" w:color="auto"/>
              <w:bottom w:val="single" w:sz="4" w:space="0" w:color="auto"/>
              <w:right w:val="single" w:sz="4" w:space="0" w:color="auto"/>
            </w:tcBorders>
            <w:shd w:val="clear" w:color="auto" w:fill="auto"/>
            <w:vAlign w:val="center"/>
          </w:tcPr>
          <w:p w14:paraId="1A98E419" w14:textId="77777777" w:rsidR="00A1262A" w:rsidRPr="00371BE2" w:rsidRDefault="00A1262A" w:rsidP="00A1262A">
            <w:pPr>
              <w:spacing w:line="240" w:lineRule="auto"/>
              <w:rPr>
                <w:rFonts w:cs="Arial"/>
                <w:b/>
                <w:lang w:eastAsia="en-AU"/>
              </w:rPr>
            </w:pPr>
            <w:r w:rsidRPr="00371BE2">
              <w:rPr>
                <w:rFonts w:cs="Arial"/>
                <w:b/>
                <w:lang w:eastAsia="en-AU"/>
              </w:rPr>
              <w:t>Total</w:t>
            </w:r>
          </w:p>
        </w:tc>
        <w:tc>
          <w:tcPr>
            <w:tcW w:w="851" w:type="dxa"/>
            <w:tcBorders>
              <w:top w:val="single" w:sz="4" w:space="0" w:color="auto"/>
              <w:left w:val="nil"/>
              <w:bottom w:val="single" w:sz="4" w:space="0" w:color="auto"/>
              <w:right w:val="single" w:sz="4" w:space="0" w:color="auto"/>
            </w:tcBorders>
            <w:shd w:val="clear" w:color="auto" w:fill="auto"/>
            <w:vAlign w:val="center"/>
          </w:tcPr>
          <w:p w14:paraId="76735EFB" w14:textId="62998873" w:rsidR="00A1262A" w:rsidRPr="000E3D5D" w:rsidRDefault="00A1262A" w:rsidP="00A1262A">
            <w:pPr>
              <w:spacing w:line="240" w:lineRule="auto"/>
              <w:jc w:val="right"/>
              <w:rPr>
                <w:rFonts w:cs="Arial"/>
                <w:b/>
                <w:lang w:eastAsia="en-AU"/>
              </w:rPr>
            </w:pPr>
            <w:r>
              <w:rPr>
                <w:rFonts w:cs="Arial"/>
                <w:b/>
                <w:bCs/>
              </w:rPr>
              <w:t>50</w:t>
            </w:r>
            <w:r w:rsidR="00575B48">
              <w:rPr>
                <w:rFonts w:cs="Arial"/>
                <w:b/>
                <w:bCs/>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430FC376" w14:textId="210EBC2F" w:rsidR="00A1262A" w:rsidRPr="000E3D5D" w:rsidRDefault="00A1262A" w:rsidP="00A1262A">
            <w:pPr>
              <w:spacing w:line="240" w:lineRule="auto"/>
              <w:jc w:val="right"/>
              <w:rPr>
                <w:rFonts w:cs="Arial"/>
                <w:b/>
                <w:lang w:eastAsia="en-AU"/>
              </w:rPr>
            </w:pPr>
            <w:r>
              <w:rPr>
                <w:rFonts w:cs="Arial"/>
                <w:b/>
                <w:bCs/>
              </w:rPr>
              <w:t>4</w:t>
            </w:r>
            <w:r w:rsidR="00CD6527">
              <w:rPr>
                <w:rFonts w:cs="Arial"/>
                <w:b/>
                <w:bCs/>
              </w:rPr>
              <w:t>8</w:t>
            </w:r>
          </w:p>
        </w:tc>
        <w:tc>
          <w:tcPr>
            <w:tcW w:w="779" w:type="dxa"/>
            <w:tcBorders>
              <w:top w:val="single" w:sz="4" w:space="0" w:color="auto"/>
              <w:left w:val="nil"/>
              <w:bottom w:val="single" w:sz="4" w:space="0" w:color="auto"/>
              <w:right w:val="single" w:sz="4" w:space="0" w:color="auto"/>
            </w:tcBorders>
            <w:vAlign w:val="center"/>
          </w:tcPr>
          <w:p w14:paraId="4ECA5E82" w14:textId="18C3C295" w:rsidR="00A1262A" w:rsidRPr="000E3D5D" w:rsidRDefault="00A1262A" w:rsidP="00A1262A">
            <w:pPr>
              <w:spacing w:line="240" w:lineRule="auto"/>
              <w:jc w:val="right"/>
              <w:rPr>
                <w:rFonts w:cs="Arial"/>
                <w:b/>
                <w:lang w:eastAsia="en-AU"/>
              </w:rPr>
            </w:pPr>
            <w:r>
              <w:rPr>
                <w:rFonts w:cs="Arial"/>
                <w:b/>
                <w:bCs/>
              </w:rPr>
              <w:t>27</w:t>
            </w:r>
            <w:r w:rsidR="00575B48">
              <w:rPr>
                <w:rFonts w:cs="Arial"/>
                <w:b/>
                <w:bCs/>
              </w:rPr>
              <w:t>8</w:t>
            </w:r>
          </w:p>
        </w:tc>
        <w:tc>
          <w:tcPr>
            <w:tcW w:w="643" w:type="dxa"/>
            <w:tcBorders>
              <w:top w:val="single" w:sz="4" w:space="0" w:color="auto"/>
              <w:left w:val="nil"/>
              <w:bottom w:val="single" w:sz="4" w:space="0" w:color="auto"/>
              <w:right w:val="single" w:sz="4" w:space="0" w:color="auto"/>
            </w:tcBorders>
            <w:vAlign w:val="center"/>
          </w:tcPr>
          <w:p w14:paraId="4498767F" w14:textId="7E321797" w:rsidR="00A1262A" w:rsidRPr="000E3D5D" w:rsidRDefault="00A1262A" w:rsidP="00A1262A">
            <w:pPr>
              <w:spacing w:line="240" w:lineRule="auto"/>
              <w:jc w:val="right"/>
              <w:rPr>
                <w:rFonts w:cs="Arial"/>
                <w:b/>
                <w:lang w:eastAsia="en-AU"/>
              </w:rPr>
            </w:pPr>
            <w:r>
              <w:rPr>
                <w:rFonts w:cs="Arial"/>
                <w:b/>
                <w:bCs/>
              </w:rPr>
              <w:t>18</w:t>
            </w:r>
            <w:r w:rsidR="00CD6527">
              <w:rPr>
                <w:rFonts w:cs="Arial"/>
                <w:b/>
                <w:bCs/>
              </w:rPr>
              <w:t>8</w:t>
            </w:r>
          </w:p>
        </w:tc>
        <w:tc>
          <w:tcPr>
            <w:tcW w:w="706" w:type="dxa"/>
            <w:tcBorders>
              <w:top w:val="single" w:sz="4" w:space="0" w:color="auto"/>
              <w:left w:val="nil"/>
              <w:bottom w:val="single" w:sz="4" w:space="0" w:color="auto"/>
              <w:right w:val="single" w:sz="4" w:space="0" w:color="auto"/>
            </w:tcBorders>
            <w:vAlign w:val="center"/>
          </w:tcPr>
          <w:p w14:paraId="2806B4BD" w14:textId="7ED051A1" w:rsidR="00A1262A" w:rsidRPr="000E3D5D" w:rsidRDefault="00A1262A" w:rsidP="00A1262A">
            <w:pPr>
              <w:spacing w:line="240" w:lineRule="auto"/>
              <w:jc w:val="right"/>
              <w:rPr>
                <w:rFonts w:cs="Arial"/>
                <w:b/>
                <w:lang w:eastAsia="en-AU"/>
              </w:rPr>
            </w:pPr>
            <w:r>
              <w:rPr>
                <w:rFonts w:cs="Arial"/>
                <w:b/>
                <w:bCs/>
              </w:rPr>
              <w:t>43</w:t>
            </w:r>
          </w:p>
        </w:tc>
        <w:tc>
          <w:tcPr>
            <w:tcW w:w="849" w:type="dxa"/>
            <w:tcBorders>
              <w:top w:val="single" w:sz="4" w:space="0" w:color="auto"/>
              <w:left w:val="nil"/>
              <w:bottom w:val="single" w:sz="4" w:space="0" w:color="auto"/>
              <w:right w:val="single" w:sz="4" w:space="0" w:color="auto"/>
            </w:tcBorders>
            <w:vAlign w:val="center"/>
          </w:tcPr>
          <w:p w14:paraId="24507EE5" w14:textId="3080F627" w:rsidR="00A1262A" w:rsidRPr="000E3D5D" w:rsidRDefault="00A1262A" w:rsidP="00A1262A">
            <w:pPr>
              <w:spacing w:line="240" w:lineRule="auto"/>
              <w:jc w:val="right"/>
              <w:rPr>
                <w:rFonts w:cs="Arial"/>
                <w:b/>
                <w:lang w:eastAsia="en-AU"/>
              </w:rPr>
            </w:pPr>
            <w:r>
              <w:rPr>
                <w:rFonts w:cs="Arial"/>
                <w:b/>
                <w:bCs/>
              </w:rPr>
              <w:t>10</w:t>
            </w:r>
            <w:r w:rsidR="00CD6527">
              <w:rPr>
                <w:rFonts w:cs="Arial"/>
                <w:b/>
                <w:bCs/>
              </w:rPr>
              <w:t>5</w:t>
            </w:r>
            <w:r w:rsidR="00575B48">
              <w:rPr>
                <w:rFonts w:cs="Arial"/>
                <w:b/>
                <w:bCs/>
              </w:rPr>
              <w:t>9</w:t>
            </w:r>
          </w:p>
        </w:tc>
      </w:tr>
    </w:tbl>
    <w:p w14:paraId="68A14D11" w14:textId="77777777" w:rsidR="00557E24" w:rsidRDefault="00557E24" w:rsidP="008D3D27">
      <w:pPr>
        <w:spacing w:line="240" w:lineRule="auto"/>
        <w:ind w:left="-142" w:right="-425"/>
        <w:rPr>
          <w:rFonts w:cs="Arial"/>
          <w:b/>
        </w:rPr>
      </w:pPr>
    </w:p>
    <w:p w14:paraId="1D61EE1E" w14:textId="77777777" w:rsidR="00D53206" w:rsidRDefault="00D53206" w:rsidP="00214C68">
      <w:pPr>
        <w:ind w:left="-142" w:right="-425"/>
        <w:rPr>
          <w:rFonts w:cs="Arial"/>
          <w:b/>
        </w:rPr>
      </w:pPr>
    </w:p>
    <w:p w14:paraId="0F166E74" w14:textId="59F1694F" w:rsidR="00214C68" w:rsidRDefault="00214C68" w:rsidP="00214C68">
      <w:pPr>
        <w:ind w:left="-142" w:right="-425"/>
        <w:rPr>
          <w:rFonts w:cs="Arial"/>
          <w:b/>
        </w:rPr>
      </w:pPr>
      <w:r>
        <w:rPr>
          <w:rFonts w:cs="Arial"/>
          <w:b/>
        </w:rPr>
        <w:t>Further details of notices within jurisdiction for each community are set out below:</w:t>
      </w:r>
    </w:p>
    <w:p w14:paraId="6A98137B" w14:textId="35E78F12"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50728C">
        <w:rPr>
          <w:rFonts w:ascii="Verdana" w:hAnsi="Verdana" w:cs="Arial"/>
          <w:sz w:val="20"/>
          <w:szCs w:val="20"/>
        </w:rPr>
        <w:t xml:space="preserve">Aurukun </w:t>
      </w:r>
      <w:r w:rsidR="00322C7B" w:rsidRPr="000B0E76">
        <w:rPr>
          <w:rFonts w:ascii="Verdana" w:hAnsi="Verdana" w:cs="Arial"/>
          <w:sz w:val="20"/>
          <w:szCs w:val="20"/>
        </w:rPr>
        <w:t xml:space="preserve">received </w:t>
      </w:r>
      <w:r w:rsidR="007D1BA7">
        <w:rPr>
          <w:rFonts w:ascii="Verdana" w:hAnsi="Verdana" w:cs="Arial"/>
          <w:sz w:val="20"/>
          <w:szCs w:val="20"/>
        </w:rPr>
        <w:t>50</w:t>
      </w:r>
      <w:r w:rsidR="00575B48">
        <w:rPr>
          <w:rFonts w:ascii="Verdana" w:hAnsi="Verdana" w:cs="Arial"/>
          <w:sz w:val="20"/>
          <w:szCs w:val="20"/>
        </w:rPr>
        <w:t>2</w:t>
      </w:r>
      <w:r w:rsidR="00CB5177" w:rsidRPr="000B0E76">
        <w:rPr>
          <w:rFonts w:ascii="Verdana" w:hAnsi="Verdana" w:cs="Arial"/>
          <w:sz w:val="20"/>
          <w:szCs w:val="20"/>
        </w:rPr>
        <w:t xml:space="preserve"> </w:t>
      </w:r>
      <w:r w:rsidRPr="000B0E76">
        <w:rPr>
          <w:rFonts w:ascii="Verdana" w:hAnsi="Verdana" w:cs="Arial"/>
          <w:sz w:val="20"/>
          <w:szCs w:val="20"/>
        </w:rPr>
        <w:t>notices</w:t>
      </w:r>
      <w:r w:rsidR="00FF69E4" w:rsidRPr="000B0E76">
        <w:rPr>
          <w:rFonts w:ascii="Verdana" w:hAnsi="Verdana" w:cs="Arial"/>
          <w:sz w:val="20"/>
          <w:szCs w:val="20"/>
        </w:rPr>
        <w:t xml:space="preserve"> relating to </w:t>
      </w:r>
      <w:r w:rsidR="00CB5177">
        <w:rPr>
          <w:rFonts w:ascii="Verdana" w:hAnsi="Verdana" w:cs="Arial"/>
          <w:sz w:val="20"/>
          <w:szCs w:val="20"/>
        </w:rPr>
        <w:t>25</w:t>
      </w:r>
      <w:r w:rsidR="00575B48">
        <w:rPr>
          <w:rFonts w:ascii="Verdana" w:hAnsi="Verdana" w:cs="Arial"/>
          <w:sz w:val="20"/>
          <w:szCs w:val="20"/>
        </w:rPr>
        <w:t>3</w:t>
      </w:r>
      <w:r w:rsidR="00CB5177" w:rsidRPr="000B0E76">
        <w:rPr>
          <w:rFonts w:ascii="Verdana" w:hAnsi="Verdana" w:cs="Arial"/>
          <w:sz w:val="20"/>
          <w:szCs w:val="20"/>
        </w:rPr>
        <w:t xml:space="preserve"> </w:t>
      </w:r>
      <w:r w:rsidR="00FF69E4"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CB5177">
        <w:rPr>
          <w:rFonts w:ascii="Verdana" w:hAnsi="Verdana" w:cs="Arial"/>
          <w:sz w:val="20"/>
          <w:szCs w:val="20"/>
        </w:rPr>
        <w:t>13</w:t>
      </w:r>
      <w:r w:rsidR="00575B48">
        <w:rPr>
          <w:rFonts w:ascii="Verdana" w:hAnsi="Verdana" w:cs="Arial"/>
          <w:sz w:val="20"/>
          <w:szCs w:val="20"/>
        </w:rPr>
        <w:t>9</w:t>
      </w:r>
      <w:r w:rsidR="00CB5177" w:rsidRPr="000B0E76">
        <w:rPr>
          <w:rFonts w:ascii="Verdana" w:hAnsi="Verdana" w:cs="Arial"/>
          <w:sz w:val="20"/>
          <w:szCs w:val="20"/>
        </w:rPr>
        <w:t xml:space="preserve"> </w:t>
      </w:r>
      <w:r w:rsidR="00490D4B" w:rsidRPr="000B0E76">
        <w:rPr>
          <w:rFonts w:ascii="Verdana" w:hAnsi="Verdana" w:cs="Arial"/>
          <w:sz w:val="20"/>
          <w:szCs w:val="20"/>
        </w:rPr>
        <w:t>female</w:t>
      </w:r>
      <w:r w:rsidR="004D219E" w:rsidRPr="000B0E76">
        <w:rPr>
          <w:rFonts w:ascii="Verdana" w:hAnsi="Verdana" w:cs="Arial"/>
          <w:sz w:val="20"/>
          <w:szCs w:val="20"/>
        </w:rPr>
        <w:t xml:space="preserve"> and </w:t>
      </w:r>
      <w:r w:rsidR="00CB5177">
        <w:rPr>
          <w:rFonts w:ascii="Verdana" w:hAnsi="Verdana" w:cs="Arial"/>
          <w:sz w:val="20"/>
          <w:szCs w:val="20"/>
        </w:rPr>
        <w:t>11</w:t>
      </w:r>
      <w:r w:rsidR="00575B48">
        <w:rPr>
          <w:rFonts w:ascii="Verdana" w:hAnsi="Verdana" w:cs="Arial"/>
          <w:sz w:val="20"/>
          <w:szCs w:val="20"/>
        </w:rPr>
        <w:t>4</w:t>
      </w:r>
      <w:r w:rsidR="00CB5177"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6730507D" w14:textId="001917E8"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 xml:space="preserve">Coen </w:t>
      </w:r>
      <w:r w:rsidR="00322C7B" w:rsidRPr="000B0E76">
        <w:rPr>
          <w:rFonts w:ascii="Verdana" w:hAnsi="Verdana" w:cs="Arial"/>
          <w:sz w:val="20"/>
          <w:szCs w:val="20"/>
        </w:rPr>
        <w:t xml:space="preserve">received </w:t>
      </w:r>
      <w:r w:rsidR="007D1BA7">
        <w:rPr>
          <w:rFonts w:ascii="Verdana" w:hAnsi="Verdana" w:cs="Arial"/>
          <w:sz w:val="20"/>
          <w:szCs w:val="20"/>
        </w:rPr>
        <w:t>4</w:t>
      </w:r>
      <w:r w:rsidR="00294AA0">
        <w:rPr>
          <w:rFonts w:ascii="Verdana" w:hAnsi="Verdana" w:cs="Arial"/>
          <w:sz w:val="20"/>
          <w:szCs w:val="20"/>
        </w:rPr>
        <w:t>8</w:t>
      </w:r>
      <w:r w:rsidR="00CB5177"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CB5177">
        <w:rPr>
          <w:rFonts w:ascii="Verdana" w:hAnsi="Verdana" w:cs="Arial"/>
          <w:sz w:val="20"/>
          <w:szCs w:val="20"/>
        </w:rPr>
        <w:t>2</w:t>
      </w:r>
      <w:r w:rsidR="00294AA0">
        <w:rPr>
          <w:rFonts w:ascii="Verdana" w:hAnsi="Verdana" w:cs="Arial"/>
          <w:sz w:val="20"/>
          <w:szCs w:val="20"/>
        </w:rPr>
        <w:t>1</w:t>
      </w:r>
      <w:r w:rsidR="00CB5177"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CB5177">
        <w:rPr>
          <w:rFonts w:ascii="Verdana" w:hAnsi="Verdana" w:cs="Arial"/>
          <w:sz w:val="20"/>
          <w:szCs w:val="20"/>
        </w:rPr>
        <w:t>7</w:t>
      </w:r>
      <w:r w:rsidR="00CB5177"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CB5177">
        <w:rPr>
          <w:rFonts w:ascii="Verdana" w:hAnsi="Verdana" w:cs="Arial"/>
          <w:sz w:val="20"/>
          <w:szCs w:val="20"/>
        </w:rPr>
        <w:t>1</w:t>
      </w:r>
      <w:r w:rsidR="000D05C5">
        <w:rPr>
          <w:rFonts w:ascii="Verdana" w:hAnsi="Verdana" w:cs="Arial"/>
          <w:sz w:val="20"/>
          <w:szCs w:val="20"/>
        </w:rPr>
        <w:t>4</w:t>
      </w:r>
      <w:r w:rsidR="00CB5177"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438CC073" w14:textId="745A17E0"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Doomadgee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7D1BA7">
        <w:rPr>
          <w:rFonts w:ascii="Verdana" w:hAnsi="Verdana" w:cs="Arial"/>
          <w:sz w:val="20"/>
          <w:szCs w:val="20"/>
        </w:rPr>
        <w:t>27</w:t>
      </w:r>
      <w:r w:rsidR="00575B48">
        <w:rPr>
          <w:rFonts w:ascii="Verdana" w:hAnsi="Verdana" w:cs="Arial"/>
          <w:sz w:val="20"/>
          <w:szCs w:val="20"/>
        </w:rPr>
        <w:t>8</w:t>
      </w:r>
      <w:r w:rsidR="00CB5177"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CB5177">
        <w:rPr>
          <w:rFonts w:ascii="Verdana" w:hAnsi="Verdana" w:cs="Arial"/>
          <w:sz w:val="20"/>
          <w:szCs w:val="20"/>
        </w:rPr>
        <w:t>16</w:t>
      </w:r>
      <w:r w:rsidR="00575B48">
        <w:rPr>
          <w:rFonts w:ascii="Verdana" w:hAnsi="Verdana" w:cs="Arial"/>
          <w:sz w:val="20"/>
          <w:szCs w:val="20"/>
        </w:rPr>
        <w:t>4</w:t>
      </w:r>
      <w:r w:rsidR="00CB5177"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CB5177">
        <w:rPr>
          <w:rFonts w:ascii="Verdana" w:hAnsi="Verdana" w:cs="Arial"/>
          <w:sz w:val="20"/>
          <w:szCs w:val="20"/>
        </w:rPr>
        <w:t>1</w:t>
      </w:r>
      <w:r w:rsidR="00575B48">
        <w:rPr>
          <w:rFonts w:ascii="Verdana" w:hAnsi="Verdana" w:cs="Arial"/>
          <w:sz w:val="20"/>
          <w:szCs w:val="20"/>
        </w:rPr>
        <w:t>20</w:t>
      </w:r>
      <w:r w:rsidR="00CB5177"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CB5177">
        <w:rPr>
          <w:rFonts w:ascii="Verdana" w:hAnsi="Verdana" w:cs="Arial"/>
          <w:sz w:val="20"/>
          <w:szCs w:val="20"/>
        </w:rPr>
        <w:t>44</w:t>
      </w:r>
      <w:r w:rsidR="00CB5177"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09BFCAFB" w14:textId="2A452F0D" w:rsidR="00214C68" w:rsidRPr="000B0E76" w:rsidRDefault="00214C68" w:rsidP="00137747">
      <w:pPr>
        <w:pStyle w:val="ListParagraph"/>
        <w:numPr>
          <w:ilvl w:val="0"/>
          <w:numId w:val="8"/>
        </w:numPr>
        <w:spacing w:line="288" w:lineRule="auto"/>
        <w:ind w:left="572" w:right="-425" w:hanging="357"/>
        <w:jc w:val="both"/>
        <w:rPr>
          <w:rFonts w:ascii="Verdana" w:hAnsi="Verdana" w:cs="Arial"/>
          <w:sz w:val="20"/>
          <w:szCs w:val="20"/>
        </w:rPr>
      </w:pPr>
      <w:r w:rsidRPr="000B0E76">
        <w:rPr>
          <w:rFonts w:ascii="Verdana" w:hAnsi="Verdana" w:cs="Arial"/>
          <w:sz w:val="20"/>
          <w:szCs w:val="20"/>
        </w:rPr>
        <w:t>Hope Vale</w:t>
      </w:r>
      <w:r w:rsidR="00322C7B" w:rsidRPr="000B0E76">
        <w:rPr>
          <w:rFonts w:ascii="Verdana" w:hAnsi="Verdana" w:cs="Arial"/>
          <w:sz w:val="20"/>
          <w:szCs w:val="20"/>
        </w:rPr>
        <w:t xml:space="preserve"> received</w:t>
      </w:r>
      <w:r w:rsidRPr="000B0E76">
        <w:rPr>
          <w:rFonts w:ascii="Verdana" w:hAnsi="Verdana" w:cs="Arial"/>
          <w:sz w:val="20"/>
          <w:szCs w:val="20"/>
        </w:rPr>
        <w:t xml:space="preserve"> </w:t>
      </w:r>
      <w:r w:rsidR="007D1BA7">
        <w:rPr>
          <w:rFonts w:ascii="Verdana" w:hAnsi="Verdana" w:cs="Arial"/>
          <w:sz w:val="20"/>
          <w:szCs w:val="20"/>
        </w:rPr>
        <w:t>18</w:t>
      </w:r>
      <w:r w:rsidR="00294AA0">
        <w:rPr>
          <w:rFonts w:ascii="Verdana" w:hAnsi="Verdana" w:cs="Arial"/>
          <w:sz w:val="20"/>
          <w:szCs w:val="20"/>
        </w:rPr>
        <w:t>8</w:t>
      </w:r>
      <w:r w:rsidR="00CB5177" w:rsidRPr="000B0E76">
        <w:rPr>
          <w:rFonts w:ascii="Verdana" w:hAnsi="Verdana" w:cs="Arial"/>
          <w:sz w:val="20"/>
          <w:szCs w:val="20"/>
        </w:rPr>
        <w:t xml:space="preserve"> </w:t>
      </w:r>
      <w:r w:rsidRPr="000B0E76">
        <w:rPr>
          <w:rFonts w:ascii="Verdana" w:hAnsi="Verdana" w:cs="Arial"/>
          <w:sz w:val="20"/>
          <w:szCs w:val="20"/>
        </w:rPr>
        <w:t>notices</w:t>
      </w:r>
      <w:r w:rsidR="00F64B95" w:rsidRPr="000B0E76">
        <w:rPr>
          <w:rFonts w:ascii="Verdana" w:hAnsi="Verdana" w:cs="Arial"/>
          <w:sz w:val="20"/>
          <w:szCs w:val="20"/>
        </w:rPr>
        <w:t xml:space="preserve">, relating to </w:t>
      </w:r>
      <w:r w:rsidR="00CB5177">
        <w:rPr>
          <w:rFonts w:ascii="Verdana" w:hAnsi="Verdana" w:cs="Arial"/>
          <w:sz w:val="20"/>
          <w:szCs w:val="20"/>
        </w:rPr>
        <w:t>12</w:t>
      </w:r>
      <w:r w:rsidR="000D05C5">
        <w:rPr>
          <w:rFonts w:ascii="Verdana" w:hAnsi="Verdana" w:cs="Arial"/>
          <w:sz w:val="20"/>
          <w:szCs w:val="20"/>
        </w:rPr>
        <w:t>2</w:t>
      </w:r>
      <w:r w:rsidR="00CB5177" w:rsidRPr="000B0E76">
        <w:rPr>
          <w:rFonts w:ascii="Verdana" w:hAnsi="Verdana" w:cs="Arial"/>
          <w:sz w:val="20"/>
          <w:szCs w:val="20"/>
        </w:rPr>
        <w:t xml:space="preserve"> </w:t>
      </w:r>
      <w:r w:rsidR="00F64B95" w:rsidRPr="000B0E76">
        <w:rPr>
          <w:rFonts w:ascii="Verdana" w:hAnsi="Verdana" w:cs="Arial"/>
          <w:sz w:val="20"/>
          <w:szCs w:val="20"/>
        </w:rPr>
        <w:t>clients</w:t>
      </w:r>
      <w:r w:rsidR="00490D4B" w:rsidRPr="000B0E76">
        <w:rPr>
          <w:rFonts w:ascii="Verdana" w:hAnsi="Verdana" w:cs="Arial"/>
          <w:sz w:val="20"/>
          <w:szCs w:val="20"/>
        </w:rPr>
        <w:t xml:space="preserve"> </w:t>
      </w:r>
      <w:r w:rsidR="004D1D23" w:rsidRPr="000B0E76">
        <w:rPr>
          <w:rFonts w:ascii="Verdana" w:hAnsi="Verdana" w:cs="Arial"/>
          <w:sz w:val="20"/>
          <w:szCs w:val="20"/>
        </w:rPr>
        <w:t>(</w:t>
      </w:r>
      <w:r w:rsidR="00CB5177">
        <w:rPr>
          <w:rFonts w:ascii="Verdana" w:hAnsi="Verdana" w:cs="Arial"/>
          <w:sz w:val="20"/>
          <w:szCs w:val="20"/>
        </w:rPr>
        <w:t>64</w:t>
      </w:r>
      <w:r w:rsidR="00CB5177" w:rsidRPr="000B0E76">
        <w:rPr>
          <w:rFonts w:ascii="Verdana" w:hAnsi="Verdana" w:cs="Arial"/>
          <w:sz w:val="20"/>
          <w:szCs w:val="20"/>
        </w:rPr>
        <w:t xml:space="preserve"> </w:t>
      </w:r>
      <w:r w:rsidR="00081AA0" w:rsidRPr="000B0E76">
        <w:rPr>
          <w:rFonts w:ascii="Verdana" w:hAnsi="Verdana" w:cs="Arial"/>
          <w:sz w:val="20"/>
          <w:szCs w:val="20"/>
        </w:rPr>
        <w:t>female</w:t>
      </w:r>
      <w:r w:rsidR="004D219E" w:rsidRPr="000B0E76">
        <w:rPr>
          <w:rFonts w:ascii="Verdana" w:hAnsi="Verdana" w:cs="Arial"/>
          <w:sz w:val="20"/>
          <w:szCs w:val="20"/>
        </w:rPr>
        <w:t xml:space="preserve"> and </w:t>
      </w:r>
      <w:r w:rsidR="00CB5177">
        <w:rPr>
          <w:rFonts w:ascii="Verdana" w:hAnsi="Verdana" w:cs="Arial"/>
          <w:sz w:val="20"/>
          <w:szCs w:val="20"/>
        </w:rPr>
        <w:t>5</w:t>
      </w:r>
      <w:r w:rsidR="000D05C5">
        <w:rPr>
          <w:rFonts w:ascii="Verdana" w:hAnsi="Verdana" w:cs="Arial"/>
          <w:sz w:val="20"/>
          <w:szCs w:val="20"/>
        </w:rPr>
        <w:t>8</w:t>
      </w:r>
      <w:r w:rsidR="00CB5177" w:rsidRPr="000B0E76">
        <w:rPr>
          <w:rFonts w:ascii="Verdana" w:hAnsi="Verdana" w:cs="Arial"/>
          <w:sz w:val="20"/>
          <w:szCs w:val="20"/>
        </w:rPr>
        <w:t xml:space="preserve"> </w:t>
      </w:r>
      <w:r w:rsidR="004D219E" w:rsidRPr="000B0E76">
        <w:rPr>
          <w:rFonts w:ascii="Verdana" w:hAnsi="Verdana" w:cs="Arial"/>
          <w:sz w:val="20"/>
          <w:szCs w:val="20"/>
        </w:rPr>
        <w:t>male</w:t>
      </w:r>
      <w:r w:rsidR="004D1D23" w:rsidRPr="000B0E76">
        <w:rPr>
          <w:rFonts w:ascii="Verdana" w:hAnsi="Verdana" w:cs="Arial"/>
          <w:sz w:val="20"/>
          <w:szCs w:val="20"/>
        </w:rPr>
        <w:t>)</w:t>
      </w:r>
    </w:p>
    <w:p w14:paraId="53DCC243" w14:textId="782AB288" w:rsidR="00F80FC4" w:rsidRPr="00F80FC4" w:rsidRDefault="00214C68" w:rsidP="00F80FC4">
      <w:pPr>
        <w:pStyle w:val="ListParagraph"/>
        <w:numPr>
          <w:ilvl w:val="0"/>
          <w:numId w:val="8"/>
        </w:numPr>
        <w:ind w:left="572" w:right="-425" w:hanging="357"/>
        <w:jc w:val="both"/>
        <w:rPr>
          <w:rFonts w:cs="Arial"/>
          <w:b/>
        </w:rPr>
      </w:pPr>
      <w:r w:rsidRPr="000B0E76">
        <w:rPr>
          <w:rFonts w:ascii="Verdana" w:hAnsi="Verdana" w:cs="Arial"/>
          <w:sz w:val="20"/>
          <w:szCs w:val="20"/>
        </w:rPr>
        <w:t>Mossman Gorge</w:t>
      </w:r>
      <w:r w:rsidR="00322C7B" w:rsidRPr="000B0E76">
        <w:rPr>
          <w:rFonts w:ascii="Verdana" w:hAnsi="Verdana" w:cs="Arial"/>
          <w:sz w:val="20"/>
          <w:szCs w:val="20"/>
        </w:rPr>
        <w:t xml:space="preserve"> received </w:t>
      </w:r>
      <w:r w:rsidR="007D1BA7">
        <w:rPr>
          <w:rFonts w:ascii="Verdana" w:hAnsi="Verdana" w:cs="Arial"/>
          <w:sz w:val="20"/>
          <w:szCs w:val="20"/>
        </w:rPr>
        <w:t>43</w:t>
      </w:r>
      <w:r w:rsidR="00CB5177" w:rsidRPr="000B0E76">
        <w:rPr>
          <w:rFonts w:ascii="Verdana" w:hAnsi="Verdana" w:cs="Arial"/>
          <w:sz w:val="20"/>
          <w:szCs w:val="20"/>
        </w:rPr>
        <w:t xml:space="preserve"> </w:t>
      </w:r>
      <w:r w:rsidRPr="000B0E76">
        <w:rPr>
          <w:rFonts w:ascii="Verdana" w:hAnsi="Verdana" w:cs="Arial"/>
          <w:sz w:val="20"/>
          <w:szCs w:val="20"/>
        </w:rPr>
        <w:t>notices</w:t>
      </w:r>
      <w:r w:rsidR="00F64B95" w:rsidRPr="00322C7B">
        <w:rPr>
          <w:rFonts w:ascii="Verdana" w:hAnsi="Verdana" w:cs="Arial"/>
          <w:sz w:val="20"/>
          <w:szCs w:val="20"/>
        </w:rPr>
        <w:t xml:space="preserve"> relating to </w:t>
      </w:r>
      <w:r w:rsidR="00CB5177">
        <w:rPr>
          <w:rFonts w:ascii="Verdana" w:hAnsi="Verdana" w:cs="Arial"/>
          <w:sz w:val="20"/>
          <w:szCs w:val="20"/>
        </w:rPr>
        <w:t>25</w:t>
      </w:r>
      <w:r w:rsidR="00CB5177" w:rsidRPr="00322C7B">
        <w:rPr>
          <w:rFonts w:ascii="Verdana" w:hAnsi="Verdana" w:cs="Arial"/>
          <w:sz w:val="20"/>
          <w:szCs w:val="20"/>
        </w:rPr>
        <w:t xml:space="preserve"> </w:t>
      </w:r>
      <w:r w:rsidR="00F64B95" w:rsidRPr="00322C7B">
        <w:rPr>
          <w:rFonts w:ascii="Verdana" w:hAnsi="Verdana" w:cs="Arial"/>
          <w:sz w:val="20"/>
          <w:szCs w:val="20"/>
        </w:rPr>
        <w:t>clients</w:t>
      </w:r>
      <w:r w:rsidR="00490D4B">
        <w:rPr>
          <w:rFonts w:ascii="Verdana" w:hAnsi="Verdana" w:cs="Arial"/>
          <w:sz w:val="20"/>
          <w:szCs w:val="20"/>
        </w:rPr>
        <w:t xml:space="preserve"> </w:t>
      </w:r>
      <w:r w:rsidR="004D1D23">
        <w:rPr>
          <w:rFonts w:ascii="Verdana" w:hAnsi="Verdana" w:cs="Arial"/>
          <w:sz w:val="20"/>
          <w:szCs w:val="20"/>
        </w:rPr>
        <w:t>(</w:t>
      </w:r>
      <w:r w:rsidR="00CB5177">
        <w:rPr>
          <w:rFonts w:ascii="Verdana" w:hAnsi="Verdana" w:cs="Arial"/>
          <w:sz w:val="20"/>
          <w:szCs w:val="20"/>
        </w:rPr>
        <w:t xml:space="preserve">15 </w:t>
      </w:r>
      <w:r w:rsidR="00081AA0">
        <w:rPr>
          <w:rFonts w:ascii="Verdana" w:hAnsi="Verdana" w:cs="Arial"/>
          <w:sz w:val="20"/>
          <w:szCs w:val="20"/>
        </w:rPr>
        <w:t>female</w:t>
      </w:r>
      <w:r w:rsidR="004D219E">
        <w:rPr>
          <w:rFonts w:ascii="Verdana" w:hAnsi="Verdana" w:cs="Arial"/>
          <w:sz w:val="20"/>
          <w:szCs w:val="20"/>
        </w:rPr>
        <w:t xml:space="preserve"> and </w:t>
      </w:r>
      <w:r w:rsidR="00CB5177">
        <w:rPr>
          <w:rFonts w:ascii="Verdana" w:hAnsi="Verdana" w:cs="Arial"/>
          <w:sz w:val="20"/>
          <w:szCs w:val="20"/>
        </w:rPr>
        <w:t>10</w:t>
      </w:r>
      <w:r w:rsidR="00E31AC8">
        <w:rPr>
          <w:rFonts w:ascii="Verdana" w:hAnsi="Verdana" w:cs="Arial"/>
          <w:sz w:val="20"/>
          <w:szCs w:val="20"/>
        </w:rPr>
        <w:t xml:space="preserve"> </w:t>
      </w:r>
      <w:r w:rsidR="004D219E">
        <w:rPr>
          <w:rFonts w:ascii="Verdana" w:hAnsi="Verdana" w:cs="Arial"/>
          <w:sz w:val="20"/>
          <w:szCs w:val="20"/>
        </w:rPr>
        <w:t>male</w:t>
      </w:r>
      <w:r w:rsidR="004D1D23">
        <w:rPr>
          <w:rFonts w:ascii="Verdana" w:hAnsi="Verdana" w:cs="Arial"/>
          <w:sz w:val="20"/>
          <w:szCs w:val="20"/>
        </w:rPr>
        <w:t>)</w:t>
      </w:r>
      <w:r w:rsidR="00490D4B">
        <w:rPr>
          <w:rFonts w:ascii="Verdana" w:hAnsi="Verdana" w:cs="Arial"/>
          <w:sz w:val="20"/>
          <w:szCs w:val="20"/>
        </w:rPr>
        <w:t>.</w:t>
      </w:r>
    </w:p>
    <w:p w14:paraId="48607A65" w14:textId="77777777" w:rsidR="00322A26" w:rsidRDefault="00322A26" w:rsidP="005A5B78">
      <w:pPr>
        <w:ind w:left="-142" w:right="-425"/>
        <w:jc w:val="both"/>
        <w:rPr>
          <w:rFonts w:cs="Arial"/>
        </w:rPr>
      </w:pPr>
    </w:p>
    <w:p w14:paraId="76BAAB2D" w14:textId="77777777" w:rsidR="002934A6" w:rsidRDefault="002934A6">
      <w:pPr>
        <w:spacing w:line="240" w:lineRule="auto"/>
        <w:rPr>
          <w:rFonts w:cs="Arial"/>
        </w:rPr>
      </w:pPr>
      <w:r>
        <w:rPr>
          <w:rFonts w:cs="Arial"/>
        </w:rPr>
        <w:br w:type="page"/>
      </w:r>
    </w:p>
    <w:p w14:paraId="23A9CD99" w14:textId="4F4C5947" w:rsidR="002934A6" w:rsidRPr="00D925BE" w:rsidRDefault="002934A6" w:rsidP="002934A6">
      <w:pPr>
        <w:spacing w:after="120" w:line="240" w:lineRule="auto"/>
        <w:ind w:right="-425"/>
        <w:jc w:val="both"/>
        <w:rPr>
          <w:sz w:val="16"/>
          <w:szCs w:val="16"/>
        </w:rPr>
      </w:pPr>
      <w:r w:rsidRPr="008451D3">
        <w:rPr>
          <w:b/>
          <w:sz w:val="16"/>
          <w:szCs w:val="16"/>
        </w:rPr>
        <w:lastRenderedPageBreak/>
        <w:t xml:space="preserve">Table </w:t>
      </w:r>
      <w:r>
        <w:rPr>
          <w:b/>
          <w:sz w:val="16"/>
          <w:szCs w:val="16"/>
        </w:rPr>
        <w:t>9</w:t>
      </w:r>
      <w:r w:rsidRPr="008451D3">
        <w:rPr>
          <w:b/>
          <w:sz w:val="16"/>
          <w:szCs w:val="16"/>
        </w:rPr>
        <w:t xml:space="preserve">: </w:t>
      </w:r>
      <w:r w:rsidRPr="008451D3">
        <w:rPr>
          <w:sz w:val="16"/>
          <w:szCs w:val="16"/>
        </w:rPr>
        <w:t xml:space="preserve">In jurisdiction notices by type and quarter 1 </w:t>
      </w:r>
      <w:r>
        <w:rPr>
          <w:sz w:val="16"/>
          <w:szCs w:val="16"/>
        </w:rPr>
        <w:t>January 2020 to 31 March 2021</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934A6" w:rsidRPr="0093030B" w14:paraId="60D24E85" w14:textId="77777777" w:rsidTr="003453AD">
        <w:trPr>
          <w:trHeight w:val="480"/>
        </w:trPr>
        <w:tc>
          <w:tcPr>
            <w:tcW w:w="3460" w:type="dxa"/>
            <w:tcBorders>
              <w:top w:val="single" w:sz="4" w:space="0" w:color="auto"/>
              <w:left w:val="single" w:sz="4" w:space="0" w:color="auto"/>
              <w:bottom w:val="single" w:sz="4" w:space="0" w:color="auto"/>
              <w:right w:val="single" w:sz="4" w:space="0" w:color="auto"/>
            </w:tcBorders>
            <w:hideMark/>
          </w:tcPr>
          <w:p w14:paraId="44411F4E" w14:textId="77777777" w:rsidR="002934A6" w:rsidRPr="0093030B" w:rsidRDefault="002934A6" w:rsidP="002934A6">
            <w:pPr>
              <w:pStyle w:val="TableText"/>
              <w:ind w:left="49"/>
              <w:rPr>
                <w:b/>
                <w:lang w:eastAsia="en-AU"/>
              </w:rPr>
            </w:pPr>
            <w:r w:rsidRPr="0093030B">
              <w:rPr>
                <w:b/>
                <w:lang w:eastAsia="en-AU"/>
              </w:rPr>
              <w:t>Notices by Agency Processed</w:t>
            </w:r>
          </w:p>
        </w:tc>
        <w:tc>
          <w:tcPr>
            <w:tcW w:w="1012" w:type="dxa"/>
            <w:tcBorders>
              <w:top w:val="single" w:sz="4" w:space="0" w:color="auto"/>
              <w:left w:val="nil"/>
              <w:bottom w:val="single" w:sz="4" w:space="0" w:color="auto"/>
              <w:right w:val="single" w:sz="4" w:space="0" w:color="auto"/>
            </w:tcBorders>
          </w:tcPr>
          <w:p w14:paraId="115ABA12" w14:textId="76D1A706" w:rsidR="002934A6" w:rsidRDefault="002934A6" w:rsidP="002934A6">
            <w:pPr>
              <w:pStyle w:val="TableText"/>
              <w:jc w:val="right"/>
              <w:rPr>
                <w:b/>
                <w:lang w:eastAsia="en-AU"/>
              </w:rPr>
            </w:pPr>
            <w:r>
              <w:rPr>
                <w:b/>
                <w:lang w:eastAsia="en-AU"/>
              </w:rPr>
              <w:t>Qtr 47</w:t>
            </w:r>
          </w:p>
        </w:tc>
        <w:tc>
          <w:tcPr>
            <w:tcW w:w="1012" w:type="dxa"/>
            <w:tcBorders>
              <w:top w:val="single" w:sz="4" w:space="0" w:color="auto"/>
              <w:left w:val="nil"/>
              <w:bottom w:val="single" w:sz="4" w:space="0" w:color="auto"/>
              <w:right w:val="single" w:sz="4" w:space="0" w:color="auto"/>
            </w:tcBorders>
          </w:tcPr>
          <w:p w14:paraId="60A109FF" w14:textId="2C0AC4BA" w:rsidR="002934A6" w:rsidRDefault="002934A6" w:rsidP="002934A6">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1D096417" w14:textId="4377F581" w:rsidR="002934A6" w:rsidRDefault="002934A6" w:rsidP="002934A6">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0C5181C7" w14:textId="0F66CD75" w:rsidR="002934A6" w:rsidRDefault="002934A6" w:rsidP="002934A6">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2DEC6458" w14:textId="5B09C2CA" w:rsidR="002934A6" w:rsidRDefault="002934A6" w:rsidP="002934A6">
            <w:pPr>
              <w:pStyle w:val="TableText"/>
              <w:jc w:val="right"/>
              <w:rPr>
                <w:b/>
                <w:lang w:eastAsia="en-AU"/>
              </w:rPr>
            </w:pPr>
            <w:r>
              <w:rPr>
                <w:b/>
                <w:lang w:eastAsia="en-AU"/>
              </w:rPr>
              <w:t>Qtr 51</w:t>
            </w:r>
          </w:p>
        </w:tc>
      </w:tr>
      <w:tr w:rsidR="002934A6" w:rsidRPr="0093030B" w14:paraId="7AC7CB70"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tcPr>
          <w:p w14:paraId="7F1B3A40" w14:textId="77777777" w:rsidR="002934A6" w:rsidRPr="0093030B" w:rsidRDefault="002934A6" w:rsidP="002934A6">
            <w:pPr>
              <w:pStyle w:val="TableText"/>
              <w:ind w:left="49"/>
              <w:rPr>
                <w:lang w:eastAsia="en-AU"/>
              </w:rPr>
            </w:pPr>
            <w:r>
              <w:rPr>
                <w:lang w:eastAsia="en-AU"/>
              </w:rPr>
              <w:t>District Court</w:t>
            </w:r>
          </w:p>
        </w:tc>
        <w:tc>
          <w:tcPr>
            <w:tcW w:w="1012" w:type="dxa"/>
            <w:tcBorders>
              <w:top w:val="nil"/>
              <w:left w:val="nil"/>
              <w:bottom w:val="single" w:sz="4" w:space="0" w:color="auto"/>
              <w:right w:val="single" w:sz="4" w:space="0" w:color="auto"/>
            </w:tcBorders>
          </w:tcPr>
          <w:p w14:paraId="5296A5B5" w14:textId="60B261DB" w:rsidR="002934A6" w:rsidRDefault="002934A6" w:rsidP="002934A6">
            <w:pPr>
              <w:jc w:val="right"/>
              <w:rPr>
                <w:rFonts w:cs="Arial"/>
              </w:rPr>
            </w:pPr>
            <w:r>
              <w:rPr>
                <w:rFonts w:cs="Arial"/>
              </w:rPr>
              <w:t>13</w:t>
            </w:r>
          </w:p>
        </w:tc>
        <w:tc>
          <w:tcPr>
            <w:tcW w:w="1012" w:type="dxa"/>
            <w:tcBorders>
              <w:top w:val="nil"/>
              <w:left w:val="nil"/>
              <w:bottom w:val="single" w:sz="4" w:space="0" w:color="auto"/>
              <w:right w:val="single" w:sz="4" w:space="0" w:color="auto"/>
            </w:tcBorders>
          </w:tcPr>
          <w:p w14:paraId="785FDF5A" w14:textId="415B44B9" w:rsidR="002934A6" w:rsidRDefault="002934A6" w:rsidP="002934A6">
            <w:pPr>
              <w:jc w:val="right"/>
              <w:rPr>
                <w:rFonts w:cs="Arial"/>
              </w:rPr>
            </w:pPr>
            <w:r>
              <w:rPr>
                <w:rFonts w:cs="Arial"/>
              </w:rPr>
              <w:t>10</w:t>
            </w:r>
          </w:p>
        </w:tc>
        <w:tc>
          <w:tcPr>
            <w:tcW w:w="1012" w:type="dxa"/>
            <w:tcBorders>
              <w:top w:val="nil"/>
              <w:left w:val="nil"/>
              <w:bottom w:val="single" w:sz="4" w:space="0" w:color="auto"/>
              <w:right w:val="single" w:sz="4" w:space="0" w:color="auto"/>
            </w:tcBorders>
          </w:tcPr>
          <w:p w14:paraId="11086E4B" w14:textId="6CDC24A2" w:rsidR="002934A6" w:rsidRDefault="002934A6" w:rsidP="002934A6">
            <w:pPr>
              <w:jc w:val="right"/>
              <w:rPr>
                <w:rFonts w:cs="Arial"/>
              </w:rPr>
            </w:pPr>
            <w:r>
              <w:rPr>
                <w:rFonts w:cs="Arial"/>
              </w:rPr>
              <w:t>11</w:t>
            </w:r>
          </w:p>
        </w:tc>
        <w:tc>
          <w:tcPr>
            <w:tcW w:w="1012" w:type="dxa"/>
            <w:tcBorders>
              <w:top w:val="nil"/>
              <w:left w:val="nil"/>
              <w:bottom w:val="single" w:sz="4" w:space="0" w:color="auto"/>
              <w:right w:val="single" w:sz="4" w:space="0" w:color="auto"/>
            </w:tcBorders>
          </w:tcPr>
          <w:p w14:paraId="0B7BEA9F" w14:textId="57BEA5CD" w:rsidR="002934A6" w:rsidRDefault="002934A6" w:rsidP="002934A6">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BE49228" w14:textId="6C17A6E7" w:rsidR="002934A6" w:rsidRDefault="002934A6" w:rsidP="002934A6">
            <w:pPr>
              <w:jc w:val="right"/>
              <w:rPr>
                <w:rFonts w:cs="Arial"/>
              </w:rPr>
            </w:pPr>
            <w:r>
              <w:rPr>
                <w:rFonts w:cs="Arial"/>
              </w:rPr>
              <w:t>4</w:t>
            </w:r>
          </w:p>
        </w:tc>
      </w:tr>
      <w:tr w:rsidR="002934A6" w:rsidRPr="0093030B" w14:paraId="373AC79F"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hideMark/>
          </w:tcPr>
          <w:p w14:paraId="5DD48FC1" w14:textId="77777777" w:rsidR="002934A6" w:rsidRPr="0093030B" w:rsidRDefault="002934A6" w:rsidP="002934A6">
            <w:pPr>
              <w:pStyle w:val="TableText"/>
              <w:ind w:left="49"/>
              <w:rPr>
                <w:lang w:eastAsia="en-AU"/>
              </w:rPr>
            </w:pPr>
            <w:r w:rsidRPr="0093030B">
              <w:rPr>
                <w:lang w:eastAsia="en-AU"/>
              </w:rPr>
              <w:t>Magistrates Court</w:t>
            </w:r>
          </w:p>
        </w:tc>
        <w:tc>
          <w:tcPr>
            <w:tcW w:w="1012" w:type="dxa"/>
            <w:tcBorders>
              <w:top w:val="nil"/>
              <w:left w:val="nil"/>
              <w:bottom w:val="single" w:sz="4" w:space="0" w:color="auto"/>
              <w:right w:val="single" w:sz="4" w:space="0" w:color="auto"/>
            </w:tcBorders>
          </w:tcPr>
          <w:p w14:paraId="3E9BD9EC" w14:textId="3515D7D3" w:rsidR="002934A6" w:rsidRDefault="002934A6" w:rsidP="002934A6">
            <w:pPr>
              <w:jc w:val="right"/>
              <w:rPr>
                <w:rFonts w:cs="Arial"/>
              </w:rPr>
            </w:pPr>
            <w:r>
              <w:rPr>
                <w:rFonts w:cs="Arial"/>
              </w:rPr>
              <w:t>252</w:t>
            </w:r>
          </w:p>
        </w:tc>
        <w:tc>
          <w:tcPr>
            <w:tcW w:w="1012" w:type="dxa"/>
            <w:tcBorders>
              <w:top w:val="nil"/>
              <w:left w:val="nil"/>
              <w:bottom w:val="single" w:sz="4" w:space="0" w:color="auto"/>
              <w:right w:val="single" w:sz="4" w:space="0" w:color="auto"/>
            </w:tcBorders>
          </w:tcPr>
          <w:p w14:paraId="7C040168" w14:textId="4A208425" w:rsidR="002934A6" w:rsidRDefault="002934A6" w:rsidP="002934A6">
            <w:pPr>
              <w:jc w:val="right"/>
              <w:rPr>
                <w:rFonts w:cs="Arial"/>
              </w:rPr>
            </w:pPr>
            <w:r>
              <w:rPr>
                <w:rFonts w:cs="Arial"/>
              </w:rPr>
              <w:t>8</w:t>
            </w:r>
          </w:p>
        </w:tc>
        <w:tc>
          <w:tcPr>
            <w:tcW w:w="1012" w:type="dxa"/>
            <w:tcBorders>
              <w:top w:val="nil"/>
              <w:left w:val="nil"/>
              <w:bottom w:val="single" w:sz="4" w:space="0" w:color="auto"/>
              <w:right w:val="single" w:sz="4" w:space="0" w:color="auto"/>
            </w:tcBorders>
          </w:tcPr>
          <w:p w14:paraId="40B6E858" w14:textId="5D020DDA" w:rsidR="002934A6" w:rsidRDefault="002934A6" w:rsidP="002934A6">
            <w:pPr>
              <w:jc w:val="right"/>
              <w:rPr>
                <w:rFonts w:cs="Arial"/>
              </w:rPr>
            </w:pPr>
            <w:r>
              <w:rPr>
                <w:rFonts w:cs="Arial"/>
              </w:rPr>
              <w:t>292</w:t>
            </w:r>
          </w:p>
        </w:tc>
        <w:tc>
          <w:tcPr>
            <w:tcW w:w="1012" w:type="dxa"/>
            <w:tcBorders>
              <w:top w:val="nil"/>
              <w:left w:val="nil"/>
              <w:bottom w:val="single" w:sz="4" w:space="0" w:color="auto"/>
              <w:right w:val="single" w:sz="4" w:space="0" w:color="auto"/>
            </w:tcBorders>
          </w:tcPr>
          <w:p w14:paraId="43FC51A8" w14:textId="7C846EAB" w:rsidR="002934A6" w:rsidRDefault="002934A6" w:rsidP="002934A6">
            <w:pPr>
              <w:jc w:val="right"/>
              <w:rPr>
                <w:rFonts w:cs="Arial"/>
              </w:rPr>
            </w:pPr>
            <w:r>
              <w:rPr>
                <w:rFonts w:cs="Arial"/>
              </w:rPr>
              <w:t>308</w:t>
            </w:r>
          </w:p>
        </w:tc>
        <w:tc>
          <w:tcPr>
            <w:tcW w:w="1012" w:type="dxa"/>
            <w:tcBorders>
              <w:top w:val="nil"/>
              <w:left w:val="nil"/>
              <w:bottom w:val="single" w:sz="4" w:space="0" w:color="auto"/>
              <w:right w:val="single" w:sz="4" w:space="0" w:color="auto"/>
            </w:tcBorders>
          </w:tcPr>
          <w:p w14:paraId="41D58421" w14:textId="3667E742" w:rsidR="002934A6" w:rsidRDefault="002934A6" w:rsidP="002934A6">
            <w:pPr>
              <w:jc w:val="right"/>
              <w:rPr>
                <w:rFonts w:cs="Arial"/>
              </w:rPr>
            </w:pPr>
            <w:r>
              <w:rPr>
                <w:rFonts w:cs="Arial"/>
              </w:rPr>
              <w:t>344</w:t>
            </w:r>
          </w:p>
        </w:tc>
      </w:tr>
      <w:tr w:rsidR="002934A6" w:rsidRPr="0093030B" w14:paraId="5F5295CC"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tcPr>
          <w:p w14:paraId="6508EC3C" w14:textId="77777777" w:rsidR="002934A6" w:rsidRPr="0093030B" w:rsidRDefault="002934A6" w:rsidP="002934A6">
            <w:pPr>
              <w:pStyle w:val="TableText"/>
              <w:ind w:left="49"/>
              <w:rPr>
                <w:lang w:eastAsia="en-AU"/>
              </w:rPr>
            </w:pPr>
            <w:r>
              <w:rPr>
                <w:lang w:eastAsia="en-AU"/>
              </w:rPr>
              <w:t>Domestic Violence Breach</w:t>
            </w:r>
          </w:p>
        </w:tc>
        <w:tc>
          <w:tcPr>
            <w:tcW w:w="1012" w:type="dxa"/>
            <w:tcBorders>
              <w:top w:val="nil"/>
              <w:left w:val="nil"/>
              <w:bottom w:val="single" w:sz="4" w:space="0" w:color="auto"/>
              <w:right w:val="single" w:sz="4" w:space="0" w:color="auto"/>
            </w:tcBorders>
          </w:tcPr>
          <w:p w14:paraId="225BB2F5" w14:textId="4C517FA9" w:rsidR="002934A6" w:rsidRDefault="002934A6" w:rsidP="002934A6">
            <w:pPr>
              <w:jc w:val="right"/>
              <w:rPr>
                <w:rFonts w:cs="Arial"/>
              </w:rPr>
            </w:pPr>
            <w:r>
              <w:rPr>
                <w:rFonts w:cs="Arial"/>
              </w:rPr>
              <w:t>15</w:t>
            </w:r>
          </w:p>
        </w:tc>
        <w:tc>
          <w:tcPr>
            <w:tcW w:w="1012" w:type="dxa"/>
            <w:tcBorders>
              <w:top w:val="nil"/>
              <w:left w:val="nil"/>
              <w:bottom w:val="single" w:sz="4" w:space="0" w:color="auto"/>
              <w:right w:val="single" w:sz="4" w:space="0" w:color="auto"/>
            </w:tcBorders>
          </w:tcPr>
          <w:p w14:paraId="32ED2FD4" w14:textId="787EF531" w:rsidR="002934A6" w:rsidRDefault="002934A6" w:rsidP="002934A6">
            <w:pPr>
              <w:jc w:val="right"/>
              <w:rPr>
                <w:rFonts w:cs="Arial"/>
              </w:rPr>
            </w:pPr>
            <w:r>
              <w:rPr>
                <w:rFonts w:cs="Arial"/>
              </w:rPr>
              <w:t>5</w:t>
            </w:r>
          </w:p>
        </w:tc>
        <w:tc>
          <w:tcPr>
            <w:tcW w:w="1012" w:type="dxa"/>
            <w:tcBorders>
              <w:top w:val="nil"/>
              <w:left w:val="nil"/>
              <w:bottom w:val="single" w:sz="4" w:space="0" w:color="auto"/>
              <w:right w:val="single" w:sz="4" w:space="0" w:color="auto"/>
            </w:tcBorders>
          </w:tcPr>
          <w:p w14:paraId="5050B527" w14:textId="1849CA87" w:rsidR="002934A6" w:rsidRDefault="002934A6" w:rsidP="002934A6">
            <w:pPr>
              <w:jc w:val="right"/>
              <w:rPr>
                <w:rFonts w:cs="Arial"/>
              </w:rPr>
            </w:pPr>
            <w:r>
              <w:rPr>
                <w:rFonts w:cs="Arial"/>
              </w:rPr>
              <w:t>14</w:t>
            </w:r>
          </w:p>
        </w:tc>
        <w:tc>
          <w:tcPr>
            <w:tcW w:w="1012" w:type="dxa"/>
            <w:tcBorders>
              <w:top w:val="nil"/>
              <w:left w:val="nil"/>
              <w:bottom w:val="single" w:sz="4" w:space="0" w:color="auto"/>
              <w:right w:val="single" w:sz="4" w:space="0" w:color="auto"/>
            </w:tcBorders>
          </w:tcPr>
          <w:p w14:paraId="43426A8A" w14:textId="1B9C6E91" w:rsidR="002934A6" w:rsidRDefault="002934A6" w:rsidP="002934A6">
            <w:pPr>
              <w:jc w:val="right"/>
              <w:rPr>
                <w:rFonts w:cs="Arial"/>
              </w:rPr>
            </w:pPr>
            <w:r>
              <w:rPr>
                <w:rFonts w:cs="Arial"/>
              </w:rPr>
              <w:t>28</w:t>
            </w:r>
          </w:p>
        </w:tc>
        <w:tc>
          <w:tcPr>
            <w:tcW w:w="1012" w:type="dxa"/>
            <w:tcBorders>
              <w:top w:val="nil"/>
              <w:left w:val="nil"/>
              <w:bottom w:val="single" w:sz="4" w:space="0" w:color="auto"/>
              <w:right w:val="single" w:sz="4" w:space="0" w:color="auto"/>
            </w:tcBorders>
          </w:tcPr>
          <w:p w14:paraId="65FE1403" w14:textId="1620E82E" w:rsidR="002934A6" w:rsidRDefault="002934A6" w:rsidP="002934A6">
            <w:pPr>
              <w:jc w:val="right"/>
              <w:rPr>
                <w:rFonts w:cs="Arial"/>
              </w:rPr>
            </w:pPr>
            <w:r>
              <w:rPr>
                <w:rFonts w:cs="Arial"/>
              </w:rPr>
              <w:t>31</w:t>
            </w:r>
          </w:p>
        </w:tc>
      </w:tr>
      <w:tr w:rsidR="002934A6" w:rsidRPr="0093030B" w14:paraId="57AC19AB"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tcPr>
          <w:p w14:paraId="7E49A3B9" w14:textId="77777777" w:rsidR="002934A6" w:rsidRPr="0093030B" w:rsidRDefault="002934A6" w:rsidP="002934A6">
            <w:pPr>
              <w:pStyle w:val="TableText"/>
              <w:ind w:left="49"/>
              <w:rPr>
                <w:lang w:eastAsia="en-AU"/>
              </w:rPr>
            </w:pPr>
            <w:r>
              <w:rPr>
                <w:lang w:eastAsia="en-AU"/>
              </w:rPr>
              <w:t>Domestic Violence Order</w:t>
            </w:r>
          </w:p>
        </w:tc>
        <w:tc>
          <w:tcPr>
            <w:tcW w:w="1012" w:type="dxa"/>
            <w:tcBorders>
              <w:top w:val="nil"/>
              <w:left w:val="nil"/>
              <w:bottom w:val="single" w:sz="4" w:space="0" w:color="auto"/>
              <w:right w:val="single" w:sz="4" w:space="0" w:color="auto"/>
            </w:tcBorders>
          </w:tcPr>
          <w:p w14:paraId="6A1AF0A2" w14:textId="5494286D" w:rsidR="002934A6" w:rsidRDefault="002934A6" w:rsidP="002934A6">
            <w:pPr>
              <w:jc w:val="right"/>
              <w:rPr>
                <w:rFonts w:cs="Arial"/>
              </w:rPr>
            </w:pPr>
            <w:r>
              <w:rPr>
                <w:rFonts w:cs="Arial"/>
              </w:rPr>
              <w:t>41</w:t>
            </w:r>
          </w:p>
        </w:tc>
        <w:tc>
          <w:tcPr>
            <w:tcW w:w="1012" w:type="dxa"/>
            <w:tcBorders>
              <w:top w:val="nil"/>
              <w:left w:val="nil"/>
              <w:bottom w:val="single" w:sz="4" w:space="0" w:color="auto"/>
              <w:right w:val="single" w:sz="4" w:space="0" w:color="auto"/>
            </w:tcBorders>
          </w:tcPr>
          <w:p w14:paraId="268E5D95" w14:textId="6F220C1A" w:rsidR="002934A6" w:rsidRDefault="002934A6" w:rsidP="002934A6">
            <w:pPr>
              <w:jc w:val="right"/>
              <w:rPr>
                <w:rFonts w:cs="Arial"/>
              </w:rPr>
            </w:pPr>
            <w:r>
              <w:rPr>
                <w:rFonts w:cs="Arial"/>
              </w:rPr>
              <w:t>6</w:t>
            </w:r>
          </w:p>
        </w:tc>
        <w:tc>
          <w:tcPr>
            <w:tcW w:w="1012" w:type="dxa"/>
            <w:tcBorders>
              <w:top w:val="nil"/>
              <w:left w:val="nil"/>
              <w:bottom w:val="single" w:sz="4" w:space="0" w:color="auto"/>
              <w:right w:val="single" w:sz="4" w:space="0" w:color="auto"/>
            </w:tcBorders>
          </w:tcPr>
          <w:p w14:paraId="3EA8D1BB" w14:textId="49434178" w:rsidR="002934A6" w:rsidRDefault="002934A6" w:rsidP="002934A6">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6D82BA0A" w14:textId="36BC66D9" w:rsidR="002934A6" w:rsidRDefault="002934A6" w:rsidP="002934A6">
            <w:pPr>
              <w:jc w:val="right"/>
              <w:rPr>
                <w:rFonts w:cs="Arial"/>
              </w:rPr>
            </w:pPr>
            <w:r>
              <w:rPr>
                <w:rFonts w:cs="Arial"/>
              </w:rPr>
              <w:t>36</w:t>
            </w:r>
          </w:p>
        </w:tc>
        <w:tc>
          <w:tcPr>
            <w:tcW w:w="1012" w:type="dxa"/>
            <w:tcBorders>
              <w:top w:val="nil"/>
              <w:left w:val="nil"/>
              <w:bottom w:val="single" w:sz="4" w:space="0" w:color="auto"/>
              <w:right w:val="single" w:sz="4" w:space="0" w:color="auto"/>
            </w:tcBorders>
          </w:tcPr>
          <w:p w14:paraId="4B27F9EF" w14:textId="211092DF" w:rsidR="002934A6" w:rsidRDefault="002934A6" w:rsidP="002934A6">
            <w:pPr>
              <w:jc w:val="right"/>
              <w:rPr>
                <w:rFonts w:cs="Arial"/>
              </w:rPr>
            </w:pPr>
            <w:r>
              <w:rPr>
                <w:rFonts w:cs="Arial"/>
              </w:rPr>
              <w:t>72</w:t>
            </w:r>
          </w:p>
        </w:tc>
      </w:tr>
      <w:tr w:rsidR="002934A6" w:rsidRPr="0093030B" w14:paraId="3C2A5970"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hideMark/>
          </w:tcPr>
          <w:p w14:paraId="006198C8" w14:textId="77777777" w:rsidR="002934A6" w:rsidRPr="0093030B" w:rsidRDefault="002934A6" w:rsidP="002934A6">
            <w:pPr>
              <w:pStyle w:val="TableText"/>
              <w:ind w:left="49"/>
              <w:rPr>
                <w:lang w:eastAsia="en-AU"/>
              </w:rPr>
            </w:pPr>
            <w:r>
              <w:rPr>
                <w:lang w:eastAsia="en-AU"/>
              </w:rPr>
              <w:t>School Attendance</w:t>
            </w:r>
          </w:p>
        </w:tc>
        <w:tc>
          <w:tcPr>
            <w:tcW w:w="1012" w:type="dxa"/>
            <w:tcBorders>
              <w:top w:val="nil"/>
              <w:left w:val="nil"/>
              <w:bottom w:val="single" w:sz="4" w:space="0" w:color="auto"/>
              <w:right w:val="single" w:sz="4" w:space="0" w:color="auto"/>
            </w:tcBorders>
          </w:tcPr>
          <w:p w14:paraId="3B2ED419" w14:textId="606E4410" w:rsidR="002934A6" w:rsidRDefault="002934A6" w:rsidP="002934A6">
            <w:pPr>
              <w:jc w:val="right"/>
              <w:rPr>
                <w:rFonts w:cs="Arial"/>
              </w:rPr>
            </w:pPr>
            <w:r>
              <w:rPr>
                <w:rFonts w:cs="Arial"/>
              </w:rPr>
              <w:t>808</w:t>
            </w:r>
          </w:p>
        </w:tc>
        <w:tc>
          <w:tcPr>
            <w:tcW w:w="1012" w:type="dxa"/>
            <w:tcBorders>
              <w:top w:val="nil"/>
              <w:left w:val="nil"/>
              <w:bottom w:val="single" w:sz="4" w:space="0" w:color="auto"/>
              <w:right w:val="single" w:sz="4" w:space="0" w:color="auto"/>
            </w:tcBorders>
          </w:tcPr>
          <w:p w14:paraId="0E8B99B4" w14:textId="0EFC11E5" w:rsidR="002934A6" w:rsidRDefault="002934A6" w:rsidP="002934A6">
            <w:pPr>
              <w:jc w:val="right"/>
              <w:rPr>
                <w:rFonts w:cs="Arial"/>
              </w:rPr>
            </w:pPr>
            <w:r>
              <w:rPr>
                <w:rFonts w:cs="Arial"/>
              </w:rPr>
              <w:t>728</w:t>
            </w:r>
          </w:p>
        </w:tc>
        <w:tc>
          <w:tcPr>
            <w:tcW w:w="1012" w:type="dxa"/>
            <w:tcBorders>
              <w:top w:val="nil"/>
              <w:left w:val="nil"/>
              <w:bottom w:val="single" w:sz="4" w:space="0" w:color="auto"/>
              <w:right w:val="single" w:sz="4" w:space="0" w:color="auto"/>
            </w:tcBorders>
          </w:tcPr>
          <w:p w14:paraId="1C944F5B" w14:textId="003B1675" w:rsidR="002934A6" w:rsidRDefault="002934A6" w:rsidP="002934A6">
            <w:pPr>
              <w:jc w:val="right"/>
              <w:rPr>
                <w:rFonts w:cs="Arial"/>
              </w:rPr>
            </w:pPr>
            <w:r>
              <w:rPr>
                <w:rFonts w:cs="Arial"/>
              </w:rPr>
              <w:t>723</w:t>
            </w:r>
          </w:p>
        </w:tc>
        <w:tc>
          <w:tcPr>
            <w:tcW w:w="1012" w:type="dxa"/>
            <w:tcBorders>
              <w:top w:val="nil"/>
              <w:left w:val="nil"/>
              <w:bottom w:val="single" w:sz="4" w:space="0" w:color="auto"/>
              <w:right w:val="single" w:sz="4" w:space="0" w:color="auto"/>
            </w:tcBorders>
          </w:tcPr>
          <w:p w14:paraId="00B51C0C" w14:textId="26844709" w:rsidR="002934A6" w:rsidRDefault="002934A6" w:rsidP="002934A6">
            <w:pPr>
              <w:jc w:val="right"/>
              <w:rPr>
                <w:rFonts w:cs="Arial"/>
              </w:rPr>
            </w:pPr>
            <w:r>
              <w:rPr>
                <w:rFonts w:cs="Arial"/>
              </w:rPr>
              <w:t>684</w:t>
            </w:r>
          </w:p>
        </w:tc>
        <w:tc>
          <w:tcPr>
            <w:tcW w:w="1012" w:type="dxa"/>
            <w:tcBorders>
              <w:top w:val="nil"/>
              <w:left w:val="nil"/>
              <w:bottom w:val="single" w:sz="4" w:space="0" w:color="auto"/>
              <w:right w:val="single" w:sz="4" w:space="0" w:color="auto"/>
            </w:tcBorders>
          </w:tcPr>
          <w:p w14:paraId="3F019E80" w14:textId="786AF82B" w:rsidR="002934A6" w:rsidRDefault="002934A6" w:rsidP="002934A6">
            <w:pPr>
              <w:jc w:val="right"/>
              <w:rPr>
                <w:rFonts w:cs="Arial"/>
              </w:rPr>
            </w:pPr>
            <w:r>
              <w:rPr>
                <w:rFonts w:cs="Arial"/>
              </w:rPr>
              <w:t>553</w:t>
            </w:r>
          </w:p>
        </w:tc>
      </w:tr>
      <w:tr w:rsidR="002934A6" w:rsidRPr="0093030B" w14:paraId="2B8FDF85"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tcPr>
          <w:p w14:paraId="3FB5E0D3" w14:textId="77777777" w:rsidR="002934A6" w:rsidRPr="0093030B" w:rsidRDefault="002934A6" w:rsidP="002934A6">
            <w:pPr>
              <w:pStyle w:val="TableText"/>
              <w:ind w:left="49"/>
              <w:rPr>
                <w:lang w:eastAsia="en-AU"/>
              </w:rPr>
            </w:pPr>
            <w:r>
              <w:rPr>
                <w:lang w:eastAsia="en-AU"/>
              </w:rPr>
              <w:t>School Enrolment</w:t>
            </w:r>
          </w:p>
        </w:tc>
        <w:tc>
          <w:tcPr>
            <w:tcW w:w="1012" w:type="dxa"/>
            <w:tcBorders>
              <w:top w:val="nil"/>
              <w:left w:val="nil"/>
              <w:bottom w:val="single" w:sz="4" w:space="0" w:color="auto"/>
              <w:right w:val="single" w:sz="4" w:space="0" w:color="auto"/>
            </w:tcBorders>
          </w:tcPr>
          <w:p w14:paraId="3F7ECEE7" w14:textId="67AB2584" w:rsidR="002934A6" w:rsidRDefault="002934A6" w:rsidP="002934A6">
            <w:pPr>
              <w:jc w:val="right"/>
              <w:rPr>
                <w:rFonts w:cs="Arial"/>
              </w:rPr>
            </w:pPr>
            <w:r>
              <w:rPr>
                <w:rFonts w:cs="Arial"/>
              </w:rPr>
              <w:t>20</w:t>
            </w:r>
          </w:p>
        </w:tc>
        <w:tc>
          <w:tcPr>
            <w:tcW w:w="1012" w:type="dxa"/>
            <w:tcBorders>
              <w:top w:val="nil"/>
              <w:left w:val="nil"/>
              <w:bottom w:val="single" w:sz="4" w:space="0" w:color="auto"/>
              <w:right w:val="single" w:sz="4" w:space="0" w:color="auto"/>
            </w:tcBorders>
          </w:tcPr>
          <w:p w14:paraId="7ED43BFF" w14:textId="2E3A06C2" w:rsidR="002934A6" w:rsidRDefault="002934A6" w:rsidP="002934A6">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2F0E9BCD" w14:textId="4A30D6F3" w:rsidR="002934A6" w:rsidRDefault="002934A6" w:rsidP="002934A6">
            <w:pPr>
              <w:jc w:val="right"/>
              <w:rPr>
                <w:rFonts w:cs="Arial"/>
              </w:rPr>
            </w:pPr>
            <w:r>
              <w:rPr>
                <w:rFonts w:cs="Arial"/>
              </w:rPr>
              <w:t>3</w:t>
            </w:r>
          </w:p>
        </w:tc>
        <w:tc>
          <w:tcPr>
            <w:tcW w:w="1012" w:type="dxa"/>
            <w:tcBorders>
              <w:top w:val="nil"/>
              <w:left w:val="nil"/>
              <w:bottom w:val="single" w:sz="4" w:space="0" w:color="auto"/>
              <w:right w:val="single" w:sz="4" w:space="0" w:color="auto"/>
            </w:tcBorders>
          </w:tcPr>
          <w:p w14:paraId="5E7BCC2E" w14:textId="42DE3329" w:rsidR="002934A6" w:rsidRDefault="002934A6" w:rsidP="002934A6">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4E54F034" w14:textId="5D993D8B" w:rsidR="002934A6" w:rsidRDefault="002934A6" w:rsidP="002934A6">
            <w:pPr>
              <w:jc w:val="right"/>
              <w:rPr>
                <w:rFonts w:cs="Arial"/>
              </w:rPr>
            </w:pPr>
            <w:r>
              <w:rPr>
                <w:rFonts w:cs="Arial"/>
              </w:rPr>
              <w:t>4</w:t>
            </w:r>
          </w:p>
        </w:tc>
      </w:tr>
      <w:tr w:rsidR="002934A6" w:rsidRPr="0093030B" w14:paraId="5C2612F8"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hideMark/>
          </w:tcPr>
          <w:p w14:paraId="497EC8FB" w14:textId="77777777" w:rsidR="002934A6" w:rsidRPr="0093030B" w:rsidRDefault="002934A6" w:rsidP="002934A6">
            <w:pPr>
              <w:pStyle w:val="TableText"/>
              <w:ind w:left="49"/>
              <w:rPr>
                <w:lang w:eastAsia="en-AU"/>
              </w:rPr>
            </w:pPr>
            <w:r w:rsidRPr="0093030B">
              <w:rPr>
                <w:lang w:eastAsia="en-AU"/>
              </w:rPr>
              <w:t>Child Safety</w:t>
            </w:r>
          </w:p>
        </w:tc>
        <w:tc>
          <w:tcPr>
            <w:tcW w:w="1012" w:type="dxa"/>
            <w:tcBorders>
              <w:top w:val="nil"/>
              <w:left w:val="nil"/>
              <w:bottom w:val="single" w:sz="4" w:space="0" w:color="auto"/>
              <w:right w:val="single" w:sz="4" w:space="0" w:color="auto"/>
            </w:tcBorders>
          </w:tcPr>
          <w:p w14:paraId="1FF132F5" w14:textId="5DF4170B" w:rsidR="002934A6" w:rsidRDefault="002934A6" w:rsidP="002934A6">
            <w:pPr>
              <w:jc w:val="right"/>
              <w:rPr>
                <w:rFonts w:cs="Arial"/>
              </w:rPr>
            </w:pPr>
            <w:r>
              <w:rPr>
                <w:rFonts w:cs="Arial"/>
              </w:rPr>
              <w:t>68</w:t>
            </w:r>
          </w:p>
        </w:tc>
        <w:tc>
          <w:tcPr>
            <w:tcW w:w="1012" w:type="dxa"/>
            <w:tcBorders>
              <w:top w:val="nil"/>
              <w:left w:val="nil"/>
              <w:bottom w:val="single" w:sz="4" w:space="0" w:color="auto"/>
              <w:right w:val="single" w:sz="4" w:space="0" w:color="auto"/>
            </w:tcBorders>
          </w:tcPr>
          <w:p w14:paraId="033C9874" w14:textId="3995ADC9" w:rsidR="002934A6" w:rsidRDefault="002934A6" w:rsidP="002934A6">
            <w:pPr>
              <w:jc w:val="right"/>
              <w:rPr>
                <w:rFonts w:cs="Arial"/>
              </w:rPr>
            </w:pPr>
            <w:r>
              <w:rPr>
                <w:rFonts w:cs="Arial"/>
              </w:rPr>
              <w:t>80</w:t>
            </w:r>
          </w:p>
        </w:tc>
        <w:tc>
          <w:tcPr>
            <w:tcW w:w="1012" w:type="dxa"/>
            <w:tcBorders>
              <w:top w:val="nil"/>
              <w:left w:val="nil"/>
              <w:bottom w:val="single" w:sz="4" w:space="0" w:color="auto"/>
              <w:right w:val="single" w:sz="4" w:space="0" w:color="auto"/>
            </w:tcBorders>
          </w:tcPr>
          <w:p w14:paraId="46B15D80" w14:textId="22D80D9E" w:rsidR="002934A6" w:rsidRDefault="002934A6" w:rsidP="002934A6">
            <w:pPr>
              <w:jc w:val="right"/>
              <w:rPr>
                <w:rFonts w:cs="Arial"/>
              </w:rPr>
            </w:pPr>
            <w:r>
              <w:rPr>
                <w:rFonts w:cs="Arial"/>
              </w:rPr>
              <w:t>69</w:t>
            </w:r>
          </w:p>
        </w:tc>
        <w:tc>
          <w:tcPr>
            <w:tcW w:w="1012" w:type="dxa"/>
            <w:tcBorders>
              <w:top w:val="nil"/>
              <w:left w:val="nil"/>
              <w:bottom w:val="single" w:sz="4" w:space="0" w:color="auto"/>
              <w:right w:val="single" w:sz="4" w:space="0" w:color="auto"/>
            </w:tcBorders>
          </w:tcPr>
          <w:p w14:paraId="1D5CDCA8" w14:textId="6E8170CD" w:rsidR="002934A6" w:rsidRDefault="002934A6" w:rsidP="002934A6">
            <w:pPr>
              <w:jc w:val="right"/>
              <w:rPr>
                <w:rFonts w:cs="Arial"/>
              </w:rPr>
            </w:pPr>
            <w:r>
              <w:rPr>
                <w:rFonts w:cs="Arial"/>
              </w:rPr>
              <w:t>67</w:t>
            </w:r>
          </w:p>
        </w:tc>
        <w:tc>
          <w:tcPr>
            <w:tcW w:w="1012" w:type="dxa"/>
            <w:tcBorders>
              <w:top w:val="nil"/>
              <w:left w:val="nil"/>
              <w:bottom w:val="single" w:sz="4" w:space="0" w:color="auto"/>
              <w:right w:val="single" w:sz="4" w:space="0" w:color="auto"/>
            </w:tcBorders>
          </w:tcPr>
          <w:p w14:paraId="0E89EBC1" w14:textId="1ACB55AA" w:rsidR="002934A6" w:rsidRDefault="002934A6" w:rsidP="002934A6">
            <w:pPr>
              <w:jc w:val="right"/>
              <w:rPr>
                <w:rFonts w:cs="Arial"/>
              </w:rPr>
            </w:pPr>
            <w:r>
              <w:rPr>
                <w:rFonts w:cs="Arial"/>
              </w:rPr>
              <w:t>49</w:t>
            </w:r>
          </w:p>
        </w:tc>
      </w:tr>
      <w:tr w:rsidR="002934A6" w:rsidRPr="0093030B" w14:paraId="5DCC239E"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hideMark/>
          </w:tcPr>
          <w:p w14:paraId="3BB2955A" w14:textId="77777777" w:rsidR="002934A6" w:rsidRPr="0093030B" w:rsidRDefault="002934A6" w:rsidP="002934A6">
            <w:pPr>
              <w:pStyle w:val="TableText"/>
              <w:ind w:left="49"/>
              <w:rPr>
                <w:lang w:eastAsia="en-AU"/>
              </w:rPr>
            </w:pPr>
            <w:r w:rsidRPr="0093030B">
              <w:rPr>
                <w:lang w:eastAsia="en-AU"/>
              </w:rPr>
              <w:t>Housing Tenancy</w:t>
            </w:r>
          </w:p>
        </w:tc>
        <w:tc>
          <w:tcPr>
            <w:tcW w:w="1012" w:type="dxa"/>
            <w:tcBorders>
              <w:top w:val="nil"/>
              <w:left w:val="nil"/>
              <w:bottom w:val="single" w:sz="4" w:space="0" w:color="auto"/>
              <w:right w:val="single" w:sz="4" w:space="0" w:color="auto"/>
            </w:tcBorders>
          </w:tcPr>
          <w:p w14:paraId="4D186EB1" w14:textId="5A814867" w:rsidR="002934A6" w:rsidRDefault="002934A6" w:rsidP="002934A6">
            <w:pPr>
              <w:jc w:val="right"/>
              <w:rPr>
                <w:rFonts w:cs="Arial"/>
              </w:rPr>
            </w:pPr>
            <w:r>
              <w:rPr>
                <w:rFonts w:cs="Arial"/>
              </w:rPr>
              <w:t>4</w:t>
            </w:r>
          </w:p>
        </w:tc>
        <w:tc>
          <w:tcPr>
            <w:tcW w:w="1012" w:type="dxa"/>
            <w:tcBorders>
              <w:top w:val="nil"/>
              <w:left w:val="nil"/>
              <w:bottom w:val="single" w:sz="4" w:space="0" w:color="auto"/>
              <w:right w:val="single" w:sz="4" w:space="0" w:color="auto"/>
            </w:tcBorders>
          </w:tcPr>
          <w:p w14:paraId="3D5B63B4" w14:textId="64BF55E6" w:rsidR="002934A6" w:rsidRDefault="002934A6" w:rsidP="002934A6">
            <w:pPr>
              <w:jc w:val="right"/>
              <w:rPr>
                <w:rFonts w:cs="Arial"/>
              </w:rPr>
            </w:pPr>
            <w:r>
              <w:rPr>
                <w:rFonts w:cs="Arial"/>
              </w:rPr>
              <w:t>0</w:t>
            </w:r>
          </w:p>
        </w:tc>
        <w:tc>
          <w:tcPr>
            <w:tcW w:w="1012" w:type="dxa"/>
            <w:tcBorders>
              <w:top w:val="nil"/>
              <w:left w:val="nil"/>
              <w:bottom w:val="single" w:sz="4" w:space="0" w:color="auto"/>
              <w:right w:val="single" w:sz="4" w:space="0" w:color="auto"/>
            </w:tcBorders>
          </w:tcPr>
          <w:p w14:paraId="760CBD57" w14:textId="4D04680C" w:rsidR="002934A6" w:rsidRDefault="002934A6" w:rsidP="002934A6">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61C8A159" w14:textId="6C8AB4BB" w:rsidR="002934A6" w:rsidRDefault="002934A6" w:rsidP="002934A6">
            <w:pPr>
              <w:jc w:val="right"/>
              <w:rPr>
                <w:rFonts w:cs="Arial"/>
              </w:rPr>
            </w:pPr>
            <w:r>
              <w:rPr>
                <w:rFonts w:cs="Arial"/>
              </w:rPr>
              <w:t>1</w:t>
            </w:r>
          </w:p>
        </w:tc>
        <w:tc>
          <w:tcPr>
            <w:tcW w:w="1012" w:type="dxa"/>
            <w:tcBorders>
              <w:top w:val="nil"/>
              <w:left w:val="nil"/>
              <w:bottom w:val="single" w:sz="4" w:space="0" w:color="auto"/>
              <w:right w:val="single" w:sz="4" w:space="0" w:color="auto"/>
            </w:tcBorders>
          </w:tcPr>
          <w:p w14:paraId="68E2BF27" w14:textId="36143971" w:rsidR="002934A6" w:rsidRDefault="002934A6" w:rsidP="002934A6">
            <w:pPr>
              <w:jc w:val="right"/>
              <w:rPr>
                <w:rFonts w:cs="Arial"/>
              </w:rPr>
            </w:pPr>
            <w:r>
              <w:rPr>
                <w:rFonts w:cs="Arial"/>
              </w:rPr>
              <w:t>2</w:t>
            </w:r>
          </w:p>
        </w:tc>
      </w:tr>
      <w:tr w:rsidR="002934A6" w:rsidRPr="0093030B" w14:paraId="061A3C95" w14:textId="77777777" w:rsidTr="003453AD">
        <w:trPr>
          <w:trHeight w:val="255"/>
        </w:trPr>
        <w:tc>
          <w:tcPr>
            <w:tcW w:w="3460" w:type="dxa"/>
            <w:tcBorders>
              <w:top w:val="nil"/>
              <w:left w:val="single" w:sz="4" w:space="0" w:color="auto"/>
              <w:bottom w:val="single" w:sz="4" w:space="0" w:color="auto"/>
              <w:right w:val="single" w:sz="4" w:space="0" w:color="auto"/>
            </w:tcBorders>
            <w:noWrap/>
            <w:hideMark/>
          </w:tcPr>
          <w:p w14:paraId="7B7F462D" w14:textId="77777777" w:rsidR="002934A6" w:rsidRPr="0093030B" w:rsidRDefault="002934A6" w:rsidP="002934A6">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5CB42E1F" w14:textId="7C1B8D49" w:rsidR="002934A6" w:rsidRDefault="002934A6" w:rsidP="002934A6">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075A4C2F" w14:textId="7B7A986E" w:rsidR="002934A6" w:rsidRDefault="002934A6" w:rsidP="002934A6">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2E295049" w14:textId="34960AF7" w:rsidR="002934A6" w:rsidRDefault="002934A6" w:rsidP="002934A6">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tcPr>
          <w:p w14:paraId="01F9D69E" w14:textId="6823F6DF" w:rsidR="002934A6" w:rsidRDefault="002934A6" w:rsidP="002934A6">
            <w:pPr>
              <w:jc w:val="right"/>
              <w:rPr>
                <w:rFonts w:cs="Arial"/>
                <w:b/>
                <w:bCs/>
              </w:rPr>
            </w:pPr>
            <w:r>
              <w:rPr>
                <w:rFonts w:cs="Arial"/>
                <w:b/>
                <w:bCs/>
              </w:rPr>
              <w:t>1125</w:t>
            </w:r>
          </w:p>
        </w:tc>
        <w:tc>
          <w:tcPr>
            <w:tcW w:w="1012" w:type="dxa"/>
            <w:tcBorders>
              <w:top w:val="nil"/>
              <w:left w:val="nil"/>
              <w:bottom w:val="single" w:sz="4" w:space="0" w:color="auto"/>
              <w:right w:val="single" w:sz="4" w:space="0" w:color="auto"/>
            </w:tcBorders>
          </w:tcPr>
          <w:p w14:paraId="68AB138F" w14:textId="4BA385A1" w:rsidR="002934A6" w:rsidRDefault="002934A6" w:rsidP="002934A6">
            <w:pPr>
              <w:jc w:val="right"/>
              <w:rPr>
                <w:rFonts w:cs="Arial"/>
                <w:b/>
                <w:bCs/>
              </w:rPr>
            </w:pPr>
            <w:r>
              <w:rPr>
                <w:rFonts w:cs="Arial"/>
                <w:b/>
                <w:bCs/>
              </w:rPr>
              <w:t>1059</w:t>
            </w:r>
          </w:p>
        </w:tc>
      </w:tr>
    </w:tbl>
    <w:p w14:paraId="3792CC43" w14:textId="77777777" w:rsidR="002934A6" w:rsidRDefault="002934A6" w:rsidP="002934A6">
      <w:pPr>
        <w:spacing w:line="240" w:lineRule="auto"/>
        <w:ind w:left="-142" w:right="-425"/>
        <w:jc w:val="both"/>
        <w:rPr>
          <w:rFonts w:cs="Arial"/>
        </w:rPr>
      </w:pPr>
    </w:p>
    <w:p w14:paraId="15B2FFA8" w14:textId="70A6AE64" w:rsidR="002934A6" w:rsidRDefault="002934A6" w:rsidP="002934A6">
      <w:pPr>
        <w:spacing w:after="120" w:line="240" w:lineRule="auto"/>
        <w:ind w:right="-425"/>
        <w:jc w:val="both"/>
        <w:rPr>
          <w:sz w:val="16"/>
          <w:szCs w:val="16"/>
        </w:rPr>
      </w:pPr>
      <w:r w:rsidRPr="008451D3">
        <w:rPr>
          <w:b/>
          <w:sz w:val="16"/>
          <w:szCs w:val="16"/>
        </w:rPr>
        <w:t xml:space="preserve">Table </w:t>
      </w:r>
      <w:r>
        <w:rPr>
          <w:b/>
          <w:sz w:val="16"/>
          <w:szCs w:val="16"/>
        </w:rPr>
        <w:t>10</w:t>
      </w:r>
      <w:r w:rsidRPr="008451D3">
        <w:rPr>
          <w:b/>
          <w:sz w:val="16"/>
          <w:szCs w:val="16"/>
        </w:rPr>
        <w:t xml:space="preserve">: </w:t>
      </w:r>
      <w:r w:rsidRPr="008451D3">
        <w:rPr>
          <w:sz w:val="16"/>
          <w:szCs w:val="16"/>
        </w:rPr>
        <w:t xml:space="preserve">In jurisdiction notices by community and quarter 1 </w:t>
      </w:r>
      <w:r>
        <w:rPr>
          <w:sz w:val="16"/>
          <w:szCs w:val="16"/>
        </w:rPr>
        <w:t>January 2020 to 31 March 2021</w:t>
      </w:r>
      <w:r w:rsidRPr="008451D3">
        <w:rPr>
          <w:sz w:val="16"/>
          <w:szCs w:val="16"/>
        </w:rPr>
        <w:t>.</w:t>
      </w:r>
    </w:p>
    <w:tbl>
      <w:tblPr>
        <w:tblW w:w="8520" w:type="dxa"/>
        <w:tblInd w:w="93" w:type="dxa"/>
        <w:tblLook w:val="04A0" w:firstRow="1" w:lastRow="0" w:firstColumn="1" w:lastColumn="0" w:noHBand="0" w:noVBand="1"/>
      </w:tblPr>
      <w:tblGrid>
        <w:gridCol w:w="3460"/>
        <w:gridCol w:w="1012"/>
        <w:gridCol w:w="1012"/>
        <w:gridCol w:w="1012"/>
        <w:gridCol w:w="1012"/>
        <w:gridCol w:w="1012"/>
      </w:tblGrid>
      <w:tr w:rsidR="002934A6" w:rsidRPr="0093030B" w14:paraId="463FA8B8" w14:textId="77777777" w:rsidTr="003453AD">
        <w:trPr>
          <w:trHeight w:val="480"/>
        </w:trPr>
        <w:tc>
          <w:tcPr>
            <w:tcW w:w="3460" w:type="dxa"/>
            <w:tcBorders>
              <w:top w:val="single" w:sz="4" w:space="0" w:color="auto"/>
              <w:left w:val="single" w:sz="4" w:space="0" w:color="auto"/>
              <w:bottom w:val="single" w:sz="4" w:space="0" w:color="auto"/>
              <w:right w:val="single" w:sz="4" w:space="0" w:color="auto"/>
            </w:tcBorders>
            <w:hideMark/>
          </w:tcPr>
          <w:p w14:paraId="0F06974B" w14:textId="77777777" w:rsidR="002934A6" w:rsidRPr="0093030B" w:rsidRDefault="002934A6" w:rsidP="002934A6">
            <w:pPr>
              <w:pStyle w:val="TableText"/>
              <w:ind w:left="49"/>
              <w:rPr>
                <w:b/>
                <w:lang w:eastAsia="en-AU"/>
              </w:rPr>
            </w:pPr>
            <w:r>
              <w:rPr>
                <w:b/>
                <w:lang w:eastAsia="en-AU"/>
              </w:rPr>
              <w:t>Community</w:t>
            </w:r>
          </w:p>
        </w:tc>
        <w:tc>
          <w:tcPr>
            <w:tcW w:w="1012" w:type="dxa"/>
            <w:tcBorders>
              <w:top w:val="single" w:sz="4" w:space="0" w:color="auto"/>
              <w:left w:val="nil"/>
              <w:bottom w:val="single" w:sz="4" w:space="0" w:color="auto"/>
              <w:right w:val="single" w:sz="4" w:space="0" w:color="auto"/>
            </w:tcBorders>
          </w:tcPr>
          <w:p w14:paraId="0AE6C1C3" w14:textId="582D825B" w:rsidR="002934A6" w:rsidRDefault="002934A6" w:rsidP="002934A6">
            <w:pPr>
              <w:pStyle w:val="TableText"/>
              <w:jc w:val="right"/>
              <w:rPr>
                <w:b/>
                <w:lang w:eastAsia="en-AU"/>
              </w:rPr>
            </w:pPr>
            <w:r>
              <w:rPr>
                <w:b/>
                <w:lang w:eastAsia="en-AU"/>
              </w:rPr>
              <w:t>Qtr 47</w:t>
            </w:r>
          </w:p>
        </w:tc>
        <w:tc>
          <w:tcPr>
            <w:tcW w:w="1012" w:type="dxa"/>
            <w:tcBorders>
              <w:top w:val="single" w:sz="4" w:space="0" w:color="auto"/>
              <w:left w:val="nil"/>
              <w:bottom w:val="single" w:sz="4" w:space="0" w:color="auto"/>
              <w:right w:val="single" w:sz="4" w:space="0" w:color="auto"/>
            </w:tcBorders>
          </w:tcPr>
          <w:p w14:paraId="51A3FB14" w14:textId="3486CBC1" w:rsidR="002934A6" w:rsidRDefault="002934A6" w:rsidP="002934A6">
            <w:pPr>
              <w:pStyle w:val="TableText"/>
              <w:jc w:val="right"/>
              <w:rPr>
                <w:b/>
                <w:lang w:eastAsia="en-AU"/>
              </w:rPr>
            </w:pPr>
            <w:r>
              <w:rPr>
                <w:b/>
                <w:lang w:eastAsia="en-AU"/>
              </w:rPr>
              <w:t>Qtr 48</w:t>
            </w:r>
          </w:p>
        </w:tc>
        <w:tc>
          <w:tcPr>
            <w:tcW w:w="1012" w:type="dxa"/>
            <w:tcBorders>
              <w:top w:val="single" w:sz="4" w:space="0" w:color="auto"/>
              <w:left w:val="nil"/>
              <w:bottom w:val="single" w:sz="4" w:space="0" w:color="auto"/>
              <w:right w:val="single" w:sz="4" w:space="0" w:color="auto"/>
            </w:tcBorders>
          </w:tcPr>
          <w:p w14:paraId="1AE412AC" w14:textId="61DD86FE" w:rsidR="002934A6" w:rsidRDefault="002934A6" w:rsidP="002934A6">
            <w:pPr>
              <w:pStyle w:val="TableText"/>
              <w:jc w:val="right"/>
              <w:rPr>
                <w:b/>
                <w:lang w:eastAsia="en-AU"/>
              </w:rPr>
            </w:pPr>
            <w:r>
              <w:rPr>
                <w:b/>
                <w:lang w:eastAsia="en-AU"/>
              </w:rPr>
              <w:t>Qtr 49</w:t>
            </w:r>
          </w:p>
        </w:tc>
        <w:tc>
          <w:tcPr>
            <w:tcW w:w="1012" w:type="dxa"/>
            <w:tcBorders>
              <w:top w:val="single" w:sz="4" w:space="0" w:color="auto"/>
              <w:left w:val="nil"/>
              <w:bottom w:val="single" w:sz="4" w:space="0" w:color="auto"/>
              <w:right w:val="single" w:sz="4" w:space="0" w:color="auto"/>
            </w:tcBorders>
          </w:tcPr>
          <w:p w14:paraId="3AAD133F" w14:textId="6D050A35" w:rsidR="002934A6" w:rsidRDefault="002934A6" w:rsidP="002934A6">
            <w:pPr>
              <w:pStyle w:val="TableText"/>
              <w:jc w:val="right"/>
              <w:rPr>
                <w:b/>
                <w:lang w:eastAsia="en-AU"/>
              </w:rPr>
            </w:pPr>
            <w:r>
              <w:rPr>
                <w:b/>
                <w:lang w:eastAsia="en-AU"/>
              </w:rPr>
              <w:t>Qtr 50</w:t>
            </w:r>
          </w:p>
        </w:tc>
        <w:tc>
          <w:tcPr>
            <w:tcW w:w="1012" w:type="dxa"/>
            <w:tcBorders>
              <w:top w:val="single" w:sz="4" w:space="0" w:color="auto"/>
              <w:left w:val="nil"/>
              <w:bottom w:val="single" w:sz="4" w:space="0" w:color="auto"/>
              <w:right w:val="single" w:sz="4" w:space="0" w:color="auto"/>
            </w:tcBorders>
          </w:tcPr>
          <w:p w14:paraId="1CC82BA9" w14:textId="05A6E2EA" w:rsidR="002934A6" w:rsidRDefault="002934A6" w:rsidP="002934A6">
            <w:pPr>
              <w:pStyle w:val="TableText"/>
              <w:jc w:val="right"/>
              <w:rPr>
                <w:b/>
                <w:lang w:eastAsia="en-AU"/>
              </w:rPr>
            </w:pPr>
            <w:r>
              <w:rPr>
                <w:b/>
                <w:lang w:eastAsia="en-AU"/>
              </w:rPr>
              <w:t>Qtr 51</w:t>
            </w:r>
          </w:p>
        </w:tc>
      </w:tr>
      <w:tr w:rsidR="002934A6" w:rsidRPr="0093030B" w14:paraId="12C4E52F"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tcPr>
          <w:p w14:paraId="133868C6" w14:textId="77777777" w:rsidR="002934A6" w:rsidRPr="0093030B" w:rsidRDefault="002934A6" w:rsidP="002934A6">
            <w:pPr>
              <w:pStyle w:val="TableText"/>
              <w:ind w:left="49"/>
              <w:rPr>
                <w:lang w:eastAsia="en-AU"/>
              </w:rPr>
            </w:pPr>
            <w:r>
              <w:rPr>
                <w:lang w:eastAsia="en-AU"/>
              </w:rPr>
              <w:t>Aurukun</w:t>
            </w:r>
          </w:p>
        </w:tc>
        <w:tc>
          <w:tcPr>
            <w:tcW w:w="1012" w:type="dxa"/>
            <w:tcBorders>
              <w:top w:val="nil"/>
              <w:left w:val="nil"/>
              <w:bottom w:val="single" w:sz="4" w:space="0" w:color="auto"/>
              <w:right w:val="single" w:sz="4" w:space="0" w:color="auto"/>
            </w:tcBorders>
          </w:tcPr>
          <w:p w14:paraId="761823CE" w14:textId="51D1841D" w:rsidR="002934A6" w:rsidRDefault="002934A6" w:rsidP="002934A6">
            <w:pPr>
              <w:jc w:val="right"/>
              <w:rPr>
                <w:rFonts w:cs="Arial"/>
              </w:rPr>
            </w:pPr>
            <w:r>
              <w:rPr>
                <w:rFonts w:cs="Arial"/>
              </w:rPr>
              <w:t>460</w:t>
            </w:r>
          </w:p>
        </w:tc>
        <w:tc>
          <w:tcPr>
            <w:tcW w:w="1012" w:type="dxa"/>
            <w:tcBorders>
              <w:top w:val="nil"/>
              <w:left w:val="nil"/>
              <w:bottom w:val="single" w:sz="4" w:space="0" w:color="auto"/>
              <w:right w:val="single" w:sz="4" w:space="0" w:color="auto"/>
            </w:tcBorders>
          </w:tcPr>
          <w:p w14:paraId="172298AA" w14:textId="672AF1FE" w:rsidR="002934A6" w:rsidRDefault="002934A6" w:rsidP="002934A6">
            <w:pPr>
              <w:jc w:val="right"/>
              <w:rPr>
                <w:rFonts w:cs="Arial"/>
              </w:rPr>
            </w:pPr>
            <w:r>
              <w:rPr>
                <w:rFonts w:cs="Arial"/>
              </w:rPr>
              <w:t>235</w:t>
            </w:r>
          </w:p>
        </w:tc>
        <w:tc>
          <w:tcPr>
            <w:tcW w:w="1012" w:type="dxa"/>
            <w:tcBorders>
              <w:top w:val="nil"/>
              <w:left w:val="nil"/>
              <w:bottom w:val="single" w:sz="4" w:space="0" w:color="auto"/>
              <w:right w:val="single" w:sz="4" w:space="0" w:color="auto"/>
            </w:tcBorders>
          </w:tcPr>
          <w:p w14:paraId="25476AEE" w14:textId="1054D52D" w:rsidR="002934A6" w:rsidRDefault="002934A6" w:rsidP="002934A6">
            <w:pPr>
              <w:jc w:val="right"/>
              <w:rPr>
                <w:rFonts w:cs="Arial"/>
              </w:rPr>
            </w:pPr>
            <w:r>
              <w:rPr>
                <w:rFonts w:cs="Arial"/>
              </w:rPr>
              <w:t>444</w:t>
            </w:r>
          </w:p>
        </w:tc>
        <w:tc>
          <w:tcPr>
            <w:tcW w:w="1012" w:type="dxa"/>
            <w:tcBorders>
              <w:top w:val="nil"/>
              <w:left w:val="nil"/>
              <w:bottom w:val="single" w:sz="4" w:space="0" w:color="auto"/>
              <w:right w:val="single" w:sz="4" w:space="0" w:color="auto"/>
            </w:tcBorders>
            <w:vAlign w:val="bottom"/>
          </w:tcPr>
          <w:p w14:paraId="3FDDF6A4" w14:textId="30FBD00D" w:rsidR="002934A6" w:rsidRDefault="002934A6" w:rsidP="002934A6">
            <w:pPr>
              <w:jc w:val="right"/>
              <w:rPr>
                <w:rFonts w:cs="Arial"/>
              </w:rPr>
            </w:pPr>
            <w:r w:rsidRPr="005D5FC8">
              <w:rPr>
                <w:rFonts w:cs="Arial"/>
              </w:rPr>
              <w:t>468</w:t>
            </w:r>
          </w:p>
        </w:tc>
        <w:tc>
          <w:tcPr>
            <w:tcW w:w="1012" w:type="dxa"/>
            <w:tcBorders>
              <w:top w:val="nil"/>
              <w:left w:val="nil"/>
              <w:bottom w:val="single" w:sz="4" w:space="0" w:color="auto"/>
              <w:right w:val="single" w:sz="4" w:space="0" w:color="auto"/>
            </w:tcBorders>
          </w:tcPr>
          <w:p w14:paraId="414BC4AD" w14:textId="71367878" w:rsidR="002934A6" w:rsidRPr="005D5FC8" w:rsidRDefault="002934A6" w:rsidP="002934A6">
            <w:pPr>
              <w:jc w:val="right"/>
              <w:rPr>
                <w:rFonts w:cs="Arial"/>
              </w:rPr>
            </w:pPr>
            <w:r>
              <w:rPr>
                <w:rFonts w:cs="Arial"/>
              </w:rPr>
              <w:t>502</w:t>
            </w:r>
          </w:p>
        </w:tc>
      </w:tr>
      <w:tr w:rsidR="002934A6" w:rsidRPr="0093030B" w14:paraId="0EE510C9"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hideMark/>
          </w:tcPr>
          <w:p w14:paraId="269908BA" w14:textId="77777777" w:rsidR="002934A6" w:rsidRPr="0093030B" w:rsidRDefault="002934A6" w:rsidP="002934A6">
            <w:pPr>
              <w:pStyle w:val="TableText"/>
              <w:ind w:left="49"/>
              <w:rPr>
                <w:lang w:eastAsia="en-AU"/>
              </w:rPr>
            </w:pPr>
            <w:r>
              <w:rPr>
                <w:lang w:eastAsia="en-AU"/>
              </w:rPr>
              <w:t>Coen</w:t>
            </w:r>
          </w:p>
        </w:tc>
        <w:tc>
          <w:tcPr>
            <w:tcW w:w="1012" w:type="dxa"/>
            <w:tcBorders>
              <w:top w:val="nil"/>
              <w:left w:val="nil"/>
              <w:bottom w:val="single" w:sz="4" w:space="0" w:color="auto"/>
              <w:right w:val="single" w:sz="4" w:space="0" w:color="auto"/>
            </w:tcBorders>
          </w:tcPr>
          <w:p w14:paraId="57F09A71" w14:textId="30448FA8" w:rsidR="002934A6" w:rsidRDefault="002934A6" w:rsidP="002934A6">
            <w:pPr>
              <w:jc w:val="right"/>
              <w:rPr>
                <w:rFonts w:cs="Arial"/>
              </w:rPr>
            </w:pPr>
            <w:r>
              <w:rPr>
                <w:rFonts w:cs="Arial"/>
              </w:rPr>
              <w:t>37</w:t>
            </w:r>
          </w:p>
        </w:tc>
        <w:tc>
          <w:tcPr>
            <w:tcW w:w="1012" w:type="dxa"/>
            <w:tcBorders>
              <w:top w:val="nil"/>
              <w:left w:val="nil"/>
              <w:bottom w:val="single" w:sz="4" w:space="0" w:color="auto"/>
              <w:right w:val="single" w:sz="4" w:space="0" w:color="auto"/>
            </w:tcBorders>
          </w:tcPr>
          <w:p w14:paraId="4461B6D8" w14:textId="519A2E10" w:rsidR="002934A6" w:rsidRDefault="002934A6" w:rsidP="002934A6">
            <w:pPr>
              <w:jc w:val="right"/>
              <w:rPr>
                <w:rFonts w:cs="Arial"/>
              </w:rPr>
            </w:pPr>
            <w:r>
              <w:rPr>
                <w:rFonts w:cs="Arial"/>
              </w:rPr>
              <w:t>34</w:t>
            </w:r>
          </w:p>
        </w:tc>
        <w:tc>
          <w:tcPr>
            <w:tcW w:w="1012" w:type="dxa"/>
            <w:tcBorders>
              <w:top w:val="nil"/>
              <w:left w:val="nil"/>
              <w:bottom w:val="single" w:sz="4" w:space="0" w:color="auto"/>
              <w:right w:val="single" w:sz="4" w:space="0" w:color="auto"/>
            </w:tcBorders>
          </w:tcPr>
          <w:p w14:paraId="73B0557B" w14:textId="6AF11AA1" w:rsidR="002934A6" w:rsidRDefault="002934A6" w:rsidP="002934A6">
            <w:pPr>
              <w:jc w:val="right"/>
              <w:rPr>
                <w:rFonts w:cs="Arial"/>
              </w:rPr>
            </w:pPr>
            <w:r>
              <w:rPr>
                <w:rFonts w:cs="Arial"/>
              </w:rPr>
              <w:t>61</w:t>
            </w:r>
          </w:p>
        </w:tc>
        <w:tc>
          <w:tcPr>
            <w:tcW w:w="1012" w:type="dxa"/>
            <w:tcBorders>
              <w:top w:val="nil"/>
              <w:left w:val="nil"/>
              <w:bottom w:val="single" w:sz="4" w:space="0" w:color="auto"/>
              <w:right w:val="single" w:sz="4" w:space="0" w:color="auto"/>
            </w:tcBorders>
            <w:vAlign w:val="bottom"/>
          </w:tcPr>
          <w:p w14:paraId="4ECC47CB" w14:textId="583F5DE8" w:rsidR="002934A6" w:rsidRDefault="002934A6" w:rsidP="002934A6">
            <w:pPr>
              <w:jc w:val="right"/>
              <w:rPr>
                <w:rFonts w:cs="Arial"/>
              </w:rPr>
            </w:pPr>
            <w:r w:rsidRPr="005D5FC8">
              <w:rPr>
                <w:rFonts w:cs="Arial"/>
              </w:rPr>
              <w:t>60</w:t>
            </w:r>
          </w:p>
        </w:tc>
        <w:tc>
          <w:tcPr>
            <w:tcW w:w="1012" w:type="dxa"/>
            <w:tcBorders>
              <w:top w:val="nil"/>
              <w:left w:val="nil"/>
              <w:bottom w:val="single" w:sz="4" w:space="0" w:color="auto"/>
              <w:right w:val="single" w:sz="4" w:space="0" w:color="auto"/>
            </w:tcBorders>
          </w:tcPr>
          <w:p w14:paraId="0DEB172F" w14:textId="31F68041" w:rsidR="002934A6" w:rsidRPr="005D5FC8" w:rsidRDefault="002934A6" w:rsidP="002934A6">
            <w:pPr>
              <w:jc w:val="right"/>
              <w:rPr>
                <w:rFonts w:cs="Arial"/>
              </w:rPr>
            </w:pPr>
            <w:r>
              <w:rPr>
                <w:rFonts w:cs="Arial"/>
              </w:rPr>
              <w:t>48</w:t>
            </w:r>
          </w:p>
        </w:tc>
      </w:tr>
      <w:tr w:rsidR="002934A6" w:rsidRPr="0093030B" w14:paraId="52F3C0F8"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tcPr>
          <w:p w14:paraId="04C1B708" w14:textId="77777777" w:rsidR="002934A6" w:rsidRPr="0093030B" w:rsidRDefault="002934A6" w:rsidP="002934A6">
            <w:pPr>
              <w:pStyle w:val="TableText"/>
              <w:ind w:left="49"/>
              <w:rPr>
                <w:lang w:eastAsia="en-AU"/>
              </w:rPr>
            </w:pPr>
            <w:r>
              <w:rPr>
                <w:lang w:eastAsia="en-AU"/>
              </w:rPr>
              <w:t>Doomadgee</w:t>
            </w:r>
          </w:p>
        </w:tc>
        <w:tc>
          <w:tcPr>
            <w:tcW w:w="1012" w:type="dxa"/>
            <w:tcBorders>
              <w:top w:val="nil"/>
              <w:left w:val="nil"/>
              <w:bottom w:val="single" w:sz="4" w:space="0" w:color="auto"/>
              <w:right w:val="single" w:sz="4" w:space="0" w:color="auto"/>
            </w:tcBorders>
          </w:tcPr>
          <w:p w14:paraId="16975060" w14:textId="0570D171" w:rsidR="002934A6" w:rsidRDefault="002934A6" w:rsidP="002934A6">
            <w:pPr>
              <w:jc w:val="right"/>
              <w:rPr>
                <w:rFonts w:cs="Arial"/>
              </w:rPr>
            </w:pPr>
            <w:r>
              <w:rPr>
                <w:rFonts w:cs="Arial"/>
              </w:rPr>
              <w:t>467</w:t>
            </w:r>
          </w:p>
        </w:tc>
        <w:tc>
          <w:tcPr>
            <w:tcW w:w="1012" w:type="dxa"/>
            <w:tcBorders>
              <w:top w:val="nil"/>
              <w:left w:val="nil"/>
              <w:bottom w:val="single" w:sz="4" w:space="0" w:color="auto"/>
              <w:right w:val="single" w:sz="4" w:space="0" w:color="auto"/>
            </w:tcBorders>
          </w:tcPr>
          <w:p w14:paraId="45F33BA1" w14:textId="581FF33E" w:rsidR="002934A6" w:rsidRDefault="002934A6" w:rsidP="002934A6">
            <w:pPr>
              <w:jc w:val="right"/>
              <w:rPr>
                <w:rFonts w:cs="Arial"/>
              </w:rPr>
            </w:pPr>
            <w:r>
              <w:rPr>
                <w:rFonts w:cs="Arial"/>
              </w:rPr>
              <w:t>394</w:t>
            </w:r>
          </w:p>
        </w:tc>
        <w:tc>
          <w:tcPr>
            <w:tcW w:w="1012" w:type="dxa"/>
            <w:tcBorders>
              <w:top w:val="nil"/>
              <w:left w:val="nil"/>
              <w:bottom w:val="single" w:sz="4" w:space="0" w:color="auto"/>
              <w:right w:val="single" w:sz="4" w:space="0" w:color="auto"/>
            </w:tcBorders>
          </w:tcPr>
          <w:p w14:paraId="1F4377A4" w14:textId="512E329E" w:rsidR="002934A6" w:rsidRDefault="002934A6" w:rsidP="002934A6">
            <w:pPr>
              <w:jc w:val="right"/>
              <w:rPr>
                <w:rFonts w:cs="Arial"/>
              </w:rPr>
            </w:pPr>
            <w:r>
              <w:rPr>
                <w:rFonts w:cs="Arial"/>
              </w:rPr>
              <w:t>391</w:t>
            </w:r>
          </w:p>
        </w:tc>
        <w:tc>
          <w:tcPr>
            <w:tcW w:w="1012" w:type="dxa"/>
            <w:tcBorders>
              <w:top w:val="nil"/>
              <w:left w:val="nil"/>
              <w:bottom w:val="single" w:sz="4" w:space="0" w:color="auto"/>
              <w:right w:val="single" w:sz="4" w:space="0" w:color="auto"/>
            </w:tcBorders>
            <w:vAlign w:val="bottom"/>
          </w:tcPr>
          <w:p w14:paraId="7A51947C" w14:textId="0C6B821E" w:rsidR="002934A6" w:rsidRDefault="002934A6" w:rsidP="002934A6">
            <w:pPr>
              <w:jc w:val="right"/>
              <w:rPr>
                <w:rFonts w:cs="Arial"/>
              </w:rPr>
            </w:pPr>
            <w:r w:rsidRPr="005D5FC8">
              <w:rPr>
                <w:rFonts w:cs="Arial"/>
              </w:rPr>
              <w:t>346</w:t>
            </w:r>
          </w:p>
        </w:tc>
        <w:tc>
          <w:tcPr>
            <w:tcW w:w="1012" w:type="dxa"/>
            <w:tcBorders>
              <w:top w:val="nil"/>
              <w:left w:val="nil"/>
              <w:bottom w:val="single" w:sz="4" w:space="0" w:color="auto"/>
              <w:right w:val="single" w:sz="4" w:space="0" w:color="auto"/>
            </w:tcBorders>
          </w:tcPr>
          <w:p w14:paraId="26BA44F2" w14:textId="001B991B" w:rsidR="002934A6" w:rsidRPr="005D5FC8" w:rsidRDefault="002934A6" w:rsidP="002934A6">
            <w:pPr>
              <w:jc w:val="right"/>
              <w:rPr>
                <w:rFonts w:cs="Arial"/>
              </w:rPr>
            </w:pPr>
            <w:r>
              <w:rPr>
                <w:rFonts w:cs="Arial"/>
              </w:rPr>
              <w:t>278</w:t>
            </w:r>
          </w:p>
        </w:tc>
      </w:tr>
      <w:tr w:rsidR="002934A6" w:rsidRPr="0093030B" w14:paraId="081479D6"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tcPr>
          <w:p w14:paraId="6C3EC7C0" w14:textId="77777777" w:rsidR="002934A6" w:rsidRPr="0093030B" w:rsidRDefault="002934A6" w:rsidP="002934A6">
            <w:pPr>
              <w:pStyle w:val="TableText"/>
              <w:ind w:left="49"/>
              <w:rPr>
                <w:lang w:eastAsia="en-AU"/>
              </w:rPr>
            </w:pPr>
            <w:r>
              <w:rPr>
                <w:lang w:eastAsia="en-AU"/>
              </w:rPr>
              <w:t>Hope Vale</w:t>
            </w:r>
          </w:p>
        </w:tc>
        <w:tc>
          <w:tcPr>
            <w:tcW w:w="1012" w:type="dxa"/>
            <w:tcBorders>
              <w:top w:val="nil"/>
              <w:left w:val="nil"/>
              <w:bottom w:val="single" w:sz="4" w:space="0" w:color="auto"/>
              <w:right w:val="single" w:sz="4" w:space="0" w:color="auto"/>
            </w:tcBorders>
          </w:tcPr>
          <w:p w14:paraId="3F8212E7" w14:textId="1A157CF7" w:rsidR="002934A6" w:rsidRDefault="002934A6" w:rsidP="002934A6">
            <w:pPr>
              <w:jc w:val="right"/>
              <w:rPr>
                <w:rFonts w:cs="Arial"/>
              </w:rPr>
            </w:pPr>
            <w:r>
              <w:rPr>
                <w:rFonts w:cs="Arial"/>
              </w:rPr>
              <w:t>172</w:t>
            </w:r>
          </w:p>
        </w:tc>
        <w:tc>
          <w:tcPr>
            <w:tcW w:w="1012" w:type="dxa"/>
            <w:tcBorders>
              <w:top w:val="nil"/>
              <w:left w:val="nil"/>
              <w:bottom w:val="single" w:sz="4" w:space="0" w:color="auto"/>
              <w:right w:val="single" w:sz="4" w:space="0" w:color="auto"/>
            </w:tcBorders>
          </w:tcPr>
          <w:p w14:paraId="7C1BEF06" w14:textId="3A734603" w:rsidR="002934A6" w:rsidRDefault="002934A6" w:rsidP="002934A6">
            <w:pPr>
              <w:jc w:val="right"/>
              <w:rPr>
                <w:rFonts w:cs="Arial"/>
              </w:rPr>
            </w:pPr>
            <w:r>
              <w:rPr>
                <w:rFonts w:cs="Arial"/>
              </w:rPr>
              <w:t>139</w:t>
            </w:r>
          </w:p>
        </w:tc>
        <w:tc>
          <w:tcPr>
            <w:tcW w:w="1012" w:type="dxa"/>
            <w:tcBorders>
              <w:top w:val="nil"/>
              <w:left w:val="nil"/>
              <w:bottom w:val="single" w:sz="4" w:space="0" w:color="auto"/>
              <w:right w:val="single" w:sz="4" w:space="0" w:color="auto"/>
            </w:tcBorders>
          </w:tcPr>
          <w:p w14:paraId="56ADA17B" w14:textId="1E4CB2DD" w:rsidR="002934A6" w:rsidRDefault="002934A6" w:rsidP="002934A6">
            <w:pPr>
              <w:jc w:val="right"/>
              <w:rPr>
                <w:rFonts w:cs="Arial"/>
              </w:rPr>
            </w:pPr>
            <w:r>
              <w:rPr>
                <w:rFonts w:cs="Arial"/>
              </w:rPr>
              <w:t>234</w:t>
            </w:r>
          </w:p>
        </w:tc>
        <w:tc>
          <w:tcPr>
            <w:tcW w:w="1012" w:type="dxa"/>
            <w:tcBorders>
              <w:top w:val="nil"/>
              <w:left w:val="nil"/>
              <w:bottom w:val="single" w:sz="4" w:space="0" w:color="auto"/>
              <w:right w:val="single" w:sz="4" w:space="0" w:color="auto"/>
            </w:tcBorders>
            <w:vAlign w:val="bottom"/>
          </w:tcPr>
          <w:p w14:paraId="5E18BF87" w14:textId="02569869" w:rsidR="002934A6" w:rsidRDefault="002934A6" w:rsidP="002934A6">
            <w:pPr>
              <w:jc w:val="right"/>
              <w:rPr>
                <w:rFonts w:cs="Arial"/>
              </w:rPr>
            </w:pPr>
            <w:r w:rsidRPr="005D5FC8">
              <w:rPr>
                <w:rFonts w:cs="Arial"/>
              </w:rPr>
              <w:t>200</w:t>
            </w:r>
          </w:p>
        </w:tc>
        <w:tc>
          <w:tcPr>
            <w:tcW w:w="1012" w:type="dxa"/>
            <w:tcBorders>
              <w:top w:val="nil"/>
              <w:left w:val="nil"/>
              <w:bottom w:val="single" w:sz="4" w:space="0" w:color="auto"/>
              <w:right w:val="single" w:sz="4" w:space="0" w:color="auto"/>
            </w:tcBorders>
          </w:tcPr>
          <w:p w14:paraId="767881B2" w14:textId="09D0DE91" w:rsidR="002934A6" w:rsidRPr="005D5FC8" w:rsidRDefault="002934A6" w:rsidP="002934A6">
            <w:pPr>
              <w:jc w:val="right"/>
              <w:rPr>
                <w:rFonts w:cs="Arial"/>
              </w:rPr>
            </w:pPr>
            <w:r>
              <w:rPr>
                <w:rFonts w:cs="Arial"/>
              </w:rPr>
              <w:t>188</w:t>
            </w:r>
          </w:p>
        </w:tc>
      </w:tr>
      <w:tr w:rsidR="002934A6" w:rsidRPr="0093030B" w14:paraId="1328111A" w14:textId="77777777" w:rsidTr="003453AD">
        <w:trPr>
          <w:trHeight w:val="255"/>
        </w:trPr>
        <w:tc>
          <w:tcPr>
            <w:tcW w:w="3460" w:type="dxa"/>
            <w:tcBorders>
              <w:top w:val="nil"/>
              <w:left w:val="single" w:sz="4" w:space="0" w:color="auto"/>
              <w:bottom w:val="single" w:sz="4" w:space="0" w:color="auto"/>
              <w:right w:val="single" w:sz="4" w:space="0" w:color="auto"/>
            </w:tcBorders>
            <w:noWrap/>
            <w:vAlign w:val="bottom"/>
            <w:hideMark/>
          </w:tcPr>
          <w:p w14:paraId="1492B713" w14:textId="77777777" w:rsidR="002934A6" w:rsidRPr="0093030B" w:rsidRDefault="002934A6" w:rsidP="002934A6">
            <w:pPr>
              <w:pStyle w:val="TableText"/>
              <w:ind w:left="49"/>
              <w:rPr>
                <w:lang w:eastAsia="en-AU"/>
              </w:rPr>
            </w:pPr>
            <w:r>
              <w:rPr>
                <w:lang w:eastAsia="en-AU"/>
              </w:rPr>
              <w:t>Mossman Gorge</w:t>
            </w:r>
          </w:p>
        </w:tc>
        <w:tc>
          <w:tcPr>
            <w:tcW w:w="1012" w:type="dxa"/>
            <w:tcBorders>
              <w:top w:val="nil"/>
              <w:left w:val="nil"/>
              <w:bottom w:val="single" w:sz="4" w:space="0" w:color="auto"/>
              <w:right w:val="single" w:sz="4" w:space="0" w:color="auto"/>
            </w:tcBorders>
          </w:tcPr>
          <w:p w14:paraId="5B860D72" w14:textId="563CF20F" w:rsidR="002934A6" w:rsidRDefault="002934A6" w:rsidP="002934A6">
            <w:pPr>
              <w:jc w:val="right"/>
              <w:rPr>
                <w:rFonts w:cs="Arial"/>
              </w:rPr>
            </w:pPr>
            <w:r>
              <w:rPr>
                <w:rFonts w:cs="Arial"/>
              </w:rPr>
              <w:t>85</w:t>
            </w:r>
          </w:p>
        </w:tc>
        <w:tc>
          <w:tcPr>
            <w:tcW w:w="1012" w:type="dxa"/>
            <w:tcBorders>
              <w:top w:val="nil"/>
              <w:left w:val="nil"/>
              <w:bottom w:val="single" w:sz="4" w:space="0" w:color="auto"/>
              <w:right w:val="single" w:sz="4" w:space="0" w:color="auto"/>
            </w:tcBorders>
          </w:tcPr>
          <w:p w14:paraId="40BEBB6F" w14:textId="72C7BD48" w:rsidR="002934A6" w:rsidRDefault="002934A6" w:rsidP="002934A6">
            <w:pPr>
              <w:jc w:val="right"/>
              <w:rPr>
                <w:rFonts w:cs="Arial"/>
              </w:rPr>
            </w:pPr>
            <w:r>
              <w:rPr>
                <w:rFonts w:cs="Arial"/>
              </w:rPr>
              <w:t>35</w:t>
            </w:r>
          </w:p>
        </w:tc>
        <w:tc>
          <w:tcPr>
            <w:tcW w:w="1012" w:type="dxa"/>
            <w:tcBorders>
              <w:top w:val="nil"/>
              <w:left w:val="nil"/>
              <w:bottom w:val="single" w:sz="4" w:space="0" w:color="auto"/>
              <w:right w:val="single" w:sz="4" w:space="0" w:color="auto"/>
            </w:tcBorders>
          </w:tcPr>
          <w:p w14:paraId="7029762D" w14:textId="105A01BA" w:rsidR="002934A6" w:rsidRDefault="002934A6" w:rsidP="002934A6">
            <w:pPr>
              <w:jc w:val="right"/>
              <w:rPr>
                <w:rFonts w:cs="Arial"/>
              </w:rPr>
            </w:pPr>
            <w:r>
              <w:rPr>
                <w:rFonts w:cs="Arial"/>
              </w:rPr>
              <w:t>51</w:t>
            </w:r>
          </w:p>
        </w:tc>
        <w:tc>
          <w:tcPr>
            <w:tcW w:w="1012" w:type="dxa"/>
            <w:tcBorders>
              <w:top w:val="nil"/>
              <w:left w:val="nil"/>
              <w:bottom w:val="single" w:sz="4" w:space="0" w:color="auto"/>
              <w:right w:val="single" w:sz="4" w:space="0" w:color="auto"/>
            </w:tcBorders>
            <w:vAlign w:val="bottom"/>
          </w:tcPr>
          <w:p w14:paraId="01A788EC" w14:textId="093934B0" w:rsidR="002934A6" w:rsidRDefault="002934A6" w:rsidP="002934A6">
            <w:pPr>
              <w:jc w:val="right"/>
              <w:rPr>
                <w:rFonts w:cs="Arial"/>
              </w:rPr>
            </w:pPr>
            <w:r w:rsidRPr="005D5FC8">
              <w:rPr>
                <w:rFonts w:cs="Arial"/>
              </w:rPr>
              <w:t>51</w:t>
            </w:r>
          </w:p>
        </w:tc>
        <w:tc>
          <w:tcPr>
            <w:tcW w:w="1012" w:type="dxa"/>
            <w:tcBorders>
              <w:top w:val="nil"/>
              <w:left w:val="nil"/>
              <w:bottom w:val="single" w:sz="4" w:space="0" w:color="auto"/>
              <w:right w:val="single" w:sz="4" w:space="0" w:color="auto"/>
            </w:tcBorders>
          </w:tcPr>
          <w:p w14:paraId="133C80DB" w14:textId="1DF24C29" w:rsidR="002934A6" w:rsidRPr="005D5FC8" w:rsidRDefault="002934A6" w:rsidP="002934A6">
            <w:pPr>
              <w:jc w:val="right"/>
              <w:rPr>
                <w:rFonts w:cs="Arial"/>
              </w:rPr>
            </w:pPr>
            <w:r>
              <w:rPr>
                <w:rFonts w:cs="Arial"/>
              </w:rPr>
              <w:t>43</w:t>
            </w:r>
          </w:p>
        </w:tc>
      </w:tr>
      <w:tr w:rsidR="002934A6" w:rsidRPr="0093030B" w14:paraId="6FF15C9E" w14:textId="77777777" w:rsidTr="003453AD">
        <w:trPr>
          <w:trHeight w:val="255"/>
        </w:trPr>
        <w:tc>
          <w:tcPr>
            <w:tcW w:w="3460" w:type="dxa"/>
            <w:tcBorders>
              <w:top w:val="nil"/>
              <w:left w:val="single" w:sz="4" w:space="0" w:color="auto"/>
              <w:bottom w:val="single" w:sz="4" w:space="0" w:color="auto"/>
              <w:right w:val="single" w:sz="4" w:space="0" w:color="auto"/>
            </w:tcBorders>
            <w:noWrap/>
            <w:hideMark/>
          </w:tcPr>
          <w:p w14:paraId="0324D2A0" w14:textId="77777777" w:rsidR="002934A6" w:rsidRPr="0093030B" w:rsidRDefault="002934A6" w:rsidP="002934A6">
            <w:pPr>
              <w:pStyle w:val="TableText"/>
              <w:ind w:left="49"/>
              <w:rPr>
                <w:b/>
                <w:lang w:eastAsia="en-AU"/>
              </w:rPr>
            </w:pPr>
            <w:r w:rsidRPr="0093030B">
              <w:rPr>
                <w:b/>
                <w:lang w:eastAsia="en-AU"/>
              </w:rPr>
              <w:t>TOTAL</w:t>
            </w:r>
          </w:p>
        </w:tc>
        <w:tc>
          <w:tcPr>
            <w:tcW w:w="1012" w:type="dxa"/>
            <w:tcBorders>
              <w:top w:val="nil"/>
              <w:left w:val="nil"/>
              <w:bottom w:val="single" w:sz="4" w:space="0" w:color="auto"/>
              <w:right w:val="single" w:sz="4" w:space="0" w:color="auto"/>
            </w:tcBorders>
          </w:tcPr>
          <w:p w14:paraId="36B0FA7D" w14:textId="0A0CB395" w:rsidR="002934A6" w:rsidRDefault="002934A6" w:rsidP="002934A6">
            <w:pPr>
              <w:jc w:val="right"/>
              <w:rPr>
                <w:rFonts w:cs="Arial"/>
                <w:b/>
                <w:bCs/>
              </w:rPr>
            </w:pPr>
            <w:r>
              <w:rPr>
                <w:rFonts w:cs="Arial"/>
                <w:b/>
                <w:bCs/>
              </w:rPr>
              <w:t>1221</w:t>
            </w:r>
          </w:p>
        </w:tc>
        <w:tc>
          <w:tcPr>
            <w:tcW w:w="1012" w:type="dxa"/>
            <w:tcBorders>
              <w:top w:val="nil"/>
              <w:left w:val="nil"/>
              <w:bottom w:val="single" w:sz="4" w:space="0" w:color="auto"/>
              <w:right w:val="single" w:sz="4" w:space="0" w:color="auto"/>
            </w:tcBorders>
          </w:tcPr>
          <w:p w14:paraId="3E864BA4" w14:textId="78F639C6" w:rsidR="002934A6" w:rsidRDefault="002934A6" w:rsidP="002934A6">
            <w:pPr>
              <w:jc w:val="right"/>
              <w:rPr>
                <w:rFonts w:cs="Arial"/>
                <w:b/>
                <w:bCs/>
              </w:rPr>
            </w:pPr>
            <w:r>
              <w:rPr>
                <w:rFonts w:cs="Arial"/>
                <w:b/>
                <w:bCs/>
              </w:rPr>
              <w:t>837</w:t>
            </w:r>
          </w:p>
        </w:tc>
        <w:tc>
          <w:tcPr>
            <w:tcW w:w="1012" w:type="dxa"/>
            <w:tcBorders>
              <w:top w:val="nil"/>
              <w:left w:val="nil"/>
              <w:bottom w:val="single" w:sz="4" w:space="0" w:color="auto"/>
              <w:right w:val="single" w:sz="4" w:space="0" w:color="auto"/>
            </w:tcBorders>
          </w:tcPr>
          <w:p w14:paraId="4110AA8B" w14:textId="1617F765" w:rsidR="002934A6" w:rsidRDefault="002934A6" w:rsidP="002934A6">
            <w:pPr>
              <w:jc w:val="right"/>
              <w:rPr>
                <w:rFonts w:cs="Arial"/>
                <w:b/>
                <w:bCs/>
              </w:rPr>
            </w:pPr>
            <w:r>
              <w:rPr>
                <w:rFonts w:cs="Arial"/>
                <w:b/>
                <w:bCs/>
              </w:rPr>
              <w:t>1181</w:t>
            </w:r>
          </w:p>
        </w:tc>
        <w:tc>
          <w:tcPr>
            <w:tcW w:w="1012" w:type="dxa"/>
            <w:tcBorders>
              <w:top w:val="nil"/>
              <w:left w:val="nil"/>
              <w:bottom w:val="single" w:sz="4" w:space="0" w:color="auto"/>
              <w:right w:val="single" w:sz="4" w:space="0" w:color="auto"/>
            </w:tcBorders>
            <w:vAlign w:val="bottom"/>
          </w:tcPr>
          <w:p w14:paraId="376B79C7" w14:textId="6D2DA19B" w:rsidR="002934A6" w:rsidRDefault="002934A6" w:rsidP="002934A6">
            <w:pPr>
              <w:jc w:val="right"/>
              <w:rPr>
                <w:rFonts w:cs="Arial"/>
                <w:b/>
                <w:bCs/>
              </w:rPr>
            </w:pPr>
            <w:r w:rsidRPr="005D5FC8">
              <w:rPr>
                <w:rFonts w:cs="Arial"/>
                <w:b/>
                <w:bCs/>
              </w:rPr>
              <w:t>1125</w:t>
            </w:r>
          </w:p>
        </w:tc>
        <w:tc>
          <w:tcPr>
            <w:tcW w:w="1012" w:type="dxa"/>
            <w:tcBorders>
              <w:top w:val="nil"/>
              <w:left w:val="nil"/>
              <w:bottom w:val="single" w:sz="4" w:space="0" w:color="auto"/>
              <w:right w:val="single" w:sz="4" w:space="0" w:color="auto"/>
            </w:tcBorders>
          </w:tcPr>
          <w:p w14:paraId="312B949F" w14:textId="59C42AFF" w:rsidR="002934A6" w:rsidRPr="005D5FC8" w:rsidRDefault="002934A6" w:rsidP="002934A6">
            <w:pPr>
              <w:jc w:val="right"/>
              <w:rPr>
                <w:rFonts w:cs="Arial"/>
                <w:b/>
                <w:bCs/>
              </w:rPr>
            </w:pPr>
            <w:r>
              <w:rPr>
                <w:rFonts w:cs="Arial"/>
                <w:b/>
                <w:bCs/>
              </w:rPr>
              <w:t>1059</w:t>
            </w:r>
          </w:p>
        </w:tc>
      </w:tr>
    </w:tbl>
    <w:p w14:paraId="197B16D5" w14:textId="77777777" w:rsidR="002934A6" w:rsidRDefault="002934A6" w:rsidP="002934A6">
      <w:pPr>
        <w:ind w:left="-142" w:right="-425"/>
        <w:jc w:val="both"/>
        <w:rPr>
          <w:rFonts w:cs="Arial"/>
        </w:rPr>
      </w:pPr>
    </w:p>
    <w:p w14:paraId="6B7E9BDC" w14:textId="6FF32AED" w:rsidR="005A5B78" w:rsidRDefault="007E65A1" w:rsidP="005A5B78">
      <w:pPr>
        <w:ind w:left="-142" w:right="-425"/>
        <w:jc w:val="both"/>
        <w:rPr>
          <w:rFonts w:cs="Arial"/>
        </w:rPr>
      </w:pPr>
      <w:r>
        <w:rPr>
          <w:rFonts w:cs="Arial"/>
        </w:rPr>
        <w:t xml:space="preserve">For quarter </w:t>
      </w:r>
      <w:r w:rsidR="005D211C">
        <w:rPr>
          <w:rFonts w:cs="Arial"/>
        </w:rPr>
        <w:t>51</w:t>
      </w:r>
      <w:r w:rsidR="00D4333F">
        <w:rPr>
          <w:rFonts w:cs="Arial"/>
        </w:rPr>
        <w:t>,</w:t>
      </w:r>
      <w:r>
        <w:rPr>
          <w:rFonts w:cs="Arial"/>
        </w:rPr>
        <w:t xml:space="preserve"> </w:t>
      </w:r>
      <w:r w:rsidR="00746265">
        <w:rPr>
          <w:rFonts w:cs="Arial"/>
        </w:rPr>
        <w:t>41</w:t>
      </w:r>
      <w:r w:rsidR="005A5B78" w:rsidRPr="004A208F">
        <w:rPr>
          <w:rFonts w:cs="Arial"/>
        </w:rPr>
        <w:t xml:space="preserve"> percent</w:t>
      </w:r>
      <w:bookmarkStart w:id="13" w:name="_Ref74753346"/>
      <w:r w:rsidR="00AF4062">
        <w:rPr>
          <w:rStyle w:val="FootnoteReference"/>
        </w:rPr>
        <w:footnoteReference w:id="13"/>
      </w:r>
      <w:bookmarkEnd w:id="13"/>
      <w:r w:rsidR="00AF4062">
        <w:rPr>
          <w:rFonts w:cs="Arial"/>
        </w:rPr>
        <w:t xml:space="preserve"> </w:t>
      </w:r>
      <w:r w:rsidR="005A5B78" w:rsidRPr="004A208F">
        <w:rPr>
          <w:rFonts w:cs="Arial"/>
        </w:rPr>
        <w:t xml:space="preserve">of clients received more than one notice </w:t>
      </w:r>
      <w:r w:rsidR="00200679">
        <w:rPr>
          <w:rFonts w:cs="Arial"/>
        </w:rPr>
        <w:t>and</w:t>
      </w:r>
      <w:r w:rsidR="005A5B78" w:rsidRPr="004A208F">
        <w:rPr>
          <w:rFonts w:cs="Arial"/>
        </w:rPr>
        <w:t xml:space="preserve"> </w:t>
      </w:r>
      <w:r w:rsidR="00746265">
        <w:rPr>
          <w:rFonts w:cs="Arial"/>
        </w:rPr>
        <w:t>3</w:t>
      </w:r>
      <w:r w:rsidR="005A5B78" w:rsidRPr="004A208F">
        <w:rPr>
          <w:rFonts w:cs="Arial"/>
        </w:rPr>
        <w:t xml:space="preserve"> percent</w:t>
      </w:r>
      <w:r w:rsidR="00820CBE" w:rsidRPr="00820CBE">
        <w:rPr>
          <w:rFonts w:cs="Arial"/>
          <w:vertAlign w:val="superscript"/>
        </w:rPr>
        <w:fldChar w:fldCharType="begin"/>
      </w:r>
      <w:r w:rsidR="00820CBE" w:rsidRPr="00820CBE">
        <w:rPr>
          <w:rFonts w:cs="Arial"/>
          <w:vertAlign w:val="superscript"/>
        </w:rPr>
        <w:instrText xml:space="preserve"> NOTEREF _Ref74753346 \h  \* MERGEFORMAT </w:instrText>
      </w:r>
      <w:r w:rsidR="00820CBE" w:rsidRPr="00820CBE">
        <w:rPr>
          <w:rFonts w:cs="Arial"/>
          <w:vertAlign w:val="superscript"/>
        </w:rPr>
      </w:r>
      <w:r w:rsidR="00820CBE" w:rsidRPr="00820CBE">
        <w:rPr>
          <w:rFonts w:cs="Arial"/>
          <w:vertAlign w:val="superscript"/>
        </w:rPr>
        <w:fldChar w:fldCharType="separate"/>
      </w:r>
      <w:r w:rsidR="001934B3">
        <w:rPr>
          <w:rFonts w:cs="Arial"/>
          <w:vertAlign w:val="superscript"/>
        </w:rPr>
        <w:t>12</w:t>
      </w:r>
      <w:r w:rsidR="00820CBE" w:rsidRPr="00820CBE">
        <w:rPr>
          <w:rFonts w:cs="Arial"/>
          <w:vertAlign w:val="superscript"/>
        </w:rPr>
        <w:fldChar w:fldCharType="end"/>
      </w:r>
      <w:r w:rsidR="005A5B78" w:rsidRPr="004A208F">
        <w:rPr>
          <w:rFonts w:cs="Arial"/>
        </w:rPr>
        <w:t xml:space="preserve"> of clients receiv</w:t>
      </w:r>
      <w:r w:rsidR="00200679">
        <w:rPr>
          <w:rFonts w:cs="Arial"/>
        </w:rPr>
        <w:t>ed</w:t>
      </w:r>
      <w:r w:rsidR="005A5B78" w:rsidRPr="004A208F">
        <w:rPr>
          <w:rFonts w:cs="Arial"/>
        </w:rPr>
        <w:t xml:space="preserve"> more than five </w:t>
      </w:r>
      <w:r w:rsidR="008D6624" w:rsidRPr="004A208F">
        <w:rPr>
          <w:rFonts w:cs="Arial"/>
        </w:rPr>
        <w:t xml:space="preserve">notices. </w:t>
      </w:r>
      <w:r w:rsidR="005A5B78" w:rsidRPr="004A208F">
        <w:rPr>
          <w:rFonts w:cs="Arial"/>
        </w:rPr>
        <w:t>Frequently this illustrates multiple child school absences for the one family</w:t>
      </w:r>
      <w:r w:rsidR="00C84E0D" w:rsidRPr="004A208F">
        <w:rPr>
          <w:rFonts w:cs="Arial"/>
        </w:rPr>
        <w:t>,</w:t>
      </w:r>
      <w:r w:rsidR="005A5B78" w:rsidRPr="004A208F">
        <w:rPr>
          <w:rFonts w:cs="Arial"/>
        </w:rPr>
        <w:t xml:space="preserve"> or multiple Magistrates Court notices relating to one incident</w:t>
      </w:r>
      <w:r w:rsidR="008D6624" w:rsidRPr="004A208F">
        <w:rPr>
          <w:rFonts w:cs="Arial"/>
        </w:rPr>
        <w:t xml:space="preserve">. </w:t>
      </w:r>
      <w:r w:rsidR="0002417B">
        <w:rPr>
          <w:rFonts w:cs="Arial"/>
        </w:rPr>
        <w:t xml:space="preserve">This may also be suggestive of the complexity of behaviours experienced by a significant proportion of our clients. </w:t>
      </w:r>
      <w:r w:rsidR="0002417B" w:rsidRPr="004A208F">
        <w:rPr>
          <w:rFonts w:cs="Arial"/>
        </w:rPr>
        <w:t xml:space="preserve">Conversely, </w:t>
      </w:r>
      <w:r w:rsidR="0002417B">
        <w:rPr>
          <w:rFonts w:cs="Arial"/>
        </w:rPr>
        <w:t>it is important to note the majority of FRC clients (</w:t>
      </w:r>
      <w:r w:rsidR="00B16B87">
        <w:rPr>
          <w:rFonts w:cs="Arial"/>
        </w:rPr>
        <w:t>5</w:t>
      </w:r>
      <w:r w:rsidR="007F13E9">
        <w:rPr>
          <w:rFonts w:cs="Arial"/>
        </w:rPr>
        <w:t>9</w:t>
      </w:r>
      <w:r w:rsidR="0002417B" w:rsidRPr="004A208F">
        <w:rPr>
          <w:rFonts w:cs="Arial"/>
        </w:rPr>
        <w:t xml:space="preserve"> percent</w:t>
      </w:r>
      <w:r w:rsidR="00820CBE" w:rsidRPr="00820CBE">
        <w:rPr>
          <w:rFonts w:cs="Arial"/>
          <w:vertAlign w:val="superscript"/>
        </w:rPr>
        <w:fldChar w:fldCharType="begin"/>
      </w:r>
      <w:r w:rsidR="00820CBE" w:rsidRPr="00820CBE">
        <w:rPr>
          <w:rFonts w:cs="Arial"/>
          <w:vertAlign w:val="superscript"/>
        </w:rPr>
        <w:instrText xml:space="preserve"> NOTEREF _Ref74753346 \h  \* MERGEFORMAT </w:instrText>
      </w:r>
      <w:r w:rsidR="00820CBE" w:rsidRPr="00820CBE">
        <w:rPr>
          <w:rFonts w:cs="Arial"/>
          <w:vertAlign w:val="superscript"/>
        </w:rPr>
      </w:r>
      <w:r w:rsidR="00820CBE" w:rsidRPr="00820CBE">
        <w:rPr>
          <w:rFonts w:cs="Arial"/>
          <w:vertAlign w:val="superscript"/>
        </w:rPr>
        <w:fldChar w:fldCharType="separate"/>
      </w:r>
      <w:r w:rsidR="001934B3">
        <w:rPr>
          <w:rFonts w:cs="Arial"/>
          <w:vertAlign w:val="superscript"/>
        </w:rPr>
        <w:t>12</w:t>
      </w:r>
      <w:r w:rsidR="00820CBE" w:rsidRPr="00820CBE">
        <w:rPr>
          <w:rFonts w:cs="Arial"/>
          <w:vertAlign w:val="superscript"/>
        </w:rPr>
        <w:fldChar w:fldCharType="end"/>
      </w:r>
      <w:r w:rsidR="0002417B">
        <w:rPr>
          <w:rFonts w:cs="Arial"/>
        </w:rPr>
        <w:t>)</w:t>
      </w:r>
      <w:r w:rsidR="0002417B" w:rsidRPr="004A208F">
        <w:rPr>
          <w:rFonts w:cs="Arial"/>
        </w:rPr>
        <w:t xml:space="preserve"> have received only one notice</w:t>
      </w:r>
      <w:r w:rsidR="0002417B">
        <w:rPr>
          <w:rFonts w:cs="Arial"/>
        </w:rPr>
        <w:t xml:space="preserve"> during the reporting period. This trend has been observed over the past twelve months. </w:t>
      </w:r>
      <w:r w:rsidR="00ED260B">
        <w:rPr>
          <w:rFonts w:cs="Arial"/>
        </w:rPr>
        <w:t>Thirty-six</w:t>
      </w:r>
      <w:r w:rsidR="00EB54BF" w:rsidRPr="00626560">
        <w:rPr>
          <w:rFonts w:cs="Arial"/>
        </w:rPr>
        <w:t xml:space="preserve"> </w:t>
      </w:r>
      <w:r w:rsidR="00CA73A5" w:rsidRPr="00626560">
        <w:rPr>
          <w:rFonts w:cs="Arial"/>
        </w:rPr>
        <w:t>new</w:t>
      </w:r>
      <w:r w:rsidR="00CA73A5">
        <w:rPr>
          <w:rFonts w:cs="Arial"/>
        </w:rPr>
        <w:t xml:space="preserve"> clients were added to the Commission’s database during the quarter.</w:t>
      </w:r>
    </w:p>
    <w:p w14:paraId="4A179C19" w14:textId="77777777" w:rsidR="00E66A2E" w:rsidRDefault="00E66A2E" w:rsidP="005A5B78">
      <w:pPr>
        <w:ind w:left="-142" w:right="-425"/>
        <w:jc w:val="both"/>
        <w:rPr>
          <w:rFonts w:cs="Arial"/>
        </w:rPr>
      </w:pPr>
    </w:p>
    <w:p w14:paraId="7B8D6B3E" w14:textId="094985D3" w:rsidR="002934A6" w:rsidRPr="00D925BE" w:rsidRDefault="002934A6" w:rsidP="002934A6">
      <w:pPr>
        <w:spacing w:after="120" w:line="240" w:lineRule="auto"/>
        <w:ind w:right="-425"/>
        <w:jc w:val="both"/>
        <w:rPr>
          <w:b/>
          <w:sz w:val="16"/>
          <w:szCs w:val="16"/>
        </w:rPr>
      </w:pPr>
      <w:r w:rsidRPr="00362EE1">
        <w:rPr>
          <w:b/>
          <w:sz w:val="16"/>
          <w:szCs w:val="16"/>
        </w:rPr>
        <w:t xml:space="preserve">Table </w:t>
      </w:r>
      <w:r>
        <w:rPr>
          <w:b/>
          <w:sz w:val="16"/>
          <w:szCs w:val="16"/>
        </w:rPr>
        <w:t>11</w:t>
      </w:r>
      <w:r w:rsidRPr="00362EE1">
        <w:rPr>
          <w:b/>
          <w:sz w:val="16"/>
          <w:szCs w:val="16"/>
        </w:rPr>
        <w:t xml:space="preserve">: </w:t>
      </w:r>
      <w:r w:rsidRPr="00362EE1">
        <w:rPr>
          <w:sz w:val="16"/>
          <w:szCs w:val="16"/>
        </w:rPr>
        <w:t>FRC clients by numb</w:t>
      </w:r>
      <w:r>
        <w:rPr>
          <w:sz w:val="16"/>
          <w:szCs w:val="16"/>
        </w:rPr>
        <w:t>er of notices 1 January 2021 to 31 March 202</w:t>
      </w:r>
      <w:r w:rsidR="00461495">
        <w:rPr>
          <w:sz w:val="16"/>
          <w:szCs w:val="16"/>
        </w:rPr>
        <w:t>1</w:t>
      </w:r>
      <w:r w:rsidRPr="00362EE1">
        <w:rPr>
          <w:sz w:val="16"/>
          <w:szCs w:val="16"/>
        </w:rPr>
        <w:t>.</w:t>
      </w:r>
    </w:p>
    <w:tbl>
      <w:tblPr>
        <w:tblW w:w="4693" w:type="dxa"/>
        <w:tblInd w:w="93" w:type="dxa"/>
        <w:tblLook w:val="04A0" w:firstRow="1" w:lastRow="0" w:firstColumn="1" w:lastColumn="0" w:noHBand="0" w:noVBand="1"/>
      </w:tblPr>
      <w:tblGrid>
        <w:gridCol w:w="3220"/>
        <w:gridCol w:w="1473"/>
      </w:tblGrid>
      <w:tr w:rsidR="002934A6" w:rsidRPr="006E764C" w14:paraId="4B629AB8" w14:textId="77777777" w:rsidTr="003453AD">
        <w:trPr>
          <w:trHeight w:val="510"/>
        </w:trPr>
        <w:tc>
          <w:tcPr>
            <w:tcW w:w="3220" w:type="dxa"/>
            <w:tcBorders>
              <w:top w:val="single" w:sz="4" w:space="0" w:color="auto"/>
              <w:left w:val="single" w:sz="4" w:space="0" w:color="auto"/>
              <w:bottom w:val="single" w:sz="4" w:space="0" w:color="auto"/>
              <w:right w:val="single" w:sz="4" w:space="0" w:color="auto"/>
            </w:tcBorders>
            <w:noWrap/>
            <w:hideMark/>
          </w:tcPr>
          <w:p w14:paraId="7B5832A4" w14:textId="77777777" w:rsidR="002934A6" w:rsidRPr="0093030B" w:rsidRDefault="002934A6" w:rsidP="003453AD">
            <w:pPr>
              <w:pStyle w:val="TableText"/>
              <w:jc w:val="center"/>
              <w:rPr>
                <w:b/>
                <w:lang w:eastAsia="en-AU"/>
              </w:rPr>
            </w:pPr>
            <w:r w:rsidRPr="0093030B">
              <w:rPr>
                <w:b/>
                <w:lang w:eastAsia="en-AU"/>
              </w:rPr>
              <w:t>Number of Notices Received</w:t>
            </w:r>
          </w:p>
        </w:tc>
        <w:tc>
          <w:tcPr>
            <w:tcW w:w="1473" w:type="dxa"/>
            <w:tcBorders>
              <w:top w:val="single" w:sz="4" w:space="0" w:color="auto"/>
              <w:left w:val="nil"/>
              <w:bottom w:val="single" w:sz="4" w:space="0" w:color="auto"/>
              <w:right w:val="single" w:sz="4" w:space="0" w:color="auto"/>
            </w:tcBorders>
            <w:hideMark/>
          </w:tcPr>
          <w:p w14:paraId="019BA702" w14:textId="77777777" w:rsidR="002934A6" w:rsidRPr="0093030B" w:rsidRDefault="002934A6" w:rsidP="003453AD">
            <w:pPr>
              <w:pStyle w:val="TableText"/>
              <w:rPr>
                <w:b/>
                <w:lang w:eastAsia="en-AU"/>
              </w:rPr>
            </w:pPr>
            <w:r w:rsidRPr="0093030B">
              <w:rPr>
                <w:b/>
                <w:lang w:eastAsia="en-AU"/>
              </w:rPr>
              <w:t>Number of Clients</w:t>
            </w:r>
          </w:p>
        </w:tc>
      </w:tr>
      <w:tr w:rsidR="002934A6" w:rsidRPr="006E764C" w14:paraId="1CDA1339" w14:textId="77777777" w:rsidTr="003453AD">
        <w:trPr>
          <w:trHeight w:val="255"/>
        </w:trPr>
        <w:tc>
          <w:tcPr>
            <w:tcW w:w="3220" w:type="dxa"/>
            <w:tcBorders>
              <w:top w:val="nil"/>
              <w:left w:val="single" w:sz="4" w:space="0" w:color="auto"/>
              <w:bottom w:val="single" w:sz="4" w:space="0" w:color="auto"/>
              <w:right w:val="single" w:sz="4" w:space="0" w:color="auto"/>
            </w:tcBorders>
            <w:noWrap/>
            <w:hideMark/>
          </w:tcPr>
          <w:p w14:paraId="20D65804" w14:textId="77777777" w:rsidR="002934A6" w:rsidRPr="006E764C" w:rsidRDefault="002934A6" w:rsidP="003453AD">
            <w:pPr>
              <w:pStyle w:val="TableText"/>
              <w:jc w:val="center"/>
              <w:rPr>
                <w:lang w:eastAsia="en-AU"/>
              </w:rPr>
            </w:pPr>
            <w:r w:rsidRPr="006E764C">
              <w:rPr>
                <w:lang w:eastAsia="en-AU"/>
              </w:rPr>
              <w:t>1</w:t>
            </w:r>
          </w:p>
        </w:tc>
        <w:tc>
          <w:tcPr>
            <w:tcW w:w="1473" w:type="dxa"/>
            <w:tcBorders>
              <w:top w:val="nil"/>
              <w:left w:val="nil"/>
              <w:bottom w:val="single" w:sz="4" w:space="0" w:color="auto"/>
              <w:right w:val="single" w:sz="4" w:space="0" w:color="auto"/>
            </w:tcBorders>
            <w:vAlign w:val="bottom"/>
          </w:tcPr>
          <w:p w14:paraId="59FB6838" w14:textId="30EAEF2A" w:rsidR="002934A6" w:rsidRPr="00F85ADD" w:rsidRDefault="00DC4D5F" w:rsidP="003453AD">
            <w:pPr>
              <w:jc w:val="right"/>
              <w:rPr>
                <w:rFonts w:cs="Arial"/>
              </w:rPr>
            </w:pPr>
            <w:r>
              <w:rPr>
                <w:rFonts w:cs="Arial"/>
              </w:rPr>
              <w:t>346</w:t>
            </w:r>
          </w:p>
        </w:tc>
      </w:tr>
      <w:tr w:rsidR="002934A6" w:rsidRPr="006E764C" w14:paraId="45DF95E0" w14:textId="77777777" w:rsidTr="003453AD">
        <w:trPr>
          <w:trHeight w:val="255"/>
        </w:trPr>
        <w:tc>
          <w:tcPr>
            <w:tcW w:w="3220" w:type="dxa"/>
            <w:tcBorders>
              <w:top w:val="nil"/>
              <w:left w:val="single" w:sz="4" w:space="0" w:color="auto"/>
              <w:bottom w:val="single" w:sz="4" w:space="0" w:color="auto"/>
              <w:right w:val="single" w:sz="4" w:space="0" w:color="auto"/>
            </w:tcBorders>
            <w:noWrap/>
            <w:hideMark/>
          </w:tcPr>
          <w:p w14:paraId="7520343E" w14:textId="77777777" w:rsidR="002934A6" w:rsidRPr="006E764C" w:rsidRDefault="002934A6" w:rsidP="003453AD">
            <w:pPr>
              <w:pStyle w:val="TableText"/>
              <w:jc w:val="center"/>
              <w:rPr>
                <w:lang w:eastAsia="en-AU"/>
              </w:rPr>
            </w:pPr>
            <w:r w:rsidRPr="006E764C">
              <w:rPr>
                <w:lang w:eastAsia="en-AU"/>
              </w:rPr>
              <w:t>2</w:t>
            </w:r>
          </w:p>
        </w:tc>
        <w:tc>
          <w:tcPr>
            <w:tcW w:w="1473" w:type="dxa"/>
            <w:tcBorders>
              <w:top w:val="nil"/>
              <w:left w:val="nil"/>
              <w:bottom w:val="single" w:sz="4" w:space="0" w:color="auto"/>
              <w:right w:val="single" w:sz="4" w:space="0" w:color="auto"/>
            </w:tcBorders>
            <w:vAlign w:val="bottom"/>
          </w:tcPr>
          <w:p w14:paraId="6F8113C0" w14:textId="4331F206" w:rsidR="002934A6" w:rsidRPr="00F85ADD" w:rsidRDefault="00DC4D5F" w:rsidP="003453AD">
            <w:pPr>
              <w:jc w:val="right"/>
              <w:rPr>
                <w:rFonts w:cs="Arial"/>
              </w:rPr>
            </w:pPr>
            <w:r>
              <w:rPr>
                <w:rFonts w:cs="Arial"/>
              </w:rPr>
              <w:t>138</w:t>
            </w:r>
          </w:p>
        </w:tc>
      </w:tr>
      <w:tr w:rsidR="002934A6" w:rsidRPr="006E764C" w14:paraId="663C27CD" w14:textId="77777777" w:rsidTr="003453AD">
        <w:trPr>
          <w:trHeight w:val="255"/>
        </w:trPr>
        <w:tc>
          <w:tcPr>
            <w:tcW w:w="3220" w:type="dxa"/>
            <w:tcBorders>
              <w:top w:val="nil"/>
              <w:left w:val="single" w:sz="4" w:space="0" w:color="auto"/>
              <w:bottom w:val="single" w:sz="4" w:space="0" w:color="auto"/>
              <w:right w:val="single" w:sz="4" w:space="0" w:color="auto"/>
            </w:tcBorders>
            <w:noWrap/>
            <w:hideMark/>
          </w:tcPr>
          <w:p w14:paraId="2D858639" w14:textId="77777777" w:rsidR="002934A6" w:rsidRPr="006E764C" w:rsidRDefault="002934A6" w:rsidP="003453AD">
            <w:pPr>
              <w:pStyle w:val="TableText"/>
              <w:jc w:val="center"/>
              <w:rPr>
                <w:lang w:eastAsia="en-AU"/>
              </w:rPr>
            </w:pPr>
            <w:r w:rsidRPr="006E764C">
              <w:rPr>
                <w:lang w:eastAsia="en-AU"/>
              </w:rPr>
              <w:t>3</w:t>
            </w:r>
          </w:p>
        </w:tc>
        <w:tc>
          <w:tcPr>
            <w:tcW w:w="1473" w:type="dxa"/>
            <w:tcBorders>
              <w:top w:val="nil"/>
              <w:left w:val="nil"/>
              <w:bottom w:val="single" w:sz="4" w:space="0" w:color="auto"/>
              <w:right w:val="single" w:sz="4" w:space="0" w:color="auto"/>
            </w:tcBorders>
            <w:vAlign w:val="bottom"/>
          </w:tcPr>
          <w:p w14:paraId="767AF5FF" w14:textId="0D185B3F" w:rsidR="002934A6" w:rsidRPr="00F85ADD" w:rsidRDefault="00DC4D5F" w:rsidP="003453AD">
            <w:pPr>
              <w:jc w:val="right"/>
              <w:rPr>
                <w:rFonts w:cs="Arial"/>
              </w:rPr>
            </w:pPr>
            <w:r>
              <w:rPr>
                <w:rFonts w:cs="Arial"/>
              </w:rPr>
              <w:t>60</w:t>
            </w:r>
          </w:p>
        </w:tc>
      </w:tr>
      <w:tr w:rsidR="002934A6" w:rsidRPr="006E764C" w14:paraId="27AAA94D" w14:textId="77777777" w:rsidTr="003453AD">
        <w:trPr>
          <w:trHeight w:val="255"/>
        </w:trPr>
        <w:tc>
          <w:tcPr>
            <w:tcW w:w="3220" w:type="dxa"/>
            <w:tcBorders>
              <w:top w:val="nil"/>
              <w:left w:val="single" w:sz="4" w:space="0" w:color="auto"/>
              <w:bottom w:val="single" w:sz="4" w:space="0" w:color="auto"/>
              <w:right w:val="single" w:sz="4" w:space="0" w:color="auto"/>
            </w:tcBorders>
            <w:noWrap/>
            <w:hideMark/>
          </w:tcPr>
          <w:p w14:paraId="2CCFE088" w14:textId="77777777" w:rsidR="002934A6" w:rsidRPr="006E764C" w:rsidRDefault="002934A6" w:rsidP="003453AD">
            <w:pPr>
              <w:pStyle w:val="TableText"/>
              <w:jc w:val="center"/>
              <w:rPr>
                <w:lang w:eastAsia="en-AU"/>
              </w:rPr>
            </w:pPr>
            <w:r w:rsidRPr="006E764C">
              <w:rPr>
                <w:lang w:eastAsia="en-AU"/>
              </w:rPr>
              <w:t>4</w:t>
            </w:r>
          </w:p>
        </w:tc>
        <w:tc>
          <w:tcPr>
            <w:tcW w:w="1473" w:type="dxa"/>
            <w:tcBorders>
              <w:top w:val="nil"/>
              <w:left w:val="nil"/>
              <w:bottom w:val="single" w:sz="4" w:space="0" w:color="auto"/>
              <w:right w:val="single" w:sz="4" w:space="0" w:color="auto"/>
            </w:tcBorders>
            <w:vAlign w:val="bottom"/>
          </w:tcPr>
          <w:p w14:paraId="3DE57AF4" w14:textId="36FD718C" w:rsidR="002934A6" w:rsidRPr="00F85ADD" w:rsidRDefault="00DC4D5F" w:rsidP="003453AD">
            <w:pPr>
              <w:jc w:val="right"/>
              <w:rPr>
                <w:rFonts w:cs="Arial"/>
              </w:rPr>
            </w:pPr>
            <w:r>
              <w:rPr>
                <w:rFonts w:cs="Arial"/>
              </w:rPr>
              <w:t>16</w:t>
            </w:r>
          </w:p>
        </w:tc>
      </w:tr>
      <w:tr w:rsidR="002934A6" w:rsidRPr="006E764C" w14:paraId="50D3CE18" w14:textId="77777777" w:rsidTr="003453AD">
        <w:trPr>
          <w:trHeight w:val="255"/>
        </w:trPr>
        <w:tc>
          <w:tcPr>
            <w:tcW w:w="3220" w:type="dxa"/>
            <w:tcBorders>
              <w:top w:val="nil"/>
              <w:left w:val="single" w:sz="4" w:space="0" w:color="auto"/>
              <w:bottom w:val="single" w:sz="4" w:space="0" w:color="auto"/>
              <w:right w:val="single" w:sz="4" w:space="0" w:color="auto"/>
            </w:tcBorders>
            <w:noWrap/>
            <w:hideMark/>
          </w:tcPr>
          <w:p w14:paraId="592DAD76" w14:textId="77777777" w:rsidR="002934A6" w:rsidRPr="006E764C" w:rsidRDefault="002934A6" w:rsidP="003453AD">
            <w:pPr>
              <w:pStyle w:val="TableText"/>
              <w:jc w:val="center"/>
              <w:rPr>
                <w:lang w:eastAsia="en-AU"/>
              </w:rPr>
            </w:pPr>
            <w:r w:rsidRPr="006E764C">
              <w:rPr>
                <w:lang w:eastAsia="en-AU"/>
              </w:rPr>
              <w:t>5</w:t>
            </w:r>
          </w:p>
        </w:tc>
        <w:tc>
          <w:tcPr>
            <w:tcW w:w="1473" w:type="dxa"/>
            <w:tcBorders>
              <w:top w:val="nil"/>
              <w:left w:val="nil"/>
              <w:bottom w:val="single" w:sz="4" w:space="0" w:color="auto"/>
              <w:right w:val="single" w:sz="4" w:space="0" w:color="auto"/>
            </w:tcBorders>
            <w:vAlign w:val="bottom"/>
          </w:tcPr>
          <w:p w14:paraId="48647470" w14:textId="10C52AB3" w:rsidR="002934A6" w:rsidRPr="00F85ADD" w:rsidRDefault="00DC4D5F" w:rsidP="003453AD">
            <w:pPr>
              <w:jc w:val="right"/>
              <w:rPr>
                <w:rFonts w:cs="Arial"/>
              </w:rPr>
            </w:pPr>
            <w:r>
              <w:rPr>
                <w:rFonts w:cs="Arial"/>
              </w:rPr>
              <w:t>8</w:t>
            </w:r>
          </w:p>
        </w:tc>
      </w:tr>
      <w:tr w:rsidR="002934A6" w:rsidRPr="006E764C" w14:paraId="1FCA38B8" w14:textId="77777777" w:rsidTr="003453AD">
        <w:trPr>
          <w:trHeight w:val="255"/>
        </w:trPr>
        <w:tc>
          <w:tcPr>
            <w:tcW w:w="3220" w:type="dxa"/>
            <w:tcBorders>
              <w:top w:val="nil"/>
              <w:left w:val="single" w:sz="4" w:space="0" w:color="auto"/>
              <w:bottom w:val="single" w:sz="4" w:space="0" w:color="auto"/>
              <w:right w:val="single" w:sz="4" w:space="0" w:color="auto"/>
            </w:tcBorders>
            <w:noWrap/>
            <w:hideMark/>
          </w:tcPr>
          <w:p w14:paraId="68964DA7" w14:textId="77777777" w:rsidR="002934A6" w:rsidRPr="006E764C" w:rsidRDefault="002934A6" w:rsidP="003453AD">
            <w:pPr>
              <w:pStyle w:val="TableText"/>
              <w:jc w:val="center"/>
              <w:rPr>
                <w:lang w:eastAsia="en-AU"/>
              </w:rPr>
            </w:pPr>
            <w:r w:rsidRPr="006E764C">
              <w:rPr>
                <w:lang w:eastAsia="en-AU"/>
              </w:rPr>
              <w:t>&gt;5</w:t>
            </w:r>
          </w:p>
        </w:tc>
        <w:tc>
          <w:tcPr>
            <w:tcW w:w="1473" w:type="dxa"/>
            <w:tcBorders>
              <w:top w:val="nil"/>
              <w:left w:val="nil"/>
              <w:bottom w:val="single" w:sz="4" w:space="0" w:color="auto"/>
              <w:right w:val="single" w:sz="4" w:space="0" w:color="auto"/>
            </w:tcBorders>
            <w:vAlign w:val="bottom"/>
          </w:tcPr>
          <w:p w14:paraId="692DDED3" w14:textId="676C2BD1" w:rsidR="002934A6" w:rsidRPr="00F85ADD" w:rsidRDefault="002934A6" w:rsidP="003453AD">
            <w:pPr>
              <w:jc w:val="right"/>
              <w:rPr>
                <w:rFonts w:cs="Arial"/>
              </w:rPr>
            </w:pPr>
            <w:r w:rsidRPr="00F85ADD">
              <w:rPr>
                <w:rFonts w:cs="Arial"/>
              </w:rPr>
              <w:t>1</w:t>
            </w:r>
            <w:r w:rsidR="00DC4D5F">
              <w:rPr>
                <w:rFonts w:cs="Arial"/>
              </w:rPr>
              <w:t>7</w:t>
            </w:r>
          </w:p>
        </w:tc>
      </w:tr>
      <w:tr w:rsidR="002934A6" w:rsidRPr="006E764C" w14:paraId="6921EB07" w14:textId="77777777" w:rsidTr="003453AD">
        <w:trPr>
          <w:trHeight w:val="255"/>
        </w:trPr>
        <w:tc>
          <w:tcPr>
            <w:tcW w:w="3220" w:type="dxa"/>
            <w:tcBorders>
              <w:top w:val="nil"/>
              <w:left w:val="single" w:sz="4" w:space="0" w:color="auto"/>
              <w:bottom w:val="single" w:sz="4" w:space="0" w:color="auto"/>
              <w:right w:val="single" w:sz="4" w:space="0" w:color="auto"/>
            </w:tcBorders>
            <w:noWrap/>
            <w:hideMark/>
          </w:tcPr>
          <w:p w14:paraId="2BEEAC2F" w14:textId="77777777" w:rsidR="002934A6" w:rsidRPr="00645916" w:rsidRDefault="002934A6" w:rsidP="003453AD">
            <w:pPr>
              <w:pStyle w:val="TableText"/>
              <w:jc w:val="center"/>
              <w:rPr>
                <w:b/>
                <w:lang w:eastAsia="en-AU"/>
              </w:rPr>
            </w:pPr>
            <w:r w:rsidRPr="00645916">
              <w:rPr>
                <w:b/>
                <w:lang w:eastAsia="en-AU"/>
              </w:rPr>
              <w:t>TOTAL</w:t>
            </w:r>
          </w:p>
        </w:tc>
        <w:tc>
          <w:tcPr>
            <w:tcW w:w="1473" w:type="dxa"/>
            <w:tcBorders>
              <w:top w:val="nil"/>
              <w:left w:val="nil"/>
              <w:bottom w:val="single" w:sz="4" w:space="0" w:color="auto"/>
              <w:right w:val="single" w:sz="4" w:space="0" w:color="auto"/>
            </w:tcBorders>
            <w:noWrap/>
            <w:vAlign w:val="bottom"/>
          </w:tcPr>
          <w:p w14:paraId="7E504988" w14:textId="224EE148" w:rsidR="002934A6" w:rsidRPr="00F85ADD" w:rsidRDefault="002934A6" w:rsidP="003453AD">
            <w:pPr>
              <w:jc w:val="right"/>
              <w:rPr>
                <w:rFonts w:cs="Arial"/>
                <w:b/>
                <w:bCs/>
              </w:rPr>
            </w:pPr>
            <w:r w:rsidRPr="00F85ADD">
              <w:rPr>
                <w:rFonts w:cs="Arial"/>
                <w:b/>
                <w:bCs/>
              </w:rPr>
              <w:t>5</w:t>
            </w:r>
            <w:r w:rsidR="00DC4D5F">
              <w:rPr>
                <w:rFonts w:cs="Arial"/>
                <w:b/>
                <w:bCs/>
              </w:rPr>
              <w:t>85</w:t>
            </w:r>
          </w:p>
        </w:tc>
      </w:tr>
    </w:tbl>
    <w:p w14:paraId="554258DD" w14:textId="77777777" w:rsidR="002934A6" w:rsidRDefault="002934A6" w:rsidP="002934A6">
      <w:pPr>
        <w:ind w:left="-142" w:right="-425"/>
        <w:jc w:val="both"/>
        <w:rPr>
          <w:rFonts w:cs="Arial"/>
        </w:rPr>
      </w:pPr>
    </w:p>
    <w:p w14:paraId="2DF6FD84" w14:textId="77777777" w:rsidR="002934A6" w:rsidRDefault="002934A6">
      <w:pPr>
        <w:spacing w:line="240" w:lineRule="auto"/>
        <w:rPr>
          <w:rFonts w:cs="Arial"/>
          <w:b/>
          <w:spacing w:val="-4"/>
          <w:kern w:val="28"/>
        </w:rPr>
      </w:pPr>
      <w:r>
        <w:br w:type="page"/>
      </w:r>
    </w:p>
    <w:p w14:paraId="5D53EAA0" w14:textId="67F49B4E" w:rsidR="005A5B78" w:rsidRPr="00076ED0" w:rsidRDefault="005A5B78" w:rsidP="00DB0AEE">
      <w:pPr>
        <w:pStyle w:val="Heading2"/>
      </w:pPr>
      <w:r w:rsidRPr="006E39F0">
        <w:lastRenderedPageBreak/>
        <w:t>Conferences</w:t>
      </w:r>
    </w:p>
    <w:p w14:paraId="775CD6DC" w14:textId="56808180" w:rsidR="00DD1B0A" w:rsidRDefault="00AE1804" w:rsidP="00233EAC">
      <w:pPr>
        <w:ind w:left="-142" w:right="-425"/>
        <w:jc w:val="both"/>
        <w:rPr>
          <w:rFonts w:cs="Arial"/>
        </w:rPr>
      </w:pPr>
      <w:r>
        <w:rPr>
          <w:rFonts w:cs="Arial"/>
        </w:rPr>
        <w:t xml:space="preserve">A total </w:t>
      </w:r>
      <w:r w:rsidR="00562176">
        <w:rPr>
          <w:rFonts w:cs="Arial"/>
        </w:rPr>
        <w:t>number of conferences decreased from 424 in quarter 50 to</w:t>
      </w:r>
      <w:r>
        <w:rPr>
          <w:rFonts w:cs="Arial"/>
        </w:rPr>
        <w:t xml:space="preserve"> </w:t>
      </w:r>
      <w:r w:rsidR="000A603A">
        <w:rPr>
          <w:rFonts w:cs="Arial"/>
        </w:rPr>
        <w:t xml:space="preserve">371 </w:t>
      </w:r>
      <w:r w:rsidR="005A5B78" w:rsidRPr="00213E4C">
        <w:rPr>
          <w:rFonts w:cs="Arial"/>
        </w:rPr>
        <w:t>conferences</w:t>
      </w:r>
      <w:r w:rsidR="005A5B78" w:rsidRPr="0081647B">
        <w:rPr>
          <w:rStyle w:val="FootnoteReference"/>
        </w:rPr>
        <w:footnoteReference w:id="14"/>
      </w:r>
      <w:r w:rsidR="0051235F">
        <w:rPr>
          <w:rFonts w:cs="Arial"/>
        </w:rPr>
        <w:t xml:space="preserve"> </w:t>
      </w:r>
      <w:r w:rsidR="00E44EBF">
        <w:rPr>
          <w:rFonts w:cs="Arial"/>
        </w:rPr>
        <w:t>(</w:t>
      </w:r>
      <w:r w:rsidR="0051235F">
        <w:rPr>
          <w:rFonts w:cs="Arial"/>
        </w:rPr>
        <w:t xml:space="preserve">relating to </w:t>
      </w:r>
      <w:r w:rsidR="00552807">
        <w:rPr>
          <w:rFonts w:cs="Arial"/>
        </w:rPr>
        <w:t xml:space="preserve">303 </w:t>
      </w:r>
      <w:r w:rsidR="0051235F">
        <w:rPr>
          <w:rFonts w:cs="Arial"/>
        </w:rPr>
        <w:t>clients</w:t>
      </w:r>
      <w:r w:rsidR="00FC76B8">
        <w:rPr>
          <w:rFonts w:cs="Arial"/>
        </w:rPr>
        <w:t xml:space="preserve"> </w:t>
      </w:r>
      <w:r w:rsidR="00A8670D">
        <w:rPr>
          <w:rFonts w:cs="Arial"/>
        </w:rPr>
        <w:t>served to attend conference</w:t>
      </w:r>
      <w:r w:rsidR="00E44EBF">
        <w:rPr>
          <w:rFonts w:cs="Arial"/>
        </w:rPr>
        <w:t>)</w:t>
      </w:r>
      <w:r>
        <w:rPr>
          <w:rFonts w:cs="Arial"/>
        </w:rPr>
        <w:t xml:space="preserve"> </w:t>
      </w:r>
      <w:r w:rsidR="005645FD">
        <w:rPr>
          <w:rFonts w:cs="Arial"/>
        </w:rPr>
        <w:t xml:space="preserve">were </w:t>
      </w:r>
      <w:r w:rsidR="005A5B78" w:rsidRPr="0098569F">
        <w:rPr>
          <w:rFonts w:cs="Arial"/>
        </w:rPr>
        <w:t xml:space="preserve">held </w:t>
      </w:r>
      <w:r w:rsidR="005A5B78">
        <w:rPr>
          <w:rFonts w:cs="Arial"/>
        </w:rPr>
        <w:t xml:space="preserve">across the </w:t>
      </w:r>
      <w:r w:rsidR="00041335">
        <w:rPr>
          <w:rFonts w:cs="Arial"/>
        </w:rPr>
        <w:t xml:space="preserve">five </w:t>
      </w:r>
      <w:r w:rsidR="005A5B78">
        <w:rPr>
          <w:rFonts w:cs="Arial"/>
        </w:rPr>
        <w:t xml:space="preserve">communities in </w:t>
      </w:r>
      <w:r w:rsidR="00856C85">
        <w:rPr>
          <w:rFonts w:cs="Arial"/>
        </w:rPr>
        <w:t xml:space="preserve">quarter </w:t>
      </w:r>
      <w:r w:rsidR="005D211C">
        <w:rPr>
          <w:rFonts w:cs="Arial"/>
        </w:rPr>
        <w:t>51</w:t>
      </w:r>
      <w:r w:rsidR="00C84E0D">
        <w:rPr>
          <w:rFonts w:cs="Arial"/>
        </w:rPr>
        <w:t>,</w:t>
      </w:r>
      <w:r w:rsidR="00FD4FC4">
        <w:rPr>
          <w:rFonts w:cs="Arial"/>
        </w:rPr>
        <w:t xml:space="preserve"> </w:t>
      </w:r>
      <w:r w:rsidR="005A5B78" w:rsidRPr="00901D09">
        <w:rPr>
          <w:rFonts w:cs="Arial"/>
        </w:rPr>
        <w:t>result</w:t>
      </w:r>
      <w:r w:rsidR="005A5B78">
        <w:rPr>
          <w:rFonts w:cs="Arial"/>
        </w:rPr>
        <w:t>ing</w:t>
      </w:r>
      <w:r w:rsidR="005A5B78" w:rsidRPr="00901D09">
        <w:rPr>
          <w:rFonts w:cs="Arial"/>
        </w:rPr>
        <w:t xml:space="preserve"> </w:t>
      </w:r>
      <w:r w:rsidR="005A5B78" w:rsidRPr="006220E1">
        <w:rPr>
          <w:rFonts w:cs="Arial"/>
        </w:rPr>
        <w:t>in</w:t>
      </w:r>
      <w:r w:rsidR="0042279A" w:rsidRPr="006220E1">
        <w:rPr>
          <w:rFonts w:cs="Arial"/>
        </w:rPr>
        <w:t xml:space="preserve"> </w:t>
      </w:r>
      <w:r w:rsidR="007A7B71">
        <w:rPr>
          <w:rFonts w:cs="Arial"/>
        </w:rPr>
        <w:t>89</w:t>
      </w:r>
      <w:r w:rsidR="007A7B71" w:rsidRPr="006220E1">
        <w:rPr>
          <w:rFonts w:cs="Arial"/>
        </w:rPr>
        <w:t xml:space="preserve"> </w:t>
      </w:r>
      <w:r w:rsidR="0070023D" w:rsidRPr="006220E1">
        <w:rPr>
          <w:rFonts w:cs="Arial"/>
        </w:rPr>
        <w:t xml:space="preserve">agreements to </w:t>
      </w:r>
      <w:r w:rsidR="007727B0" w:rsidRPr="006220E1">
        <w:rPr>
          <w:rFonts w:cs="Arial"/>
        </w:rPr>
        <w:t>attend community support services</w:t>
      </w:r>
      <w:r w:rsidR="00054E20" w:rsidRPr="006220E1">
        <w:rPr>
          <w:rFonts w:cs="Arial"/>
        </w:rPr>
        <w:t xml:space="preserve">, </w:t>
      </w:r>
      <w:r w:rsidR="007A7B71">
        <w:rPr>
          <w:rFonts w:cs="Arial"/>
        </w:rPr>
        <w:t>21</w:t>
      </w:r>
      <w:r w:rsidR="007A7B71" w:rsidRPr="006220E1">
        <w:rPr>
          <w:rFonts w:cs="Arial"/>
        </w:rPr>
        <w:t xml:space="preserve"> </w:t>
      </w:r>
      <w:r w:rsidR="005A5B78" w:rsidRPr="006220E1">
        <w:rPr>
          <w:rFonts w:cs="Arial"/>
        </w:rPr>
        <w:t>orders to attend community support services</w:t>
      </w:r>
      <w:r w:rsidR="00C8108E" w:rsidRPr="006220E1">
        <w:rPr>
          <w:rFonts w:cs="Arial"/>
        </w:rPr>
        <w:t xml:space="preserve"> </w:t>
      </w:r>
      <w:r w:rsidR="005A5B78" w:rsidRPr="006220E1">
        <w:rPr>
          <w:rFonts w:cs="Arial"/>
        </w:rPr>
        <w:t xml:space="preserve">and </w:t>
      </w:r>
      <w:r w:rsidR="007A7B71">
        <w:rPr>
          <w:rFonts w:cs="Arial"/>
        </w:rPr>
        <w:t>12</w:t>
      </w:r>
      <w:r w:rsidR="007A7B71" w:rsidRPr="006220E1">
        <w:rPr>
          <w:rFonts w:cs="Arial"/>
        </w:rPr>
        <w:t xml:space="preserve"> </w:t>
      </w:r>
      <w:r w:rsidR="00CC68A9">
        <w:rPr>
          <w:rFonts w:cs="Arial"/>
        </w:rPr>
        <w:t xml:space="preserve">new </w:t>
      </w:r>
      <w:r w:rsidR="005A5B78" w:rsidRPr="006220E1">
        <w:rPr>
          <w:rFonts w:cs="Arial"/>
        </w:rPr>
        <w:t>CIM orders</w:t>
      </w:r>
      <w:r w:rsidR="0034344C" w:rsidRPr="006220E1">
        <w:rPr>
          <w:rFonts w:cs="Arial"/>
        </w:rPr>
        <w:t xml:space="preserve"> </w:t>
      </w:r>
      <w:r w:rsidR="00057A8F" w:rsidRPr="006220E1">
        <w:rPr>
          <w:rFonts w:cs="Arial"/>
        </w:rPr>
        <w:t>issued</w:t>
      </w:r>
      <w:r w:rsidR="00D544BC" w:rsidRPr="006220E1">
        <w:rPr>
          <w:rFonts w:cs="Arial"/>
        </w:rPr>
        <w:t xml:space="preserve">. </w:t>
      </w:r>
      <w:r w:rsidR="009E2936" w:rsidRPr="006220E1">
        <w:rPr>
          <w:rFonts w:cs="Arial"/>
        </w:rPr>
        <w:t>When compared to last quarter</w:t>
      </w:r>
      <w:r w:rsidR="000806FF" w:rsidRPr="006220E1">
        <w:rPr>
          <w:rFonts w:cs="Arial"/>
        </w:rPr>
        <w:t xml:space="preserve"> there was</w:t>
      </w:r>
      <w:r w:rsidR="0042279A" w:rsidRPr="006220E1">
        <w:rPr>
          <w:rFonts w:cs="Arial"/>
        </w:rPr>
        <w:t xml:space="preserve"> an increase </w:t>
      </w:r>
      <w:r w:rsidR="00E53D2A" w:rsidRPr="006220E1">
        <w:rPr>
          <w:rFonts w:cs="Arial"/>
        </w:rPr>
        <w:t xml:space="preserve">of </w:t>
      </w:r>
      <w:r w:rsidR="00F172D6">
        <w:rPr>
          <w:rFonts w:cs="Arial"/>
        </w:rPr>
        <w:t xml:space="preserve">30 </w:t>
      </w:r>
      <w:r w:rsidR="007727B0" w:rsidRPr="006220E1">
        <w:rPr>
          <w:rFonts w:cs="Arial"/>
        </w:rPr>
        <w:t>agreements to attend community support services</w:t>
      </w:r>
      <w:r w:rsidR="00F172D6">
        <w:rPr>
          <w:rFonts w:cs="Arial"/>
        </w:rPr>
        <w:t xml:space="preserve">, a decrease </w:t>
      </w:r>
      <w:r w:rsidR="006D359E" w:rsidRPr="006220E1">
        <w:rPr>
          <w:rFonts w:cs="Arial"/>
        </w:rPr>
        <w:t xml:space="preserve">of </w:t>
      </w:r>
      <w:r w:rsidR="00F172D6">
        <w:rPr>
          <w:rFonts w:cs="Arial"/>
        </w:rPr>
        <w:t>42</w:t>
      </w:r>
      <w:r w:rsidR="00F172D6" w:rsidRPr="006220E1">
        <w:rPr>
          <w:rFonts w:cs="Arial"/>
        </w:rPr>
        <w:t xml:space="preserve"> </w:t>
      </w:r>
      <w:r w:rsidR="0034344C" w:rsidRPr="006220E1">
        <w:rPr>
          <w:rFonts w:cs="Arial"/>
        </w:rPr>
        <w:t xml:space="preserve">orders to attend community support services and </w:t>
      </w:r>
      <w:r w:rsidR="00E53D2A" w:rsidRPr="006220E1">
        <w:rPr>
          <w:rFonts w:cs="Arial"/>
        </w:rPr>
        <w:t>a</w:t>
      </w:r>
      <w:r w:rsidR="006D359E" w:rsidRPr="006220E1">
        <w:rPr>
          <w:rFonts w:cs="Arial"/>
        </w:rPr>
        <w:t xml:space="preserve"> decrease of 1</w:t>
      </w:r>
      <w:r w:rsidR="00F172D6">
        <w:rPr>
          <w:rFonts w:cs="Arial"/>
        </w:rPr>
        <w:t>0</w:t>
      </w:r>
      <w:r w:rsidR="006D359E" w:rsidRPr="006220E1">
        <w:rPr>
          <w:rFonts w:cs="Arial"/>
        </w:rPr>
        <w:t xml:space="preserve"> </w:t>
      </w:r>
      <w:r w:rsidR="009E2936" w:rsidRPr="006220E1">
        <w:rPr>
          <w:rFonts w:cs="Arial"/>
        </w:rPr>
        <w:t>CIM order</w:t>
      </w:r>
      <w:r w:rsidR="008E6D71" w:rsidRPr="006220E1">
        <w:rPr>
          <w:rFonts w:cs="Arial"/>
        </w:rPr>
        <w:t>s</w:t>
      </w:r>
      <w:r w:rsidR="00352196" w:rsidRPr="006220E1">
        <w:rPr>
          <w:rFonts w:cs="Arial"/>
        </w:rPr>
        <w:t>.</w:t>
      </w:r>
      <w:r w:rsidR="00352196">
        <w:rPr>
          <w:rFonts w:cs="Arial"/>
        </w:rPr>
        <w:t xml:space="preserve"> </w:t>
      </w:r>
      <w:r w:rsidR="000C4D78">
        <w:rPr>
          <w:rFonts w:cs="Arial"/>
        </w:rPr>
        <w:t>It should be noted</w:t>
      </w:r>
      <w:r w:rsidR="003F3BC6">
        <w:rPr>
          <w:rFonts w:cs="Arial"/>
        </w:rPr>
        <w:t xml:space="preserve"> that a decision by order </w:t>
      </w:r>
      <w:r w:rsidR="00352196">
        <w:rPr>
          <w:rFonts w:cs="Arial"/>
        </w:rPr>
        <w:t xml:space="preserve">in conference </w:t>
      </w:r>
      <w:r w:rsidR="003F3BC6">
        <w:rPr>
          <w:rFonts w:cs="Arial"/>
        </w:rPr>
        <w:t xml:space="preserve">may include </w:t>
      </w:r>
      <w:proofErr w:type="gramStart"/>
      <w:r w:rsidR="00352196">
        <w:rPr>
          <w:rFonts w:cs="Arial"/>
        </w:rPr>
        <w:t>a number of</w:t>
      </w:r>
      <w:proofErr w:type="gramEnd"/>
      <w:r w:rsidR="00352196">
        <w:rPr>
          <w:rFonts w:cs="Arial"/>
        </w:rPr>
        <w:t xml:space="preserve"> outcomes for a client</w:t>
      </w:r>
      <w:r w:rsidR="00D808C5">
        <w:rPr>
          <w:rFonts w:cs="Arial"/>
        </w:rPr>
        <w:t>. F</w:t>
      </w:r>
      <w:r w:rsidR="00352196">
        <w:rPr>
          <w:rFonts w:cs="Arial"/>
        </w:rPr>
        <w:t>or example</w:t>
      </w:r>
      <w:r w:rsidR="00D808C5">
        <w:rPr>
          <w:rFonts w:cs="Arial"/>
        </w:rPr>
        <w:t>,</w:t>
      </w:r>
      <w:r w:rsidR="00352196">
        <w:rPr>
          <w:rFonts w:cs="Arial"/>
        </w:rPr>
        <w:t xml:space="preserve"> </w:t>
      </w:r>
      <w:r w:rsidR="003F3BC6">
        <w:rPr>
          <w:rFonts w:cs="Arial"/>
        </w:rPr>
        <w:t xml:space="preserve">a </w:t>
      </w:r>
      <w:r w:rsidR="00352196">
        <w:rPr>
          <w:rFonts w:cs="Arial"/>
        </w:rPr>
        <w:t xml:space="preserve">client may be placed on a </w:t>
      </w:r>
      <w:r w:rsidR="003F3BC6">
        <w:rPr>
          <w:rFonts w:cs="Arial"/>
        </w:rPr>
        <w:t>case plan and an income management at the same</w:t>
      </w:r>
      <w:r w:rsidR="00352196">
        <w:rPr>
          <w:rFonts w:cs="Arial"/>
        </w:rPr>
        <w:t xml:space="preserve"> </w:t>
      </w:r>
      <w:r w:rsidR="003F3BC6">
        <w:rPr>
          <w:rFonts w:cs="Arial"/>
        </w:rPr>
        <w:t>time</w:t>
      </w:r>
      <w:r w:rsidR="00057A8F">
        <w:rPr>
          <w:rFonts w:cs="Arial"/>
        </w:rPr>
        <w:t xml:space="preserve">. </w:t>
      </w:r>
      <w:r w:rsidR="005645FD">
        <w:rPr>
          <w:rFonts w:cs="Arial"/>
        </w:rPr>
        <w:t xml:space="preserve">Other outcomes </w:t>
      </w:r>
      <w:proofErr w:type="gramStart"/>
      <w:r w:rsidR="005645FD">
        <w:rPr>
          <w:rFonts w:cs="Arial"/>
        </w:rPr>
        <w:t>as a result of</w:t>
      </w:r>
      <w:proofErr w:type="gramEnd"/>
      <w:r w:rsidR="005645FD">
        <w:rPr>
          <w:rFonts w:cs="Arial"/>
        </w:rPr>
        <w:t xml:space="preserve"> conferencing during the quarter </w:t>
      </w:r>
      <w:r w:rsidR="000C4D78">
        <w:rPr>
          <w:rFonts w:cs="Arial"/>
        </w:rPr>
        <w:t>included</w:t>
      </w:r>
      <w:r w:rsidR="005645FD">
        <w:rPr>
          <w:rFonts w:cs="Arial"/>
        </w:rPr>
        <w:t xml:space="preserve"> decisions for </w:t>
      </w:r>
      <w:r w:rsidR="005A5B78" w:rsidRPr="00DA470C">
        <w:rPr>
          <w:rFonts w:cs="Arial"/>
        </w:rPr>
        <w:t xml:space="preserve">no further action, </w:t>
      </w:r>
      <w:r w:rsidR="00B8453F">
        <w:rPr>
          <w:rFonts w:cs="Arial"/>
        </w:rPr>
        <w:t>reprimand,</w:t>
      </w:r>
      <w:r w:rsidR="00F172D6">
        <w:rPr>
          <w:rFonts w:cs="Arial"/>
        </w:rPr>
        <w:t xml:space="preserve"> recommending a support service,</w:t>
      </w:r>
      <w:r w:rsidR="00B8453F">
        <w:rPr>
          <w:rFonts w:cs="Arial"/>
        </w:rPr>
        <w:t xml:space="preserve"> </w:t>
      </w:r>
      <w:r w:rsidR="005A5B78" w:rsidRPr="00DA470C">
        <w:rPr>
          <w:rFonts w:cs="Arial"/>
        </w:rPr>
        <w:t>reschedul</w:t>
      </w:r>
      <w:r w:rsidR="00B8453F">
        <w:rPr>
          <w:rFonts w:cs="Arial"/>
        </w:rPr>
        <w:t xml:space="preserve">e and </w:t>
      </w:r>
      <w:r w:rsidR="00AE0E8E">
        <w:rPr>
          <w:rFonts w:cs="Arial"/>
        </w:rPr>
        <w:t xml:space="preserve">adjournment </w:t>
      </w:r>
      <w:r w:rsidR="00AE0E8E" w:rsidRPr="00DA470C">
        <w:rPr>
          <w:rFonts w:cs="Arial"/>
        </w:rPr>
        <w:t xml:space="preserve">to return </w:t>
      </w:r>
      <w:r w:rsidR="00AE0E8E">
        <w:rPr>
          <w:rFonts w:cs="Arial"/>
        </w:rPr>
        <w:t xml:space="preserve">for the purpose of determining if any parties of the adjourned conference have addressed the matter/s in question during the adjournment period. </w:t>
      </w:r>
      <w:r w:rsidR="00CC68A9">
        <w:rPr>
          <w:rFonts w:cs="Arial"/>
        </w:rPr>
        <w:t xml:space="preserve">From the beginning of quarter 51 any matters that were heard under an amend/end application hearing are </w:t>
      </w:r>
      <w:r w:rsidR="00CC7341">
        <w:rPr>
          <w:rFonts w:cs="Arial"/>
        </w:rPr>
        <w:t>no longer counted in the conference statistics, instead they are recorded separately under the application hearings section</w:t>
      </w:r>
      <w:r w:rsidR="00735F5A">
        <w:rPr>
          <w:rFonts w:cs="Arial"/>
        </w:rPr>
        <w:t>.</w:t>
      </w:r>
    </w:p>
    <w:p w14:paraId="6C2986ED" w14:textId="7510A348" w:rsidR="0051235F" w:rsidRDefault="0051235F" w:rsidP="00233EAC">
      <w:pPr>
        <w:ind w:left="-142" w:right="-425"/>
        <w:jc w:val="both"/>
        <w:rPr>
          <w:rFonts w:cs="Arial"/>
        </w:rPr>
      </w:pPr>
    </w:p>
    <w:p w14:paraId="180AD4BF" w14:textId="69F1E472" w:rsidR="00F832E3" w:rsidRPr="00D925BE" w:rsidRDefault="00F832E3" w:rsidP="00F832E3">
      <w:pPr>
        <w:spacing w:after="120" w:line="240" w:lineRule="auto"/>
        <w:ind w:right="-425"/>
        <w:jc w:val="both"/>
        <w:rPr>
          <w:b/>
          <w:sz w:val="16"/>
          <w:szCs w:val="16"/>
        </w:rPr>
      </w:pPr>
      <w:r w:rsidRPr="00D93672">
        <w:rPr>
          <w:b/>
          <w:sz w:val="16"/>
          <w:szCs w:val="16"/>
        </w:rPr>
        <w:t xml:space="preserve">Table </w:t>
      </w:r>
      <w:r>
        <w:rPr>
          <w:b/>
          <w:sz w:val="16"/>
          <w:szCs w:val="16"/>
        </w:rPr>
        <w:t>12</w:t>
      </w:r>
      <w:r w:rsidRPr="00D93672">
        <w:rPr>
          <w:b/>
          <w:sz w:val="16"/>
          <w:szCs w:val="16"/>
        </w:rPr>
        <w:t xml:space="preserve">: </w:t>
      </w:r>
      <w:r w:rsidRPr="00D93672">
        <w:rPr>
          <w:sz w:val="16"/>
          <w:szCs w:val="16"/>
        </w:rPr>
        <w:t xml:space="preserve">Conferences by community and quarter 1 </w:t>
      </w:r>
      <w:r>
        <w:rPr>
          <w:sz w:val="16"/>
          <w:szCs w:val="16"/>
        </w:rPr>
        <w:t>January 2020 to 31 March 2021</w:t>
      </w:r>
      <w:r w:rsidRPr="00D93672">
        <w:rPr>
          <w:sz w:val="16"/>
          <w:szCs w:val="16"/>
        </w:rPr>
        <w:t>.</w:t>
      </w:r>
    </w:p>
    <w:tbl>
      <w:tblPr>
        <w:tblW w:w="6880" w:type="dxa"/>
        <w:tblInd w:w="93" w:type="dxa"/>
        <w:tblLook w:val="04A0" w:firstRow="1" w:lastRow="0" w:firstColumn="1" w:lastColumn="0" w:noHBand="0" w:noVBand="1"/>
      </w:tblPr>
      <w:tblGrid>
        <w:gridCol w:w="2080"/>
        <w:gridCol w:w="960"/>
        <w:gridCol w:w="960"/>
        <w:gridCol w:w="960"/>
        <w:gridCol w:w="960"/>
        <w:gridCol w:w="960"/>
      </w:tblGrid>
      <w:tr w:rsidR="00F832E3" w:rsidRPr="00C5395B" w14:paraId="57168783" w14:textId="77777777" w:rsidTr="003453AD">
        <w:trPr>
          <w:trHeight w:val="255"/>
        </w:trPr>
        <w:tc>
          <w:tcPr>
            <w:tcW w:w="2080" w:type="dxa"/>
            <w:tcBorders>
              <w:top w:val="single" w:sz="4" w:space="0" w:color="auto"/>
              <w:left w:val="single" w:sz="4" w:space="0" w:color="auto"/>
              <w:bottom w:val="single" w:sz="4" w:space="0" w:color="auto"/>
              <w:right w:val="single" w:sz="4" w:space="0" w:color="auto"/>
            </w:tcBorders>
            <w:noWrap/>
            <w:hideMark/>
          </w:tcPr>
          <w:p w14:paraId="72905523" w14:textId="77777777" w:rsidR="00F832E3" w:rsidRPr="00C5395B" w:rsidRDefault="00F832E3" w:rsidP="00F832E3">
            <w:pPr>
              <w:pStyle w:val="TableText"/>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261F10EF" w14:textId="1034FE59" w:rsidR="00F832E3" w:rsidRDefault="00F832E3" w:rsidP="00F832E3">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10D965FC" w14:textId="2ABCB985" w:rsidR="00F832E3" w:rsidRDefault="00F832E3" w:rsidP="00F832E3">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7F2A411F" w14:textId="3D599A1C" w:rsidR="00F832E3" w:rsidRDefault="00F832E3" w:rsidP="00F832E3">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13113488" w14:textId="2E943BF7" w:rsidR="00F832E3" w:rsidRDefault="00F832E3" w:rsidP="00F832E3">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1618F909" w14:textId="49B8E881" w:rsidR="00F832E3" w:rsidRDefault="00F832E3" w:rsidP="00F832E3">
            <w:pPr>
              <w:pStyle w:val="TableText"/>
              <w:jc w:val="right"/>
              <w:rPr>
                <w:b/>
                <w:lang w:eastAsia="en-AU"/>
              </w:rPr>
            </w:pPr>
            <w:r>
              <w:rPr>
                <w:b/>
                <w:lang w:eastAsia="en-AU"/>
              </w:rPr>
              <w:t>Qtr 51</w:t>
            </w:r>
          </w:p>
        </w:tc>
      </w:tr>
      <w:tr w:rsidR="00F832E3" w:rsidRPr="00C5395B" w14:paraId="7CC19270" w14:textId="77777777" w:rsidTr="003453AD">
        <w:trPr>
          <w:trHeight w:val="255"/>
        </w:trPr>
        <w:tc>
          <w:tcPr>
            <w:tcW w:w="2080" w:type="dxa"/>
            <w:tcBorders>
              <w:top w:val="nil"/>
              <w:left w:val="single" w:sz="4" w:space="0" w:color="auto"/>
              <w:bottom w:val="single" w:sz="4" w:space="0" w:color="auto"/>
              <w:right w:val="single" w:sz="4" w:space="0" w:color="auto"/>
            </w:tcBorders>
            <w:noWrap/>
            <w:hideMark/>
          </w:tcPr>
          <w:p w14:paraId="1659A41A" w14:textId="77777777" w:rsidR="00F832E3" w:rsidRPr="00C5395B" w:rsidRDefault="00F832E3" w:rsidP="00F832E3">
            <w:pPr>
              <w:pStyle w:val="TableText"/>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07F9486C" w14:textId="65D4DEB0" w:rsidR="00F832E3" w:rsidRDefault="00F832E3" w:rsidP="00F832E3">
            <w:pPr>
              <w:jc w:val="right"/>
              <w:rPr>
                <w:rFonts w:cs="Arial"/>
              </w:rPr>
            </w:pPr>
            <w:r w:rsidRPr="00D431FB">
              <w:rPr>
                <w:rFonts w:cs="Arial"/>
              </w:rPr>
              <w:t>215</w:t>
            </w:r>
          </w:p>
        </w:tc>
        <w:tc>
          <w:tcPr>
            <w:tcW w:w="960" w:type="dxa"/>
            <w:tcBorders>
              <w:top w:val="nil"/>
              <w:left w:val="nil"/>
              <w:bottom w:val="single" w:sz="4" w:space="0" w:color="auto"/>
              <w:right w:val="single" w:sz="4" w:space="0" w:color="auto"/>
            </w:tcBorders>
          </w:tcPr>
          <w:p w14:paraId="015C1BF3" w14:textId="0DBF8F3B" w:rsidR="00F832E3" w:rsidRDefault="00F832E3" w:rsidP="00F832E3">
            <w:pPr>
              <w:jc w:val="right"/>
              <w:rPr>
                <w:rFonts w:cs="Arial"/>
              </w:rPr>
            </w:pPr>
            <w:r w:rsidRPr="00B8398E">
              <w:rPr>
                <w:rFonts w:cs="Arial"/>
              </w:rPr>
              <w:t>163</w:t>
            </w:r>
          </w:p>
        </w:tc>
        <w:tc>
          <w:tcPr>
            <w:tcW w:w="960" w:type="dxa"/>
            <w:tcBorders>
              <w:top w:val="nil"/>
              <w:left w:val="nil"/>
              <w:bottom w:val="single" w:sz="4" w:space="0" w:color="auto"/>
              <w:right w:val="single" w:sz="4" w:space="0" w:color="auto"/>
            </w:tcBorders>
          </w:tcPr>
          <w:p w14:paraId="45A8DC0B" w14:textId="0BB019E2" w:rsidR="00F832E3" w:rsidRDefault="00F832E3" w:rsidP="00F832E3">
            <w:pPr>
              <w:jc w:val="right"/>
              <w:rPr>
                <w:rFonts w:cs="Arial"/>
              </w:rPr>
            </w:pPr>
            <w:r w:rsidRPr="00507B51">
              <w:rPr>
                <w:rFonts w:cs="Arial"/>
              </w:rPr>
              <w:t>140</w:t>
            </w:r>
          </w:p>
        </w:tc>
        <w:tc>
          <w:tcPr>
            <w:tcW w:w="960" w:type="dxa"/>
            <w:tcBorders>
              <w:top w:val="nil"/>
              <w:left w:val="nil"/>
              <w:bottom w:val="single" w:sz="4" w:space="0" w:color="auto"/>
              <w:right w:val="single" w:sz="4" w:space="0" w:color="auto"/>
            </w:tcBorders>
            <w:vAlign w:val="bottom"/>
          </w:tcPr>
          <w:p w14:paraId="7A0E769F" w14:textId="3BB0E8E9" w:rsidR="00F832E3" w:rsidRPr="00B8398E" w:rsidRDefault="00F832E3" w:rsidP="00F832E3">
            <w:pPr>
              <w:jc w:val="right"/>
              <w:rPr>
                <w:rFonts w:cs="Arial"/>
              </w:rPr>
            </w:pPr>
            <w:r w:rsidRPr="002D275B">
              <w:rPr>
                <w:rFonts w:cs="Arial"/>
              </w:rPr>
              <w:t>212</w:t>
            </w:r>
          </w:p>
        </w:tc>
        <w:tc>
          <w:tcPr>
            <w:tcW w:w="960" w:type="dxa"/>
            <w:tcBorders>
              <w:top w:val="nil"/>
              <w:left w:val="nil"/>
              <w:bottom w:val="single" w:sz="4" w:space="0" w:color="auto"/>
              <w:right w:val="single" w:sz="4" w:space="0" w:color="auto"/>
            </w:tcBorders>
            <w:vAlign w:val="bottom"/>
          </w:tcPr>
          <w:p w14:paraId="17E9BB42" w14:textId="1F20E3D6" w:rsidR="00F832E3" w:rsidRPr="00F832E3" w:rsidRDefault="00F832E3" w:rsidP="00F832E3">
            <w:pPr>
              <w:jc w:val="right"/>
              <w:rPr>
                <w:rFonts w:cs="Arial"/>
              </w:rPr>
            </w:pPr>
            <w:r w:rsidRPr="00F832E3">
              <w:rPr>
                <w:rFonts w:cs="Arial"/>
              </w:rPr>
              <w:t>145</w:t>
            </w:r>
          </w:p>
        </w:tc>
      </w:tr>
      <w:tr w:rsidR="00F832E3" w:rsidRPr="00C5395B" w14:paraId="16E69A6F" w14:textId="77777777" w:rsidTr="003453AD">
        <w:trPr>
          <w:trHeight w:val="255"/>
        </w:trPr>
        <w:tc>
          <w:tcPr>
            <w:tcW w:w="2080" w:type="dxa"/>
            <w:tcBorders>
              <w:top w:val="nil"/>
              <w:left w:val="single" w:sz="4" w:space="0" w:color="auto"/>
              <w:bottom w:val="single" w:sz="4" w:space="0" w:color="auto"/>
              <w:right w:val="single" w:sz="4" w:space="0" w:color="auto"/>
            </w:tcBorders>
            <w:noWrap/>
            <w:hideMark/>
          </w:tcPr>
          <w:p w14:paraId="291BCD1F" w14:textId="77777777" w:rsidR="00F832E3" w:rsidRPr="00C5395B" w:rsidRDefault="00F832E3" w:rsidP="00F832E3">
            <w:pPr>
              <w:pStyle w:val="TableText"/>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2A98F09C" w14:textId="2512F376" w:rsidR="00F832E3" w:rsidRDefault="00F832E3" w:rsidP="00F832E3">
            <w:pPr>
              <w:jc w:val="right"/>
              <w:rPr>
                <w:rFonts w:cs="Arial"/>
              </w:rPr>
            </w:pPr>
            <w:r w:rsidRPr="00D431FB">
              <w:rPr>
                <w:rFonts w:cs="Arial"/>
              </w:rPr>
              <w:t>12</w:t>
            </w:r>
          </w:p>
        </w:tc>
        <w:tc>
          <w:tcPr>
            <w:tcW w:w="960" w:type="dxa"/>
            <w:tcBorders>
              <w:top w:val="nil"/>
              <w:left w:val="nil"/>
              <w:bottom w:val="single" w:sz="4" w:space="0" w:color="auto"/>
              <w:right w:val="single" w:sz="4" w:space="0" w:color="auto"/>
            </w:tcBorders>
          </w:tcPr>
          <w:p w14:paraId="48535C0D" w14:textId="5FC351F2" w:rsidR="00F832E3" w:rsidRDefault="00F832E3" w:rsidP="00F832E3">
            <w:pPr>
              <w:jc w:val="right"/>
              <w:rPr>
                <w:rFonts w:cs="Arial"/>
              </w:rPr>
            </w:pPr>
            <w:r w:rsidRPr="00B8398E">
              <w:rPr>
                <w:rFonts w:cs="Arial"/>
              </w:rPr>
              <w:t>34</w:t>
            </w:r>
          </w:p>
        </w:tc>
        <w:tc>
          <w:tcPr>
            <w:tcW w:w="960" w:type="dxa"/>
            <w:tcBorders>
              <w:top w:val="nil"/>
              <w:left w:val="nil"/>
              <w:bottom w:val="single" w:sz="4" w:space="0" w:color="auto"/>
              <w:right w:val="single" w:sz="4" w:space="0" w:color="auto"/>
            </w:tcBorders>
          </w:tcPr>
          <w:p w14:paraId="40FF2E39" w14:textId="1D116AC4" w:rsidR="00F832E3" w:rsidRDefault="00F832E3" w:rsidP="00F832E3">
            <w:pPr>
              <w:jc w:val="right"/>
              <w:rPr>
                <w:rFonts w:cs="Arial"/>
              </w:rPr>
            </w:pPr>
            <w:r w:rsidRPr="00507B51">
              <w:rPr>
                <w:rFonts w:cs="Arial"/>
              </w:rPr>
              <w:t>15</w:t>
            </w:r>
          </w:p>
        </w:tc>
        <w:tc>
          <w:tcPr>
            <w:tcW w:w="960" w:type="dxa"/>
            <w:tcBorders>
              <w:top w:val="nil"/>
              <w:left w:val="nil"/>
              <w:bottom w:val="single" w:sz="4" w:space="0" w:color="auto"/>
              <w:right w:val="single" w:sz="4" w:space="0" w:color="auto"/>
            </w:tcBorders>
            <w:vAlign w:val="bottom"/>
          </w:tcPr>
          <w:p w14:paraId="189D0FD6" w14:textId="7BB92C80" w:rsidR="00F832E3" w:rsidRPr="00B8398E" w:rsidRDefault="00F832E3" w:rsidP="00F832E3">
            <w:pPr>
              <w:jc w:val="right"/>
              <w:rPr>
                <w:rFonts w:cs="Arial"/>
              </w:rPr>
            </w:pPr>
            <w:r w:rsidRPr="002D275B">
              <w:rPr>
                <w:rFonts w:cs="Arial"/>
              </w:rPr>
              <w:t>19</w:t>
            </w:r>
          </w:p>
        </w:tc>
        <w:tc>
          <w:tcPr>
            <w:tcW w:w="960" w:type="dxa"/>
            <w:tcBorders>
              <w:top w:val="nil"/>
              <w:left w:val="nil"/>
              <w:bottom w:val="single" w:sz="4" w:space="0" w:color="auto"/>
              <w:right w:val="single" w:sz="4" w:space="0" w:color="auto"/>
            </w:tcBorders>
            <w:vAlign w:val="bottom"/>
          </w:tcPr>
          <w:p w14:paraId="5C753106" w14:textId="377585B2" w:rsidR="00F832E3" w:rsidRPr="00F832E3" w:rsidRDefault="00F832E3" w:rsidP="00F832E3">
            <w:pPr>
              <w:jc w:val="right"/>
              <w:rPr>
                <w:rFonts w:cs="Arial"/>
              </w:rPr>
            </w:pPr>
            <w:r w:rsidRPr="00F832E3">
              <w:rPr>
                <w:rFonts w:cs="Arial"/>
              </w:rPr>
              <w:t>9</w:t>
            </w:r>
          </w:p>
        </w:tc>
      </w:tr>
      <w:tr w:rsidR="00F832E3" w:rsidRPr="00C5395B" w14:paraId="2F208341" w14:textId="77777777" w:rsidTr="003453AD">
        <w:trPr>
          <w:trHeight w:val="255"/>
        </w:trPr>
        <w:tc>
          <w:tcPr>
            <w:tcW w:w="2080" w:type="dxa"/>
            <w:tcBorders>
              <w:top w:val="nil"/>
              <w:left w:val="single" w:sz="4" w:space="0" w:color="auto"/>
              <w:bottom w:val="single" w:sz="4" w:space="0" w:color="auto"/>
              <w:right w:val="single" w:sz="4" w:space="0" w:color="auto"/>
            </w:tcBorders>
            <w:noWrap/>
          </w:tcPr>
          <w:p w14:paraId="27BF5357" w14:textId="77777777" w:rsidR="00F832E3" w:rsidRPr="00C5395B" w:rsidRDefault="00F832E3" w:rsidP="00F832E3">
            <w:pPr>
              <w:pStyle w:val="TableText"/>
              <w:rPr>
                <w:lang w:eastAsia="en-AU"/>
              </w:rPr>
            </w:pPr>
            <w:r>
              <w:rPr>
                <w:lang w:eastAsia="en-AU"/>
              </w:rPr>
              <w:t>Doomadgee</w:t>
            </w:r>
          </w:p>
        </w:tc>
        <w:tc>
          <w:tcPr>
            <w:tcW w:w="960" w:type="dxa"/>
            <w:tcBorders>
              <w:top w:val="nil"/>
              <w:left w:val="nil"/>
              <w:bottom w:val="single" w:sz="4" w:space="0" w:color="auto"/>
              <w:right w:val="single" w:sz="4" w:space="0" w:color="auto"/>
            </w:tcBorders>
          </w:tcPr>
          <w:p w14:paraId="71ED013A" w14:textId="6A864D65" w:rsidR="00F832E3" w:rsidRDefault="00F832E3" w:rsidP="00F832E3">
            <w:pPr>
              <w:jc w:val="right"/>
              <w:rPr>
                <w:rFonts w:cs="Arial"/>
              </w:rPr>
            </w:pPr>
            <w:r w:rsidRPr="00D431FB">
              <w:rPr>
                <w:rFonts w:cs="Arial"/>
              </w:rPr>
              <w:t>106</w:t>
            </w:r>
          </w:p>
        </w:tc>
        <w:tc>
          <w:tcPr>
            <w:tcW w:w="960" w:type="dxa"/>
            <w:tcBorders>
              <w:top w:val="nil"/>
              <w:left w:val="nil"/>
              <w:bottom w:val="single" w:sz="4" w:space="0" w:color="auto"/>
              <w:right w:val="single" w:sz="4" w:space="0" w:color="auto"/>
            </w:tcBorders>
          </w:tcPr>
          <w:p w14:paraId="2C54F8FF" w14:textId="5B357A99" w:rsidR="00F832E3" w:rsidRDefault="00F832E3" w:rsidP="00F832E3">
            <w:pPr>
              <w:jc w:val="right"/>
              <w:rPr>
                <w:rFonts w:cs="Arial"/>
              </w:rPr>
            </w:pPr>
            <w:r w:rsidRPr="00B8398E">
              <w:rPr>
                <w:rFonts w:cs="Arial"/>
              </w:rPr>
              <w:t>129</w:t>
            </w:r>
          </w:p>
        </w:tc>
        <w:tc>
          <w:tcPr>
            <w:tcW w:w="960" w:type="dxa"/>
            <w:tcBorders>
              <w:top w:val="nil"/>
              <w:left w:val="nil"/>
              <w:bottom w:val="single" w:sz="4" w:space="0" w:color="auto"/>
              <w:right w:val="single" w:sz="4" w:space="0" w:color="auto"/>
            </w:tcBorders>
          </w:tcPr>
          <w:p w14:paraId="52E109E7" w14:textId="6974FF33" w:rsidR="00F832E3" w:rsidRDefault="00F832E3" w:rsidP="00F832E3">
            <w:pPr>
              <w:jc w:val="right"/>
              <w:rPr>
                <w:rFonts w:cs="Arial"/>
              </w:rPr>
            </w:pPr>
            <w:r w:rsidRPr="00507B51">
              <w:rPr>
                <w:rFonts w:cs="Arial"/>
              </w:rPr>
              <w:t>101</w:t>
            </w:r>
          </w:p>
        </w:tc>
        <w:tc>
          <w:tcPr>
            <w:tcW w:w="960" w:type="dxa"/>
            <w:tcBorders>
              <w:top w:val="nil"/>
              <w:left w:val="nil"/>
              <w:bottom w:val="single" w:sz="4" w:space="0" w:color="auto"/>
              <w:right w:val="single" w:sz="4" w:space="0" w:color="auto"/>
            </w:tcBorders>
            <w:vAlign w:val="bottom"/>
          </w:tcPr>
          <w:p w14:paraId="1E45D6C2" w14:textId="6D87A07A" w:rsidR="00F832E3" w:rsidRPr="00B8398E" w:rsidRDefault="00F832E3" w:rsidP="00F832E3">
            <w:pPr>
              <w:jc w:val="right"/>
              <w:rPr>
                <w:rFonts w:cs="Arial"/>
              </w:rPr>
            </w:pPr>
            <w:r w:rsidRPr="002D275B">
              <w:rPr>
                <w:rFonts w:cs="Arial"/>
              </w:rPr>
              <w:t>117</w:t>
            </w:r>
          </w:p>
        </w:tc>
        <w:tc>
          <w:tcPr>
            <w:tcW w:w="960" w:type="dxa"/>
            <w:tcBorders>
              <w:top w:val="nil"/>
              <w:left w:val="nil"/>
              <w:bottom w:val="single" w:sz="4" w:space="0" w:color="auto"/>
              <w:right w:val="single" w:sz="4" w:space="0" w:color="auto"/>
            </w:tcBorders>
            <w:vAlign w:val="bottom"/>
          </w:tcPr>
          <w:p w14:paraId="784CA345" w14:textId="5CBFC519" w:rsidR="00F832E3" w:rsidRPr="00F832E3" w:rsidRDefault="00F832E3" w:rsidP="00F832E3">
            <w:pPr>
              <w:jc w:val="right"/>
              <w:rPr>
                <w:rFonts w:cs="Arial"/>
              </w:rPr>
            </w:pPr>
            <w:r w:rsidRPr="00F832E3">
              <w:rPr>
                <w:rFonts w:cs="Arial"/>
              </w:rPr>
              <w:t>117</w:t>
            </w:r>
          </w:p>
        </w:tc>
      </w:tr>
      <w:tr w:rsidR="00F832E3" w:rsidRPr="00C5395B" w14:paraId="5902D85E" w14:textId="77777777" w:rsidTr="003453AD">
        <w:trPr>
          <w:trHeight w:val="255"/>
        </w:trPr>
        <w:tc>
          <w:tcPr>
            <w:tcW w:w="2080" w:type="dxa"/>
            <w:tcBorders>
              <w:top w:val="nil"/>
              <w:left w:val="single" w:sz="4" w:space="0" w:color="auto"/>
              <w:bottom w:val="single" w:sz="4" w:space="0" w:color="auto"/>
              <w:right w:val="single" w:sz="4" w:space="0" w:color="auto"/>
            </w:tcBorders>
            <w:noWrap/>
            <w:hideMark/>
          </w:tcPr>
          <w:p w14:paraId="0D5831C1" w14:textId="77777777" w:rsidR="00F832E3" w:rsidRPr="00C5395B" w:rsidRDefault="00F832E3" w:rsidP="00F832E3">
            <w:pPr>
              <w:pStyle w:val="TableText"/>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0B796420" w14:textId="19A85B91" w:rsidR="00F832E3" w:rsidRDefault="00F832E3" w:rsidP="00F832E3">
            <w:pPr>
              <w:jc w:val="right"/>
              <w:rPr>
                <w:rFonts w:cs="Arial"/>
              </w:rPr>
            </w:pPr>
            <w:r w:rsidRPr="00D431FB">
              <w:rPr>
                <w:rFonts w:cs="Arial"/>
              </w:rPr>
              <w:t>59</w:t>
            </w:r>
          </w:p>
        </w:tc>
        <w:tc>
          <w:tcPr>
            <w:tcW w:w="960" w:type="dxa"/>
            <w:tcBorders>
              <w:top w:val="nil"/>
              <w:left w:val="nil"/>
              <w:bottom w:val="single" w:sz="4" w:space="0" w:color="auto"/>
              <w:right w:val="single" w:sz="4" w:space="0" w:color="auto"/>
            </w:tcBorders>
          </w:tcPr>
          <w:p w14:paraId="4B02DD24" w14:textId="696F2584" w:rsidR="00F832E3" w:rsidRDefault="00F832E3" w:rsidP="00F832E3">
            <w:pPr>
              <w:jc w:val="right"/>
              <w:rPr>
                <w:rFonts w:cs="Arial"/>
              </w:rPr>
            </w:pPr>
            <w:r w:rsidRPr="00B8398E">
              <w:rPr>
                <w:rFonts w:cs="Arial"/>
              </w:rPr>
              <w:t>71</w:t>
            </w:r>
          </w:p>
        </w:tc>
        <w:tc>
          <w:tcPr>
            <w:tcW w:w="960" w:type="dxa"/>
            <w:tcBorders>
              <w:top w:val="nil"/>
              <w:left w:val="nil"/>
              <w:bottom w:val="single" w:sz="4" w:space="0" w:color="auto"/>
              <w:right w:val="single" w:sz="4" w:space="0" w:color="auto"/>
            </w:tcBorders>
          </w:tcPr>
          <w:p w14:paraId="47EA8CCA" w14:textId="44D34A1E" w:rsidR="00F832E3" w:rsidRDefault="00F832E3" w:rsidP="00F832E3">
            <w:pPr>
              <w:jc w:val="right"/>
              <w:rPr>
                <w:rFonts w:cs="Arial"/>
              </w:rPr>
            </w:pPr>
            <w:r w:rsidRPr="00507B51">
              <w:rPr>
                <w:rFonts w:cs="Arial"/>
              </w:rPr>
              <w:t>57</w:t>
            </w:r>
          </w:p>
        </w:tc>
        <w:tc>
          <w:tcPr>
            <w:tcW w:w="960" w:type="dxa"/>
            <w:tcBorders>
              <w:top w:val="nil"/>
              <w:left w:val="nil"/>
              <w:bottom w:val="single" w:sz="4" w:space="0" w:color="auto"/>
              <w:right w:val="single" w:sz="4" w:space="0" w:color="auto"/>
            </w:tcBorders>
            <w:vAlign w:val="bottom"/>
          </w:tcPr>
          <w:p w14:paraId="0C27EBA4" w14:textId="4174B1AD" w:rsidR="00F832E3" w:rsidRPr="00B8398E" w:rsidRDefault="00F832E3" w:rsidP="00F832E3">
            <w:pPr>
              <w:jc w:val="right"/>
              <w:rPr>
                <w:rFonts w:cs="Arial"/>
              </w:rPr>
            </w:pPr>
            <w:r w:rsidRPr="002D275B">
              <w:rPr>
                <w:rFonts w:cs="Arial"/>
              </w:rPr>
              <w:t>56</w:t>
            </w:r>
          </w:p>
        </w:tc>
        <w:tc>
          <w:tcPr>
            <w:tcW w:w="960" w:type="dxa"/>
            <w:tcBorders>
              <w:top w:val="nil"/>
              <w:left w:val="nil"/>
              <w:bottom w:val="single" w:sz="4" w:space="0" w:color="auto"/>
              <w:right w:val="single" w:sz="4" w:space="0" w:color="auto"/>
            </w:tcBorders>
            <w:vAlign w:val="bottom"/>
          </w:tcPr>
          <w:p w14:paraId="7287A647" w14:textId="4BD5115C" w:rsidR="00F832E3" w:rsidRPr="00F832E3" w:rsidRDefault="00F832E3" w:rsidP="00F832E3">
            <w:pPr>
              <w:jc w:val="right"/>
              <w:rPr>
                <w:rFonts w:cs="Arial"/>
              </w:rPr>
            </w:pPr>
            <w:r w:rsidRPr="00F832E3">
              <w:rPr>
                <w:rFonts w:cs="Arial"/>
              </w:rPr>
              <w:t>74</w:t>
            </w:r>
          </w:p>
        </w:tc>
      </w:tr>
      <w:tr w:rsidR="00F832E3" w:rsidRPr="00C5395B" w14:paraId="1A7F74C8" w14:textId="77777777" w:rsidTr="003453AD">
        <w:trPr>
          <w:trHeight w:val="255"/>
        </w:trPr>
        <w:tc>
          <w:tcPr>
            <w:tcW w:w="2080" w:type="dxa"/>
            <w:tcBorders>
              <w:top w:val="nil"/>
              <w:left w:val="single" w:sz="4" w:space="0" w:color="auto"/>
              <w:bottom w:val="single" w:sz="4" w:space="0" w:color="auto"/>
              <w:right w:val="single" w:sz="4" w:space="0" w:color="auto"/>
            </w:tcBorders>
            <w:noWrap/>
            <w:hideMark/>
          </w:tcPr>
          <w:p w14:paraId="5D33819D" w14:textId="77777777" w:rsidR="00F832E3" w:rsidRPr="00C5395B" w:rsidRDefault="00F832E3" w:rsidP="00F832E3">
            <w:pPr>
              <w:pStyle w:val="TableText"/>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1C003A5B" w14:textId="54A51055" w:rsidR="00F832E3" w:rsidRDefault="00F832E3" w:rsidP="00F832E3">
            <w:pPr>
              <w:jc w:val="right"/>
              <w:rPr>
                <w:rFonts w:cs="Arial"/>
              </w:rPr>
            </w:pPr>
            <w:r w:rsidRPr="00D431FB">
              <w:rPr>
                <w:rFonts w:cs="Arial"/>
              </w:rPr>
              <w:t>32</w:t>
            </w:r>
          </w:p>
        </w:tc>
        <w:tc>
          <w:tcPr>
            <w:tcW w:w="960" w:type="dxa"/>
            <w:tcBorders>
              <w:top w:val="nil"/>
              <w:left w:val="nil"/>
              <w:bottom w:val="single" w:sz="4" w:space="0" w:color="auto"/>
              <w:right w:val="single" w:sz="4" w:space="0" w:color="auto"/>
            </w:tcBorders>
          </w:tcPr>
          <w:p w14:paraId="4FCB7220" w14:textId="02C82B05" w:rsidR="00F832E3" w:rsidRDefault="00F832E3" w:rsidP="00F832E3">
            <w:pPr>
              <w:jc w:val="right"/>
              <w:rPr>
                <w:rFonts w:cs="Arial"/>
              </w:rPr>
            </w:pPr>
            <w:r w:rsidRPr="00B8398E">
              <w:rPr>
                <w:rFonts w:cs="Arial"/>
              </w:rPr>
              <w:t>42</w:t>
            </w:r>
          </w:p>
        </w:tc>
        <w:tc>
          <w:tcPr>
            <w:tcW w:w="960" w:type="dxa"/>
            <w:tcBorders>
              <w:top w:val="nil"/>
              <w:left w:val="nil"/>
              <w:bottom w:val="single" w:sz="4" w:space="0" w:color="auto"/>
              <w:right w:val="single" w:sz="4" w:space="0" w:color="auto"/>
            </w:tcBorders>
          </w:tcPr>
          <w:p w14:paraId="4AE610E3" w14:textId="789128F4" w:rsidR="00F832E3" w:rsidRDefault="00F832E3" w:rsidP="00F832E3">
            <w:pPr>
              <w:jc w:val="right"/>
              <w:rPr>
                <w:rFonts w:cs="Arial"/>
              </w:rPr>
            </w:pPr>
            <w:r w:rsidRPr="00507B51">
              <w:rPr>
                <w:rFonts w:cs="Arial"/>
              </w:rPr>
              <w:t>18</w:t>
            </w:r>
          </w:p>
        </w:tc>
        <w:tc>
          <w:tcPr>
            <w:tcW w:w="960" w:type="dxa"/>
            <w:tcBorders>
              <w:top w:val="nil"/>
              <w:left w:val="nil"/>
              <w:bottom w:val="single" w:sz="4" w:space="0" w:color="auto"/>
              <w:right w:val="single" w:sz="4" w:space="0" w:color="auto"/>
            </w:tcBorders>
            <w:vAlign w:val="bottom"/>
          </w:tcPr>
          <w:p w14:paraId="7722B771" w14:textId="0387CE39" w:rsidR="00F832E3" w:rsidRPr="00B8398E" w:rsidRDefault="00F832E3" w:rsidP="00F832E3">
            <w:pPr>
              <w:jc w:val="right"/>
              <w:rPr>
                <w:rFonts w:cs="Arial"/>
              </w:rPr>
            </w:pPr>
            <w:r w:rsidRPr="002D275B">
              <w:rPr>
                <w:rFonts w:cs="Arial"/>
              </w:rPr>
              <w:t>20</w:t>
            </w:r>
          </w:p>
        </w:tc>
        <w:tc>
          <w:tcPr>
            <w:tcW w:w="960" w:type="dxa"/>
            <w:tcBorders>
              <w:top w:val="nil"/>
              <w:left w:val="nil"/>
              <w:bottom w:val="single" w:sz="4" w:space="0" w:color="auto"/>
              <w:right w:val="single" w:sz="4" w:space="0" w:color="auto"/>
            </w:tcBorders>
            <w:vAlign w:val="bottom"/>
          </w:tcPr>
          <w:p w14:paraId="09E4683C" w14:textId="6E185428" w:rsidR="00F832E3" w:rsidRPr="00F832E3" w:rsidRDefault="00F832E3" w:rsidP="00F832E3">
            <w:pPr>
              <w:jc w:val="right"/>
              <w:rPr>
                <w:rFonts w:cs="Arial"/>
              </w:rPr>
            </w:pPr>
            <w:r w:rsidRPr="00F832E3">
              <w:rPr>
                <w:rFonts w:cs="Arial"/>
              </w:rPr>
              <w:t>26</w:t>
            </w:r>
          </w:p>
        </w:tc>
      </w:tr>
      <w:tr w:rsidR="00F832E3" w:rsidRPr="00C5395B" w14:paraId="1E2532C4" w14:textId="77777777" w:rsidTr="003453AD">
        <w:trPr>
          <w:trHeight w:val="255"/>
        </w:trPr>
        <w:tc>
          <w:tcPr>
            <w:tcW w:w="2080" w:type="dxa"/>
            <w:tcBorders>
              <w:top w:val="nil"/>
              <w:left w:val="single" w:sz="4" w:space="0" w:color="auto"/>
              <w:bottom w:val="single" w:sz="4" w:space="0" w:color="auto"/>
              <w:right w:val="single" w:sz="4" w:space="0" w:color="auto"/>
            </w:tcBorders>
            <w:noWrap/>
            <w:hideMark/>
          </w:tcPr>
          <w:p w14:paraId="26AFCBDD" w14:textId="77777777" w:rsidR="00F832E3" w:rsidRPr="00C5395B" w:rsidRDefault="00F832E3" w:rsidP="00F832E3">
            <w:pPr>
              <w:pStyle w:val="TableText"/>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412CA165" w14:textId="53EF9E29" w:rsidR="00F832E3" w:rsidRDefault="00F832E3" w:rsidP="00F832E3">
            <w:pPr>
              <w:jc w:val="right"/>
              <w:rPr>
                <w:rFonts w:cs="Arial"/>
                <w:b/>
                <w:bCs/>
              </w:rPr>
            </w:pPr>
            <w:r w:rsidRPr="00D431FB">
              <w:rPr>
                <w:rFonts w:cs="Arial"/>
                <w:b/>
                <w:bCs/>
              </w:rPr>
              <w:t>424</w:t>
            </w:r>
          </w:p>
        </w:tc>
        <w:tc>
          <w:tcPr>
            <w:tcW w:w="960" w:type="dxa"/>
            <w:tcBorders>
              <w:top w:val="nil"/>
              <w:left w:val="nil"/>
              <w:bottom w:val="single" w:sz="4" w:space="0" w:color="auto"/>
              <w:right w:val="single" w:sz="4" w:space="0" w:color="auto"/>
            </w:tcBorders>
          </w:tcPr>
          <w:p w14:paraId="68387DCD" w14:textId="72A09C92" w:rsidR="00F832E3" w:rsidRDefault="00F832E3" w:rsidP="00F832E3">
            <w:pPr>
              <w:jc w:val="right"/>
              <w:rPr>
                <w:rFonts w:cs="Arial"/>
                <w:b/>
                <w:bCs/>
              </w:rPr>
            </w:pPr>
            <w:r w:rsidRPr="00B8398E">
              <w:rPr>
                <w:rFonts w:cs="Arial"/>
                <w:b/>
                <w:bCs/>
              </w:rPr>
              <w:t>439</w:t>
            </w:r>
          </w:p>
        </w:tc>
        <w:tc>
          <w:tcPr>
            <w:tcW w:w="960" w:type="dxa"/>
            <w:tcBorders>
              <w:top w:val="nil"/>
              <w:left w:val="nil"/>
              <w:bottom w:val="single" w:sz="4" w:space="0" w:color="auto"/>
              <w:right w:val="single" w:sz="4" w:space="0" w:color="auto"/>
            </w:tcBorders>
          </w:tcPr>
          <w:p w14:paraId="5A3F00B5" w14:textId="1A4362B9" w:rsidR="00F832E3" w:rsidRDefault="00F832E3" w:rsidP="00F832E3">
            <w:pPr>
              <w:jc w:val="right"/>
              <w:rPr>
                <w:rFonts w:cs="Arial"/>
                <w:b/>
                <w:bCs/>
              </w:rPr>
            </w:pPr>
            <w:r w:rsidRPr="00507B51">
              <w:rPr>
                <w:rFonts w:cs="Arial"/>
                <w:b/>
                <w:bCs/>
              </w:rPr>
              <w:t>331</w:t>
            </w:r>
          </w:p>
        </w:tc>
        <w:tc>
          <w:tcPr>
            <w:tcW w:w="960" w:type="dxa"/>
            <w:tcBorders>
              <w:top w:val="nil"/>
              <w:left w:val="nil"/>
              <w:bottom w:val="single" w:sz="4" w:space="0" w:color="auto"/>
              <w:right w:val="single" w:sz="4" w:space="0" w:color="auto"/>
            </w:tcBorders>
            <w:vAlign w:val="bottom"/>
          </w:tcPr>
          <w:p w14:paraId="3E0AF46C" w14:textId="7717429C" w:rsidR="00F832E3" w:rsidRPr="00B8398E" w:rsidRDefault="00F832E3" w:rsidP="00F832E3">
            <w:pPr>
              <w:jc w:val="right"/>
              <w:rPr>
                <w:rFonts w:cs="Arial"/>
                <w:b/>
                <w:bCs/>
              </w:rPr>
            </w:pPr>
            <w:r w:rsidRPr="002D275B">
              <w:rPr>
                <w:rFonts w:cs="Arial"/>
                <w:b/>
                <w:bCs/>
              </w:rPr>
              <w:t>424</w:t>
            </w:r>
          </w:p>
        </w:tc>
        <w:tc>
          <w:tcPr>
            <w:tcW w:w="960" w:type="dxa"/>
            <w:tcBorders>
              <w:top w:val="nil"/>
              <w:left w:val="nil"/>
              <w:bottom w:val="single" w:sz="4" w:space="0" w:color="auto"/>
              <w:right w:val="single" w:sz="4" w:space="0" w:color="auto"/>
            </w:tcBorders>
            <w:vAlign w:val="bottom"/>
          </w:tcPr>
          <w:p w14:paraId="454FB6D0" w14:textId="5479E849" w:rsidR="00F832E3" w:rsidRPr="00F832E3" w:rsidRDefault="00F832E3" w:rsidP="00F832E3">
            <w:pPr>
              <w:jc w:val="right"/>
              <w:rPr>
                <w:rFonts w:cs="Arial"/>
                <w:b/>
                <w:bCs/>
              </w:rPr>
            </w:pPr>
            <w:r w:rsidRPr="00F832E3">
              <w:rPr>
                <w:rFonts w:cs="Arial"/>
                <w:b/>
                <w:bCs/>
              </w:rPr>
              <w:t>371</w:t>
            </w:r>
          </w:p>
        </w:tc>
      </w:tr>
    </w:tbl>
    <w:p w14:paraId="7BAC4A8E" w14:textId="77777777" w:rsidR="005A5B78" w:rsidRPr="001B31E3" w:rsidRDefault="005A5B78" w:rsidP="005A5B78">
      <w:pPr>
        <w:ind w:left="-142" w:right="-425"/>
        <w:jc w:val="both"/>
        <w:rPr>
          <w:rFonts w:cs="Arial"/>
        </w:rPr>
      </w:pPr>
    </w:p>
    <w:p w14:paraId="1BB531F5" w14:textId="77777777" w:rsidR="00DD1B0A" w:rsidRPr="006524B7" w:rsidRDefault="00DD1B0A" w:rsidP="00DB0AEE">
      <w:pPr>
        <w:pStyle w:val="Heading2"/>
      </w:pPr>
      <w:r w:rsidRPr="006524B7">
        <w:t>Conferences for Domestic Violence</w:t>
      </w:r>
      <w:r w:rsidR="00970A79" w:rsidRPr="006524B7">
        <w:t xml:space="preserve"> related matters</w:t>
      </w:r>
    </w:p>
    <w:p w14:paraId="114A4DF6" w14:textId="279AF9E9" w:rsidR="00DD1B0A" w:rsidRDefault="00AE1804" w:rsidP="006524B7">
      <w:pPr>
        <w:ind w:left="-142" w:right="-425"/>
        <w:jc w:val="both"/>
        <w:rPr>
          <w:rFonts w:cs="Arial"/>
        </w:rPr>
      </w:pPr>
      <w:r>
        <w:rPr>
          <w:rFonts w:cs="Arial"/>
        </w:rPr>
        <w:t xml:space="preserve">As a subset of the total number of conferences conducted for the quarter, </w:t>
      </w:r>
      <w:r w:rsidR="00BD0AB2">
        <w:rPr>
          <w:rFonts w:cs="Arial"/>
        </w:rPr>
        <w:t>68</w:t>
      </w:r>
      <w:r w:rsidR="00BD0AB2" w:rsidRPr="006524B7">
        <w:rPr>
          <w:rFonts w:cs="Arial"/>
        </w:rPr>
        <w:t xml:space="preserve"> </w:t>
      </w:r>
      <w:r w:rsidR="00FA47B4" w:rsidRPr="006524B7">
        <w:rPr>
          <w:rFonts w:cs="Arial"/>
        </w:rPr>
        <w:t xml:space="preserve">domestic violence conferences were conducted in Aurukun, Coen, Hope Vale and Mossman Gorge in </w:t>
      </w:r>
      <w:r w:rsidR="00856C85">
        <w:rPr>
          <w:rFonts w:cs="Arial"/>
        </w:rPr>
        <w:t xml:space="preserve">quarter </w:t>
      </w:r>
      <w:r w:rsidR="005D211C">
        <w:rPr>
          <w:rFonts w:cs="Arial"/>
        </w:rPr>
        <w:t>51</w:t>
      </w:r>
      <w:r w:rsidR="007A156D" w:rsidRPr="006524B7">
        <w:rPr>
          <w:rFonts w:cs="Arial"/>
        </w:rPr>
        <w:t>, a</w:t>
      </w:r>
      <w:r w:rsidR="00CA7D8F">
        <w:rPr>
          <w:rFonts w:cs="Arial"/>
        </w:rPr>
        <w:t>n</w:t>
      </w:r>
      <w:r w:rsidR="00D35B9B">
        <w:rPr>
          <w:rFonts w:cs="Arial"/>
        </w:rPr>
        <w:t xml:space="preserve"> </w:t>
      </w:r>
      <w:r w:rsidR="00CA7D8F">
        <w:rPr>
          <w:rFonts w:cs="Arial"/>
        </w:rPr>
        <w:t xml:space="preserve">increase </w:t>
      </w:r>
      <w:r w:rsidR="007A156D" w:rsidRPr="006524B7">
        <w:rPr>
          <w:rFonts w:cs="Arial"/>
        </w:rPr>
        <w:t xml:space="preserve">of </w:t>
      </w:r>
      <w:r w:rsidR="00BD0AB2">
        <w:rPr>
          <w:rFonts w:cs="Arial"/>
        </w:rPr>
        <w:t>17</w:t>
      </w:r>
      <w:r w:rsidR="00BD0AB2" w:rsidRPr="006524B7">
        <w:rPr>
          <w:rFonts w:cs="Arial"/>
        </w:rPr>
        <w:t xml:space="preserve"> </w:t>
      </w:r>
      <w:r w:rsidR="007A156D" w:rsidRPr="006524B7">
        <w:rPr>
          <w:rFonts w:cs="Arial"/>
        </w:rPr>
        <w:t>from the previous quarter</w:t>
      </w:r>
      <w:r w:rsidR="00B73322">
        <w:rPr>
          <w:rFonts w:cs="Arial"/>
        </w:rPr>
        <w:t xml:space="preserve">. </w:t>
      </w:r>
      <w:r w:rsidR="00AA43DD" w:rsidRPr="006524B7">
        <w:rPr>
          <w:rFonts w:cs="Arial"/>
        </w:rPr>
        <w:t xml:space="preserve">Domestic violence conferences in the communities during the quarter were as follows: Aurukun </w:t>
      </w:r>
      <w:r w:rsidR="00F1009D">
        <w:rPr>
          <w:rFonts w:cs="Arial"/>
        </w:rPr>
        <w:t>increased</w:t>
      </w:r>
      <w:r w:rsidR="00F1009D" w:rsidRPr="006524B7">
        <w:rPr>
          <w:rFonts w:cs="Arial"/>
        </w:rPr>
        <w:t xml:space="preserve"> </w:t>
      </w:r>
      <w:r w:rsidR="00AA43DD" w:rsidRPr="006524B7">
        <w:rPr>
          <w:rFonts w:cs="Arial"/>
        </w:rPr>
        <w:t xml:space="preserve">by </w:t>
      </w:r>
      <w:r w:rsidR="00BD0AB2">
        <w:rPr>
          <w:rFonts w:cs="Arial"/>
        </w:rPr>
        <w:t>11</w:t>
      </w:r>
      <w:r w:rsidR="00AA43DD" w:rsidRPr="006524B7">
        <w:rPr>
          <w:rFonts w:cs="Arial"/>
        </w:rPr>
        <w:t xml:space="preserve">, Coen </w:t>
      </w:r>
      <w:r w:rsidR="00BD0AB2">
        <w:rPr>
          <w:rFonts w:cs="Arial"/>
        </w:rPr>
        <w:t>decreased</w:t>
      </w:r>
      <w:r w:rsidR="00BD0AB2" w:rsidRPr="006524B7">
        <w:rPr>
          <w:rFonts w:cs="Arial"/>
        </w:rPr>
        <w:t xml:space="preserve"> </w:t>
      </w:r>
      <w:r w:rsidR="00AA43DD" w:rsidRPr="006524B7">
        <w:rPr>
          <w:rFonts w:cs="Arial"/>
        </w:rPr>
        <w:t xml:space="preserve">by </w:t>
      </w:r>
      <w:r w:rsidR="00BD0AB2">
        <w:rPr>
          <w:rFonts w:cs="Arial"/>
        </w:rPr>
        <w:t>2</w:t>
      </w:r>
      <w:r w:rsidR="00F7181C">
        <w:rPr>
          <w:rFonts w:cs="Arial"/>
        </w:rPr>
        <w:t xml:space="preserve"> and </w:t>
      </w:r>
      <w:r w:rsidR="00A524DA">
        <w:rPr>
          <w:rFonts w:cs="Arial"/>
        </w:rPr>
        <w:t xml:space="preserve">Hope Vale </w:t>
      </w:r>
      <w:r w:rsidR="00BD0AB2">
        <w:rPr>
          <w:rFonts w:cs="Arial"/>
        </w:rPr>
        <w:t xml:space="preserve">and Mossman Gorge both </w:t>
      </w:r>
      <w:r w:rsidR="00B70E48">
        <w:rPr>
          <w:rFonts w:cs="Arial"/>
        </w:rPr>
        <w:t xml:space="preserve">increased </w:t>
      </w:r>
      <w:r w:rsidR="00A524DA">
        <w:rPr>
          <w:rFonts w:cs="Arial"/>
        </w:rPr>
        <w:t xml:space="preserve">by </w:t>
      </w:r>
      <w:r w:rsidR="00BD0AB2">
        <w:rPr>
          <w:rFonts w:cs="Arial"/>
        </w:rPr>
        <w:t>4</w:t>
      </w:r>
      <w:r w:rsidR="007A156D" w:rsidRPr="006524B7">
        <w:rPr>
          <w:rFonts w:cs="Arial"/>
        </w:rPr>
        <w:t>.</w:t>
      </w:r>
    </w:p>
    <w:p w14:paraId="2392E6C3" w14:textId="77777777" w:rsidR="00E46F27" w:rsidRDefault="00E46F27" w:rsidP="006524B7">
      <w:pPr>
        <w:ind w:left="-142" w:right="-425"/>
        <w:jc w:val="both"/>
        <w:rPr>
          <w:rFonts w:cs="Arial"/>
        </w:rPr>
      </w:pPr>
    </w:p>
    <w:p w14:paraId="4FA2B7C0" w14:textId="01D207ED" w:rsidR="00F832E3" w:rsidRPr="00D925BE" w:rsidRDefault="00F832E3" w:rsidP="00F832E3">
      <w:pPr>
        <w:pStyle w:val="TableCaption"/>
        <w:spacing w:before="0"/>
        <w:ind w:left="0" w:right="-425"/>
        <w:rPr>
          <w:b/>
          <w:i w:val="0"/>
          <w:sz w:val="16"/>
        </w:rPr>
      </w:pPr>
      <w:r>
        <w:rPr>
          <w:b/>
          <w:i w:val="0"/>
          <w:sz w:val="16"/>
        </w:rPr>
        <w:t>Table 1</w:t>
      </w:r>
      <w:r w:rsidR="003453AD">
        <w:rPr>
          <w:b/>
          <w:i w:val="0"/>
          <w:sz w:val="16"/>
        </w:rPr>
        <w:t>3</w:t>
      </w:r>
      <w:r w:rsidRPr="00310F76">
        <w:rPr>
          <w:b/>
          <w:i w:val="0"/>
          <w:sz w:val="16"/>
        </w:rPr>
        <w:t xml:space="preserve">: </w:t>
      </w:r>
      <w:r w:rsidRPr="00A1458E">
        <w:rPr>
          <w:i w:val="0"/>
          <w:sz w:val="16"/>
        </w:rPr>
        <w:t xml:space="preserve">DV conferences by community and quarter 1 </w:t>
      </w:r>
      <w:r w:rsidR="00D35167">
        <w:rPr>
          <w:i w:val="0"/>
          <w:sz w:val="16"/>
        </w:rPr>
        <w:t>January</w:t>
      </w:r>
      <w:r>
        <w:rPr>
          <w:i w:val="0"/>
          <w:sz w:val="16"/>
        </w:rPr>
        <w:t xml:space="preserve"> 20</w:t>
      </w:r>
      <w:r w:rsidR="00D35167">
        <w:rPr>
          <w:i w:val="0"/>
          <w:sz w:val="16"/>
        </w:rPr>
        <w:t>20</w:t>
      </w:r>
      <w:r>
        <w:rPr>
          <w:i w:val="0"/>
          <w:sz w:val="16"/>
        </w:rPr>
        <w:t xml:space="preserve"> to 31 </w:t>
      </w:r>
      <w:r w:rsidR="00D35167">
        <w:rPr>
          <w:i w:val="0"/>
          <w:sz w:val="16"/>
        </w:rPr>
        <w:t>March</w:t>
      </w:r>
      <w:r>
        <w:rPr>
          <w:i w:val="0"/>
          <w:sz w:val="16"/>
        </w:rPr>
        <w:t xml:space="preserve"> 202</w:t>
      </w:r>
      <w:r w:rsidR="00D35167">
        <w:rPr>
          <w:i w:val="0"/>
          <w:sz w:val="16"/>
        </w:rPr>
        <w:t>1</w:t>
      </w:r>
      <w:r w:rsidRPr="00A1458E">
        <w:rPr>
          <w:i w:val="0"/>
          <w:sz w:val="16"/>
        </w:rPr>
        <w:t>.</w:t>
      </w:r>
    </w:p>
    <w:tbl>
      <w:tblPr>
        <w:tblW w:w="6990" w:type="dxa"/>
        <w:tblInd w:w="93" w:type="dxa"/>
        <w:tblLook w:val="04A0" w:firstRow="1" w:lastRow="0" w:firstColumn="1" w:lastColumn="0" w:noHBand="0" w:noVBand="1"/>
      </w:tblPr>
      <w:tblGrid>
        <w:gridCol w:w="2029"/>
        <w:gridCol w:w="992"/>
        <w:gridCol w:w="992"/>
        <w:gridCol w:w="992"/>
        <w:gridCol w:w="992"/>
        <w:gridCol w:w="993"/>
      </w:tblGrid>
      <w:tr w:rsidR="00D35167" w:rsidRPr="00C5395B" w14:paraId="2FB0948C" w14:textId="77777777" w:rsidTr="00D35167">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30701C50" w14:textId="77777777" w:rsidR="00D35167" w:rsidRPr="00C5395B" w:rsidRDefault="00D35167" w:rsidP="00D35167">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57FB018D" w14:textId="0B9F38DC" w:rsidR="00D35167" w:rsidRDefault="00D35167" w:rsidP="00D35167">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53776BEB" w14:textId="36A9AF24" w:rsidR="00D35167" w:rsidRDefault="00D35167" w:rsidP="00D35167">
            <w:pPr>
              <w:pStyle w:val="TableText"/>
              <w:jc w:val="right"/>
              <w:rPr>
                <w:b/>
                <w:lang w:eastAsia="en-AU"/>
              </w:rPr>
            </w:pPr>
            <w:r>
              <w:rPr>
                <w:b/>
                <w:lang w:eastAsia="en-AU"/>
              </w:rPr>
              <w:t>Qtr 48</w:t>
            </w:r>
          </w:p>
        </w:tc>
        <w:tc>
          <w:tcPr>
            <w:tcW w:w="992" w:type="dxa"/>
            <w:tcBorders>
              <w:top w:val="single" w:sz="4" w:space="0" w:color="auto"/>
              <w:left w:val="nil"/>
              <w:bottom w:val="single" w:sz="4" w:space="0" w:color="auto"/>
              <w:right w:val="single" w:sz="4" w:space="0" w:color="auto"/>
            </w:tcBorders>
          </w:tcPr>
          <w:p w14:paraId="2773ED37" w14:textId="678C0063" w:rsidR="00D35167" w:rsidRDefault="00D35167" w:rsidP="00D35167">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25601E77" w14:textId="3C78DCF8" w:rsidR="00D35167" w:rsidRDefault="00D35167" w:rsidP="00D35167">
            <w:pPr>
              <w:pStyle w:val="TableText"/>
              <w:jc w:val="right"/>
              <w:rPr>
                <w:b/>
                <w:lang w:eastAsia="en-AU"/>
              </w:rPr>
            </w:pPr>
            <w:r>
              <w:rPr>
                <w:b/>
                <w:lang w:eastAsia="en-AU"/>
              </w:rPr>
              <w:t>Qtr 50</w:t>
            </w:r>
          </w:p>
        </w:tc>
        <w:tc>
          <w:tcPr>
            <w:tcW w:w="993" w:type="dxa"/>
            <w:tcBorders>
              <w:top w:val="single" w:sz="4" w:space="0" w:color="auto"/>
              <w:left w:val="nil"/>
              <w:bottom w:val="single" w:sz="4" w:space="0" w:color="auto"/>
              <w:right w:val="single" w:sz="4" w:space="0" w:color="auto"/>
            </w:tcBorders>
          </w:tcPr>
          <w:p w14:paraId="737D79A5" w14:textId="6B94B61C" w:rsidR="00D35167" w:rsidRDefault="00D35167" w:rsidP="00D35167">
            <w:pPr>
              <w:pStyle w:val="TableText"/>
              <w:jc w:val="right"/>
              <w:rPr>
                <w:b/>
                <w:lang w:eastAsia="en-AU"/>
              </w:rPr>
            </w:pPr>
            <w:r>
              <w:rPr>
                <w:b/>
                <w:lang w:eastAsia="en-AU"/>
              </w:rPr>
              <w:t>Qtr 51</w:t>
            </w:r>
          </w:p>
        </w:tc>
      </w:tr>
      <w:tr w:rsidR="00D35167" w:rsidRPr="00C5395B" w14:paraId="323E2ABE" w14:textId="77777777" w:rsidTr="003453AD">
        <w:trPr>
          <w:trHeight w:val="255"/>
        </w:trPr>
        <w:tc>
          <w:tcPr>
            <w:tcW w:w="2029" w:type="dxa"/>
            <w:tcBorders>
              <w:top w:val="nil"/>
              <w:left w:val="single" w:sz="4" w:space="0" w:color="auto"/>
              <w:bottom w:val="single" w:sz="4" w:space="0" w:color="auto"/>
              <w:right w:val="single" w:sz="4" w:space="0" w:color="auto"/>
            </w:tcBorders>
            <w:noWrap/>
            <w:hideMark/>
          </w:tcPr>
          <w:p w14:paraId="243F7E07" w14:textId="77777777" w:rsidR="00D35167" w:rsidRPr="00C5395B" w:rsidRDefault="00D35167" w:rsidP="00D35167">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32D28ABE" w14:textId="41FC0283" w:rsidR="00D35167" w:rsidRDefault="00D35167" w:rsidP="00D35167">
            <w:pPr>
              <w:jc w:val="right"/>
              <w:rPr>
                <w:rFonts w:cs="Arial"/>
              </w:rPr>
            </w:pPr>
            <w:r w:rsidRPr="00D431FB">
              <w:rPr>
                <w:rFonts w:cs="Arial"/>
              </w:rPr>
              <w:t>28</w:t>
            </w:r>
          </w:p>
        </w:tc>
        <w:tc>
          <w:tcPr>
            <w:tcW w:w="992" w:type="dxa"/>
            <w:tcBorders>
              <w:top w:val="nil"/>
              <w:left w:val="nil"/>
              <w:bottom w:val="single" w:sz="4" w:space="0" w:color="auto"/>
              <w:right w:val="single" w:sz="4" w:space="0" w:color="auto"/>
            </w:tcBorders>
          </w:tcPr>
          <w:p w14:paraId="52215757" w14:textId="22E82A1C" w:rsidR="00D35167" w:rsidRDefault="00D35167" w:rsidP="00D35167">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642086E9" w14:textId="18E50DB8" w:rsidR="00D35167" w:rsidRDefault="00D35167" w:rsidP="00D35167">
            <w:pPr>
              <w:jc w:val="right"/>
              <w:rPr>
                <w:rFonts w:cs="Arial"/>
              </w:rPr>
            </w:pPr>
            <w:r w:rsidRPr="00FB5CEB">
              <w:rPr>
                <w:rFonts w:cs="Arial"/>
              </w:rPr>
              <w:t>27</w:t>
            </w:r>
          </w:p>
        </w:tc>
        <w:tc>
          <w:tcPr>
            <w:tcW w:w="992" w:type="dxa"/>
            <w:tcBorders>
              <w:top w:val="nil"/>
              <w:left w:val="nil"/>
              <w:bottom w:val="single" w:sz="4" w:space="0" w:color="auto"/>
              <w:right w:val="single" w:sz="4" w:space="0" w:color="auto"/>
            </w:tcBorders>
          </w:tcPr>
          <w:p w14:paraId="4EE47E79" w14:textId="4E5AA9C5" w:rsidR="00D35167" w:rsidRPr="00B8398E" w:rsidRDefault="00D35167" w:rsidP="00D35167">
            <w:pPr>
              <w:jc w:val="right"/>
              <w:rPr>
                <w:rFonts w:cs="Arial"/>
              </w:rPr>
            </w:pPr>
            <w:r w:rsidRPr="00545DC0">
              <w:rPr>
                <w:rFonts w:cs="Arial"/>
              </w:rPr>
              <w:t>35</w:t>
            </w:r>
          </w:p>
        </w:tc>
        <w:tc>
          <w:tcPr>
            <w:tcW w:w="993" w:type="dxa"/>
            <w:tcBorders>
              <w:top w:val="nil"/>
              <w:left w:val="nil"/>
              <w:bottom w:val="single" w:sz="4" w:space="0" w:color="auto"/>
              <w:right w:val="single" w:sz="4" w:space="0" w:color="auto"/>
            </w:tcBorders>
            <w:vAlign w:val="bottom"/>
          </w:tcPr>
          <w:p w14:paraId="2ED4BC07" w14:textId="63BFBA4F" w:rsidR="00D35167" w:rsidRPr="00D35167" w:rsidRDefault="00D35167" w:rsidP="00D35167">
            <w:pPr>
              <w:jc w:val="right"/>
              <w:rPr>
                <w:rFonts w:cs="Arial"/>
              </w:rPr>
            </w:pPr>
            <w:r w:rsidRPr="00D35167">
              <w:rPr>
                <w:rFonts w:cs="Arial"/>
              </w:rPr>
              <w:t>46</w:t>
            </w:r>
          </w:p>
        </w:tc>
      </w:tr>
      <w:tr w:rsidR="00D35167" w:rsidRPr="00C5395B" w14:paraId="2557A74A" w14:textId="77777777" w:rsidTr="003453AD">
        <w:trPr>
          <w:trHeight w:val="255"/>
        </w:trPr>
        <w:tc>
          <w:tcPr>
            <w:tcW w:w="2029" w:type="dxa"/>
            <w:tcBorders>
              <w:top w:val="nil"/>
              <w:left w:val="single" w:sz="4" w:space="0" w:color="auto"/>
              <w:bottom w:val="single" w:sz="4" w:space="0" w:color="auto"/>
              <w:right w:val="single" w:sz="4" w:space="0" w:color="auto"/>
            </w:tcBorders>
            <w:noWrap/>
            <w:hideMark/>
          </w:tcPr>
          <w:p w14:paraId="15FA7878" w14:textId="77777777" w:rsidR="00D35167" w:rsidRPr="00C5395B" w:rsidRDefault="00D35167" w:rsidP="00D35167">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44EC44F9" w14:textId="4D6968A5" w:rsidR="00D35167" w:rsidRDefault="00D35167" w:rsidP="00D35167">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371ED2D5" w14:textId="3CDD5CF3" w:rsidR="00D35167" w:rsidRDefault="00D35167" w:rsidP="00D35167">
            <w:pPr>
              <w:jc w:val="right"/>
              <w:rPr>
                <w:rFonts w:cs="Arial"/>
              </w:rPr>
            </w:pPr>
            <w:r w:rsidRPr="00B8398E">
              <w:rPr>
                <w:rFonts w:cs="Arial"/>
              </w:rPr>
              <w:t>6</w:t>
            </w:r>
          </w:p>
        </w:tc>
        <w:tc>
          <w:tcPr>
            <w:tcW w:w="992" w:type="dxa"/>
            <w:tcBorders>
              <w:top w:val="nil"/>
              <w:left w:val="nil"/>
              <w:bottom w:val="single" w:sz="4" w:space="0" w:color="auto"/>
              <w:right w:val="single" w:sz="4" w:space="0" w:color="auto"/>
            </w:tcBorders>
          </w:tcPr>
          <w:p w14:paraId="348B0F12" w14:textId="26C280D5" w:rsidR="00D35167" w:rsidRDefault="00D35167" w:rsidP="00D35167">
            <w:pPr>
              <w:jc w:val="right"/>
              <w:rPr>
                <w:rFonts w:cs="Arial"/>
              </w:rPr>
            </w:pPr>
            <w:r w:rsidRPr="00FB5CEB">
              <w:rPr>
                <w:rFonts w:cs="Arial"/>
              </w:rPr>
              <w:t>0</w:t>
            </w:r>
          </w:p>
        </w:tc>
        <w:tc>
          <w:tcPr>
            <w:tcW w:w="992" w:type="dxa"/>
            <w:tcBorders>
              <w:top w:val="nil"/>
              <w:left w:val="nil"/>
              <w:bottom w:val="single" w:sz="4" w:space="0" w:color="auto"/>
              <w:right w:val="single" w:sz="4" w:space="0" w:color="auto"/>
            </w:tcBorders>
          </w:tcPr>
          <w:p w14:paraId="55CDE946" w14:textId="22387BC8" w:rsidR="00D35167" w:rsidRPr="00B8398E" w:rsidRDefault="00D35167" w:rsidP="00D35167">
            <w:pPr>
              <w:jc w:val="right"/>
              <w:rPr>
                <w:rFonts w:cs="Arial"/>
              </w:rPr>
            </w:pPr>
            <w:r w:rsidRPr="00545DC0">
              <w:rPr>
                <w:rFonts w:cs="Arial"/>
              </w:rPr>
              <w:t>6</w:t>
            </w:r>
          </w:p>
        </w:tc>
        <w:tc>
          <w:tcPr>
            <w:tcW w:w="993" w:type="dxa"/>
            <w:tcBorders>
              <w:top w:val="nil"/>
              <w:left w:val="nil"/>
              <w:bottom w:val="single" w:sz="4" w:space="0" w:color="auto"/>
              <w:right w:val="single" w:sz="4" w:space="0" w:color="auto"/>
            </w:tcBorders>
            <w:vAlign w:val="bottom"/>
          </w:tcPr>
          <w:p w14:paraId="577B040F" w14:textId="41B57290" w:rsidR="00D35167" w:rsidRPr="00D35167" w:rsidRDefault="00D35167" w:rsidP="00D35167">
            <w:pPr>
              <w:jc w:val="right"/>
              <w:rPr>
                <w:rFonts w:cs="Arial"/>
              </w:rPr>
            </w:pPr>
            <w:r w:rsidRPr="00D35167">
              <w:rPr>
                <w:rFonts w:cs="Arial"/>
              </w:rPr>
              <w:t>4</w:t>
            </w:r>
          </w:p>
        </w:tc>
      </w:tr>
      <w:tr w:rsidR="00D35167" w:rsidRPr="00C5395B" w14:paraId="2BF7FECB" w14:textId="77777777" w:rsidTr="003453AD">
        <w:trPr>
          <w:trHeight w:val="255"/>
        </w:trPr>
        <w:tc>
          <w:tcPr>
            <w:tcW w:w="2029" w:type="dxa"/>
            <w:tcBorders>
              <w:top w:val="nil"/>
              <w:left w:val="single" w:sz="4" w:space="0" w:color="auto"/>
              <w:bottom w:val="single" w:sz="4" w:space="0" w:color="auto"/>
              <w:right w:val="single" w:sz="4" w:space="0" w:color="auto"/>
            </w:tcBorders>
            <w:noWrap/>
          </w:tcPr>
          <w:p w14:paraId="2EB994AE" w14:textId="77777777" w:rsidR="00D35167" w:rsidRPr="00C5395B" w:rsidRDefault="00D35167" w:rsidP="00D35167">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2089A60A" w14:textId="29F382F8" w:rsidR="00D35167" w:rsidRDefault="00D35167" w:rsidP="00D35167">
            <w:pPr>
              <w:jc w:val="right"/>
              <w:rPr>
                <w:rFonts w:cs="Arial"/>
              </w:rPr>
            </w:pPr>
            <w:r w:rsidRPr="00D431FB">
              <w:rPr>
                <w:rFonts w:cs="Arial"/>
              </w:rPr>
              <w:t>7</w:t>
            </w:r>
          </w:p>
        </w:tc>
        <w:tc>
          <w:tcPr>
            <w:tcW w:w="992" w:type="dxa"/>
            <w:tcBorders>
              <w:top w:val="nil"/>
              <w:left w:val="nil"/>
              <w:bottom w:val="single" w:sz="4" w:space="0" w:color="auto"/>
              <w:right w:val="single" w:sz="4" w:space="0" w:color="auto"/>
            </w:tcBorders>
          </w:tcPr>
          <w:p w14:paraId="5BB38467" w14:textId="18B78806" w:rsidR="00D35167" w:rsidRDefault="00D35167" w:rsidP="00D35167">
            <w:pPr>
              <w:jc w:val="right"/>
              <w:rPr>
                <w:rFonts w:cs="Arial"/>
              </w:rPr>
            </w:pPr>
            <w:r w:rsidRPr="00B8398E">
              <w:rPr>
                <w:rFonts w:cs="Arial"/>
              </w:rPr>
              <w:t>11</w:t>
            </w:r>
          </w:p>
        </w:tc>
        <w:tc>
          <w:tcPr>
            <w:tcW w:w="992" w:type="dxa"/>
            <w:tcBorders>
              <w:top w:val="nil"/>
              <w:left w:val="nil"/>
              <w:bottom w:val="single" w:sz="4" w:space="0" w:color="auto"/>
              <w:right w:val="single" w:sz="4" w:space="0" w:color="auto"/>
            </w:tcBorders>
          </w:tcPr>
          <w:p w14:paraId="10EB5B28" w14:textId="54D54A1D" w:rsidR="00D35167" w:rsidRDefault="00D35167" w:rsidP="00D35167">
            <w:pPr>
              <w:jc w:val="right"/>
              <w:rPr>
                <w:rFonts w:cs="Arial"/>
              </w:rPr>
            </w:pPr>
            <w:r w:rsidRPr="00FB5CEB">
              <w:rPr>
                <w:rFonts w:cs="Arial"/>
              </w:rPr>
              <w:t>3</w:t>
            </w:r>
          </w:p>
        </w:tc>
        <w:tc>
          <w:tcPr>
            <w:tcW w:w="992" w:type="dxa"/>
            <w:tcBorders>
              <w:top w:val="nil"/>
              <w:left w:val="nil"/>
              <w:bottom w:val="single" w:sz="4" w:space="0" w:color="auto"/>
              <w:right w:val="single" w:sz="4" w:space="0" w:color="auto"/>
            </w:tcBorders>
          </w:tcPr>
          <w:p w14:paraId="3014CB0C" w14:textId="490D1F75" w:rsidR="00D35167" w:rsidRPr="00B8398E" w:rsidRDefault="00D35167" w:rsidP="00D35167">
            <w:pPr>
              <w:jc w:val="right"/>
              <w:rPr>
                <w:rFonts w:cs="Arial"/>
              </w:rPr>
            </w:pPr>
            <w:r w:rsidRPr="00545DC0">
              <w:rPr>
                <w:rFonts w:cs="Arial"/>
              </w:rPr>
              <w:t>6</w:t>
            </w:r>
          </w:p>
        </w:tc>
        <w:tc>
          <w:tcPr>
            <w:tcW w:w="993" w:type="dxa"/>
            <w:tcBorders>
              <w:top w:val="nil"/>
              <w:left w:val="nil"/>
              <w:bottom w:val="single" w:sz="4" w:space="0" w:color="auto"/>
              <w:right w:val="single" w:sz="4" w:space="0" w:color="auto"/>
            </w:tcBorders>
            <w:vAlign w:val="bottom"/>
          </w:tcPr>
          <w:p w14:paraId="28BE6A12" w14:textId="2D60E3A7" w:rsidR="00D35167" w:rsidRPr="00D35167" w:rsidRDefault="00D35167" w:rsidP="00D35167">
            <w:pPr>
              <w:jc w:val="right"/>
              <w:rPr>
                <w:rFonts w:cs="Arial"/>
              </w:rPr>
            </w:pPr>
            <w:r w:rsidRPr="00D35167">
              <w:rPr>
                <w:rFonts w:cs="Arial"/>
              </w:rPr>
              <w:t>10</w:t>
            </w:r>
          </w:p>
        </w:tc>
      </w:tr>
      <w:tr w:rsidR="00D35167" w:rsidRPr="00C5395B" w14:paraId="3E7CCA5C" w14:textId="77777777" w:rsidTr="003453AD">
        <w:trPr>
          <w:trHeight w:val="255"/>
        </w:trPr>
        <w:tc>
          <w:tcPr>
            <w:tcW w:w="2029" w:type="dxa"/>
            <w:tcBorders>
              <w:top w:val="nil"/>
              <w:left w:val="single" w:sz="4" w:space="0" w:color="auto"/>
              <w:bottom w:val="single" w:sz="4" w:space="0" w:color="auto"/>
              <w:right w:val="single" w:sz="4" w:space="0" w:color="auto"/>
            </w:tcBorders>
            <w:noWrap/>
            <w:hideMark/>
          </w:tcPr>
          <w:p w14:paraId="63F68BCF" w14:textId="77777777" w:rsidR="00D35167" w:rsidRPr="00C5395B" w:rsidRDefault="00D35167" w:rsidP="00D35167">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045E6AC8" w14:textId="24BA68D0" w:rsidR="00D35167" w:rsidRDefault="00D35167" w:rsidP="00D35167">
            <w:pPr>
              <w:jc w:val="right"/>
              <w:rPr>
                <w:rFonts w:cs="Arial"/>
              </w:rPr>
            </w:pPr>
            <w:r w:rsidRPr="00D431FB">
              <w:rPr>
                <w:rFonts w:cs="Arial"/>
              </w:rPr>
              <w:t>4</w:t>
            </w:r>
          </w:p>
        </w:tc>
        <w:tc>
          <w:tcPr>
            <w:tcW w:w="992" w:type="dxa"/>
            <w:tcBorders>
              <w:top w:val="nil"/>
              <w:left w:val="nil"/>
              <w:bottom w:val="single" w:sz="4" w:space="0" w:color="auto"/>
              <w:right w:val="single" w:sz="4" w:space="0" w:color="auto"/>
            </w:tcBorders>
          </w:tcPr>
          <w:p w14:paraId="35332152" w14:textId="0EF905BC" w:rsidR="00D35167" w:rsidRDefault="00D35167" w:rsidP="00D35167">
            <w:pPr>
              <w:jc w:val="right"/>
              <w:rPr>
                <w:rFonts w:cs="Arial"/>
              </w:rPr>
            </w:pPr>
            <w:r w:rsidRPr="00B8398E">
              <w:rPr>
                <w:rFonts w:cs="Arial"/>
              </w:rPr>
              <w:t>4</w:t>
            </w:r>
          </w:p>
        </w:tc>
        <w:tc>
          <w:tcPr>
            <w:tcW w:w="992" w:type="dxa"/>
            <w:tcBorders>
              <w:top w:val="nil"/>
              <w:left w:val="nil"/>
              <w:bottom w:val="single" w:sz="4" w:space="0" w:color="auto"/>
              <w:right w:val="single" w:sz="4" w:space="0" w:color="auto"/>
            </w:tcBorders>
          </w:tcPr>
          <w:p w14:paraId="05921624" w14:textId="5D59845D" w:rsidR="00D35167" w:rsidRDefault="00D35167" w:rsidP="00D35167">
            <w:pPr>
              <w:jc w:val="right"/>
              <w:rPr>
                <w:rFonts w:cs="Arial"/>
              </w:rPr>
            </w:pPr>
            <w:r w:rsidRPr="00FB5CEB">
              <w:rPr>
                <w:rFonts w:cs="Arial"/>
              </w:rPr>
              <w:t>4</w:t>
            </w:r>
          </w:p>
        </w:tc>
        <w:tc>
          <w:tcPr>
            <w:tcW w:w="992" w:type="dxa"/>
            <w:tcBorders>
              <w:top w:val="nil"/>
              <w:left w:val="nil"/>
              <w:bottom w:val="single" w:sz="4" w:space="0" w:color="auto"/>
              <w:right w:val="single" w:sz="4" w:space="0" w:color="auto"/>
            </w:tcBorders>
          </w:tcPr>
          <w:p w14:paraId="50682444" w14:textId="4AD752C8" w:rsidR="00D35167" w:rsidRPr="00B8398E" w:rsidRDefault="00D35167" w:rsidP="00D35167">
            <w:pPr>
              <w:jc w:val="right"/>
              <w:rPr>
                <w:rFonts w:cs="Arial"/>
              </w:rPr>
            </w:pPr>
            <w:r w:rsidRPr="00545DC0">
              <w:rPr>
                <w:rFonts w:cs="Arial"/>
              </w:rPr>
              <w:t>4</w:t>
            </w:r>
          </w:p>
        </w:tc>
        <w:tc>
          <w:tcPr>
            <w:tcW w:w="993" w:type="dxa"/>
            <w:tcBorders>
              <w:top w:val="nil"/>
              <w:left w:val="nil"/>
              <w:bottom w:val="single" w:sz="4" w:space="0" w:color="auto"/>
              <w:right w:val="single" w:sz="4" w:space="0" w:color="auto"/>
            </w:tcBorders>
            <w:vAlign w:val="bottom"/>
          </w:tcPr>
          <w:p w14:paraId="46441F97" w14:textId="19E08987" w:rsidR="00D35167" w:rsidRPr="00D35167" w:rsidRDefault="00D35167" w:rsidP="00D35167">
            <w:pPr>
              <w:jc w:val="right"/>
              <w:rPr>
                <w:rFonts w:cs="Arial"/>
              </w:rPr>
            </w:pPr>
            <w:r w:rsidRPr="00D35167">
              <w:rPr>
                <w:rFonts w:cs="Arial"/>
              </w:rPr>
              <w:t>8</w:t>
            </w:r>
          </w:p>
        </w:tc>
      </w:tr>
      <w:tr w:rsidR="00D35167" w:rsidRPr="00C5395B" w14:paraId="6111B2E1" w14:textId="77777777" w:rsidTr="003453AD">
        <w:trPr>
          <w:trHeight w:val="255"/>
        </w:trPr>
        <w:tc>
          <w:tcPr>
            <w:tcW w:w="2029" w:type="dxa"/>
            <w:tcBorders>
              <w:top w:val="nil"/>
              <w:left w:val="single" w:sz="4" w:space="0" w:color="auto"/>
              <w:bottom w:val="single" w:sz="4" w:space="0" w:color="auto"/>
              <w:right w:val="single" w:sz="4" w:space="0" w:color="auto"/>
            </w:tcBorders>
            <w:noWrap/>
            <w:hideMark/>
          </w:tcPr>
          <w:p w14:paraId="546BF17B" w14:textId="77777777" w:rsidR="00D35167" w:rsidRPr="00C5395B" w:rsidRDefault="00D35167" w:rsidP="00D35167">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4C1BCF27" w14:textId="40A10136" w:rsidR="00D35167" w:rsidRDefault="00D35167" w:rsidP="00D35167">
            <w:pPr>
              <w:pStyle w:val="TableText"/>
              <w:jc w:val="right"/>
              <w:rPr>
                <w:b/>
                <w:lang w:eastAsia="en-AU"/>
              </w:rPr>
            </w:pPr>
            <w:r w:rsidRPr="00D431FB">
              <w:rPr>
                <w:rFonts w:cs="Arial"/>
                <w:b/>
                <w:bCs/>
              </w:rPr>
              <w:t>46</w:t>
            </w:r>
          </w:p>
        </w:tc>
        <w:tc>
          <w:tcPr>
            <w:tcW w:w="992" w:type="dxa"/>
            <w:tcBorders>
              <w:top w:val="nil"/>
              <w:left w:val="nil"/>
              <w:bottom w:val="single" w:sz="4" w:space="0" w:color="auto"/>
              <w:right w:val="single" w:sz="4" w:space="0" w:color="auto"/>
            </w:tcBorders>
          </w:tcPr>
          <w:p w14:paraId="61E6F258" w14:textId="66482B76" w:rsidR="00D35167" w:rsidRDefault="00D35167" w:rsidP="00D35167">
            <w:pPr>
              <w:pStyle w:val="TableText"/>
              <w:jc w:val="right"/>
              <w:rPr>
                <w:b/>
                <w:lang w:eastAsia="en-AU"/>
              </w:rPr>
            </w:pPr>
            <w:r w:rsidRPr="00B8398E">
              <w:rPr>
                <w:rFonts w:cs="Arial"/>
                <w:b/>
                <w:bCs/>
              </w:rPr>
              <w:t>32</w:t>
            </w:r>
          </w:p>
        </w:tc>
        <w:tc>
          <w:tcPr>
            <w:tcW w:w="992" w:type="dxa"/>
            <w:tcBorders>
              <w:top w:val="nil"/>
              <w:left w:val="nil"/>
              <w:bottom w:val="single" w:sz="4" w:space="0" w:color="auto"/>
              <w:right w:val="single" w:sz="4" w:space="0" w:color="auto"/>
            </w:tcBorders>
          </w:tcPr>
          <w:p w14:paraId="73EBF860" w14:textId="2C9DF0F9" w:rsidR="00D35167" w:rsidRDefault="00D35167" w:rsidP="00D35167">
            <w:pPr>
              <w:pStyle w:val="TableText"/>
              <w:jc w:val="right"/>
              <w:rPr>
                <w:b/>
                <w:lang w:eastAsia="en-AU"/>
              </w:rPr>
            </w:pPr>
            <w:r w:rsidRPr="00FB5CEB">
              <w:rPr>
                <w:rFonts w:cs="Arial"/>
                <w:b/>
                <w:bCs/>
              </w:rPr>
              <w:t>34</w:t>
            </w:r>
          </w:p>
        </w:tc>
        <w:tc>
          <w:tcPr>
            <w:tcW w:w="992" w:type="dxa"/>
            <w:tcBorders>
              <w:top w:val="nil"/>
              <w:left w:val="nil"/>
              <w:bottom w:val="single" w:sz="4" w:space="0" w:color="auto"/>
              <w:right w:val="single" w:sz="4" w:space="0" w:color="auto"/>
            </w:tcBorders>
          </w:tcPr>
          <w:p w14:paraId="3EA475FC" w14:textId="20296E02" w:rsidR="00D35167" w:rsidRPr="00B8398E" w:rsidRDefault="00D35167" w:rsidP="00D35167">
            <w:pPr>
              <w:pStyle w:val="TableText"/>
              <w:jc w:val="right"/>
              <w:rPr>
                <w:rFonts w:cs="Arial"/>
                <w:b/>
                <w:bCs/>
              </w:rPr>
            </w:pPr>
            <w:r w:rsidRPr="00545DC0">
              <w:rPr>
                <w:rFonts w:cs="Arial"/>
                <w:b/>
                <w:bCs/>
              </w:rPr>
              <w:t>51</w:t>
            </w:r>
          </w:p>
        </w:tc>
        <w:tc>
          <w:tcPr>
            <w:tcW w:w="993" w:type="dxa"/>
            <w:tcBorders>
              <w:top w:val="nil"/>
              <w:left w:val="nil"/>
              <w:bottom w:val="single" w:sz="4" w:space="0" w:color="auto"/>
              <w:right w:val="single" w:sz="4" w:space="0" w:color="auto"/>
            </w:tcBorders>
            <w:vAlign w:val="bottom"/>
          </w:tcPr>
          <w:p w14:paraId="464F08CE" w14:textId="2668CC2A" w:rsidR="00D35167" w:rsidRPr="00D35167" w:rsidRDefault="00D35167" w:rsidP="00D35167">
            <w:pPr>
              <w:pStyle w:val="TableText"/>
              <w:jc w:val="right"/>
              <w:rPr>
                <w:rFonts w:cs="Arial"/>
                <w:b/>
                <w:bCs/>
              </w:rPr>
            </w:pPr>
            <w:r w:rsidRPr="00D35167">
              <w:rPr>
                <w:rFonts w:cs="Arial"/>
                <w:b/>
                <w:bCs/>
              </w:rPr>
              <w:t>68</w:t>
            </w:r>
          </w:p>
        </w:tc>
      </w:tr>
    </w:tbl>
    <w:p w14:paraId="7F085F17" w14:textId="77777777" w:rsidR="00F832E3" w:rsidRDefault="00F832E3" w:rsidP="00F832E3">
      <w:pPr>
        <w:ind w:left="-142" w:right="-425"/>
        <w:jc w:val="both"/>
        <w:rPr>
          <w:rFonts w:cs="Arial"/>
        </w:rPr>
      </w:pPr>
    </w:p>
    <w:p w14:paraId="3A5902A6" w14:textId="5B282476" w:rsidR="001748A5" w:rsidRDefault="001748A5" w:rsidP="001748A5">
      <w:pPr>
        <w:spacing w:after="120" w:line="240" w:lineRule="auto"/>
        <w:ind w:left="794" w:hanging="794"/>
        <w:rPr>
          <w:sz w:val="16"/>
          <w:szCs w:val="16"/>
        </w:rPr>
      </w:pPr>
      <w:r w:rsidRPr="006C6A65">
        <w:rPr>
          <w:b/>
          <w:sz w:val="16"/>
          <w:szCs w:val="16"/>
        </w:rPr>
        <w:t xml:space="preserve">Table </w:t>
      </w:r>
      <w:r w:rsidR="00D35167">
        <w:rPr>
          <w:b/>
          <w:sz w:val="16"/>
          <w:szCs w:val="16"/>
        </w:rPr>
        <w:t>1</w:t>
      </w:r>
      <w:r w:rsidR="003453AD">
        <w:rPr>
          <w:b/>
          <w:sz w:val="16"/>
          <w:szCs w:val="16"/>
        </w:rPr>
        <w:t>4</w:t>
      </w:r>
      <w:r w:rsidRPr="006C6A65">
        <w:rPr>
          <w:b/>
          <w:sz w:val="16"/>
          <w:szCs w:val="16"/>
        </w:rPr>
        <w:t>:</w:t>
      </w:r>
      <w:r w:rsidRPr="006C6A65">
        <w:rPr>
          <w:sz w:val="16"/>
          <w:szCs w:val="16"/>
        </w:rPr>
        <w:t xml:space="preserve"> Number of conferences held </w:t>
      </w:r>
      <w:r>
        <w:rPr>
          <w:sz w:val="16"/>
          <w:szCs w:val="16"/>
        </w:rPr>
        <w:t>in relation to domestic violence</w:t>
      </w:r>
      <w:r w:rsidRPr="006C6A65">
        <w:rPr>
          <w:sz w:val="16"/>
          <w:szCs w:val="16"/>
        </w:rPr>
        <w:t xml:space="preserve"> notice</w:t>
      </w:r>
      <w:r>
        <w:rPr>
          <w:sz w:val="16"/>
          <w:szCs w:val="16"/>
        </w:rPr>
        <w:t>s</w:t>
      </w:r>
      <w:r w:rsidRPr="006C6A65">
        <w:rPr>
          <w:sz w:val="16"/>
          <w:szCs w:val="16"/>
        </w:rPr>
        <w:t xml:space="preserve"> (breaches and orders) per community </w:t>
      </w:r>
      <w:r>
        <w:rPr>
          <w:sz w:val="16"/>
          <w:szCs w:val="16"/>
        </w:rPr>
        <w:br/>
      </w:r>
      <w:r w:rsidRPr="006C6A65">
        <w:rPr>
          <w:sz w:val="16"/>
          <w:szCs w:val="16"/>
        </w:rPr>
        <w:t xml:space="preserve">1 </w:t>
      </w:r>
      <w:r w:rsidR="009A7C28">
        <w:rPr>
          <w:sz w:val="16"/>
          <w:szCs w:val="16"/>
        </w:rPr>
        <w:t>January 2021</w:t>
      </w:r>
      <w:r w:rsidR="00A41820">
        <w:rPr>
          <w:sz w:val="16"/>
          <w:szCs w:val="16"/>
        </w:rPr>
        <w:t xml:space="preserve"> to 3</w:t>
      </w:r>
      <w:r w:rsidR="004965B3">
        <w:rPr>
          <w:sz w:val="16"/>
          <w:szCs w:val="16"/>
        </w:rPr>
        <w:t xml:space="preserve">1 </w:t>
      </w:r>
      <w:r w:rsidR="009A7C28">
        <w:rPr>
          <w:sz w:val="16"/>
          <w:szCs w:val="16"/>
        </w:rPr>
        <w:t>March 2021</w:t>
      </w:r>
      <w:r>
        <w:rPr>
          <w:sz w:val="16"/>
          <w:szCs w:val="16"/>
        </w:rPr>
        <w:t>.</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1748A5" w:rsidRPr="00650B45" w14:paraId="1769125C"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03C765D6" w14:textId="77777777" w:rsidR="001748A5" w:rsidRPr="0040594D" w:rsidRDefault="001748A5" w:rsidP="0087357E">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139A79D1" w14:textId="77777777" w:rsidR="001748A5" w:rsidRPr="0040594D" w:rsidRDefault="001748A5" w:rsidP="0087357E">
            <w:pPr>
              <w:spacing w:line="240" w:lineRule="auto"/>
              <w:jc w:val="right"/>
              <w:rPr>
                <w:rFonts w:cs="Arial"/>
                <w:b/>
                <w:bCs/>
                <w:lang w:eastAsia="en-AU"/>
              </w:rPr>
            </w:pPr>
            <w:r>
              <w:rPr>
                <w:rFonts w:cs="Arial"/>
                <w:b/>
                <w:bCs/>
                <w:lang w:eastAsia="en-AU"/>
              </w:rPr>
              <w:t>AU</w:t>
            </w:r>
          </w:p>
        </w:tc>
        <w:tc>
          <w:tcPr>
            <w:tcW w:w="784" w:type="dxa"/>
            <w:tcBorders>
              <w:top w:val="single" w:sz="4" w:space="0" w:color="auto"/>
              <w:left w:val="nil"/>
              <w:bottom w:val="single" w:sz="4" w:space="0" w:color="auto"/>
              <w:right w:val="single" w:sz="4" w:space="0" w:color="auto"/>
            </w:tcBorders>
            <w:shd w:val="clear" w:color="auto" w:fill="auto"/>
            <w:hideMark/>
          </w:tcPr>
          <w:p w14:paraId="28400DCF" w14:textId="77777777" w:rsidR="001748A5" w:rsidRPr="0040594D" w:rsidRDefault="001748A5" w:rsidP="0087357E">
            <w:pPr>
              <w:spacing w:line="240" w:lineRule="auto"/>
              <w:jc w:val="right"/>
              <w:rPr>
                <w:rFonts w:cs="Arial"/>
                <w:b/>
                <w:bCs/>
                <w:lang w:eastAsia="en-AU"/>
              </w:rPr>
            </w:pPr>
            <w:r>
              <w:rPr>
                <w:rFonts w:cs="Arial"/>
                <w:b/>
                <w:bCs/>
                <w:lang w:eastAsia="en-AU"/>
              </w:rPr>
              <w:t>CO</w:t>
            </w:r>
          </w:p>
        </w:tc>
        <w:tc>
          <w:tcPr>
            <w:tcW w:w="784" w:type="dxa"/>
            <w:tcBorders>
              <w:top w:val="single" w:sz="4" w:space="0" w:color="auto"/>
              <w:left w:val="nil"/>
              <w:bottom w:val="single" w:sz="4" w:space="0" w:color="auto"/>
              <w:right w:val="single" w:sz="4" w:space="0" w:color="auto"/>
            </w:tcBorders>
          </w:tcPr>
          <w:p w14:paraId="3C5E9198" w14:textId="77777777" w:rsidR="001748A5" w:rsidRPr="0040594D" w:rsidRDefault="001748A5" w:rsidP="0087357E">
            <w:pPr>
              <w:spacing w:line="240" w:lineRule="auto"/>
              <w:jc w:val="right"/>
              <w:rPr>
                <w:rFonts w:cs="Arial"/>
                <w:b/>
                <w:bCs/>
                <w:lang w:eastAsia="en-AU"/>
              </w:rPr>
            </w:pPr>
            <w:r>
              <w:rPr>
                <w:rFonts w:cs="Arial"/>
                <w:b/>
                <w:bCs/>
                <w:lang w:eastAsia="en-AU"/>
              </w:rPr>
              <w:t>HV</w:t>
            </w:r>
          </w:p>
        </w:tc>
        <w:tc>
          <w:tcPr>
            <w:tcW w:w="784" w:type="dxa"/>
            <w:tcBorders>
              <w:top w:val="single" w:sz="4" w:space="0" w:color="auto"/>
              <w:left w:val="nil"/>
              <w:bottom w:val="single" w:sz="4" w:space="0" w:color="auto"/>
              <w:right w:val="single" w:sz="4" w:space="0" w:color="auto"/>
            </w:tcBorders>
          </w:tcPr>
          <w:p w14:paraId="1304546E" w14:textId="77777777" w:rsidR="001748A5" w:rsidRPr="0040594D" w:rsidRDefault="001748A5" w:rsidP="0087357E">
            <w:pPr>
              <w:spacing w:line="240" w:lineRule="auto"/>
              <w:jc w:val="right"/>
              <w:rPr>
                <w:rFonts w:cs="Arial"/>
                <w:b/>
                <w:bCs/>
                <w:lang w:eastAsia="en-AU"/>
              </w:rPr>
            </w:pPr>
            <w:r>
              <w:rPr>
                <w:rFonts w:cs="Arial"/>
                <w:b/>
                <w:bCs/>
                <w:lang w:eastAsia="en-AU"/>
              </w:rPr>
              <w:t>MG</w:t>
            </w:r>
          </w:p>
        </w:tc>
        <w:tc>
          <w:tcPr>
            <w:tcW w:w="784" w:type="dxa"/>
            <w:tcBorders>
              <w:top w:val="single" w:sz="4" w:space="0" w:color="auto"/>
              <w:left w:val="nil"/>
              <w:bottom w:val="single" w:sz="4" w:space="0" w:color="auto"/>
              <w:right w:val="single" w:sz="4" w:space="0" w:color="auto"/>
            </w:tcBorders>
          </w:tcPr>
          <w:p w14:paraId="2827BC21" w14:textId="77777777" w:rsidR="001748A5" w:rsidRPr="0040594D" w:rsidRDefault="001748A5" w:rsidP="0087357E">
            <w:pPr>
              <w:spacing w:line="240" w:lineRule="auto"/>
              <w:jc w:val="right"/>
              <w:rPr>
                <w:rFonts w:cs="Arial"/>
                <w:b/>
                <w:bCs/>
                <w:lang w:eastAsia="en-AU"/>
              </w:rPr>
            </w:pPr>
            <w:r>
              <w:rPr>
                <w:rFonts w:cs="Arial"/>
                <w:b/>
                <w:bCs/>
                <w:lang w:eastAsia="en-AU"/>
              </w:rPr>
              <w:t>Total</w:t>
            </w:r>
          </w:p>
        </w:tc>
      </w:tr>
      <w:tr w:rsidR="00C87394" w:rsidRPr="0094558B" w14:paraId="2A713E69"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34F21B21" w14:textId="77777777" w:rsidR="00C87394" w:rsidRPr="00640E37" w:rsidRDefault="00C87394" w:rsidP="00C87394">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center"/>
          </w:tcPr>
          <w:p w14:paraId="4707944F" w14:textId="3987E9EE" w:rsidR="00C87394" w:rsidRPr="0094558B" w:rsidRDefault="00C87394" w:rsidP="00C87394">
            <w:pPr>
              <w:spacing w:line="240" w:lineRule="auto"/>
              <w:jc w:val="right"/>
              <w:rPr>
                <w:rFonts w:cs="Arial"/>
                <w:bCs/>
                <w:lang w:eastAsia="en-AU"/>
              </w:rPr>
            </w:pPr>
            <w:r>
              <w:rPr>
                <w:rFonts w:cs="Arial"/>
              </w:rPr>
              <w:t>2</w:t>
            </w:r>
          </w:p>
        </w:tc>
        <w:tc>
          <w:tcPr>
            <w:tcW w:w="784" w:type="dxa"/>
            <w:tcBorders>
              <w:top w:val="single" w:sz="4" w:space="0" w:color="auto"/>
              <w:left w:val="nil"/>
              <w:bottom w:val="single" w:sz="4" w:space="0" w:color="auto"/>
              <w:right w:val="single" w:sz="4" w:space="0" w:color="auto"/>
            </w:tcBorders>
            <w:shd w:val="clear" w:color="auto" w:fill="auto"/>
            <w:vAlign w:val="center"/>
          </w:tcPr>
          <w:p w14:paraId="08D173F1" w14:textId="2E262242" w:rsidR="00C87394" w:rsidRPr="0094558B" w:rsidRDefault="00C87394" w:rsidP="00C87394">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6659A4D6" w14:textId="07FD0CCE" w:rsidR="00C87394" w:rsidRPr="0094558B" w:rsidRDefault="00C87394" w:rsidP="00C87394">
            <w:pPr>
              <w:spacing w:line="240" w:lineRule="auto"/>
              <w:jc w:val="right"/>
              <w:rPr>
                <w:rFonts w:cs="Arial"/>
                <w:bCs/>
                <w:lang w:eastAsia="en-AU"/>
              </w:rPr>
            </w:pPr>
            <w:r>
              <w:rPr>
                <w:rFonts w:cs="Arial"/>
              </w:rPr>
              <w:t>0</w:t>
            </w:r>
          </w:p>
        </w:tc>
        <w:tc>
          <w:tcPr>
            <w:tcW w:w="784" w:type="dxa"/>
            <w:tcBorders>
              <w:top w:val="single" w:sz="4" w:space="0" w:color="auto"/>
              <w:left w:val="nil"/>
              <w:bottom w:val="single" w:sz="4" w:space="0" w:color="auto"/>
              <w:right w:val="single" w:sz="4" w:space="0" w:color="auto"/>
            </w:tcBorders>
            <w:vAlign w:val="center"/>
          </w:tcPr>
          <w:p w14:paraId="1815A01A" w14:textId="11E0F19D" w:rsidR="00C87394" w:rsidRPr="0094558B" w:rsidRDefault="00C87394" w:rsidP="00C87394">
            <w:pPr>
              <w:spacing w:line="240" w:lineRule="auto"/>
              <w:jc w:val="right"/>
              <w:rPr>
                <w:rFonts w:cs="Arial"/>
                <w:bCs/>
                <w:lang w:eastAsia="en-AU"/>
              </w:rPr>
            </w:pPr>
            <w:r>
              <w:rPr>
                <w:rFonts w:cs="Arial"/>
              </w:rPr>
              <w:t>1</w:t>
            </w:r>
          </w:p>
        </w:tc>
        <w:tc>
          <w:tcPr>
            <w:tcW w:w="784" w:type="dxa"/>
            <w:tcBorders>
              <w:top w:val="single" w:sz="4" w:space="0" w:color="auto"/>
              <w:left w:val="nil"/>
              <w:bottom w:val="single" w:sz="4" w:space="0" w:color="auto"/>
              <w:right w:val="single" w:sz="4" w:space="0" w:color="auto"/>
            </w:tcBorders>
            <w:vAlign w:val="center"/>
          </w:tcPr>
          <w:p w14:paraId="10ABD0AD" w14:textId="7DA1BF0A" w:rsidR="00C87394" w:rsidRPr="0094558B" w:rsidRDefault="00C87394" w:rsidP="00C87394">
            <w:pPr>
              <w:spacing w:line="240" w:lineRule="auto"/>
              <w:jc w:val="right"/>
              <w:rPr>
                <w:rFonts w:cs="Arial"/>
                <w:b/>
                <w:bCs/>
                <w:lang w:eastAsia="en-AU"/>
              </w:rPr>
            </w:pPr>
            <w:r>
              <w:rPr>
                <w:rFonts w:cs="Arial"/>
                <w:b/>
                <w:bCs/>
              </w:rPr>
              <w:t>3</w:t>
            </w:r>
          </w:p>
        </w:tc>
      </w:tr>
      <w:tr w:rsidR="00C87394" w:rsidRPr="00650B45" w14:paraId="5725BEC2"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55741983" w14:textId="77777777" w:rsidR="00C87394" w:rsidRPr="00640E37" w:rsidRDefault="00C87394" w:rsidP="00C87394">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6203887C" w14:textId="412AECE0" w:rsidR="00C87394" w:rsidRPr="0040594D" w:rsidRDefault="00C87394" w:rsidP="00C87394">
            <w:pPr>
              <w:spacing w:line="240" w:lineRule="auto"/>
              <w:jc w:val="right"/>
              <w:rPr>
                <w:rFonts w:cs="Arial"/>
                <w:lang w:eastAsia="en-AU"/>
              </w:rPr>
            </w:pPr>
            <w:r>
              <w:rPr>
                <w:rFonts w:cs="Arial"/>
              </w:rPr>
              <w:t>4</w:t>
            </w:r>
          </w:p>
        </w:tc>
        <w:tc>
          <w:tcPr>
            <w:tcW w:w="784" w:type="dxa"/>
            <w:tcBorders>
              <w:top w:val="nil"/>
              <w:left w:val="nil"/>
              <w:bottom w:val="single" w:sz="4" w:space="0" w:color="auto"/>
              <w:right w:val="single" w:sz="4" w:space="0" w:color="auto"/>
            </w:tcBorders>
            <w:shd w:val="clear" w:color="auto" w:fill="auto"/>
            <w:vAlign w:val="center"/>
          </w:tcPr>
          <w:p w14:paraId="3C97EB58" w14:textId="26CE2C29" w:rsidR="00C87394" w:rsidRPr="0040594D" w:rsidRDefault="00C87394" w:rsidP="00C87394">
            <w:pPr>
              <w:spacing w:line="240" w:lineRule="auto"/>
              <w:jc w:val="right"/>
              <w:rPr>
                <w:rFonts w:cs="Arial"/>
                <w:lang w:eastAsia="en-AU"/>
              </w:rPr>
            </w:pPr>
            <w:r>
              <w:rPr>
                <w:rFonts w:cs="Arial"/>
              </w:rPr>
              <w:t>0</w:t>
            </w:r>
          </w:p>
        </w:tc>
        <w:tc>
          <w:tcPr>
            <w:tcW w:w="784" w:type="dxa"/>
            <w:tcBorders>
              <w:top w:val="nil"/>
              <w:left w:val="nil"/>
              <w:bottom w:val="single" w:sz="4" w:space="0" w:color="auto"/>
              <w:right w:val="single" w:sz="4" w:space="0" w:color="auto"/>
            </w:tcBorders>
            <w:vAlign w:val="center"/>
          </w:tcPr>
          <w:p w14:paraId="2B2C50D5" w14:textId="4E80F21E" w:rsidR="00C87394" w:rsidRDefault="00C87394" w:rsidP="00C87394">
            <w:pPr>
              <w:spacing w:line="240" w:lineRule="auto"/>
              <w:jc w:val="right"/>
              <w:rPr>
                <w:rFonts w:cs="Arial"/>
                <w:lang w:eastAsia="en-AU"/>
              </w:rPr>
            </w:pPr>
            <w:r>
              <w:rPr>
                <w:rFonts w:cs="Arial"/>
              </w:rPr>
              <w:t>2</w:t>
            </w:r>
          </w:p>
        </w:tc>
        <w:tc>
          <w:tcPr>
            <w:tcW w:w="784" w:type="dxa"/>
            <w:tcBorders>
              <w:top w:val="nil"/>
              <w:left w:val="nil"/>
              <w:bottom w:val="single" w:sz="4" w:space="0" w:color="auto"/>
              <w:right w:val="single" w:sz="4" w:space="0" w:color="auto"/>
            </w:tcBorders>
            <w:vAlign w:val="center"/>
          </w:tcPr>
          <w:p w14:paraId="5E25C841" w14:textId="43D53ED7" w:rsidR="00C87394" w:rsidRDefault="00C87394" w:rsidP="00C87394">
            <w:pPr>
              <w:spacing w:line="240" w:lineRule="auto"/>
              <w:jc w:val="right"/>
              <w:rPr>
                <w:rFonts w:cs="Arial"/>
                <w:lang w:eastAsia="en-AU"/>
              </w:rPr>
            </w:pPr>
            <w:r>
              <w:rPr>
                <w:rFonts w:cs="Arial"/>
              </w:rPr>
              <w:t>1</w:t>
            </w:r>
          </w:p>
        </w:tc>
        <w:tc>
          <w:tcPr>
            <w:tcW w:w="784" w:type="dxa"/>
            <w:tcBorders>
              <w:top w:val="nil"/>
              <w:left w:val="nil"/>
              <w:bottom w:val="single" w:sz="4" w:space="0" w:color="auto"/>
              <w:right w:val="single" w:sz="4" w:space="0" w:color="auto"/>
            </w:tcBorders>
            <w:vAlign w:val="center"/>
          </w:tcPr>
          <w:p w14:paraId="6A804D63" w14:textId="66D8A50E" w:rsidR="00C87394" w:rsidRPr="0094558B" w:rsidRDefault="00C87394" w:rsidP="00C87394">
            <w:pPr>
              <w:spacing w:line="240" w:lineRule="auto"/>
              <w:jc w:val="right"/>
              <w:rPr>
                <w:rFonts w:cs="Arial"/>
                <w:b/>
                <w:lang w:eastAsia="en-AU"/>
              </w:rPr>
            </w:pPr>
            <w:r>
              <w:rPr>
                <w:rFonts w:cs="Arial"/>
                <w:b/>
                <w:bCs/>
              </w:rPr>
              <w:t>7</w:t>
            </w:r>
          </w:p>
        </w:tc>
      </w:tr>
      <w:tr w:rsidR="00C87394" w:rsidRPr="00650B45" w14:paraId="6D0F82C5"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5E13F29D" w14:textId="77777777" w:rsidR="00C87394" w:rsidRPr="00640E37" w:rsidRDefault="00C87394" w:rsidP="00C87394">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center"/>
          </w:tcPr>
          <w:p w14:paraId="3E4F5E95" w14:textId="2040F9F5" w:rsidR="00C87394" w:rsidRPr="0040594D" w:rsidRDefault="00C87394" w:rsidP="00C87394">
            <w:pPr>
              <w:spacing w:line="240" w:lineRule="auto"/>
              <w:jc w:val="right"/>
              <w:rPr>
                <w:rFonts w:cs="Arial"/>
                <w:lang w:eastAsia="en-AU"/>
              </w:rPr>
            </w:pPr>
            <w:r>
              <w:rPr>
                <w:rFonts w:cs="Arial"/>
              </w:rPr>
              <w:t>40</w:t>
            </w:r>
          </w:p>
        </w:tc>
        <w:tc>
          <w:tcPr>
            <w:tcW w:w="784" w:type="dxa"/>
            <w:tcBorders>
              <w:top w:val="nil"/>
              <w:left w:val="nil"/>
              <w:bottom w:val="single" w:sz="4" w:space="0" w:color="auto"/>
              <w:right w:val="single" w:sz="4" w:space="0" w:color="auto"/>
            </w:tcBorders>
            <w:shd w:val="clear" w:color="auto" w:fill="auto"/>
            <w:vAlign w:val="center"/>
          </w:tcPr>
          <w:p w14:paraId="05EC430A" w14:textId="77C1E6BF" w:rsidR="00C87394" w:rsidRDefault="00C87394" w:rsidP="00C87394">
            <w:pPr>
              <w:spacing w:line="240" w:lineRule="auto"/>
              <w:jc w:val="right"/>
              <w:rPr>
                <w:rFonts w:cs="Arial"/>
                <w:lang w:eastAsia="en-AU"/>
              </w:rPr>
            </w:pPr>
            <w:r>
              <w:rPr>
                <w:rFonts w:cs="Arial"/>
              </w:rPr>
              <w:t>4</w:t>
            </w:r>
          </w:p>
        </w:tc>
        <w:tc>
          <w:tcPr>
            <w:tcW w:w="784" w:type="dxa"/>
            <w:tcBorders>
              <w:top w:val="nil"/>
              <w:left w:val="nil"/>
              <w:bottom w:val="single" w:sz="4" w:space="0" w:color="auto"/>
              <w:right w:val="single" w:sz="4" w:space="0" w:color="auto"/>
            </w:tcBorders>
            <w:vAlign w:val="center"/>
          </w:tcPr>
          <w:p w14:paraId="53D47FFE" w14:textId="64BE16CF" w:rsidR="00C87394" w:rsidRDefault="00C87394" w:rsidP="00C87394">
            <w:pPr>
              <w:spacing w:line="240" w:lineRule="auto"/>
              <w:jc w:val="right"/>
              <w:rPr>
                <w:rFonts w:cs="Arial"/>
                <w:lang w:eastAsia="en-AU"/>
              </w:rPr>
            </w:pPr>
            <w:r>
              <w:rPr>
                <w:rFonts w:cs="Arial"/>
              </w:rPr>
              <w:t>8</w:t>
            </w:r>
          </w:p>
        </w:tc>
        <w:tc>
          <w:tcPr>
            <w:tcW w:w="784" w:type="dxa"/>
            <w:tcBorders>
              <w:top w:val="nil"/>
              <w:left w:val="nil"/>
              <w:bottom w:val="single" w:sz="4" w:space="0" w:color="auto"/>
              <w:right w:val="single" w:sz="4" w:space="0" w:color="auto"/>
            </w:tcBorders>
            <w:vAlign w:val="center"/>
          </w:tcPr>
          <w:p w14:paraId="1A3F174E" w14:textId="6B7DF2EA" w:rsidR="00C87394" w:rsidRDefault="00C87394" w:rsidP="00C87394">
            <w:pPr>
              <w:spacing w:line="240" w:lineRule="auto"/>
              <w:jc w:val="right"/>
              <w:rPr>
                <w:rFonts w:cs="Arial"/>
                <w:lang w:eastAsia="en-AU"/>
              </w:rPr>
            </w:pPr>
            <w:r>
              <w:rPr>
                <w:rFonts w:cs="Arial"/>
              </w:rPr>
              <w:t>6</w:t>
            </w:r>
          </w:p>
        </w:tc>
        <w:tc>
          <w:tcPr>
            <w:tcW w:w="784" w:type="dxa"/>
            <w:tcBorders>
              <w:top w:val="nil"/>
              <w:left w:val="nil"/>
              <w:bottom w:val="single" w:sz="4" w:space="0" w:color="auto"/>
              <w:right w:val="single" w:sz="4" w:space="0" w:color="auto"/>
            </w:tcBorders>
            <w:vAlign w:val="center"/>
          </w:tcPr>
          <w:p w14:paraId="016DD19F" w14:textId="59DCF48A" w:rsidR="00C87394" w:rsidRPr="0094558B" w:rsidRDefault="00C87394" w:rsidP="00C87394">
            <w:pPr>
              <w:spacing w:line="240" w:lineRule="auto"/>
              <w:jc w:val="right"/>
              <w:rPr>
                <w:rFonts w:cs="Arial"/>
                <w:b/>
                <w:lang w:eastAsia="en-AU"/>
              </w:rPr>
            </w:pPr>
            <w:r>
              <w:rPr>
                <w:rFonts w:cs="Arial"/>
                <w:b/>
                <w:bCs/>
              </w:rPr>
              <w:t>58</w:t>
            </w:r>
          </w:p>
        </w:tc>
      </w:tr>
      <w:tr w:rsidR="00C87394" w:rsidRPr="00557E24" w14:paraId="63F8D415"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18C0BF" w14:textId="77777777" w:rsidR="00C87394" w:rsidRPr="00557E24" w:rsidRDefault="00C87394" w:rsidP="00C87394">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center"/>
          </w:tcPr>
          <w:p w14:paraId="5BA72418" w14:textId="0C9E43F4" w:rsidR="00C87394" w:rsidRPr="00557E24" w:rsidRDefault="00C87394" w:rsidP="00C87394">
            <w:pPr>
              <w:spacing w:line="240" w:lineRule="auto"/>
              <w:jc w:val="right"/>
              <w:rPr>
                <w:rFonts w:cs="Arial"/>
                <w:b/>
                <w:lang w:eastAsia="en-AU"/>
              </w:rPr>
            </w:pPr>
            <w:r>
              <w:rPr>
                <w:rFonts w:cs="Arial"/>
                <w:b/>
                <w:bCs/>
              </w:rPr>
              <w:t>46</w:t>
            </w:r>
          </w:p>
        </w:tc>
        <w:tc>
          <w:tcPr>
            <w:tcW w:w="784" w:type="dxa"/>
            <w:tcBorders>
              <w:top w:val="single" w:sz="4" w:space="0" w:color="auto"/>
              <w:left w:val="nil"/>
              <w:bottom w:val="single" w:sz="4" w:space="0" w:color="auto"/>
              <w:right w:val="single" w:sz="4" w:space="0" w:color="auto"/>
            </w:tcBorders>
            <w:shd w:val="clear" w:color="auto" w:fill="auto"/>
            <w:vAlign w:val="center"/>
          </w:tcPr>
          <w:p w14:paraId="36209C37" w14:textId="2EA197BF" w:rsidR="00C87394" w:rsidRPr="00557E24" w:rsidRDefault="00C87394" w:rsidP="00C87394">
            <w:pPr>
              <w:spacing w:line="240" w:lineRule="auto"/>
              <w:jc w:val="right"/>
              <w:rPr>
                <w:rFonts w:cs="Arial"/>
                <w:b/>
                <w:lang w:eastAsia="en-AU"/>
              </w:rPr>
            </w:pPr>
            <w:r>
              <w:rPr>
                <w:rFonts w:cs="Arial"/>
                <w:b/>
                <w:bCs/>
              </w:rPr>
              <w:t>4</w:t>
            </w:r>
          </w:p>
        </w:tc>
        <w:tc>
          <w:tcPr>
            <w:tcW w:w="784" w:type="dxa"/>
            <w:tcBorders>
              <w:top w:val="single" w:sz="4" w:space="0" w:color="auto"/>
              <w:left w:val="nil"/>
              <w:bottom w:val="single" w:sz="4" w:space="0" w:color="auto"/>
              <w:right w:val="single" w:sz="4" w:space="0" w:color="auto"/>
            </w:tcBorders>
            <w:vAlign w:val="center"/>
          </w:tcPr>
          <w:p w14:paraId="1C15A840" w14:textId="08474565" w:rsidR="00C87394" w:rsidRPr="00557E24" w:rsidRDefault="00C87394" w:rsidP="00C87394">
            <w:pPr>
              <w:spacing w:line="240" w:lineRule="auto"/>
              <w:jc w:val="right"/>
              <w:rPr>
                <w:rFonts w:cs="Arial"/>
                <w:b/>
                <w:lang w:eastAsia="en-AU"/>
              </w:rPr>
            </w:pPr>
            <w:r>
              <w:rPr>
                <w:rFonts w:cs="Arial"/>
                <w:b/>
                <w:bCs/>
              </w:rPr>
              <w:t>10</w:t>
            </w:r>
          </w:p>
        </w:tc>
        <w:tc>
          <w:tcPr>
            <w:tcW w:w="784" w:type="dxa"/>
            <w:tcBorders>
              <w:top w:val="single" w:sz="4" w:space="0" w:color="auto"/>
              <w:left w:val="nil"/>
              <w:bottom w:val="single" w:sz="4" w:space="0" w:color="auto"/>
              <w:right w:val="single" w:sz="4" w:space="0" w:color="auto"/>
            </w:tcBorders>
            <w:vAlign w:val="center"/>
          </w:tcPr>
          <w:p w14:paraId="05E4508F" w14:textId="313DE05A" w:rsidR="00C87394" w:rsidRPr="00557E24" w:rsidRDefault="00C87394" w:rsidP="00C87394">
            <w:pPr>
              <w:spacing w:line="240" w:lineRule="auto"/>
              <w:jc w:val="right"/>
              <w:rPr>
                <w:rFonts w:cs="Arial"/>
                <w:b/>
                <w:lang w:eastAsia="en-AU"/>
              </w:rPr>
            </w:pPr>
            <w:r>
              <w:rPr>
                <w:rFonts w:cs="Arial"/>
                <w:b/>
                <w:bCs/>
              </w:rPr>
              <w:t>8</w:t>
            </w:r>
          </w:p>
        </w:tc>
        <w:tc>
          <w:tcPr>
            <w:tcW w:w="784" w:type="dxa"/>
            <w:tcBorders>
              <w:top w:val="single" w:sz="4" w:space="0" w:color="auto"/>
              <w:left w:val="nil"/>
              <w:bottom w:val="single" w:sz="4" w:space="0" w:color="auto"/>
              <w:right w:val="single" w:sz="4" w:space="0" w:color="auto"/>
            </w:tcBorders>
            <w:vAlign w:val="center"/>
          </w:tcPr>
          <w:p w14:paraId="22F31EFF" w14:textId="2DD49A10" w:rsidR="00C87394" w:rsidRPr="0094558B" w:rsidRDefault="00C87394" w:rsidP="00C87394">
            <w:pPr>
              <w:spacing w:line="240" w:lineRule="auto"/>
              <w:jc w:val="right"/>
              <w:rPr>
                <w:rFonts w:cs="Arial"/>
                <w:b/>
                <w:lang w:eastAsia="en-AU"/>
              </w:rPr>
            </w:pPr>
            <w:r>
              <w:rPr>
                <w:rFonts w:cs="Arial"/>
                <w:b/>
                <w:bCs/>
              </w:rPr>
              <w:t>68</w:t>
            </w:r>
          </w:p>
        </w:tc>
      </w:tr>
    </w:tbl>
    <w:p w14:paraId="5BED135A" w14:textId="08E6C2CC" w:rsidR="001748A5" w:rsidRDefault="001748A5" w:rsidP="001748A5">
      <w:pPr>
        <w:ind w:left="-142" w:right="-425"/>
        <w:jc w:val="both"/>
        <w:rPr>
          <w:rFonts w:cs="Arial"/>
          <w:noProof/>
          <w:lang w:eastAsia="en-AU"/>
        </w:rPr>
      </w:pPr>
    </w:p>
    <w:p w14:paraId="17CBBA45" w14:textId="111CBFAF" w:rsidR="00BA361D" w:rsidRPr="00BA361D" w:rsidRDefault="00BA361D" w:rsidP="00BA361D">
      <w:pPr>
        <w:spacing w:after="120" w:line="240" w:lineRule="auto"/>
        <w:ind w:left="794" w:hanging="794"/>
        <w:rPr>
          <w:sz w:val="16"/>
          <w:szCs w:val="16"/>
        </w:rPr>
      </w:pPr>
      <w:r w:rsidRPr="006C6A65">
        <w:rPr>
          <w:b/>
          <w:sz w:val="16"/>
          <w:szCs w:val="16"/>
        </w:rPr>
        <w:lastRenderedPageBreak/>
        <w:t xml:space="preserve">Table </w:t>
      </w:r>
      <w:r w:rsidR="00D35167">
        <w:rPr>
          <w:b/>
          <w:sz w:val="16"/>
          <w:szCs w:val="16"/>
        </w:rPr>
        <w:t>1</w:t>
      </w:r>
      <w:r w:rsidR="003453AD">
        <w:rPr>
          <w:b/>
          <w:sz w:val="16"/>
          <w:szCs w:val="16"/>
        </w:rPr>
        <w:t>5</w:t>
      </w:r>
      <w:r w:rsidRPr="006C6A65">
        <w:rPr>
          <w:b/>
          <w:sz w:val="16"/>
          <w:szCs w:val="16"/>
        </w:rPr>
        <w:t>:</w:t>
      </w:r>
      <w:r w:rsidRPr="006C6A65">
        <w:rPr>
          <w:sz w:val="16"/>
          <w:szCs w:val="16"/>
        </w:rPr>
        <w:t xml:space="preserve"> </w:t>
      </w:r>
      <w:r>
        <w:rPr>
          <w:rFonts w:cs="Arial"/>
          <w:sz w:val="16"/>
          <w:szCs w:val="16"/>
        </w:rPr>
        <w:t>Domestic violence c</w:t>
      </w:r>
      <w:r w:rsidRPr="00122C57">
        <w:rPr>
          <w:rFonts w:cs="Arial"/>
          <w:sz w:val="16"/>
          <w:szCs w:val="16"/>
        </w:rPr>
        <w:t xml:space="preserve">onferences by </w:t>
      </w:r>
      <w:r>
        <w:rPr>
          <w:rFonts w:cs="Arial"/>
          <w:sz w:val="16"/>
          <w:szCs w:val="16"/>
        </w:rPr>
        <w:t>type</w:t>
      </w:r>
      <w:r w:rsidRPr="00122C57">
        <w:rPr>
          <w:rFonts w:cs="Arial"/>
          <w:sz w:val="16"/>
          <w:szCs w:val="16"/>
        </w:rPr>
        <w:t xml:space="preserve"> and quarter </w:t>
      </w:r>
      <w:r>
        <w:rPr>
          <w:rFonts w:cs="Arial"/>
          <w:sz w:val="16"/>
          <w:szCs w:val="16"/>
        </w:rPr>
        <w:t>1 January 2020 to 31 March 2021</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BA361D" w:rsidRPr="00650B45" w14:paraId="4E475097" w14:textId="77777777" w:rsidTr="00CE6F8C">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3366C94A" w14:textId="77777777" w:rsidR="00BA361D" w:rsidRPr="0040594D" w:rsidRDefault="00BA361D" w:rsidP="00BA361D">
            <w:pPr>
              <w:spacing w:line="240" w:lineRule="auto"/>
              <w:rPr>
                <w:rFonts w:cs="Arial"/>
                <w:b/>
                <w:bCs/>
                <w:lang w:eastAsia="en-AU"/>
              </w:rPr>
            </w:pPr>
            <w:r>
              <w:rPr>
                <w:rFonts w:cs="Arial"/>
                <w:b/>
                <w:bCs/>
                <w:lang w:eastAsia="en-AU"/>
              </w:rPr>
              <w:t>Number of Domestic Violence Conferences</w:t>
            </w:r>
          </w:p>
        </w:tc>
        <w:tc>
          <w:tcPr>
            <w:tcW w:w="784" w:type="dxa"/>
            <w:tcBorders>
              <w:top w:val="single" w:sz="4" w:space="0" w:color="auto"/>
              <w:left w:val="nil"/>
              <w:bottom w:val="single" w:sz="4" w:space="0" w:color="auto"/>
              <w:right w:val="single" w:sz="4" w:space="0" w:color="auto"/>
            </w:tcBorders>
            <w:shd w:val="clear" w:color="auto" w:fill="auto"/>
            <w:hideMark/>
          </w:tcPr>
          <w:p w14:paraId="0944EA43" w14:textId="52DBA461" w:rsidR="00BA361D" w:rsidRPr="0040594D" w:rsidRDefault="00BA361D" w:rsidP="00BA361D">
            <w:pPr>
              <w:spacing w:line="240" w:lineRule="auto"/>
              <w:jc w:val="right"/>
              <w:rPr>
                <w:rFonts w:cs="Arial"/>
                <w:b/>
                <w:bCs/>
                <w:lang w:eastAsia="en-AU"/>
              </w:rPr>
            </w:pPr>
            <w:r>
              <w:rPr>
                <w:b/>
                <w:lang w:eastAsia="en-AU"/>
              </w:rPr>
              <w:t>Qtr 47</w:t>
            </w:r>
          </w:p>
        </w:tc>
        <w:tc>
          <w:tcPr>
            <w:tcW w:w="784" w:type="dxa"/>
            <w:tcBorders>
              <w:top w:val="single" w:sz="4" w:space="0" w:color="auto"/>
              <w:left w:val="nil"/>
              <w:bottom w:val="single" w:sz="4" w:space="0" w:color="auto"/>
              <w:right w:val="single" w:sz="4" w:space="0" w:color="auto"/>
            </w:tcBorders>
            <w:shd w:val="clear" w:color="auto" w:fill="auto"/>
            <w:hideMark/>
          </w:tcPr>
          <w:p w14:paraId="33DBBFAB" w14:textId="1A8F65A9" w:rsidR="00BA361D" w:rsidRPr="0040594D" w:rsidRDefault="00BA361D" w:rsidP="00BA361D">
            <w:pPr>
              <w:spacing w:line="240" w:lineRule="auto"/>
              <w:jc w:val="right"/>
              <w:rPr>
                <w:rFonts w:cs="Arial"/>
                <w:b/>
                <w:bCs/>
                <w:lang w:eastAsia="en-AU"/>
              </w:rPr>
            </w:pPr>
            <w:r>
              <w:rPr>
                <w:b/>
                <w:lang w:eastAsia="en-AU"/>
              </w:rPr>
              <w:t>Qtr 48</w:t>
            </w:r>
          </w:p>
        </w:tc>
        <w:tc>
          <w:tcPr>
            <w:tcW w:w="784" w:type="dxa"/>
            <w:tcBorders>
              <w:top w:val="single" w:sz="4" w:space="0" w:color="auto"/>
              <w:left w:val="nil"/>
              <w:bottom w:val="single" w:sz="4" w:space="0" w:color="auto"/>
              <w:right w:val="single" w:sz="4" w:space="0" w:color="auto"/>
            </w:tcBorders>
          </w:tcPr>
          <w:p w14:paraId="1054C6DC" w14:textId="31236B03" w:rsidR="00BA361D" w:rsidRPr="0040594D" w:rsidRDefault="00BA361D" w:rsidP="00BA361D">
            <w:pPr>
              <w:spacing w:line="240" w:lineRule="auto"/>
              <w:jc w:val="right"/>
              <w:rPr>
                <w:rFonts w:cs="Arial"/>
                <w:b/>
                <w:bCs/>
                <w:lang w:eastAsia="en-AU"/>
              </w:rPr>
            </w:pPr>
            <w:r>
              <w:rPr>
                <w:b/>
                <w:lang w:eastAsia="en-AU"/>
              </w:rPr>
              <w:t>Qtr 49</w:t>
            </w:r>
          </w:p>
        </w:tc>
        <w:tc>
          <w:tcPr>
            <w:tcW w:w="784" w:type="dxa"/>
            <w:tcBorders>
              <w:top w:val="single" w:sz="4" w:space="0" w:color="auto"/>
              <w:left w:val="nil"/>
              <w:bottom w:val="single" w:sz="4" w:space="0" w:color="auto"/>
              <w:right w:val="single" w:sz="4" w:space="0" w:color="auto"/>
            </w:tcBorders>
          </w:tcPr>
          <w:p w14:paraId="1F5DA131" w14:textId="7501BED3" w:rsidR="00BA361D" w:rsidRPr="0040594D" w:rsidRDefault="00BA361D" w:rsidP="00BA361D">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tcPr>
          <w:p w14:paraId="65FDA246" w14:textId="01648F5D" w:rsidR="00BA361D" w:rsidRPr="0040594D" w:rsidRDefault="00BA361D" w:rsidP="00BA361D">
            <w:pPr>
              <w:spacing w:line="240" w:lineRule="auto"/>
              <w:jc w:val="right"/>
              <w:rPr>
                <w:rFonts w:cs="Arial"/>
                <w:b/>
                <w:bCs/>
                <w:lang w:eastAsia="en-AU"/>
              </w:rPr>
            </w:pPr>
            <w:r>
              <w:rPr>
                <w:b/>
                <w:lang w:eastAsia="en-AU"/>
              </w:rPr>
              <w:t>Qtr 51</w:t>
            </w:r>
          </w:p>
        </w:tc>
      </w:tr>
      <w:tr w:rsidR="00BA361D" w:rsidRPr="0094558B" w14:paraId="7D13DCEB"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20EB7FAF" w14:textId="77777777" w:rsidR="00BA361D" w:rsidRPr="00640E37" w:rsidRDefault="00BA361D" w:rsidP="00BA361D">
            <w:pPr>
              <w:spacing w:line="240" w:lineRule="auto"/>
              <w:rPr>
                <w:rFonts w:cs="Arial"/>
                <w:bCs/>
                <w:lang w:eastAsia="en-AU"/>
              </w:rPr>
            </w:pPr>
            <w:r>
              <w:t>R</w:t>
            </w:r>
            <w:r w:rsidRPr="00640E37">
              <w:t>elating to both a DVB and a DVO notice</w:t>
            </w:r>
          </w:p>
        </w:tc>
        <w:tc>
          <w:tcPr>
            <w:tcW w:w="784" w:type="dxa"/>
            <w:tcBorders>
              <w:top w:val="single" w:sz="4" w:space="0" w:color="auto"/>
              <w:left w:val="nil"/>
              <w:bottom w:val="single" w:sz="4" w:space="0" w:color="auto"/>
              <w:right w:val="single" w:sz="4" w:space="0" w:color="auto"/>
            </w:tcBorders>
            <w:shd w:val="clear" w:color="auto" w:fill="auto"/>
            <w:vAlign w:val="bottom"/>
          </w:tcPr>
          <w:p w14:paraId="058E135A" w14:textId="1CA6258F" w:rsidR="00BA361D" w:rsidRPr="00BF08AE" w:rsidRDefault="00BA361D" w:rsidP="00BA361D">
            <w:pPr>
              <w:spacing w:line="240" w:lineRule="auto"/>
              <w:jc w:val="right"/>
              <w:rPr>
                <w:rFonts w:cs="Arial"/>
                <w:bCs/>
                <w:lang w:eastAsia="en-AU"/>
              </w:rPr>
            </w:pPr>
            <w:r w:rsidRPr="00BF08AE">
              <w:rPr>
                <w:rFonts w:cs="Arial"/>
              </w:rPr>
              <w:t>0</w:t>
            </w:r>
          </w:p>
        </w:tc>
        <w:tc>
          <w:tcPr>
            <w:tcW w:w="784" w:type="dxa"/>
            <w:tcBorders>
              <w:top w:val="single" w:sz="4" w:space="0" w:color="auto"/>
              <w:left w:val="nil"/>
              <w:bottom w:val="single" w:sz="4" w:space="0" w:color="auto"/>
              <w:right w:val="single" w:sz="4" w:space="0" w:color="auto"/>
            </w:tcBorders>
            <w:shd w:val="clear" w:color="auto" w:fill="auto"/>
            <w:vAlign w:val="bottom"/>
          </w:tcPr>
          <w:p w14:paraId="36890EB4" w14:textId="2CFBA04A" w:rsidR="00BA361D" w:rsidRPr="00BF08AE" w:rsidRDefault="00BA361D" w:rsidP="00BA361D">
            <w:pPr>
              <w:spacing w:line="240" w:lineRule="auto"/>
              <w:jc w:val="right"/>
              <w:rPr>
                <w:rFonts w:cs="Arial"/>
                <w:bCs/>
                <w:lang w:eastAsia="en-AU"/>
              </w:rPr>
            </w:pPr>
            <w:r w:rsidRPr="00BF08AE">
              <w:rPr>
                <w:rFonts w:cs="Arial"/>
              </w:rPr>
              <w:t>0</w:t>
            </w:r>
          </w:p>
        </w:tc>
        <w:tc>
          <w:tcPr>
            <w:tcW w:w="784" w:type="dxa"/>
            <w:tcBorders>
              <w:top w:val="single" w:sz="4" w:space="0" w:color="auto"/>
              <w:left w:val="nil"/>
              <w:bottom w:val="single" w:sz="4" w:space="0" w:color="auto"/>
              <w:right w:val="single" w:sz="4" w:space="0" w:color="auto"/>
            </w:tcBorders>
            <w:vAlign w:val="bottom"/>
          </w:tcPr>
          <w:p w14:paraId="4305F345" w14:textId="4C40F958" w:rsidR="00BA361D" w:rsidRPr="00BF08AE" w:rsidRDefault="00BA361D" w:rsidP="00BA361D">
            <w:pPr>
              <w:spacing w:line="240" w:lineRule="auto"/>
              <w:jc w:val="right"/>
              <w:rPr>
                <w:rFonts w:cs="Arial"/>
                <w:bCs/>
                <w:lang w:eastAsia="en-AU"/>
              </w:rPr>
            </w:pPr>
            <w:r w:rsidRPr="00BF08AE">
              <w:rPr>
                <w:rFonts w:cs="Arial"/>
              </w:rPr>
              <w:t>0</w:t>
            </w:r>
          </w:p>
        </w:tc>
        <w:tc>
          <w:tcPr>
            <w:tcW w:w="784" w:type="dxa"/>
            <w:tcBorders>
              <w:top w:val="single" w:sz="4" w:space="0" w:color="auto"/>
              <w:left w:val="nil"/>
              <w:bottom w:val="single" w:sz="4" w:space="0" w:color="auto"/>
              <w:right w:val="single" w:sz="4" w:space="0" w:color="auto"/>
            </w:tcBorders>
            <w:vAlign w:val="bottom"/>
          </w:tcPr>
          <w:p w14:paraId="56527CC6" w14:textId="73AA833A" w:rsidR="00BA361D" w:rsidRPr="00BF08AE" w:rsidRDefault="00BA361D" w:rsidP="00BA361D">
            <w:pPr>
              <w:spacing w:line="240" w:lineRule="auto"/>
              <w:jc w:val="right"/>
              <w:rPr>
                <w:rFonts w:cs="Arial"/>
                <w:bCs/>
                <w:lang w:eastAsia="en-AU"/>
              </w:rPr>
            </w:pPr>
            <w:r w:rsidRPr="00BF08AE">
              <w:rPr>
                <w:rFonts w:cs="Arial"/>
              </w:rPr>
              <w:t>2</w:t>
            </w:r>
          </w:p>
        </w:tc>
        <w:tc>
          <w:tcPr>
            <w:tcW w:w="784" w:type="dxa"/>
            <w:tcBorders>
              <w:top w:val="single" w:sz="4" w:space="0" w:color="auto"/>
              <w:left w:val="nil"/>
              <w:bottom w:val="single" w:sz="4" w:space="0" w:color="auto"/>
              <w:right w:val="single" w:sz="4" w:space="0" w:color="auto"/>
            </w:tcBorders>
            <w:vAlign w:val="bottom"/>
          </w:tcPr>
          <w:p w14:paraId="3589A88C" w14:textId="6F79353D" w:rsidR="00BA361D" w:rsidRPr="00BF08AE" w:rsidRDefault="00BA361D" w:rsidP="00BA361D">
            <w:pPr>
              <w:spacing w:line="240" w:lineRule="auto"/>
              <w:jc w:val="right"/>
              <w:rPr>
                <w:rFonts w:cs="Arial"/>
                <w:b/>
                <w:bCs/>
                <w:lang w:eastAsia="en-AU"/>
              </w:rPr>
            </w:pPr>
            <w:r w:rsidRPr="00BF08AE">
              <w:rPr>
                <w:rFonts w:cs="Arial"/>
              </w:rPr>
              <w:t>3</w:t>
            </w:r>
          </w:p>
        </w:tc>
      </w:tr>
      <w:tr w:rsidR="00BA361D" w:rsidRPr="00650B45" w14:paraId="72658614"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7E0F304F" w14:textId="77777777" w:rsidR="00BA361D" w:rsidRPr="00640E37" w:rsidRDefault="00BA361D" w:rsidP="00BA361D">
            <w:pPr>
              <w:spacing w:line="240" w:lineRule="auto"/>
              <w:rPr>
                <w:rFonts w:cs="Arial"/>
                <w:lang w:eastAsia="en-AU"/>
              </w:rPr>
            </w:pPr>
            <w:r>
              <w:t>Relating to a DVB</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27BD3A2A" w14:textId="17FC5807" w:rsidR="00BA361D" w:rsidRPr="00BF08AE" w:rsidRDefault="00BA361D" w:rsidP="00BA361D">
            <w:pPr>
              <w:spacing w:line="240" w:lineRule="auto"/>
              <w:jc w:val="right"/>
              <w:rPr>
                <w:rFonts w:cs="Arial"/>
                <w:lang w:eastAsia="en-AU"/>
              </w:rPr>
            </w:pPr>
            <w:r w:rsidRPr="00BF08AE">
              <w:rPr>
                <w:rFonts w:cs="Arial"/>
              </w:rPr>
              <w:t>6</w:t>
            </w:r>
          </w:p>
        </w:tc>
        <w:tc>
          <w:tcPr>
            <w:tcW w:w="784" w:type="dxa"/>
            <w:tcBorders>
              <w:top w:val="nil"/>
              <w:left w:val="nil"/>
              <w:bottom w:val="single" w:sz="4" w:space="0" w:color="auto"/>
              <w:right w:val="single" w:sz="4" w:space="0" w:color="auto"/>
            </w:tcBorders>
            <w:shd w:val="clear" w:color="auto" w:fill="auto"/>
            <w:vAlign w:val="bottom"/>
          </w:tcPr>
          <w:p w14:paraId="216D33A7" w14:textId="46C9C98D" w:rsidR="00BA361D" w:rsidRPr="00BF08AE" w:rsidRDefault="00BA361D" w:rsidP="00BA361D">
            <w:pPr>
              <w:spacing w:line="240" w:lineRule="auto"/>
              <w:jc w:val="right"/>
              <w:rPr>
                <w:rFonts w:cs="Arial"/>
                <w:lang w:eastAsia="en-AU"/>
              </w:rPr>
            </w:pPr>
            <w:r w:rsidRPr="00BF08AE">
              <w:rPr>
                <w:rFonts w:cs="Arial"/>
              </w:rPr>
              <w:t>15</w:t>
            </w:r>
          </w:p>
        </w:tc>
        <w:tc>
          <w:tcPr>
            <w:tcW w:w="784" w:type="dxa"/>
            <w:tcBorders>
              <w:top w:val="nil"/>
              <w:left w:val="nil"/>
              <w:bottom w:val="single" w:sz="4" w:space="0" w:color="auto"/>
              <w:right w:val="single" w:sz="4" w:space="0" w:color="auto"/>
            </w:tcBorders>
            <w:vAlign w:val="bottom"/>
          </w:tcPr>
          <w:p w14:paraId="756351B3" w14:textId="46460B3A" w:rsidR="00BA361D" w:rsidRPr="00BF08AE" w:rsidRDefault="00BA361D" w:rsidP="00BA361D">
            <w:pPr>
              <w:spacing w:line="240" w:lineRule="auto"/>
              <w:jc w:val="right"/>
              <w:rPr>
                <w:rFonts w:cs="Arial"/>
                <w:lang w:eastAsia="en-AU"/>
              </w:rPr>
            </w:pPr>
            <w:r w:rsidRPr="00BF08AE">
              <w:rPr>
                <w:rFonts w:cs="Arial"/>
              </w:rPr>
              <w:t>0</w:t>
            </w:r>
          </w:p>
        </w:tc>
        <w:tc>
          <w:tcPr>
            <w:tcW w:w="784" w:type="dxa"/>
            <w:tcBorders>
              <w:top w:val="nil"/>
              <w:left w:val="nil"/>
              <w:bottom w:val="single" w:sz="4" w:space="0" w:color="auto"/>
              <w:right w:val="single" w:sz="4" w:space="0" w:color="auto"/>
            </w:tcBorders>
            <w:vAlign w:val="bottom"/>
          </w:tcPr>
          <w:p w14:paraId="7E423D87" w14:textId="08298438" w:rsidR="00BA361D" w:rsidRPr="00BF08AE" w:rsidRDefault="00BA361D" w:rsidP="00BA361D">
            <w:pPr>
              <w:spacing w:line="240" w:lineRule="auto"/>
              <w:jc w:val="right"/>
              <w:rPr>
                <w:rFonts w:cs="Arial"/>
                <w:lang w:eastAsia="en-AU"/>
              </w:rPr>
            </w:pPr>
            <w:r w:rsidRPr="00BF08AE">
              <w:rPr>
                <w:rFonts w:cs="Arial"/>
              </w:rPr>
              <w:t>18</w:t>
            </w:r>
          </w:p>
        </w:tc>
        <w:tc>
          <w:tcPr>
            <w:tcW w:w="784" w:type="dxa"/>
            <w:tcBorders>
              <w:top w:val="nil"/>
              <w:left w:val="nil"/>
              <w:bottom w:val="single" w:sz="4" w:space="0" w:color="auto"/>
              <w:right w:val="single" w:sz="4" w:space="0" w:color="auto"/>
            </w:tcBorders>
            <w:vAlign w:val="bottom"/>
          </w:tcPr>
          <w:p w14:paraId="4E3F6DD6" w14:textId="3BC20B25" w:rsidR="00BA361D" w:rsidRPr="00BF08AE" w:rsidRDefault="00BA361D" w:rsidP="00BA361D">
            <w:pPr>
              <w:spacing w:line="240" w:lineRule="auto"/>
              <w:jc w:val="right"/>
              <w:rPr>
                <w:rFonts w:cs="Arial"/>
                <w:b/>
                <w:lang w:eastAsia="en-AU"/>
              </w:rPr>
            </w:pPr>
            <w:r w:rsidRPr="00BF08AE">
              <w:rPr>
                <w:rFonts w:cs="Arial"/>
              </w:rPr>
              <w:t>7</w:t>
            </w:r>
          </w:p>
        </w:tc>
      </w:tr>
      <w:tr w:rsidR="00BA361D" w:rsidRPr="00650B45" w14:paraId="25B410FB" w14:textId="77777777" w:rsidTr="00CE6F8C">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3BD59737" w14:textId="77777777" w:rsidR="00BA361D" w:rsidRPr="00640E37" w:rsidRDefault="00BA361D" w:rsidP="00BA361D">
            <w:pPr>
              <w:spacing w:line="240" w:lineRule="auto"/>
              <w:rPr>
                <w:rFonts w:cs="Arial"/>
              </w:rPr>
            </w:pPr>
            <w:r>
              <w:t>Relating to a DVO</w:t>
            </w:r>
            <w:r w:rsidRPr="00640E37">
              <w:t xml:space="preserve"> notice</w:t>
            </w:r>
          </w:p>
        </w:tc>
        <w:tc>
          <w:tcPr>
            <w:tcW w:w="784" w:type="dxa"/>
            <w:tcBorders>
              <w:top w:val="nil"/>
              <w:left w:val="nil"/>
              <w:bottom w:val="single" w:sz="4" w:space="0" w:color="auto"/>
              <w:right w:val="single" w:sz="4" w:space="0" w:color="auto"/>
            </w:tcBorders>
            <w:shd w:val="clear" w:color="auto" w:fill="auto"/>
            <w:vAlign w:val="bottom"/>
          </w:tcPr>
          <w:p w14:paraId="0C16ECD4" w14:textId="1E326A21" w:rsidR="00BA361D" w:rsidRPr="00BF08AE" w:rsidRDefault="00BA361D" w:rsidP="00BA361D">
            <w:pPr>
              <w:spacing w:line="240" w:lineRule="auto"/>
              <w:jc w:val="right"/>
              <w:rPr>
                <w:rFonts w:cs="Arial"/>
                <w:lang w:eastAsia="en-AU"/>
              </w:rPr>
            </w:pPr>
            <w:r w:rsidRPr="00BF08AE">
              <w:rPr>
                <w:rFonts w:cs="Arial"/>
              </w:rPr>
              <w:t>40</w:t>
            </w:r>
          </w:p>
        </w:tc>
        <w:tc>
          <w:tcPr>
            <w:tcW w:w="784" w:type="dxa"/>
            <w:tcBorders>
              <w:top w:val="nil"/>
              <w:left w:val="nil"/>
              <w:bottom w:val="single" w:sz="4" w:space="0" w:color="auto"/>
              <w:right w:val="single" w:sz="4" w:space="0" w:color="auto"/>
            </w:tcBorders>
            <w:shd w:val="clear" w:color="auto" w:fill="auto"/>
            <w:vAlign w:val="bottom"/>
          </w:tcPr>
          <w:p w14:paraId="66883E4E" w14:textId="0F1E25BE" w:rsidR="00BA361D" w:rsidRPr="00BF08AE" w:rsidRDefault="00BA361D" w:rsidP="00BA361D">
            <w:pPr>
              <w:spacing w:line="240" w:lineRule="auto"/>
              <w:jc w:val="right"/>
              <w:rPr>
                <w:rFonts w:cs="Arial"/>
                <w:lang w:eastAsia="en-AU"/>
              </w:rPr>
            </w:pPr>
            <w:r w:rsidRPr="00BF08AE">
              <w:rPr>
                <w:rFonts w:cs="Arial"/>
              </w:rPr>
              <w:t>17</w:t>
            </w:r>
          </w:p>
        </w:tc>
        <w:tc>
          <w:tcPr>
            <w:tcW w:w="784" w:type="dxa"/>
            <w:tcBorders>
              <w:top w:val="nil"/>
              <w:left w:val="nil"/>
              <w:bottom w:val="single" w:sz="4" w:space="0" w:color="auto"/>
              <w:right w:val="single" w:sz="4" w:space="0" w:color="auto"/>
            </w:tcBorders>
            <w:vAlign w:val="bottom"/>
          </w:tcPr>
          <w:p w14:paraId="13CB2682" w14:textId="129AB4E1" w:rsidR="00BA361D" w:rsidRPr="00BF08AE" w:rsidRDefault="00BA361D" w:rsidP="00BA361D">
            <w:pPr>
              <w:spacing w:line="240" w:lineRule="auto"/>
              <w:jc w:val="right"/>
              <w:rPr>
                <w:rFonts w:cs="Arial"/>
                <w:lang w:eastAsia="en-AU"/>
              </w:rPr>
            </w:pPr>
            <w:r w:rsidRPr="00BF08AE">
              <w:rPr>
                <w:rFonts w:cs="Arial"/>
              </w:rPr>
              <w:t>34</w:t>
            </w:r>
          </w:p>
        </w:tc>
        <w:tc>
          <w:tcPr>
            <w:tcW w:w="784" w:type="dxa"/>
            <w:tcBorders>
              <w:top w:val="nil"/>
              <w:left w:val="nil"/>
              <w:bottom w:val="single" w:sz="4" w:space="0" w:color="auto"/>
              <w:right w:val="single" w:sz="4" w:space="0" w:color="auto"/>
            </w:tcBorders>
            <w:vAlign w:val="bottom"/>
          </w:tcPr>
          <w:p w14:paraId="7390F97A" w14:textId="5419E0D2" w:rsidR="00BA361D" w:rsidRPr="00BF08AE" w:rsidRDefault="00BA361D" w:rsidP="00BA361D">
            <w:pPr>
              <w:spacing w:line="240" w:lineRule="auto"/>
              <w:jc w:val="right"/>
              <w:rPr>
                <w:rFonts w:cs="Arial"/>
                <w:lang w:eastAsia="en-AU"/>
              </w:rPr>
            </w:pPr>
            <w:r w:rsidRPr="00BF08AE">
              <w:rPr>
                <w:rFonts w:cs="Arial"/>
              </w:rPr>
              <w:t>31</w:t>
            </w:r>
          </w:p>
        </w:tc>
        <w:tc>
          <w:tcPr>
            <w:tcW w:w="784" w:type="dxa"/>
            <w:tcBorders>
              <w:top w:val="nil"/>
              <w:left w:val="nil"/>
              <w:bottom w:val="single" w:sz="4" w:space="0" w:color="auto"/>
              <w:right w:val="single" w:sz="4" w:space="0" w:color="auto"/>
            </w:tcBorders>
            <w:vAlign w:val="bottom"/>
          </w:tcPr>
          <w:p w14:paraId="1BBFBCA0" w14:textId="7FD2C442" w:rsidR="00BA361D" w:rsidRPr="00BF08AE" w:rsidRDefault="00BA361D" w:rsidP="00BA361D">
            <w:pPr>
              <w:spacing w:line="240" w:lineRule="auto"/>
              <w:jc w:val="right"/>
              <w:rPr>
                <w:rFonts w:cs="Arial"/>
                <w:b/>
                <w:lang w:eastAsia="en-AU"/>
              </w:rPr>
            </w:pPr>
            <w:r w:rsidRPr="00BF08AE">
              <w:rPr>
                <w:rFonts w:cs="Arial"/>
              </w:rPr>
              <w:t>58</w:t>
            </w:r>
          </w:p>
        </w:tc>
      </w:tr>
      <w:tr w:rsidR="00BA361D" w:rsidRPr="00557E24" w14:paraId="6DD4ED1F" w14:textId="77777777" w:rsidTr="00CE6F8C">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07FC3245" w14:textId="77777777" w:rsidR="00BA361D" w:rsidRPr="00557E24" w:rsidRDefault="00BA361D" w:rsidP="00BA361D">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vAlign w:val="bottom"/>
          </w:tcPr>
          <w:p w14:paraId="712146AC" w14:textId="53C00E5D" w:rsidR="00BA361D" w:rsidRPr="00BF08AE" w:rsidRDefault="00BA361D" w:rsidP="00BA361D">
            <w:pPr>
              <w:spacing w:line="240" w:lineRule="auto"/>
              <w:jc w:val="right"/>
              <w:rPr>
                <w:rFonts w:cs="Arial"/>
                <w:b/>
                <w:lang w:eastAsia="en-AU"/>
              </w:rPr>
            </w:pPr>
            <w:r w:rsidRPr="00BF08AE">
              <w:rPr>
                <w:rFonts w:cs="Arial"/>
                <w:b/>
                <w:bCs/>
              </w:rPr>
              <w:t>46</w:t>
            </w:r>
          </w:p>
        </w:tc>
        <w:tc>
          <w:tcPr>
            <w:tcW w:w="784" w:type="dxa"/>
            <w:tcBorders>
              <w:top w:val="single" w:sz="4" w:space="0" w:color="auto"/>
              <w:left w:val="nil"/>
              <w:bottom w:val="single" w:sz="4" w:space="0" w:color="auto"/>
              <w:right w:val="single" w:sz="4" w:space="0" w:color="auto"/>
            </w:tcBorders>
            <w:shd w:val="clear" w:color="auto" w:fill="auto"/>
            <w:vAlign w:val="bottom"/>
          </w:tcPr>
          <w:p w14:paraId="24A12AE0" w14:textId="09F3DF54" w:rsidR="00BA361D" w:rsidRPr="00BF08AE" w:rsidRDefault="00BA361D" w:rsidP="00BA361D">
            <w:pPr>
              <w:spacing w:line="240" w:lineRule="auto"/>
              <w:jc w:val="right"/>
              <w:rPr>
                <w:rFonts w:cs="Arial"/>
                <w:b/>
                <w:lang w:eastAsia="en-AU"/>
              </w:rPr>
            </w:pPr>
            <w:r w:rsidRPr="00BF08AE">
              <w:rPr>
                <w:rFonts w:cs="Arial"/>
                <w:b/>
                <w:bCs/>
              </w:rPr>
              <w:t>32</w:t>
            </w:r>
          </w:p>
        </w:tc>
        <w:tc>
          <w:tcPr>
            <w:tcW w:w="784" w:type="dxa"/>
            <w:tcBorders>
              <w:top w:val="single" w:sz="4" w:space="0" w:color="auto"/>
              <w:left w:val="nil"/>
              <w:bottom w:val="single" w:sz="4" w:space="0" w:color="auto"/>
              <w:right w:val="single" w:sz="4" w:space="0" w:color="auto"/>
            </w:tcBorders>
            <w:vAlign w:val="bottom"/>
          </w:tcPr>
          <w:p w14:paraId="55F6868D" w14:textId="6BCB4F50" w:rsidR="00BA361D" w:rsidRPr="00BF08AE" w:rsidRDefault="00BA361D" w:rsidP="00BA361D">
            <w:pPr>
              <w:spacing w:line="240" w:lineRule="auto"/>
              <w:jc w:val="right"/>
              <w:rPr>
                <w:rFonts w:cs="Arial"/>
                <w:b/>
                <w:lang w:eastAsia="en-AU"/>
              </w:rPr>
            </w:pPr>
            <w:r w:rsidRPr="00BF08AE">
              <w:rPr>
                <w:rFonts w:cs="Arial"/>
                <w:b/>
                <w:bCs/>
              </w:rPr>
              <w:t>34</w:t>
            </w:r>
          </w:p>
        </w:tc>
        <w:tc>
          <w:tcPr>
            <w:tcW w:w="784" w:type="dxa"/>
            <w:tcBorders>
              <w:top w:val="single" w:sz="4" w:space="0" w:color="auto"/>
              <w:left w:val="nil"/>
              <w:bottom w:val="single" w:sz="4" w:space="0" w:color="auto"/>
              <w:right w:val="single" w:sz="4" w:space="0" w:color="auto"/>
            </w:tcBorders>
            <w:vAlign w:val="bottom"/>
          </w:tcPr>
          <w:p w14:paraId="6D94AB62" w14:textId="71AE99EF" w:rsidR="00BA361D" w:rsidRPr="00BF08AE" w:rsidRDefault="00BA361D" w:rsidP="00BA361D">
            <w:pPr>
              <w:spacing w:line="240" w:lineRule="auto"/>
              <w:jc w:val="right"/>
              <w:rPr>
                <w:rFonts w:cs="Arial"/>
                <w:b/>
                <w:lang w:eastAsia="en-AU"/>
              </w:rPr>
            </w:pPr>
            <w:r w:rsidRPr="00BF08AE">
              <w:rPr>
                <w:rFonts w:cs="Arial"/>
                <w:b/>
                <w:bCs/>
              </w:rPr>
              <w:t>51</w:t>
            </w:r>
          </w:p>
        </w:tc>
        <w:tc>
          <w:tcPr>
            <w:tcW w:w="784" w:type="dxa"/>
            <w:tcBorders>
              <w:top w:val="single" w:sz="4" w:space="0" w:color="auto"/>
              <w:left w:val="nil"/>
              <w:bottom w:val="single" w:sz="4" w:space="0" w:color="auto"/>
              <w:right w:val="single" w:sz="4" w:space="0" w:color="auto"/>
            </w:tcBorders>
            <w:vAlign w:val="bottom"/>
          </w:tcPr>
          <w:p w14:paraId="7B7FB879" w14:textId="525458FD" w:rsidR="00BA361D" w:rsidRPr="00BF08AE" w:rsidRDefault="00BA361D" w:rsidP="00BA361D">
            <w:pPr>
              <w:spacing w:line="240" w:lineRule="auto"/>
              <w:jc w:val="right"/>
              <w:rPr>
                <w:rFonts w:cs="Arial"/>
                <w:b/>
                <w:lang w:eastAsia="en-AU"/>
              </w:rPr>
            </w:pPr>
            <w:r w:rsidRPr="00BF08AE">
              <w:rPr>
                <w:rFonts w:cs="Arial"/>
                <w:b/>
                <w:bCs/>
              </w:rPr>
              <w:t>68</w:t>
            </w:r>
          </w:p>
        </w:tc>
      </w:tr>
    </w:tbl>
    <w:p w14:paraId="19D7B370" w14:textId="18EEF851" w:rsidR="006F3C25" w:rsidRDefault="006F3C25" w:rsidP="00DD1B0A">
      <w:pPr>
        <w:ind w:left="-142" w:right="-425"/>
        <w:jc w:val="both"/>
        <w:rPr>
          <w:rFonts w:cs="Arial"/>
        </w:rPr>
      </w:pPr>
    </w:p>
    <w:p w14:paraId="7BAE3B75" w14:textId="7C598C1A" w:rsidR="005A5B78" w:rsidRPr="002D4651" w:rsidRDefault="005A5B78" w:rsidP="00DB0AEE">
      <w:pPr>
        <w:pStyle w:val="Heading2"/>
      </w:pPr>
      <w:r w:rsidRPr="002D4651">
        <w:t>Referrals</w:t>
      </w:r>
      <w:r w:rsidR="00334F4D">
        <w:t xml:space="preserve"> </w:t>
      </w:r>
      <w:r w:rsidR="009C639D">
        <w:t>from</w:t>
      </w:r>
      <w:r w:rsidR="00334F4D">
        <w:t xml:space="preserve"> </w:t>
      </w:r>
      <w:r w:rsidR="00F20A3E">
        <w:t>‘</w:t>
      </w:r>
      <w:r w:rsidR="00DF741D">
        <w:t>Family Responsibilities</w:t>
      </w:r>
      <w:r w:rsidR="00F20A3E">
        <w:t>’</w:t>
      </w:r>
      <w:r w:rsidR="00DF741D">
        <w:t xml:space="preserve"> Agreements</w:t>
      </w:r>
      <w:r w:rsidR="00334F4D">
        <w:t xml:space="preserve"> and </w:t>
      </w:r>
      <w:r w:rsidR="00DF741D">
        <w:t>Orders</w:t>
      </w:r>
    </w:p>
    <w:p w14:paraId="662C0318" w14:textId="2EDE6ACC" w:rsidR="00995462" w:rsidRDefault="00281AAC" w:rsidP="00964A63">
      <w:pPr>
        <w:ind w:left="-142" w:right="-425"/>
        <w:jc w:val="both"/>
        <w:rPr>
          <w:rFonts w:cs="Arial"/>
        </w:rPr>
      </w:pPr>
      <w:r>
        <w:rPr>
          <w:rFonts w:cs="Arial"/>
        </w:rPr>
        <w:t xml:space="preserve">The </w:t>
      </w:r>
      <w:r w:rsidR="005F7725">
        <w:rPr>
          <w:rFonts w:cs="Arial"/>
        </w:rPr>
        <w:t xml:space="preserve">total </w:t>
      </w:r>
      <w:r>
        <w:rPr>
          <w:rFonts w:cs="Arial"/>
        </w:rPr>
        <w:t>number of r</w:t>
      </w:r>
      <w:r w:rsidR="005A5B78" w:rsidRPr="00B70DEE">
        <w:rPr>
          <w:rFonts w:cs="Arial"/>
        </w:rPr>
        <w:t xml:space="preserve">eferrals </w:t>
      </w:r>
      <w:r w:rsidR="0059795D">
        <w:rPr>
          <w:rFonts w:cs="Arial"/>
        </w:rPr>
        <w:t>(</w:t>
      </w:r>
      <w:r w:rsidR="001E5AFF" w:rsidRPr="00B70DEE">
        <w:rPr>
          <w:rFonts w:cs="Arial"/>
        </w:rPr>
        <w:t xml:space="preserve">to service providers </w:t>
      </w:r>
      <w:r w:rsidR="002B5D5C">
        <w:t xml:space="preserve">from </w:t>
      </w:r>
      <w:r w:rsidR="00F20A3E">
        <w:t>‘</w:t>
      </w:r>
      <w:r w:rsidR="001B3F63">
        <w:t>Family Responsibilities</w:t>
      </w:r>
      <w:r w:rsidR="00F20A3E">
        <w:t>’</w:t>
      </w:r>
      <w:r w:rsidR="001B3F63">
        <w:t xml:space="preserve"> Agreements and</w:t>
      </w:r>
      <w:r w:rsidR="001B3F63" w:rsidRPr="003573E3">
        <w:t xml:space="preserve"> Orders</w:t>
      </w:r>
      <w:r w:rsidR="0059795D">
        <w:t>)</w:t>
      </w:r>
      <w:r w:rsidR="002B5D5C" w:rsidRPr="003573E3">
        <w:rPr>
          <w:rFonts w:cs="Arial"/>
        </w:rPr>
        <w:t xml:space="preserve"> </w:t>
      </w:r>
      <w:r w:rsidR="001E5AFF" w:rsidRPr="003573E3">
        <w:rPr>
          <w:rFonts w:cs="Arial"/>
        </w:rPr>
        <w:t xml:space="preserve">relating to </w:t>
      </w:r>
      <w:r w:rsidR="00B46CAC">
        <w:rPr>
          <w:rFonts w:cs="Arial"/>
        </w:rPr>
        <w:t>110</w:t>
      </w:r>
      <w:r w:rsidR="00B46CAC" w:rsidRPr="003573E3">
        <w:rPr>
          <w:rFonts w:cs="Arial"/>
        </w:rPr>
        <w:t xml:space="preserve"> </w:t>
      </w:r>
      <w:r w:rsidR="001E5AFF" w:rsidRPr="003573E3">
        <w:rPr>
          <w:rFonts w:cs="Arial"/>
        </w:rPr>
        <w:t xml:space="preserve">clients </w:t>
      </w:r>
      <w:r w:rsidR="00806FF5" w:rsidRPr="003573E3">
        <w:rPr>
          <w:rFonts w:cs="Arial"/>
        </w:rPr>
        <w:t xml:space="preserve">increased </w:t>
      </w:r>
      <w:r w:rsidR="00FE0076" w:rsidRPr="003573E3">
        <w:rPr>
          <w:rFonts w:cs="Arial"/>
        </w:rPr>
        <w:t xml:space="preserve">from </w:t>
      </w:r>
      <w:r w:rsidR="00B46CAC">
        <w:rPr>
          <w:rFonts w:cs="Arial"/>
        </w:rPr>
        <w:t>139</w:t>
      </w:r>
      <w:r w:rsidR="00B46CAC" w:rsidRPr="003573E3">
        <w:rPr>
          <w:rFonts w:cs="Arial"/>
        </w:rPr>
        <w:t xml:space="preserve"> </w:t>
      </w:r>
      <w:r w:rsidR="00FE0076" w:rsidRPr="003573E3">
        <w:rPr>
          <w:rFonts w:cs="Arial"/>
        </w:rPr>
        <w:t xml:space="preserve">in </w:t>
      </w:r>
      <w:r w:rsidR="000257CF" w:rsidRPr="003573E3">
        <w:rPr>
          <w:rFonts w:cs="Arial"/>
        </w:rPr>
        <w:t xml:space="preserve">quarter </w:t>
      </w:r>
      <w:r w:rsidR="007914E0">
        <w:rPr>
          <w:rFonts w:cs="Arial"/>
        </w:rPr>
        <w:t>50</w:t>
      </w:r>
      <w:r w:rsidR="007914E0" w:rsidRPr="003573E3">
        <w:rPr>
          <w:rFonts w:cs="Arial"/>
        </w:rPr>
        <w:t xml:space="preserve"> </w:t>
      </w:r>
      <w:r w:rsidR="00FE0076" w:rsidRPr="003573E3">
        <w:rPr>
          <w:rFonts w:cs="Arial"/>
        </w:rPr>
        <w:t xml:space="preserve">to </w:t>
      </w:r>
      <w:r w:rsidR="00B46CAC">
        <w:rPr>
          <w:rFonts w:cs="Arial"/>
        </w:rPr>
        <w:t>154</w:t>
      </w:r>
      <w:r w:rsidR="00B46CAC" w:rsidRPr="003573E3">
        <w:rPr>
          <w:rFonts w:cs="Arial"/>
        </w:rPr>
        <w:t xml:space="preserve"> </w:t>
      </w:r>
      <w:r w:rsidR="00FE0076" w:rsidRPr="003573E3">
        <w:rPr>
          <w:rFonts w:cs="Arial"/>
        </w:rPr>
        <w:t xml:space="preserve">in </w:t>
      </w:r>
      <w:r w:rsidR="00856C85" w:rsidRPr="003573E3">
        <w:rPr>
          <w:rFonts w:cs="Arial"/>
        </w:rPr>
        <w:t xml:space="preserve">quarter </w:t>
      </w:r>
      <w:r w:rsidR="005D211C">
        <w:rPr>
          <w:rFonts w:cs="Arial"/>
        </w:rPr>
        <w:t>51</w:t>
      </w:r>
      <w:r w:rsidR="00C66FEE" w:rsidRPr="003573E3">
        <w:rPr>
          <w:rFonts w:cs="Arial"/>
        </w:rPr>
        <w:t xml:space="preserve">. </w:t>
      </w:r>
      <w:r w:rsidR="00633907" w:rsidRPr="003573E3">
        <w:rPr>
          <w:rFonts w:cs="Arial"/>
        </w:rPr>
        <w:t xml:space="preserve">Since </w:t>
      </w:r>
      <w:r w:rsidR="007E6EC6" w:rsidRPr="003573E3">
        <w:rPr>
          <w:rFonts w:cs="Arial"/>
        </w:rPr>
        <w:t>2008</w:t>
      </w:r>
      <w:r w:rsidR="00633907" w:rsidRPr="003573E3">
        <w:rPr>
          <w:rFonts w:cs="Arial"/>
        </w:rPr>
        <w:t xml:space="preserve"> the Commission has referred 1,</w:t>
      </w:r>
      <w:r w:rsidR="00C755B0" w:rsidRPr="003573E3">
        <w:rPr>
          <w:rFonts w:cs="Arial"/>
        </w:rPr>
        <w:t>2</w:t>
      </w:r>
      <w:r w:rsidR="00CF6A34">
        <w:rPr>
          <w:rFonts w:cs="Arial"/>
        </w:rPr>
        <w:t>38</w:t>
      </w:r>
      <w:r w:rsidR="00633907" w:rsidRPr="003573E3">
        <w:rPr>
          <w:rFonts w:cs="Arial"/>
        </w:rPr>
        <w:t xml:space="preserve"> clients</w:t>
      </w:r>
      <w:r w:rsidR="007E6EC6" w:rsidRPr="003573E3">
        <w:rPr>
          <w:rFonts w:cs="Arial"/>
        </w:rPr>
        <w:t xml:space="preserve"> </w:t>
      </w:r>
      <w:r w:rsidR="00EE3BD8" w:rsidRPr="003573E3">
        <w:rPr>
          <w:rFonts w:cs="Arial"/>
        </w:rPr>
        <w:t>(</w:t>
      </w:r>
      <w:r w:rsidR="00CF6A34">
        <w:rPr>
          <w:rFonts w:cs="Arial"/>
        </w:rPr>
        <w:t>649</w:t>
      </w:r>
      <w:r w:rsidR="00CF6A34" w:rsidRPr="003573E3">
        <w:rPr>
          <w:rFonts w:cs="Arial"/>
        </w:rPr>
        <w:t xml:space="preserve"> </w:t>
      </w:r>
      <w:r w:rsidR="00EE3BD8" w:rsidRPr="003573E3">
        <w:rPr>
          <w:rFonts w:cs="Arial"/>
        </w:rPr>
        <w:t xml:space="preserve">female and </w:t>
      </w:r>
      <w:r w:rsidR="00CF6A34">
        <w:rPr>
          <w:rFonts w:cs="Arial"/>
        </w:rPr>
        <w:t>589</w:t>
      </w:r>
      <w:r w:rsidR="00CF6A34" w:rsidRPr="003573E3">
        <w:rPr>
          <w:rFonts w:cs="Arial"/>
        </w:rPr>
        <w:t xml:space="preserve"> </w:t>
      </w:r>
      <w:r w:rsidR="00EE3BD8" w:rsidRPr="003573E3">
        <w:rPr>
          <w:rFonts w:cs="Arial"/>
        </w:rPr>
        <w:t xml:space="preserve">male) </w:t>
      </w:r>
      <w:r w:rsidR="007E6EC6" w:rsidRPr="003573E3">
        <w:rPr>
          <w:rFonts w:cs="Arial"/>
        </w:rPr>
        <w:t>to service providers for assistance</w:t>
      </w:r>
      <w:r w:rsidR="00010BBF">
        <w:rPr>
          <w:rFonts w:cs="Arial"/>
        </w:rPr>
        <w:t xml:space="preserve"> under a </w:t>
      </w:r>
      <w:r w:rsidR="00F20A3E">
        <w:rPr>
          <w:rFonts w:cs="Arial"/>
        </w:rPr>
        <w:t>‘</w:t>
      </w:r>
      <w:r w:rsidR="00010BBF">
        <w:rPr>
          <w:rFonts w:cs="Arial"/>
        </w:rPr>
        <w:t>Family Responsibilities</w:t>
      </w:r>
      <w:r w:rsidR="00F20A3E">
        <w:rPr>
          <w:rFonts w:cs="Arial"/>
        </w:rPr>
        <w:t>’</w:t>
      </w:r>
      <w:r w:rsidR="00010BBF">
        <w:rPr>
          <w:rFonts w:cs="Arial"/>
        </w:rPr>
        <w:t xml:space="preserve"> Agreement or Order</w:t>
      </w:r>
      <w:r w:rsidR="00633907" w:rsidRPr="003573E3">
        <w:rPr>
          <w:rFonts w:cs="Arial"/>
        </w:rPr>
        <w:t xml:space="preserve">. </w:t>
      </w:r>
      <w:r w:rsidR="005A5B78" w:rsidRPr="003573E3">
        <w:rPr>
          <w:rFonts w:cs="Arial"/>
        </w:rPr>
        <w:t>Referrals in the communities</w:t>
      </w:r>
      <w:r w:rsidR="005A5B78" w:rsidRPr="00A27155">
        <w:rPr>
          <w:rFonts w:cs="Arial"/>
        </w:rPr>
        <w:t xml:space="preserve"> </w:t>
      </w:r>
      <w:r w:rsidR="008136E8">
        <w:rPr>
          <w:rFonts w:cs="Arial"/>
        </w:rPr>
        <w:t xml:space="preserve">for </w:t>
      </w:r>
      <w:r w:rsidR="008136E8">
        <w:t>decisions by agreement and order</w:t>
      </w:r>
      <w:r w:rsidR="008136E8">
        <w:rPr>
          <w:rFonts w:cs="Arial"/>
        </w:rPr>
        <w:t xml:space="preserve"> </w:t>
      </w:r>
      <w:r w:rsidR="005A5B78" w:rsidRPr="00A27155">
        <w:rPr>
          <w:rFonts w:cs="Arial"/>
        </w:rPr>
        <w:t xml:space="preserve">during </w:t>
      </w:r>
      <w:r w:rsidR="005A5B78" w:rsidRPr="0040025B">
        <w:rPr>
          <w:rFonts w:cs="Arial"/>
        </w:rPr>
        <w:t xml:space="preserve">the quarter were as follows: Aurukun </w:t>
      </w:r>
      <w:r w:rsidR="00B0165E">
        <w:rPr>
          <w:rFonts w:cs="Arial"/>
        </w:rPr>
        <w:t>increased</w:t>
      </w:r>
      <w:r w:rsidR="00B0165E" w:rsidRPr="0040025B">
        <w:rPr>
          <w:rFonts w:cs="Arial"/>
        </w:rPr>
        <w:t xml:space="preserve"> </w:t>
      </w:r>
      <w:r w:rsidR="00A27155" w:rsidRPr="0040025B">
        <w:rPr>
          <w:rFonts w:cs="Arial"/>
        </w:rPr>
        <w:t xml:space="preserve">by </w:t>
      </w:r>
      <w:r w:rsidR="00C22D29">
        <w:rPr>
          <w:rFonts w:cs="Arial"/>
        </w:rPr>
        <w:t>53</w:t>
      </w:r>
      <w:r w:rsidR="001E5AFF">
        <w:rPr>
          <w:rFonts w:cs="Arial"/>
        </w:rPr>
        <w:t>,</w:t>
      </w:r>
      <w:r w:rsidR="005A5B78" w:rsidRPr="0040025B">
        <w:rPr>
          <w:rFonts w:cs="Arial"/>
        </w:rPr>
        <w:t xml:space="preserve"> Coen </w:t>
      </w:r>
      <w:r w:rsidR="00C22D29">
        <w:rPr>
          <w:rFonts w:cs="Arial"/>
        </w:rPr>
        <w:t xml:space="preserve">decreased </w:t>
      </w:r>
      <w:r w:rsidR="00F751CA">
        <w:rPr>
          <w:rFonts w:cs="Arial"/>
        </w:rPr>
        <w:t xml:space="preserve">by </w:t>
      </w:r>
      <w:r w:rsidR="00C22D29">
        <w:rPr>
          <w:rFonts w:cs="Arial"/>
        </w:rPr>
        <w:t>6</w:t>
      </w:r>
      <w:r w:rsidR="001E5AFF">
        <w:rPr>
          <w:rFonts w:cs="Arial"/>
        </w:rPr>
        <w:t>,</w:t>
      </w:r>
      <w:r w:rsidR="005A5B78" w:rsidRPr="0040025B">
        <w:rPr>
          <w:rFonts w:cs="Arial"/>
        </w:rPr>
        <w:t xml:space="preserve"> </w:t>
      </w:r>
      <w:r w:rsidR="00CB55CE" w:rsidRPr="0040025B">
        <w:rPr>
          <w:rFonts w:cs="Arial"/>
        </w:rPr>
        <w:t xml:space="preserve">Doomadgee </w:t>
      </w:r>
      <w:r w:rsidR="00C22D29">
        <w:rPr>
          <w:rFonts w:cs="Arial"/>
        </w:rPr>
        <w:t xml:space="preserve">decreased </w:t>
      </w:r>
      <w:r w:rsidR="00533727">
        <w:rPr>
          <w:rFonts w:cs="Arial"/>
        </w:rPr>
        <w:t xml:space="preserve">by </w:t>
      </w:r>
      <w:r w:rsidR="00C22D29">
        <w:rPr>
          <w:rFonts w:cs="Arial"/>
        </w:rPr>
        <w:t>40</w:t>
      </w:r>
      <w:r w:rsidR="001E5AFF">
        <w:rPr>
          <w:rFonts w:cs="Arial"/>
        </w:rPr>
        <w:t>,</w:t>
      </w:r>
      <w:r w:rsidR="00533727">
        <w:rPr>
          <w:rFonts w:cs="Arial"/>
        </w:rPr>
        <w:t xml:space="preserve"> </w:t>
      </w:r>
      <w:r w:rsidR="003C0891">
        <w:rPr>
          <w:rFonts w:cs="Arial"/>
        </w:rPr>
        <w:t xml:space="preserve">Hope Vale </w:t>
      </w:r>
      <w:r w:rsidR="00B0165E">
        <w:rPr>
          <w:rFonts w:cs="Arial"/>
        </w:rPr>
        <w:t xml:space="preserve">increased </w:t>
      </w:r>
      <w:r w:rsidR="00F45AA8">
        <w:rPr>
          <w:rFonts w:cs="Arial"/>
        </w:rPr>
        <w:t xml:space="preserve">by </w:t>
      </w:r>
      <w:r w:rsidR="00C22D29">
        <w:rPr>
          <w:rFonts w:cs="Arial"/>
        </w:rPr>
        <w:t>6</w:t>
      </w:r>
      <w:r w:rsidR="00B0165E">
        <w:rPr>
          <w:rFonts w:cs="Arial"/>
        </w:rPr>
        <w:t xml:space="preserve"> </w:t>
      </w:r>
      <w:r w:rsidR="00604D65">
        <w:rPr>
          <w:rFonts w:cs="Arial"/>
        </w:rPr>
        <w:t xml:space="preserve">and Mossman Gorge </w:t>
      </w:r>
      <w:r w:rsidR="00C22D29">
        <w:rPr>
          <w:rFonts w:cs="Arial"/>
        </w:rPr>
        <w:t xml:space="preserve">increased </w:t>
      </w:r>
      <w:r w:rsidR="00F45AA8">
        <w:rPr>
          <w:rFonts w:cs="Arial"/>
        </w:rPr>
        <w:t xml:space="preserve">by </w:t>
      </w:r>
      <w:r w:rsidR="00C22D29">
        <w:rPr>
          <w:rFonts w:cs="Arial"/>
        </w:rPr>
        <w:t>2</w:t>
      </w:r>
      <w:r w:rsidR="00604D65">
        <w:rPr>
          <w:rFonts w:cs="Arial"/>
        </w:rPr>
        <w:t>.</w:t>
      </w:r>
    </w:p>
    <w:p w14:paraId="417F98D8" w14:textId="77777777" w:rsidR="00C872F0" w:rsidRDefault="00C872F0" w:rsidP="00964A63">
      <w:pPr>
        <w:ind w:left="-142" w:right="-425"/>
        <w:jc w:val="both"/>
        <w:rPr>
          <w:rFonts w:cs="Arial"/>
        </w:rPr>
      </w:pPr>
    </w:p>
    <w:p w14:paraId="11B033A3" w14:textId="6A93C1C5" w:rsidR="00D35167" w:rsidRPr="00D925BE" w:rsidRDefault="00D35167" w:rsidP="00D35167">
      <w:pPr>
        <w:pStyle w:val="TableCaption"/>
        <w:spacing w:before="0"/>
        <w:ind w:left="0" w:right="-425"/>
        <w:rPr>
          <w:b/>
          <w:i w:val="0"/>
          <w:sz w:val="16"/>
        </w:rPr>
      </w:pPr>
      <w:r>
        <w:rPr>
          <w:b/>
          <w:i w:val="0"/>
          <w:sz w:val="16"/>
        </w:rPr>
        <w:t>Table 1</w:t>
      </w:r>
      <w:r w:rsidR="003453AD">
        <w:rPr>
          <w:b/>
          <w:i w:val="0"/>
          <w:sz w:val="16"/>
        </w:rPr>
        <w:t>6</w:t>
      </w:r>
      <w:r w:rsidRPr="00F85AA1">
        <w:rPr>
          <w:b/>
          <w:i w:val="0"/>
          <w:sz w:val="16"/>
        </w:rPr>
        <w:t xml:space="preserve">: </w:t>
      </w:r>
      <w:r w:rsidRPr="00F85AA1">
        <w:rPr>
          <w:i w:val="0"/>
          <w:sz w:val="16"/>
        </w:rPr>
        <w:t xml:space="preserve">Referral pathways by referral type and quarter 1 </w:t>
      </w:r>
      <w:r>
        <w:rPr>
          <w:i w:val="0"/>
          <w:sz w:val="16"/>
        </w:rPr>
        <w:t>January 2020 to 31 March 2021</w:t>
      </w:r>
      <w:r w:rsidRPr="00F85AA1">
        <w:rPr>
          <w:i w:val="0"/>
          <w:sz w:val="16"/>
        </w:rPr>
        <w:t>.</w:t>
      </w:r>
    </w:p>
    <w:tbl>
      <w:tblPr>
        <w:tblW w:w="7132" w:type="dxa"/>
        <w:tblInd w:w="93" w:type="dxa"/>
        <w:tblLook w:val="04A0" w:firstRow="1" w:lastRow="0" w:firstColumn="1" w:lastColumn="0" w:noHBand="0" w:noVBand="1"/>
      </w:tblPr>
      <w:tblGrid>
        <w:gridCol w:w="2029"/>
        <w:gridCol w:w="992"/>
        <w:gridCol w:w="992"/>
        <w:gridCol w:w="1134"/>
        <w:gridCol w:w="992"/>
        <w:gridCol w:w="993"/>
      </w:tblGrid>
      <w:tr w:rsidR="00D35167" w:rsidRPr="00C5395B" w14:paraId="60EC86BA" w14:textId="77777777" w:rsidTr="00FB4759">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2FB9B04F" w14:textId="77777777" w:rsidR="00D35167" w:rsidRPr="00C5395B" w:rsidRDefault="00D35167" w:rsidP="00D35167">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01AD941B" w14:textId="29DB2AB1" w:rsidR="00D35167" w:rsidRDefault="00D35167" w:rsidP="00D35167">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7B177545" w14:textId="4E5D774A" w:rsidR="00D35167" w:rsidRDefault="00D35167" w:rsidP="00D35167">
            <w:pPr>
              <w:pStyle w:val="TableText"/>
              <w:jc w:val="right"/>
              <w:rPr>
                <w:b/>
                <w:lang w:eastAsia="en-AU"/>
              </w:rPr>
            </w:pPr>
            <w:r>
              <w:rPr>
                <w:b/>
                <w:lang w:eastAsia="en-AU"/>
              </w:rPr>
              <w:t>Qtr 48</w:t>
            </w:r>
          </w:p>
        </w:tc>
        <w:tc>
          <w:tcPr>
            <w:tcW w:w="1134" w:type="dxa"/>
            <w:tcBorders>
              <w:top w:val="single" w:sz="4" w:space="0" w:color="auto"/>
              <w:left w:val="nil"/>
              <w:bottom w:val="single" w:sz="4" w:space="0" w:color="auto"/>
              <w:right w:val="single" w:sz="4" w:space="0" w:color="auto"/>
            </w:tcBorders>
          </w:tcPr>
          <w:p w14:paraId="4DFAD161" w14:textId="51B829E1" w:rsidR="00D35167" w:rsidRDefault="00D35167" w:rsidP="00D35167">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2A3F43A4" w14:textId="1B655DF5" w:rsidR="00D35167" w:rsidRDefault="00D35167" w:rsidP="00D35167">
            <w:pPr>
              <w:pStyle w:val="TableText"/>
              <w:jc w:val="right"/>
              <w:rPr>
                <w:b/>
                <w:lang w:eastAsia="en-AU"/>
              </w:rPr>
            </w:pPr>
            <w:r>
              <w:rPr>
                <w:b/>
                <w:lang w:eastAsia="en-AU"/>
              </w:rPr>
              <w:t>Qtr 50</w:t>
            </w:r>
          </w:p>
        </w:tc>
        <w:tc>
          <w:tcPr>
            <w:tcW w:w="993" w:type="dxa"/>
            <w:tcBorders>
              <w:top w:val="single" w:sz="4" w:space="0" w:color="auto"/>
              <w:left w:val="nil"/>
              <w:bottom w:val="single" w:sz="4" w:space="0" w:color="auto"/>
              <w:right w:val="single" w:sz="4" w:space="0" w:color="auto"/>
            </w:tcBorders>
          </w:tcPr>
          <w:p w14:paraId="5812B668" w14:textId="0C24AA8C" w:rsidR="00D35167" w:rsidRDefault="00D35167" w:rsidP="00D35167">
            <w:pPr>
              <w:pStyle w:val="TableText"/>
              <w:jc w:val="right"/>
              <w:rPr>
                <w:b/>
                <w:lang w:eastAsia="en-AU"/>
              </w:rPr>
            </w:pPr>
            <w:r>
              <w:rPr>
                <w:b/>
                <w:lang w:eastAsia="en-AU"/>
              </w:rPr>
              <w:t>Qtr 51</w:t>
            </w:r>
          </w:p>
        </w:tc>
      </w:tr>
      <w:tr w:rsidR="00D35167" w:rsidRPr="00C5395B" w14:paraId="208D6EC4"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6CF96A54" w14:textId="77777777" w:rsidR="00D35167" w:rsidRPr="00C5395B" w:rsidRDefault="00D35167" w:rsidP="00D35167">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tcPr>
          <w:p w14:paraId="377113C6" w14:textId="0F74EBAF" w:rsidR="00D35167" w:rsidRPr="00AA5933" w:rsidRDefault="00D35167" w:rsidP="00D35167">
            <w:pPr>
              <w:jc w:val="right"/>
              <w:rPr>
                <w:rFonts w:cs="Arial"/>
              </w:rPr>
            </w:pPr>
            <w:r w:rsidRPr="00AA5933">
              <w:rPr>
                <w:rFonts w:cs="Arial"/>
              </w:rPr>
              <w:t>95</w:t>
            </w:r>
          </w:p>
        </w:tc>
        <w:tc>
          <w:tcPr>
            <w:tcW w:w="992" w:type="dxa"/>
            <w:tcBorders>
              <w:top w:val="nil"/>
              <w:left w:val="nil"/>
              <w:bottom w:val="single" w:sz="4" w:space="0" w:color="auto"/>
              <w:right w:val="single" w:sz="4" w:space="0" w:color="auto"/>
            </w:tcBorders>
          </w:tcPr>
          <w:p w14:paraId="08106521" w14:textId="08AC6066" w:rsidR="00D35167" w:rsidRPr="00AA5933" w:rsidRDefault="00D35167" w:rsidP="00D35167">
            <w:pPr>
              <w:jc w:val="right"/>
              <w:rPr>
                <w:rFonts w:cs="Arial"/>
              </w:rPr>
            </w:pPr>
            <w:r w:rsidRPr="00AA5933">
              <w:rPr>
                <w:rFonts w:cs="Arial"/>
              </w:rPr>
              <w:t>33</w:t>
            </w:r>
          </w:p>
        </w:tc>
        <w:tc>
          <w:tcPr>
            <w:tcW w:w="1134" w:type="dxa"/>
            <w:tcBorders>
              <w:top w:val="nil"/>
              <w:left w:val="nil"/>
              <w:bottom w:val="single" w:sz="4" w:space="0" w:color="auto"/>
              <w:right w:val="single" w:sz="4" w:space="0" w:color="auto"/>
            </w:tcBorders>
            <w:vAlign w:val="bottom"/>
          </w:tcPr>
          <w:p w14:paraId="7804606D" w14:textId="4DD9DFDB" w:rsidR="00D35167" w:rsidRPr="00AA5933" w:rsidRDefault="00D35167" w:rsidP="00D35167">
            <w:pPr>
              <w:jc w:val="right"/>
              <w:rPr>
                <w:rFonts w:cs="Arial"/>
              </w:rPr>
            </w:pPr>
            <w:r w:rsidRPr="00DF7212">
              <w:rPr>
                <w:rFonts w:cs="Arial"/>
              </w:rPr>
              <w:t>33</w:t>
            </w:r>
          </w:p>
        </w:tc>
        <w:tc>
          <w:tcPr>
            <w:tcW w:w="992" w:type="dxa"/>
            <w:tcBorders>
              <w:top w:val="nil"/>
              <w:left w:val="nil"/>
              <w:bottom w:val="single" w:sz="4" w:space="0" w:color="auto"/>
              <w:right w:val="single" w:sz="4" w:space="0" w:color="auto"/>
            </w:tcBorders>
            <w:vAlign w:val="bottom"/>
          </w:tcPr>
          <w:p w14:paraId="5AF433B3" w14:textId="1AABE90B" w:rsidR="00D35167" w:rsidRPr="00DF7212" w:rsidRDefault="00D35167" w:rsidP="00D35167">
            <w:pPr>
              <w:jc w:val="right"/>
              <w:rPr>
                <w:rFonts w:cs="Arial"/>
              </w:rPr>
            </w:pPr>
            <w:r w:rsidRPr="00DF7212">
              <w:rPr>
                <w:rFonts w:cs="Arial"/>
              </w:rPr>
              <w:t>46</w:t>
            </w:r>
          </w:p>
        </w:tc>
        <w:tc>
          <w:tcPr>
            <w:tcW w:w="993" w:type="dxa"/>
            <w:tcBorders>
              <w:top w:val="nil"/>
              <w:left w:val="nil"/>
              <w:bottom w:val="single" w:sz="4" w:space="0" w:color="auto"/>
              <w:right w:val="single" w:sz="4" w:space="0" w:color="auto"/>
            </w:tcBorders>
            <w:vAlign w:val="bottom"/>
          </w:tcPr>
          <w:p w14:paraId="65704ED7" w14:textId="2EC827A2" w:rsidR="00D35167" w:rsidRPr="00D35167" w:rsidRDefault="00D35167" w:rsidP="00D35167">
            <w:pPr>
              <w:jc w:val="right"/>
              <w:rPr>
                <w:rFonts w:cs="Arial"/>
              </w:rPr>
            </w:pPr>
            <w:r w:rsidRPr="00D35167">
              <w:rPr>
                <w:rFonts w:cs="Arial"/>
              </w:rPr>
              <w:t>99</w:t>
            </w:r>
          </w:p>
        </w:tc>
      </w:tr>
      <w:tr w:rsidR="00D35167" w:rsidRPr="00C5395B" w14:paraId="122FDA43"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6CDF14D1" w14:textId="77777777" w:rsidR="00D35167" w:rsidRPr="00C5395B" w:rsidRDefault="00D35167" w:rsidP="00D35167">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tcPr>
          <w:p w14:paraId="452E77EF" w14:textId="44986D79" w:rsidR="00D35167" w:rsidRPr="00AA5933" w:rsidRDefault="00D35167" w:rsidP="00D35167">
            <w:pPr>
              <w:jc w:val="right"/>
              <w:rPr>
                <w:rFonts w:cs="Arial"/>
              </w:rPr>
            </w:pPr>
            <w:r w:rsidRPr="00AA5933">
              <w:rPr>
                <w:rFonts w:cs="Arial"/>
              </w:rPr>
              <w:t>10</w:t>
            </w:r>
          </w:p>
        </w:tc>
        <w:tc>
          <w:tcPr>
            <w:tcW w:w="992" w:type="dxa"/>
            <w:tcBorders>
              <w:top w:val="nil"/>
              <w:left w:val="nil"/>
              <w:bottom w:val="single" w:sz="4" w:space="0" w:color="auto"/>
              <w:right w:val="single" w:sz="4" w:space="0" w:color="auto"/>
            </w:tcBorders>
          </w:tcPr>
          <w:p w14:paraId="22BBD5C8" w14:textId="45342F06" w:rsidR="00D35167" w:rsidRPr="00AA5933" w:rsidRDefault="00D35167" w:rsidP="00D35167">
            <w:pPr>
              <w:jc w:val="right"/>
              <w:rPr>
                <w:rFonts w:cs="Arial"/>
              </w:rPr>
            </w:pPr>
            <w:r w:rsidRPr="00AA5933">
              <w:rPr>
                <w:rFonts w:cs="Arial"/>
              </w:rPr>
              <w:t>32</w:t>
            </w:r>
          </w:p>
        </w:tc>
        <w:tc>
          <w:tcPr>
            <w:tcW w:w="1134" w:type="dxa"/>
            <w:tcBorders>
              <w:top w:val="nil"/>
              <w:left w:val="nil"/>
              <w:bottom w:val="single" w:sz="4" w:space="0" w:color="auto"/>
              <w:right w:val="single" w:sz="4" w:space="0" w:color="auto"/>
            </w:tcBorders>
            <w:vAlign w:val="bottom"/>
          </w:tcPr>
          <w:p w14:paraId="1B0517D9" w14:textId="673DF83A" w:rsidR="00D35167" w:rsidRPr="00AA5933" w:rsidRDefault="00D35167" w:rsidP="00D35167">
            <w:pPr>
              <w:jc w:val="right"/>
              <w:rPr>
                <w:rFonts w:cs="Arial"/>
              </w:rPr>
            </w:pPr>
            <w:r w:rsidRPr="00DF7212">
              <w:rPr>
                <w:rFonts w:cs="Arial"/>
              </w:rPr>
              <w:t>8</w:t>
            </w:r>
          </w:p>
        </w:tc>
        <w:tc>
          <w:tcPr>
            <w:tcW w:w="992" w:type="dxa"/>
            <w:tcBorders>
              <w:top w:val="nil"/>
              <w:left w:val="nil"/>
              <w:bottom w:val="single" w:sz="4" w:space="0" w:color="auto"/>
              <w:right w:val="single" w:sz="4" w:space="0" w:color="auto"/>
            </w:tcBorders>
            <w:vAlign w:val="bottom"/>
          </w:tcPr>
          <w:p w14:paraId="2D70B088" w14:textId="00B0E31C" w:rsidR="00D35167" w:rsidRPr="00DF7212" w:rsidRDefault="00D35167" w:rsidP="00D35167">
            <w:pPr>
              <w:jc w:val="right"/>
              <w:rPr>
                <w:rFonts w:cs="Arial"/>
              </w:rPr>
            </w:pPr>
            <w:r w:rsidRPr="00DF7212">
              <w:rPr>
                <w:rFonts w:cs="Arial"/>
              </w:rPr>
              <w:t>10</w:t>
            </w:r>
          </w:p>
        </w:tc>
        <w:tc>
          <w:tcPr>
            <w:tcW w:w="993" w:type="dxa"/>
            <w:tcBorders>
              <w:top w:val="nil"/>
              <w:left w:val="nil"/>
              <w:bottom w:val="single" w:sz="4" w:space="0" w:color="auto"/>
              <w:right w:val="single" w:sz="4" w:space="0" w:color="auto"/>
            </w:tcBorders>
            <w:vAlign w:val="bottom"/>
          </w:tcPr>
          <w:p w14:paraId="57311CEF" w14:textId="10841770" w:rsidR="00D35167" w:rsidRPr="00D35167" w:rsidRDefault="00D35167" w:rsidP="00D35167">
            <w:pPr>
              <w:jc w:val="right"/>
              <w:rPr>
                <w:rFonts w:cs="Arial"/>
              </w:rPr>
            </w:pPr>
            <w:r w:rsidRPr="00D35167">
              <w:rPr>
                <w:rFonts w:cs="Arial"/>
              </w:rPr>
              <w:t>4</w:t>
            </w:r>
          </w:p>
        </w:tc>
      </w:tr>
      <w:tr w:rsidR="00D35167" w:rsidRPr="00C5395B" w14:paraId="3D0BABBC" w14:textId="77777777" w:rsidTr="00FB4759">
        <w:trPr>
          <w:trHeight w:val="255"/>
        </w:trPr>
        <w:tc>
          <w:tcPr>
            <w:tcW w:w="2029" w:type="dxa"/>
            <w:tcBorders>
              <w:top w:val="nil"/>
              <w:left w:val="single" w:sz="4" w:space="0" w:color="auto"/>
              <w:bottom w:val="single" w:sz="4" w:space="0" w:color="auto"/>
              <w:right w:val="single" w:sz="4" w:space="0" w:color="auto"/>
            </w:tcBorders>
            <w:noWrap/>
          </w:tcPr>
          <w:p w14:paraId="50D50339" w14:textId="77777777" w:rsidR="00D35167" w:rsidRPr="00C5395B" w:rsidRDefault="00D35167" w:rsidP="00D35167">
            <w:pPr>
              <w:pStyle w:val="TableText"/>
              <w:rPr>
                <w:lang w:eastAsia="en-AU"/>
              </w:rPr>
            </w:pPr>
            <w:r>
              <w:rPr>
                <w:lang w:eastAsia="en-AU"/>
              </w:rPr>
              <w:t>Doomadgee</w:t>
            </w:r>
          </w:p>
        </w:tc>
        <w:tc>
          <w:tcPr>
            <w:tcW w:w="992" w:type="dxa"/>
            <w:tcBorders>
              <w:top w:val="nil"/>
              <w:left w:val="nil"/>
              <w:bottom w:val="single" w:sz="4" w:space="0" w:color="auto"/>
              <w:right w:val="single" w:sz="4" w:space="0" w:color="auto"/>
            </w:tcBorders>
          </w:tcPr>
          <w:p w14:paraId="16E9751B" w14:textId="6E958272" w:rsidR="00D35167" w:rsidRPr="00AA5933" w:rsidRDefault="00D35167" w:rsidP="00D35167">
            <w:pPr>
              <w:jc w:val="right"/>
              <w:rPr>
                <w:rFonts w:cs="Arial"/>
              </w:rPr>
            </w:pPr>
            <w:r w:rsidRPr="00AA5933">
              <w:rPr>
                <w:rFonts w:cs="Arial"/>
              </w:rPr>
              <w:t>32</w:t>
            </w:r>
          </w:p>
        </w:tc>
        <w:tc>
          <w:tcPr>
            <w:tcW w:w="992" w:type="dxa"/>
            <w:tcBorders>
              <w:top w:val="nil"/>
              <w:left w:val="nil"/>
              <w:bottom w:val="single" w:sz="4" w:space="0" w:color="auto"/>
              <w:right w:val="single" w:sz="4" w:space="0" w:color="auto"/>
            </w:tcBorders>
          </w:tcPr>
          <w:p w14:paraId="153E46A8" w14:textId="1C249DED" w:rsidR="00D35167" w:rsidRPr="00AA5933" w:rsidRDefault="00D35167" w:rsidP="00D35167">
            <w:pPr>
              <w:jc w:val="right"/>
              <w:rPr>
                <w:rFonts w:cs="Arial"/>
              </w:rPr>
            </w:pPr>
            <w:r w:rsidRPr="00AA5933">
              <w:rPr>
                <w:rFonts w:cs="Arial"/>
              </w:rPr>
              <w:t>29</w:t>
            </w:r>
          </w:p>
        </w:tc>
        <w:tc>
          <w:tcPr>
            <w:tcW w:w="1134" w:type="dxa"/>
            <w:tcBorders>
              <w:top w:val="nil"/>
              <w:left w:val="nil"/>
              <w:bottom w:val="single" w:sz="4" w:space="0" w:color="auto"/>
              <w:right w:val="single" w:sz="4" w:space="0" w:color="auto"/>
            </w:tcBorders>
            <w:vAlign w:val="bottom"/>
          </w:tcPr>
          <w:p w14:paraId="11295734" w14:textId="693984E6" w:rsidR="00D35167" w:rsidRPr="00AA5933" w:rsidRDefault="00D35167" w:rsidP="00D35167">
            <w:pPr>
              <w:jc w:val="right"/>
              <w:rPr>
                <w:rFonts w:cs="Arial"/>
              </w:rPr>
            </w:pPr>
            <w:r w:rsidRPr="00DF7212">
              <w:rPr>
                <w:rFonts w:cs="Arial"/>
              </w:rPr>
              <w:t>37</w:t>
            </w:r>
          </w:p>
        </w:tc>
        <w:tc>
          <w:tcPr>
            <w:tcW w:w="992" w:type="dxa"/>
            <w:tcBorders>
              <w:top w:val="nil"/>
              <w:left w:val="nil"/>
              <w:bottom w:val="single" w:sz="4" w:space="0" w:color="auto"/>
              <w:right w:val="single" w:sz="4" w:space="0" w:color="auto"/>
            </w:tcBorders>
            <w:vAlign w:val="bottom"/>
          </w:tcPr>
          <w:p w14:paraId="7A0313E5" w14:textId="1342361B" w:rsidR="00D35167" w:rsidRPr="00DF7212" w:rsidRDefault="00D35167" w:rsidP="00D35167">
            <w:pPr>
              <w:jc w:val="right"/>
              <w:rPr>
                <w:rFonts w:cs="Arial"/>
              </w:rPr>
            </w:pPr>
            <w:r w:rsidRPr="00DF7212">
              <w:rPr>
                <w:rFonts w:cs="Arial"/>
              </w:rPr>
              <w:t>66</w:t>
            </w:r>
          </w:p>
        </w:tc>
        <w:tc>
          <w:tcPr>
            <w:tcW w:w="993" w:type="dxa"/>
            <w:tcBorders>
              <w:top w:val="nil"/>
              <w:left w:val="nil"/>
              <w:bottom w:val="single" w:sz="4" w:space="0" w:color="auto"/>
              <w:right w:val="single" w:sz="4" w:space="0" w:color="auto"/>
            </w:tcBorders>
            <w:vAlign w:val="bottom"/>
          </w:tcPr>
          <w:p w14:paraId="631F2642" w14:textId="7A9A5B29" w:rsidR="00D35167" w:rsidRPr="00D35167" w:rsidRDefault="00D35167" w:rsidP="00D35167">
            <w:pPr>
              <w:jc w:val="right"/>
              <w:rPr>
                <w:rFonts w:cs="Arial"/>
              </w:rPr>
            </w:pPr>
            <w:r w:rsidRPr="00D35167">
              <w:rPr>
                <w:rFonts w:cs="Arial"/>
              </w:rPr>
              <w:t>26</w:t>
            </w:r>
          </w:p>
        </w:tc>
      </w:tr>
      <w:tr w:rsidR="00D35167" w:rsidRPr="00C5395B" w14:paraId="359DE5DE" w14:textId="77777777" w:rsidTr="00FB4759">
        <w:trPr>
          <w:trHeight w:val="255"/>
        </w:trPr>
        <w:tc>
          <w:tcPr>
            <w:tcW w:w="2029" w:type="dxa"/>
            <w:tcBorders>
              <w:top w:val="nil"/>
              <w:left w:val="single" w:sz="4" w:space="0" w:color="auto"/>
              <w:bottom w:val="single" w:sz="4" w:space="0" w:color="auto"/>
              <w:right w:val="single" w:sz="4" w:space="0" w:color="auto"/>
            </w:tcBorders>
            <w:noWrap/>
          </w:tcPr>
          <w:p w14:paraId="03C82B82" w14:textId="77777777" w:rsidR="00D35167" w:rsidRPr="00C5395B" w:rsidRDefault="00D35167" w:rsidP="00D35167">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tcPr>
          <w:p w14:paraId="3139D665" w14:textId="392D7680" w:rsidR="00D35167" w:rsidRPr="00AA5933" w:rsidRDefault="00D35167" w:rsidP="00D35167">
            <w:pPr>
              <w:jc w:val="right"/>
              <w:rPr>
                <w:rFonts w:cs="Arial"/>
              </w:rPr>
            </w:pPr>
            <w:r w:rsidRPr="00AA5933">
              <w:rPr>
                <w:rFonts w:cs="Arial"/>
              </w:rPr>
              <w:t>17</w:t>
            </w:r>
          </w:p>
        </w:tc>
        <w:tc>
          <w:tcPr>
            <w:tcW w:w="992" w:type="dxa"/>
            <w:tcBorders>
              <w:top w:val="nil"/>
              <w:left w:val="nil"/>
              <w:bottom w:val="single" w:sz="4" w:space="0" w:color="auto"/>
              <w:right w:val="single" w:sz="4" w:space="0" w:color="auto"/>
            </w:tcBorders>
          </w:tcPr>
          <w:p w14:paraId="12E2B510" w14:textId="349CF636" w:rsidR="00D35167" w:rsidRPr="00AA5933" w:rsidRDefault="00D35167" w:rsidP="00D35167">
            <w:pPr>
              <w:jc w:val="right"/>
              <w:rPr>
                <w:rFonts w:cs="Arial"/>
              </w:rPr>
            </w:pPr>
            <w:r w:rsidRPr="00AA5933">
              <w:rPr>
                <w:rFonts w:cs="Arial"/>
              </w:rPr>
              <w:t>2</w:t>
            </w:r>
          </w:p>
        </w:tc>
        <w:tc>
          <w:tcPr>
            <w:tcW w:w="1134" w:type="dxa"/>
            <w:tcBorders>
              <w:top w:val="nil"/>
              <w:left w:val="nil"/>
              <w:bottom w:val="single" w:sz="4" w:space="0" w:color="auto"/>
              <w:right w:val="single" w:sz="4" w:space="0" w:color="auto"/>
            </w:tcBorders>
            <w:vAlign w:val="bottom"/>
          </w:tcPr>
          <w:p w14:paraId="1E48EE85" w14:textId="46CE5F06" w:rsidR="00D35167" w:rsidRPr="00AA5933" w:rsidRDefault="00D35167" w:rsidP="00D35167">
            <w:pPr>
              <w:jc w:val="right"/>
              <w:rPr>
                <w:rFonts w:cs="Arial"/>
              </w:rPr>
            </w:pPr>
            <w:r w:rsidRPr="00DF7212">
              <w:rPr>
                <w:rFonts w:cs="Arial"/>
              </w:rPr>
              <w:t>5</w:t>
            </w:r>
          </w:p>
        </w:tc>
        <w:tc>
          <w:tcPr>
            <w:tcW w:w="992" w:type="dxa"/>
            <w:tcBorders>
              <w:top w:val="nil"/>
              <w:left w:val="nil"/>
              <w:bottom w:val="single" w:sz="4" w:space="0" w:color="auto"/>
              <w:right w:val="single" w:sz="4" w:space="0" w:color="auto"/>
            </w:tcBorders>
            <w:vAlign w:val="bottom"/>
          </w:tcPr>
          <w:p w14:paraId="6EF337A2" w14:textId="4DA3F4E7" w:rsidR="00D35167" w:rsidRPr="00DF7212" w:rsidRDefault="00D35167" w:rsidP="00D35167">
            <w:pPr>
              <w:jc w:val="right"/>
              <w:rPr>
                <w:rFonts w:cs="Arial"/>
              </w:rPr>
            </w:pPr>
            <w:r w:rsidRPr="00DF7212">
              <w:rPr>
                <w:rFonts w:cs="Arial"/>
              </w:rPr>
              <w:t>12</w:t>
            </w:r>
          </w:p>
        </w:tc>
        <w:tc>
          <w:tcPr>
            <w:tcW w:w="993" w:type="dxa"/>
            <w:tcBorders>
              <w:top w:val="nil"/>
              <w:left w:val="nil"/>
              <w:bottom w:val="single" w:sz="4" w:space="0" w:color="auto"/>
              <w:right w:val="single" w:sz="4" w:space="0" w:color="auto"/>
            </w:tcBorders>
            <w:vAlign w:val="bottom"/>
          </w:tcPr>
          <w:p w14:paraId="03AA4175" w14:textId="64036A59" w:rsidR="00D35167" w:rsidRPr="00D35167" w:rsidRDefault="00D35167" w:rsidP="00D35167">
            <w:pPr>
              <w:jc w:val="right"/>
              <w:rPr>
                <w:rFonts w:cs="Arial"/>
              </w:rPr>
            </w:pPr>
            <w:r w:rsidRPr="00D35167">
              <w:rPr>
                <w:rFonts w:cs="Arial"/>
              </w:rPr>
              <w:t>18</w:t>
            </w:r>
          </w:p>
        </w:tc>
      </w:tr>
      <w:tr w:rsidR="00D35167" w:rsidRPr="00C5395B" w14:paraId="14E0A93D"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0588509E" w14:textId="77777777" w:rsidR="00D35167" w:rsidRPr="00C5395B" w:rsidRDefault="00D35167" w:rsidP="00D35167">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tcPr>
          <w:p w14:paraId="59895E24" w14:textId="15B11EFA" w:rsidR="00D35167" w:rsidRPr="00AA5933" w:rsidRDefault="00D35167" w:rsidP="00D35167">
            <w:pPr>
              <w:jc w:val="right"/>
              <w:rPr>
                <w:rFonts w:cs="Arial"/>
              </w:rPr>
            </w:pPr>
            <w:r w:rsidRPr="00AA5933">
              <w:rPr>
                <w:rFonts w:cs="Arial"/>
              </w:rPr>
              <w:t>24</w:t>
            </w:r>
          </w:p>
        </w:tc>
        <w:tc>
          <w:tcPr>
            <w:tcW w:w="992" w:type="dxa"/>
            <w:tcBorders>
              <w:top w:val="nil"/>
              <w:left w:val="nil"/>
              <w:bottom w:val="single" w:sz="4" w:space="0" w:color="auto"/>
              <w:right w:val="single" w:sz="4" w:space="0" w:color="auto"/>
            </w:tcBorders>
          </w:tcPr>
          <w:p w14:paraId="05ED7362" w14:textId="1D173606" w:rsidR="00D35167" w:rsidRPr="00AA5933" w:rsidRDefault="00D35167" w:rsidP="00D35167">
            <w:pPr>
              <w:jc w:val="right"/>
              <w:rPr>
                <w:rFonts w:cs="Arial"/>
              </w:rPr>
            </w:pPr>
            <w:r w:rsidRPr="00AA5933">
              <w:rPr>
                <w:rFonts w:cs="Arial"/>
              </w:rPr>
              <w:t>8</w:t>
            </w:r>
          </w:p>
        </w:tc>
        <w:tc>
          <w:tcPr>
            <w:tcW w:w="1134" w:type="dxa"/>
            <w:tcBorders>
              <w:top w:val="nil"/>
              <w:left w:val="nil"/>
              <w:bottom w:val="single" w:sz="4" w:space="0" w:color="auto"/>
              <w:right w:val="single" w:sz="4" w:space="0" w:color="auto"/>
            </w:tcBorders>
            <w:vAlign w:val="bottom"/>
          </w:tcPr>
          <w:p w14:paraId="01702416" w14:textId="39AFE503" w:rsidR="00D35167" w:rsidRPr="00AA5933" w:rsidRDefault="00D35167" w:rsidP="00D35167">
            <w:pPr>
              <w:jc w:val="right"/>
              <w:rPr>
                <w:rFonts w:cs="Arial"/>
              </w:rPr>
            </w:pPr>
            <w:r w:rsidRPr="00DF7212">
              <w:rPr>
                <w:rFonts w:cs="Arial"/>
              </w:rPr>
              <w:t>7</w:t>
            </w:r>
          </w:p>
        </w:tc>
        <w:tc>
          <w:tcPr>
            <w:tcW w:w="992" w:type="dxa"/>
            <w:tcBorders>
              <w:top w:val="nil"/>
              <w:left w:val="nil"/>
              <w:bottom w:val="single" w:sz="4" w:space="0" w:color="auto"/>
              <w:right w:val="single" w:sz="4" w:space="0" w:color="auto"/>
            </w:tcBorders>
            <w:vAlign w:val="bottom"/>
          </w:tcPr>
          <w:p w14:paraId="46251D49" w14:textId="6953B252" w:rsidR="00D35167" w:rsidRPr="00DF7212" w:rsidRDefault="00D35167" w:rsidP="00D35167">
            <w:pPr>
              <w:jc w:val="right"/>
              <w:rPr>
                <w:rFonts w:cs="Arial"/>
              </w:rPr>
            </w:pPr>
            <w:r w:rsidRPr="00DF7212">
              <w:rPr>
                <w:rFonts w:cs="Arial"/>
              </w:rPr>
              <w:t>5</w:t>
            </w:r>
          </w:p>
        </w:tc>
        <w:tc>
          <w:tcPr>
            <w:tcW w:w="993" w:type="dxa"/>
            <w:tcBorders>
              <w:top w:val="nil"/>
              <w:left w:val="nil"/>
              <w:bottom w:val="single" w:sz="4" w:space="0" w:color="auto"/>
              <w:right w:val="single" w:sz="4" w:space="0" w:color="auto"/>
            </w:tcBorders>
            <w:vAlign w:val="bottom"/>
          </w:tcPr>
          <w:p w14:paraId="18E14354" w14:textId="7DFC7639" w:rsidR="00D35167" w:rsidRPr="00D35167" w:rsidRDefault="00D35167" w:rsidP="00D35167">
            <w:pPr>
              <w:jc w:val="right"/>
              <w:rPr>
                <w:rFonts w:cs="Arial"/>
              </w:rPr>
            </w:pPr>
            <w:r w:rsidRPr="00D35167">
              <w:rPr>
                <w:rFonts w:cs="Arial"/>
              </w:rPr>
              <w:t>7</w:t>
            </w:r>
          </w:p>
        </w:tc>
      </w:tr>
      <w:tr w:rsidR="00D35167" w:rsidRPr="00C5395B" w14:paraId="4FC811C8"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09C933B9" w14:textId="77777777" w:rsidR="00D35167" w:rsidRPr="00C5395B" w:rsidRDefault="00D35167" w:rsidP="00D35167">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tcPr>
          <w:p w14:paraId="06D1FA48" w14:textId="7F08AC90" w:rsidR="00D35167" w:rsidRPr="00AA5933" w:rsidRDefault="00D35167" w:rsidP="00D35167">
            <w:pPr>
              <w:pStyle w:val="TableText"/>
              <w:jc w:val="right"/>
              <w:rPr>
                <w:b/>
                <w:lang w:eastAsia="en-AU"/>
              </w:rPr>
            </w:pPr>
            <w:r w:rsidRPr="00AA5933">
              <w:rPr>
                <w:rFonts w:cs="Arial"/>
                <w:b/>
                <w:bCs/>
              </w:rPr>
              <w:t>178</w:t>
            </w:r>
          </w:p>
        </w:tc>
        <w:tc>
          <w:tcPr>
            <w:tcW w:w="992" w:type="dxa"/>
            <w:tcBorders>
              <w:top w:val="nil"/>
              <w:left w:val="nil"/>
              <w:bottom w:val="single" w:sz="4" w:space="0" w:color="auto"/>
              <w:right w:val="single" w:sz="4" w:space="0" w:color="auto"/>
            </w:tcBorders>
          </w:tcPr>
          <w:p w14:paraId="407B46DE" w14:textId="116DA9F6" w:rsidR="00D35167" w:rsidRPr="00AA5933" w:rsidRDefault="00D35167" w:rsidP="00D35167">
            <w:pPr>
              <w:pStyle w:val="TableText"/>
              <w:jc w:val="right"/>
              <w:rPr>
                <w:b/>
                <w:lang w:eastAsia="en-AU"/>
              </w:rPr>
            </w:pPr>
            <w:r w:rsidRPr="00AA5933">
              <w:rPr>
                <w:rFonts w:cs="Arial"/>
                <w:b/>
                <w:bCs/>
              </w:rPr>
              <w:t>104</w:t>
            </w:r>
          </w:p>
        </w:tc>
        <w:tc>
          <w:tcPr>
            <w:tcW w:w="1134" w:type="dxa"/>
            <w:tcBorders>
              <w:top w:val="nil"/>
              <w:left w:val="nil"/>
              <w:bottom w:val="single" w:sz="4" w:space="0" w:color="auto"/>
              <w:right w:val="single" w:sz="4" w:space="0" w:color="auto"/>
            </w:tcBorders>
            <w:vAlign w:val="bottom"/>
          </w:tcPr>
          <w:p w14:paraId="545A7AA7" w14:textId="15A377AB" w:rsidR="00D35167" w:rsidRPr="00AA5933" w:rsidRDefault="00D35167" w:rsidP="00D35167">
            <w:pPr>
              <w:pStyle w:val="TableText"/>
              <w:jc w:val="right"/>
              <w:rPr>
                <w:b/>
                <w:lang w:eastAsia="en-AU"/>
              </w:rPr>
            </w:pPr>
            <w:r w:rsidRPr="00DF7212">
              <w:rPr>
                <w:rFonts w:cs="Arial"/>
                <w:b/>
                <w:bCs/>
              </w:rPr>
              <w:t>90</w:t>
            </w:r>
          </w:p>
        </w:tc>
        <w:tc>
          <w:tcPr>
            <w:tcW w:w="992" w:type="dxa"/>
            <w:tcBorders>
              <w:top w:val="nil"/>
              <w:left w:val="nil"/>
              <w:bottom w:val="single" w:sz="4" w:space="0" w:color="auto"/>
              <w:right w:val="single" w:sz="4" w:space="0" w:color="auto"/>
            </w:tcBorders>
            <w:vAlign w:val="bottom"/>
          </w:tcPr>
          <w:p w14:paraId="2E2047DD" w14:textId="1C9580C4" w:rsidR="00D35167" w:rsidRPr="00DF7212" w:rsidRDefault="00D35167" w:rsidP="00D35167">
            <w:pPr>
              <w:pStyle w:val="TableText"/>
              <w:jc w:val="right"/>
              <w:rPr>
                <w:rFonts w:cs="Arial"/>
                <w:b/>
                <w:bCs/>
              </w:rPr>
            </w:pPr>
            <w:r w:rsidRPr="00DF7212">
              <w:rPr>
                <w:rFonts w:cs="Arial"/>
                <w:b/>
                <w:bCs/>
              </w:rPr>
              <w:t>139</w:t>
            </w:r>
          </w:p>
        </w:tc>
        <w:tc>
          <w:tcPr>
            <w:tcW w:w="993" w:type="dxa"/>
            <w:tcBorders>
              <w:top w:val="nil"/>
              <w:left w:val="nil"/>
              <w:bottom w:val="single" w:sz="4" w:space="0" w:color="auto"/>
              <w:right w:val="single" w:sz="4" w:space="0" w:color="auto"/>
            </w:tcBorders>
            <w:vAlign w:val="bottom"/>
          </w:tcPr>
          <w:p w14:paraId="2771B20B" w14:textId="7CA1C6B7" w:rsidR="00D35167" w:rsidRPr="00D35167" w:rsidRDefault="00D35167" w:rsidP="00D35167">
            <w:pPr>
              <w:pStyle w:val="TableText"/>
              <w:jc w:val="right"/>
              <w:rPr>
                <w:rFonts w:cs="Arial"/>
                <w:b/>
                <w:bCs/>
              </w:rPr>
            </w:pPr>
            <w:r w:rsidRPr="00D35167">
              <w:rPr>
                <w:rFonts w:cs="Arial"/>
                <w:b/>
                <w:bCs/>
              </w:rPr>
              <w:t>154</w:t>
            </w:r>
          </w:p>
        </w:tc>
      </w:tr>
    </w:tbl>
    <w:p w14:paraId="495F11ED" w14:textId="77777777" w:rsidR="00D35167" w:rsidRDefault="00D35167" w:rsidP="00D35167">
      <w:pPr>
        <w:pStyle w:val="Heading2"/>
      </w:pPr>
    </w:p>
    <w:p w14:paraId="1357C4B9" w14:textId="77777777" w:rsidR="002F3FD3" w:rsidRPr="006524B7" w:rsidRDefault="002F3FD3" w:rsidP="00DB0AEE">
      <w:pPr>
        <w:pStyle w:val="Heading2"/>
      </w:pPr>
      <w:r>
        <w:t>Referrals</w:t>
      </w:r>
      <w:r w:rsidRPr="006524B7">
        <w:t xml:space="preserve"> for Domestic Violence related matters</w:t>
      </w:r>
    </w:p>
    <w:p w14:paraId="70D27E82" w14:textId="65ADF032" w:rsidR="00A66AAA" w:rsidRDefault="002F33AF" w:rsidP="00A66AAA">
      <w:pPr>
        <w:ind w:left="-142" w:right="-425"/>
        <w:jc w:val="both"/>
        <w:rPr>
          <w:rFonts w:cs="Arial"/>
        </w:rPr>
      </w:pPr>
      <w:r>
        <w:rPr>
          <w:rFonts w:cs="Arial"/>
        </w:rPr>
        <w:t xml:space="preserve">As a subset of the total number of referrals in the quarter, </w:t>
      </w:r>
      <w:r w:rsidR="000C098B">
        <w:rPr>
          <w:rFonts w:cs="Arial"/>
        </w:rPr>
        <w:t xml:space="preserve">50 </w:t>
      </w:r>
      <w:r w:rsidR="002F3FD3">
        <w:rPr>
          <w:rFonts w:cs="Arial"/>
        </w:rPr>
        <w:t>referrals were made in relation to</w:t>
      </w:r>
      <w:r w:rsidR="002F3FD3" w:rsidRPr="006524B7">
        <w:rPr>
          <w:rFonts w:cs="Arial"/>
        </w:rPr>
        <w:t xml:space="preserve"> domestic violence conferences </w:t>
      </w:r>
      <w:r w:rsidR="002F3FD3">
        <w:rPr>
          <w:rFonts w:cs="Arial"/>
        </w:rPr>
        <w:t xml:space="preserve">in </w:t>
      </w:r>
      <w:r w:rsidR="00856C85">
        <w:rPr>
          <w:rFonts w:cs="Arial"/>
        </w:rPr>
        <w:t xml:space="preserve">quarter </w:t>
      </w:r>
      <w:r w:rsidR="005D211C">
        <w:rPr>
          <w:rFonts w:cs="Arial"/>
        </w:rPr>
        <w:t>51</w:t>
      </w:r>
      <w:r w:rsidR="002F3FD3">
        <w:rPr>
          <w:rFonts w:cs="Arial"/>
        </w:rPr>
        <w:t xml:space="preserve">, </w:t>
      </w:r>
      <w:r w:rsidR="000C098B">
        <w:rPr>
          <w:rFonts w:cs="Arial"/>
        </w:rPr>
        <w:t xml:space="preserve">an increase of 33 </w:t>
      </w:r>
      <w:r w:rsidR="009D0578">
        <w:rPr>
          <w:rFonts w:cs="Arial"/>
        </w:rPr>
        <w:t>from</w:t>
      </w:r>
      <w:r w:rsidR="002F3FD3" w:rsidRPr="006524B7">
        <w:rPr>
          <w:rFonts w:cs="Arial"/>
        </w:rPr>
        <w:t xml:space="preserve"> the previous quarter.</w:t>
      </w:r>
      <w:r w:rsidR="00A66AAA">
        <w:rPr>
          <w:rFonts w:cs="Arial"/>
        </w:rPr>
        <w:t xml:space="preserve"> The Local Commissioners continue to raise concerns </w:t>
      </w:r>
      <w:r w:rsidR="001A4696">
        <w:rPr>
          <w:rFonts w:cs="Arial"/>
        </w:rPr>
        <w:t>regarding</w:t>
      </w:r>
      <w:r w:rsidR="00A66AAA">
        <w:rPr>
          <w:rFonts w:cs="Arial"/>
        </w:rPr>
        <w:t xml:space="preserve"> the availability of appropriate perpetrator intervention programs suitable for client referrals.</w:t>
      </w:r>
    </w:p>
    <w:p w14:paraId="5CE49C4F" w14:textId="494D5CFD" w:rsidR="00073A0B" w:rsidRDefault="00073A0B" w:rsidP="00A66AAA">
      <w:pPr>
        <w:ind w:left="-142" w:right="-425"/>
        <w:jc w:val="both"/>
        <w:rPr>
          <w:rFonts w:cs="Arial"/>
        </w:rPr>
      </w:pPr>
    </w:p>
    <w:p w14:paraId="53809292" w14:textId="0917110E" w:rsidR="00073A0B" w:rsidRPr="00D925BE" w:rsidRDefault="00073A0B" w:rsidP="00073A0B">
      <w:pPr>
        <w:pStyle w:val="TableCaption"/>
        <w:spacing w:before="0"/>
        <w:ind w:left="0" w:right="-425"/>
        <w:rPr>
          <w:b/>
          <w:i w:val="0"/>
          <w:sz w:val="16"/>
        </w:rPr>
      </w:pPr>
      <w:r>
        <w:rPr>
          <w:b/>
          <w:i w:val="0"/>
          <w:sz w:val="16"/>
        </w:rPr>
        <w:t>Table 1</w:t>
      </w:r>
      <w:r w:rsidR="003453AD">
        <w:rPr>
          <w:b/>
          <w:i w:val="0"/>
          <w:sz w:val="16"/>
        </w:rPr>
        <w:t>7</w:t>
      </w:r>
      <w:r w:rsidRPr="00F85AA1">
        <w:rPr>
          <w:b/>
          <w:i w:val="0"/>
          <w:sz w:val="16"/>
        </w:rPr>
        <w:t xml:space="preserve">: </w:t>
      </w:r>
      <w:r w:rsidRPr="00DF7212">
        <w:rPr>
          <w:rFonts w:cs="Arial"/>
          <w:i w:val="0"/>
          <w:iCs/>
          <w:sz w:val="16"/>
          <w:szCs w:val="16"/>
        </w:rPr>
        <w:t xml:space="preserve">Domestic violence referrals by community and quarter 1 </w:t>
      </w:r>
      <w:r>
        <w:rPr>
          <w:rFonts w:cs="Arial"/>
          <w:i w:val="0"/>
          <w:iCs/>
          <w:sz w:val="16"/>
          <w:szCs w:val="16"/>
        </w:rPr>
        <w:t>January</w:t>
      </w:r>
      <w:r w:rsidRPr="00DF7212">
        <w:rPr>
          <w:rFonts w:cs="Arial"/>
          <w:i w:val="0"/>
          <w:iCs/>
          <w:sz w:val="16"/>
          <w:szCs w:val="16"/>
        </w:rPr>
        <w:t xml:space="preserve"> 20</w:t>
      </w:r>
      <w:r>
        <w:rPr>
          <w:rFonts w:cs="Arial"/>
          <w:i w:val="0"/>
          <w:iCs/>
          <w:sz w:val="16"/>
          <w:szCs w:val="16"/>
        </w:rPr>
        <w:t>20</w:t>
      </w:r>
      <w:r w:rsidRPr="00DF7212">
        <w:rPr>
          <w:rFonts w:cs="Arial"/>
          <w:i w:val="0"/>
          <w:iCs/>
          <w:sz w:val="16"/>
          <w:szCs w:val="16"/>
        </w:rPr>
        <w:t xml:space="preserve"> to 31 </w:t>
      </w:r>
      <w:r>
        <w:rPr>
          <w:rFonts w:cs="Arial"/>
          <w:i w:val="0"/>
          <w:iCs/>
          <w:sz w:val="16"/>
          <w:szCs w:val="16"/>
        </w:rPr>
        <w:t>March</w:t>
      </w:r>
      <w:r w:rsidRPr="00DF7212">
        <w:rPr>
          <w:rFonts w:cs="Arial"/>
          <w:i w:val="0"/>
          <w:iCs/>
          <w:sz w:val="16"/>
          <w:szCs w:val="16"/>
        </w:rPr>
        <w:t xml:space="preserve"> 202</w:t>
      </w:r>
      <w:r>
        <w:rPr>
          <w:rFonts w:cs="Arial"/>
          <w:i w:val="0"/>
          <w:iCs/>
          <w:sz w:val="16"/>
          <w:szCs w:val="16"/>
        </w:rPr>
        <w:t>1</w:t>
      </w:r>
      <w:r w:rsidRPr="00DF7212">
        <w:rPr>
          <w:rFonts w:cs="Arial"/>
          <w:i w:val="0"/>
          <w:iCs/>
          <w:sz w:val="16"/>
          <w:szCs w:val="16"/>
        </w:rPr>
        <w:t>.</w:t>
      </w:r>
    </w:p>
    <w:tbl>
      <w:tblPr>
        <w:tblW w:w="7132" w:type="dxa"/>
        <w:tblInd w:w="93" w:type="dxa"/>
        <w:tblLook w:val="04A0" w:firstRow="1" w:lastRow="0" w:firstColumn="1" w:lastColumn="0" w:noHBand="0" w:noVBand="1"/>
      </w:tblPr>
      <w:tblGrid>
        <w:gridCol w:w="2029"/>
        <w:gridCol w:w="992"/>
        <w:gridCol w:w="992"/>
        <w:gridCol w:w="1134"/>
        <w:gridCol w:w="992"/>
        <w:gridCol w:w="993"/>
      </w:tblGrid>
      <w:tr w:rsidR="00073A0B" w:rsidRPr="00C5395B" w14:paraId="5A6B3EE9" w14:textId="77777777" w:rsidTr="00FB4759">
        <w:trPr>
          <w:trHeight w:val="255"/>
        </w:trPr>
        <w:tc>
          <w:tcPr>
            <w:tcW w:w="2029" w:type="dxa"/>
            <w:tcBorders>
              <w:top w:val="single" w:sz="4" w:space="0" w:color="auto"/>
              <w:left w:val="single" w:sz="4" w:space="0" w:color="auto"/>
              <w:bottom w:val="single" w:sz="4" w:space="0" w:color="auto"/>
              <w:right w:val="single" w:sz="4" w:space="0" w:color="auto"/>
            </w:tcBorders>
            <w:noWrap/>
            <w:hideMark/>
          </w:tcPr>
          <w:p w14:paraId="0683BB84" w14:textId="77777777" w:rsidR="00073A0B" w:rsidRPr="00C5395B" w:rsidRDefault="00073A0B" w:rsidP="00073A0B">
            <w:pPr>
              <w:pStyle w:val="TableText"/>
              <w:rPr>
                <w:b/>
                <w:lang w:eastAsia="en-AU"/>
              </w:rPr>
            </w:pPr>
            <w:r w:rsidRPr="00C5395B">
              <w:rPr>
                <w:b/>
                <w:lang w:eastAsia="en-AU"/>
              </w:rPr>
              <w:t>Community</w:t>
            </w:r>
          </w:p>
        </w:tc>
        <w:tc>
          <w:tcPr>
            <w:tcW w:w="992" w:type="dxa"/>
            <w:tcBorders>
              <w:top w:val="single" w:sz="4" w:space="0" w:color="auto"/>
              <w:left w:val="nil"/>
              <w:bottom w:val="single" w:sz="4" w:space="0" w:color="auto"/>
              <w:right w:val="single" w:sz="4" w:space="0" w:color="auto"/>
            </w:tcBorders>
          </w:tcPr>
          <w:p w14:paraId="06BD6D94" w14:textId="0C53B576" w:rsidR="00073A0B" w:rsidRDefault="00073A0B" w:rsidP="00073A0B">
            <w:pPr>
              <w:pStyle w:val="TableText"/>
              <w:jc w:val="right"/>
              <w:rPr>
                <w:b/>
                <w:lang w:eastAsia="en-AU"/>
              </w:rPr>
            </w:pPr>
            <w:r>
              <w:rPr>
                <w:b/>
                <w:lang w:eastAsia="en-AU"/>
              </w:rPr>
              <w:t>Qtr 47</w:t>
            </w:r>
          </w:p>
        </w:tc>
        <w:tc>
          <w:tcPr>
            <w:tcW w:w="992" w:type="dxa"/>
            <w:tcBorders>
              <w:top w:val="single" w:sz="4" w:space="0" w:color="auto"/>
              <w:left w:val="nil"/>
              <w:bottom w:val="single" w:sz="4" w:space="0" w:color="auto"/>
              <w:right w:val="single" w:sz="4" w:space="0" w:color="auto"/>
            </w:tcBorders>
          </w:tcPr>
          <w:p w14:paraId="2C218A34" w14:textId="7D76F3B9" w:rsidR="00073A0B" w:rsidRDefault="00073A0B" w:rsidP="00073A0B">
            <w:pPr>
              <w:pStyle w:val="TableText"/>
              <w:jc w:val="right"/>
              <w:rPr>
                <w:b/>
                <w:lang w:eastAsia="en-AU"/>
              </w:rPr>
            </w:pPr>
            <w:r>
              <w:rPr>
                <w:b/>
                <w:lang w:eastAsia="en-AU"/>
              </w:rPr>
              <w:t>Qtr 48</w:t>
            </w:r>
          </w:p>
        </w:tc>
        <w:tc>
          <w:tcPr>
            <w:tcW w:w="1134" w:type="dxa"/>
            <w:tcBorders>
              <w:top w:val="single" w:sz="4" w:space="0" w:color="auto"/>
              <w:left w:val="nil"/>
              <w:bottom w:val="single" w:sz="4" w:space="0" w:color="auto"/>
              <w:right w:val="single" w:sz="4" w:space="0" w:color="auto"/>
            </w:tcBorders>
          </w:tcPr>
          <w:p w14:paraId="1DBFB2A7" w14:textId="249FAB07" w:rsidR="00073A0B" w:rsidRDefault="00073A0B" w:rsidP="00073A0B">
            <w:pPr>
              <w:pStyle w:val="TableText"/>
              <w:jc w:val="right"/>
              <w:rPr>
                <w:b/>
                <w:lang w:eastAsia="en-AU"/>
              </w:rPr>
            </w:pPr>
            <w:r>
              <w:rPr>
                <w:b/>
                <w:lang w:eastAsia="en-AU"/>
              </w:rPr>
              <w:t>Qtr 49</w:t>
            </w:r>
          </w:p>
        </w:tc>
        <w:tc>
          <w:tcPr>
            <w:tcW w:w="992" w:type="dxa"/>
            <w:tcBorders>
              <w:top w:val="single" w:sz="4" w:space="0" w:color="auto"/>
              <w:left w:val="nil"/>
              <w:bottom w:val="single" w:sz="4" w:space="0" w:color="auto"/>
              <w:right w:val="single" w:sz="4" w:space="0" w:color="auto"/>
            </w:tcBorders>
          </w:tcPr>
          <w:p w14:paraId="5E356843" w14:textId="3661385A" w:rsidR="00073A0B" w:rsidRDefault="00073A0B" w:rsidP="00073A0B">
            <w:pPr>
              <w:pStyle w:val="TableText"/>
              <w:jc w:val="right"/>
              <w:rPr>
                <w:b/>
                <w:lang w:eastAsia="en-AU"/>
              </w:rPr>
            </w:pPr>
            <w:r>
              <w:rPr>
                <w:b/>
                <w:lang w:eastAsia="en-AU"/>
              </w:rPr>
              <w:t>Qtr 50</w:t>
            </w:r>
          </w:p>
        </w:tc>
        <w:tc>
          <w:tcPr>
            <w:tcW w:w="993" w:type="dxa"/>
            <w:tcBorders>
              <w:top w:val="single" w:sz="4" w:space="0" w:color="auto"/>
              <w:left w:val="nil"/>
              <w:bottom w:val="single" w:sz="4" w:space="0" w:color="auto"/>
              <w:right w:val="single" w:sz="4" w:space="0" w:color="auto"/>
            </w:tcBorders>
          </w:tcPr>
          <w:p w14:paraId="41EDCA00" w14:textId="6C695DA4" w:rsidR="00073A0B" w:rsidRDefault="00073A0B" w:rsidP="00073A0B">
            <w:pPr>
              <w:pStyle w:val="TableText"/>
              <w:jc w:val="right"/>
              <w:rPr>
                <w:b/>
                <w:lang w:eastAsia="en-AU"/>
              </w:rPr>
            </w:pPr>
            <w:r>
              <w:rPr>
                <w:b/>
                <w:lang w:eastAsia="en-AU"/>
              </w:rPr>
              <w:t>Qtr 51</w:t>
            </w:r>
          </w:p>
        </w:tc>
      </w:tr>
      <w:tr w:rsidR="00073A0B" w:rsidRPr="00C5395B" w14:paraId="244B6A2A"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5F595379" w14:textId="77777777" w:rsidR="00073A0B" w:rsidRPr="00C5395B" w:rsidRDefault="00073A0B" w:rsidP="00073A0B">
            <w:pPr>
              <w:pStyle w:val="TableText"/>
              <w:rPr>
                <w:lang w:eastAsia="en-AU"/>
              </w:rPr>
            </w:pPr>
            <w:r w:rsidRPr="00C5395B">
              <w:rPr>
                <w:lang w:eastAsia="en-AU"/>
              </w:rPr>
              <w:t>Aurukun</w:t>
            </w:r>
          </w:p>
        </w:tc>
        <w:tc>
          <w:tcPr>
            <w:tcW w:w="992" w:type="dxa"/>
            <w:tcBorders>
              <w:top w:val="nil"/>
              <w:left w:val="nil"/>
              <w:bottom w:val="single" w:sz="4" w:space="0" w:color="auto"/>
              <w:right w:val="single" w:sz="4" w:space="0" w:color="auto"/>
            </w:tcBorders>
            <w:vAlign w:val="bottom"/>
          </w:tcPr>
          <w:p w14:paraId="00E43934" w14:textId="1D5A2CFD" w:rsidR="00073A0B" w:rsidRPr="002F43C8" w:rsidRDefault="00073A0B" w:rsidP="00073A0B">
            <w:pPr>
              <w:jc w:val="right"/>
              <w:rPr>
                <w:rFonts w:cs="Arial"/>
              </w:rPr>
            </w:pPr>
            <w:r w:rsidRPr="002F43C8">
              <w:rPr>
                <w:rFonts w:cs="Arial"/>
              </w:rPr>
              <w:t>19</w:t>
            </w:r>
          </w:p>
        </w:tc>
        <w:tc>
          <w:tcPr>
            <w:tcW w:w="992" w:type="dxa"/>
            <w:tcBorders>
              <w:top w:val="nil"/>
              <w:left w:val="nil"/>
              <w:bottom w:val="single" w:sz="4" w:space="0" w:color="auto"/>
              <w:right w:val="single" w:sz="4" w:space="0" w:color="auto"/>
            </w:tcBorders>
            <w:vAlign w:val="bottom"/>
          </w:tcPr>
          <w:p w14:paraId="4E73371D" w14:textId="71C7A020" w:rsidR="00073A0B" w:rsidRPr="002F43C8" w:rsidRDefault="00073A0B" w:rsidP="00073A0B">
            <w:pPr>
              <w:jc w:val="right"/>
              <w:rPr>
                <w:rFonts w:cs="Arial"/>
              </w:rPr>
            </w:pPr>
            <w:r w:rsidRPr="002F43C8">
              <w:rPr>
                <w:rFonts w:cs="Arial"/>
              </w:rPr>
              <w:t>6</w:t>
            </w:r>
          </w:p>
        </w:tc>
        <w:tc>
          <w:tcPr>
            <w:tcW w:w="1134" w:type="dxa"/>
            <w:tcBorders>
              <w:top w:val="nil"/>
              <w:left w:val="nil"/>
              <w:bottom w:val="single" w:sz="4" w:space="0" w:color="auto"/>
              <w:right w:val="single" w:sz="4" w:space="0" w:color="auto"/>
            </w:tcBorders>
            <w:vAlign w:val="bottom"/>
          </w:tcPr>
          <w:p w14:paraId="3516285B" w14:textId="2AFE1D36" w:rsidR="00073A0B" w:rsidRPr="002F43C8" w:rsidRDefault="00073A0B" w:rsidP="00073A0B">
            <w:pPr>
              <w:jc w:val="right"/>
              <w:rPr>
                <w:rFonts w:cs="Arial"/>
              </w:rPr>
            </w:pPr>
            <w:r w:rsidRPr="002F43C8">
              <w:rPr>
                <w:rFonts w:cs="Arial"/>
              </w:rPr>
              <w:t>16</w:t>
            </w:r>
          </w:p>
        </w:tc>
        <w:tc>
          <w:tcPr>
            <w:tcW w:w="992" w:type="dxa"/>
            <w:tcBorders>
              <w:top w:val="nil"/>
              <w:left w:val="nil"/>
              <w:bottom w:val="single" w:sz="4" w:space="0" w:color="auto"/>
              <w:right w:val="single" w:sz="4" w:space="0" w:color="auto"/>
            </w:tcBorders>
            <w:vAlign w:val="bottom"/>
          </w:tcPr>
          <w:p w14:paraId="2E1701AD" w14:textId="0A686EF8" w:rsidR="00073A0B" w:rsidRPr="002F43C8" w:rsidRDefault="00073A0B" w:rsidP="00073A0B">
            <w:pPr>
              <w:jc w:val="right"/>
              <w:rPr>
                <w:rFonts w:cs="Arial"/>
              </w:rPr>
            </w:pPr>
            <w:r w:rsidRPr="002F43C8">
              <w:rPr>
                <w:rFonts w:cs="Arial"/>
              </w:rPr>
              <w:t>12</w:t>
            </w:r>
          </w:p>
        </w:tc>
        <w:tc>
          <w:tcPr>
            <w:tcW w:w="993" w:type="dxa"/>
            <w:tcBorders>
              <w:top w:val="nil"/>
              <w:left w:val="nil"/>
              <w:bottom w:val="single" w:sz="4" w:space="0" w:color="auto"/>
              <w:right w:val="single" w:sz="4" w:space="0" w:color="auto"/>
            </w:tcBorders>
          </w:tcPr>
          <w:p w14:paraId="43A822CA" w14:textId="10DCCF31" w:rsidR="00073A0B" w:rsidRPr="00073A0B" w:rsidRDefault="00073A0B" w:rsidP="00073A0B">
            <w:pPr>
              <w:jc w:val="right"/>
              <w:rPr>
                <w:rFonts w:cs="Arial"/>
              </w:rPr>
            </w:pPr>
            <w:r w:rsidRPr="00073A0B">
              <w:rPr>
                <w:rFonts w:cs="Arial"/>
              </w:rPr>
              <w:t>43</w:t>
            </w:r>
          </w:p>
        </w:tc>
      </w:tr>
      <w:tr w:rsidR="00073A0B" w:rsidRPr="00C5395B" w14:paraId="6E742CA5"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7C348B5F" w14:textId="77777777" w:rsidR="00073A0B" w:rsidRPr="00C5395B" w:rsidRDefault="00073A0B" w:rsidP="00073A0B">
            <w:pPr>
              <w:pStyle w:val="TableText"/>
              <w:rPr>
                <w:lang w:eastAsia="en-AU"/>
              </w:rPr>
            </w:pPr>
            <w:r w:rsidRPr="00C5395B">
              <w:rPr>
                <w:lang w:eastAsia="en-AU"/>
              </w:rPr>
              <w:t>Coen</w:t>
            </w:r>
          </w:p>
        </w:tc>
        <w:tc>
          <w:tcPr>
            <w:tcW w:w="992" w:type="dxa"/>
            <w:tcBorders>
              <w:top w:val="nil"/>
              <w:left w:val="nil"/>
              <w:bottom w:val="single" w:sz="4" w:space="0" w:color="auto"/>
              <w:right w:val="single" w:sz="4" w:space="0" w:color="auto"/>
            </w:tcBorders>
            <w:vAlign w:val="bottom"/>
          </w:tcPr>
          <w:p w14:paraId="06D3AB9C" w14:textId="399BA136" w:rsidR="00073A0B" w:rsidRPr="002F43C8" w:rsidRDefault="00073A0B" w:rsidP="00073A0B">
            <w:pPr>
              <w:jc w:val="right"/>
              <w:rPr>
                <w:rFonts w:cs="Arial"/>
              </w:rPr>
            </w:pPr>
            <w:r w:rsidRPr="002F43C8">
              <w:rPr>
                <w:rFonts w:cs="Arial"/>
              </w:rPr>
              <w:t>4</w:t>
            </w:r>
          </w:p>
        </w:tc>
        <w:tc>
          <w:tcPr>
            <w:tcW w:w="992" w:type="dxa"/>
            <w:tcBorders>
              <w:top w:val="nil"/>
              <w:left w:val="nil"/>
              <w:bottom w:val="single" w:sz="4" w:space="0" w:color="auto"/>
              <w:right w:val="single" w:sz="4" w:space="0" w:color="auto"/>
            </w:tcBorders>
            <w:vAlign w:val="bottom"/>
          </w:tcPr>
          <w:p w14:paraId="016B28F6" w14:textId="4ED041B1" w:rsidR="00073A0B" w:rsidRPr="002F43C8" w:rsidRDefault="00073A0B" w:rsidP="00073A0B">
            <w:pPr>
              <w:jc w:val="right"/>
              <w:rPr>
                <w:rFonts w:cs="Arial"/>
              </w:rPr>
            </w:pPr>
            <w:r w:rsidRPr="002F43C8">
              <w:rPr>
                <w:rFonts w:cs="Arial"/>
              </w:rPr>
              <w:t>8</w:t>
            </w:r>
          </w:p>
        </w:tc>
        <w:tc>
          <w:tcPr>
            <w:tcW w:w="1134" w:type="dxa"/>
            <w:tcBorders>
              <w:top w:val="nil"/>
              <w:left w:val="nil"/>
              <w:bottom w:val="single" w:sz="4" w:space="0" w:color="auto"/>
              <w:right w:val="single" w:sz="4" w:space="0" w:color="auto"/>
            </w:tcBorders>
            <w:vAlign w:val="bottom"/>
          </w:tcPr>
          <w:p w14:paraId="070F1C12" w14:textId="70E0E298" w:rsidR="00073A0B" w:rsidRPr="002F43C8" w:rsidRDefault="00073A0B" w:rsidP="00073A0B">
            <w:pPr>
              <w:jc w:val="right"/>
              <w:rPr>
                <w:rFonts w:cs="Arial"/>
              </w:rPr>
            </w:pPr>
            <w:r w:rsidRPr="002F43C8">
              <w:rPr>
                <w:rFonts w:cs="Arial"/>
              </w:rPr>
              <w:t>0</w:t>
            </w:r>
          </w:p>
        </w:tc>
        <w:tc>
          <w:tcPr>
            <w:tcW w:w="992" w:type="dxa"/>
            <w:tcBorders>
              <w:top w:val="nil"/>
              <w:left w:val="nil"/>
              <w:bottom w:val="single" w:sz="4" w:space="0" w:color="auto"/>
              <w:right w:val="single" w:sz="4" w:space="0" w:color="auto"/>
            </w:tcBorders>
            <w:vAlign w:val="bottom"/>
          </w:tcPr>
          <w:p w14:paraId="69B48294" w14:textId="085768EC" w:rsidR="00073A0B" w:rsidRPr="002F43C8" w:rsidRDefault="00073A0B" w:rsidP="00073A0B">
            <w:pPr>
              <w:jc w:val="right"/>
              <w:rPr>
                <w:rFonts w:cs="Arial"/>
              </w:rPr>
            </w:pPr>
            <w:r w:rsidRPr="002F43C8">
              <w:rPr>
                <w:rFonts w:cs="Arial"/>
              </w:rPr>
              <w:t>2</w:t>
            </w:r>
          </w:p>
        </w:tc>
        <w:tc>
          <w:tcPr>
            <w:tcW w:w="993" w:type="dxa"/>
            <w:tcBorders>
              <w:top w:val="nil"/>
              <w:left w:val="nil"/>
              <w:bottom w:val="single" w:sz="4" w:space="0" w:color="auto"/>
              <w:right w:val="single" w:sz="4" w:space="0" w:color="auto"/>
            </w:tcBorders>
          </w:tcPr>
          <w:p w14:paraId="4D025B44" w14:textId="1D6F8443" w:rsidR="00073A0B" w:rsidRPr="00073A0B" w:rsidRDefault="00073A0B" w:rsidP="00073A0B">
            <w:pPr>
              <w:jc w:val="right"/>
              <w:rPr>
                <w:rFonts w:cs="Arial"/>
              </w:rPr>
            </w:pPr>
            <w:r w:rsidRPr="00073A0B">
              <w:rPr>
                <w:rFonts w:cs="Arial"/>
              </w:rPr>
              <w:t>1</w:t>
            </w:r>
          </w:p>
        </w:tc>
      </w:tr>
      <w:tr w:rsidR="00073A0B" w:rsidRPr="00C5395B" w14:paraId="597C8479" w14:textId="77777777" w:rsidTr="00FB4759">
        <w:trPr>
          <w:trHeight w:val="255"/>
        </w:trPr>
        <w:tc>
          <w:tcPr>
            <w:tcW w:w="2029" w:type="dxa"/>
            <w:tcBorders>
              <w:top w:val="nil"/>
              <w:left w:val="single" w:sz="4" w:space="0" w:color="auto"/>
              <w:bottom w:val="single" w:sz="4" w:space="0" w:color="auto"/>
              <w:right w:val="single" w:sz="4" w:space="0" w:color="auto"/>
            </w:tcBorders>
            <w:noWrap/>
          </w:tcPr>
          <w:p w14:paraId="79E1BA30" w14:textId="77777777" w:rsidR="00073A0B" w:rsidRPr="00C5395B" w:rsidRDefault="00073A0B" w:rsidP="00073A0B">
            <w:pPr>
              <w:pStyle w:val="TableText"/>
              <w:rPr>
                <w:lang w:eastAsia="en-AU"/>
              </w:rPr>
            </w:pPr>
            <w:r>
              <w:rPr>
                <w:lang w:eastAsia="en-AU"/>
              </w:rPr>
              <w:t>Hope Vale</w:t>
            </w:r>
          </w:p>
        </w:tc>
        <w:tc>
          <w:tcPr>
            <w:tcW w:w="992" w:type="dxa"/>
            <w:tcBorders>
              <w:top w:val="nil"/>
              <w:left w:val="nil"/>
              <w:bottom w:val="single" w:sz="4" w:space="0" w:color="auto"/>
              <w:right w:val="single" w:sz="4" w:space="0" w:color="auto"/>
            </w:tcBorders>
            <w:vAlign w:val="bottom"/>
          </w:tcPr>
          <w:p w14:paraId="63B0B434" w14:textId="49884927" w:rsidR="00073A0B" w:rsidRPr="002F43C8" w:rsidRDefault="00073A0B" w:rsidP="00073A0B">
            <w:pPr>
              <w:jc w:val="right"/>
              <w:rPr>
                <w:rFonts w:cs="Arial"/>
              </w:rPr>
            </w:pPr>
            <w:r w:rsidRPr="002F43C8">
              <w:rPr>
                <w:rFonts w:cs="Arial"/>
              </w:rPr>
              <w:t>3</w:t>
            </w:r>
          </w:p>
        </w:tc>
        <w:tc>
          <w:tcPr>
            <w:tcW w:w="992" w:type="dxa"/>
            <w:tcBorders>
              <w:top w:val="nil"/>
              <w:left w:val="nil"/>
              <w:bottom w:val="single" w:sz="4" w:space="0" w:color="auto"/>
              <w:right w:val="single" w:sz="4" w:space="0" w:color="auto"/>
            </w:tcBorders>
            <w:vAlign w:val="bottom"/>
          </w:tcPr>
          <w:p w14:paraId="0CFE16F8" w14:textId="083B58A0" w:rsidR="00073A0B" w:rsidRPr="002F43C8" w:rsidRDefault="00073A0B" w:rsidP="00073A0B">
            <w:pPr>
              <w:jc w:val="right"/>
              <w:rPr>
                <w:rFonts w:cs="Arial"/>
              </w:rPr>
            </w:pPr>
            <w:r w:rsidRPr="002F43C8">
              <w:rPr>
                <w:rFonts w:cs="Arial"/>
              </w:rPr>
              <w:t>1</w:t>
            </w:r>
          </w:p>
        </w:tc>
        <w:tc>
          <w:tcPr>
            <w:tcW w:w="1134" w:type="dxa"/>
            <w:tcBorders>
              <w:top w:val="nil"/>
              <w:left w:val="nil"/>
              <w:bottom w:val="single" w:sz="4" w:space="0" w:color="auto"/>
              <w:right w:val="single" w:sz="4" w:space="0" w:color="auto"/>
            </w:tcBorders>
            <w:vAlign w:val="bottom"/>
          </w:tcPr>
          <w:p w14:paraId="0AC3E709" w14:textId="59AEBFDB" w:rsidR="00073A0B" w:rsidRPr="002F43C8" w:rsidRDefault="00073A0B" w:rsidP="00073A0B">
            <w:pPr>
              <w:jc w:val="right"/>
              <w:rPr>
                <w:rFonts w:cs="Arial"/>
              </w:rPr>
            </w:pPr>
            <w:r w:rsidRPr="002F43C8">
              <w:rPr>
                <w:rFonts w:cs="Arial"/>
              </w:rPr>
              <w:t>0</w:t>
            </w:r>
          </w:p>
        </w:tc>
        <w:tc>
          <w:tcPr>
            <w:tcW w:w="992" w:type="dxa"/>
            <w:tcBorders>
              <w:top w:val="nil"/>
              <w:left w:val="nil"/>
              <w:bottom w:val="single" w:sz="4" w:space="0" w:color="auto"/>
              <w:right w:val="single" w:sz="4" w:space="0" w:color="auto"/>
            </w:tcBorders>
            <w:vAlign w:val="bottom"/>
          </w:tcPr>
          <w:p w14:paraId="18830DED" w14:textId="30C4EB4C" w:rsidR="00073A0B" w:rsidRPr="002F43C8" w:rsidRDefault="00073A0B" w:rsidP="00073A0B">
            <w:pPr>
              <w:jc w:val="right"/>
              <w:rPr>
                <w:rFonts w:cs="Arial"/>
              </w:rPr>
            </w:pPr>
            <w:r w:rsidRPr="002F43C8">
              <w:rPr>
                <w:rFonts w:cs="Arial"/>
              </w:rPr>
              <w:t>2</w:t>
            </w:r>
          </w:p>
        </w:tc>
        <w:tc>
          <w:tcPr>
            <w:tcW w:w="993" w:type="dxa"/>
            <w:tcBorders>
              <w:top w:val="nil"/>
              <w:left w:val="nil"/>
              <w:bottom w:val="single" w:sz="4" w:space="0" w:color="auto"/>
              <w:right w:val="single" w:sz="4" w:space="0" w:color="auto"/>
            </w:tcBorders>
          </w:tcPr>
          <w:p w14:paraId="76BA05C6" w14:textId="412EB434" w:rsidR="00073A0B" w:rsidRPr="00073A0B" w:rsidRDefault="00073A0B" w:rsidP="00073A0B">
            <w:pPr>
              <w:jc w:val="right"/>
              <w:rPr>
                <w:rFonts w:cs="Arial"/>
              </w:rPr>
            </w:pPr>
            <w:r w:rsidRPr="00073A0B">
              <w:rPr>
                <w:rFonts w:cs="Arial"/>
              </w:rPr>
              <w:t>4</w:t>
            </w:r>
          </w:p>
        </w:tc>
      </w:tr>
      <w:tr w:rsidR="00073A0B" w:rsidRPr="00C5395B" w14:paraId="55D8E1D0"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18F3066D" w14:textId="77777777" w:rsidR="00073A0B" w:rsidRPr="00C5395B" w:rsidRDefault="00073A0B" w:rsidP="00073A0B">
            <w:pPr>
              <w:pStyle w:val="TableText"/>
              <w:rPr>
                <w:lang w:eastAsia="en-AU"/>
              </w:rPr>
            </w:pPr>
            <w:r w:rsidRPr="00C5395B">
              <w:rPr>
                <w:lang w:eastAsia="en-AU"/>
              </w:rPr>
              <w:t>Mossman Gorge</w:t>
            </w:r>
          </w:p>
        </w:tc>
        <w:tc>
          <w:tcPr>
            <w:tcW w:w="992" w:type="dxa"/>
            <w:tcBorders>
              <w:top w:val="nil"/>
              <w:left w:val="nil"/>
              <w:bottom w:val="single" w:sz="4" w:space="0" w:color="auto"/>
              <w:right w:val="single" w:sz="4" w:space="0" w:color="auto"/>
            </w:tcBorders>
            <w:vAlign w:val="bottom"/>
          </w:tcPr>
          <w:p w14:paraId="3E4A4FBA" w14:textId="0A135C1D" w:rsidR="00073A0B" w:rsidRPr="002F43C8" w:rsidRDefault="00073A0B" w:rsidP="00073A0B">
            <w:pPr>
              <w:jc w:val="right"/>
              <w:rPr>
                <w:rFonts w:cs="Arial"/>
              </w:rPr>
            </w:pPr>
            <w:r w:rsidRPr="002F43C8">
              <w:rPr>
                <w:rFonts w:cs="Arial"/>
              </w:rPr>
              <w:t>2</w:t>
            </w:r>
          </w:p>
        </w:tc>
        <w:tc>
          <w:tcPr>
            <w:tcW w:w="992" w:type="dxa"/>
            <w:tcBorders>
              <w:top w:val="nil"/>
              <w:left w:val="nil"/>
              <w:bottom w:val="single" w:sz="4" w:space="0" w:color="auto"/>
              <w:right w:val="single" w:sz="4" w:space="0" w:color="auto"/>
            </w:tcBorders>
            <w:vAlign w:val="bottom"/>
          </w:tcPr>
          <w:p w14:paraId="43E15B07" w14:textId="4EDE2B81" w:rsidR="00073A0B" w:rsidRPr="002F43C8" w:rsidRDefault="00073A0B" w:rsidP="00073A0B">
            <w:pPr>
              <w:jc w:val="right"/>
              <w:rPr>
                <w:rFonts w:cs="Arial"/>
              </w:rPr>
            </w:pPr>
            <w:r w:rsidRPr="002F43C8">
              <w:rPr>
                <w:rFonts w:cs="Arial"/>
              </w:rPr>
              <w:t>3</w:t>
            </w:r>
          </w:p>
        </w:tc>
        <w:tc>
          <w:tcPr>
            <w:tcW w:w="1134" w:type="dxa"/>
            <w:tcBorders>
              <w:top w:val="nil"/>
              <w:left w:val="nil"/>
              <w:bottom w:val="single" w:sz="4" w:space="0" w:color="auto"/>
              <w:right w:val="single" w:sz="4" w:space="0" w:color="auto"/>
            </w:tcBorders>
            <w:vAlign w:val="bottom"/>
          </w:tcPr>
          <w:p w14:paraId="376DE7D2" w14:textId="4534348B" w:rsidR="00073A0B" w:rsidRPr="002F43C8" w:rsidRDefault="00073A0B" w:rsidP="00073A0B">
            <w:pPr>
              <w:jc w:val="right"/>
              <w:rPr>
                <w:rFonts w:cs="Arial"/>
              </w:rPr>
            </w:pPr>
            <w:r w:rsidRPr="002F43C8">
              <w:rPr>
                <w:rFonts w:cs="Arial"/>
              </w:rPr>
              <w:t>1</w:t>
            </w:r>
          </w:p>
        </w:tc>
        <w:tc>
          <w:tcPr>
            <w:tcW w:w="992" w:type="dxa"/>
            <w:tcBorders>
              <w:top w:val="nil"/>
              <w:left w:val="nil"/>
              <w:bottom w:val="single" w:sz="4" w:space="0" w:color="auto"/>
              <w:right w:val="single" w:sz="4" w:space="0" w:color="auto"/>
            </w:tcBorders>
            <w:vAlign w:val="bottom"/>
          </w:tcPr>
          <w:p w14:paraId="0E6339AF" w14:textId="231A7873" w:rsidR="00073A0B" w:rsidRPr="002F43C8" w:rsidRDefault="00073A0B" w:rsidP="00073A0B">
            <w:pPr>
              <w:jc w:val="right"/>
              <w:rPr>
                <w:rFonts w:cs="Arial"/>
              </w:rPr>
            </w:pPr>
            <w:r w:rsidRPr="002F43C8">
              <w:rPr>
                <w:rFonts w:cs="Arial"/>
              </w:rPr>
              <w:t>1</w:t>
            </w:r>
          </w:p>
        </w:tc>
        <w:tc>
          <w:tcPr>
            <w:tcW w:w="993" w:type="dxa"/>
            <w:tcBorders>
              <w:top w:val="nil"/>
              <w:left w:val="nil"/>
              <w:bottom w:val="single" w:sz="4" w:space="0" w:color="auto"/>
              <w:right w:val="single" w:sz="4" w:space="0" w:color="auto"/>
            </w:tcBorders>
          </w:tcPr>
          <w:p w14:paraId="0FA8B29D" w14:textId="747BF787" w:rsidR="00073A0B" w:rsidRPr="00073A0B" w:rsidRDefault="00073A0B" w:rsidP="00073A0B">
            <w:pPr>
              <w:jc w:val="right"/>
              <w:rPr>
                <w:rFonts w:cs="Arial"/>
              </w:rPr>
            </w:pPr>
            <w:r w:rsidRPr="00073A0B">
              <w:rPr>
                <w:rFonts w:cs="Arial"/>
              </w:rPr>
              <w:t>2</w:t>
            </w:r>
          </w:p>
        </w:tc>
      </w:tr>
      <w:tr w:rsidR="00073A0B" w:rsidRPr="00C5395B" w14:paraId="082BDF71" w14:textId="77777777" w:rsidTr="00FB4759">
        <w:trPr>
          <w:trHeight w:val="255"/>
        </w:trPr>
        <w:tc>
          <w:tcPr>
            <w:tcW w:w="2029" w:type="dxa"/>
            <w:tcBorders>
              <w:top w:val="nil"/>
              <w:left w:val="single" w:sz="4" w:space="0" w:color="auto"/>
              <w:bottom w:val="single" w:sz="4" w:space="0" w:color="auto"/>
              <w:right w:val="single" w:sz="4" w:space="0" w:color="auto"/>
            </w:tcBorders>
            <w:noWrap/>
            <w:hideMark/>
          </w:tcPr>
          <w:p w14:paraId="7C5BCBEA" w14:textId="77777777" w:rsidR="00073A0B" w:rsidRPr="00C5395B" w:rsidRDefault="00073A0B" w:rsidP="00073A0B">
            <w:pPr>
              <w:pStyle w:val="TableText"/>
              <w:rPr>
                <w:b/>
                <w:lang w:eastAsia="en-AU"/>
              </w:rPr>
            </w:pPr>
            <w:r w:rsidRPr="00C5395B">
              <w:rPr>
                <w:b/>
                <w:lang w:eastAsia="en-AU"/>
              </w:rPr>
              <w:t>TOTAL</w:t>
            </w:r>
          </w:p>
        </w:tc>
        <w:tc>
          <w:tcPr>
            <w:tcW w:w="992" w:type="dxa"/>
            <w:tcBorders>
              <w:top w:val="nil"/>
              <w:left w:val="nil"/>
              <w:bottom w:val="single" w:sz="4" w:space="0" w:color="auto"/>
              <w:right w:val="single" w:sz="4" w:space="0" w:color="auto"/>
            </w:tcBorders>
            <w:vAlign w:val="bottom"/>
          </w:tcPr>
          <w:p w14:paraId="68AACAAA" w14:textId="0C5CF16C" w:rsidR="00073A0B" w:rsidRPr="002F43C8" w:rsidRDefault="00073A0B" w:rsidP="00073A0B">
            <w:pPr>
              <w:pStyle w:val="TableText"/>
              <w:jc w:val="right"/>
              <w:rPr>
                <w:b/>
                <w:lang w:eastAsia="en-AU"/>
              </w:rPr>
            </w:pPr>
            <w:r w:rsidRPr="002F43C8">
              <w:rPr>
                <w:rFonts w:cs="Arial"/>
                <w:b/>
                <w:bCs/>
              </w:rPr>
              <w:t>28</w:t>
            </w:r>
          </w:p>
        </w:tc>
        <w:tc>
          <w:tcPr>
            <w:tcW w:w="992" w:type="dxa"/>
            <w:tcBorders>
              <w:top w:val="nil"/>
              <w:left w:val="nil"/>
              <w:bottom w:val="single" w:sz="4" w:space="0" w:color="auto"/>
              <w:right w:val="single" w:sz="4" w:space="0" w:color="auto"/>
            </w:tcBorders>
            <w:vAlign w:val="bottom"/>
          </w:tcPr>
          <w:p w14:paraId="7B2DC2EE" w14:textId="6057A7F1" w:rsidR="00073A0B" w:rsidRPr="002F43C8" w:rsidRDefault="00073A0B" w:rsidP="00073A0B">
            <w:pPr>
              <w:pStyle w:val="TableText"/>
              <w:jc w:val="right"/>
              <w:rPr>
                <w:b/>
                <w:lang w:eastAsia="en-AU"/>
              </w:rPr>
            </w:pPr>
            <w:r w:rsidRPr="002F43C8">
              <w:rPr>
                <w:rFonts w:cs="Arial"/>
                <w:b/>
                <w:bCs/>
              </w:rPr>
              <w:t>18</w:t>
            </w:r>
          </w:p>
        </w:tc>
        <w:tc>
          <w:tcPr>
            <w:tcW w:w="1134" w:type="dxa"/>
            <w:tcBorders>
              <w:top w:val="nil"/>
              <w:left w:val="nil"/>
              <w:bottom w:val="single" w:sz="4" w:space="0" w:color="auto"/>
              <w:right w:val="single" w:sz="4" w:space="0" w:color="auto"/>
            </w:tcBorders>
            <w:vAlign w:val="bottom"/>
          </w:tcPr>
          <w:p w14:paraId="259C293C" w14:textId="38447E9E" w:rsidR="00073A0B" w:rsidRPr="002F43C8" w:rsidRDefault="00073A0B" w:rsidP="00073A0B">
            <w:pPr>
              <w:pStyle w:val="TableText"/>
              <w:jc w:val="right"/>
              <w:rPr>
                <w:b/>
                <w:lang w:eastAsia="en-AU"/>
              </w:rPr>
            </w:pPr>
            <w:r w:rsidRPr="002F43C8">
              <w:rPr>
                <w:rFonts w:cs="Arial"/>
                <w:b/>
                <w:bCs/>
              </w:rPr>
              <w:t>17</w:t>
            </w:r>
          </w:p>
        </w:tc>
        <w:tc>
          <w:tcPr>
            <w:tcW w:w="992" w:type="dxa"/>
            <w:tcBorders>
              <w:top w:val="nil"/>
              <w:left w:val="nil"/>
              <w:bottom w:val="single" w:sz="4" w:space="0" w:color="auto"/>
              <w:right w:val="single" w:sz="4" w:space="0" w:color="auto"/>
            </w:tcBorders>
            <w:vAlign w:val="bottom"/>
          </w:tcPr>
          <w:p w14:paraId="72E6B78A" w14:textId="21F8C871" w:rsidR="00073A0B" w:rsidRPr="002F43C8" w:rsidRDefault="00073A0B" w:rsidP="00073A0B">
            <w:pPr>
              <w:pStyle w:val="TableText"/>
              <w:jc w:val="right"/>
              <w:rPr>
                <w:rFonts w:cs="Arial"/>
                <w:b/>
                <w:bCs/>
              </w:rPr>
            </w:pPr>
            <w:r w:rsidRPr="002F43C8">
              <w:rPr>
                <w:rFonts w:cs="Arial"/>
                <w:b/>
                <w:bCs/>
              </w:rPr>
              <w:t>17</w:t>
            </w:r>
          </w:p>
        </w:tc>
        <w:tc>
          <w:tcPr>
            <w:tcW w:w="993" w:type="dxa"/>
            <w:tcBorders>
              <w:top w:val="nil"/>
              <w:left w:val="nil"/>
              <w:bottom w:val="single" w:sz="4" w:space="0" w:color="auto"/>
              <w:right w:val="single" w:sz="4" w:space="0" w:color="auto"/>
            </w:tcBorders>
            <w:vAlign w:val="bottom"/>
          </w:tcPr>
          <w:p w14:paraId="181C13AF" w14:textId="27CE89BE" w:rsidR="00073A0B" w:rsidRPr="00073A0B" w:rsidRDefault="00073A0B" w:rsidP="00073A0B">
            <w:pPr>
              <w:pStyle w:val="TableText"/>
              <w:jc w:val="right"/>
              <w:rPr>
                <w:rFonts w:cs="Arial"/>
                <w:b/>
                <w:bCs/>
              </w:rPr>
            </w:pPr>
            <w:r w:rsidRPr="00073A0B">
              <w:rPr>
                <w:rFonts w:cs="Arial"/>
                <w:b/>
                <w:bCs/>
              </w:rPr>
              <w:t>50</w:t>
            </w:r>
          </w:p>
        </w:tc>
      </w:tr>
    </w:tbl>
    <w:p w14:paraId="1627B4BD" w14:textId="77777777" w:rsidR="00073A0B" w:rsidRDefault="00073A0B" w:rsidP="00073A0B">
      <w:pPr>
        <w:pStyle w:val="Heading2"/>
      </w:pPr>
    </w:p>
    <w:p w14:paraId="3DA4D471" w14:textId="3D83B91D" w:rsidR="005A5B78" w:rsidRPr="00076ED0" w:rsidRDefault="005A5B78" w:rsidP="001654E8">
      <w:pPr>
        <w:pStyle w:val="Heading2"/>
      </w:pPr>
      <w:r w:rsidRPr="00876C0B">
        <w:t>Conditional Income Management</w:t>
      </w:r>
      <w:r w:rsidR="001654E8">
        <w:t xml:space="preserve"> </w:t>
      </w:r>
      <w:r w:rsidR="004C48FC">
        <w:t xml:space="preserve">from </w:t>
      </w:r>
      <w:r w:rsidR="004B5151">
        <w:t>‘</w:t>
      </w:r>
      <w:r w:rsidR="001654E8">
        <w:t>Family Responsibilities</w:t>
      </w:r>
      <w:r w:rsidR="004B5151">
        <w:t>’</w:t>
      </w:r>
      <w:r w:rsidR="001654E8">
        <w:t xml:space="preserve"> Agreements and Orders</w:t>
      </w:r>
    </w:p>
    <w:p w14:paraId="75EECC10" w14:textId="3D266862" w:rsidR="00DD2557" w:rsidRPr="00DD2557" w:rsidRDefault="00DD2557" w:rsidP="00DD2557">
      <w:pPr>
        <w:ind w:left="-142" w:right="-425"/>
        <w:jc w:val="both"/>
        <w:rPr>
          <w:rFonts w:cs="Arial"/>
          <w:lang w:val="en-GB"/>
        </w:rPr>
      </w:pPr>
      <w:r w:rsidRPr="00DD2557">
        <w:rPr>
          <w:rFonts w:cs="Arial"/>
          <w:lang w:val="en-GB"/>
        </w:rPr>
        <w:t>Local Commissioners continue to use Conditional Income Management (CIM) as a decision of last resort</w:t>
      </w:r>
      <w:r w:rsidRPr="00E778DB">
        <w:rPr>
          <w:rFonts w:cs="Arial"/>
          <w:lang w:val="en-GB"/>
        </w:rPr>
        <w:t xml:space="preserve">. The 2019-20 reporting period </w:t>
      </w:r>
      <w:r w:rsidR="00CB58DB" w:rsidRPr="00E778DB">
        <w:rPr>
          <w:rFonts w:cs="Arial"/>
          <w:lang w:val="en-GB"/>
        </w:rPr>
        <w:t>saw</w:t>
      </w:r>
      <w:r w:rsidRPr="00E778DB">
        <w:rPr>
          <w:rFonts w:cs="Arial"/>
          <w:lang w:val="en-GB"/>
        </w:rPr>
        <w:t xml:space="preserve"> a growing number of clients placed on a case plan </w:t>
      </w:r>
      <w:r w:rsidR="00CB58DB" w:rsidRPr="00E778DB">
        <w:rPr>
          <w:rFonts w:cs="Arial"/>
          <w:lang w:val="en-GB"/>
        </w:rPr>
        <w:t xml:space="preserve">for a </w:t>
      </w:r>
      <w:r w:rsidRPr="00E778DB">
        <w:rPr>
          <w:rFonts w:cs="Arial"/>
          <w:lang w:val="en-GB"/>
        </w:rPr>
        <w:t>referr</w:t>
      </w:r>
      <w:r w:rsidR="00CB58DB" w:rsidRPr="00E778DB">
        <w:rPr>
          <w:rFonts w:cs="Arial"/>
          <w:lang w:val="en-GB"/>
        </w:rPr>
        <w:t>al</w:t>
      </w:r>
      <w:r w:rsidRPr="00E778DB">
        <w:rPr>
          <w:rFonts w:cs="Arial"/>
          <w:lang w:val="en-GB"/>
        </w:rPr>
        <w:t xml:space="preserve"> to a support service </w:t>
      </w:r>
      <w:r w:rsidR="00CB58DB" w:rsidRPr="00E778DB">
        <w:rPr>
          <w:rFonts w:cs="Arial"/>
          <w:lang w:val="en-GB"/>
        </w:rPr>
        <w:t>and</w:t>
      </w:r>
      <w:r w:rsidRPr="00E778DB">
        <w:rPr>
          <w:rFonts w:cs="Arial"/>
          <w:lang w:val="en-GB"/>
        </w:rPr>
        <w:t xml:space="preserve"> a CIM.</w:t>
      </w:r>
      <w:r w:rsidRPr="00DD2557">
        <w:rPr>
          <w:rFonts w:cs="Arial"/>
          <w:lang w:val="en-GB"/>
        </w:rPr>
        <w:t xml:space="preserve"> This clearly demonstrates income management is delivered within a highly targeted and flexible approach nuanced to the client’s circumstances. In this way, CIM is utilised as a tool to support people and children at risk, promote socially responsible choices, and as an incentive to meet individual and community obligations.</w:t>
      </w:r>
    </w:p>
    <w:p w14:paraId="672C145F" w14:textId="77777777" w:rsidR="00DD2557" w:rsidRDefault="00DD2557" w:rsidP="005A5B78">
      <w:pPr>
        <w:ind w:left="-142" w:right="-425"/>
        <w:jc w:val="both"/>
        <w:rPr>
          <w:rFonts w:cs="Arial"/>
        </w:rPr>
      </w:pPr>
    </w:p>
    <w:p w14:paraId="7776CF22" w14:textId="23E87474" w:rsidR="005A5B78" w:rsidRDefault="00FE3120" w:rsidP="005A5B78">
      <w:pPr>
        <w:ind w:left="-142" w:right="-425"/>
        <w:jc w:val="both"/>
        <w:rPr>
          <w:rFonts w:cs="Arial"/>
        </w:rPr>
      </w:pPr>
      <w:r>
        <w:rPr>
          <w:rFonts w:cs="Arial"/>
        </w:rPr>
        <w:t xml:space="preserve">A total of </w:t>
      </w:r>
      <w:r w:rsidR="00C4793F">
        <w:rPr>
          <w:rFonts w:cs="Arial"/>
        </w:rPr>
        <w:t>12</w:t>
      </w:r>
      <w:r w:rsidR="007F0C96">
        <w:rPr>
          <w:rFonts w:cs="Arial"/>
        </w:rPr>
        <w:t xml:space="preserve"> new</w:t>
      </w:r>
      <w:r w:rsidR="00C4793F" w:rsidRPr="00306884">
        <w:rPr>
          <w:rFonts w:cs="Arial"/>
        </w:rPr>
        <w:t xml:space="preserve"> </w:t>
      </w:r>
      <w:r w:rsidR="005A5B78" w:rsidRPr="00306884">
        <w:rPr>
          <w:rFonts w:cs="Arial"/>
        </w:rPr>
        <w:t>CIMs</w:t>
      </w:r>
      <w:r w:rsidR="008875CF">
        <w:rPr>
          <w:rFonts w:cs="Arial"/>
        </w:rPr>
        <w:t xml:space="preserve"> </w:t>
      </w:r>
      <w:r w:rsidR="001E59F8">
        <w:rPr>
          <w:rFonts w:cs="Arial"/>
        </w:rPr>
        <w:t>relating to</w:t>
      </w:r>
      <w:r w:rsidR="00CD2E78">
        <w:rPr>
          <w:rFonts w:cs="Arial"/>
        </w:rPr>
        <w:t xml:space="preserve"> </w:t>
      </w:r>
      <w:r w:rsidR="00C4793F">
        <w:rPr>
          <w:rFonts w:cs="Arial"/>
        </w:rPr>
        <w:t xml:space="preserve">12 </w:t>
      </w:r>
      <w:r w:rsidR="00645C02">
        <w:rPr>
          <w:rFonts w:cs="Arial"/>
        </w:rPr>
        <w:t>clients</w:t>
      </w:r>
      <w:r w:rsidR="00B76924">
        <w:rPr>
          <w:rFonts w:cs="Arial"/>
        </w:rPr>
        <w:t xml:space="preserve"> </w:t>
      </w:r>
      <w:r w:rsidR="005A5B78" w:rsidRPr="00306884">
        <w:rPr>
          <w:rFonts w:cs="Arial"/>
        </w:rPr>
        <w:t xml:space="preserve">were made in </w:t>
      </w:r>
      <w:r w:rsidR="00856C85">
        <w:rPr>
          <w:rFonts w:cs="Arial"/>
        </w:rPr>
        <w:t xml:space="preserve">quarter </w:t>
      </w:r>
      <w:r w:rsidR="007914E0">
        <w:rPr>
          <w:rFonts w:cs="Arial"/>
        </w:rPr>
        <w:t>51</w:t>
      </w:r>
      <w:r w:rsidR="005A5B78" w:rsidRPr="00306884">
        <w:rPr>
          <w:rFonts w:cs="Arial"/>
        </w:rPr>
        <w:t xml:space="preserve">, </w:t>
      </w:r>
      <w:r w:rsidR="00D1657C" w:rsidRPr="00D1657C">
        <w:rPr>
          <w:rFonts w:cs="Arial"/>
        </w:rPr>
        <w:t>a</w:t>
      </w:r>
      <w:r w:rsidR="00D014F4">
        <w:rPr>
          <w:rFonts w:cs="Arial"/>
        </w:rPr>
        <w:t xml:space="preserve"> </w:t>
      </w:r>
      <w:r w:rsidR="00181E6A">
        <w:rPr>
          <w:rFonts w:cs="Arial"/>
        </w:rPr>
        <w:t xml:space="preserve">decrease </w:t>
      </w:r>
      <w:r w:rsidR="005A5B78" w:rsidRPr="00D1657C">
        <w:rPr>
          <w:rFonts w:cs="Arial"/>
        </w:rPr>
        <w:t>of</w:t>
      </w:r>
      <w:r w:rsidR="005A5B78" w:rsidRPr="007C135D">
        <w:rPr>
          <w:rFonts w:cs="Arial"/>
        </w:rPr>
        <w:t xml:space="preserve"> </w:t>
      </w:r>
      <w:r w:rsidR="00D014F4">
        <w:rPr>
          <w:rFonts w:cs="Arial"/>
        </w:rPr>
        <w:t>1</w:t>
      </w:r>
      <w:r w:rsidR="00C4793F">
        <w:rPr>
          <w:rFonts w:cs="Arial"/>
        </w:rPr>
        <w:t>0</w:t>
      </w:r>
      <w:r w:rsidR="00D014F4" w:rsidRPr="007C135D">
        <w:rPr>
          <w:rFonts w:cs="Arial"/>
        </w:rPr>
        <w:t xml:space="preserve"> </w:t>
      </w:r>
      <w:r w:rsidR="00B516C0">
        <w:rPr>
          <w:rFonts w:cs="Arial"/>
        </w:rPr>
        <w:t xml:space="preserve">CIMs </w:t>
      </w:r>
      <w:r w:rsidR="005A5B78" w:rsidRPr="007C135D">
        <w:rPr>
          <w:rFonts w:cs="Arial"/>
        </w:rPr>
        <w:t xml:space="preserve">from </w:t>
      </w:r>
      <w:r w:rsidR="000257CF">
        <w:rPr>
          <w:rFonts w:cs="Arial"/>
        </w:rPr>
        <w:t xml:space="preserve">quarter </w:t>
      </w:r>
      <w:r w:rsidR="007914E0">
        <w:rPr>
          <w:rFonts w:cs="Arial"/>
        </w:rPr>
        <w:t>50</w:t>
      </w:r>
      <w:r w:rsidR="0061573D">
        <w:rPr>
          <w:rFonts w:cs="Arial"/>
        </w:rPr>
        <w:t xml:space="preserve">. </w:t>
      </w:r>
      <w:r w:rsidR="005A5B78" w:rsidRPr="007C135D">
        <w:rPr>
          <w:rFonts w:cs="Arial"/>
        </w:rPr>
        <w:t xml:space="preserve">Since the commencement of the </w:t>
      </w:r>
      <w:r w:rsidR="005A5B78" w:rsidRPr="00E618E7">
        <w:rPr>
          <w:rFonts w:cs="Arial"/>
        </w:rPr>
        <w:t xml:space="preserve">Commission </w:t>
      </w:r>
      <w:r w:rsidR="005A5B78" w:rsidRPr="004D3A02">
        <w:rPr>
          <w:rFonts w:cs="Arial"/>
        </w:rPr>
        <w:t>CIM</w:t>
      </w:r>
      <w:r w:rsidR="00FE06FE">
        <w:rPr>
          <w:rFonts w:cs="Arial"/>
        </w:rPr>
        <w:t xml:space="preserve">s </w:t>
      </w:r>
      <w:r w:rsidR="005A5B78" w:rsidRPr="007C135D">
        <w:rPr>
          <w:rFonts w:cs="Arial"/>
        </w:rPr>
        <w:t xml:space="preserve">inclusive of original </w:t>
      </w:r>
      <w:r w:rsidR="00FE06FE">
        <w:rPr>
          <w:rFonts w:cs="Arial"/>
        </w:rPr>
        <w:t xml:space="preserve">agreements and </w:t>
      </w:r>
      <w:r w:rsidR="005A5B78" w:rsidRPr="007C135D">
        <w:rPr>
          <w:rFonts w:cs="Arial"/>
        </w:rPr>
        <w:t xml:space="preserve">orders, extensions and amendments have been made </w:t>
      </w:r>
      <w:r w:rsidR="005A5B78" w:rsidRPr="007C7A9E">
        <w:rPr>
          <w:rFonts w:cs="Arial"/>
        </w:rPr>
        <w:t xml:space="preserve">relating to </w:t>
      </w:r>
      <w:r w:rsidR="00C4793F">
        <w:rPr>
          <w:rFonts w:cs="Arial"/>
        </w:rPr>
        <w:t>960</w:t>
      </w:r>
      <w:r w:rsidR="00C4793F" w:rsidRPr="007C7A9E">
        <w:rPr>
          <w:rFonts w:cs="Arial"/>
        </w:rPr>
        <w:t xml:space="preserve"> </w:t>
      </w:r>
      <w:r w:rsidR="005A5B78" w:rsidRPr="007C7A9E">
        <w:rPr>
          <w:rFonts w:cs="Arial"/>
        </w:rPr>
        <w:t>clients</w:t>
      </w:r>
      <w:r w:rsidR="00932DF5">
        <w:rPr>
          <w:rFonts w:cs="Arial"/>
        </w:rPr>
        <w:t xml:space="preserve"> (</w:t>
      </w:r>
      <w:r w:rsidR="00C4793F">
        <w:rPr>
          <w:rFonts w:cs="Arial"/>
        </w:rPr>
        <w:t xml:space="preserve">555 </w:t>
      </w:r>
      <w:r w:rsidR="00932DF5">
        <w:rPr>
          <w:rFonts w:cs="Arial"/>
        </w:rPr>
        <w:t xml:space="preserve">female and </w:t>
      </w:r>
      <w:r w:rsidR="00C4793F">
        <w:rPr>
          <w:rFonts w:cs="Arial"/>
        </w:rPr>
        <w:t xml:space="preserve">405 </w:t>
      </w:r>
      <w:r w:rsidR="00932DF5">
        <w:rPr>
          <w:rFonts w:cs="Arial"/>
        </w:rPr>
        <w:lastRenderedPageBreak/>
        <w:t>male)</w:t>
      </w:r>
      <w:r w:rsidR="00127CEE">
        <w:rPr>
          <w:rFonts w:cs="Arial"/>
        </w:rPr>
        <w:t xml:space="preserve">. </w:t>
      </w:r>
      <w:r w:rsidR="00B516C0">
        <w:rPr>
          <w:rFonts w:cs="Arial"/>
        </w:rPr>
        <w:t>Decreases</w:t>
      </w:r>
      <w:r w:rsidR="00B516C0" w:rsidRPr="007C7A9E">
        <w:rPr>
          <w:rFonts w:cs="Arial"/>
        </w:rPr>
        <w:t xml:space="preserve"> </w:t>
      </w:r>
      <w:r w:rsidR="00596D78" w:rsidRPr="007C7A9E">
        <w:rPr>
          <w:rFonts w:cs="Arial"/>
        </w:rPr>
        <w:t>were seen in</w:t>
      </w:r>
      <w:r w:rsidR="00D014F4">
        <w:rPr>
          <w:rFonts w:cs="Arial"/>
        </w:rPr>
        <w:t xml:space="preserve"> </w:t>
      </w:r>
      <w:r w:rsidR="00C4793F">
        <w:rPr>
          <w:rFonts w:cs="Arial"/>
        </w:rPr>
        <w:t xml:space="preserve">Aurukun, </w:t>
      </w:r>
      <w:proofErr w:type="gramStart"/>
      <w:r w:rsidR="00D014F4">
        <w:rPr>
          <w:rFonts w:cs="Arial"/>
        </w:rPr>
        <w:t>Coen</w:t>
      </w:r>
      <w:proofErr w:type="gramEnd"/>
      <w:r w:rsidR="00C4793F">
        <w:rPr>
          <w:rFonts w:cs="Arial"/>
        </w:rPr>
        <w:t xml:space="preserve"> and </w:t>
      </w:r>
      <w:r w:rsidR="00D014F4">
        <w:rPr>
          <w:rFonts w:cs="Arial"/>
        </w:rPr>
        <w:t>Doomadgee</w:t>
      </w:r>
      <w:r w:rsidR="00D014F4" w:rsidRPr="007C7A9E">
        <w:rPr>
          <w:rFonts w:cs="Arial"/>
        </w:rPr>
        <w:t xml:space="preserve"> </w:t>
      </w:r>
      <w:r w:rsidR="00596D78" w:rsidRPr="007C7A9E">
        <w:rPr>
          <w:rFonts w:cs="Arial"/>
        </w:rPr>
        <w:t xml:space="preserve">of </w:t>
      </w:r>
      <w:r w:rsidR="00B516C0">
        <w:rPr>
          <w:rFonts w:cs="Arial"/>
        </w:rPr>
        <w:t>1</w:t>
      </w:r>
      <w:r w:rsidR="00C4793F">
        <w:rPr>
          <w:rFonts w:cs="Arial"/>
        </w:rPr>
        <w:t>0</w:t>
      </w:r>
      <w:r w:rsidR="00D014F4">
        <w:rPr>
          <w:rFonts w:cs="Arial"/>
        </w:rPr>
        <w:t xml:space="preserve">, </w:t>
      </w:r>
      <w:r w:rsidR="00C4793F">
        <w:rPr>
          <w:rFonts w:cs="Arial"/>
        </w:rPr>
        <w:t>2 and</w:t>
      </w:r>
      <w:r w:rsidR="00D014F4">
        <w:rPr>
          <w:rFonts w:cs="Arial"/>
        </w:rPr>
        <w:t xml:space="preserve"> </w:t>
      </w:r>
      <w:r w:rsidR="00C4793F">
        <w:rPr>
          <w:rFonts w:cs="Arial"/>
        </w:rPr>
        <w:t>4</w:t>
      </w:r>
      <w:r w:rsidR="00492630">
        <w:rPr>
          <w:rFonts w:cs="Arial"/>
        </w:rPr>
        <w:t xml:space="preserve"> </w:t>
      </w:r>
      <w:r w:rsidR="004A53F2" w:rsidRPr="007C7A9E">
        <w:rPr>
          <w:rFonts w:cs="Arial"/>
        </w:rPr>
        <w:t>CIM</w:t>
      </w:r>
      <w:r w:rsidR="00492630">
        <w:rPr>
          <w:rFonts w:cs="Arial"/>
        </w:rPr>
        <w:t>s</w:t>
      </w:r>
      <w:r w:rsidR="004A53F2" w:rsidRPr="007C7A9E">
        <w:rPr>
          <w:rFonts w:cs="Arial"/>
        </w:rPr>
        <w:t xml:space="preserve"> </w:t>
      </w:r>
      <w:r w:rsidR="00596D78" w:rsidRPr="007C7A9E">
        <w:rPr>
          <w:rFonts w:cs="Arial"/>
        </w:rPr>
        <w:t>respectively</w:t>
      </w:r>
      <w:r w:rsidR="00920FDA" w:rsidRPr="007C7A9E">
        <w:rPr>
          <w:rFonts w:cs="Arial"/>
        </w:rPr>
        <w:t xml:space="preserve">, whilst </w:t>
      </w:r>
      <w:r w:rsidR="00C4793F">
        <w:rPr>
          <w:rFonts w:cs="Arial"/>
        </w:rPr>
        <w:t>Hope Vale and Mossman Gorge increased by 2 and 4 CIM</w:t>
      </w:r>
      <w:r w:rsidR="00BE4505">
        <w:rPr>
          <w:rFonts w:cs="Arial"/>
        </w:rPr>
        <w:t>s</w:t>
      </w:r>
      <w:r w:rsidR="00C4793F">
        <w:rPr>
          <w:rFonts w:cs="Arial"/>
        </w:rPr>
        <w:t xml:space="preserve"> respectively</w:t>
      </w:r>
      <w:r w:rsidR="00120C33">
        <w:rPr>
          <w:rFonts w:cs="Arial"/>
        </w:rPr>
        <w:t xml:space="preserve"> </w:t>
      </w:r>
      <w:r w:rsidR="002720BD">
        <w:t>for the quarter</w:t>
      </w:r>
      <w:r w:rsidR="00A078B9" w:rsidRPr="004D3A02">
        <w:t>.</w:t>
      </w:r>
    </w:p>
    <w:p w14:paraId="23F5549F" w14:textId="77777777" w:rsidR="005A5B78" w:rsidRPr="00386FF7" w:rsidRDefault="005A5B78" w:rsidP="005A5B78">
      <w:pPr>
        <w:ind w:left="-142" w:right="-425"/>
        <w:jc w:val="both"/>
        <w:rPr>
          <w:rFonts w:cs="Arial"/>
        </w:rPr>
      </w:pPr>
    </w:p>
    <w:p w14:paraId="15BC289D" w14:textId="6732EB76" w:rsidR="005A5B78" w:rsidRDefault="005A5B78" w:rsidP="005A5B78">
      <w:pPr>
        <w:ind w:left="-142" w:right="-425"/>
        <w:jc w:val="both"/>
        <w:rPr>
          <w:rFonts w:cs="Arial"/>
        </w:rPr>
      </w:pPr>
      <w:r w:rsidRPr="00C313D5">
        <w:rPr>
          <w:rFonts w:cs="Arial"/>
        </w:rPr>
        <w:t xml:space="preserve">As </w:t>
      </w:r>
      <w:proofErr w:type="gramStart"/>
      <w:r w:rsidRPr="00C313D5">
        <w:rPr>
          <w:rFonts w:cs="Arial"/>
        </w:rPr>
        <w:t>at</w:t>
      </w:r>
      <w:proofErr w:type="gramEnd"/>
      <w:r w:rsidRPr="00C313D5">
        <w:rPr>
          <w:rFonts w:cs="Arial"/>
        </w:rPr>
        <w:t xml:space="preserve"> </w:t>
      </w:r>
      <w:r w:rsidR="004F7197" w:rsidRPr="00C313D5">
        <w:rPr>
          <w:rFonts w:cs="Arial"/>
        </w:rPr>
        <w:t>3</w:t>
      </w:r>
      <w:r w:rsidR="00A920C7">
        <w:rPr>
          <w:rFonts w:cs="Arial"/>
        </w:rPr>
        <w:t xml:space="preserve">1 </w:t>
      </w:r>
      <w:r w:rsidR="009A7C28">
        <w:rPr>
          <w:rFonts w:cs="Arial"/>
        </w:rPr>
        <w:t>March 2021</w:t>
      </w:r>
      <w:r w:rsidRPr="00C313D5">
        <w:rPr>
          <w:rFonts w:cs="Arial"/>
        </w:rPr>
        <w:t xml:space="preserve"> there were </w:t>
      </w:r>
      <w:r w:rsidR="00BE4505">
        <w:rPr>
          <w:rFonts w:cs="Arial"/>
        </w:rPr>
        <w:t>79</w:t>
      </w:r>
      <w:r w:rsidR="00BE4505" w:rsidRPr="00C313D5">
        <w:rPr>
          <w:rFonts w:cs="Arial"/>
        </w:rPr>
        <w:t xml:space="preserve"> </w:t>
      </w:r>
      <w:r w:rsidRPr="00C313D5">
        <w:rPr>
          <w:rFonts w:cs="Arial"/>
        </w:rPr>
        <w:t xml:space="preserve">clients subject to a </w:t>
      </w:r>
      <w:r w:rsidR="00A20D65" w:rsidRPr="00C313D5">
        <w:rPr>
          <w:rFonts w:cs="Arial"/>
        </w:rPr>
        <w:t xml:space="preserve">current </w:t>
      </w:r>
      <w:r w:rsidRPr="00C313D5">
        <w:rPr>
          <w:rFonts w:cs="Arial"/>
        </w:rPr>
        <w:t>CIM</w:t>
      </w:r>
      <w:r w:rsidR="00CE5828" w:rsidRPr="00C313D5">
        <w:rPr>
          <w:rFonts w:cs="Arial"/>
        </w:rPr>
        <w:t>.</w:t>
      </w:r>
      <w:r w:rsidR="0061573D">
        <w:rPr>
          <w:rFonts w:cs="Arial"/>
        </w:rPr>
        <w:t xml:space="preserve"> </w:t>
      </w:r>
      <w:r>
        <w:rPr>
          <w:rFonts w:cs="Arial"/>
        </w:rPr>
        <w:t>Commissioners continue to negotiate with clients to achieve desirable outcomes</w:t>
      </w:r>
      <w:r w:rsidR="00AB7A2F">
        <w:rPr>
          <w:rFonts w:cs="Arial"/>
        </w:rPr>
        <w:t>,</w:t>
      </w:r>
      <w:r>
        <w:rPr>
          <w:rFonts w:cs="Arial"/>
        </w:rPr>
        <w:t xml:space="preserve"> or to demonstrate motivation and commitment to make appropriate life c</w:t>
      </w:r>
      <w:r w:rsidR="0061573D">
        <w:rPr>
          <w:rFonts w:cs="Arial"/>
        </w:rPr>
        <w:t>hoices.</w:t>
      </w:r>
      <w:r>
        <w:rPr>
          <w:rFonts w:cs="Arial"/>
        </w:rPr>
        <w:t xml:space="preserve"> Demonstrated positive steps toward taking responsibility provide the Commissioners with sufficient reason to consider </w:t>
      </w:r>
      <w:r w:rsidR="00BE4505">
        <w:rPr>
          <w:rFonts w:cs="Arial"/>
        </w:rPr>
        <w:t xml:space="preserve">amending or ending </w:t>
      </w:r>
      <w:r w:rsidR="00001E8D">
        <w:rPr>
          <w:rFonts w:cs="Arial"/>
        </w:rPr>
        <w:t xml:space="preserve">a </w:t>
      </w:r>
      <w:r>
        <w:rPr>
          <w:rFonts w:cs="Arial"/>
        </w:rPr>
        <w:t>CIM when requested by the client.</w:t>
      </w:r>
    </w:p>
    <w:p w14:paraId="7C085B47" w14:textId="09F9D4A1" w:rsidR="001654E8" w:rsidRDefault="001654E8" w:rsidP="005A5B78">
      <w:pPr>
        <w:ind w:left="-142" w:right="-425"/>
        <w:jc w:val="both"/>
        <w:rPr>
          <w:rFonts w:cs="Arial"/>
        </w:rPr>
      </w:pPr>
    </w:p>
    <w:p w14:paraId="62DD6166" w14:textId="7DD53F90" w:rsidR="00FB4759" w:rsidRPr="00B01FE8" w:rsidRDefault="00FB4759" w:rsidP="00FB4759">
      <w:pPr>
        <w:pStyle w:val="TableCaption"/>
        <w:spacing w:before="0"/>
        <w:ind w:left="0" w:right="-425"/>
        <w:rPr>
          <w:b/>
          <w:i w:val="0"/>
          <w:sz w:val="16"/>
        </w:rPr>
      </w:pPr>
      <w:r w:rsidRPr="00B01FE8">
        <w:rPr>
          <w:b/>
          <w:i w:val="0"/>
          <w:sz w:val="16"/>
        </w:rPr>
        <w:t>Table 1</w:t>
      </w:r>
      <w:r w:rsidR="003453AD">
        <w:rPr>
          <w:b/>
          <w:i w:val="0"/>
          <w:sz w:val="16"/>
        </w:rPr>
        <w:t>8</w:t>
      </w:r>
      <w:r w:rsidRPr="00B01FE8">
        <w:rPr>
          <w:b/>
          <w:i w:val="0"/>
          <w:sz w:val="16"/>
        </w:rPr>
        <w:t xml:space="preserve">: </w:t>
      </w:r>
      <w:r w:rsidRPr="00B01FE8">
        <w:rPr>
          <w:i w:val="0"/>
          <w:sz w:val="16"/>
        </w:rPr>
        <w:t xml:space="preserve">Conditional Income Management orders by community and quarter 1 </w:t>
      </w:r>
      <w:r>
        <w:rPr>
          <w:i w:val="0"/>
          <w:sz w:val="16"/>
        </w:rPr>
        <w:t xml:space="preserve">January 2020 to 31 March </w:t>
      </w:r>
      <w:r w:rsidRPr="00B01FE8">
        <w:rPr>
          <w:i w:val="0"/>
          <w:sz w:val="16"/>
        </w:rPr>
        <w:t>20</w:t>
      </w:r>
      <w:r>
        <w:rPr>
          <w:i w:val="0"/>
          <w:sz w:val="16"/>
        </w:rPr>
        <w:t>21</w:t>
      </w:r>
      <w:r w:rsidRPr="00B01FE8">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FB4759" w:rsidRPr="00C5395B" w14:paraId="07E01F51" w14:textId="77777777" w:rsidTr="003453AD">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61EE741F" w14:textId="77777777" w:rsidR="00FB4759" w:rsidRPr="00C5395B" w:rsidRDefault="00FB4759" w:rsidP="00FB4759">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13E9C2F3" w14:textId="0CE8FEBE" w:rsidR="00FB4759" w:rsidRDefault="00FB4759" w:rsidP="00FB4759">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09E89728" w14:textId="3DC7AD89" w:rsidR="00FB4759" w:rsidRDefault="00FB4759" w:rsidP="00FB4759">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3AFB99D2" w14:textId="68E852D3" w:rsidR="00FB4759" w:rsidRDefault="00FB4759" w:rsidP="00FB4759">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6148E148" w14:textId="2AE629F0" w:rsidR="00FB4759" w:rsidRDefault="00FB4759" w:rsidP="00FB4759">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43F778BF" w14:textId="61C0FA2B" w:rsidR="00FB4759" w:rsidRDefault="00FB4759" w:rsidP="00FB4759">
            <w:pPr>
              <w:pStyle w:val="TableText"/>
              <w:jc w:val="right"/>
              <w:rPr>
                <w:b/>
                <w:lang w:eastAsia="en-AU"/>
              </w:rPr>
            </w:pPr>
            <w:r>
              <w:rPr>
                <w:b/>
                <w:lang w:eastAsia="en-AU"/>
              </w:rPr>
              <w:t>Qtr 51</w:t>
            </w:r>
          </w:p>
        </w:tc>
      </w:tr>
      <w:tr w:rsidR="00FB4759" w:rsidRPr="00C5395B" w14:paraId="2B257AB5"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3C1E176E" w14:textId="77777777" w:rsidR="00FB4759" w:rsidRPr="00C5395B" w:rsidRDefault="00FB4759" w:rsidP="00FB4759">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6975A8DB" w14:textId="6C4C81E7" w:rsidR="00FB4759" w:rsidRDefault="00FB4759" w:rsidP="00FB4759">
            <w:pPr>
              <w:jc w:val="right"/>
              <w:rPr>
                <w:rFonts w:cs="Arial"/>
              </w:rPr>
            </w:pPr>
            <w:r w:rsidRPr="00D56EB9">
              <w:rPr>
                <w:rFonts w:cs="Arial"/>
              </w:rPr>
              <w:t>22</w:t>
            </w:r>
          </w:p>
        </w:tc>
        <w:tc>
          <w:tcPr>
            <w:tcW w:w="960" w:type="dxa"/>
            <w:tcBorders>
              <w:top w:val="nil"/>
              <w:left w:val="nil"/>
              <w:bottom w:val="single" w:sz="4" w:space="0" w:color="auto"/>
              <w:right w:val="single" w:sz="4" w:space="0" w:color="auto"/>
            </w:tcBorders>
          </w:tcPr>
          <w:p w14:paraId="61DBC7DA" w14:textId="4D7C78E4" w:rsidR="00FB4759" w:rsidRDefault="00FB4759" w:rsidP="00FB4759">
            <w:pPr>
              <w:jc w:val="right"/>
              <w:rPr>
                <w:rFonts w:cs="Arial"/>
              </w:rPr>
            </w:pPr>
            <w:r w:rsidRPr="00EE6BD7">
              <w:rPr>
                <w:rFonts w:cs="Arial"/>
              </w:rPr>
              <w:t>35</w:t>
            </w:r>
          </w:p>
        </w:tc>
        <w:tc>
          <w:tcPr>
            <w:tcW w:w="960" w:type="dxa"/>
            <w:tcBorders>
              <w:top w:val="nil"/>
              <w:left w:val="nil"/>
              <w:bottom w:val="single" w:sz="4" w:space="0" w:color="auto"/>
              <w:right w:val="single" w:sz="4" w:space="0" w:color="auto"/>
            </w:tcBorders>
          </w:tcPr>
          <w:p w14:paraId="478EDE6C" w14:textId="384D877E" w:rsidR="00FB4759" w:rsidRDefault="00FB4759" w:rsidP="00FB4759">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tcPr>
          <w:p w14:paraId="4EF7A21C" w14:textId="563963BB" w:rsidR="00FB4759" w:rsidRPr="00EE6BD7" w:rsidRDefault="00FB4759" w:rsidP="00FB4759">
            <w:pPr>
              <w:jc w:val="right"/>
              <w:rPr>
                <w:rFonts w:cs="Arial"/>
              </w:rPr>
            </w:pPr>
            <w:r w:rsidRPr="003F75B5">
              <w:rPr>
                <w:rFonts w:cs="Arial"/>
              </w:rPr>
              <w:t>14</w:t>
            </w:r>
          </w:p>
        </w:tc>
        <w:tc>
          <w:tcPr>
            <w:tcW w:w="960" w:type="dxa"/>
            <w:tcBorders>
              <w:top w:val="nil"/>
              <w:left w:val="nil"/>
              <w:bottom w:val="single" w:sz="4" w:space="0" w:color="auto"/>
              <w:right w:val="single" w:sz="4" w:space="0" w:color="auto"/>
            </w:tcBorders>
            <w:vAlign w:val="bottom"/>
          </w:tcPr>
          <w:p w14:paraId="0D12F3F3" w14:textId="3FC05B04" w:rsidR="00FB4759" w:rsidRPr="00FB4759" w:rsidRDefault="00FB4759" w:rsidP="00FB4759">
            <w:pPr>
              <w:jc w:val="right"/>
              <w:rPr>
                <w:rFonts w:cs="Arial"/>
              </w:rPr>
            </w:pPr>
            <w:r w:rsidRPr="00FB4759">
              <w:rPr>
                <w:rFonts w:cs="Arial"/>
              </w:rPr>
              <w:t>4</w:t>
            </w:r>
          </w:p>
        </w:tc>
      </w:tr>
      <w:tr w:rsidR="00FB4759" w:rsidRPr="00C5395B" w14:paraId="23D63AE9"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57E14BE4" w14:textId="77777777" w:rsidR="00FB4759" w:rsidRPr="00C5395B" w:rsidRDefault="00FB4759" w:rsidP="00FB4759">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929575F" w14:textId="7B3CF954" w:rsidR="00FB4759" w:rsidRDefault="00FB4759" w:rsidP="00FB4759">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4209C6C8" w14:textId="4AAF0325" w:rsidR="00FB4759" w:rsidRDefault="00FB4759" w:rsidP="00FB4759">
            <w:pPr>
              <w:jc w:val="right"/>
              <w:rPr>
                <w:rFonts w:cs="Arial"/>
              </w:rPr>
            </w:pPr>
            <w:r w:rsidRPr="00EE6BD7">
              <w:rPr>
                <w:rFonts w:cs="Arial"/>
              </w:rPr>
              <w:t>4</w:t>
            </w:r>
          </w:p>
        </w:tc>
        <w:tc>
          <w:tcPr>
            <w:tcW w:w="960" w:type="dxa"/>
            <w:tcBorders>
              <w:top w:val="nil"/>
              <w:left w:val="nil"/>
              <w:bottom w:val="single" w:sz="4" w:space="0" w:color="auto"/>
              <w:right w:val="single" w:sz="4" w:space="0" w:color="auto"/>
            </w:tcBorders>
          </w:tcPr>
          <w:p w14:paraId="0C1BB675" w14:textId="43980E7B" w:rsidR="00FB4759" w:rsidRDefault="00FB4759" w:rsidP="00FB4759">
            <w:pPr>
              <w:jc w:val="right"/>
              <w:rPr>
                <w:rFonts w:cs="Arial"/>
              </w:rPr>
            </w:pPr>
            <w:r w:rsidRPr="003F75B5">
              <w:rPr>
                <w:rFonts w:cs="Arial"/>
              </w:rPr>
              <w:t>3</w:t>
            </w:r>
          </w:p>
        </w:tc>
        <w:tc>
          <w:tcPr>
            <w:tcW w:w="960" w:type="dxa"/>
            <w:tcBorders>
              <w:top w:val="nil"/>
              <w:left w:val="nil"/>
              <w:bottom w:val="single" w:sz="4" w:space="0" w:color="auto"/>
              <w:right w:val="single" w:sz="4" w:space="0" w:color="auto"/>
            </w:tcBorders>
          </w:tcPr>
          <w:p w14:paraId="1E336B24" w14:textId="608550BF" w:rsidR="00FB4759" w:rsidRPr="00EE6BD7" w:rsidRDefault="00FB4759" w:rsidP="00FB4759">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35A2063E" w14:textId="614F4AEE" w:rsidR="00FB4759" w:rsidRPr="00FB4759" w:rsidRDefault="00FB4759" w:rsidP="00FB4759">
            <w:pPr>
              <w:jc w:val="right"/>
              <w:rPr>
                <w:rFonts w:cs="Arial"/>
              </w:rPr>
            </w:pPr>
            <w:r w:rsidRPr="00FB4759">
              <w:rPr>
                <w:rFonts w:cs="Arial"/>
              </w:rPr>
              <w:t>0</w:t>
            </w:r>
          </w:p>
        </w:tc>
      </w:tr>
      <w:tr w:rsidR="00FB4759" w:rsidRPr="00C5395B" w14:paraId="3B45351B" w14:textId="77777777" w:rsidTr="003453AD">
        <w:trPr>
          <w:trHeight w:val="255"/>
        </w:trPr>
        <w:tc>
          <w:tcPr>
            <w:tcW w:w="2040" w:type="dxa"/>
            <w:tcBorders>
              <w:top w:val="nil"/>
              <w:left w:val="single" w:sz="4" w:space="0" w:color="auto"/>
              <w:bottom w:val="single" w:sz="4" w:space="0" w:color="auto"/>
              <w:right w:val="single" w:sz="4" w:space="0" w:color="auto"/>
            </w:tcBorders>
            <w:noWrap/>
          </w:tcPr>
          <w:p w14:paraId="6C9ED3EF" w14:textId="77777777" w:rsidR="00FB4759" w:rsidRPr="00C5395B" w:rsidRDefault="00FB4759" w:rsidP="00FB4759">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2435691E" w14:textId="09871D54" w:rsidR="00FB4759" w:rsidRDefault="00FB4759" w:rsidP="00FB4759">
            <w:pPr>
              <w:jc w:val="right"/>
              <w:rPr>
                <w:rFonts w:cs="Arial"/>
              </w:rPr>
            </w:pPr>
            <w:r w:rsidRPr="00D56EB9">
              <w:rPr>
                <w:rFonts w:cs="Arial"/>
              </w:rPr>
              <w:t>2</w:t>
            </w:r>
          </w:p>
        </w:tc>
        <w:tc>
          <w:tcPr>
            <w:tcW w:w="960" w:type="dxa"/>
            <w:tcBorders>
              <w:top w:val="nil"/>
              <w:left w:val="nil"/>
              <w:bottom w:val="single" w:sz="4" w:space="0" w:color="auto"/>
              <w:right w:val="single" w:sz="4" w:space="0" w:color="auto"/>
            </w:tcBorders>
          </w:tcPr>
          <w:p w14:paraId="300E6FF4" w14:textId="1152BBFC" w:rsidR="00FB4759" w:rsidRDefault="00FB4759" w:rsidP="00FB4759">
            <w:pPr>
              <w:jc w:val="right"/>
              <w:rPr>
                <w:rFonts w:cs="Arial"/>
              </w:rPr>
            </w:pPr>
            <w:r w:rsidRPr="00EE6BD7">
              <w:rPr>
                <w:rFonts w:cs="Arial"/>
              </w:rPr>
              <w:t>9</w:t>
            </w:r>
          </w:p>
        </w:tc>
        <w:tc>
          <w:tcPr>
            <w:tcW w:w="960" w:type="dxa"/>
            <w:tcBorders>
              <w:top w:val="nil"/>
              <w:left w:val="nil"/>
              <w:bottom w:val="single" w:sz="4" w:space="0" w:color="auto"/>
              <w:right w:val="single" w:sz="4" w:space="0" w:color="auto"/>
            </w:tcBorders>
          </w:tcPr>
          <w:p w14:paraId="34E9A521" w14:textId="2ED6F16B" w:rsidR="00FB4759" w:rsidRDefault="00FB4759" w:rsidP="00FB4759">
            <w:pPr>
              <w:jc w:val="right"/>
              <w:rPr>
                <w:rFonts w:cs="Arial"/>
              </w:rPr>
            </w:pPr>
            <w:r w:rsidRPr="003F75B5">
              <w:rPr>
                <w:rFonts w:cs="Arial"/>
              </w:rPr>
              <w:t>8</w:t>
            </w:r>
          </w:p>
        </w:tc>
        <w:tc>
          <w:tcPr>
            <w:tcW w:w="960" w:type="dxa"/>
            <w:tcBorders>
              <w:top w:val="nil"/>
              <w:left w:val="nil"/>
              <w:bottom w:val="single" w:sz="4" w:space="0" w:color="auto"/>
              <w:right w:val="single" w:sz="4" w:space="0" w:color="auto"/>
            </w:tcBorders>
          </w:tcPr>
          <w:p w14:paraId="0270B364" w14:textId="03F969C2" w:rsidR="00FB4759" w:rsidRPr="00EE6BD7" w:rsidRDefault="00FB4759" w:rsidP="00FB4759">
            <w:pPr>
              <w:jc w:val="right"/>
              <w:rPr>
                <w:rFonts w:cs="Arial"/>
              </w:rPr>
            </w:pPr>
            <w:r>
              <w:rPr>
                <w:rFonts w:cs="Arial"/>
              </w:rPr>
              <w:t>6</w:t>
            </w:r>
          </w:p>
        </w:tc>
        <w:tc>
          <w:tcPr>
            <w:tcW w:w="960" w:type="dxa"/>
            <w:tcBorders>
              <w:top w:val="nil"/>
              <w:left w:val="nil"/>
              <w:bottom w:val="single" w:sz="4" w:space="0" w:color="auto"/>
              <w:right w:val="single" w:sz="4" w:space="0" w:color="auto"/>
            </w:tcBorders>
            <w:vAlign w:val="bottom"/>
          </w:tcPr>
          <w:p w14:paraId="389EB2FC" w14:textId="5794F9BC" w:rsidR="00FB4759" w:rsidRPr="00FB4759" w:rsidRDefault="00FB4759" w:rsidP="00FB4759">
            <w:pPr>
              <w:jc w:val="right"/>
              <w:rPr>
                <w:rFonts w:cs="Arial"/>
              </w:rPr>
            </w:pPr>
            <w:r w:rsidRPr="00FB4759">
              <w:rPr>
                <w:rFonts w:cs="Arial"/>
              </w:rPr>
              <w:t>2</w:t>
            </w:r>
          </w:p>
        </w:tc>
      </w:tr>
      <w:tr w:rsidR="00FB4759" w:rsidRPr="00C5395B" w14:paraId="331B1394"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69132931" w14:textId="77777777" w:rsidR="00FB4759" w:rsidRPr="00C5395B" w:rsidRDefault="00FB4759" w:rsidP="00FB4759">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1F203B95" w14:textId="45B21BC7" w:rsidR="00FB4759" w:rsidRDefault="00FB4759" w:rsidP="00FB4759">
            <w:pPr>
              <w:jc w:val="right"/>
              <w:rPr>
                <w:rFonts w:cs="Arial"/>
              </w:rPr>
            </w:pPr>
            <w:r w:rsidRPr="00D56EB9">
              <w:rPr>
                <w:rFonts w:cs="Arial"/>
              </w:rPr>
              <w:t>6</w:t>
            </w:r>
          </w:p>
        </w:tc>
        <w:tc>
          <w:tcPr>
            <w:tcW w:w="960" w:type="dxa"/>
            <w:tcBorders>
              <w:top w:val="nil"/>
              <w:left w:val="nil"/>
              <w:bottom w:val="single" w:sz="4" w:space="0" w:color="auto"/>
              <w:right w:val="single" w:sz="4" w:space="0" w:color="auto"/>
            </w:tcBorders>
          </w:tcPr>
          <w:p w14:paraId="329A837E" w14:textId="2A4B1FC0" w:rsidR="00FB4759" w:rsidRDefault="00FB4759" w:rsidP="00FB4759">
            <w:pPr>
              <w:jc w:val="right"/>
              <w:rPr>
                <w:rFonts w:cs="Arial"/>
              </w:rPr>
            </w:pPr>
            <w:r w:rsidRPr="00EE6BD7">
              <w:rPr>
                <w:rFonts w:cs="Arial"/>
              </w:rPr>
              <w:t>0</w:t>
            </w:r>
          </w:p>
        </w:tc>
        <w:tc>
          <w:tcPr>
            <w:tcW w:w="960" w:type="dxa"/>
            <w:tcBorders>
              <w:top w:val="nil"/>
              <w:left w:val="nil"/>
              <w:bottom w:val="single" w:sz="4" w:space="0" w:color="auto"/>
              <w:right w:val="single" w:sz="4" w:space="0" w:color="auto"/>
            </w:tcBorders>
          </w:tcPr>
          <w:p w14:paraId="6CB353BC" w14:textId="7047E8B8" w:rsidR="00FB4759" w:rsidRDefault="00FB4759" w:rsidP="00FB4759">
            <w:pPr>
              <w:jc w:val="right"/>
              <w:rPr>
                <w:rFonts w:cs="Arial"/>
              </w:rPr>
            </w:pPr>
            <w:r w:rsidRPr="003F75B5">
              <w:rPr>
                <w:rFonts w:cs="Arial"/>
              </w:rPr>
              <w:t>6</w:t>
            </w:r>
          </w:p>
        </w:tc>
        <w:tc>
          <w:tcPr>
            <w:tcW w:w="960" w:type="dxa"/>
            <w:tcBorders>
              <w:top w:val="nil"/>
              <w:left w:val="nil"/>
              <w:bottom w:val="single" w:sz="4" w:space="0" w:color="auto"/>
              <w:right w:val="single" w:sz="4" w:space="0" w:color="auto"/>
            </w:tcBorders>
          </w:tcPr>
          <w:p w14:paraId="36A040C5" w14:textId="51F1546C" w:rsidR="00FB4759" w:rsidRPr="00EE6BD7" w:rsidRDefault="00FB4759" w:rsidP="00FB4759">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3CE18794" w14:textId="1B1EEC0C" w:rsidR="00FB4759" w:rsidRPr="00FB4759" w:rsidRDefault="00FB4759" w:rsidP="00FB4759">
            <w:pPr>
              <w:jc w:val="right"/>
              <w:rPr>
                <w:rFonts w:cs="Arial"/>
              </w:rPr>
            </w:pPr>
            <w:r w:rsidRPr="00FB4759">
              <w:rPr>
                <w:rFonts w:cs="Arial"/>
              </w:rPr>
              <w:t>2</w:t>
            </w:r>
          </w:p>
        </w:tc>
      </w:tr>
      <w:tr w:rsidR="00FB4759" w:rsidRPr="00C5395B" w14:paraId="597EA153"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30CAF44D" w14:textId="77777777" w:rsidR="00FB4759" w:rsidRPr="00C5395B" w:rsidRDefault="00FB4759" w:rsidP="00FB4759">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750AF826" w14:textId="70710F15" w:rsidR="00FB4759" w:rsidRDefault="00FB4759" w:rsidP="00FB4759">
            <w:pPr>
              <w:jc w:val="right"/>
              <w:rPr>
                <w:rFonts w:cs="Arial"/>
              </w:rPr>
            </w:pPr>
            <w:r w:rsidRPr="00D56EB9">
              <w:rPr>
                <w:rFonts w:cs="Arial"/>
              </w:rPr>
              <w:t>0</w:t>
            </w:r>
          </w:p>
        </w:tc>
        <w:tc>
          <w:tcPr>
            <w:tcW w:w="960" w:type="dxa"/>
            <w:tcBorders>
              <w:top w:val="nil"/>
              <w:left w:val="nil"/>
              <w:bottom w:val="single" w:sz="4" w:space="0" w:color="auto"/>
              <w:right w:val="single" w:sz="4" w:space="0" w:color="auto"/>
            </w:tcBorders>
          </w:tcPr>
          <w:p w14:paraId="40DEC344" w14:textId="44C7F2ED" w:rsidR="00FB4759" w:rsidRDefault="00FB4759" w:rsidP="00FB4759">
            <w:pPr>
              <w:jc w:val="right"/>
              <w:rPr>
                <w:rFonts w:cs="Arial"/>
              </w:rPr>
            </w:pPr>
            <w:r w:rsidRPr="00EE6BD7">
              <w:rPr>
                <w:rFonts w:cs="Arial"/>
              </w:rPr>
              <w:t>3</w:t>
            </w:r>
          </w:p>
        </w:tc>
        <w:tc>
          <w:tcPr>
            <w:tcW w:w="960" w:type="dxa"/>
            <w:tcBorders>
              <w:top w:val="nil"/>
              <w:left w:val="nil"/>
              <w:bottom w:val="single" w:sz="4" w:space="0" w:color="auto"/>
              <w:right w:val="single" w:sz="4" w:space="0" w:color="auto"/>
            </w:tcBorders>
          </w:tcPr>
          <w:p w14:paraId="3CF5CC1D" w14:textId="551540EC" w:rsidR="00FB4759" w:rsidRDefault="00FB4759" w:rsidP="00FB4759">
            <w:pPr>
              <w:jc w:val="right"/>
              <w:rPr>
                <w:rFonts w:cs="Arial"/>
              </w:rPr>
            </w:pPr>
            <w:r w:rsidRPr="003F75B5">
              <w:rPr>
                <w:rFonts w:cs="Arial"/>
              </w:rPr>
              <w:t>4</w:t>
            </w:r>
          </w:p>
        </w:tc>
        <w:tc>
          <w:tcPr>
            <w:tcW w:w="960" w:type="dxa"/>
            <w:tcBorders>
              <w:top w:val="nil"/>
              <w:left w:val="nil"/>
              <w:bottom w:val="single" w:sz="4" w:space="0" w:color="auto"/>
              <w:right w:val="single" w:sz="4" w:space="0" w:color="auto"/>
            </w:tcBorders>
          </w:tcPr>
          <w:p w14:paraId="3CA44828" w14:textId="60D17ECE" w:rsidR="00FB4759" w:rsidRPr="00EE6BD7" w:rsidRDefault="00FB4759" w:rsidP="00FB4759">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0570F549" w14:textId="4BC55BC8" w:rsidR="00FB4759" w:rsidRPr="00FB4759" w:rsidRDefault="00FB4759" w:rsidP="00FB4759">
            <w:pPr>
              <w:jc w:val="right"/>
              <w:rPr>
                <w:rFonts w:cs="Arial"/>
              </w:rPr>
            </w:pPr>
            <w:r w:rsidRPr="00FB4759">
              <w:rPr>
                <w:rFonts w:cs="Arial"/>
              </w:rPr>
              <w:t>4</w:t>
            </w:r>
          </w:p>
        </w:tc>
      </w:tr>
      <w:tr w:rsidR="00FB4759" w:rsidRPr="00C5395B" w14:paraId="3EBE4E18"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69FFC2A5" w14:textId="77777777" w:rsidR="00FB4759" w:rsidRPr="00C5395B" w:rsidRDefault="00FB4759" w:rsidP="00FB4759">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13DB1773" w14:textId="2D0D68A5" w:rsidR="00FB4759" w:rsidRDefault="00FB4759" w:rsidP="00FB4759">
            <w:pPr>
              <w:jc w:val="right"/>
              <w:rPr>
                <w:rFonts w:cs="Arial"/>
                <w:b/>
                <w:bCs/>
              </w:rPr>
            </w:pPr>
            <w:r w:rsidRPr="00D56EB9">
              <w:rPr>
                <w:rFonts w:cs="Arial"/>
                <w:b/>
                <w:bCs/>
              </w:rPr>
              <w:t>32</w:t>
            </w:r>
          </w:p>
        </w:tc>
        <w:tc>
          <w:tcPr>
            <w:tcW w:w="960" w:type="dxa"/>
            <w:tcBorders>
              <w:top w:val="nil"/>
              <w:left w:val="nil"/>
              <w:bottom w:val="single" w:sz="4" w:space="0" w:color="auto"/>
              <w:right w:val="single" w:sz="4" w:space="0" w:color="auto"/>
            </w:tcBorders>
          </w:tcPr>
          <w:p w14:paraId="571F52A5" w14:textId="64A4EADC" w:rsidR="00FB4759" w:rsidRDefault="00FB4759" w:rsidP="00FB4759">
            <w:pPr>
              <w:jc w:val="right"/>
              <w:rPr>
                <w:rFonts w:cs="Arial"/>
                <w:b/>
                <w:bCs/>
              </w:rPr>
            </w:pPr>
            <w:r w:rsidRPr="00EE6BD7">
              <w:rPr>
                <w:rFonts w:cs="Arial"/>
                <w:b/>
                <w:bCs/>
              </w:rPr>
              <w:t>51</w:t>
            </w:r>
          </w:p>
        </w:tc>
        <w:tc>
          <w:tcPr>
            <w:tcW w:w="960" w:type="dxa"/>
            <w:tcBorders>
              <w:top w:val="nil"/>
              <w:left w:val="nil"/>
              <w:bottom w:val="single" w:sz="4" w:space="0" w:color="auto"/>
              <w:right w:val="single" w:sz="4" w:space="0" w:color="auto"/>
            </w:tcBorders>
          </w:tcPr>
          <w:p w14:paraId="67B262CC" w14:textId="24D628B8" w:rsidR="00FB4759" w:rsidRDefault="00FB4759" w:rsidP="00FB4759">
            <w:pPr>
              <w:jc w:val="right"/>
              <w:rPr>
                <w:rFonts w:cs="Arial"/>
                <w:b/>
                <w:bCs/>
              </w:rPr>
            </w:pPr>
            <w:r w:rsidRPr="003F75B5">
              <w:rPr>
                <w:rFonts w:cs="Arial"/>
                <w:b/>
                <w:bCs/>
              </w:rPr>
              <w:t>35</w:t>
            </w:r>
          </w:p>
        </w:tc>
        <w:tc>
          <w:tcPr>
            <w:tcW w:w="960" w:type="dxa"/>
            <w:tcBorders>
              <w:top w:val="nil"/>
              <w:left w:val="nil"/>
              <w:bottom w:val="single" w:sz="4" w:space="0" w:color="auto"/>
              <w:right w:val="single" w:sz="4" w:space="0" w:color="auto"/>
            </w:tcBorders>
          </w:tcPr>
          <w:p w14:paraId="41852AAA" w14:textId="56BA0432" w:rsidR="00FB4759" w:rsidRPr="00EE6BD7" w:rsidRDefault="00FB4759" w:rsidP="00FB4759">
            <w:pPr>
              <w:jc w:val="right"/>
              <w:rPr>
                <w:rFonts w:cs="Arial"/>
                <w:b/>
                <w:bCs/>
              </w:rPr>
            </w:pPr>
            <w:r>
              <w:rPr>
                <w:rFonts w:cs="Arial"/>
                <w:b/>
                <w:bCs/>
              </w:rPr>
              <w:t>22</w:t>
            </w:r>
          </w:p>
        </w:tc>
        <w:tc>
          <w:tcPr>
            <w:tcW w:w="960" w:type="dxa"/>
            <w:tcBorders>
              <w:top w:val="nil"/>
              <w:left w:val="nil"/>
              <w:bottom w:val="single" w:sz="4" w:space="0" w:color="auto"/>
              <w:right w:val="single" w:sz="4" w:space="0" w:color="auto"/>
            </w:tcBorders>
            <w:vAlign w:val="bottom"/>
          </w:tcPr>
          <w:p w14:paraId="2CC28D95" w14:textId="6D146A43" w:rsidR="00FB4759" w:rsidRPr="00FB4759" w:rsidRDefault="00FB4759" w:rsidP="00FB4759">
            <w:pPr>
              <w:jc w:val="right"/>
              <w:rPr>
                <w:rFonts w:cs="Arial"/>
                <w:b/>
                <w:bCs/>
              </w:rPr>
            </w:pPr>
            <w:r w:rsidRPr="00FB4759">
              <w:rPr>
                <w:rFonts w:cs="Arial"/>
                <w:b/>
                <w:bCs/>
              </w:rPr>
              <w:t>12</w:t>
            </w:r>
          </w:p>
        </w:tc>
      </w:tr>
    </w:tbl>
    <w:p w14:paraId="5C00370B" w14:textId="77777777" w:rsidR="00433562" w:rsidRDefault="00433562" w:rsidP="00DB0AEE">
      <w:pPr>
        <w:pStyle w:val="Heading2"/>
      </w:pPr>
    </w:p>
    <w:p w14:paraId="0F4C8C26" w14:textId="77777777" w:rsidR="00D802EF" w:rsidRPr="00076ED0" w:rsidRDefault="00D802EF" w:rsidP="00DB0AEE">
      <w:pPr>
        <w:pStyle w:val="Heading2"/>
      </w:pPr>
      <w:r w:rsidRPr="0021097A">
        <w:t>Conditional Income Management for Domestic Violence related matters</w:t>
      </w:r>
    </w:p>
    <w:p w14:paraId="06A9378B" w14:textId="1AA4F065" w:rsidR="00D802EF" w:rsidRDefault="00A40532" w:rsidP="00D802EF">
      <w:pPr>
        <w:ind w:left="-142" w:right="-425"/>
        <w:jc w:val="both"/>
        <w:rPr>
          <w:rFonts w:cs="Arial"/>
        </w:rPr>
      </w:pPr>
      <w:r w:rsidRPr="00280B6D">
        <w:rPr>
          <w:rFonts w:cs="Arial"/>
        </w:rPr>
        <w:t xml:space="preserve">As a subset of the total number of CIMs in the quarter, </w:t>
      </w:r>
      <w:r w:rsidR="00E80F06">
        <w:rPr>
          <w:rFonts w:cs="Arial"/>
        </w:rPr>
        <w:t>3</w:t>
      </w:r>
      <w:r w:rsidR="00553F31" w:rsidRPr="00280B6D">
        <w:rPr>
          <w:rFonts w:cs="Arial"/>
        </w:rPr>
        <w:t xml:space="preserve"> </w:t>
      </w:r>
      <w:r w:rsidR="00D802EF" w:rsidRPr="00280B6D">
        <w:rPr>
          <w:rFonts w:cs="Arial"/>
        </w:rPr>
        <w:t>w</w:t>
      </w:r>
      <w:r w:rsidR="003F1C61">
        <w:rPr>
          <w:rFonts w:cs="Arial"/>
        </w:rPr>
        <w:t>ere</w:t>
      </w:r>
      <w:r w:rsidR="00D802EF" w:rsidRPr="00280B6D">
        <w:rPr>
          <w:rFonts w:cs="Arial"/>
        </w:rPr>
        <w:t xml:space="preserve"> made in relation to domestic violence conferences in </w:t>
      </w:r>
      <w:r w:rsidR="00856C85">
        <w:rPr>
          <w:rFonts w:cs="Arial"/>
        </w:rPr>
        <w:t xml:space="preserve">quarter </w:t>
      </w:r>
      <w:r w:rsidR="007914E0">
        <w:rPr>
          <w:rFonts w:cs="Arial"/>
        </w:rPr>
        <w:t>51</w:t>
      </w:r>
      <w:r w:rsidR="00D802EF" w:rsidRPr="00280B6D">
        <w:rPr>
          <w:rFonts w:cs="Arial"/>
        </w:rPr>
        <w:t>, representing a</w:t>
      </w:r>
      <w:r w:rsidR="00E80F06">
        <w:rPr>
          <w:rFonts w:cs="Arial"/>
        </w:rPr>
        <w:t xml:space="preserve">n increase </w:t>
      </w:r>
      <w:r w:rsidR="005416CE">
        <w:rPr>
          <w:rFonts w:cs="Arial"/>
        </w:rPr>
        <w:t>of</w:t>
      </w:r>
      <w:r w:rsidR="00D802EF" w:rsidRPr="00280B6D">
        <w:rPr>
          <w:rFonts w:cs="Arial"/>
        </w:rPr>
        <w:t xml:space="preserve"> </w:t>
      </w:r>
      <w:r w:rsidR="00E80F06">
        <w:rPr>
          <w:rFonts w:cs="Arial"/>
        </w:rPr>
        <w:t>2</w:t>
      </w:r>
      <w:r w:rsidR="00D802EF" w:rsidRPr="00280B6D">
        <w:rPr>
          <w:rFonts w:cs="Arial"/>
        </w:rPr>
        <w:t xml:space="preserve"> from </w:t>
      </w:r>
      <w:r w:rsidR="002536FE">
        <w:rPr>
          <w:rFonts w:cs="Arial"/>
        </w:rPr>
        <w:t>quarter 50</w:t>
      </w:r>
      <w:r w:rsidR="00D802EF" w:rsidRPr="00280B6D">
        <w:rPr>
          <w:rFonts w:cs="Arial"/>
        </w:rPr>
        <w:t>.</w:t>
      </w:r>
    </w:p>
    <w:p w14:paraId="24C489A4" w14:textId="4B2CDC60" w:rsidR="00433562" w:rsidRDefault="00433562" w:rsidP="00DB0AEE">
      <w:pPr>
        <w:pStyle w:val="Heading2"/>
      </w:pPr>
    </w:p>
    <w:p w14:paraId="45973D4D" w14:textId="56D60679" w:rsidR="007460C6" w:rsidRPr="00BA361D" w:rsidRDefault="007460C6" w:rsidP="007460C6">
      <w:pPr>
        <w:spacing w:after="120" w:line="240" w:lineRule="auto"/>
        <w:ind w:left="794" w:hanging="794"/>
        <w:rPr>
          <w:sz w:val="16"/>
          <w:szCs w:val="16"/>
        </w:rPr>
      </w:pPr>
      <w:r w:rsidRPr="006C6A65">
        <w:rPr>
          <w:b/>
          <w:sz w:val="16"/>
          <w:szCs w:val="16"/>
        </w:rPr>
        <w:t xml:space="preserve">Table </w:t>
      </w:r>
      <w:r w:rsidR="00CE0E57">
        <w:rPr>
          <w:b/>
          <w:sz w:val="16"/>
          <w:szCs w:val="16"/>
        </w:rPr>
        <w:t>1</w:t>
      </w:r>
      <w:r w:rsidR="003453AD">
        <w:rPr>
          <w:b/>
          <w:sz w:val="16"/>
          <w:szCs w:val="16"/>
        </w:rPr>
        <w:t>9</w:t>
      </w:r>
      <w:r w:rsidRPr="006C6A65">
        <w:rPr>
          <w:b/>
          <w:sz w:val="16"/>
          <w:szCs w:val="16"/>
        </w:rPr>
        <w:t>:</w:t>
      </w:r>
      <w:r w:rsidRPr="006C6A65">
        <w:rPr>
          <w:sz w:val="16"/>
          <w:szCs w:val="16"/>
        </w:rPr>
        <w:t xml:space="preserve"> </w:t>
      </w:r>
      <w:r>
        <w:rPr>
          <w:rFonts w:cs="Arial"/>
          <w:sz w:val="16"/>
          <w:szCs w:val="16"/>
        </w:rPr>
        <w:t>Domestic violence conditional income m</w:t>
      </w:r>
      <w:r w:rsidRPr="005A620F">
        <w:rPr>
          <w:rFonts w:cs="Arial"/>
          <w:sz w:val="16"/>
          <w:szCs w:val="16"/>
        </w:rPr>
        <w:t xml:space="preserve">anagement </w:t>
      </w:r>
      <w:r>
        <w:rPr>
          <w:rFonts w:cs="Arial"/>
          <w:sz w:val="16"/>
          <w:szCs w:val="16"/>
        </w:rPr>
        <w:t>by community and quarter 1 January 2020 to 31 March 2021</w:t>
      </w:r>
    </w:p>
    <w:tbl>
      <w:tblPr>
        <w:tblW w:w="8320" w:type="dxa"/>
        <w:tblInd w:w="103" w:type="dxa"/>
        <w:tblLayout w:type="fixed"/>
        <w:tblLook w:val="04A0" w:firstRow="1" w:lastRow="0" w:firstColumn="1" w:lastColumn="0" w:noHBand="0" w:noVBand="1"/>
      </w:tblPr>
      <w:tblGrid>
        <w:gridCol w:w="4400"/>
        <w:gridCol w:w="784"/>
        <w:gridCol w:w="784"/>
        <w:gridCol w:w="784"/>
        <w:gridCol w:w="784"/>
        <w:gridCol w:w="784"/>
      </w:tblGrid>
      <w:tr w:rsidR="007460C6" w:rsidRPr="0040594D" w14:paraId="4F3E1B9E" w14:textId="77777777" w:rsidTr="00F10DE3">
        <w:trPr>
          <w:trHeight w:val="398"/>
        </w:trPr>
        <w:tc>
          <w:tcPr>
            <w:tcW w:w="4400" w:type="dxa"/>
            <w:tcBorders>
              <w:top w:val="single" w:sz="4" w:space="0" w:color="auto"/>
              <w:left w:val="single" w:sz="4" w:space="0" w:color="auto"/>
              <w:bottom w:val="single" w:sz="4" w:space="0" w:color="auto"/>
              <w:right w:val="single" w:sz="4" w:space="0" w:color="auto"/>
            </w:tcBorders>
            <w:shd w:val="clear" w:color="auto" w:fill="auto"/>
            <w:hideMark/>
          </w:tcPr>
          <w:p w14:paraId="23AE00A8" w14:textId="29B2506B" w:rsidR="007460C6" w:rsidRPr="0040594D" w:rsidRDefault="007460C6" w:rsidP="00F10DE3">
            <w:pPr>
              <w:spacing w:line="240" w:lineRule="auto"/>
              <w:rPr>
                <w:rFonts w:cs="Arial"/>
                <w:b/>
                <w:bCs/>
                <w:lang w:eastAsia="en-AU"/>
              </w:rPr>
            </w:pPr>
            <w:r>
              <w:rPr>
                <w:rFonts w:cs="Arial"/>
                <w:b/>
                <w:bCs/>
                <w:lang w:eastAsia="en-AU"/>
              </w:rPr>
              <w:t>Number of Domestic Violence CIMs</w:t>
            </w:r>
          </w:p>
        </w:tc>
        <w:tc>
          <w:tcPr>
            <w:tcW w:w="784" w:type="dxa"/>
            <w:tcBorders>
              <w:top w:val="single" w:sz="4" w:space="0" w:color="auto"/>
              <w:left w:val="nil"/>
              <w:bottom w:val="single" w:sz="4" w:space="0" w:color="auto"/>
              <w:right w:val="single" w:sz="4" w:space="0" w:color="auto"/>
            </w:tcBorders>
            <w:shd w:val="clear" w:color="auto" w:fill="auto"/>
            <w:hideMark/>
          </w:tcPr>
          <w:p w14:paraId="655BFD21" w14:textId="77777777" w:rsidR="007460C6" w:rsidRPr="0040594D" w:rsidRDefault="007460C6" w:rsidP="00F10DE3">
            <w:pPr>
              <w:spacing w:line="240" w:lineRule="auto"/>
              <w:jc w:val="right"/>
              <w:rPr>
                <w:rFonts w:cs="Arial"/>
                <w:b/>
                <w:bCs/>
                <w:lang w:eastAsia="en-AU"/>
              </w:rPr>
            </w:pPr>
            <w:r>
              <w:rPr>
                <w:b/>
                <w:lang w:eastAsia="en-AU"/>
              </w:rPr>
              <w:t>Qtr 47</w:t>
            </w:r>
          </w:p>
        </w:tc>
        <w:tc>
          <w:tcPr>
            <w:tcW w:w="784" w:type="dxa"/>
            <w:tcBorders>
              <w:top w:val="single" w:sz="4" w:space="0" w:color="auto"/>
              <w:left w:val="nil"/>
              <w:bottom w:val="single" w:sz="4" w:space="0" w:color="auto"/>
              <w:right w:val="single" w:sz="4" w:space="0" w:color="auto"/>
            </w:tcBorders>
            <w:shd w:val="clear" w:color="auto" w:fill="auto"/>
            <w:hideMark/>
          </w:tcPr>
          <w:p w14:paraId="150ABB80" w14:textId="77777777" w:rsidR="007460C6" w:rsidRPr="0040594D" w:rsidRDefault="007460C6" w:rsidP="00F10DE3">
            <w:pPr>
              <w:spacing w:line="240" w:lineRule="auto"/>
              <w:jc w:val="right"/>
              <w:rPr>
                <w:rFonts w:cs="Arial"/>
                <w:b/>
                <w:bCs/>
                <w:lang w:eastAsia="en-AU"/>
              </w:rPr>
            </w:pPr>
            <w:r>
              <w:rPr>
                <w:b/>
                <w:lang w:eastAsia="en-AU"/>
              </w:rPr>
              <w:t>Qtr 48</w:t>
            </w:r>
          </w:p>
        </w:tc>
        <w:tc>
          <w:tcPr>
            <w:tcW w:w="784" w:type="dxa"/>
            <w:tcBorders>
              <w:top w:val="single" w:sz="4" w:space="0" w:color="auto"/>
              <w:left w:val="nil"/>
              <w:bottom w:val="single" w:sz="4" w:space="0" w:color="auto"/>
              <w:right w:val="single" w:sz="4" w:space="0" w:color="auto"/>
            </w:tcBorders>
          </w:tcPr>
          <w:p w14:paraId="57C7CF2D" w14:textId="77777777" w:rsidR="007460C6" w:rsidRPr="0040594D" w:rsidRDefault="007460C6" w:rsidP="00F10DE3">
            <w:pPr>
              <w:spacing w:line="240" w:lineRule="auto"/>
              <w:jc w:val="right"/>
              <w:rPr>
                <w:rFonts w:cs="Arial"/>
                <w:b/>
                <w:bCs/>
                <w:lang w:eastAsia="en-AU"/>
              </w:rPr>
            </w:pPr>
            <w:r>
              <w:rPr>
                <w:b/>
                <w:lang w:eastAsia="en-AU"/>
              </w:rPr>
              <w:t>Qtr 49</w:t>
            </w:r>
          </w:p>
        </w:tc>
        <w:tc>
          <w:tcPr>
            <w:tcW w:w="784" w:type="dxa"/>
            <w:tcBorders>
              <w:top w:val="single" w:sz="4" w:space="0" w:color="auto"/>
              <w:left w:val="nil"/>
              <w:bottom w:val="single" w:sz="4" w:space="0" w:color="auto"/>
              <w:right w:val="single" w:sz="4" w:space="0" w:color="auto"/>
            </w:tcBorders>
          </w:tcPr>
          <w:p w14:paraId="2763DB99" w14:textId="77777777" w:rsidR="007460C6" w:rsidRPr="0040594D" w:rsidRDefault="007460C6" w:rsidP="00F10DE3">
            <w:pPr>
              <w:spacing w:line="240" w:lineRule="auto"/>
              <w:jc w:val="right"/>
              <w:rPr>
                <w:rFonts w:cs="Arial"/>
                <w:b/>
                <w:bCs/>
                <w:lang w:eastAsia="en-AU"/>
              </w:rPr>
            </w:pPr>
            <w:r>
              <w:rPr>
                <w:b/>
                <w:lang w:eastAsia="en-AU"/>
              </w:rPr>
              <w:t>Qtr 50</w:t>
            </w:r>
          </w:p>
        </w:tc>
        <w:tc>
          <w:tcPr>
            <w:tcW w:w="784" w:type="dxa"/>
            <w:tcBorders>
              <w:top w:val="single" w:sz="4" w:space="0" w:color="auto"/>
              <w:left w:val="nil"/>
              <w:bottom w:val="single" w:sz="4" w:space="0" w:color="auto"/>
              <w:right w:val="single" w:sz="4" w:space="0" w:color="auto"/>
            </w:tcBorders>
          </w:tcPr>
          <w:p w14:paraId="3CEC45CA" w14:textId="77777777" w:rsidR="007460C6" w:rsidRPr="0040594D" w:rsidRDefault="007460C6" w:rsidP="00F10DE3">
            <w:pPr>
              <w:spacing w:line="240" w:lineRule="auto"/>
              <w:jc w:val="right"/>
              <w:rPr>
                <w:rFonts w:cs="Arial"/>
                <w:b/>
                <w:bCs/>
                <w:lang w:eastAsia="en-AU"/>
              </w:rPr>
            </w:pPr>
            <w:r>
              <w:rPr>
                <w:b/>
                <w:lang w:eastAsia="en-AU"/>
              </w:rPr>
              <w:t>Qtr 51</w:t>
            </w:r>
          </w:p>
        </w:tc>
      </w:tr>
      <w:tr w:rsidR="00E66082" w:rsidRPr="0094558B" w14:paraId="2694F73B" w14:textId="77777777" w:rsidTr="00E66082">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1CB64FF2" w14:textId="03F0B653" w:rsidR="00E66082" w:rsidRPr="00640E37" w:rsidRDefault="00E66082" w:rsidP="00E66082">
            <w:pPr>
              <w:spacing w:line="240" w:lineRule="auto"/>
              <w:rPr>
                <w:rFonts w:cs="Arial"/>
                <w:bCs/>
                <w:lang w:eastAsia="en-AU"/>
              </w:rPr>
            </w:pPr>
            <w:r>
              <w:t>Aurukun</w:t>
            </w:r>
          </w:p>
        </w:tc>
        <w:tc>
          <w:tcPr>
            <w:tcW w:w="784" w:type="dxa"/>
            <w:tcBorders>
              <w:top w:val="single" w:sz="4" w:space="0" w:color="auto"/>
              <w:left w:val="nil"/>
              <w:bottom w:val="single" w:sz="4" w:space="0" w:color="auto"/>
              <w:right w:val="single" w:sz="4" w:space="0" w:color="auto"/>
            </w:tcBorders>
            <w:shd w:val="clear" w:color="auto" w:fill="auto"/>
          </w:tcPr>
          <w:p w14:paraId="1925BEB3" w14:textId="7CD31C6B" w:rsidR="00E66082" w:rsidRPr="00D44DFE" w:rsidRDefault="00E66082" w:rsidP="00E66082">
            <w:pPr>
              <w:spacing w:line="240" w:lineRule="auto"/>
              <w:jc w:val="right"/>
              <w:rPr>
                <w:rFonts w:cs="Arial"/>
                <w:bCs/>
                <w:lang w:eastAsia="en-AU"/>
              </w:rPr>
            </w:pPr>
            <w:r w:rsidRPr="00D44DFE">
              <w:rPr>
                <w:rFonts w:cs="Arial"/>
              </w:rPr>
              <w:t>5</w:t>
            </w:r>
          </w:p>
        </w:tc>
        <w:tc>
          <w:tcPr>
            <w:tcW w:w="784" w:type="dxa"/>
            <w:tcBorders>
              <w:top w:val="single" w:sz="4" w:space="0" w:color="auto"/>
              <w:left w:val="nil"/>
              <w:bottom w:val="single" w:sz="4" w:space="0" w:color="auto"/>
              <w:right w:val="single" w:sz="4" w:space="0" w:color="auto"/>
            </w:tcBorders>
            <w:shd w:val="clear" w:color="auto" w:fill="auto"/>
          </w:tcPr>
          <w:p w14:paraId="58118CF4" w14:textId="49F6408A" w:rsidR="00E66082" w:rsidRPr="00D44DFE" w:rsidRDefault="00E66082" w:rsidP="00E66082">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345941C3" w14:textId="0716B7CB" w:rsidR="00E66082" w:rsidRPr="00D44DFE" w:rsidRDefault="00E66082" w:rsidP="00E66082">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5F3C9680" w14:textId="0D958911" w:rsidR="00E66082" w:rsidRPr="00D44DFE" w:rsidRDefault="00E66082" w:rsidP="00E66082">
            <w:pPr>
              <w:spacing w:line="240" w:lineRule="auto"/>
              <w:jc w:val="right"/>
              <w:rPr>
                <w:rFonts w:cs="Arial"/>
                <w:bCs/>
                <w:lang w:eastAsia="en-AU"/>
              </w:rPr>
            </w:pPr>
            <w:r w:rsidRPr="00D44DFE">
              <w:rPr>
                <w:rFonts w:cs="Arial"/>
              </w:rPr>
              <w:t>1</w:t>
            </w:r>
          </w:p>
        </w:tc>
        <w:tc>
          <w:tcPr>
            <w:tcW w:w="784" w:type="dxa"/>
            <w:tcBorders>
              <w:top w:val="single" w:sz="4" w:space="0" w:color="auto"/>
              <w:left w:val="nil"/>
              <w:bottom w:val="single" w:sz="4" w:space="0" w:color="auto"/>
              <w:right w:val="single" w:sz="4" w:space="0" w:color="auto"/>
            </w:tcBorders>
          </w:tcPr>
          <w:p w14:paraId="3266A356" w14:textId="3CB80BFF" w:rsidR="00E66082" w:rsidRPr="00D44DFE" w:rsidRDefault="00E66082" w:rsidP="00E66082">
            <w:pPr>
              <w:spacing w:line="240" w:lineRule="auto"/>
              <w:jc w:val="right"/>
              <w:rPr>
                <w:rFonts w:cs="Arial"/>
                <w:b/>
                <w:bCs/>
                <w:lang w:eastAsia="en-AU"/>
              </w:rPr>
            </w:pPr>
            <w:r w:rsidRPr="00D44DFE">
              <w:rPr>
                <w:rFonts w:cs="Arial"/>
              </w:rPr>
              <w:t>1</w:t>
            </w:r>
          </w:p>
        </w:tc>
      </w:tr>
      <w:tr w:rsidR="00E66082" w:rsidRPr="0094558B" w14:paraId="338D0CE6" w14:textId="77777777" w:rsidTr="00E66082">
        <w:trPr>
          <w:trHeight w:val="284"/>
        </w:trPr>
        <w:tc>
          <w:tcPr>
            <w:tcW w:w="4400" w:type="dxa"/>
            <w:tcBorders>
              <w:top w:val="nil"/>
              <w:left w:val="single" w:sz="4" w:space="0" w:color="auto"/>
              <w:bottom w:val="single" w:sz="4" w:space="0" w:color="auto"/>
              <w:right w:val="single" w:sz="4" w:space="0" w:color="auto"/>
            </w:tcBorders>
            <w:shd w:val="clear" w:color="auto" w:fill="auto"/>
            <w:vAlign w:val="center"/>
            <w:hideMark/>
          </w:tcPr>
          <w:p w14:paraId="3BDD55DF" w14:textId="1CC78104" w:rsidR="00E66082" w:rsidRPr="00640E37" w:rsidRDefault="00E66082" w:rsidP="00E66082">
            <w:pPr>
              <w:spacing w:line="240" w:lineRule="auto"/>
              <w:rPr>
                <w:rFonts w:cs="Arial"/>
                <w:lang w:eastAsia="en-AU"/>
              </w:rPr>
            </w:pPr>
            <w:r>
              <w:t>Coen</w:t>
            </w:r>
          </w:p>
        </w:tc>
        <w:tc>
          <w:tcPr>
            <w:tcW w:w="784" w:type="dxa"/>
            <w:tcBorders>
              <w:top w:val="nil"/>
              <w:left w:val="nil"/>
              <w:bottom w:val="single" w:sz="4" w:space="0" w:color="auto"/>
              <w:right w:val="single" w:sz="4" w:space="0" w:color="auto"/>
            </w:tcBorders>
            <w:shd w:val="clear" w:color="auto" w:fill="auto"/>
          </w:tcPr>
          <w:p w14:paraId="353411C5" w14:textId="7BB0FFAA" w:rsidR="00E66082" w:rsidRPr="00D44DFE" w:rsidRDefault="00E66082" w:rsidP="00E66082">
            <w:pPr>
              <w:spacing w:line="240" w:lineRule="auto"/>
              <w:jc w:val="right"/>
              <w:rPr>
                <w:rFonts w:cs="Arial"/>
                <w:lang w:eastAsia="en-AU"/>
              </w:rPr>
            </w:pPr>
            <w:r w:rsidRPr="00D44DFE">
              <w:rPr>
                <w:rFonts w:cs="Arial"/>
              </w:rPr>
              <w:t>1</w:t>
            </w:r>
          </w:p>
        </w:tc>
        <w:tc>
          <w:tcPr>
            <w:tcW w:w="784" w:type="dxa"/>
            <w:tcBorders>
              <w:top w:val="nil"/>
              <w:left w:val="nil"/>
              <w:bottom w:val="single" w:sz="4" w:space="0" w:color="auto"/>
              <w:right w:val="single" w:sz="4" w:space="0" w:color="auto"/>
            </w:tcBorders>
            <w:shd w:val="clear" w:color="auto" w:fill="auto"/>
          </w:tcPr>
          <w:p w14:paraId="299A9087" w14:textId="504D0847" w:rsidR="00E66082" w:rsidRPr="00D44DFE" w:rsidRDefault="00E66082" w:rsidP="00E66082">
            <w:pPr>
              <w:spacing w:line="240" w:lineRule="auto"/>
              <w:jc w:val="right"/>
              <w:rPr>
                <w:rFonts w:cs="Arial"/>
                <w:lang w:eastAsia="en-AU"/>
              </w:rPr>
            </w:pPr>
            <w:r w:rsidRPr="00D44DFE">
              <w:rPr>
                <w:rFonts w:cs="Arial"/>
              </w:rPr>
              <w:t>2</w:t>
            </w:r>
          </w:p>
        </w:tc>
        <w:tc>
          <w:tcPr>
            <w:tcW w:w="784" w:type="dxa"/>
            <w:tcBorders>
              <w:top w:val="nil"/>
              <w:left w:val="nil"/>
              <w:bottom w:val="single" w:sz="4" w:space="0" w:color="auto"/>
              <w:right w:val="single" w:sz="4" w:space="0" w:color="auto"/>
            </w:tcBorders>
          </w:tcPr>
          <w:p w14:paraId="29A75C58" w14:textId="36437ECF" w:rsidR="00E66082" w:rsidRPr="00D44DFE" w:rsidRDefault="00E66082" w:rsidP="00E66082">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148E5285" w14:textId="56649E12" w:rsidR="00E66082" w:rsidRPr="00D44DFE" w:rsidRDefault="00E66082" w:rsidP="00E66082">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330074C9" w14:textId="6D10EE54" w:rsidR="00E66082" w:rsidRPr="00D44DFE" w:rsidRDefault="00E66082" w:rsidP="00E66082">
            <w:pPr>
              <w:spacing w:line="240" w:lineRule="auto"/>
              <w:jc w:val="right"/>
              <w:rPr>
                <w:rFonts w:cs="Arial"/>
                <w:b/>
                <w:lang w:eastAsia="en-AU"/>
              </w:rPr>
            </w:pPr>
            <w:r w:rsidRPr="00D44DFE">
              <w:rPr>
                <w:rFonts w:cs="Arial"/>
              </w:rPr>
              <w:t>0</w:t>
            </w:r>
          </w:p>
        </w:tc>
      </w:tr>
      <w:tr w:rsidR="00E66082" w:rsidRPr="0094558B" w14:paraId="32ED62C4" w14:textId="77777777" w:rsidTr="00E66082">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534B124" w14:textId="57F39905" w:rsidR="00E66082" w:rsidRPr="00640E37" w:rsidRDefault="00E66082" w:rsidP="00E66082">
            <w:pPr>
              <w:spacing w:line="240" w:lineRule="auto"/>
              <w:rPr>
                <w:rFonts w:cs="Arial"/>
              </w:rPr>
            </w:pPr>
            <w:r>
              <w:t>Hope Vale</w:t>
            </w:r>
          </w:p>
        </w:tc>
        <w:tc>
          <w:tcPr>
            <w:tcW w:w="784" w:type="dxa"/>
            <w:tcBorders>
              <w:top w:val="nil"/>
              <w:left w:val="nil"/>
              <w:bottom w:val="single" w:sz="4" w:space="0" w:color="auto"/>
              <w:right w:val="single" w:sz="4" w:space="0" w:color="auto"/>
            </w:tcBorders>
            <w:shd w:val="clear" w:color="auto" w:fill="auto"/>
          </w:tcPr>
          <w:p w14:paraId="117C86E6" w14:textId="3D940BE5" w:rsidR="00E66082" w:rsidRPr="00D44DFE" w:rsidRDefault="00E66082" w:rsidP="00E66082">
            <w:pPr>
              <w:spacing w:line="240" w:lineRule="auto"/>
              <w:jc w:val="right"/>
              <w:rPr>
                <w:rFonts w:cs="Arial"/>
                <w:lang w:eastAsia="en-AU"/>
              </w:rPr>
            </w:pPr>
            <w:r w:rsidRPr="00D44DFE">
              <w:rPr>
                <w:rFonts w:cs="Arial"/>
              </w:rPr>
              <w:t>1</w:t>
            </w:r>
          </w:p>
        </w:tc>
        <w:tc>
          <w:tcPr>
            <w:tcW w:w="784" w:type="dxa"/>
            <w:tcBorders>
              <w:top w:val="nil"/>
              <w:left w:val="nil"/>
              <w:bottom w:val="single" w:sz="4" w:space="0" w:color="auto"/>
              <w:right w:val="single" w:sz="4" w:space="0" w:color="auto"/>
            </w:tcBorders>
            <w:shd w:val="clear" w:color="auto" w:fill="auto"/>
          </w:tcPr>
          <w:p w14:paraId="714FF0B5" w14:textId="739921EF" w:rsidR="00E66082" w:rsidRPr="00D44DFE" w:rsidRDefault="00E66082" w:rsidP="00E66082">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22D230B7" w14:textId="54B7D48B" w:rsidR="00E66082" w:rsidRPr="00D44DFE" w:rsidRDefault="00E66082" w:rsidP="00E66082">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74A391C0" w14:textId="2B61C91D" w:rsidR="00E66082" w:rsidRPr="00D44DFE" w:rsidRDefault="00E66082" w:rsidP="00E66082">
            <w:pPr>
              <w:spacing w:line="240" w:lineRule="auto"/>
              <w:jc w:val="right"/>
              <w:rPr>
                <w:rFonts w:cs="Arial"/>
                <w:lang w:eastAsia="en-AU"/>
              </w:rPr>
            </w:pPr>
            <w:r w:rsidRPr="00D44DFE">
              <w:rPr>
                <w:rFonts w:cs="Arial"/>
              </w:rPr>
              <w:t>0</w:t>
            </w:r>
          </w:p>
        </w:tc>
        <w:tc>
          <w:tcPr>
            <w:tcW w:w="784" w:type="dxa"/>
            <w:tcBorders>
              <w:top w:val="nil"/>
              <w:left w:val="nil"/>
              <w:bottom w:val="single" w:sz="4" w:space="0" w:color="auto"/>
              <w:right w:val="single" w:sz="4" w:space="0" w:color="auto"/>
            </w:tcBorders>
          </w:tcPr>
          <w:p w14:paraId="421B7892" w14:textId="616D3799" w:rsidR="00E66082" w:rsidRPr="00D44DFE" w:rsidRDefault="00E66082" w:rsidP="00E66082">
            <w:pPr>
              <w:spacing w:line="240" w:lineRule="auto"/>
              <w:jc w:val="right"/>
              <w:rPr>
                <w:rFonts w:cs="Arial"/>
                <w:b/>
                <w:lang w:eastAsia="en-AU"/>
              </w:rPr>
            </w:pPr>
            <w:r w:rsidRPr="00D44DFE">
              <w:rPr>
                <w:rFonts w:cs="Arial"/>
              </w:rPr>
              <w:t>0</w:t>
            </w:r>
          </w:p>
        </w:tc>
      </w:tr>
      <w:tr w:rsidR="00E66082" w:rsidRPr="0094558B" w14:paraId="25571DA3" w14:textId="77777777" w:rsidTr="00E66082">
        <w:trPr>
          <w:trHeight w:val="284"/>
        </w:trPr>
        <w:tc>
          <w:tcPr>
            <w:tcW w:w="4400" w:type="dxa"/>
            <w:tcBorders>
              <w:top w:val="nil"/>
              <w:left w:val="single" w:sz="4" w:space="0" w:color="auto"/>
              <w:bottom w:val="single" w:sz="4" w:space="0" w:color="auto"/>
              <w:right w:val="single" w:sz="4" w:space="0" w:color="auto"/>
            </w:tcBorders>
            <w:shd w:val="clear" w:color="auto" w:fill="auto"/>
            <w:vAlign w:val="center"/>
          </w:tcPr>
          <w:p w14:paraId="487D7ACE" w14:textId="6C8E82C5" w:rsidR="00E66082" w:rsidRDefault="00E66082" w:rsidP="00E66082">
            <w:pPr>
              <w:spacing w:line="240" w:lineRule="auto"/>
            </w:pPr>
            <w:r>
              <w:t>Mossman Gorge</w:t>
            </w:r>
          </w:p>
        </w:tc>
        <w:tc>
          <w:tcPr>
            <w:tcW w:w="784" w:type="dxa"/>
            <w:tcBorders>
              <w:top w:val="nil"/>
              <w:left w:val="nil"/>
              <w:bottom w:val="single" w:sz="4" w:space="0" w:color="auto"/>
              <w:right w:val="single" w:sz="4" w:space="0" w:color="auto"/>
            </w:tcBorders>
            <w:shd w:val="clear" w:color="auto" w:fill="auto"/>
          </w:tcPr>
          <w:p w14:paraId="10DCFD57" w14:textId="35FACF29" w:rsidR="00E66082" w:rsidRPr="00D44DFE" w:rsidRDefault="00E66082" w:rsidP="00E66082">
            <w:pPr>
              <w:spacing w:line="240" w:lineRule="auto"/>
              <w:jc w:val="right"/>
              <w:rPr>
                <w:rFonts w:cs="Arial"/>
              </w:rPr>
            </w:pPr>
            <w:r w:rsidRPr="00D44DFE">
              <w:rPr>
                <w:rFonts w:cs="Arial"/>
              </w:rPr>
              <w:t>0</w:t>
            </w:r>
          </w:p>
        </w:tc>
        <w:tc>
          <w:tcPr>
            <w:tcW w:w="784" w:type="dxa"/>
            <w:tcBorders>
              <w:top w:val="nil"/>
              <w:left w:val="nil"/>
              <w:bottom w:val="single" w:sz="4" w:space="0" w:color="auto"/>
              <w:right w:val="single" w:sz="4" w:space="0" w:color="auto"/>
            </w:tcBorders>
            <w:shd w:val="clear" w:color="auto" w:fill="auto"/>
          </w:tcPr>
          <w:p w14:paraId="08EFB78B" w14:textId="71EA24EB" w:rsidR="00E66082" w:rsidRPr="00D44DFE" w:rsidRDefault="00E66082" w:rsidP="00E66082">
            <w:pPr>
              <w:spacing w:line="240" w:lineRule="auto"/>
              <w:jc w:val="right"/>
              <w:rPr>
                <w:rFonts w:cs="Arial"/>
              </w:rPr>
            </w:pPr>
            <w:r w:rsidRPr="00D44DFE">
              <w:rPr>
                <w:rFonts w:cs="Arial"/>
              </w:rPr>
              <w:t>1</w:t>
            </w:r>
          </w:p>
        </w:tc>
        <w:tc>
          <w:tcPr>
            <w:tcW w:w="784" w:type="dxa"/>
            <w:tcBorders>
              <w:top w:val="nil"/>
              <w:left w:val="nil"/>
              <w:bottom w:val="single" w:sz="4" w:space="0" w:color="auto"/>
              <w:right w:val="single" w:sz="4" w:space="0" w:color="auto"/>
            </w:tcBorders>
          </w:tcPr>
          <w:p w14:paraId="6F61072A" w14:textId="3E974115" w:rsidR="00E66082" w:rsidRPr="00D44DFE" w:rsidRDefault="00E66082" w:rsidP="00E66082">
            <w:pPr>
              <w:spacing w:line="240" w:lineRule="auto"/>
              <w:jc w:val="right"/>
              <w:rPr>
                <w:rFonts w:cs="Arial"/>
              </w:rPr>
            </w:pPr>
            <w:r w:rsidRPr="00D44DFE">
              <w:rPr>
                <w:rFonts w:cs="Arial"/>
              </w:rPr>
              <w:t>1</w:t>
            </w:r>
          </w:p>
        </w:tc>
        <w:tc>
          <w:tcPr>
            <w:tcW w:w="784" w:type="dxa"/>
            <w:tcBorders>
              <w:top w:val="nil"/>
              <w:left w:val="nil"/>
              <w:bottom w:val="single" w:sz="4" w:space="0" w:color="auto"/>
              <w:right w:val="single" w:sz="4" w:space="0" w:color="auto"/>
            </w:tcBorders>
          </w:tcPr>
          <w:p w14:paraId="785CD4E2" w14:textId="4BA8AA41" w:rsidR="00E66082" w:rsidRPr="00D44DFE" w:rsidRDefault="00E66082" w:rsidP="00E66082">
            <w:pPr>
              <w:spacing w:line="240" w:lineRule="auto"/>
              <w:jc w:val="right"/>
              <w:rPr>
                <w:rFonts w:cs="Arial"/>
              </w:rPr>
            </w:pPr>
            <w:r w:rsidRPr="00D44DFE">
              <w:rPr>
                <w:rFonts w:cs="Arial"/>
              </w:rPr>
              <w:t>0</w:t>
            </w:r>
          </w:p>
        </w:tc>
        <w:tc>
          <w:tcPr>
            <w:tcW w:w="784" w:type="dxa"/>
            <w:tcBorders>
              <w:top w:val="nil"/>
              <w:left w:val="nil"/>
              <w:bottom w:val="single" w:sz="4" w:space="0" w:color="auto"/>
              <w:right w:val="single" w:sz="4" w:space="0" w:color="auto"/>
            </w:tcBorders>
          </w:tcPr>
          <w:p w14:paraId="1C5FE168" w14:textId="20986179" w:rsidR="00E66082" w:rsidRPr="00D44DFE" w:rsidRDefault="00E66082" w:rsidP="00E66082">
            <w:pPr>
              <w:spacing w:line="240" w:lineRule="auto"/>
              <w:jc w:val="right"/>
              <w:rPr>
                <w:rFonts w:cs="Arial"/>
              </w:rPr>
            </w:pPr>
            <w:r w:rsidRPr="00D44DFE">
              <w:rPr>
                <w:rFonts w:cs="Arial"/>
              </w:rPr>
              <w:t>2</w:t>
            </w:r>
          </w:p>
        </w:tc>
      </w:tr>
      <w:tr w:rsidR="00E66082" w:rsidRPr="0094558B" w14:paraId="66769C8F" w14:textId="77777777" w:rsidTr="00E66082">
        <w:trPr>
          <w:trHeight w:val="284"/>
        </w:trPr>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7F2B7FE" w14:textId="77777777" w:rsidR="00E66082" w:rsidRPr="00557E24" w:rsidRDefault="00E66082" w:rsidP="00E66082">
            <w:pPr>
              <w:spacing w:line="240" w:lineRule="auto"/>
              <w:rPr>
                <w:rFonts w:cs="Arial"/>
                <w:b/>
                <w:lang w:eastAsia="en-AU"/>
              </w:rPr>
            </w:pPr>
            <w:r w:rsidRPr="00557E24">
              <w:rPr>
                <w:rFonts w:cs="Arial"/>
                <w:b/>
                <w:lang w:eastAsia="en-AU"/>
              </w:rPr>
              <w:t>Total</w:t>
            </w:r>
          </w:p>
        </w:tc>
        <w:tc>
          <w:tcPr>
            <w:tcW w:w="784" w:type="dxa"/>
            <w:tcBorders>
              <w:top w:val="single" w:sz="4" w:space="0" w:color="auto"/>
              <w:left w:val="nil"/>
              <w:bottom w:val="single" w:sz="4" w:space="0" w:color="auto"/>
              <w:right w:val="single" w:sz="4" w:space="0" w:color="auto"/>
            </w:tcBorders>
            <w:shd w:val="clear" w:color="auto" w:fill="auto"/>
          </w:tcPr>
          <w:p w14:paraId="15896D5C" w14:textId="10E01AFA" w:rsidR="00E66082" w:rsidRPr="00D44DFE" w:rsidRDefault="00E66082" w:rsidP="00E66082">
            <w:pPr>
              <w:spacing w:line="240" w:lineRule="auto"/>
              <w:jc w:val="right"/>
              <w:rPr>
                <w:rFonts w:cs="Arial"/>
                <w:b/>
                <w:lang w:eastAsia="en-AU"/>
              </w:rPr>
            </w:pPr>
            <w:r w:rsidRPr="00D44DFE">
              <w:rPr>
                <w:rFonts w:cs="Arial"/>
                <w:b/>
                <w:bCs/>
              </w:rPr>
              <w:t>7</w:t>
            </w:r>
          </w:p>
        </w:tc>
        <w:tc>
          <w:tcPr>
            <w:tcW w:w="784" w:type="dxa"/>
            <w:tcBorders>
              <w:top w:val="single" w:sz="4" w:space="0" w:color="auto"/>
              <w:left w:val="nil"/>
              <w:bottom w:val="single" w:sz="4" w:space="0" w:color="auto"/>
              <w:right w:val="single" w:sz="4" w:space="0" w:color="auto"/>
            </w:tcBorders>
            <w:shd w:val="clear" w:color="auto" w:fill="auto"/>
          </w:tcPr>
          <w:p w14:paraId="54350CFB" w14:textId="0077AF42" w:rsidR="00E66082" w:rsidRPr="00D44DFE" w:rsidRDefault="00E66082" w:rsidP="00E66082">
            <w:pPr>
              <w:spacing w:line="240" w:lineRule="auto"/>
              <w:jc w:val="right"/>
              <w:rPr>
                <w:rFonts w:cs="Arial"/>
                <w:b/>
                <w:lang w:eastAsia="en-AU"/>
              </w:rPr>
            </w:pPr>
            <w:r w:rsidRPr="00D44DFE">
              <w:rPr>
                <w:rFonts w:cs="Arial"/>
                <w:b/>
                <w:bCs/>
              </w:rPr>
              <w:t>4</w:t>
            </w:r>
          </w:p>
        </w:tc>
        <w:tc>
          <w:tcPr>
            <w:tcW w:w="784" w:type="dxa"/>
            <w:tcBorders>
              <w:top w:val="single" w:sz="4" w:space="0" w:color="auto"/>
              <w:left w:val="nil"/>
              <w:bottom w:val="single" w:sz="4" w:space="0" w:color="auto"/>
              <w:right w:val="single" w:sz="4" w:space="0" w:color="auto"/>
            </w:tcBorders>
          </w:tcPr>
          <w:p w14:paraId="123FD99F" w14:textId="0A8B2091" w:rsidR="00E66082" w:rsidRPr="00D44DFE" w:rsidRDefault="00E66082" w:rsidP="00E66082">
            <w:pPr>
              <w:spacing w:line="240" w:lineRule="auto"/>
              <w:jc w:val="right"/>
              <w:rPr>
                <w:rFonts w:cs="Arial"/>
                <w:b/>
                <w:lang w:eastAsia="en-AU"/>
              </w:rPr>
            </w:pPr>
            <w:r w:rsidRPr="00D44DFE">
              <w:rPr>
                <w:rFonts w:cs="Arial"/>
                <w:b/>
                <w:bCs/>
              </w:rPr>
              <w:t>2</w:t>
            </w:r>
          </w:p>
        </w:tc>
        <w:tc>
          <w:tcPr>
            <w:tcW w:w="784" w:type="dxa"/>
            <w:tcBorders>
              <w:top w:val="single" w:sz="4" w:space="0" w:color="auto"/>
              <w:left w:val="nil"/>
              <w:bottom w:val="single" w:sz="4" w:space="0" w:color="auto"/>
              <w:right w:val="single" w:sz="4" w:space="0" w:color="auto"/>
            </w:tcBorders>
          </w:tcPr>
          <w:p w14:paraId="368C5379" w14:textId="166D06E3" w:rsidR="00E66082" w:rsidRPr="00D44DFE" w:rsidRDefault="00E66082" w:rsidP="00E66082">
            <w:pPr>
              <w:spacing w:line="240" w:lineRule="auto"/>
              <w:jc w:val="right"/>
              <w:rPr>
                <w:rFonts w:cs="Arial"/>
                <w:b/>
                <w:lang w:eastAsia="en-AU"/>
              </w:rPr>
            </w:pPr>
            <w:r w:rsidRPr="00D44DFE">
              <w:rPr>
                <w:rFonts w:cs="Arial"/>
                <w:b/>
                <w:bCs/>
              </w:rPr>
              <w:t>1</w:t>
            </w:r>
          </w:p>
        </w:tc>
        <w:tc>
          <w:tcPr>
            <w:tcW w:w="784" w:type="dxa"/>
            <w:tcBorders>
              <w:top w:val="single" w:sz="4" w:space="0" w:color="auto"/>
              <w:left w:val="nil"/>
              <w:bottom w:val="single" w:sz="4" w:space="0" w:color="auto"/>
              <w:right w:val="single" w:sz="4" w:space="0" w:color="auto"/>
            </w:tcBorders>
          </w:tcPr>
          <w:p w14:paraId="406B10F7" w14:textId="6FADF7E2" w:rsidR="00E66082" w:rsidRPr="00D44DFE" w:rsidRDefault="00E66082" w:rsidP="00E66082">
            <w:pPr>
              <w:spacing w:line="240" w:lineRule="auto"/>
              <w:jc w:val="right"/>
              <w:rPr>
                <w:rFonts w:cs="Arial"/>
                <w:b/>
                <w:lang w:eastAsia="en-AU"/>
              </w:rPr>
            </w:pPr>
            <w:r w:rsidRPr="00D44DFE">
              <w:rPr>
                <w:rFonts w:cs="Arial"/>
                <w:b/>
                <w:bCs/>
              </w:rPr>
              <w:t>3</w:t>
            </w:r>
          </w:p>
        </w:tc>
      </w:tr>
    </w:tbl>
    <w:p w14:paraId="5EFCCF6A" w14:textId="77777777" w:rsidR="007460C6" w:rsidRPr="007460C6" w:rsidRDefault="007460C6" w:rsidP="007460C6"/>
    <w:p w14:paraId="36B5CDB3" w14:textId="6F3DDB06" w:rsidR="00AC7F6B" w:rsidRPr="002D4651" w:rsidRDefault="00AC7F6B" w:rsidP="00AC7F6B">
      <w:pPr>
        <w:pStyle w:val="Heading2"/>
      </w:pPr>
      <w:r>
        <w:t>Voluntary self-r</w:t>
      </w:r>
      <w:r w:rsidRPr="002D4651">
        <w:t>eferrals</w:t>
      </w:r>
      <w:r>
        <w:t xml:space="preserve"> from clients to the Commission</w:t>
      </w:r>
    </w:p>
    <w:p w14:paraId="77A10D70" w14:textId="0BA38C53" w:rsidR="00AC7F6B" w:rsidRDefault="00AC7F6B" w:rsidP="00AC7F6B">
      <w:pPr>
        <w:ind w:left="-142" w:right="-425"/>
        <w:jc w:val="both"/>
        <w:rPr>
          <w:rFonts w:cs="Arial"/>
        </w:rPr>
      </w:pPr>
      <w:r>
        <w:rPr>
          <w:rFonts w:cs="Arial"/>
        </w:rPr>
        <w:t xml:space="preserve">The FRC Act sets out a process under which a community member can voluntarily seek help from the Commission for a referral to a community support service (voluntary case plan) or be subject to voluntary income management. During quarter 51 </w:t>
      </w:r>
      <w:r w:rsidR="00031E8C">
        <w:rPr>
          <w:rFonts w:cs="Arial"/>
        </w:rPr>
        <w:t>no</w:t>
      </w:r>
      <w:r>
        <w:rPr>
          <w:rFonts w:cs="Arial"/>
        </w:rPr>
        <w:t xml:space="preserve"> voluntary agreements were entered into for clients to attend community support services under a case plan. Although the number of clients who have engaged with the FRC on a voluntary basis remains small, it is nonetheless consistent with a broader trend of clients – specifically those entering into Family Responsibility Agreements – who are exhibiting an increased self-awareness of their personal circumstances and are willing to accept assistance from the Commission at the earliest opportunity in the conferencing process. This is discussed in more detail at </w:t>
      </w:r>
      <w:r w:rsidRPr="00DE0966">
        <w:rPr>
          <w:rFonts w:cs="Arial"/>
          <w:i/>
          <w:iCs/>
        </w:rPr>
        <w:t>Interactions during the quarter</w:t>
      </w:r>
      <w:r>
        <w:rPr>
          <w:rFonts w:cs="Arial"/>
        </w:rPr>
        <w:t xml:space="preserve">. </w:t>
      </w:r>
    </w:p>
    <w:p w14:paraId="654755D2" w14:textId="77777777" w:rsidR="00AC7F6B" w:rsidRDefault="00AC7F6B" w:rsidP="00DB0AEE">
      <w:pPr>
        <w:pStyle w:val="Heading2"/>
      </w:pPr>
    </w:p>
    <w:p w14:paraId="21435433" w14:textId="788D717A" w:rsidR="00EC3C3E" w:rsidRPr="006524B7" w:rsidRDefault="00D802EF" w:rsidP="00DB0AEE">
      <w:pPr>
        <w:pStyle w:val="Heading2"/>
      </w:pPr>
      <w:r w:rsidRPr="00113244">
        <w:t>Voluntary</w:t>
      </w:r>
      <w:r w:rsidR="00EC3C3E" w:rsidRPr="00113244">
        <w:t xml:space="preserve"> </w:t>
      </w:r>
      <w:r w:rsidR="00334F4D">
        <w:t>Income Management</w:t>
      </w:r>
    </w:p>
    <w:p w14:paraId="2F01F04F" w14:textId="12786C60" w:rsidR="00D802EF" w:rsidRDefault="00D802EF" w:rsidP="00F662A4">
      <w:pPr>
        <w:ind w:left="-142" w:right="-425"/>
        <w:jc w:val="both"/>
        <w:rPr>
          <w:rFonts w:cs="Arial"/>
        </w:rPr>
      </w:pPr>
      <w:r>
        <w:rPr>
          <w:rFonts w:cs="Arial"/>
        </w:rPr>
        <w:t xml:space="preserve">The Commission </w:t>
      </w:r>
      <w:r w:rsidRPr="00E772A9">
        <w:rPr>
          <w:rFonts w:cs="Arial"/>
        </w:rPr>
        <w:t xml:space="preserve">processed </w:t>
      </w:r>
      <w:r w:rsidR="002945D0">
        <w:rPr>
          <w:rFonts w:cs="Arial"/>
        </w:rPr>
        <w:t>18</w:t>
      </w:r>
      <w:r w:rsidR="00113244">
        <w:rPr>
          <w:rFonts w:cs="Arial"/>
        </w:rPr>
        <w:t xml:space="preserve"> </w:t>
      </w:r>
      <w:r w:rsidR="00505E6F">
        <w:rPr>
          <w:rFonts w:cs="Arial"/>
        </w:rPr>
        <w:t>Voluntary Income Management (VIM)</w:t>
      </w:r>
      <w:r>
        <w:rPr>
          <w:rFonts w:cs="Arial"/>
        </w:rPr>
        <w:t xml:space="preserve"> agreement</w:t>
      </w:r>
      <w:r w:rsidR="00B504D5">
        <w:rPr>
          <w:rFonts w:cs="Arial"/>
        </w:rPr>
        <w:t>s</w:t>
      </w:r>
      <w:r>
        <w:rPr>
          <w:rFonts w:cs="Arial"/>
        </w:rPr>
        <w:t xml:space="preserve"> this quarter and since the commencement of the Commission in 2008, </w:t>
      </w:r>
      <w:r w:rsidR="002945D0">
        <w:rPr>
          <w:rFonts w:cs="Arial"/>
        </w:rPr>
        <w:t xml:space="preserve">171 </w:t>
      </w:r>
      <w:r>
        <w:rPr>
          <w:rFonts w:cs="Arial"/>
        </w:rPr>
        <w:t>clients</w:t>
      </w:r>
      <w:r w:rsidR="00E26269">
        <w:rPr>
          <w:rFonts w:cs="Arial"/>
        </w:rPr>
        <w:t xml:space="preserve"> </w:t>
      </w:r>
      <w:r w:rsidR="00B32201" w:rsidRPr="007C7A9E">
        <w:rPr>
          <w:rFonts w:cs="Arial"/>
        </w:rPr>
        <w:t>(</w:t>
      </w:r>
      <w:r w:rsidR="002945D0">
        <w:rPr>
          <w:rFonts w:cs="Arial"/>
        </w:rPr>
        <w:t xml:space="preserve">109 </w:t>
      </w:r>
      <w:r w:rsidR="00794683">
        <w:rPr>
          <w:rFonts w:cs="Arial"/>
        </w:rPr>
        <w:t xml:space="preserve">female and </w:t>
      </w:r>
      <w:r w:rsidR="002945D0">
        <w:rPr>
          <w:rFonts w:cs="Arial"/>
        </w:rPr>
        <w:t xml:space="preserve">62 </w:t>
      </w:r>
      <w:r w:rsidR="00794683">
        <w:rPr>
          <w:rFonts w:cs="Arial"/>
        </w:rPr>
        <w:t xml:space="preserve">male) </w:t>
      </w:r>
      <w:r>
        <w:rPr>
          <w:rFonts w:cs="Arial"/>
        </w:rPr>
        <w:t>have had an active VIM agreement</w:t>
      </w:r>
      <w:r w:rsidR="005A6206">
        <w:rPr>
          <w:rFonts w:cs="Arial"/>
        </w:rPr>
        <w:t xml:space="preserve">. </w:t>
      </w:r>
      <w:r w:rsidR="00D30730" w:rsidRPr="00C313D5">
        <w:rPr>
          <w:rFonts w:cs="Arial"/>
        </w:rPr>
        <w:t xml:space="preserve">As </w:t>
      </w:r>
      <w:proofErr w:type="gramStart"/>
      <w:r w:rsidR="00D30730" w:rsidRPr="00C313D5">
        <w:rPr>
          <w:rFonts w:cs="Arial"/>
        </w:rPr>
        <w:t>at</w:t>
      </w:r>
      <w:proofErr w:type="gramEnd"/>
      <w:r w:rsidR="00D30730" w:rsidRPr="00C313D5">
        <w:rPr>
          <w:rFonts w:cs="Arial"/>
        </w:rPr>
        <w:t xml:space="preserve"> 3</w:t>
      </w:r>
      <w:r w:rsidR="00E65D4A">
        <w:rPr>
          <w:rFonts w:cs="Arial"/>
        </w:rPr>
        <w:t xml:space="preserve">1 </w:t>
      </w:r>
      <w:r w:rsidR="009A7C28">
        <w:rPr>
          <w:rFonts w:cs="Arial"/>
        </w:rPr>
        <w:t>March 2021</w:t>
      </w:r>
      <w:r w:rsidR="00D30730" w:rsidRPr="00C313D5">
        <w:rPr>
          <w:rFonts w:cs="Arial"/>
        </w:rPr>
        <w:t xml:space="preserve"> there were </w:t>
      </w:r>
      <w:r w:rsidR="00F120C2">
        <w:rPr>
          <w:rFonts w:cs="Arial"/>
        </w:rPr>
        <w:t>25</w:t>
      </w:r>
      <w:r w:rsidR="00F120C2" w:rsidRPr="00C313D5">
        <w:rPr>
          <w:rFonts w:cs="Arial"/>
        </w:rPr>
        <w:t xml:space="preserve"> </w:t>
      </w:r>
      <w:r w:rsidR="00D30730" w:rsidRPr="00C313D5">
        <w:rPr>
          <w:rFonts w:cs="Arial"/>
        </w:rPr>
        <w:t xml:space="preserve">clients </w:t>
      </w:r>
      <w:r w:rsidR="00D30730">
        <w:rPr>
          <w:rFonts w:cs="Arial"/>
        </w:rPr>
        <w:t>on</w:t>
      </w:r>
      <w:r w:rsidR="00D30730" w:rsidRPr="00C313D5">
        <w:rPr>
          <w:rFonts w:cs="Arial"/>
        </w:rPr>
        <w:t xml:space="preserve"> a current </w:t>
      </w:r>
      <w:r w:rsidR="00D30730">
        <w:rPr>
          <w:rFonts w:cs="Arial"/>
        </w:rPr>
        <w:t>VIM</w:t>
      </w:r>
      <w:r w:rsidR="00D30730" w:rsidRPr="00C313D5">
        <w:rPr>
          <w:rFonts w:cs="Arial"/>
        </w:rPr>
        <w:t xml:space="preserve"> </w:t>
      </w:r>
      <w:r w:rsidR="00D30730">
        <w:rPr>
          <w:rFonts w:cs="Arial"/>
        </w:rPr>
        <w:t>agreement</w:t>
      </w:r>
      <w:r w:rsidR="00D30730" w:rsidRPr="00C313D5">
        <w:rPr>
          <w:rFonts w:cs="Arial"/>
        </w:rPr>
        <w:t>.</w:t>
      </w:r>
      <w:r w:rsidR="00D30730">
        <w:rPr>
          <w:rFonts w:cs="Arial"/>
        </w:rPr>
        <w:t xml:space="preserve"> </w:t>
      </w:r>
      <w:r>
        <w:rPr>
          <w:rFonts w:cs="Arial"/>
        </w:rPr>
        <w:t>Those clients that request a VIM agreement use income management as a savings and budget tool, often for a specified period and to deter family members from accessing their income.</w:t>
      </w:r>
      <w:r w:rsidR="000837FA">
        <w:rPr>
          <w:rFonts w:cs="Arial"/>
        </w:rPr>
        <w:t xml:space="preserve"> </w:t>
      </w:r>
      <w:r w:rsidR="006B6030" w:rsidRPr="000837FA">
        <w:rPr>
          <w:rFonts w:cs="Arial"/>
        </w:rPr>
        <w:t xml:space="preserve">VIM agreements are </w:t>
      </w:r>
      <w:r w:rsidR="006B6030">
        <w:rPr>
          <w:rFonts w:cs="Arial"/>
        </w:rPr>
        <w:t xml:space="preserve">also </w:t>
      </w:r>
      <w:r w:rsidR="006B6030" w:rsidRPr="000837FA">
        <w:rPr>
          <w:rFonts w:cs="Arial"/>
        </w:rPr>
        <w:t>a useful tool to assist elderly community members (who have not otherwise been referred to the FRC) to ensure their welfare payments are expended on their own needs</w:t>
      </w:r>
      <w:r w:rsidR="009C639D">
        <w:rPr>
          <w:rFonts w:cs="Arial"/>
        </w:rPr>
        <w:t>.</w:t>
      </w:r>
    </w:p>
    <w:p w14:paraId="45432E30" w14:textId="77777777" w:rsidR="006B6030" w:rsidRDefault="006B6030" w:rsidP="005A02C1">
      <w:pPr>
        <w:ind w:left="-142" w:right="-425"/>
        <w:jc w:val="both"/>
        <w:rPr>
          <w:rFonts w:cs="Arial"/>
        </w:rPr>
      </w:pPr>
    </w:p>
    <w:p w14:paraId="1159CB03" w14:textId="3BCE2675" w:rsidR="009466F4" w:rsidRPr="00076ED0" w:rsidRDefault="009466F4" w:rsidP="00DB0AEE">
      <w:pPr>
        <w:pStyle w:val="Heading2"/>
      </w:pPr>
      <w:r w:rsidRPr="00076ED0">
        <w:lastRenderedPageBreak/>
        <w:t>Case Management</w:t>
      </w:r>
    </w:p>
    <w:p w14:paraId="3CCDEF88" w14:textId="4C824787" w:rsidR="009466F4" w:rsidRDefault="009466F4" w:rsidP="009466F4">
      <w:pPr>
        <w:ind w:left="-142" w:right="-425"/>
        <w:jc w:val="both"/>
        <w:rPr>
          <w:rFonts w:cs="Arial"/>
        </w:rPr>
      </w:pPr>
      <w:r w:rsidRPr="00350FFE">
        <w:rPr>
          <w:rFonts w:cs="Arial"/>
        </w:rPr>
        <w:t xml:space="preserve">As </w:t>
      </w:r>
      <w:proofErr w:type="gramStart"/>
      <w:r w:rsidRPr="00350FFE">
        <w:rPr>
          <w:rFonts w:cs="Arial"/>
        </w:rPr>
        <w:t>at</w:t>
      </w:r>
      <w:proofErr w:type="gramEnd"/>
      <w:r w:rsidRPr="00350FFE">
        <w:rPr>
          <w:rFonts w:cs="Arial"/>
        </w:rPr>
        <w:t xml:space="preserve"> </w:t>
      </w:r>
      <w:r>
        <w:rPr>
          <w:rFonts w:cs="Arial"/>
        </w:rPr>
        <w:t>3</w:t>
      </w:r>
      <w:r w:rsidR="009D246C">
        <w:rPr>
          <w:rFonts w:cs="Arial"/>
        </w:rPr>
        <w:t xml:space="preserve">1 </w:t>
      </w:r>
      <w:r w:rsidR="009A7C28">
        <w:rPr>
          <w:rFonts w:cs="Arial"/>
        </w:rPr>
        <w:t>March 2021</w:t>
      </w:r>
      <w:r w:rsidRPr="00303C40">
        <w:rPr>
          <w:rFonts w:cs="Arial"/>
        </w:rPr>
        <w:t xml:space="preserve">, </w:t>
      </w:r>
      <w:r w:rsidR="004A72B4">
        <w:rPr>
          <w:rFonts w:cs="Arial"/>
        </w:rPr>
        <w:t>318</w:t>
      </w:r>
      <w:r w:rsidR="004A72B4" w:rsidRPr="00303C40">
        <w:rPr>
          <w:rFonts w:cs="Arial"/>
        </w:rPr>
        <w:t xml:space="preserve"> </w:t>
      </w:r>
      <w:r w:rsidRPr="00303C40">
        <w:rPr>
          <w:rFonts w:cs="Arial"/>
        </w:rPr>
        <w:t>clients were being case</w:t>
      </w:r>
      <w:r>
        <w:rPr>
          <w:rFonts w:cs="Arial"/>
        </w:rPr>
        <w:t>-</w:t>
      </w:r>
      <w:r w:rsidRPr="00303C40">
        <w:rPr>
          <w:rFonts w:cs="Arial"/>
        </w:rPr>
        <w:t>managed</w:t>
      </w:r>
      <w:r>
        <w:rPr>
          <w:rFonts w:cs="Arial"/>
        </w:rPr>
        <w:t xml:space="preserve"> through a current </w:t>
      </w:r>
      <w:r w:rsidR="002D09E1">
        <w:rPr>
          <w:rFonts w:cs="Arial"/>
        </w:rPr>
        <w:t xml:space="preserve">non-voluntary </w:t>
      </w:r>
      <w:r>
        <w:rPr>
          <w:rFonts w:cs="Arial"/>
        </w:rPr>
        <w:t>case plan</w:t>
      </w:r>
      <w:r w:rsidRPr="00E75A03">
        <w:rPr>
          <w:rFonts w:cs="Arial"/>
        </w:rPr>
        <w:t xml:space="preserve">, </w:t>
      </w:r>
      <w:r>
        <w:rPr>
          <w:rFonts w:cs="Arial"/>
        </w:rPr>
        <w:t>a</w:t>
      </w:r>
      <w:r w:rsidR="004A72B4">
        <w:rPr>
          <w:rFonts w:cs="Arial"/>
        </w:rPr>
        <w:t xml:space="preserve"> decrease</w:t>
      </w:r>
      <w:r>
        <w:rPr>
          <w:rFonts w:cs="Arial"/>
        </w:rPr>
        <w:t xml:space="preserve"> </w:t>
      </w:r>
      <w:r w:rsidR="00A836AD">
        <w:rPr>
          <w:rFonts w:cs="Arial"/>
        </w:rPr>
        <w:t>of 3</w:t>
      </w:r>
      <w:r w:rsidR="004A72B4">
        <w:rPr>
          <w:rFonts w:cs="Arial"/>
        </w:rPr>
        <w:t>0</w:t>
      </w:r>
      <w:r w:rsidR="00A836AD">
        <w:rPr>
          <w:rFonts w:cs="Arial"/>
        </w:rPr>
        <w:t xml:space="preserve"> from</w:t>
      </w:r>
      <w:r w:rsidRPr="00303C40">
        <w:rPr>
          <w:rFonts w:cs="Arial"/>
        </w:rPr>
        <w:t xml:space="preserve"> </w:t>
      </w:r>
      <w:r>
        <w:rPr>
          <w:rFonts w:cs="Arial"/>
        </w:rPr>
        <w:t xml:space="preserve">quarter </w:t>
      </w:r>
      <w:r w:rsidR="007914E0">
        <w:rPr>
          <w:rFonts w:cs="Arial"/>
        </w:rPr>
        <w:t>50</w:t>
      </w:r>
      <w:r>
        <w:rPr>
          <w:rFonts w:cs="Arial"/>
        </w:rPr>
        <w:t>.</w:t>
      </w:r>
      <w:r w:rsidRPr="00303C40">
        <w:rPr>
          <w:rFonts w:cs="Arial"/>
        </w:rPr>
        <w:t xml:space="preserve"> </w:t>
      </w:r>
      <w:r w:rsidR="004D5E96">
        <w:rPr>
          <w:rFonts w:cs="Arial"/>
        </w:rPr>
        <w:t xml:space="preserve">Decreases </w:t>
      </w:r>
      <w:r>
        <w:rPr>
          <w:rFonts w:cs="Arial"/>
        </w:rPr>
        <w:t xml:space="preserve">were seen in Aurukun, </w:t>
      </w:r>
      <w:r w:rsidR="006D19CC">
        <w:rPr>
          <w:rFonts w:cs="Arial"/>
        </w:rPr>
        <w:t>Coen</w:t>
      </w:r>
      <w:r w:rsidR="00A836AD">
        <w:rPr>
          <w:rFonts w:cs="Arial"/>
        </w:rPr>
        <w:t xml:space="preserve">, </w:t>
      </w:r>
      <w:proofErr w:type="gramStart"/>
      <w:r>
        <w:rPr>
          <w:rFonts w:cs="Arial"/>
        </w:rPr>
        <w:t>Doomadgee</w:t>
      </w:r>
      <w:proofErr w:type="gramEnd"/>
      <w:r w:rsidR="004D5E96">
        <w:rPr>
          <w:rFonts w:cs="Arial"/>
        </w:rPr>
        <w:t xml:space="preserve"> </w:t>
      </w:r>
      <w:r w:rsidR="00A836AD">
        <w:rPr>
          <w:rFonts w:cs="Arial"/>
        </w:rPr>
        <w:t>and Mossman Gorge</w:t>
      </w:r>
      <w:r>
        <w:rPr>
          <w:rFonts w:cs="Arial"/>
        </w:rPr>
        <w:t xml:space="preserve"> </w:t>
      </w:r>
      <w:r w:rsidR="004D5E96">
        <w:rPr>
          <w:rFonts w:cs="Arial"/>
        </w:rPr>
        <w:t>of 13, 7, 2 and 10 respectively, whilst Hope Vale increased by 2</w:t>
      </w:r>
      <w:r>
        <w:rPr>
          <w:rFonts w:cs="Arial"/>
        </w:rPr>
        <w:t>.</w:t>
      </w:r>
    </w:p>
    <w:p w14:paraId="671396A6" w14:textId="77777777" w:rsidR="007A6883" w:rsidRDefault="007A6883" w:rsidP="00E2657A">
      <w:pPr>
        <w:ind w:left="-142" w:right="-425"/>
        <w:jc w:val="both"/>
        <w:rPr>
          <w:rFonts w:cs="Arial"/>
        </w:rPr>
      </w:pPr>
    </w:p>
    <w:p w14:paraId="6544B717" w14:textId="05D302E9" w:rsidR="005A5B78" w:rsidRPr="00076ED0" w:rsidRDefault="005A5B78" w:rsidP="00DB0AEE">
      <w:pPr>
        <w:pStyle w:val="Heading2"/>
      </w:pPr>
      <w:r w:rsidRPr="00076ED0">
        <w:t>Applications to Amend or End Agreements or Orders</w:t>
      </w:r>
      <w:r w:rsidR="008E2BAB">
        <w:t xml:space="preserve"> inclusive of Voluntary Agreements</w:t>
      </w:r>
    </w:p>
    <w:p w14:paraId="4BEB1E36" w14:textId="38D4A191" w:rsidR="004E7166" w:rsidRDefault="00714AFB" w:rsidP="005A5B78">
      <w:pPr>
        <w:ind w:left="-142" w:right="-425"/>
        <w:jc w:val="both"/>
        <w:rPr>
          <w:rFonts w:cs="Arial"/>
        </w:rPr>
      </w:pPr>
      <w:r>
        <w:rPr>
          <w:rFonts w:cs="Arial"/>
        </w:rPr>
        <w:t xml:space="preserve">Twelve </w:t>
      </w:r>
      <w:r w:rsidR="00735BF1">
        <w:rPr>
          <w:rFonts w:cs="Arial"/>
        </w:rPr>
        <w:t>a</w:t>
      </w:r>
      <w:r w:rsidR="005A5B78" w:rsidRPr="009E1D38">
        <w:rPr>
          <w:rFonts w:cs="Arial"/>
        </w:rPr>
        <w:t xml:space="preserve">pplications </w:t>
      </w:r>
      <w:r w:rsidR="00DA5E39">
        <w:rPr>
          <w:rFonts w:cs="Arial"/>
        </w:rPr>
        <w:t>(</w:t>
      </w:r>
      <w:r w:rsidR="0008247E">
        <w:rPr>
          <w:rFonts w:cs="Arial"/>
        </w:rPr>
        <w:t xml:space="preserve">relating to </w:t>
      </w:r>
      <w:r w:rsidR="002C2423">
        <w:rPr>
          <w:rFonts w:cs="Arial"/>
        </w:rPr>
        <w:t>9</w:t>
      </w:r>
      <w:r w:rsidR="0008247E">
        <w:rPr>
          <w:rFonts w:cs="Arial"/>
        </w:rPr>
        <w:t xml:space="preserve"> </w:t>
      </w:r>
      <w:r w:rsidR="002C2423">
        <w:rPr>
          <w:rFonts w:cs="Arial"/>
        </w:rPr>
        <w:t>female</w:t>
      </w:r>
      <w:r w:rsidR="00A005B2">
        <w:rPr>
          <w:rFonts w:cs="Arial"/>
        </w:rPr>
        <w:t>s and</w:t>
      </w:r>
      <w:r w:rsidR="002C2423">
        <w:rPr>
          <w:rFonts w:cs="Arial"/>
        </w:rPr>
        <w:t xml:space="preserve"> 2 male</w:t>
      </w:r>
      <w:r w:rsidR="00A005B2">
        <w:rPr>
          <w:rFonts w:cs="Arial"/>
        </w:rPr>
        <w:t>s</w:t>
      </w:r>
      <w:r w:rsidR="0008247E">
        <w:rPr>
          <w:rFonts w:cs="Arial"/>
        </w:rPr>
        <w:t>)</w:t>
      </w:r>
      <w:r w:rsidR="00C36E27">
        <w:rPr>
          <w:rFonts w:cs="Arial"/>
        </w:rPr>
        <w:t xml:space="preserve"> </w:t>
      </w:r>
      <w:r w:rsidR="005A5B78" w:rsidRPr="009E1D38">
        <w:rPr>
          <w:rFonts w:cs="Arial"/>
        </w:rPr>
        <w:t xml:space="preserve">to Amend or End </w:t>
      </w:r>
      <w:r w:rsidR="001D2955">
        <w:rPr>
          <w:rFonts w:cs="Arial"/>
        </w:rPr>
        <w:t xml:space="preserve">an </w:t>
      </w:r>
      <w:r w:rsidR="005A5B78" w:rsidRPr="009E1D38">
        <w:rPr>
          <w:rFonts w:cs="Arial"/>
        </w:rPr>
        <w:t>Agreement</w:t>
      </w:r>
      <w:r w:rsidR="00AB7866">
        <w:rPr>
          <w:rFonts w:cs="Arial"/>
        </w:rPr>
        <w:t xml:space="preserve">, </w:t>
      </w:r>
      <w:r w:rsidR="005A5B78" w:rsidRPr="009E1D38">
        <w:rPr>
          <w:rFonts w:cs="Arial"/>
        </w:rPr>
        <w:t xml:space="preserve">Order </w:t>
      </w:r>
      <w:r w:rsidR="00AB7866">
        <w:rPr>
          <w:rFonts w:cs="Arial"/>
        </w:rPr>
        <w:t xml:space="preserve">or Voluntary Agreement </w:t>
      </w:r>
      <w:r w:rsidR="005A5B78">
        <w:rPr>
          <w:rFonts w:cs="Arial"/>
        </w:rPr>
        <w:t xml:space="preserve">were </w:t>
      </w:r>
      <w:r w:rsidR="005A5B78" w:rsidRPr="009E1D38">
        <w:rPr>
          <w:rFonts w:cs="Arial"/>
        </w:rPr>
        <w:t xml:space="preserve">received in </w:t>
      </w:r>
      <w:r w:rsidR="00856C85">
        <w:rPr>
          <w:rFonts w:cs="Arial"/>
        </w:rPr>
        <w:t xml:space="preserve">quarter </w:t>
      </w:r>
      <w:r w:rsidR="007914E0">
        <w:rPr>
          <w:rFonts w:cs="Arial"/>
        </w:rPr>
        <w:t>51</w:t>
      </w:r>
      <w:r w:rsidR="005A5B78">
        <w:rPr>
          <w:rFonts w:cs="Arial"/>
        </w:rPr>
        <w:t xml:space="preserve">, </w:t>
      </w:r>
      <w:r w:rsidR="000068E7">
        <w:rPr>
          <w:rFonts w:cs="Arial"/>
        </w:rPr>
        <w:t>a</w:t>
      </w:r>
      <w:r>
        <w:rPr>
          <w:rFonts w:cs="Arial"/>
        </w:rPr>
        <w:t xml:space="preserve">n increase </w:t>
      </w:r>
      <w:r w:rsidR="00807B13" w:rsidRPr="009D1AAB">
        <w:rPr>
          <w:rFonts w:cs="Arial"/>
        </w:rPr>
        <w:t xml:space="preserve">of </w:t>
      </w:r>
      <w:r>
        <w:rPr>
          <w:rFonts w:cs="Arial"/>
        </w:rPr>
        <w:t>6</w:t>
      </w:r>
      <w:r w:rsidR="00115A55" w:rsidRPr="009D1AAB">
        <w:rPr>
          <w:rFonts w:cs="Arial"/>
        </w:rPr>
        <w:t xml:space="preserve"> </w:t>
      </w:r>
      <w:r w:rsidR="0008247E">
        <w:rPr>
          <w:rFonts w:cs="Arial"/>
        </w:rPr>
        <w:t xml:space="preserve">applications </w:t>
      </w:r>
      <w:r w:rsidR="00807B13" w:rsidRPr="009D1AAB">
        <w:rPr>
          <w:rFonts w:cs="Arial"/>
        </w:rPr>
        <w:t>from</w:t>
      </w:r>
      <w:r w:rsidR="00807B13">
        <w:rPr>
          <w:rFonts w:cs="Arial"/>
        </w:rPr>
        <w:t xml:space="preserve"> </w:t>
      </w:r>
      <w:r w:rsidR="000257CF">
        <w:t xml:space="preserve">quarter </w:t>
      </w:r>
      <w:r w:rsidR="007914E0">
        <w:t>50</w:t>
      </w:r>
      <w:r w:rsidR="005A5B78" w:rsidRPr="00AF2C25">
        <w:rPr>
          <w:rFonts w:cs="Arial"/>
        </w:rPr>
        <w:t>.</w:t>
      </w:r>
      <w:r w:rsidR="006528A9">
        <w:rPr>
          <w:rFonts w:cs="Arial"/>
        </w:rPr>
        <w:t xml:space="preserve"> </w:t>
      </w:r>
      <w:r w:rsidR="00DE3D33">
        <w:rPr>
          <w:rFonts w:cs="Arial"/>
        </w:rPr>
        <w:t>It should be n</w:t>
      </w:r>
      <w:r w:rsidR="006528A9">
        <w:rPr>
          <w:rFonts w:cs="Arial"/>
        </w:rPr>
        <w:t>ot</w:t>
      </w:r>
      <w:r w:rsidR="00DE3D33">
        <w:rPr>
          <w:rFonts w:cs="Arial"/>
        </w:rPr>
        <w:t>ed that</w:t>
      </w:r>
      <w:r w:rsidR="006528A9">
        <w:rPr>
          <w:rFonts w:cs="Arial"/>
        </w:rPr>
        <w:t xml:space="preserve"> a client may apply to amend or end their </w:t>
      </w:r>
      <w:r w:rsidR="001B735E">
        <w:rPr>
          <w:rFonts w:cs="Arial"/>
        </w:rPr>
        <w:t>Family Responsibilities A</w:t>
      </w:r>
      <w:r w:rsidR="006528A9">
        <w:rPr>
          <w:rFonts w:cs="Arial"/>
        </w:rPr>
        <w:t>greement</w:t>
      </w:r>
      <w:r w:rsidR="001B735E">
        <w:rPr>
          <w:rFonts w:cs="Arial"/>
        </w:rPr>
        <w:t>, Family Responsibilities O</w:t>
      </w:r>
      <w:r w:rsidR="006528A9">
        <w:rPr>
          <w:rFonts w:cs="Arial"/>
        </w:rPr>
        <w:t xml:space="preserve">rder </w:t>
      </w:r>
      <w:r w:rsidR="001B735E">
        <w:rPr>
          <w:rFonts w:cs="Arial"/>
        </w:rPr>
        <w:t xml:space="preserve">or Voluntary Agreement </w:t>
      </w:r>
      <w:r w:rsidR="006528A9">
        <w:rPr>
          <w:rFonts w:cs="Arial"/>
        </w:rPr>
        <w:t>on multiple occasions throughout a quarter.</w:t>
      </w:r>
    </w:p>
    <w:p w14:paraId="6E1B1A80" w14:textId="3A6BA281" w:rsidR="0077006E" w:rsidRDefault="0077006E" w:rsidP="005A5B78">
      <w:pPr>
        <w:ind w:left="-142" w:right="-425"/>
        <w:jc w:val="both"/>
        <w:rPr>
          <w:rFonts w:cs="Arial"/>
        </w:rPr>
      </w:pPr>
    </w:p>
    <w:p w14:paraId="6CD4B513" w14:textId="4509717D" w:rsidR="00DD04C0" w:rsidRPr="008E49AE" w:rsidRDefault="00DD04C0" w:rsidP="00DD04C0">
      <w:pPr>
        <w:pStyle w:val="TableCaption"/>
        <w:spacing w:before="0"/>
        <w:ind w:left="0" w:right="-425"/>
        <w:rPr>
          <w:b/>
          <w:i w:val="0"/>
          <w:sz w:val="16"/>
        </w:rPr>
      </w:pPr>
      <w:r w:rsidRPr="008E49AE">
        <w:rPr>
          <w:b/>
          <w:i w:val="0"/>
          <w:sz w:val="16"/>
        </w:rPr>
        <w:t xml:space="preserve">Table </w:t>
      </w:r>
      <w:r w:rsidR="003453AD">
        <w:rPr>
          <w:b/>
          <w:i w:val="0"/>
          <w:sz w:val="16"/>
        </w:rPr>
        <w:t>20</w:t>
      </w:r>
      <w:r w:rsidRPr="008E49AE">
        <w:rPr>
          <w:b/>
          <w:i w:val="0"/>
          <w:sz w:val="16"/>
        </w:rPr>
        <w:t xml:space="preserve">: </w:t>
      </w:r>
      <w:r w:rsidRPr="008E49AE">
        <w:rPr>
          <w:i w:val="0"/>
          <w:sz w:val="16"/>
        </w:rPr>
        <w:t xml:space="preserve">Applications to Amend or End FRA or Order by community and quarter 1 </w:t>
      </w:r>
      <w:r>
        <w:rPr>
          <w:i w:val="0"/>
          <w:sz w:val="16"/>
        </w:rPr>
        <w:t xml:space="preserve">January 2020 to 31 March </w:t>
      </w:r>
      <w:r w:rsidRPr="008E49AE">
        <w:rPr>
          <w:i w:val="0"/>
          <w:sz w:val="16"/>
        </w:rPr>
        <w:t>20</w:t>
      </w:r>
      <w:r>
        <w:rPr>
          <w:i w:val="0"/>
          <w:sz w:val="16"/>
        </w:rPr>
        <w:t>21</w:t>
      </w:r>
      <w:r w:rsidRPr="008E49AE">
        <w:rPr>
          <w:i w:val="0"/>
          <w:sz w:val="16"/>
        </w:rPr>
        <w:t>.</w:t>
      </w:r>
    </w:p>
    <w:tbl>
      <w:tblPr>
        <w:tblW w:w="6840" w:type="dxa"/>
        <w:tblInd w:w="93" w:type="dxa"/>
        <w:tblLook w:val="04A0" w:firstRow="1" w:lastRow="0" w:firstColumn="1" w:lastColumn="0" w:noHBand="0" w:noVBand="1"/>
      </w:tblPr>
      <w:tblGrid>
        <w:gridCol w:w="2040"/>
        <w:gridCol w:w="960"/>
        <w:gridCol w:w="960"/>
        <w:gridCol w:w="960"/>
        <w:gridCol w:w="960"/>
        <w:gridCol w:w="960"/>
      </w:tblGrid>
      <w:tr w:rsidR="00DD04C0" w:rsidRPr="00C5395B" w14:paraId="1B5E8E9D" w14:textId="77777777" w:rsidTr="003453AD">
        <w:trPr>
          <w:trHeight w:val="255"/>
        </w:trPr>
        <w:tc>
          <w:tcPr>
            <w:tcW w:w="2040" w:type="dxa"/>
            <w:tcBorders>
              <w:top w:val="single" w:sz="4" w:space="0" w:color="auto"/>
              <w:left w:val="single" w:sz="4" w:space="0" w:color="auto"/>
              <w:bottom w:val="single" w:sz="4" w:space="0" w:color="auto"/>
              <w:right w:val="single" w:sz="4" w:space="0" w:color="auto"/>
            </w:tcBorders>
            <w:noWrap/>
            <w:hideMark/>
          </w:tcPr>
          <w:p w14:paraId="37337CF5" w14:textId="77777777" w:rsidR="00DD04C0" w:rsidRPr="00C5395B" w:rsidRDefault="00DD04C0" w:rsidP="00DD04C0">
            <w:pPr>
              <w:pStyle w:val="TableText"/>
              <w:ind w:left="49"/>
              <w:rPr>
                <w:b/>
                <w:lang w:eastAsia="en-AU"/>
              </w:rPr>
            </w:pPr>
            <w:r w:rsidRPr="00C5395B">
              <w:rPr>
                <w:b/>
                <w:lang w:eastAsia="en-AU"/>
              </w:rPr>
              <w:t>Community</w:t>
            </w:r>
          </w:p>
        </w:tc>
        <w:tc>
          <w:tcPr>
            <w:tcW w:w="960" w:type="dxa"/>
            <w:tcBorders>
              <w:top w:val="single" w:sz="4" w:space="0" w:color="auto"/>
              <w:left w:val="nil"/>
              <w:bottom w:val="single" w:sz="4" w:space="0" w:color="auto"/>
              <w:right w:val="single" w:sz="4" w:space="0" w:color="auto"/>
            </w:tcBorders>
          </w:tcPr>
          <w:p w14:paraId="4D4DA1F0" w14:textId="220B003C" w:rsidR="00DD04C0" w:rsidRPr="00C5395B" w:rsidRDefault="00DD04C0" w:rsidP="00DD04C0">
            <w:pPr>
              <w:pStyle w:val="TableText"/>
              <w:jc w:val="right"/>
              <w:rPr>
                <w:b/>
                <w:lang w:eastAsia="en-AU"/>
              </w:rPr>
            </w:pPr>
            <w:r>
              <w:rPr>
                <w:b/>
                <w:lang w:eastAsia="en-AU"/>
              </w:rPr>
              <w:t>Qtr 47</w:t>
            </w:r>
          </w:p>
        </w:tc>
        <w:tc>
          <w:tcPr>
            <w:tcW w:w="960" w:type="dxa"/>
            <w:tcBorders>
              <w:top w:val="single" w:sz="4" w:space="0" w:color="auto"/>
              <w:left w:val="nil"/>
              <w:bottom w:val="single" w:sz="4" w:space="0" w:color="auto"/>
              <w:right w:val="single" w:sz="4" w:space="0" w:color="auto"/>
            </w:tcBorders>
          </w:tcPr>
          <w:p w14:paraId="364A5359" w14:textId="0437D83A" w:rsidR="00DD04C0" w:rsidRPr="00C5395B" w:rsidRDefault="00DD04C0" w:rsidP="00DD04C0">
            <w:pPr>
              <w:pStyle w:val="TableText"/>
              <w:jc w:val="right"/>
              <w:rPr>
                <w:b/>
                <w:lang w:eastAsia="en-AU"/>
              </w:rPr>
            </w:pPr>
            <w:r>
              <w:rPr>
                <w:b/>
                <w:lang w:eastAsia="en-AU"/>
              </w:rPr>
              <w:t>Qtr 48</w:t>
            </w:r>
          </w:p>
        </w:tc>
        <w:tc>
          <w:tcPr>
            <w:tcW w:w="960" w:type="dxa"/>
            <w:tcBorders>
              <w:top w:val="single" w:sz="4" w:space="0" w:color="auto"/>
              <w:left w:val="nil"/>
              <w:bottom w:val="single" w:sz="4" w:space="0" w:color="auto"/>
              <w:right w:val="single" w:sz="4" w:space="0" w:color="auto"/>
            </w:tcBorders>
          </w:tcPr>
          <w:p w14:paraId="5C6C4B08" w14:textId="4FB6C80D" w:rsidR="00DD04C0" w:rsidRDefault="00DD04C0" w:rsidP="00DD04C0">
            <w:pPr>
              <w:pStyle w:val="TableText"/>
              <w:jc w:val="right"/>
              <w:rPr>
                <w:b/>
                <w:lang w:eastAsia="en-AU"/>
              </w:rPr>
            </w:pPr>
            <w:r>
              <w:rPr>
                <w:b/>
                <w:lang w:eastAsia="en-AU"/>
              </w:rPr>
              <w:t>Qtr 49</w:t>
            </w:r>
          </w:p>
        </w:tc>
        <w:tc>
          <w:tcPr>
            <w:tcW w:w="960" w:type="dxa"/>
            <w:tcBorders>
              <w:top w:val="single" w:sz="4" w:space="0" w:color="auto"/>
              <w:left w:val="nil"/>
              <w:bottom w:val="single" w:sz="4" w:space="0" w:color="auto"/>
              <w:right w:val="single" w:sz="4" w:space="0" w:color="auto"/>
            </w:tcBorders>
          </w:tcPr>
          <w:p w14:paraId="4187599B" w14:textId="614911BE" w:rsidR="00DD04C0" w:rsidRDefault="00DD04C0" w:rsidP="00DD04C0">
            <w:pPr>
              <w:pStyle w:val="TableText"/>
              <w:jc w:val="right"/>
              <w:rPr>
                <w:b/>
                <w:lang w:eastAsia="en-AU"/>
              </w:rPr>
            </w:pPr>
            <w:r>
              <w:rPr>
                <w:b/>
                <w:lang w:eastAsia="en-AU"/>
              </w:rPr>
              <w:t>Qtr 50</w:t>
            </w:r>
          </w:p>
        </w:tc>
        <w:tc>
          <w:tcPr>
            <w:tcW w:w="960" w:type="dxa"/>
            <w:tcBorders>
              <w:top w:val="single" w:sz="4" w:space="0" w:color="auto"/>
              <w:left w:val="nil"/>
              <w:bottom w:val="single" w:sz="4" w:space="0" w:color="auto"/>
              <w:right w:val="single" w:sz="4" w:space="0" w:color="auto"/>
            </w:tcBorders>
          </w:tcPr>
          <w:p w14:paraId="00857823" w14:textId="3ECFC840" w:rsidR="00DD04C0" w:rsidRDefault="00DD04C0" w:rsidP="00DD04C0">
            <w:pPr>
              <w:pStyle w:val="TableText"/>
              <w:jc w:val="right"/>
              <w:rPr>
                <w:b/>
                <w:lang w:eastAsia="en-AU"/>
              </w:rPr>
            </w:pPr>
            <w:r>
              <w:rPr>
                <w:b/>
                <w:lang w:eastAsia="en-AU"/>
              </w:rPr>
              <w:t>Qtr 51</w:t>
            </w:r>
          </w:p>
        </w:tc>
      </w:tr>
      <w:tr w:rsidR="00DD04C0" w:rsidRPr="00C5395B" w14:paraId="6CC49AFD"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1591E3D9" w14:textId="77777777" w:rsidR="00DD04C0" w:rsidRPr="00C5395B" w:rsidRDefault="00DD04C0" w:rsidP="00DD04C0">
            <w:pPr>
              <w:pStyle w:val="TableText"/>
              <w:ind w:left="49"/>
              <w:rPr>
                <w:lang w:eastAsia="en-AU"/>
              </w:rPr>
            </w:pPr>
            <w:r w:rsidRPr="00C5395B">
              <w:rPr>
                <w:lang w:eastAsia="en-AU"/>
              </w:rPr>
              <w:t>Aurukun</w:t>
            </w:r>
          </w:p>
        </w:tc>
        <w:tc>
          <w:tcPr>
            <w:tcW w:w="960" w:type="dxa"/>
            <w:tcBorders>
              <w:top w:val="nil"/>
              <w:left w:val="nil"/>
              <w:bottom w:val="single" w:sz="4" w:space="0" w:color="auto"/>
              <w:right w:val="single" w:sz="4" w:space="0" w:color="auto"/>
            </w:tcBorders>
          </w:tcPr>
          <w:p w14:paraId="18DEAD66" w14:textId="20C63640" w:rsidR="00DD04C0" w:rsidRDefault="00DD04C0" w:rsidP="00DD04C0">
            <w:pPr>
              <w:jc w:val="right"/>
              <w:rPr>
                <w:rFonts w:cs="Arial"/>
              </w:rPr>
            </w:pPr>
            <w:r w:rsidRPr="009205F7">
              <w:rPr>
                <w:rFonts w:cs="Arial"/>
              </w:rPr>
              <w:t>15</w:t>
            </w:r>
          </w:p>
        </w:tc>
        <w:tc>
          <w:tcPr>
            <w:tcW w:w="960" w:type="dxa"/>
            <w:tcBorders>
              <w:top w:val="nil"/>
              <w:left w:val="nil"/>
              <w:bottom w:val="single" w:sz="4" w:space="0" w:color="auto"/>
              <w:right w:val="single" w:sz="4" w:space="0" w:color="auto"/>
            </w:tcBorders>
          </w:tcPr>
          <w:p w14:paraId="31AEEEAC" w14:textId="1D8AEFEF" w:rsidR="00DD04C0" w:rsidRDefault="00DD04C0" w:rsidP="00DD04C0">
            <w:pPr>
              <w:jc w:val="right"/>
              <w:rPr>
                <w:rFonts w:cs="Arial"/>
              </w:rPr>
            </w:pPr>
            <w:r w:rsidRPr="00550A24">
              <w:rPr>
                <w:rFonts w:cs="Arial"/>
              </w:rPr>
              <w:t>6</w:t>
            </w:r>
          </w:p>
        </w:tc>
        <w:tc>
          <w:tcPr>
            <w:tcW w:w="960" w:type="dxa"/>
            <w:tcBorders>
              <w:top w:val="nil"/>
              <w:left w:val="nil"/>
              <w:bottom w:val="single" w:sz="4" w:space="0" w:color="auto"/>
              <w:right w:val="single" w:sz="4" w:space="0" w:color="auto"/>
            </w:tcBorders>
          </w:tcPr>
          <w:p w14:paraId="1F06F8B1" w14:textId="46546593" w:rsidR="00DD04C0" w:rsidRDefault="00DD04C0" w:rsidP="00DD04C0">
            <w:pPr>
              <w:jc w:val="right"/>
              <w:rPr>
                <w:rFonts w:cs="Arial"/>
              </w:rPr>
            </w:pPr>
            <w:r w:rsidRPr="00DE1099">
              <w:rPr>
                <w:rFonts w:cs="Arial"/>
              </w:rPr>
              <w:t>3</w:t>
            </w:r>
          </w:p>
        </w:tc>
        <w:tc>
          <w:tcPr>
            <w:tcW w:w="960" w:type="dxa"/>
            <w:tcBorders>
              <w:top w:val="nil"/>
              <w:left w:val="nil"/>
              <w:bottom w:val="single" w:sz="4" w:space="0" w:color="auto"/>
              <w:right w:val="single" w:sz="4" w:space="0" w:color="auto"/>
            </w:tcBorders>
          </w:tcPr>
          <w:p w14:paraId="697F62F8" w14:textId="04E8329D" w:rsidR="00DD04C0" w:rsidRPr="00550A24" w:rsidRDefault="00DD04C0" w:rsidP="00DD04C0">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5704C349" w14:textId="64AB8017" w:rsidR="00DD04C0" w:rsidRPr="00DD04C0" w:rsidRDefault="00DD04C0" w:rsidP="00DD04C0">
            <w:pPr>
              <w:jc w:val="right"/>
              <w:rPr>
                <w:rFonts w:cs="Arial"/>
              </w:rPr>
            </w:pPr>
            <w:r w:rsidRPr="00DD04C0">
              <w:rPr>
                <w:rFonts w:cs="Arial"/>
              </w:rPr>
              <w:t>7</w:t>
            </w:r>
          </w:p>
        </w:tc>
      </w:tr>
      <w:tr w:rsidR="00DD04C0" w:rsidRPr="00C5395B" w14:paraId="3A0EA679"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4D7AC316" w14:textId="77777777" w:rsidR="00DD04C0" w:rsidRPr="00C5395B" w:rsidRDefault="00DD04C0" w:rsidP="00DD04C0">
            <w:pPr>
              <w:pStyle w:val="TableText"/>
              <w:ind w:left="49"/>
              <w:rPr>
                <w:lang w:eastAsia="en-AU"/>
              </w:rPr>
            </w:pPr>
            <w:r w:rsidRPr="00C5395B">
              <w:rPr>
                <w:lang w:eastAsia="en-AU"/>
              </w:rPr>
              <w:t>Coen</w:t>
            </w:r>
          </w:p>
        </w:tc>
        <w:tc>
          <w:tcPr>
            <w:tcW w:w="960" w:type="dxa"/>
            <w:tcBorders>
              <w:top w:val="nil"/>
              <w:left w:val="nil"/>
              <w:bottom w:val="single" w:sz="4" w:space="0" w:color="auto"/>
              <w:right w:val="single" w:sz="4" w:space="0" w:color="auto"/>
            </w:tcBorders>
          </w:tcPr>
          <w:p w14:paraId="799B0179" w14:textId="6ED97358" w:rsidR="00DD04C0" w:rsidRDefault="00DD04C0" w:rsidP="00DD04C0">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4A948108" w14:textId="3328C976" w:rsidR="00DD04C0" w:rsidRDefault="00DD04C0" w:rsidP="00DD04C0">
            <w:pPr>
              <w:jc w:val="right"/>
              <w:rPr>
                <w:rFonts w:cs="Arial"/>
              </w:rPr>
            </w:pPr>
            <w:r w:rsidRPr="00550A24">
              <w:rPr>
                <w:rFonts w:cs="Arial"/>
              </w:rPr>
              <w:t>0</w:t>
            </w:r>
          </w:p>
        </w:tc>
        <w:tc>
          <w:tcPr>
            <w:tcW w:w="960" w:type="dxa"/>
            <w:tcBorders>
              <w:top w:val="nil"/>
              <w:left w:val="nil"/>
              <w:bottom w:val="single" w:sz="4" w:space="0" w:color="auto"/>
              <w:right w:val="single" w:sz="4" w:space="0" w:color="auto"/>
            </w:tcBorders>
          </w:tcPr>
          <w:p w14:paraId="3E26F655" w14:textId="39FFDFC4" w:rsidR="00DD04C0" w:rsidRDefault="00DD04C0" w:rsidP="00DD04C0">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77C50054" w14:textId="0EBDB6AF" w:rsidR="00DD04C0" w:rsidRPr="00550A24" w:rsidRDefault="00DD04C0" w:rsidP="00DD04C0">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vAlign w:val="bottom"/>
          </w:tcPr>
          <w:p w14:paraId="5BAA9478" w14:textId="0685E846" w:rsidR="00DD04C0" w:rsidRPr="00DD04C0" w:rsidRDefault="00DD04C0" w:rsidP="00DD04C0">
            <w:pPr>
              <w:jc w:val="right"/>
              <w:rPr>
                <w:rFonts w:cs="Arial"/>
              </w:rPr>
            </w:pPr>
            <w:r w:rsidRPr="00DD04C0">
              <w:rPr>
                <w:rFonts w:cs="Arial"/>
              </w:rPr>
              <w:t>1</w:t>
            </w:r>
          </w:p>
        </w:tc>
      </w:tr>
      <w:tr w:rsidR="00DD04C0" w:rsidRPr="00C5395B" w14:paraId="21A38D22" w14:textId="77777777" w:rsidTr="003453AD">
        <w:trPr>
          <w:trHeight w:val="255"/>
        </w:trPr>
        <w:tc>
          <w:tcPr>
            <w:tcW w:w="2040" w:type="dxa"/>
            <w:tcBorders>
              <w:top w:val="nil"/>
              <w:left w:val="single" w:sz="4" w:space="0" w:color="auto"/>
              <w:bottom w:val="single" w:sz="4" w:space="0" w:color="auto"/>
              <w:right w:val="single" w:sz="4" w:space="0" w:color="auto"/>
            </w:tcBorders>
            <w:noWrap/>
          </w:tcPr>
          <w:p w14:paraId="5F15327E" w14:textId="77777777" w:rsidR="00DD04C0" w:rsidRPr="00C5395B" w:rsidRDefault="00DD04C0" w:rsidP="00DD04C0">
            <w:pPr>
              <w:pStyle w:val="TableText"/>
              <w:ind w:left="49"/>
              <w:rPr>
                <w:lang w:eastAsia="en-AU"/>
              </w:rPr>
            </w:pPr>
            <w:r>
              <w:rPr>
                <w:lang w:eastAsia="en-AU"/>
              </w:rPr>
              <w:t>Doomadgee</w:t>
            </w:r>
          </w:p>
        </w:tc>
        <w:tc>
          <w:tcPr>
            <w:tcW w:w="960" w:type="dxa"/>
            <w:tcBorders>
              <w:top w:val="nil"/>
              <w:left w:val="nil"/>
              <w:bottom w:val="single" w:sz="4" w:space="0" w:color="auto"/>
              <w:right w:val="single" w:sz="4" w:space="0" w:color="auto"/>
            </w:tcBorders>
          </w:tcPr>
          <w:p w14:paraId="4B3EF100" w14:textId="2A6DF203" w:rsidR="00DD04C0" w:rsidRDefault="00DD04C0" w:rsidP="00DD04C0">
            <w:pPr>
              <w:jc w:val="right"/>
              <w:rPr>
                <w:rFonts w:cs="Arial"/>
              </w:rPr>
            </w:pPr>
            <w:r w:rsidRPr="009205F7">
              <w:rPr>
                <w:rFonts w:cs="Arial"/>
              </w:rPr>
              <w:t>1</w:t>
            </w:r>
          </w:p>
        </w:tc>
        <w:tc>
          <w:tcPr>
            <w:tcW w:w="960" w:type="dxa"/>
            <w:tcBorders>
              <w:top w:val="nil"/>
              <w:left w:val="nil"/>
              <w:bottom w:val="single" w:sz="4" w:space="0" w:color="auto"/>
              <w:right w:val="single" w:sz="4" w:space="0" w:color="auto"/>
            </w:tcBorders>
          </w:tcPr>
          <w:p w14:paraId="48B0760D" w14:textId="6D4533F0" w:rsidR="00DD04C0" w:rsidRDefault="00DD04C0" w:rsidP="00DD04C0">
            <w:pPr>
              <w:jc w:val="right"/>
              <w:rPr>
                <w:rFonts w:cs="Arial"/>
              </w:rPr>
            </w:pPr>
            <w:r w:rsidRPr="00550A24">
              <w:rPr>
                <w:rFonts w:cs="Arial"/>
              </w:rPr>
              <w:t>1</w:t>
            </w:r>
          </w:p>
        </w:tc>
        <w:tc>
          <w:tcPr>
            <w:tcW w:w="960" w:type="dxa"/>
            <w:tcBorders>
              <w:top w:val="nil"/>
              <w:left w:val="nil"/>
              <w:bottom w:val="single" w:sz="4" w:space="0" w:color="auto"/>
              <w:right w:val="single" w:sz="4" w:space="0" w:color="auto"/>
            </w:tcBorders>
          </w:tcPr>
          <w:p w14:paraId="34AD9D86" w14:textId="2F9433C3" w:rsidR="00DD04C0" w:rsidRDefault="00DD04C0" w:rsidP="00DD04C0">
            <w:pPr>
              <w:jc w:val="right"/>
              <w:rPr>
                <w:rFonts w:cs="Arial"/>
              </w:rPr>
            </w:pPr>
            <w:r w:rsidRPr="00DE1099">
              <w:rPr>
                <w:rFonts w:cs="Arial"/>
              </w:rPr>
              <w:t>0</w:t>
            </w:r>
          </w:p>
        </w:tc>
        <w:tc>
          <w:tcPr>
            <w:tcW w:w="960" w:type="dxa"/>
            <w:tcBorders>
              <w:top w:val="nil"/>
              <w:left w:val="nil"/>
              <w:bottom w:val="single" w:sz="4" w:space="0" w:color="auto"/>
              <w:right w:val="single" w:sz="4" w:space="0" w:color="auto"/>
            </w:tcBorders>
          </w:tcPr>
          <w:p w14:paraId="0380FE7E" w14:textId="0A4997F2" w:rsidR="00DD04C0" w:rsidRPr="00550A24" w:rsidRDefault="00DD04C0" w:rsidP="00DD04C0">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06AFCEF7" w14:textId="79B97056" w:rsidR="00DD04C0" w:rsidRPr="00DD04C0" w:rsidRDefault="00DD04C0" w:rsidP="00DD04C0">
            <w:pPr>
              <w:jc w:val="right"/>
              <w:rPr>
                <w:rFonts w:cs="Arial"/>
              </w:rPr>
            </w:pPr>
            <w:r w:rsidRPr="00DD04C0">
              <w:rPr>
                <w:rFonts w:cs="Arial"/>
              </w:rPr>
              <w:t>3</w:t>
            </w:r>
          </w:p>
        </w:tc>
      </w:tr>
      <w:tr w:rsidR="00DD04C0" w:rsidRPr="00C5395B" w14:paraId="64AAC108"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1A6A1C0F" w14:textId="77777777" w:rsidR="00DD04C0" w:rsidRPr="00C5395B" w:rsidRDefault="00DD04C0" w:rsidP="00DD04C0">
            <w:pPr>
              <w:pStyle w:val="TableText"/>
              <w:ind w:left="49"/>
              <w:rPr>
                <w:lang w:eastAsia="en-AU"/>
              </w:rPr>
            </w:pPr>
            <w:r w:rsidRPr="00C5395B">
              <w:rPr>
                <w:lang w:eastAsia="en-AU"/>
              </w:rPr>
              <w:t>Hope Vale</w:t>
            </w:r>
          </w:p>
        </w:tc>
        <w:tc>
          <w:tcPr>
            <w:tcW w:w="960" w:type="dxa"/>
            <w:tcBorders>
              <w:top w:val="nil"/>
              <w:left w:val="nil"/>
              <w:bottom w:val="single" w:sz="4" w:space="0" w:color="auto"/>
              <w:right w:val="single" w:sz="4" w:space="0" w:color="auto"/>
            </w:tcBorders>
          </w:tcPr>
          <w:p w14:paraId="73C32298" w14:textId="53FCDF0A" w:rsidR="00DD04C0" w:rsidRDefault="00DD04C0" w:rsidP="00DD04C0">
            <w:pPr>
              <w:jc w:val="right"/>
              <w:rPr>
                <w:rFonts w:cs="Arial"/>
              </w:rPr>
            </w:pPr>
            <w:r w:rsidRPr="009205F7">
              <w:rPr>
                <w:rFonts w:cs="Arial"/>
              </w:rPr>
              <w:t>2</w:t>
            </w:r>
          </w:p>
        </w:tc>
        <w:tc>
          <w:tcPr>
            <w:tcW w:w="960" w:type="dxa"/>
            <w:tcBorders>
              <w:top w:val="nil"/>
              <w:left w:val="nil"/>
              <w:bottom w:val="single" w:sz="4" w:space="0" w:color="auto"/>
              <w:right w:val="single" w:sz="4" w:space="0" w:color="auto"/>
            </w:tcBorders>
          </w:tcPr>
          <w:p w14:paraId="2013156F" w14:textId="1531EEB1" w:rsidR="00DD04C0" w:rsidRDefault="00DD04C0" w:rsidP="00DD04C0">
            <w:pPr>
              <w:jc w:val="right"/>
              <w:rPr>
                <w:rFonts w:cs="Arial"/>
              </w:rPr>
            </w:pPr>
            <w:r w:rsidRPr="00550A24">
              <w:rPr>
                <w:rFonts w:cs="Arial"/>
              </w:rPr>
              <w:t>3</w:t>
            </w:r>
          </w:p>
        </w:tc>
        <w:tc>
          <w:tcPr>
            <w:tcW w:w="960" w:type="dxa"/>
            <w:tcBorders>
              <w:top w:val="nil"/>
              <w:left w:val="nil"/>
              <w:bottom w:val="single" w:sz="4" w:space="0" w:color="auto"/>
              <w:right w:val="single" w:sz="4" w:space="0" w:color="auto"/>
            </w:tcBorders>
          </w:tcPr>
          <w:p w14:paraId="172A12AD" w14:textId="5D4E9C86" w:rsidR="00DD04C0" w:rsidRDefault="00DD04C0" w:rsidP="00DD04C0">
            <w:pPr>
              <w:jc w:val="right"/>
              <w:rPr>
                <w:rFonts w:cs="Arial"/>
              </w:rPr>
            </w:pPr>
            <w:r w:rsidRPr="00DE1099">
              <w:rPr>
                <w:rFonts w:cs="Arial"/>
              </w:rPr>
              <w:t>4</w:t>
            </w:r>
          </w:p>
        </w:tc>
        <w:tc>
          <w:tcPr>
            <w:tcW w:w="960" w:type="dxa"/>
            <w:tcBorders>
              <w:top w:val="nil"/>
              <w:left w:val="nil"/>
              <w:bottom w:val="single" w:sz="4" w:space="0" w:color="auto"/>
              <w:right w:val="single" w:sz="4" w:space="0" w:color="auto"/>
            </w:tcBorders>
          </w:tcPr>
          <w:p w14:paraId="441B3809" w14:textId="0CCDA9C5" w:rsidR="00DD04C0" w:rsidRPr="00550A24" w:rsidRDefault="00DD04C0" w:rsidP="00DD04C0">
            <w:pPr>
              <w:jc w:val="right"/>
              <w:rPr>
                <w:rFonts w:cs="Arial"/>
              </w:rPr>
            </w:pPr>
            <w:r>
              <w:rPr>
                <w:rFonts w:cs="Arial"/>
              </w:rPr>
              <w:t>2</w:t>
            </w:r>
          </w:p>
        </w:tc>
        <w:tc>
          <w:tcPr>
            <w:tcW w:w="960" w:type="dxa"/>
            <w:tcBorders>
              <w:top w:val="nil"/>
              <w:left w:val="nil"/>
              <w:bottom w:val="single" w:sz="4" w:space="0" w:color="auto"/>
              <w:right w:val="single" w:sz="4" w:space="0" w:color="auto"/>
            </w:tcBorders>
            <w:vAlign w:val="bottom"/>
          </w:tcPr>
          <w:p w14:paraId="63418C28" w14:textId="51FC96B7" w:rsidR="00DD04C0" w:rsidRPr="00DD04C0" w:rsidRDefault="00DD04C0" w:rsidP="00DD04C0">
            <w:pPr>
              <w:jc w:val="right"/>
              <w:rPr>
                <w:rFonts w:cs="Arial"/>
              </w:rPr>
            </w:pPr>
            <w:r w:rsidRPr="00DD04C0">
              <w:rPr>
                <w:rFonts w:cs="Arial"/>
              </w:rPr>
              <w:t>1</w:t>
            </w:r>
          </w:p>
        </w:tc>
      </w:tr>
      <w:tr w:rsidR="00DD04C0" w:rsidRPr="00C5395B" w14:paraId="3D738948"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05BC3C55" w14:textId="77777777" w:rsidR="00DD04C0" w:rsidRPr="00C5395B" w:rsidRDefault="00DD04C0" w:rsidP="00DD04C0">
            <w:pPr>
              <w:pStyle w:val="TableText"/>
              <w:ind w:left="49"/>
              <w:rPr>
                <w:lang w:eastAsia="en-AU"/>
              </w:rPr>
            </w:pPr>
            <w:r w:rsidRPr="00C5395B">
              <w:rPr>
                <w:lang w:eastAsia="en-AU"/>
              </w:rPr>
              <w:t>Mossman Gorge</w:t>
            </w:r>
          </w:p>
        </w:tc>
        <w:tc>
          <w:tcPr>
            <w:tcW w:w="960" w:type="dxa"/>
            <w:tcBorders>
              <w:top w:val="nil"/>
              <w:left w:val="nil"/>
              <w:bottom w:val="single" w:sz="4" w:space="0" w:color="auto"/>
              <w:right w:val="single" w:sz="4" w:space="0" w:color="auto"/>
            </w:tcBorders>
          </w:tcPr>
          <w:p w14:paraId="216335FD" w14:textId="3B6F9742" w:rsidR="00DD04C0" w:rsidRDefault="00DD04C0" w:rsidP="00DD04C0">
            <w:pPr>
              <w:jc w:val="right"/>
              <w:rPr>
                <w:rFonts w:cs="Arial"/>
              </w:rPr>
            </w:pPr>
            <w:r w:rsidRPr="009205F7">
              <w:rPr>
                <w:rFonts w:cs="Arial"/>
              </w:rPr>
              <w:t>0</w:t>
            </w:r>
          </w:p>
        </w:tc>
        <w:tc>
          <w:tcPr>
            <w:tcW w:w="960" w:type="dxa"/>
            <w:tcBorders>
              <w:top w:val="nil"/>
              <w:left w:val="nil"/>
              <w:bottom w:val="single" w:sz="4" w:space="0" w:color="auto"/>
              <w:right w:val="single" w:sz="4" w:space="0" w:color="auto"/>
            </w:tcBorders>
          </w:tcPr>
          <w:p w14:paraId="761AEBB8" w14:textId="0910F60A" w:rsidR="00DD04C0" w:rsidRDefault="00DD04C0" w:rsidP="00DD04C0">
            <w:pPr>
              <w:jc w:val="right"/>
              <w:rPr>
                <w:rFonts w:cs="Arial"/>
              </w:rPr>
            </w:pPr>
            <w:r w:rsidRPr="00550A24">
              <w:rPr>
                <w:rFonts w:cs="Arial"/>
              </w:rPr>
              <w:t>2</w:t>
            </w:r>
          </w:p>
        </w:tc>
        <w:tc>
          <w:tcPr>
            <w:tcW w:w="960" w:type="dxa"/>
            <w:tcBorders>
              <w:top w:val="nil"/>
              <w:left w:val="nil"/>
              <w:bottom w:val="single" w:sz="4" w:space="0" w:color="auto"/>
              <w:right w:val="single" w:sz="4" w:space="0" w:color="auto"/>
            </w:tcBorders>
          </w:tcPr>
          <w:p w14:paraId="01D1F69F" w14:textId="3AD9F867" w:rsidR="00DD04C0" w:rsidRDefault="00DD04C0" w:rsidP="00DD04C0">
            <w:pPr>
              <w:jc w:val="right"/>
              <w:rPr>
                <w:rFonts w:cs="Arial"/>
              </w:rPr>
            </w:pPr>
            <w:r w:rsidRPr="00DE1099">
              <w:rPr>
                <w:rFonts w:cs="Arial"/>
              </w:rPr>
              <w:t>1</w:t>
            </w:r>
          </w:p>
        </w:tc>
        <w:tc>
          <w:tcPr>
            <w:tcW w:w="960" w:type="dxa"/>
            <w:tcBorders>
              <w:top w:val="nil"/>
              <w:left w:val="nil"/>
              <w:bottom w:val="single" w:sz="4" w:space="0" w:color="auto"/>
              <w:right w:val="single" w:sz="4" w:space="0" w:color="auto"/>
            </w:tcBorders>
          </w:tcPr>
          <w:p w14:paraId="6EEEE024" w14:textId="4EA02778" w:rsidR="00DD04C0" w:rsidRPr="00550A24" w:rsidRDefault="00DD04C0" w:rsidP="00DD04C0">
            <w:pPr>
              <w:jc w:val="right"/>
              <w:rPr>
                <w:rFonts w:cs="Arial"/>
              </w:rPr>
            </w:pPr>
            <w:r>
              <w:rPr>
                <w:rFonts w:cs="Arial"/>
              </w:rPr>
              <w:t>0</w:t>
            </w:r>
          </w:p>
        </w:tc>
        <w:tc>
          <w:tcPr>
            <w:tcW w:w="960" w:type="dxa"/>
            <w:tcBorders>
              <w:top w:val="nil"/>
              <w:left w:val="nil"/>
              <w:bottom w:val="single" w:sz="4" w:space="0" w:color="auto"/>
              <w:right w:val="single" w:sz="4" w:space="0" w:color="auto"/>
            </w:tcBorders>
            <w:vAlign w:val="bottom"/>
          </w:tcPr>
          <w:p w14:paraId="5D19AFA1" w14:textId="3708F125" w:rsidR="00DD04C0" w:rsidRPr="00DD04C0" w:rsidRDefault="00DD04C0" w:rsidP="00DD04C0">
            <w:pPr>
              <w:jc w:val="right"/>
              <w:rPr>
                <w:rFonts w:cs="Arial"/>
              </w:rPr>
            </w:pPr>
            <w:r w:rsidRPr="00DD04C0">
              <w:rPr>
                <w:rFonts w:cs="Arial"/>
              </w:rPr>
              <w:t>0</w:t>
            </w:r>
          </w:p>
        </w:tc>
      </w:tr>
      <w:tr w:rsidR="00DD04C0" w:rsidRPr="00C5395B" w14:paraId="55B93773" w14:textId="77777777" w:rsidTr="003453AD">
        <w:trPr>
          <w:trHeight w:val="255"/>
        </w:trPr>
        <w:tc>
          <w:tcPr>
            <w:tcW w:w="2040" w:type="dxa"/>
            <w:tcBorders>
              <w:top w:val="nil"/>
              <w:left w:val="single" w:sz="4" w:space="0" w:color="auto"/>
              <w:bottom w:val="single" w:sz="4" w:space="0" w:color="auto"/>
              <w:right w:val="single" w:sz="4" w:space="0" w:color="auto"/>
            </w:tcBorders>
            <w:noWrap/>
            <w:hideMark/>
          </w:tcPr>
          <w:p w14:paraId="1466682D" w14:textId="77777777" w:rsidR="00DD04C0" w:rsidRPr="00C5395B" w:rsidRDefault="00DD04C0" w:rsidP="00DD04C0">
            <w:pPr>
              <w:pStyle w:val="TableText"/>
              <w:ind w:left="49"/>
              <w:rPr>
                <w:b/>
                <w:lang w:eastAsia="en-AU"/>
              </w:rPr>
            </w:pPr>
            <w:r w:rsidRPr="00C5395B">
              <w:rPr>
                <w:b/>
                <w:lang w:eastAsia="en-AU"/>
              </w:rPr>
              <w:t>TOTAL</w:t>
            </w:r>
          </w:p>
        </w:tc>
        <w:tc>
          <w:tcPr>
            <w:tcW w:w="960" w:type="dxa"/>
            <w:tcBorders>
              <w:top w:val="nil"/>
              <w:left w:val="nil"/>
              <w:bottom w:val="single" w:sz="4" w:space="0" w:color="auto"/>
              <w:right w:val="single" w:sz="4" w:space="0" w:color="auto"/>
            </w:tcBorders>
          </w:tcPr>
          <w:p w14:paraId="37B731BB" w14:textId="1C19413F" w:rsidR="00DD04C0" w:rsidRDefault="00DD04C0" w:rsidP="00DD04C0">
            <w:pPr>
              <w:jc w:val="right"/>
              <w:rPr>
                <w:rFonts w:cs="Arial"/>
                <w:b/>
                <w:bCs/>
              </w:rPr>
            </w:pPr>
            <w:r w:rsidRPr="009205F7">
              <w:rPr>
                <w:rFonts w:cs="Arial"/>
                <w:b/>
                <w:bCs/>
              </w:rPr>
              <w:t>18</w:t>
            </w:r>
          </w:p>
        </w:tc>
        <w:tc>
          <w:tcPr>
            <w:tcW w:w="960" w:type="dxa"/>
            <w:tcBorders>
              <w:top w:val="nil"/>
              <w:left w:val="nil"/>
              <w:bottom w:val="single" w:sz="4" w:space="0" w:color="auto"/>
              <w:right w:val="single" w:sz="4" w:space="0" w:color="auto"/>
            </w:tcBorders>
          </w:tcPr>
          <w:p w14:paraId="09FBB34C" w14:textId="71B0430A" w:rsidR="00DD04C0" w:rsidRDefault="00DD04C0" w:rsidP="00DD04C0">
            <w:pPr>
              <w:jc w:val="right"/>
              <w:rPr>
                <w:rFonts w:cs="Arial"/>
                <w:b/>
                <w:bCs/>
              </w:rPr>
            </w:pPr>
            <w:r w:rsidRPr="00550A24">
              <w:rPr>
                <w:rFonts w:cs="Arial"/>
                <w:b/>
                <w:bCs/>
              </w:rPr>
              <w:t>12</w:t>
            </w:r>
          </w:p>
        </w:tc>
        <w:tc>
          <w:tcPr>
            <w:tcW w:w="960" w:type="dxa"/>
            <w:tcBorders>
              <w:top w:val="nil"/>
              <w:left w:val="nil"/>
              <w:bottom w:val="single" w:sz="4" w:space="0" w:color="auto"/>
              <w:right w:val="single" w:sz="4" w:space="0" w:color="auto"/>
            </w:tcBorders>
          </w:tcPr>
          <w:p w14:paraId="181A0E5A" w14:textId="73A3157A" w:rsidR="00DD04C0" w:rsidRDefault="00DD04C0" w:rsidP="00DD04C0">
            <w:pPr>
              <w:jc w:val="right"/>
              <w:rPr>
                <w:rFonts w:cs="Arial"/>
                <w:b/>
                <w:bCs/>
              </w:rPr>
            </w:pPr>
            <w:r w:rsidRPr="00DE1099">
              <w:rPr>
                <w:rFonts w:cs="Arial"/>
                <w:b/>
                <w:bCs/>
              </w:rPr>
              <w:t>8</w:t>
            </w:r>
          </w:p>
        </w:tc>
        <w:tc>
          <w:tcPr>
            <w:tcW w:w="960" w:type="dxa"/>
            <w:tcBorders>
              <w:top w:val="nil"/>
              <w:left w:val="nil"/>
              <w:bottom w:val="single" w:sz="4" w:space="0" w:color="auto"/>
              <w:right w:val="single" w:sz="4" w:space="0" w:color="auto"/>
            </w:tcBorders>
          </w:tcPr>
          <w:p w14:paraId="3AA55ED3" w14:textId="73031628" w:rsidR="00DD04C0" w:rsidRPr="00550A24" w:rsidRDefault="00DD04C0" w:rsidP="00DD04C0">
            <w:pPr>
              <w:jc w:val="right"/>
              <w:rPr>
                <w:rFonts w:cs="Arial"/>
                <w:b/>
                <w:bCs/>
              </w:rPr>
            </w:pPr>
            <w:r>
              <w:rPr>
                <w:rFonts w:cs="Arial"/>
                <w:b/>
                <w:bCs/>
              </w:rPr>
              <w:t>6</w:t>
            </w:r>
          </w:p>
        </w:tc>
        <w:tc>
          <w:tcPr>
            <w:tcW w:w="960" w:type="dxa"/>
            <w:tcBorders>
              <w:top w:val="nil"/>
              <w:left w:val="nil"/>
              <w:bottom w:val="single" w:sz="4" w:space="0" w:color="auto"/>
              <w:right w:val="single" w:sz="4" w:space="0" w:color="auto"/>
            </w:tcBorders>
            <w:vAlign w:val="bottom"/>
          </w:tcPr>
          <w:p w14:paraId="75338D1B" w14:textId="472D0E91" w:rsidR="00DD04C0" w:rsidRPr="00DD04C0" w:rsidRDefault="00DD04C0" w:rsidP="00DD04C0">
            <w:pPr>
              <w:jc w:val="right"/>
              <w:rPr>
                <w:rFonts w:cs="Arial"/>
                <w:b/>
                <w:bCs/>
              </w:rPr>
            </w:pPr>
            <w:r w:rsidRPr="00DD04C0">
              <w:rPr>
                <w:rFonts w:cs="Arial"/>
                <w:b/>
                <w:bCs/>
              </w:rPr>
              <w:t>12</w:t>
            </w:r>
          </w:p>
        </w:tc>
      </w:tr>
    </w:tbl>
    <w:p w14:paraId="4E45F4FF" w14:textId="77777777" w:rsidR="00DD04C0" w:rsidRDefault="00DD04C0" w:rsidP="005A5B78">
      <w:pPr>
        <w:ind w:left="-142" w:right="-425"/>
        <w:jc w:val="both"/>
        <w:rPr>
          <w:rFonts w:cs="Arial"/>
        </w:rPr>
      </w:pPr>
    </w:p>
    <w:p w14:paraId="0C44E9B8" w14:textId="14CB297D" w:rsidR="004E7166" w:rsidRPr="00076ED0" w:rsidRDefault="004E7166" w:rsidP="004E7166">
      <w:pPr>
        <w:pStyle w:val="Heading2"/>
      </w:pPr>
      <w:r w:rsidRPr="00076ED0">
        <w:t>Application</w:t>
      </w:r>
      <w:r>
        <w:t xml:space="preserve"> Hearings</w:t>
      </w:r>
    </w:p>
    <w:p w14:paraId="6087B5D0" w14:textId="77777777" w:rsidR="004E7166" w:rsidRDefault="004E7166" w:rsidP="005A5B78">
      <w:pPr>
        <w:ind w:left="-142" w:right="-425"/>
        <w:jc w:val="both"/>
        <w:rPr>
          <w:rFonts w:cs="Arial"/>
        </w:rPr>
      </w:pPr>
    </w:p>
    <w:p w14:paraId="1830CB65" w14:textId="5F3E9E78" w:rsidR="005A5B78" w:rsidRDefault="00FB0392" w:rsidP="005A5B78">
      <w:pPr>
        <w:ind w:left="-142" w:right="-425"/>
        <w:jc w:val="both"/>
        <w:rPr>
          <w:rFonts w:cs="Arial"/>
        </w:rPr>
      </w:pPr>
      <w:r>
        <w:rPr>
          <w:rFonts w:cs="Arial"/>
        </w:rPr>
        <w:t>To provide further clarity regard</w:t>
      </w:r>
      <w:r w:rsidR="000950F0">
        <w:rPr>
          <w:rFonts w:cs="Arial"/>
        </w:rPr>
        <w:t>ing</w:t>
      </w:r>
      <w:r>
        <w:rPr>
          <w:rFonts w:cs="Arial"/>
        </w:rPr>
        <w:t xml:space="preserve"> the types of decisions made by Commissioners, application hearing outcomes/decisions will </w:t>
      </w:r>
      <w:r w:rsidR="00B0071D">
        <w:rPr>
          <w:rFonts w:cs="Arial"/>
        </w:rPr>
        <w:t xml:space="preserve">now </w:t>
      </w:r>
      <w:r>
        <w:rPr>
          <w:rFonts w:cs="Arial"/>
        </w:rPr>
        <w:t>be reported separately</w:t>
      </w:r>
      <w:r w:rsidR="00B0071D">
        <w:rPr>
          <w:rFonts w:cs="Arial"/>
        </w:rPr>
        <w:t xml:space="preserve"> from conference outcomes</w:t>
      </w:r>
      <w:r>
        <w:rPr>
          <w:rFonts w:cs="Arial"/>
        </w:rPr>
        <w:t xml:space="preserve">. In past reports decisions delivered upon the hearing of </w:t>
      </w:r>
      <w:r w:rsidR="0067560F">
        <w:rPr>
          <w:rFonts w:cs="Arial"/>
        </w:rPr>
        <w:t>amend</w:t>
      </w:r>
      <w:r>
        <w:rPr>
          <w:rFonts w:cs="Arial"/>
        </w:rPr>
        <w:t>/</w:t>
      </w:r>
      <w:r w:rsidR="0067560F">
        <w:rPr>
          <w:rFonts w:cs="Arial"/>
        </w:rPr>
        <w:t xml:space="preserve">end applications were counted in the </w:t>
      </w:r>
      <w:r w:rsidR="003E70D2">
        <w:rPr>
          <w:rFonts w:cs="Arial"/>
        </w:rPr>
        <w:t xml:space="preserve">overall </w:t>
      </w:r>
      <w:r w:rsidR="0067560F">
        <w:rPr>
          <w:rFonts w:cs="Arial"/>
        </w:rPr>
        <w:t>conference count.</w:t>
      </w:r>
      <w:r w:rsidR="004E7166">
        <w:rPr>
          <w:rFonts w:cs="Arial"/>
        </w:rPr>
        <w:t xml:space="preserve"> </w:t>
      </w:r>
      <w:r w:rsidR="007B0EC3">
        <w:rPr>
          <w:rFonts w:cs="Arial"/>
        </w:rPr>
        <w:t xml:space="preserve">One application was withdrawn by the client prior to a hearing. </w:t>
      </w:r>
      <w:r w:rsidR="006528A9">
        <w:rPr>
          <w:rFonts w:cs="Arial"/>
        </w:rPr>
        <w:t xml:space="preserve">A total of 11 application hearings </w:t>
      </w:r>
      <w:r w:rsidR="00FB43DC">
        <w:rPr>
          <w:rFonts w:cs="Arial"/>
        </w:rPr>
        <w:t>(9 female</w:t>
      </w:r>
      <w:r w:rsidR="000950F0">
        <w:rPr>
          <w:rFonts w:cs="Arial"/>
        </w:rPr>
        <w:t>s</w:t>
      </w:r>
      <w:r w:rsidR="00FB43DC">
        <w:rPr>
          <w:rFonts w:cs="Arial"/>
        </w:rPr>
        <w:t xml:space="preserve"> and </w:t>
      </w:r>
      <w:r w:rsidR="0008247E">
        <w:rPr>
          <w:rFonts w:cs="Arial"/>
        </w:rPr>
        <w:t>1</w:t>
      </w:r>
      <w:r w:rsidR="00FB43DC">
        <w:rPr>
          <w:rFonts w:cs="Arial"/>
        </w:rPr>
        <w:t xml:space="preserve"> male) </w:t>
      </w:r>
      <w:r w:rsidR="006528A9">
        <w:rPr>
          <w:rFonts w:cs="Arial"/>
        </w:rPr>
        <w:t xml:space="preserve">were held </w:t>
      </w:r>
      <w:r w:rsidR="0077006E">
        <w:rPr>
          <w:rFonts w:cs="Arial"/>
        </w:rPr>
        <w:t xml:space="preserve">resulting in </w:t>
      </w:r>
      <w:r w:rsidR="00573FF1">
        <w:rPr>
          <w:rFonts w:cs="Arial"/>
        </w:rPr>
        <w:t xml:space="preserve">decisions to end </w:t>
      </w:r>
      <w:r w:rsidR="0077006E">
        <w:rPr>
          <w:rFonts w:cs="Arial"/>
        </w:rPr>
        <w:t>5 case plan</w:t>
      </w:r>
      <w:r w:rsidR="00DB25E7">
        <w:rPr>
          <w:rFonts w:cs="Arial"/>
        </w:rPr>
        <w:t>s</w:t>
      </w:r>
      <w:r w:rsidR="0077006E">
        <w:rPr>
          <w:rFonts w:cs="Arial"/>
        </w:rPr>
        <w:t xml:space="preserve">, </w:t>
      </w:r>
      <w:r w:rsidR="00573FF1">
        <w:rPr>
          <w:rFonts w:cs="Arial"/>
        </w:rPr>
        <w:t xml:space="preserve">amend </w:t>
      </w:r>
      <w:r w:rsidR="0077006E">
        <w:rPr>
          <w:rFonts w:cs="Arial"/>
        </w:rPr>
        <w:t>3 CIM</w:t>
      </w:r>
      <w:r w:rsidR="00573FF1">
        <w:rPr>
          <w:rFonts w:cs="Arial"/>
        </w:rPr>
        <w:t>s</w:t>
      </w:r>
      <w:r w:rsidR="007B0EC3">
        <w:rPr>
          <w:rFonts w:cs="Arial"/>
        </w:rPr>
        <w:t xml:space="preserve"> and</w:t>
      </w:r>
      <w:r w:rsidR="00170A1E">
        <w:rPr>
          <w:rFonts w:cs="Arial"/>
        </w:rPr>
        <w:t xml:space="preserve"> </w:t>
      </w:r>
      <w:r w:rsidR="00573FF1">
        <w:rPr>
          <w:rFonts w:cs="Arial"/>
        </w:rPr>
        <w:t xml:space="preserve">end </w:t>
      </w:r>
      <w:r w:rsidR="0077006E">
        <w:rPr>
          <w:rFonts w:cs="Arial"/>
        </w:rPr>
        <w:t>3 CIM</w:t>
      </w:r>
      <w:r w:rsidR="00573FF1">
        <w:rPr>
          <w:rFonts w:cs="Arial"/>
        </w:rPr>
        <w:t>s</w:t>
      </w:r>
      <w:r w:rsidR="0077006E">
        <w:rPr>
          <w:rFonts w:cs="Arial"/>
        </w:rPr>
        <w:t>. A more detailed description of the o</w:t>
      </w:r>
      <w:r w:rsidR="005A5B78" w:rsidRPr="009E1D38">
        <w:rPr>
          <w:rFonts w:cs="Arial"/>
        </w:rPr>
        <w:t xml:space="preserve">utcomes of the </w:t>
      </w:r>
      <w:r w:rsidR="00714AFB">
        <w:rPr>
          <w:rFonts w:cs="Arial"/>
        </w:rPr>
        <w:t>12</w:t>
      </w:r>
      <w:r w:rsidR="005573E6" w:rsidRPr="009E1D38">
        <w:rPr>
          <w:rFonts w:cs="Arial"/>
        </w:rPr>
        <w:t xml:space="preserve"> </w:t>
      </w:r>
      <w:r w:rsidR="005A5B78" w:rsidRPr="009E1D38">
        <w:rPr>
          <w:rFonts w:cs="Arial"/>
        </w:rPr>
        <w:t>applications received are as follows:</w:t>
      </w:r>
    </w:p>
    <w:p w14:paraId="0EE60703" w14:textId="2689F241" w:rsidR="005A5B78" w:rsidRPr="00AA7E19" w:rsidRDefault="00DD2006" w:rsidP="00BA0564">
      <w:pPr>
        <w:tabs>
          <w:tab w:val="decimal" w:pos="426"/>
          <w:tab w:val="decimal" w:pos="454"/>
          <w:tab w:val="decimal" w:pos="567"/>
        </w:tabs>
        <w:ind w:left="425" w:right="-425" w:hanging="567"/>
        <w:rPr>
          <w:rFonts w:cs="Arial"/>
        </w:rPr>
      </w:pPr>
      <w:r>
        <w:rPr>
          <w:rFonts w:cs="Arial"/>
        </w:rPr>
        <w:tab/>
      </w:r>
      <w:r w:rsidR="0054553C">
        <w:rPr>
          <w:rFonts w:cs="Arial"/>
        </w:rPr>
        <w:t>3</w:t>
      </w:r>
      <w:r w:rsidR="00AC17D8" w:rsidRPr="00AA7E19">
        <w:rPr>
          <w:rFonts w:cs="Arial"/>
        </w:rPr>
        <w:t xml:space="preserve"> </w:t>
      </w:r>
      <w:r w:rsidR="00374932" w:rsidRPr="00AA7E19">
        <w:rPr>
          <w:rFonts w:cs="Arial"/>
        </w:rPr>
        <w:t>A</w:t>
      </w:r>
      <w:r w:rsidR="005A5B78" w:rsidRPr="00AA7E19">
        <w:rPr>
          <w:rFonts w:cs="Arial"/>
        </w:rPr>
        <w:t xml:space="preserve">pplications </w:t>
      </w:r>
      <w:r w:rsidR="00B74951" w:rsidRPr="00AA7E19">
        <w:rPr>
          <w:rFonts w:cs="Arial"/>
        </w:rPr>
        <w:t xml:space="preserve">accepted </w:t>
      </w:r>
      <w:r w:rsidR="005A5B78" w:rsidRPr="00AA7E19">
        <w:rPr>
          <w:rFonts w:cs="Arial"/>
        </w:rPr>
        <w:t xml:space="preserve">and </w:t>
      </w:r>
      <w:r w:rsidR="0054553C">
        <w:rPr>
          <w:rFonts w:cs="Arial"/>
        </w:rPr>
        <w:t xml:space="preserve">conditional </w:t>
      </w:r>
      <w:r w:rsidR="00E76B39" w:rsidRPr="00AA7E19">
        <w:rPr>
          <w:rFonts w:cs="Arial"/>
        </w:rPr>
        <w:t>i</w:t>
      </w:r>
      <w:r w:rsidR="005A5B78" w:rsidRPr="00AA7E19">
        <w:rPr>
          <w:rFonts w:cs="Arial"/>
        </w:rPr>
        <w:t xml:space="preserve">ncome </w:t>
      </w:r>
      <w:r w:rsidR="00E76B39" w:rsidRPr="00AA7E19">
        <w:rPr>
          <w:rFonts w:cs="Arial"/>
        </w:rPr>
        <w:t>m</w:t>
      </w:r>
      <w:r w:rsidR="005A5B78" w:rsidRPr="00AA7E19">
        <w:rPr>
          <w:rFonts w:cs="Arial"/>
        </w:rPr>
        <w:t xml:space="preserve">anagement orders </w:t>
      </w:r>
      <w:r w:rsidR="00B74951" w:rsidRPr="00AA7E19">
        <w:rPr>
          <w:rFonts w:cs="Arial"/>
        </w:rPr>
        <w:t>ended</w:t>
      </w:r>
    </w:p>
    <w:p w14:paraId="69BC7680" w14:textId="1DEA0CC1" w:rsidR="00B74951" w:rsidRPr="00AA7E19" w:rsidRDefault="00B74951" w:rsidP="00BA0564">
      <w:pPr>
        <w:tabs>
          <w:tab w:val="decimal" w:pos="426"/>
          <w:tab w:val="decimal" w:pos="454"/>
          <w:tab w:val="decimal" w:pos="567"/>
        </w:tabs>
        <w:ind w:left="425" w:right="-425" w:hanging="567"/>
        <w:rPr>
          <w:rFonts w:cs="Arial"/>
        </w:rPr>
      </w:pPr>
      <w:r w:rsidRPr="00AA7E19">
        <w:rPr>
          <w:rFonts w:cs="Arial"/>
        </w:rPr>
        <w:tab/>
      </w:r>
      <w:r w:rsidR="00466309">
        <w:rPr>
          <w:rFonts w:cs="Arial"/>
        </w:rPr>
        <w:t>5</w:t>
      </w:r>
      <w:r w:rsidRPr="00AA7E19">
        <w:rPr>
          <w:rFonts w:cs="Arial"/>
        </w:rPr>
        <w:t xml:space="preserve"> Application accepted and case plan</w:t>
      </w:r>
      <w:r w:rsidR="00466309">
        <w:rPr>
          <w:rFonts w:cs="Arial"/>
        </w:rPr>
        <w:t>s</w:t>
      </w:r>
      <w:r w:rsidRPr="00AA7E19">
        <w:rPr>
          <w:rFonts w:cs="Arial"/>
        </w:rPr>
        <w:t xml:space="preserve"> ended</w:t>
      </w:r>
    </w:p>
    <w:p w14:paraId="7E1B07FA" w14:textId="5E9B23D3" w:rsidR="00B74951" w:rsidRDefault="00B74951" w:rsidP="00BA0564">
      <w:pPr>
        <w:tabs>
          <w:tab w:val="decimal" w:pos="426"/>
          <w:tab w:val="decimal" w:pos="454"/>
          <w:tab w:val="decimal" w:pos="567"/>
        </w:tabs>
        <w:ind w:left="425" w:right="-425" w:hanging="567"/>
        <w:rPr>
          <w:rFonts w:cs="Arial"/>
        </w:rPr>
      </w:pPr>
      <w:r w:rsidRPr="00AA7E19">
        <w:rPr>
          <w:rFonts w:cs="Arial"/>
        </w:rPr>
        <w:tab/>
        <w:t xml:space="preserve">1 Application accepted and </w:t>
      </w:r>
      <w:r w:rsidR="001725A3">
        <w:rPr>
          <w:rFonts w:cs="Arial"/>
        </w:rPr>
        <w:t>CIM</w:t>
      </w:r>
      <w:r w:rsidR="00AA7E19" w:rsidRPr="00AA7E19">
        <w:rPr>
          <w:rFonts w:cs="Arial"/>
        </w:rPr>
        <w:t xml:space="preserve"> order amended from </w:t>
      </w:r>
      <w:r w:rsidR="00466309">
        <w:rPr>
          <w:rFonts w:cs="Arial"/>
        </w:rPr>
        <w:t>90</w:t>
      </w:r>
      <w:r w:rsidR="00AA7E19" w:rsidRPr="00AA7E19">
        <w:rPr>
          <w:rFonts w:cs="Arial"/>
        </w:rPr>
        <w:t>% to 60% for the remaining period of the existing order</w:t>
      </w:r>
    </w:p>
    <w:p w14:paraId="624AC3B9" w14:textId="6EB05821" w:rsidR="00466309" w:rsidRPr="00AA7E19" w:rsidRDefault="00466309" w:rsidP="00BA0564">
      <w:pPr>
        <w:tabs>
          <w:tab w:val="decimal" w:pos="426"/>
          <w:tab w:val="decimal" w:pos="454"/>
          <w:tab w:val="decimal" w:pos="567"/>
        </w:tabs>
        <w:ind w:left="425" w:right="-425" w:hanging="567"/>
        <w:rPr>
          <w:rFonts w:cs="Arial"/>
        </w:rPr>
      </w:pPr>
      <w:r>
        <w:rPr>
          <w:rFonts w:cs="Arial"/>
        </w:rPr>
        <w:tab/>
      </w:r>
      <w:r w:rsidR="007B0EC3">
        <w:rPr>
          <w:rFonts w:cs="Arial"/>
        </w:rPr>
        <w:t>2</w:t>
      </w:r>
      <w:r w:rsidRPr="00AA7E19">
        <w:rPr>
          <w:rFonts w:cs="Arial"/>
        </w:rPr>
        <w:t xml:space="preserve"> Application accepted and </w:t>
      </w:r>
      <w:r>
        <w:rPr>
          <w:rFonts w:cs="Arial"/>
        </w:rPr>
        <w:t>CIM</w:t>
      </w:r>
      <w:r w:rsidRPr="00AA7E19">
        <w:rPr>
          <w:rFonts w:cs="Arial"/>
        </w:rPr>
        <w:t xml:space="preserve"> order amended from 75% to 60% for the remaining period of the existing order</w:t>
      </w:r>
    </w:p>
    <w:p w14:paraId="33CDE497" w14:textId="47D18E89" w:rsidR="00970EFB" w:rsidRPr="00AA7E19" w:rsidRDefault="00970EFB" w:rsidP="00BA0564">
      <w:pPr>
        <w:tabs>
          <w:tab w:val="decimal" w:pos="426"/>
          <w:tab w:val="decimal" w:pos="454"/>
          <w:tab w:val="decimal" w:pos="567"/>
        </w:tabs>
        <w:ind w:left="425" w:right="-425" w:hanging="567"/>
        <w:rPr>
          <w:rFonts w:cs="Arial"/>
        </w:rPr>
      </w:pPr>
      <w:r w:rsidRPr="00AA7E19">
        <w:rPr>
          <w:rFonts w:cs="Arial"/>
        </w:rPr>
        <w:tab/>
      </w:r>
      <w:r w:rsidR="0054553C">
        <w:rPr>
          <w:rFonts w:cs="Arial"/>
        </w:rPr>
        <w:t>1</w:t>
      </w:r>
      <w:r w:rsidR="0054553C" w:rsidRPr="00AA7E19">
        <w:rPr>
          <w:rFonts w:cs="Arial"/>
        </w:rPr>
        <w:t xml:space="preserve"> </w:t>
      </w:r>
      <w:r w:rsidRPr="00AA7E19">
        <w:rPr>
          <w:rFonts w:cs="Arial"/>
        </w:rPr>
        <w:t>Application</w:t>
      </w:r>
      <w:r w:rsidR="0054553C">
        <w:rPr>
          <w:rFonts w:cs="Arial"/>
        </w:rPr>
        <w:t xml:space="preserve"> withdrawn by client</w:t>
      </w:r>
      <w:r w:rsidR="004126E4">
        <w:rPr>
          <w:rFonts w:cs="Arial"/>
        </w:rPr>
        <w:t>.</w:t>
      </w:r>
    </w:p>
    <w:p w14:paraId="69D6C633" w14:textId="7006132B" w:rsidR="005A5B78" w:rsidRDefault="00353EB2" w:rsidP="005A5B78">
      <w:pPr>
        <w:ind w:left="-142" w:right="-425"/>
        <w:jc w:val="both"/>
      </w:pPr>
      <w:r>
        <w:t>Th</w:t>
      </w:r>
      <w:r w:rsidR="005A5B78" w:rsidRPr="00E34093">
        <w:t>e Commission continues to encourage clients to participa</w:t>
      </w:r>
      <w:r w:rsidR="0061573D">
        <w:t>te in the Amend or End process.</w:t>
      </w:r>
      <w:r w:rsidR="005A5B78" w:rsidRPr="00E34093">
        <w:t xml:space="preserve"> </w:t>
      </w:r>
      <w:proofErr w:type="gramStart"/>
      <w:r w:rsidR="005A5B78" w:rsidRPr="00E34093">
        <w:t>Commissioners</w:t>
      </w:r>
      <w:proofErr w:type="gramEnd"/>
      <w:r w:rsidR="005A5B78" w:rsidRPr="00E34093">
        <w:t xml:space="preserve"> report increasing client confidence to question decisions and the reasons behind decisions, both for decisions delivered by the Commission and decisions delivered by external agencies and bodies.</w:t>
      </w:r>
    </w:p>
    <w:p w14:paraId="509A101D" w14:textId="77777777" w:rsidR="00714AFB" w:rsidRPr="00E34093" w:rsidRDefault="00714AFB" w:rsidP="005A5B78">
      <w:pPr>
        <w:ind w:left="-142" w:right="-425"/>
        <w:jc w:val="both"/>
      </w:pPr>
    </w:p>
    <w:p w14:paraId="3254E18C" w14:textId="77777777" w:rsidR="00DD04C0" w:rsidRDefault="00DD04C0">
      <w:pPr>
        <w:spacing w:line="240" w:lineRule="auto"/>
        <w:rPr>
          <w:rFonts w:cs="Arial"/>
          <w:b/>
          <w:spacing w:val="-4"/>
          <w:kern w:val="28"/>
        </w:rPr>
      </w:pPr>
      <w:bookmarkStart w:id="14" w:name="_Toc222226583"/>
      <w:bookmarkStart w:id="15" w:name="_Toc304386232"/>
      <w:bookmarkStart w:id="16" w:name="_Toc304386309"/>
      <w:bookmarkStart w:id="17" w:name="_Toc306011182"/>
      <w:r>
        <w:br w:type="page"/>
      </w:r>
    </w:p>
    <w:p w14:paraId="0CA7602F" w14:textId="48C7C171" w:rsidR="0013112F" w:rsidRDefault="0013112F" w:rsidP="00DB0AEE">
      <w:pPr>
        <w:pStyle w:val="Heading2"/>
      </w:pPr>
      <w:r w:rsidRPr="008F5BAC">
        <w:lastRenderedPageBreak/>
        <w:t>FRC client population by gender and age</w:t>
      </w:r>
    </w:p>
    <w:p w14:paraId="3EDE8CBA" w14:textId="77777777" w:rsidR="00505B2B" w:rsidRPr="00505B2B" w:rsidRDefault="00505B2B" w:rsidP="00505B2B">
      <w:pPr>
        <w:spacing w:line="240" w:lineRule="auto"/>
        <w:ind w:left="-142"/>
        <w:jc w:val="both"/>
      </w:pPr>
    </w:p>
    <w:p w14:paraId="00004215" w14:textId="59FD7F25" w:rsidR="0013112F" w:rsidRDefault="0013112F" w:rsidP="0013112F">
      <w:pPr>
        <w:ind w:left="-142"/>
        <w:jc w:val="both"/>
      </w:pPr>
      <w:r w:rsidRPr="006C6A65">
        <w:rPr>
          <w:b/>
          <w:sz w:val="16"/>
          <w:szCs w:val="16"/>
        </w:rPr>
        <w:t xml:space="preserve">Table </w:t>
      </w:r>
      <w:r w:rsidR="003453AD">
        <w:rPr>
          <w:b/>
          <w:sz w:val="16"/>
          <w:szCs w:val="16"/>
        </w:rPr>
        <w:t>21</w:t>
      </w:r>
      <w:r w:rsidRPr="006C6A65">
        <w:rPr>
          <w:b/>
          <w:sz w:val="16"/>
          <w:szCs w:val="16"/>
        </w:rPr>
        <w:t>:</w:t>
      </w:r>
      <w:r w:rsidRPr="006C6A65">
        <w:rPr>
          <w:sz w:val="16"/>
          <w:szCs w:val="16"/>
        </w:rPr>
        <w:t xml:space="preserve"> </w:t>
      </w:r>
      <w:r>
        <w:rPr>
          <w:sz w:val="16"/>
          <w:szCs w:val="16"/>
        </w:rPr>
        <w:t xml:space="preserve">FRC client population by gender and age </w:t>
      </w:r>
      <w:r w:rsidR="00FC7F2E">
        <w:rPr>
          <w:sz w:val="16"/>
          <w:szCs w:val="16"/>
        </w:rPr>
        <w:t xml:space="preserve">1 </w:t>
      </w:r>
      <w:r w:rsidR="009A7C28">
        <w:rPr>
          <w:sz w:val="16"/>
          <w:szCs w:val="16"/>
        </w:rPr>
        <w:t>January 2021</w:t>
      </w:r>
      <w:r w:rsidR="00FC7F2E">
        <w:rPr>
          <w:sz w:val="16"/>
          <w:szCs w:val="16"/>
        </w:rPr>
        <w:t xml:space="preserve"> to 3</w:t>
      </w:r>
      <w:r w:rsidR="009D246C">
        <w:rPr>
          <w:sz w:val="16"/>
          <w:szCs w:val="16"/>
        </w:rPr>
        <w:t xml:space="preserve">1 </w:t>
      </w:r>
      <w:r w:rsidR="009A7C28">
        <w:rPr>
          <w:sz w:val="16"/>
          <w:szCs w:val="16"/>
        </w:rPr>
        <w:t>March 2021</w:t>
      </w:r>
      <w:r w:rsidR="00FC7F2E">
        <w:rPr>
          <w:sz w:val="16"/>
          <w:szCs w:val="16"/>
        </w:rPr>
        <w:t>.</w:t>
      </w:r>
    </w:p>
    <w:p w14:paraId="24F3C459" w14:textId="77777777" w:rsidR="0013112F" w:rsidRPr="007F7FD6" w:rsidRDefault="0013112F" w:rsidP="0013112F">
      <w:pPr>
        <w:ind w:left="-142"/>
        <w:jc w:val="both"/>
        <w:rPr>
          <w:sz w:val="16"/>
          <w:szCs w:val="16"/>
        </w:rPr>
      </w:pPr>
    </w:p>
    <w:tbl>
      <w:tblPr>
        <w:tblStyle w:val="TableGrid"/>
        <w:tblW w:w="0" w:type="auto"/>
        <w:tblInd w:w="-142" w:type="dxa"/>
        <w:tblLook w:val="04A0" w:firstRow="1" w:lastRow="0" w:firstColumn="1" w:lastColumn="0" w:noHBand="0" w:noVBand="1"/>
      </w:tblPr>
      <w:tblGrid>
        <w:gridCol w:w="5127"/>
        <w:gridCol w:w="1026"/>
        <w:gridCol w:w="875"/>
        <w:gridCol w:w="463"/>
        <w:gridCol w:w="1140"/>
        <w:gridCol w:w="1140"/>
      </w:tblGrid>
      <w:tr w:rsidR="0013112F" w14:paraId="4705D88E" w14:textId="77777777" w:rsidTr="00925DD5">
        <w:tc>
          <w:tcPr>
            <w:tcW w:w="5127" w:type="dxa"/>
          </w:tcPr>
          <w:p w14:paraId="36C03DF6" w14:textId="77777777" w:rsidR="0013112F" w:rsidRPr="00E922A7" w:rsidRDefault="0013112F" w:rsidP="00291B72">
            <w:pPr>
              <w:jc w:val="both"/>
              <w:rPr>
                <w:b/>
                <w:bCs/>
              </w:rPr>
            </w:pPr>
            <w:r w:rsidRPr="00E922A7">
              <w:rPr>
                <w:b/>
                <w:bCs/>
              </w:rPr>
              <w:t>Information for the quarter</w:t>
            </w:r>
          </w:p>
        </w:tc>
        <w:tc>
          <w:tcPr>
            <w:tcW w:w="1026" w:type="dxa"/>
          </w:tcPr>
          <w:p w14:paraId="0815CD67" w14:textId="77777777" w:rsidR="0013112F" w:rsidRPr="00E922A7" w:rsidRDefault="0013112F" w:rsidP="00291B72">
            <w:pPr>
              <w:jc w:val="both"/>
              <w:rPr>
                <w:b/>
                <w:bCs/>
              </w:rPr>
            </w:pPr>
            <w:r w:rsidRPr="00E922A7">
              <w:rPr>
                <w:b/>
                <w:bCs/>
              </w:rPr>
              <w:t>Female Count</w:t>
            </w:r>
          </w:p>
        </w:tc>
        <w:tc>
          <w:tcPr>
            <w:tcW w:w="875" w:type="dxa"/>
          </w:tcPr>
          <w:p w14:paraId="4775A363" w14:textId="77777777" w:rsidR="0013112F" w:rsidRPr="00E922A7" w:rsidRDefault="0013112F" w:rsidP="00291B72">
            <w:pPr>
              <w:jc w:val="both"/>
              <w:rPr>
                <w:b/>
                <w:bCs/>
              </w:rPr>
            </w:pPr>
            <w:r w:rsidRPr="00E922A7">
              <w:rPr>
                <w:b/>
                <w:bCs/>
              </w:rPr>
              <w:t>Male Count</w:t>
            </w:r>
          </w:p>
        </w:tc>
        <w:tc>
          <w:tcPr>
            <w:tcW w:w="463" w:type="dxa"/>
          </w:tcPr>
          <w:p w14:paraId="0709E4EF" w14:textId="77777777" w:rsidR="0013112F" w:rsidRPr="00E922A7" w:rsidRDefault="0013112F" w:rsidP="00291B72">
            <w:pPr>
              <w:jc w:val="both"/>
              <w:rPr>
                <w:b/>
                <w:bCs/>
              </w:rPr>
            </w:pPr>
          </w:p>
        </w:tc>
        <w:tc>
          <w:tcPr>
            <w:tcW w:w="1140" w:type="dxa"/>
          </w:tcPr>
          <w:p w14:paraId="21A061BE" w14:textId="77777777" w:rsidR="0013112F" w:rsidRPr="00E922A7" w:rsidRDefault="0013112F" w:rsidP="00291B72">
            <w:pPr>
              <w:jc w:val="both"/>
              <w:rPr>
                <w:b/>
                <w:bCs/>
              </w:rPr>
            </w:pPr>
            <w:r w:rsidRPr="00E922A7">
              <w:rPr>
                <w:b/>
                <w:bCs/>
              </w:rPr>
              <w:t>Female Average age</w:t>
            </w:r>
          </w:p>
        </w:tc>
        <w:tc>
          <w:tcPr>
            <w:tcW w:w="1140" w:type="dxa"/>
          </w:tcPr>
          <w:p w14:paraId="20D2835A" w14:textId="77777777" w:rsidR="0013112F" w:rsidRPr="00E922A7" w:rsidRDefault="0013112F" w:rsidP="00291B72">
            <w:pPr>
              <w:jc w:val="both"/>
              <w:rPr>
                <w:b/>
                <w:bCs/>
              </w:rPr>
            </w:pPr>
            <w:r w:rsidRPr="00E922A7">
              <w:rPr>
                <w:b/>
                <w:bCs/>
              </w:rPr>
              <w:t>Male Average age</w:t>
            </w:r>
          </w:p>
        </w:tc>
      </w:tr>
      <w:tr w:rsidR="00925DD5" w14:paraId="0C5B3812" w14:textId="77777777" w:rsidTr="00925DD5">
        <w:tc>
          <w:tcPr>
            <w:tcW w:w="5127" w:type="dxa"/>
          </w:tcPr>
          <w:p w14:paraId="465196A7" w14:textId="548DCE89" w:rsidR="00925DD5" w:rsidRDefault="00925DD5" w:rsidP="00925DD5">
            <w:pPr>
              <w:spacing w:line="240" w:lineRule="auto"/>
              <w:jc w:val="both"/>
            </w:pPr>
            <w:r>
              <w:t xml:space="preserve">Clients </w:t>
            </w:r>
            <w:r w:rsidR="007C762F">
              <w:t>for whom a</w:t>
            </w:r>
            <w:r>
              <w:t xml:space="preserve"> notice </w:t>
            </w:r>
            <w:r w:rsidR="007C762F">
              <w:t xml:space="preserve">was received </w:t>
            </w:r>
            <w:r>
              <w:t>during the quarter</w:t>
            </w:r>
            <w:r>
              <w:rPr>
                <w:rStyle w:val="FootnoteReference"/>
              </w:rPr>
              <w:footnoteReference w:id="15"/>
            </w:r>
          </w:p>
        </w:tc>
        <w:tc>
          <w:tcPr>
            <w:tcW w:w="1026" w:type="dxa"/>
            <w:vAlign w:val="center"/>
          </w:tcPr>
          <w:p w14:paraId="430D610E" w14:textId="6F96550E" w:rsidR="00925DD5" w:rsidRPr="000C1273" w:rsidRDefault="00925DD5" w:rsidP="00925DD5">
            <w:pPr>
              <w:spacing w:line="240" w:lineRule="auto"/>
              <w:jc w:val="right"/>
            </w:pPr>
            <w:r w:rsidRPr="000C1273">
              <w:rPr>
                <w:rFonts w:cs="Arial"/>
              </w:rPr>
              <w:t>34</w:t>
            </w:r>
            <w:r w:rsidR="000A10F8">
              <w:rPr>
                <w:rFonts w:cs="Arial"/>
              </w:rPr>
              <w:t>5</w:t>
            </w:r>
          </w:p>
        </w:tc>
        <w:tc>
          <w:tcPr>
            <w:tcW w:w="875" w:type="dxa"/>
            <w:vAlign w:val="center"/>
          </w:tcPr>
          <w:p w14:paraId="73512E80" w14:textId="7B5FDFA0" w:rsidR="00925DD5" w:rsidRPr="000C1273" w:rsidRDefault="00925DD5" w:rsidP="00925DD5">
            <w:pPr>
              <w:spacing w:line="240" w:lineRule="auto"/>
              <w:jc w:val="right"/>
            </w:pPr>
            <w:r w:rsidRPr="000C1273">
              <w:rPr>
                <w:rFonts w:cs="Arial"/>
              </w:rPr>
              <w:t>2</w:t>
            </w:r>
            <w:r w:rsidR="000A10F8">
              <w:rPr>
                <w:rFonts w:cs="Arial"/>
              </w:rPr>
              <w:t>40</w:t>
            </w:r>
          </w:p>
        </w:tc>
        <w:tc>
          <w:tcPr>
            <w:tcW w:w="463" w:type="dxa"/>
            <w:vAlign w:val="center"/>
          </w:tcPr>
          <w:p w14:paraId="0C71CB3B" w14:textId="3FB83C2E" w:rsidR="00925DD5" w:rsidRPr="00C670F3" w:rsidRDefault="00925DD5" w:rsidP="00925DD5">
            <w:pPr>
              <w:spacing w:line="240" w:lineRule="auto"/>
              <w:jc w:val="right"/>
            </w:pPr>
          </w:p>
        </w:tc>
        <w:tc>
          <w:tcPr>
            <w:tcW w:w="1140" w:type="dxa"/>
            <w:vAlign w:val="center"/>
          </w:tcPr>
          <w:p w14:paraId="048E4B1D" w14:textId="5E2547BF" w:rsidR="00925DD5" w:rsidRPr="000C1273" w:rsidRDefault="00925DD5" w:rsidP="00925DD5">
            <w:pPr>
              <w:spacing w:line="240" w:lineRule="auto"/>
              <w:jc w:val="right"/>
            </w:pPr>
            <w:r w:rsidRPr="000C1273">
              <w:rPr>
                <w:rFonts w:cs="Arial"/>
              </w:rPr>
              <w:t>38</w:t>
            </w:r>
          </w:p>
        </w:tc>
        <w:tc>
          <w:tcPr>
            <w:tcW w:w="1140" w:type="dxa"/>
            <w:vAlign w:val="center"/>
          </w:tcPr>
          <w:p w14:paraId="61E43F3F" w14:textId="573E6378" w:rsidR="00925DD5" w:rsidRPr="000C1273" w:rsidRDefault="00925DD5" w:rsidP="00925DD5">
            <w:pPr>
              <w:spacing w:line="240" w:lineRule="auto"/>
              <w:jc w:val="right"/>
            </w:pPr>
            <w:r w:rsidRPr="000C1273">
              <w:rPr>
                <w:rFonts w:cs="Arial"/>
              </w:rPr>
              <w:t>39</w:t>
            </w:r>
          </w:p>
        </w:tc>
      </w:tr>
      <w:tr w:rsidR="00925DD5" w14:paraId="0C43D4D1" w14:textId="77777777" w:rsidTr="00925DD5">
        <w:tc>
          <w:tcPr>
            <w:tcW w:w="5127" w:type="dxa"/>
          </w:tcPr>
          <w:p w14:paraId="2282B866" w14:textId="77777777" w:rsidR="00925DD5" w:rsidRDefault="00925DD5" w:rsidP="00925DD5">
            <w:pPr>
              <w:spacing w:line="240" w:lineRule="auto"/>
              <w:jc w:val="both"/>
            </w:pPr>
            <w:r>
              <w:t>Clients who conferenced during the quarter</w:t>
            </w:r>
            <w:r>
              <w:rPr>
                <w:rStyle w:val="FootnoteReference"/>
              </w:rPr>
              <w:footnoteReference w:id="16"/>
            </w:r>
          </w:p>
        </w:tc>
        <w:tc>
          <w:tcPr>
            <w:tcW w:w="1026" w:type="dxa"/>
            <w:vAlign w:val="center"/>
          </w:tcPr>
          <w:p w14:paraId="0BE8DAD4" w14:textId="6DD2AA4A" w:rsidR="00925DD5" w:rsidRPr="000C1273" w:rsidRDefault="00925DD5" w:rsidP="00925DD5">
            <w:pPr>
              <w:spacing w:line="240" w:lineRule="auto"/>
              <w:jc w:val="right"/>
            </w:pPr>
            <w:r w:rsidRPr="000C1273">
              <w:rPr>
                <w:rFonts w:cs="Arial"/>
              </w:rPr>
              <w:t>196</w:t>
            </w:r>
          </w:p>
        </w:tc>
        <w:tc>
          <w:tcPr>
            <w:tcW w:w="875" w:type="dxa"/>
            <w:vAlign w:val="center"/>
          </w:tcPr>
          <w:p w14:paraId="7F1FAC36" w14:textId="45DBBFFC" w:rsidR="00925DD5" w:rsidRPr="000C1273" w:rsidRDefault="00925DD5" w:rsidP="00925DD5">
            <w:pPr>
              <w:spacing w:line="240" w:lineRule="auto"/>
              <w:jc w:val="right"/>
            </w:pPr>
            <w:r w:rsidRPr="000C1273">
              <w:rPr>
                <w:rFonts w:cs="Arial"/>
              </w:rPr>
              <w:t>107</w:t>
            </w:r>
          </w:p>
        </w:tc>
        <w:tc>
          <w:tcPr>
            <w:tcW w:w="463" w:type="dxa"/>
            <w:vAlign w:val="center"/>
          </w:tcPr>
          <w:p w14:paraId="7D1E9278" w14:textId="7E3911E0" w:rsidR="00925DD5" w:rsidRPr="00C670F3" w:rsidRDefault="00925DD5" w:rsidP="00925DD5">
            <w:pPr>
              <w:spacing w:line="240" w:lineRule="auto"/>
              <w:jc w:val="right"/>
            </w:pPr>
          </w:p>
        </w:tc>
        <w:tc>
          <w:tcPr>
            <w:tcW w:w="1140" w:type="dxa"/>
            <w:vAlign w:val="center"/>
          </w:tcPr>
          <w:p w14:paraId="18E5F35E" w14:textId="0F7AE0D1" w:rsidR="00925DD5" w:rsidRPr="000C1273" w:rsidRDefault="00925DD5" w:rsidP="00925DD5">
            <w:pPr>
              <w:spacing w:line="240" w:lineRule="auto"/>
              <w:jc w:val="right"/>
            </w:pPr>
            <w:r w:rsidRPr="000C1273">
              <w:rPr>
                <w:rFonts w:cs="Arial"/>
              </w:rPr>
              <w:t>36</w:t>
            </w:r>
          </w:p>
        </w:tc>
        <w:tc>
          <w:tcPr>
            <w:tcW w:w="1140" w:type="dxa"/>
            <w:vAlign w:val="center"/>
          </w:tcPr>
          <w:p w14:paraId="48B614AC" w14:textId="780F6CD1" w:rsidR="00925DD5" w:rsidRPr="000C1273" w:rsidRDefault="00925DD5" w:rsidP="00925DD5">
            <w:pPr>
              <w:spacing w:line="240" w:lineRule="auto"/>
              <w:jc w:val="right"/>
            </w:pPr>
            <w:r w:rsidRPr="000C1273">
              <w:rPr>
                <w:rFonts w:cs="Arial"/>
              </w:rPr>
              <w:t>37</w:t>
            </w:r>
          </w:p>
        </w:tc>
      </w:tr>
      <w:tr w:rsidR="00925DD5" w14:paraId="11CAB223" w14:textId="77777777" w:rsidTr="00925DD5">
        <w:tc>
          <w:tcPr>
            <w:tcW w:w="5127" w:type="dxa"/>
          </w:tcPr>
          <w:p w14:paraId="21481099" w14:textId="6FD92935" w:rsidR="00925DD5" w:rsidRPr="00C6538C" w:rsidRDefault="00925DD5" w:rsidP="00925DD5">
            <w:pPr>
              <w:spacing w:line="240" w:lineRule="auto"/>
              <w:jc w:val="both"/>
            </w:pPr>
            <w:r w:rsidRPr="00C6538C">
              <w:t xml:space="preserve">Clients referred during the quarter through </w:t>
            </w:r>
            <w:r>
              <w:t>Family Responsibilities Agreements and Family Responsibilities Orders</w:t>
            </w:r>
            <w:r w:rsidRPr="00C6538C">
              <w:rPr>
                <w:rStyle w:val="FootnoteReference"/>
              </w:rPr>
              <w:footnoteReference w:id="17"/>
            </w:r>
          </w:p>
        </w:tc>
        <w:tc>
          <w:tcPr>
            <w:tcW w:w="1026" w:type="dxa"/>
            <w:vAlign w:val="center"/>
          </w:tcPr>
          <w:p w14:paraId="64B179AC" w14:textId="1A60FDFE" w:rsidR="00925DD5" w:rsidRPr="000C1273" w:rsidRDefault="00925DD5" w:rsidP="00925DD5">
            <w:pPr>
              <w:spacing w:line="240" w:lineRule="auto"/>
              <w:jc w:val="right"/>
            </w:pPr>
            <w:r w:rsidRPr="000C1273">
              <w:rPr>
                <w:rFonts w:cs="Arial"/>
              </w:rPr>
              <w:t>69</w:t>
            </w:r>
          </w:p>
        </w:tc>
        <w:tc>
          <w:tcPr>
            <w:tcW w:w="875" w:type="dxa"/>
            <w:vAlign w:val="center"/>
          </w:tcPr>
          <w:p w14:paraId="0795AF41" w14:textId="15FCABC7" w:rsidR="00925DD5" w:rsidRPr="000C1273" w:rsidRDefault="00925DD5" w:rsidP="00925DD5">
            <w:pPr>
              <w:spacing w:line="240" w:lineRule="auto"/>
              <w:jc w:val="right"/>
            </w:pPr>
            <w:r w:rsidRPr="000C1273">
              <w:rPr>
                <w:rFonts w:cs="Arial"/>
              </w:rPr>
              <w:t>41</w:t>
            </w:r>
          </w:p>
        </w:tc>
        <w:tc>
          <w:tcPr>
            <w:tcW w:w="463" w:type="dxa"/>
            <w:vAlign w:val="center"/>
          </w:tcPr>
          <w:p w14:paraId="1470F615" w14:textId="360006FA" w:rsidR="00925DD5" w:rsidRPr="00C6538C" w:rsidRDefault="00925DD5" w:rsidP="00925DD5">
            <w:pPr>
              <w:spacing w:line="240" w:lineRule="auto"/>
              <w:jc w:val="right"/>
            </w:pPr>
          </w:p>
        </w:tc>
        <w:tc>
          <w:tcPr>
            <w:tcW w:w="1140" w:type="dxa"/>
            <w:vAlign w:val="center"/>
          </w:tcPr>
          <w:p w14:paraId="4C9D3036" w14:textId="02CE854A" w:rsidR="00925DD5" w:rsidRPr="000C1273" w:rsidRDefault="00925DD5" w:rsidP="00925DD5">
            <w:pPr>
              <w:spacing w:line="240" w:lineRule="auto"/>
              <w:jc w:val="right"/>
            </w:pPr>
            <w:r w:rsidRPr="000C1273">
              <w:rPr>
                <w:rFonts w:cs="Arial"/>
              </w:rPr>
              <w:t>34</w:t>
            </w:r>
          </w:p>
        </w:tc>
        <w:tc>
          <w:tcPr>
            <w:tcW w:w="1140" w:type="dxa"/>
            <w:vAlign w:val="center"/>
          </w:tcPr>
          <w:p w14:paraId="454F6461" w14:textId="47DC28FF" w:rsidR="00925DD5" w:rsidRPr="000C1273" w:rsidRDefault="00925DD5" w:rsidP="00925DD5">
            <w:pPr>
              <w:spacing w:line="240" w:lineRule="auto"/>
              <w:jc w:val="right"/>
            </w:pPr>
            <w:r w:rsidRPr="000C1273">
              <w:rPr>
                <w:rFonts w:cs="Arial"/>
              </w:rPr>
              <w:t>37</w:t>
            </w:r>
          </w:p>
        </w:tc>
      </w:tr>
      <w:tr w:rsidR="00925DD5" w14:paraId="4205C91F" w14:textId="77777777" w:rsidTr="00925DD5">
        <w:tc>
          <w:tcPr>
            <w:tcW w:w="5127" w:type="dxa"/>
          </w:tcPr>
          <w:p w14:paraId="2820947A" w14:textId="77777777" w:rsidR="00925DD5" w:rsidRDefault="00925DD5" w:rsidP="00925DD5">
            <w:pPr>
              <w:spacing w:line="240" w:lineRule="auto"/>
              <w:jc w:val="both"/>
            </w:pPr>
            <w:r>
              <w:t>Clients placed on CIM during the quarter</w:t>
            </w:r>
            <w:r>
              <w:rPr>
                <w:rStyle w:val="FootnoteReference"/>
              </w:rPr>
              <w:footnoteReference w:id="18"/>
            </w:r>
          </w:p>
        </w:tc>
        <w:tc>
          <w:tcPr>
            <w:tcW w:w="1026" w:type="dxa"/>
            <w:vAlign w:val="center"/>
          </w:tcPr>
          <w:p w14:paraId="04ECC2CC" w14:textId="627288B6" w:rsidR="00925DD5" w:rsidRPr="000C1273" w:rsidRDefault="00925DD5" w:rsidP="00925DD5">
            <w:pPr>
              <w:spacing w:line="240" w:lineRule="auto"/>
              <w:jc w:val="right"/>
            </w:pPr>
            <w:r w:rsidRPr="000C1273">
              <w:rPr>
                <w:rFonts w:cs="Arial"/>
              </w:rPr>
              <w:t>7</w:t>
            </w:r>
          </w:p>
        </w:tc>
        <w:tc>
          <w:tcPr>
            <w:tcW w:w="875" w:type="dxa"/>
            <w:vAlign w:val="center"/>
          </w:tcPr>
          <w:p w14:paraId="09F9C19D" w14:textId="5EF3A7A6" w:rsidR="00925DD5" w:rsidRPr="000C1273" w:rsidRDefault="00925DD5" w:rsidP="00925DD5">
            <w:pPr>
              <w:spacing w:line="240" w:lineRule="auto"/>
              <w:jc w:val="right"/>
            </w:pPr>
            <w:r w:rsidRPr="000C1273">
              <w:rPr>
                <w:rFonts w:cs="Arial"/>
              </w:rPr>
              <w:t>5</w:t>
            </w:r>
          </w:p>
        </w:tc>
        <w:tc>
          <w:tcPr>
            <w:tcW w:w="463" w:type="dxa"/>
            <w:vAlign w:val="center"/>
          </w:tcPr>
          <w:p w14:paraId="4D854BAC" w14:textId="17999EDB" w:rsidR="00925DD5" w:rsidRPr="00C670F3" w:rsidRDefault="00925DD5" w:rsidP="00925DD5">
            <w:pPr>
              <w:spacing w:line="240" w:lineRule="auto"/>
              <w:jc w:val="right"/>
            </w:pPr>
          </w:p>
        </w:tc>
        <w:tc>
          <w:tcPr>
            <w:tcW w:w="1140" w:type="dxa"/>
            <w:vAlign w:val="center"/>
          </w:tcPr>
          <w:p w14:paraId="0DB4E2B3" w14:textId="6B612198" w:rsidR="00925DD5" w:rsidRPr="000C1273" w:rsidRDefault="00925DD5" w:rsidP="00925DD5">
            <w:pPr>
              <w:spacing w:line="240" w:lineRule="auto"/>
              <w:jc w:val="right"/>
            </w:pPr>
            <w:r w:rsidRPr="000C1273">
              <w:rPr>
                <w:rFonts w:cs="Arial"/>
              </w:rPr>
              <w:t>39</w:t>
            </w:r>
          </w:p>
        </w:tc>
        <w:tc>
          <w:tcPr>
            <w:tcW w:w="1140" w:type="dxa"/>
            <w:vAlign w:val="center"/>
          </w:tcPr>
          <w:p w14:paraId="6F699F00" w14:textId="0852C267" w:rsidR="00925DD5" w:rsidRPr="000C1273" w:rsidRDefault="00925DD5" w:rsidP="00925DD5">
            <w:pPr>
              <w:spacing w:line="240" w:lineRule="auto"/>
              <w:jc w:val="right"/>
            </w:pPr>
            <w:r w:rsidRPr="000C1273">
              <w:rPr>
                <w:rFonts w:cs="Arial"/>
              </w:rPr>
              <w:t>37</w:t>
            </w:r>
          </w:p>
        </w:tc>
      </w:tr>
      <w:tr w:rsidR="00D605A2" w14:paraId="70BB454E" w14:textId="77777777" w:rsidTr="00A242DD">
        <w:tc>
          <w:tcPr>
            <w:tcW w:w="5127" w:type="dxa"/>
          </w:tcPr>
          <w:p w14:paraId="5B5E85C7" w14:textId="77777777" w:rsidR="00D605A2" w:rsidRPr="00C6538C" w:rsidRDefault="00D605A2" w:rsidP="00A242DD">
            <w:pPr>
              <w:spacing w:line="240" w:lineRule="auto"/>
              <w:jc w:val="both"/>
            </w:pPr>
            <w:r w:rsidRPr="00C6538C">
              <w:t xml:space="preserve">Clients referred during the quarter through a </w:t>
            </w:r>
            <w:r>
              <w:t>V</w:t>
            </w:r>
            <w:r w:rsidRPr="00C6538C">
              <w:t xml:space="preserve">oluntary </w:t>
            </w:r>
            <w:r>
              <w:t>A</w:t>
            </w:r>
            <w:r w:rsidRPr="00C6538C">
              <w:t>greement</w:t>
            </w:r>
            <w:r w:rsidRPr="00C6538C">
              <w:rPr>
                <w:rStyle w:val="FootnoteReference"/>
              </w:rPr>
              <w:footnoteReference w:id="19"/>
            </w:r>
          </w:p>
        </w:tc>
        <w:tc>
          <w:tcPr>
            <w:tcW w:w="1026" w:type="dxa"/>
            <w:vAlign w:val="center"/>
          </w:tcPr>
          <w:p w14:paraId="543F073F" w14:textId="77777777" w:rsidR="00D605A2" w:rsidRPr="000C1273" w:rsidRDefault="00D605A2" w:rsidP="00A242DD">
            <w:pPr>
              <w:spacing w:line="240" w:lineRule="auto"/>
              <w:jc w:val="right"/>
              <w:rPr>
                <w:rFonts w:cs="Arial"/>
              </w:rPr>
            </w:pPr>
            <w:r w:rsidRPr="000C1273">
              <w:rPr>
                <w:rFonts w:cs="Arial"/>
              </w:rPr>
              <w:t>0</w:t>
            </w:r>
          </w:p>
        </w:tc>
        <w:tc>
          <w:tcPr>
            <w:tcW w:w="875" w:type="dxa"/>
            <w:vAlign w:val="center"/>
          </w:tcPr>
          <w:p w14:paraId="1105ED08" w14:textId="77777777" w:rsidR="00D605A2" w:rsidRPr="000C1273" w:rsidRDefault="00D605A2" w:rsidP="00A242DD">
            <w:pPr>
              <w:spacing w:line="240" w:lineRule="auto"/>
              <w:jc w:val="right"/>
              <w:rPr>
                <w:rFonts w:cs="Arial"/>
              </w:rPr>
            </w:pPr>
            <w:r w:rsidRPr="000C1273">
              <w:rPr>
                <w:rFonts w:cs="Arial"/>
              </w:rPr>
              <w:t>0</w:t>
            </w:r>
          </w:p>
        </w:tc>
        <w:tc>
          <w:tcPr>
            <w:tcW w:w="463" w:type="dxa"/>
            <w:vAlign w:val="center"/>
          </w:tcPr>
          <w:p w14:paraId="2B630A06" w14:textId="77777777" w:rsidR="00D605A2" w:rsidRPr="00C6538C" w:rsidRDefault="00D605A2" w:rsidP="00A242DD">
            <w:pPr>
              <w:spacing w:line="240" w:lineRule="auto"/>
              <w:jc w:val="right"/>
              <w:rPr>
                <w:rFonts w:cs="Arial"/>
              </w:rPr>
            </w:pPr>
          </w:p>
        </w:tc>
        <w:tc>
          <w:tcPr>
            <w:tcW w:w="1140" w:type="dxa"/>
            <w:vAlign w:val="center"/>
          </w:tcPr>
          <w:p w14:paraId="118451EA" w14:textId="77777777" w:rsidR="00D605A2" w:rsidRPr="000C1273" w:rsidRDefault="00D605A2" w:rsidP="00A242DD">
            <w:pPr>
              <w:spacing w:line="240" w:lineRule="auto"/>
              <w:jc w:val="right"/>
              <w:rPr>
                <w:rFonts w:cs="Arial"/>
              </w:rPr>
            </w:pPr>
            <w:r w:rsidRPr="000C1273">
              <w:rPr>
                <w:rFonts w:cs="Arial"/>
              </w:rPr>
              <w:t>0</w:t>
            </w:r>
          </w:p>
        </w:tc>
        <w:tc>
          <w:tcPr>
            <w:tcW w:w="1140" w:type="dxa"/>
            <w:vAlign w:val="center"/>
          </w:tcPr>
          <w:p w14:paraId="1C47274C" w14:textId="77777777" w:rsidR="00D605A2" w:rsidRPr="000C1273" w:rsidRDefault="00D605A2" w:rsidP="00A242DD">
            <w:pPr>
              <w:spacing w:line="240" w:lineRule="auto"/>
              <w:jc w:val="right"/>
              <w:rPr>
                <w:rFonts w:cs="Arial"/>
              </w:rPr>
            </w:pPr>
            <w:r w:rsidRPr="000C1273">
              <w:rPr>
                <w:rFonts w:cs="Arial"/>
              </w:rPr>
              <w:t>0</w:t>
            </w:r>
          </w:p>
        </w:tc>
      </w:tr>
      <w:tr w:rsidR="00925DD5" w14:paraId="5BC6E4C0" w14:textId="77777777" w:rsidTr="00925DD5">
        <w:tc>
          <w:tcPr>
            <w:tcW w:w="5127" w:type="dxa"/>
          </w:tcPr>
          <w:p w14:paraId="1F3A9B4D" w14:textId="5F393C07" w:rsidR="00925DD5" w:rsidRDefault="00925DD5" w:rsidP="00925DD5">
            <w:pPr>
              <w:spacing w:line="240" w:lineRule="auto"/>
              <w:jc w:val="both"/>
            </w:pPr>
            <w:r>
              <w:t xml:space="preserve">Clients </w:t>
            </w:r>
            <w:r w:rsidR="009E46F3">
              <w:t xml:space="preserve">who chose to </w:t>
            </w:r>
            <w:r>
              <w:t>p</w:t>
            </w:r>
            <w:r w:rsidR="009B7A6B">
              <w:t>articipat</w:t>
            </w:r>
            <w:r w:rsidR="009E46F3">
              <w:t>e</w:t>
            </w:r>
            <w:r w:rsidR="009B7A6B">
              <w:t xml:space="preserve"> in</w:t>
            </w:r>
            <w:r>
              <w:t xml:space="preserve"> VIM during the quarter</w:t>
            </w:r>
            <w:r>
              <w:rPr>
                <w:rStyle w:val="FootnoteReference"/>
              </w:rPr>
              <w:footnoteReference w:id="20"/>
            </w:r>
          </w:p>
        </w:tc>
        <w:tc>
          <w:tcPr>
            <w:tcW w:w="1026" w:type="dxa"/>
            <w:vAlign w:val="center"/>
          </w:tcPr>
          <w:p w14:paraId="26649358" w14:textId="44737CF9" w:rsidR="00925DD5" w:rsidRPr="000C1273" w:rsidRDefault="00925DD5" w:rsidP="00925DD5">
            <w:pPr>
              <w:spacing w:line="240" w:lineRule="auto"/>
              <w:jc w:val="right"/>
            </w:pPr>
            <w:r w:rsidRPr="000C1273">
              <w:rPr>
                <w:rFonts w:cs="Arial"/>
              </w:rPr>
              <w:t>11</w:t>
            </w:r>
          </w:p>
        </w:tc>
        <w:tc>
          <w:tcPr>
            <w:tcW w:w="875" w:type="dxa"/>
            <w:vAlign w:val="center"/>
          </w:tcPr>
          <w:p w14:paraId="7B755D8C" w14:textId="1D8E24FD" w:rsidR="00925DD5" w:rsidRPr="000C1273" w:rsidRDefault="00925DD5" w:rsidP="00925DD5">
            <w:pPr>
              <w:spacing w:line="240" w:lineRule="auto"/>
              <w:jc w:val="right"/>
            </w:pPr>
            <w:r w:rsidRPr="000C1273">
              <w:rPr>
                <w:rFonts w:cs="Arial"/>
              </w:rPr>
              <w:t>7</w:t>
            </w:r>
          </w:p>
        </w:tc>
        <w:tc>
          <w:tcPr>
            <w:tcW w:w="463" w:type="dxa"/>
          </w:tcPr>
          <w:p w14:paraId="6092C81B" w14:textId="77777777" w:rsidR="00925DD5" w:rsidRDefault="00925DD5" w:rsidP="00925DD5">
            <w:pPr>
              <w:spacing w:line="240" w:lineRule="auto"/>
              <w:jc w:val="right"/>
            </w:pPr>
          </w:p>
        </w:tc>
        <w:tc>
          <w:tcPr>
            <w:tcW w:w="1140" w:type="dxa"/>
            <w:vAlign w:val="center"/>
          </w:tcPr>
          <w:p w14:paraId="7A13A493" w14:textId="69F89865" w:rsidR="00925DD5" w:rsidRPr="000C1273" w:rsidRDefault="00925DD5" w:rsidP="00925DD5">
            <w:pPr>
              <w:spacing w:line="240" w:lineRule="auto"/>
              <w:jc w:val="right"/>
            </w:pPr>
            <w:r w:rsidRPr="000C1273">
              <w:rPr>
                <w:rFonts w:cs="Arial"/>
              </w:rPr>
              <w:t>50</w:t>
            </w:r>
          </w:p>
        </w:tc>
        <w:tc>
          <w:tcPr>
            <w:tcW w:w="1140" w:type="dxa"/>
            <w:vAlign w:val="center"/>
          </w:tcPr>
          <w:p w14:paraId="5E9D8367" w14:textId="00FB56A1" w:rsidR="00925DD5" w:rsidRPr="000C1273" w:rsidRDefault="00925DD5" w:rsidP="00925DD5">
            <w:pPr>
              <w:spacing w:line="240" w:lineRule="auto"/>
              <w:jc w:val="right"/>
            </w:pPr>
            <w:r w:rsidRPr="000C1273">
              <w:rPr>
                <w:rFonts w:cs="Arial"/>
              </w:rPr>
              <w:t>59</w:t>
            </w:r>
          </w:p>
        </w:tc>
      </w:tr>
      <w:tr w:rsidR="00D605A2" w14:paraId="323DBB29" w14:textId="77777777" w:rsidTr="00925DD5">
        <w:tc>
          <w:tcPr>
            <w:tcW w:w="5127" w:type="dxa"/>
          </w:tcPr>
          <w:p w14:paraId="2B63FDBC" w14:textId="274CDC1D" w:rsidR="00D605A2" w:rsidRDefault="00D605A2" w:rsidP="00925DD5">
            <w:pPr>
              <w:spacing w:line="240" w:lineRule="auto"/>
              <w:jc w:val="both"/>
            </w:pPr>
            <w:r>
              <w:t>Clients who had an application hearing during the quarter</w:t>
            </w:r>
            <w:r w:rsidR="00627328">
              <w:rPr>
                <w:rStyle w:val="FootnoteReference"/>
              </w:rPr>
              <w:footnoteReference w:id="21"/>
            </w:r>
          </w:p>
        </w:tc>
        <w:tc>
          <w:tcPr>
            <w:tcW w:w="1026" w:type="dxa"/>
            <w:vAlign w:val="center"/>
          </w:tcPr>
          <w:p w14:paraId="3609E59F" w14:textId="2BFFAA6D" w:rsidR="00D605A2" w:rsidRPr="000C1273" w:rsidRDefault="00103AEF" w:rsidP="00925DD5">
            <w:pPr>
              <w:spacing w:line="240" w:lineRule="auto"/>
              <w:jc w:val="right"/>
              <w:rPr>
                <w:rFonts w:cs="Arial"/>
              </w:rPr>
            </w:pPr>
            <w:r w:rsidRPr="000C1273">
              <w:rPr>
                <w:rFonts w:cs="Arial"/>
              </w:rPr>
              <w:t>9</w:t>
            </w:r>
          </w:p>
        </w:tc>
        <w:tc>
          <w:tcPr>
            <w:tcW w:w="875" w:type="dxa"/>
            <w:vAlign w:val="center"/>
          </w:tcPr>
          <w:p w14:paraId="34BAD3D0" w14:textId="6C380420" w:rsidR="00D605A2" w:rsidRPr="000C1273" w:rsidRDefault="00103AEF" w:rsidP="00925DD5">
            <w:pPr>
              <w:spacing w:line="240" w:lineRule="auto"/>
              <w:jc w:val="right"/>
              <w:rPr>
                <w:rFonts w:cs="Arial"/>
              </w:rPr>
            </w:pPr>
            <w:r w:rsidRPr="000C1273">
              <w:rPr>
                <w:rFonts w:cs="Arial"/>
              </w:rPr>
              <w:t>1</w:t>
            </w:r>
          </w:p>
        </w:tc>
        <w:tc>
          <w:tcPr>
            <w:tcW w:w="463" w:type="dxa"/>
          </w:tcPr>
          <w:p w14:paraId="7E5C9E3D" w14:textId="77777777" w:rsidR="00D605A2" w:rsidRDefault="00D605A2" w:rsidP="00925DD5">
            <w:pPr>
              <w:spacing w:line="240" w:lineRule="auto"/>
              <w:jc w:val="right"/>
            </w:pPr>
          </w:p>
        </w:tc>
        <w:tc>
          <w:tcPr>
            <w:tcW w:w="1140" w:type="dxa"/>
            <w:vAlign w:val="center"/>
          </w:tcPr>
          <w:p w14:paraId="422F7588" w14:textId="5FB24801" w:rsidR="00D605A2" w:rsidRPr="000C1273" w:rsidRDefault="00103AEF" w:rsidP="00925DD5">
            <w:pPr>
              <w:spacing w:line="240" w:lineRule="auto"/>
              <w:jc w:val="right"/>
              <w:rPr>
                <w:rFonts w:cs="Arial"/>
              </w:rPr>
            </w:pPr>
            <w:r w:rsidRPr="000C1273">
              <w:rPr>
                <w:rFonts w:cs="Arial"/>
              </w:rPr>
              <w:t>34</w:t>
            </w:r>
          </w:p>
        </w:tc>
        <w:tc>
          <w:tcPr>
            <w:tcW w:w="1140" w:type="dxa"/>
            <w:vAlign w:val="center"/>
          </w:tcPr>
          <w:p w14:paraId="31BCC77C" w14:textId="5AF81622" w:rsidR="00D605A2" w:rsidRPr="000C1273" w:rsidRDefault="00103AEF" w:rsidP="00925DD5">
            <w:pPr>
              <w:spacing w:line="240" w:lineRule="auto"/>
              <w:jc w:val="right"/>
              <w:rPr>
                <w:rFonts w:cs="Arial"/>
              </w:rPr>
            </w:pPr>
            <w:r w:rsidRPr="000C1273">
              <w:rPr>
                <w:rFonts w:cs="Arial"/>
              </w:rPr>
              <w:t>32</w:t>
            </w:r>
          </w:p>
        </w:tc>
      </w:tr>
    </w:tbl>
    <w:p w14:paraId="620932BA" w14:textId="77777777" w:rsidR="000A10F8" w:rsidRDefault="000A10F8" w:rsidP="00DB0AEE">
      <w:pPr>
        <w:pStyle w:val="Heading2"/>
      </w:pPr>
    </w:p>
    <w:p w14:paraId="1585C490" w14:textId="77777777" w:rsidR="000A10F8" w:rsidRDefault="000A10F8">
      <w:pPr>
        <w:spacing w:line="240" w:lineRule="auto"/>
        <w:rPr>
          <w:rFonts w:cs="Arial"/>
          <w:b/>
          <w:spacing w:val="-4"/>
          <w:kern w:val="28"/>
        </w:rPr>
      </w:pPr>
      <w:r>
        <w:br w:type="page"/>
      </w:r>
    </w:p>
    <w:p w14:paraId="0EE0119D" w14:textId="15EBE390" w:rsidR="00F500CF" w:rsidRPr="00F500CF" w:rsidRDefault="00F500CF" w:rsidP="00DB0AEE">
      <w:pPr>
        <w:pStyle w:val="Heading2"/>
      </w:pPr>
      <w:r w:rsidRPr="00F500CF">
        <w:lastRenderedPageBreak/>
        <w:t>Estimated resident populations:</w:t>
      </w:r>
    </w:p>
    <w:p w14:paraId="45106CC2" w14:textId="77777777" w:rsidR="00F500CF" w:rsidRDefault="00F500CF" w:rsidP="00EC14C1">
      <w:pPr>
        <w:spacing w:line="240" w:lineRule="auto"/>
        <w:ind w:left="-142" w:right="-425"/>
        <w:jc w:val="both"/>
      </w:pPr>
    </w:p>
    <w:p w14:paraId="22291536" w14:textId="16A26C06" w:rsidR="00F500CF" w:rsidRDefault="000B5FD9" w:rsidP="00EC14C1">
      <w:pPr>
        <w:spacing w:line="240" w:lineRule="auto"/>
        <w:ind w:left="578" w:right="-425" w:hanging="720"/>
        <w:jc w:val="both"/>
      </w:pPr>
      <w:r w:rsidRPr="00EC14C1">
        <w:rPr>
          <w:b/>
        </w:rPr>
        <w:t>Aurukun:</w:t>
      </w:r>
      <w:r>
        <w:t xml:space="preserve"> </w:t>
      </w:r>
      <w:r w:rsidR="00F500CF" w:rsidRPr="008E7494">
        <w:t xml:space="preserve">The community </w:t>
      </w:r>
      <w:r w:rsidR="00F500CF">
        <w:t xml:space="preserve">of Aurukun </w:t>
      </w:r>
      <w:r w:rsidR="00F500CF" w:rsidRPr="008E7494">
        <w:t xml:space="preserve">had an estimated resident adult population of </w:t>
      </w:r>
      <w:r w:rsidR="00F500CF">
        <w:t>9</w:t>
      </w:r>
      <w:r w:rsidR="003C04FA">
        <w:t>50</w:t>
      </w:r>
      <w:r w:rsidR="00F500CF" w:rsidRPr="008E7494">
        <w:t xml:space="preserve"> people as </w:t>
      </w:r>
      <w:proofErr w:type="gramStart"/>
      <w:r w:rsidR="00F500CF" w:rsidRPr="008E7494">
        <w:t>at</w:t>
      </w:r>
      <w:proofErr w:type="gramEnd"/>
      <w:r w:rsidR="00F500CF" w:rsidRPr="008E7494">
        <w:t xml:space="preserve"> 30 June </w:t>
      </w:r>
      <w:bookmarkStart w:id="18" w:name="_Ref362343764"/>
      <w:bookmarkStart w:id="19" w:name="_Ref459716764"/>
      <w:r w:rsidR="00F500CF" w:rsidRPr="008E7494">
        <w:t>201</w:t>
      </w:r>
      <w:r w:rsidR="003C04FA">
        <w:t>9</w:t>
      </w:r>
      <w:bookmarkStart w:id="20" w:name="_Ref64367928"/>
      <w:r w:rsidR="00F500CF" w:rsidRPr="00F500CF">
        <w:rPr>
          <w:vertAlign w:val="superscript"/>
        </w:rPr>
        <w:footnoteReference w:id="22"/>
      </w:r>
      <w:bookmarkEnd w:id="18"/>
      <w:bookmarkEnd w:id="19"/>
      <w:bookmarkEnd w:id="20"/>
      <w:r w:rsidR="00F500CF" w:rsidRPr="00F500CF">
        <w:rPr>
          <w:vertAlign w:val="superscript"/>
        </w:rPr>
        <w:t>,</w:t>
      </w:r>
      <w:bookmarkStart w:id="21" w:name="_Ref459716829"/>
      <w:r w:rsidR="00F500CF" w:rsidRPr="00F500CF">
        <w:rPr>
          <w:vertAlign w:val="superscript"/>
        </w:rPr>
        <w:footnoteReference w:id="23"/>
      </w:r>
      <w:bookmarkEnd w:id="21"/>
      <w:r w:rsidR="00F500CF" w:rsidRPr="008E7494">
        <w:t>.</w:t>
      </w:r>
    </w:p>
    <w:p w14:paraId="1D1F7E14" w14:textId="77777777" w:rsidR="00F500CF" w:rsidRDefault="00F500CF" w:rsidP="00EC14C1">
      <w:pPr>
        <w:spacing w:line="240" w:lineRule="auto"/>
        <w:ind w:left="-142" w:right="-425"/>
        <w:jc w:val="both"/>
      </w:pPr>
    </w:p>
    <w:p w14:paraId="5C34875A" w14:textId="6DA0B35C" w:rsidR="00F500CF" w:rsidRDefault="000B5FD9" w:rsidP="00EC14C1">
      <w:pPr>
        <w:spacing w:line="240" w:lineRule="auto"/>
        <w:ind w:left="578" w:right="-425" w:hanging="720"/>
        <w:jc w:val="both"/>
      </w:pPr>
      <w:r w:rsidRPr="00EC14C1">
        <w:rPr>
          <w:b/>
        </w:rPr>
        <w:t>Coen:</w:t>
      </w:r>
      <w:r>
        <w:t xml:space="preserve"> </w:t>
      </w:r>
      <w:r w:rsidR="00F500CF" w:rsidRPr="008E7494">
        <w:t xml:space="preserve">The township </w:t>
      </w:r>
      <w:r w:rsidR="00F500CF">
        <w:t xml:space="preserve">of Coen </w:t>
      </w:r>
      <w:r w:rsidR="00F500CF" w:rsidRPr="008E7494">
        <w:t xml:space="preserve">had an estimated resident adult population of </w:t>
      </w:r>
      <w:bookmarkStart w:id="22" w:name="_Ref459717187"/>
      <w:r w:rsidR="00F500CF">
        <w:t>2</w:t>
      </w:r>
      <w:r w:rsidR="003C04FA">
        <w:t>60</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03006E" w:rsidRPr="0003006E">
        <w:rPr>
          <w:vertAlign w:val="superscript"/>
        </w:rPr>
        <w:fldChar w:fldCharType="begin"/>
      </w:r>
      <w:r w:rsidR="0003006E" w:rsidRPr="0003006E">
        <w:rPr>
          <w:vertAlign w:val="superscript"/>
        </w:rPr>
        <w:instrText xml:space="preserve"> NOTEREF _Ref64367928 \h  \* MERGEFORMAT </w:instrText>
      </w:r>
      <w:r w:rsidR="0003006E" w:rsidRPr="0003006E">
        <w:rPr>
          <w:vertAlign w:val="superscript"/>
        </w:rPr>
      </w:r>
      <w:r w:rsidR="0003006E" w:rsidRPr="0003006E">
        <w:rPr>
          <w:vertAlign w:val="superscript"/>
        </w:rPr>
        <w:fldChar w:fldCharType="separate"/>
      </w:r>
      <w:r w:rsidR="001934B3">
        <w:rPr>
          <w:vertAlign w:val="superscript"/>
        </w:rPr>
        <w:t>22</w:t>
      </w:r>
      <w:r w:rsidR="0003006E" w:rsidRPr="0003006E">
        <w:rPr>
          <w:vertAlign w:val="superscript"/>
        </w:rPr>
        <w:fldChar w:fldCharType="end"/>
      </w:r>
      <w:r w:rsidR="00F500CF" w:rsidRPr="00F500CF">
        <w:rPr>
          <w:vertAlign w:val="superscript"/>
        </w:rPr>
        <w:t>,</w:t>
      </w:r>
      <w:bookmarkStart w:id="23" w:name="_Ref74754871"/>
      <w:r w:rsidR="00F500CF" w:rsidRPr="00F500CF">
        <w:rPr>
          <w:vertAlign w:val="superscript"/>
        </w:rPr>
        <w:footnoteReference w:id="24"/>
      </w:r>
      <w:bookmarkEnd w:id="22"/>
      <w:bookmarkEnd w:id="23"/>
      <w:r w:rsidR="00F500CF" w:rsidRPr="008E7494">
        <w:t>.</w:t>
      </w:r>
    </w:p>
    <w:p w14:paraId="6639697A" w14:textId="77777777" w:rsidR="00F500CF" w:rsidRDefault="00F500CF" w:rsidP="00EC14C1">
      <w:pPr>
        <w:spacing w:line="240" w:lineRule="auto"/>
        <w:ind w:left="-142" w:right="-425"/>
        <w:jc w:val="both"/>
      </w:pPr>
    </w:p>
    <w:p w14:paraId="439048BC" w14:textId="6CA4C5C8" w:rsidR="00F500CF" w:rsidRDefault="000B5FD9" w:rsidP="00EC14C1">
      <w:pPr>
        <w:spacing w:line="240" w:lineRule="auto"/>
        <w:ind w:left="578" w:right="-425" w:hanging="720"/>
        <w:jc w:val="both"/>
      </w:pPr>
      <w:r w:rsidRPr="00EC14C1">
        <w:rPr>
          <w:b/>
        </w:rPr>
        <w:t>Doomadgee</w:t>
      </w:r>
      <w:r>
        <w:t xml:space="preserve">: </w:t>
      </w:r>
      <w:r w:rsidR="00F500CF" w:rsidRPr="008E7494">
        <w:t xml:space="preserve">The community </w:t>
      </w:r>
      <w:r w:rsidR="00F500CF">
        <w:t xml:space="preserve">of Doomadgee </w:t>
      </w:r>
      <w:r w:rsidR="00F500CF" w:rsidRPr="008E7494">
        <w:t xml:space="preserve">had an estimated resident adult population of </w:t>
      </w:r>
      <w:r w:rsidR="00F500CF">
        <w:t>82</w:t>
      </w:r>
      <w:r w:rsidR="003C04FA">
        <w:t>9</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03006E" w:rsidRPr="0003006E">
        <w:rPr>
          <w:vertAlign w:val="superscript"/>
        </w:rPr>
        <w:fldChar w:fldCharType="begin"/>
      </w:r>
      <w:r w:rsidR="0003006E" w:rsidRPr="0003006E">
        <w:rPr>
          <w:vertAlign w:val="superscript"/>
        </w:rPr>
        <w:instrText xml:space="preserve"> NOTEREF _Ref64367928 \h  \* MERGEFORMAT </w:instrText>
      </w:r>
      <w:r w:rsidR="0003006E" w:rsidRPr="0003006E">
        <w:rPr>
          <w:vertAlign w:val="superscript"/>
        </w:rPr>
      </w:r>
      <w:r w:rsidR="0003006E" w:rsidRPr="0003006E">
        <w:rPr>
          <w:vertAlign w:val="superscript"/>
        </w:rPr>
        <w:fldChar w:fldCharType="separate"/>
      </w:r>
      <w:r w:rsidR="001934B3">
        <w:rPr>
          <w:vertAlign w:val="superscript"/>
        </w:rPr>
        <w:t>22</w:t>
      </w:r>
      <w:r w:rsidR="0003006E" w:rsidRPr="0003006E">
        <w:rPr>
          <w:vertAlign w:val="superscript"/>
        </w:rPr>
        <w:fldChar w:fldCharType="end"/>
      </w:r>
      <w:r w:rsidR="00C62C14">
        <w:rPr>
          <w:vertAlign w:val="superscript"/>
        </w:rPr>
        <w:t>,</w:t>
      </w:r>
      <w:r w:rsidR="0003006E">
        <w:rPr>
          <w:vertAlign w:val="superscript"/>
        </w:rPr>
        <w:fldChar w:fldCharType="begin"/>
      </w:r>
      <w:r w:rsidR="0003006E">
        <w:rPr>
          <w:vertAlign w:val="superscript"/>
        </w:rPr>
        <w:instrText xml:space="preserve"> NOTEREF _Ref459716829 \h </w:instrText>
      </w:r>
      <w:r w:rsidR="0003006E">
        <w:rPr>
          <w:vertAlign w:val="superscript"/>
        </w:rPr>
      </w:r>
      <w:r w:rsidR="0003006E">
        <w:rPr>
          <w:vertAlign w:val="superscript"/>
        </w:rPr>
        <w:fldChar w:fldCharType="separate"/>
      </w:r>
      <w:r w:rsidR="001934B3">
        <w:rPr>
          <w:vertAlign w:val="superscript"/>
        </w:rPr>
        <w:t>23</w:t>
      </w:r>
      <w:r w:rsidR="0003006E">
        <w:rPr>
          <w:vertAlign w:val="superscript"/>
        </w:rPr>
        <w:fldChar w:fldCharType="end"/>
      </w:r>
      <w:r w:rsidR="008D618D">
        <w:t>.</w:t>
      </w:r>
    </w:p>
    <w:p w14:paraId="11431EDB" w14:textId="77777777" w:rsidR="00F500CF" w:rsidRDefault="00F500CF" w:rsidP="00EC14C1">
      <w:pPr>
        <w:spacing w:line="240" w:lineRule="auto"/>
        <w:ind w:left="-142" w:right="-425"/>
        <w:jc w:val="both"/>
      </w:pPr>
    </w:p>
    <w:p w14:paraId="570360C5" w14:textId="7AEB94FC" w:rsidR="00F500CF" w:rsidRDefault="000B5FD9" w:rsidP="00EC14C1">
      <w:pPr>
        <w:spacing w:line="240" w:lineRule="auto"/>
        <w:ind w:left="578" w:right="-425" w:hanging="720"/>
        <w:jc w:val="both"/>
      </w:pPr>
      <w:r w:rsidRPr="00EC14C1">
        <w:rPr>
          <w:b/>
        </w:rPr>
        <w:t>Hope Vale:</w:t>
      </w:r>
      <w:r>
        <w:t xml:space="preserve"> </w:t>
      </w:r>
      <w:r w:rsidR="00F500CF" w:rsidRPr="008E7494">
        <w:t xml:space="preserve">The estimated resident adult population of Hope Vale was </w:t>
      </w:r>
      <w:r w:rsidR="00F500CF">
        <w:t>7</w:t>
      </w:r>
      <w:r w:rsidR="003C04FA">
        <w:t>35</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03006E" w:rsidRPr="0003006E">
        <w:rPr>
          <w:vertAlign w:val="superscript"/>
        </w:rPr>
        <w:fldChar w:fldCharType="begin"/>
      </w:r>
      <w:r w:rsidR="0003006E" w:rsidRPr="0003006E">
        <w:rPr>
          <w:vertAlign w:val="superscript"/>
        </w:rPr>
        <w:instrText xml:space="preserve"> NOTEREF _Ref64367928 \h  \* MERGEFORMAT </w:instrText>
      </w:r>
      <w:r w:rsidR="0003006E" w:rsidRPr="0003006E">
        <w:rPr>
          <w:vertAlign w:val="superscript"/>
        </w:rPr>
      </w:r>
      <w:r w:rsidR="0003006E" w:rsidRPr="0003006E">
        <w:rPr>
          <w:vertAlign w:val="superscript"/>
        </w:rPr>
        <w:fldChar w:fldCharType="separate"/>
      </w:r>
      <w:r w:rsidR="001934B3">
        <w:rPr>
          <w:vertAlign w:val="superscript"/>
        </w:rPr>
        <w:t>22</w:t>
      </w:r>
      <w:r w:rsidR="0003006E" w:rsidRPr="0003006E">
        <w:rPr>
          <w:vertAlign w:val="superscript"/>
        </w:rPr>
        <w:fldChar w:fldCharType="end"/>
      </w:r>
      <w:r w:rsidR="0003006E">
        <w:rPr>
          <w:vertAlign w:val="superscript"/>
        </w:rPr>
        <w:t>,</w:t>
      </w:r>
      <w:r w:rsidR="0003006E">
        <w:rPr>
          <w:vertAlign w:val="superscript"/>
        </w:rPr>
        <w:fldChar w:fldCharType="begin"/>
      </w:r>
      <w:r w:rsidR="0003006E">
        <w:rPr>
          <w:vertAlign w:val="superscript"/>
        </w:rPr>
        <w:instrText xml:space="preserve"> NOTEREF _Ref459716829 \h </w:instrText>
      </w:r>
      <w:r w:rsidR="0003006E">
        <w:rPr>
          <w:vertAlign w:val="superscript"/>
        </w:rPr>
      </w:r>
      <w:r w:rsidR="0003006E">
        <w:rPr>
          <w:vertAlign w:val="superscript"/>
        </w:rPr>
        <w:fldChar w:fldCharType="separate"/>
      </w:r>
      <w:r w:rsidR="001934B3">
        <w:rPr>
          <w:vertAlign w:val="superscript"/>
        </w:rPr>
        <w:t>23</w:t>
      </w:r>
      <w:r w:rsidR="0003006E">
        <w:rPr>
          <w:vertAlign w:val="superscript"/>
        </w:rPr>
        <w:fldChar w:fldCharType="end"/>
      </w:r>
      <w:r w:rsidR="00F500CF" w:rsidRPr="008E7494">
        <w:t>.</w:t>
      </w:r>
    </w:p>
    <w:p w14:paraId="37A43BA9" w14:textId="77777777" w:rsidR="00F500CF" w:rsidRDefault="00F500CF" w:rsidP="00EC14C1">
      <w:pPr>
        <w:spacing w:line="240" w:lineRule="auto"/>
        <w:ind w:left="-142" w:right="-425"/>
        <w:jc w:val="both"/>
      </w:pPr>
    </w:p>
    <w:p w14:paraId="329190EC" w14:textId="6200F453" w:rsidR="00F500CF" w:rsidRDefault="000B5FD9" w:rsidP="00EC14C1">
      <w:pPr>
        <w:spacing w:line="240" w:lineRule="auto"/>
        <w:ind w:left="578" w:right="-425" w:hanging="720"/>
        <w:jc w:val="both"/>
      </w:pPr>
      <w:r w:rsidRPr="00EC14C1">
        <w:rPr>
          <w:b/>
        </w:rPr>
        <w:t>Mossman Gorge:</w:t>
      </w:r>
      <w:r>
        <w:t xml:space="preserve"> </w:t>
      </w:r>
      <w:r w:rsidR="00F500CF" w:rsidRPr="008E7494">
        <w:t xml:space="preserve">The </w:t>
      </w:r>
      <w:r w:rsidR="00F500CF">
        <w:t xml:space="preserve">Mossman Gorge </w:t>
      </w:r>
      <w:r w:rsidR="00F500CF" w:rsidRPr="008E7494">
        <w:t xml:space="preserve">community had an estimated resident population of </w:t>
      </w:r>
      <w:r w:rsidR="00F500CF">
        <w:t>87</w:t>
      </w:r>
      <w:r w:rsidR="00F500CF" w:rsidRPr="008E7494">
        <w:t xml:space="preserve"> people as </w:t>
      </w:r>
      <w:proofErr w:type="gramStart"/>
      <w:r w:rsidR="00F500CF" w:rsidRPr="008E7494">
        <w:t>at</w:t>
      </w:r>
      <w:proofErr w:type="gramEnd"/>
      <w:r w:rsidR="00F500CF" w:rsidRPr="008E7494">
        <w:t xml:space="preserve"> 30 June 201</w:t>
      </w:r>
      <w:r w:rsidR="003C04FA">
        <w:t>9</w:t>
      </w:r>
      <w:r w:rsidR="0003006E" w:rsidRPr="0003006E">
        <w:rPr>
          <w:vertAlign w:val="superscript"/>
        </w:rPr>
        <w:fldChar w:fldCharType="begin"/>
      </w:r>
      <w:r w:rsidR="0003006E" w:rsidRPr="0003006E">
        <w:rPr>
          <w:vertAlign w:val="superscript"/>
        </w:rPr>
        <w:instrText xml:space="preserve"> NOTEREF _Ref64367928 \h  \* MERGEFORMAT </w:instrText>
      </w:r>
      <w:r w:rsidR="0003006E" w:rsidRPr="0003006E">
        <w:rPr>
          <w:vertAlign w:val="superscript"/>
        </w:rPr>
      </w:r>
      <w:r w:rsidR="0003006E" w:rsidRPr="0003006E">
        <w:rPr>
          <w:vertAlign w:val="superscript"/>
        </w:rPr>
        <w:fldChar w:fldCharType="separate"/>
      </w:r>
      <w:r w:rsidR="001934B3">
        <w:rPr>
          <w:vertAlign w:val="superscript"/>
        </w:rPr>
        <w:t>22</w:t>
      </w:r>
      <w:r w:rsidR="0003006E" w:rsidRPr="0003006E">
        <w:rPr>
          <w:vertAlign w:val="superscript"/>
        </w:rPr>
        <w:fldChar w:fldCharType="end"/>
      </w:r>
      <w:r w:rsidR="002D3AC0">
        <w:rPr>
          <w:vertAlign w:val="superscript"/>
        </w:rPr>
        <w:t>,</w:t>
      </w:r>
      <w:r w:rsidR="00F500CF" w:rsidRPr="00F500CF">
        <w:rPr>
          <w:vertAlign w:val="superscript"/>
        </w:rPr>
        <w:footnoteReference w:id="25"/>
      </w:r>
      <w:r w:rsidR="00F500CF" w:rsidRPr="008E7494">
        <w:t>.</w:t>
      </w:r>
    </w:p>
    <w:p w14:paraId="346B1413" w14:textId="0AEDE237" w:rsidR="00663321" w:rsidRDefault="00663321" w:rsidP="00EC14C1">
      <w:pPr>
        <w:spacing w:line="240" w:lineRule="auto"/>
        <w:ind w:left="578" w:right="-425" w:hanging="720"/>
        <w:jc w:val="both"/>
      </w:pPr>
    </w:p>
    <w:p w14:paraId="284FB3E9" w14:textId="77777777" w:rsidR="00663321" w:rsidRDefault="00663321">
      <w:pPr>
        <w:spacing w:line="240" w:lineRule="auto"/>
        <w:rPr>
          <w:rFonts w:cs="Arial"/>
          <w:b/>
          <w:spacing w:val="-4"/>
          <w:kern w:val="28"/>
        </w:rPr>
      </w:pPr>
      <w:r>
        <w:br w:type="page"/>
      </w:r>
    </w:p>
    <w:p w14:paraId="2C7D86BB" w14:textId="59EC391E" w:rsidR="005A5B78" w:rsidRPr="00E34093" w:rsidRDefault="005A5B78" w:rsidP="005A5B78">
      <w:pPr>
        <w:pStyle w:val="Heading1"/>
        <w:ind w:left="-142" w:right="-426"/>
      </w:pPr>
      <w:bookmarkStart w:id="24" w:name="_Toc39657992"/>
      <w:r w:rsidRPr="00E34093">
        <w:lastRenderedPageBreak/>
        <w:t>2.  Future Direction</w:t>
      </w:r>
      <w:bookmarkEnd w:id="14"/>
      <w:bookmarkEnd w:id="15"/>
      <w:bookmarkEnd w:id="16"/>
      <w:bookmarkEnd w:id="17"/>
      <w:r w:rsidRPr="00E34093">
        <w:t xml:space="preserve"> and Challenges</w:t>
      </w:r>
      <w:bookmarkEnd w:id="24"/>
    </w:p>
    <w:p w14:paraId="66A68EAB" w14:textId="77777777" w:rsidR="005A5B78" w:rsidRDefault="005A5B78" w:rsidP="005A5B78">
      <w:pPr>
        <w:ind w:left="-142" w:right="-425"/>
        <w:jc w:val="both"/>
        <w:rPr>
          <w:rFonts w:cs="Arial"/>
          <w:b/>
          <w:sz w:val="16"/>
          <w:szCs w:val="16"/>
        </w:rPr>
      </w:pPr>
    </w:p>
    <w:p w14:paraId="06ED0AF3" w14:textId="45D4FEF0" w:rsidR="0010247F" w:rsidRPr="00C9245D" w:rsidRDefault="00E4641F" w:rsidP="0010247F">
      <w:pPr>
        <w:ind w:left="-142" w:right="-425"/>
        <w:jc w:val="both"/>
        <w:rPr>
          <w:rFonts w:cs="Arial"/>
          <w:b/>
          <w:bCs/>
          <w:u w:val="single"/>
        </w:rPr>
      </w:pPr>
      <w:bookmarkStart w:id="25" w:name="RANGE!A4:I20"/>
      <w:bookmarkEnd w:id="25"/>
      <w:r w:rsidRPr="00C9245D">
        <w:rPr>
          <w:rFonts w:cs="Arial"/>
          <w:b/>
          <w:bCs/>
          <w:u w:val="single"/>
        </w:rPr>
        <w:t>Longitudinal performance assessment</w:t>
      </w:r>
    </w:p>
    <w:p w14:paraId="22542EF7" w14:textId="77777777" w:rsidR="00E4641F" w:rsidRDefault="00E4641F" w:rsidP="0010247F">
      <w:pPr>
        <w:ind w:left="-142" w:right="-425"/>
        <w:jc w:val="both"/>
        <w:rPr>
          <w:rFonts w:cs="Arial"/>
        </w:rPr>
      </w:pPr>
    </w:p>
    <w:p w14:paraId="75F9C958" w14:textId="427A488A" w:rsidR="00E4641F" w:rsidRDefault="00E4641F" w:rsidP="0010247F">
      <w:pPr>
        <w:ind w:left="-142" w:right="-425"/>
        <w:jc w:val="both"/>
        <w:rPr>
          <w:rFonts w:cs="Arial"/>
        </w:rPr>
      </w:pPr>
      <w:r>
        <w:rPr>
          <w:rFonts w:cs="Arial"/>
        </w:rPr>
        <w:t xml:space="preserve">In February of this quarter the Commission undertook a longitudinal performance assessment of outcomes achieved since the commencement of its operations in July 2008. </w:t>
      </w:r>
      <w:r w:rsidR="00561667">
        <w:rPr>
          <w:rFonts w:cs="Arial"/>
        </w:rPr>
        <w:t>O</w:t>
      </w:r>
      <w:r w:rsidR="00BD4960" w:rsidRPr="00BD4960">
        <w:rPr>
          <w:rFonts w:cs="Arial"/>
        </w:rPr>
        <w:t>utline</w:t>
      </w:r>
      <w:r w:rsidR="00561667">
        <w:rPr>
          <w:rFonts w:cs="Arial"/>
        </w:rPr>
        <w:t>d</w:t>
      </w:r>
      <w:r w:rsidR="00BD4960" w:rsidRPr="00BD4960">
        <w:rPr>
          <w:rFonts w:cs="Arial"/>
        </w:rPr>
        <w:t xml:space="preserve"> below </w:t>
      </w:r>
      <w:r w:rsidR="00561667">
        <w:rPr>
          <w:rFonts w:cs="Arial"/>
        </w:rPr>
        <w:t xml:space="preserve">are </w:t>
      </w:r>
      <w:r w:rsidR="00BD4960" w:rsidRPr="00BD4960">
        <w:rPr>
          <w:rFonts w:cs="Arial"/>
        </w:rPr>
        <w:t xml:space="preserve">the key </w:t>
      </w:r>
      <w:r w:rsidR="001B7F3F">
        <w:rPr>
          <w:rFonts w:cs="Arial"/>
        </w:rPr>
        <w:t>findings</w:t>
      </w:r>
      <w:r w:rsidR="00BD4960" w:rsidRPr="00BD4960">
        <w:rPr>
          <w:rFonts w:cs="Arial"/>
        </w:rPr>
        <w:t xml:space="preserve"> from our longitudinal performance assessment</w:t>
      </w:r>
      <w:r w:rsidR="00E03613">
        <w:rPr>
          <w:rFonts w:cs="Arial"/>
        </w:rPr>
        <w:t xml:space="preserve"> which w</w:t>
      </w:r>
      <w:r w:rsidR="001B7F3F">
        <w:rPr>
          <w:rFonts w:cs="Arial"/>
        </w:rPr>
        <w:t>ere</w:t>
      </w:r>
      <w:r w:rsidR="00E03613">
        <w:rPr>
          <w:rFonts w:cs="Arial"/>
        </w:rPr>
        <w:t xml:space="preserve"> provided to the </w:t>
      </w:r>
      <w:r w:rsidR="001B7F3F">
        <w:rPr>
          <w:rFonts w:cs="Arial"/>
        </w:rPr>
        <w:t>F</w:t>
      </w:r>
      <w:r w:rsidR="00957647">
        <w:rPr>
          <w:rFonts w:cs="Arial"/>
        </w:rPr>
        <w:t xml:space="preserve">amily </w:t>
      </w:r>
      <w:r w:rsidR="001B7F3F">
        <w:rPr>
          <w:rFonts w:cs="Arial"/>
        </w:rPr>
        <w:t>R</w:t>
      </w:r>
      <w:r w:rsidR="00957647">
        <w:rPr>
          <w:rFonts w:cs="Arial"/>
        </w:rPr>
        <w:t>esponsibilities</w:t>
      </w:r>
      <w:r w:rsidR="001B7F3F">
        <w:rPr>
          <w:rFonts w:cs="Arial"/>
        </w:rPr>
        <w:t xml:space="preserve"> Board, Ministers from the </w:t>
      </w:r>
      <w:r w:rsidR="00E03613">
        <w:rPr>
          <w:rFonts w:cs="Arial"/>
        </w:rPr>
        <w:t xml:space="preserve">Queensland </w:t>
      </w:r>
      <w:r w:rsidR="001B7F3F">
        <w:rPr>
          <w:rFonts w:cs="Arial"/>
        </w:rPr>
        <w:t>and Australian Government</w:t>
      </w:r>
      <w:r w:rsidR="00957647">
        <w:rPr>
          <w:rFonts w:cs="Arial"/>
        </w:rPr>
        <w:t xml:space="preserve">s, </w:t>
      </w:r>
      <w:r w:rsidR="001B7F3F">
        <w:rPr>
          <w:rFonts w:cs="Arial"/>
        </w:rPr>
        <w:t xml:space="preserve">relevant key </w:t>
      </w:r>
      <w:proofErr w:type="gramStart"/>
      <w:r w:rsidR="001B7F3F">
        <w:rPr>
          <w:rFonts w:cs="Arial"/>
        </w:rPr>
        <w:t>stakeholders</w:t>
      </w:r>
      <w:proofErr w:type="gramEnd"/>
      <w:r w:rsidR="001B7F3F">
        <w:rPr>
          <w:rFonts w:cs="Arial"/>
        </w:rPr>
        <w:t xml:space="preserve"> and </w:t>
      </w:r>
      <w:r w:rsidR="00957647">
        <w:rPr>
          <w:rFonts w:cs="Arial"/>
        </w:rPr>
        <w:t xml:space="preserve">other </w:t>
      </w:r>
      <w:r w:rsidR="001B7F3F">
        <w:rPr>
          <w:rFonts w:cs="Arial"/>
        </w:rPr>
        <w:t>interested parties</w:t>
      </w:r>
      <w:r w:rsidR="00BD4960">
        <w:rPr>
          <w:rFonts w:cs="Arial"/>
        </w:rPr>
        <w:t xml:space="preserve">. </w:t>
      </w:r>
    </w:p>
    <w:p w14:paraId="08F8AB0D" w14:textId="46C6CEB7" w:rsidR="00160202" w:rsidRDefault="00160202" w:rsidP="0010247F">
      <w:pPr>
        <w:ind w:left="-142" w:right="-425"/>
        <w:jc w:val="both"/>
        <w:rPr>
          <w:rFonts w:cs="Arial"/>
        </w:rPr>
      </w:pPr>
    </w:p>
    <w:p w14:paraId="74E6BBC6" w14:textId="77777777" w:rsidR="00160202" w:rsidRPr="00C9245D" w:rsidRDefault="00160202" w:rsidP="00160202">
      <w:pPr>
        <w:ind w:left="-142" w:right="-425"/>
        <w:jc w:val="both"/>
        <w:rPr>
          <w:rFonts w:cs="Arial"/>
          <w:b/>
          <w:i/>
          <w:iCs/>
        </w:rPr>
      </w:pPr>
      <w:r w:rsidRPr="00C9245D">
        <w:rPr>
          <w:rFonts w:cs="Arial"/>
          <w:b/>
          <w:i/>
          <w:iCs/>
        </w:rPr>
        <w:t xml:space="preserve">Evidence of the FRC’s continued ability to support individual behavioural change </w:t>
      </w:r>
    </w:p>
    <w:p w14:paraId="52BE83C1" w14:textId="2D5F2202" w:rsidR="00160202" w:rsidRPr="00160202" w:rsidRDefault="00160202" w:rsidP="00160202">
      <w:pPr>
        <w:ind w:left="-142" w:right="-425"/>
        <w:jc w:val="both"/>
        <w:rPr>
          <w:rFonts w:cs="Arial"/>
          <w:b/>
          <w:bCs/>
        </w:rPr>
      </w:pPr>
      <w:r w:rsidRPr="00160202">
        <w:rPr>
          <w:rFonts w:cs="Arial"/>
          <w:bCs/>
        </w:rPr>
        <w:t xml:space="preserve">The Commission has continued to build on the increased client referrals (402) made to community-based service providers during the 2019-20 financial year. </w:t>
      </w:r>
      <w:r w:rsidRPr="00160202">
        <w:rPr>
          <w:rFonts w:cs="Arial"/>
          <w:b/>
          <w:i/>
          <w:iCs/>
        </w:rPr>
        <w:t xml:space="preserve">The Commission’s performance data from July </w:t>
      </w:r>
      <w:r w:rsidR="006C22C7">
        <w:rPr>
          <w:rFonts w:cs="Arial"/>
          <w:b/>
          <w:i/>
          <w:iCs/>
        </w:rPr>
        <w:t xml:space="preserve">2020 </w:t>
      </w:r>
      <w:r w:rsidRPr="00160202">
        <w:rPr>
          <w:rFonts w:cs="Arial"/>
          <w:b/>
          <w:i/>
          <w:iCs/>
        </w:rPr>
        <w:t xml:space="preserve">to </w:t>
      </w:r>
      <w:r w:rsidR="006C22C7">
        <w:rPr>
          <w:rFonts w:cs="Arial"/>
          <w:b/>
          <w:i/>
          <w:iCs/>
        </w:rPr>
        <w:t>March</w:t>
      </w:r>
      <w:r w:rsidRPr="00160202">
        <w:rPr>
          <w:rFonts w:cs="Arial"/>
          <w:b/>
          <w:i/>
          <w:iCs/>
        </w:rPr>
        <w:t xml:space="preserve"> 202</w:t>
      </w:r>
      <w:r w:rsidR="006C22C7">
        <w:rPr>
          <w:rFonts w:cs="Arial"/>
          <w:b/>
          <w:i/>
          <w:iCs/>
        </w:rPr>
        <w:t>1</w:t>
      </w:r>
      <w:r w:rsidRPr="00160202">
        <w:rPr>
          <w:rFonts w:cs="Arial"/>
          <w:b/>
          <w:i/>
          <w:iCs/>
        </w:rPr>
        <w:t xml:space="preserve"> records</w:t>
      </w:r>
      <w:r w:rsidR="007B43BC">
        <w:rPr>
          <w:rFonts w:cs="Arial"/>
          <w:b/>
          <w:i/>
          <w:iCs/>
        </w:rPr>
        <w:t xml:space="preserve"> a total of 389 referrals (</w:t>
      </w:r>
      <w:r w:rsidR="006C22C7">
        <w:rPr>
          <w:rFonts w:cs="Arial"/>
          <w:b/>
          <w:i/>
          <w:iCs/>
        </w:rPr>
        <w:t>38</w:t>
      </w:r>
      <w:r w:rsidR="007B43BC">
        <w:rPr>
          <w:rFonts w:cs="Arial"/>
          <w:b/>
          <w:i/>
          <w:iCs/>
        </w:rPr>
        <w:t>3</w:t>
      </w:r>
      <w:r w:rsidRPr="00160202">
        <w:rPr>
          <w:rFonts w:cs="Arial"/>
          <w:b/>
          <w:i/>
          <w:iCs/>
        </w:rPr>
        <w:t xml:space="preserve"> </w:t>
      </w:r>
      <w:r w:rsidR="007B43BC">
        <w:rPr>
          <w:rFonts w:cs="Arial"/>
          <w:b/>
          <w:i/>
          <w:iCs/>
        </w:rPr>
        <w:t xml:space="preserve">non-voluntary </w:t>
      </w:r>
      <w:r w:rsidRPr="00160202">
        <w:rPr>
          <w:rFonts w:cs="Arial"/>
          <w:b/>
          <w:i/>
          <w:iCs/>
        </w:rPr>
        <w:t>referrals</w:t>
      </w:r>
      <w:r w:rsidR="007B43BC">
        <w:rPr>
          <w:rFonts w:cs="Arial"/>
          <w:b/>
          <w:i/>
          <w:iCs/>
        </w:rPr>
        <w:t xml:space="preserve"> from ‘Family Responsibilities’ Agreements and Orders and 6 voluntary referrals</w:t>
      </w:r>
      <w:r w:rsidR="00D02D6A">
        <w:rPr>
          <w:rFonts w:cs="Arial"/>
          <w:b/>
          <w:i/>
          <w:iCs/>
        </w:rPr>
        <w:t>)</w:t>
      </w:r>
      <w:r w:rsidRPr="00160202">
        <w:rPr>
          <w:rFonts w:cs="Arial"/>
          <w:b/>
          <w:i/>
          <w:iCs/>
        </w:rPr>
        <w:t xml:space="preserve"> – showing a sustained trend from the previous year.</w:t>
      </w:r>
      <w:r w:rsidRPr="00160202">
        <w:rPr>
          <w:rFonts w:cs="Arial"/>
          <w:bCs/>
        </w:rPr>
        <w:t xml:space="preserve"> </w:t>
      </w:r>
      <w:r w:rsidRPr="00160202">
        <w:rPr>
          <w:rFonts w:cs="Arial"/>
        </w:rPr>
        <w:t xml:space="preserve">A nexus between the value of FRC’s mandated referrals and positive client behavioural change is provided by Cape York Partnerships (CYP) who report that since 2014, </w:t>
      </w:r>
      <w:r w:rsidR="00B62314">
        <w:rPr>
          <w:rFonts w:cs="Arial"/>
        </w:rPr>
        <w:t xml:space="preserve">as </w:t>
      </w:r>
      <w:proofErr w:type="gramStart"/>
      <w:r w:rsidR="00B62314">
        <w:rPr>
          <w:rFonts w:cs="Arial"/>
        </w:rPr>
        <w:t>at</w:t>
      </w:r>
      <w:proofErr w:type="gramEnd"/>
      <w:r w:rsidR="00B62314">
        <w:rPr>
          <w:rFonts w:cs="Arial"/>
        </w:rPr>
        <w:t xml:space="preserve"> 30</w:t>
      </w:r>
      <w:r w:rsidR="00463DF6">
        <w:rPr>
          <w:rFonts w:cs="Arial"/>
        </w:rPr>
        <w:t xml:space="preserve"> November </w:t>
      </w:r>
      <w:r w:rsidR="00B62314">
        <w:rPr>
          <w:rFonts w:cs="Arial"/>
        </w:rPr>
        <w:t xml:space="preserve">2020 </w:t>
      </w:r>
      <w:r w:rsidRPr="00160202">
        <w:rPr>
          <w:rFonts w:cs="Arial"/>
        </w:rPr>
        <w:t xml:space="preserve">239 clients have been referred to the </w:t>
      </w:r>
      <w:proofErr w:type="spellStart"/>
      <w:r w:rsidRPr="00160202">
        <w:rPr>
          <w:rFonts w:cs="Arial"/>
        </w:rPr>
        <w:t>Mpower</w:t>
      </w:r>
      <w:proofErr w:type="spellEnd"/>
      <w:r w:rsidRPr="00160202">
        <w:rPr>
          <w:rFonts w:cs="Arial"/>
        </w:rPr>
        <w:t xml:space="preserve"> program by the FRC for financial support. CYP provided analysis undertaken on 133 of these clients who had completed their FRC case plans</w:t>
      </w:r>
      <w:r w:rsidR="000824D7">
        <w:rPr>
          <w:rFonts w:cs="Arial"/>
        </w:rPr>
        <w:t xml:space="preserve">. This data was provided in </w:t>
      </w:r>
      <w:r w:rsidR="00403370">
        <w:rPr>
          <w:rFonts w:cs="Arial"/>
        </w:rPr>
        <w:t>q</w:t>
      </w:r>
      <w:r w:rsidR="000824D7">
        <w:rPr>
          <w:rFonts w:cs="Arial"/>
        </w:rPr>
        <w:t xml:space="preserve">uarterly </w:t>
      </w:r>
      <w:r w:rsidR="00403370">
        <w:rPr>
          <w:rFonts w:cs="Arial"/>
        </w:rPr>
        <w:t>r</w:t>
      </w:r>
      <w:r w:rsidR="000824D7">
        <w:rPr>
          <w:rFonts w:cs="Arial"/>
        </w:rPr>
        <w:t>eport 50, however, for the purposes of reporting the findings of our longitudinal performance assessment in full, they are repeated here. CYP</w:t>
      </w:r>
      <w:r w:rsidRPr="00160202">
        <w:rPr>
          <w:rFonts w:cs="Arial"/>
        </w:rPr>
        <w:t xml:space="preserve"> found that ninety-one percent (91%) of the 133 clients are reported to have attended either during and/or after their case plans had concluded. Significantly, eighty-one percent (81%) of these clients continued to engage with the O-Hub </w:t>
      </w:r>
      <w:r w:rsidRPr="00160202">
        <w:rPr>
          <w:rFonts w:cs="Arial"/>
          <w:u w:val="single"/>
        </w:rPr>
        <w:t>after</w:t>
      </w:r>
      <w:r w:rsidRPr="00160202">
        <w:rPr>
          <w:rFonts w:cs="Arial"/>
        </w:rPr>
        <w:t xml:space="preserve"> their FRC case plan term had expired by choosing to access further O-Hub resources such as Parenting and Student Education Trust </w:t>
      </w:r>
      <w:proofErr w:type="gramStart"/>
      <w:r w:rsidRPr="00160202">
        <w:rPr>
          <w:rFonts w:cs="Arial"/>
        </w:rPr>
        <w:t>support, or</w:t>
      </w:r>
      <w:proofErr w:type="gramEnd"/>
      <w:r w:rsidRPr="00160202">
        <w:rPr>
          <w:rFonts w:cs="Arial"/>
        </w:rPr>
        <w:t xml:space="preserve"> continuing to engage with the </w:t>
      </w:r>
      <w:proofErr w:type="spellStart"/>
      <w:r w:rsidRPr="00160202">
        <w:rPr>
          <w:rFonts w:cs="Arial"/>
        </w:rPr>
        <w:t>Mpower</w:t>
      </w:r>
      <w:proofErr w:type="spellEnd"/>
      <w:r w:rsidRPr="00160202">
        <w:rPr>
          <w:rFonts w:cs="Arial"/>
        </w:rPr>
        <w:t xml:space="preserve"> program on a voluntary basis. The data highlights in positive terms the willingness and motivation of clients to seek continued support - indicative of an improved self-awareness and insight – elements necessary to facilitate long term behavioural change.</w:t>
      </w:r>
    </w:p>
    <w:p w14:paraId="71D16172" w14:textId="77777777" w:rsidR="00160202" w:rsidRPr="00160202" w:rsidRDefault="00160202" w:rsidP="00160202">
      <w:pPr>
        <w:ind w:left="-142" w:right="-425"/>
        <w:jc w:val="both"/>
        <w:rPr>
          <w:rFonts w:cs="Arial"/>
        </w:rPr>
      </w:pPr>
    </w:p>
    <w:p w14:paraId="0894468E" w14:textId="77777777" w:rsidR="00160202" w:rsidRPr="00C9245D" w:rsidRDefault="00160202" w:rsidP="00160202">
      <w:pPr>
        <w:ind w:left="-142" w:right="-425"/>
        <w:jc w:val="both"/>
        <w:rPr>
          <w:rFonts w:cs="Arial"/>
          <w:b/>
          <w:i/>
          <w:iCs/>
        </w:rPr>
      </w:pPr>
      <w:r w:rsidRPr="00C9245D">
        <w:rPr>
          <w:rFonts w:cs="Arial"/>
          <w:b/>
          <w:i/>
          <w:iCs/>
        </w:rPr>
        <w:t>Evidence of community-level impact</w:t>
      </w:r>
    </w:p>
    <w:p w14:paraId="3B637E0B" w14:textId="5DF46665" w:rsidR="00160202" w:rsidRPr="00160202" w:rsidRDefault="00160202" w:rsidP="00160202">
      <w:pPr>
        <w:ind w:left="-142" w:right="-425"/>
        <w:jc w:val="both"/>
        <w:rPr>
          <w:rFonts w:cs="Arial"/>
        </w:rPr>
      </w:pPr>
      <w:r w:rsidRPr="00160202">
        <w:rPr>
          <w:rFonts w:cs="Arial"/>
        </w:rPr>
        <w:t xml:space="preserve">According to the Collins Dictionary “a generation is the period of time, usually considered to be about thirty years, that it takes for children to grow up and become adults and have children of their own”. The FRC has been operating for less than half a generation (12 and a-half years) in the communities of Aurukun, Coen, Hope Vale and Mossman Gorge (and 6 and a-half years in Doomadgee), yet the data shows positive trends emerging in these communities. This suggests </w:t>
      </w:r>
      <w:r w:rsidRPr="00160202">
        <w:rPr>
          <w:rFonts w:cs="Arial"/>
          <w:b/>
          <w:bCs/>
          <w:i/>
          <w:iCs/>
        </w:rPr>
        <w:t>the broader reforms (of which the FRC is a key component) working in partnership with community members and their families are making progress to improve wellbeing and socio-economic outcomes in the Welfare Reform communities</w:t>
      </w:r>
      <w:r w:rsidRPr="00160202">
        <w:rPr>
          <w:rFonts w:cs="Arial"/>
        </w:rPr>
        <w:t xml:space="preserve">. The number of </w:t>
      </w:r>
      <w:r w:rsidR="00AE7F03">
        <w:rPr>
          <w:rFonts w:cs="Arial"/>
        </w:rPr>
        <w:t>a</w:t>
      </w:r>
      <w:r w:rsidRPr="00160202">
        <w:rPr>
          <w:rFonts w:cs="Arial"/>
        </w:rPr>
        <w:t xml:space="preserve">gency </w:t>
      </w:r>
      <w:r w:rsidR="00AE7F03">
        <w:rPr>
          <w:rFonts w:cs="Arial"/>
        </w:rPr>
        <w:t>n</w:t>
      </w:r>
      <w:r w:rsidRPr="00160202">
        <w:rPr>
          <w:rFonts w:cs="Arial"/>
        </w:rPr>
        <w:t xml:space="preserve">otices received from reporting agencies over a period were analysed relating to community members within the FRC’s jurisdiction not meeting pre-determined obligations and the results </w:t>
      </w:r>
      <w:proofErr w:type="gramStart"/>
      <w:r w:rsidRPr="00160202">
        <w:rPr>
          <w:rFonts w:cs="Arial"/>
        </w:rPr>
        <w:t>in regard to</w:t>
      </w:r>
      <w:proofErr w:type="gramEnd"/>
      <w:r w:rsidRPr="00160202">
        <w:rPr>
          <w:rFonts w:cs="Arial"/>
        </w:rPr>
        <w:t xml:space="preserve"> Child Safety</w:t>
      </w:r>
      <w:r w:rsidR="00AE7F03">
        <w:rPr>
          <w:rFonts w:cs="Arial"/>
        </w:rPr>
        <w:t xml:space="preserve"> and Welfare</w:t>
      </w:r>
      <w:r w:rsidRPr="00160202">
        <w:rPr>
          <w:rFonts w:cs="Arial"/>
        </w:rPr>
        <w:t xml:space="preserve">, Housing </w:t>
      </w:r>
      <w:r w:rsidR="00AE7F03">
        <w:rPr>
          <w:rFonts w:cs="Arial"/>
        </w:rPr>
        <w:t xml:space="preserve">Tenancy </w:t>
      </w:r>
      <w:r w:rsidRPr="00160202">
        <w:rPr>
          <w:rFonts w:cs="Arial"/>
        </w:rPr>
        <w:t>and Court Notices follows:</w:t>
      </w:r>
    </w:p>
    <w:p w14:paraId="72E73845" w14:textId="77777777" w:rsidR="00160202" w:rsidRPr="00160202" w:rsidRDefault="00160202" w:rsidP="00160202">
      <w:pPr>
        <w:ind w:left="-142" w:right="-425"/>
        <w:jc w:val="both"/>
        <w:rPr>
          <w:rFonts w:cs="Arial"/>
        </w:rPr>
      </w:pPr>
    </w:p>
    <w:p w14:paraId="2B66ABD3" w14:textId="77777777" w:rsidR="00160202" w:rsidRPr="00160202" w:rsidRDefault="00160202" w:rsidP="00160202">
      <w:pPr>
        <w:ind w:left="-142" w:right="-425"/>
        <w:jc w:val="both"/>
        <w:rPr>
          <w:rFonts w:cs="Arial"/>
          <w:b/>
          <w:bCs/>
        </w:rPr>
      </w:pPr>
      <w:r w:rsidRPr="00C9245D">
        <w:rPr>
          <w:rFonts w:cs="Arial"/>
          <w:b/>
          <w:bCs/>
          <w:i/>
          <w:iCs/>
        </w:rPr>
        <w:t>Child Safety:</w:t>
      </w:r>
      <w:r w:rsidRPr="00160202">
        <w:rPr>
          <w:rFonts w:cs="Arial"/>
          <w:b/>
          <w:bCs/>
        </w:rPr>
        <w:t xml:space="preserve"> </w:t>
      </w:r>
      <w:r w:rsidRPr="00160202">
        <w:rPr>
          <w:rFonts w:cs="Arial"/>
          <w:b/>
          <w:bCs/>
        </w:rPr>
        <w:tab/>
      </w:r>
      <w:r w:rsidRPr="00160202">
        <w:rPr>
          <w:rFonts w:cs="Arial"/>
          <w:b/>
          <w:bCs/>
          <w:i/>
          <w:iCs/>
        </w:rPr>
        <w:t>FRC communities report a 69% decrease in child safety investigations contrary to the state-wide upward trend of notifications for Aboriginal and Torres Strait Islander children.</w:t>
      </w:r>
    </w:p>
    <w:p w14:paraId="1CDA81C4" w14:textId="756EC204" w:rsidR="00160202" w:rsidRPr="00160202" w:rsidRDefault="00160202" w:rsidP="00160202">
      <w:pPr>
        <w:ind w:left="-142" w:right="-425"/>
        <w:jc w:val="both"/>
        <w:rPr>
          <w:rFonts w:cs="Arial"/>
        </w:rPr>
      </w:pPr>
      <w:r w:rsidRPr="00160202">
        <w:rPr>
          <w:rFonts w:cs="Arial"/>
        </w:rPr>
        <w:t xml:space="preserve">During the first six years of the Commission’s operations – from 2008/09 to 2013/14 - the FRC received a total of 506 </w:t>
      </w:r>
      <w:r w:rsidR="00AE7F03">
        <w:rPr>
          <w:rFonts w:cs="Arial"/>
        </w:rPr>
        <w:t>a</w:t>
      </w:r>
      <w:r w:rsidRPr="00160202">
        <w:rPr>
          <w:rFonts w:cs="Arial"/>
        </w:rPr>
        <w:t xml:space="preserve">gency </w:t>
      </w:r>
      <w:r w:rsidR="00AE7F03">
        <w:rPr>
          <w:rFonts w:cs="Arial"/>
        </w:rPr>
        <w:t>n</w:t>
      </w:r>
      <w:r w:rsidRPr="00160202">
        <w:rPr>
          <w:rFonts w:cs="Arial"/>
        </w:rPr>
        <w:t xml:space="preserve">otices from Child Safety Services advising of investigations and assessments of allegations undertaken as there was a reasonable suspicion that a child </w:t>
      </w:r>
      <w:proofErr w:type="gramStart"/>
      <w:r w:rsidRPr="00160202">
        <w:rPr>
          <w:rFonts w:cs="Arial"/>
        </w:rPr>
        <w:t>was in need of</w:t>
      </w:r>
      <w:proofErr w:type="gramEnd"/>
      <w:r w:rsidRPr="00160202">
        <w:rPr>
          <w:rFonts w:cs="Arial"/>
        </w:rPr>
        <w:t xml:space="preserve"> protection. At this time the FRC only operated in the four Cape York communities of Aurukun, Coen, Hope Vale and Mossman Gorge. When compared to the next six years of the Commission’s operations – from 2014/15 to 2019/20 – the FRC received a total of 158 </w:t>
      </w:r>
      <w:r w:rsidR="00AE7F03">
        <w:rPr>
          <w:rFonts w:cs="Arial"/>
        </w:rPr>
        <w:t>a</w:t>
      </w:r>
      <w:r w:rsidRPr="00160202">
        <w:rPr>
          <w:rFonts w:cs="Arial"/>
        </w:rPr>
        <w:t xml:space="preserve">gency </w:t>
      </w:r>
      <w:r w:rsidR="00AE7F03">
        <w:rPr>
          <w:rFonts w:cs="Arial"/>
        </w:rPr>
        <w:t>n</w:t>
      </w:r>
      <w:r w:rsidRPr="00160202">
        <w:rPr>
          <w:rFonts w:cs="Arial"/>
        </w:rPr>
        <w:t xml:space="preserve">otices from Child Safety Services </w:t>
      </w:r>
      <w:r w:rsidRPr="00160202">
        <w:rPr>
          <w:rFonts w:cs="Arial"/>
        </w:rPr>
        <w:lastRenderedPageBreak/>
        <w:t xml:space="preserve">advising of investigations and assessments of allegations undertaken as there was a reasonable suspicion that a child </w:t>
      </w:r>
      <w:proofErr w:type="gramStart"/>
      <w:r w:rsidRPr="00160202">
        <w:rPr>
          <w:rFonts w:cs="Arial"/>
        </w:rPr>
        <w:t>was in need of</w:t>
      </w:r>
      <w:proofErr w:type="gramEnd"/>
      <w:r w:rsidRPr="00160202">
        <w:rPr>
          <w:rFonts w:cs="Arial"/>
        </w:rPr>
        <w:t xml:space="preserve"> protection. This represents a decrease of 69% of </w:t>
      </w:r>
      <w:r w:rsidR="00B21C57">
        <w:rPr>
          <w:rFonts w:cs="Arial"/>
        </w:rPr>
        <w:t>a</w:t>
      </w:r>
      <w:r w:rsidRPr="00160202">
        <w:rPr>
          <w:rFonts w:cs="Arial"/>
        </w:rPr>
        <w:t xml:space="preserve">gency </w:t>
      </w:r>
      <w:r w:rsidR="00B21C57">
        <w:rPr>
          <w:rFonts w:cs="Arial"/>
        </w:rPr>
        <w:t>n</w:t>
      </w:r>
      <w:r w:rsidRPr="00160202">
        <w:rPr>
          <w:rFonts w:cs="Arial"/>
        </w:rPr>
        <w:t>otices received from Child Safety Services relating to investigations undertaken (within the FRC’s jurisdiction) between the two periods.</w:t>
      </w:r>
    </w:p>
    <w:p w14:paraId="05B0F3F4" w14:textId="77777777" w:rsidR="00160202" w:rsidRPr="00160202" w:rsidRDefault="00160202" w:rsidP="00160202">
      <w:pPr>
        <w:ind w:left="-142" w:right="-425"/>
        <w:jc w:val="both"/>
        <w:rPr>
          <w:rFonts w:cs="Arial"/>
        </w:rPr>
      </w:pPr>
    </w:p>
    <w:p w14:paraId="708B9082" w14:textId="45F514AA" w:rsidR="00160202" w:rsidRPr="00160202" w:rsidRDefault="00160202" w:rsidP="00160202">
      <w:pPr>
        <w:ind w:left="-142" w:right="-425"/>
        <w:jc w:val="both"/>
        <w:rPr>
          <w:rFonts w:cs="Arial"/>
        </w:rPr>
      </w:pPr>
      <w:r w:rsidRPr="00160202">
        <w:rPr>
          <w:rFonts w:cs="Arial"/>
        </w:rPr>
        <w:t xml:space="preserve">The FRC has also seen </w:t>
      </w:r>
      <w:r w:rsidRPr="00160202">
        <w:rPr>
          <w:rFonts w:cs="Arial"/>
          <w:b/>
          <w:bCs/>
          <w:i/>
          <w:iCs/>
        </w:rPr>
        <w:t xml:space="preserve">an overall decrease (approximately 11%) in the total number of </w:t>
      </w:r>
      <w:r w:rsidR="00CE2D22">
        <w:rPr>
          <w:rFonts w:cs="Arial"/>
          <w:b/>
          <w:bCs/>
          <w:i/>
          <w:iCs/>
        </w:rPr>
        <w:t>agency notices</w:t>
      </w:r>
      <w:r w:rsidRPr="00160202">
        <w:rPr>
          <w:rFonts w:cs="Arial"/>
          <w:b/>
          <w:bCs/>
          <w:i/>
          <w:iCs/>
        </w:rPr>
        <w:t xml:space="preserve"> received from Child Safety Services</w:t>
      </w:r>
      <w:r w:rsidRPr="00160202">
        <w:rPr>
          <w:rFonts w:cs="Arial"/>
        </w:rPr>
        <w:t>, inclusive of notifications for investigations and assessment, as well as the lowest threshold, Child Concern Reports over the same time series. In contrast the state-wide child protection trend for notifications is showing a continuous upward trajectory since 2015, notwithstanding the implementation of reforms following the Carmody Inquiry which highlighted the over representation of Aboriginal and Torres Strait Islander children in the child protection system.</w:t>
      </w:r>
    </w:p>
    <w:p w14:paraId="3533C643" w14:textId="77777777" w:rsidR="00160202" w:rsidRPr="00160202" w:rsidRDefault="00160202" w:rsidP="00160202">
      <w:pPr>
        <w:ind w:left="-142" w:right="-425"/>
        <w:jc w:val="both"/>
        <w:rPr>
          <w:rFonts w:cs="Arial"/>
        </w:rPr>
      </w:pPr>
    </w:p>
    <w:p w14:paraId="1E49B5B5" w14:textId="44927F09" w:rsidR="00160202" w:rsidRPr="00160202" w:rsidRDefault="00160202" w:rsidP="00160202">
      <w:pPr>
        <w:ind w:left="-142" w:right="-425"/>
        <w:jc w:val="both"/>
        <w:rPr>
          <w:rFonts w:cs="Arial"/>
          <w:b/>
          <w:bCs/>
        </w:rPr>
      </w:pPr>
      <w:r w:rsidRPr="00C9245D">
        <w:rPr>
          <w:rFonts w:cs="Arial"/>
          <w:b/>
          <w:bCs/>
          <w:i/>
          <w:iCs/>
        </w:rPr>
        <w:t>Housing:</w:t>
      </w:r>
      <w:r w:rsidR="00DF46B0">
        <w:rPr>
          <w:rFonts w:cs="Arial"/>
          <w:b/>
          <w:bCs/>
          <w:i/>
          <w:iCs/>
        </w:rPr>
        <w:t xml:space="preserve">  </w:t>
      </w:r>
      <w:r w:rsidRPr="00160202">
        <w:rPr>
          <w:rFonts w:cs="Arial"/>
          <w:b/>
          <w:bCs/>
          <w:i/>
          <w:iCs/>
        </w:rPr>
        <w:t>FRC communities report a decrease of 32</w:t>
      </w:r>
      <w:r w:rsidR="00C9245D">
        <w:rPr>
          <w:rFonts w:cs="Arial"/>
          <w:b/>
          <w:bCs/>
          <w:i/>
          <w:iCs/>
        </w:rPr>
        <w:t>%</w:t>
      </w:r>
      <w:r w:rsidRPr="00160202">
        <w:rPr>
          <w:rFonts w:cs="Arial"/>
          <w:b/>
          <w:bCs/>
          <w:i/>
          <w:iCs/>
        </w:rPr>
        <w:t xml:space="preserve"> in </w:t>
      </w:r>
      <w:r w:rsidR="00BE549F">
        <w:rPr>
          <w:rFonts w:cs="Arial"/>
          <w:b/>
          <w:bCs/>
          <w:i/>
          <w:iCs/>
        </w:rPr>
        <w:t>a</w:t>
      </w:r>
      <w:r w:rsidR="00CE2D22">
        <w:rPr>
          <w:rFonts w:cs="Arial"/>
          <w:b/>
          <w:bCs/>
          <w:i/>
          <w:iCs/>
        </w:rPr>
        <w:t>gency notices</w:t>
      </w:r>
      <w:r w:rsidRPr="00160202">
        <w:rPr>
          <w:rFonts w:cs="Arial"/>
          <w:b/>
          <w:bCs/>
          <w:i/>
          <w:iCs/>
        </w:rPr>
        <w:t xml:space="preserve"> about residential tenancy agreements.</w:t>
      </w:r>
    </w:p>
    <w:p w14:paraId="0CCCB188" w14:textId="219F86EB" w:rsidR="00160202" w:rsidRPr="00160202" w:rsidRDefault="00160202" w:rsidP="00160202">
      <w:pPr>
        <w:ind w:left="-142" w:right="-425"/>
        <w:jc w:val="both"/>
        <w:rPr>
          <w:rFonts w:cs="Arial"/>
        </w:rPr>
      </w:pPr>
      <w:r w:rsidRPr="00160202">
        <w:rPr>
          <w:rFonts w:cs="Arial"/>
        </w:rPr>
        <w:t xml:space="preserve">During the first six years of the Commission’s operations (2008/09 to 2013/14) the FRC received a total of 374 </w:t>
      </w:r>
      <w:r w:rsidR="00940598">
        <w:rPr>
          <w:rFonts w:cs="Arial"/>
        </w:rPr>
        <w:t>a</w:t>
      </w:r>
      <w:r w:rsidR="00CE2D22">
        <w:rPr>
          <w:rFonts w:cs="Arial"/>
        </w:rPr>
        <w:t>gency notices</w:t>
      </w:r>
      <w:r w:rsidRPr="00160202">
        <w:rPr>
          <w:rFonts w:cs="Arial"/>
        </w:rPr>
        <w:t xml:space="preserve"> from lessors of social housing relating to certain breaches of a tenant’s residential tenancy agreement. When compared to the next six years of the Commission’s operations (2014/15 to 2019/20) the FRC received a total of 254 </w:t>
      </w:r>
      <w:r w:rsidR="003F6AC9">
        <w:rPr>
          <w:rFonts w:cs="Arial"/>
        </w:rPr>
        <w:t>a</w:t>
      </w:r>
      <w:r w:rsidR="00CE2D22">
        <w:rPr>
          <w:rFonts w:cs="Arial"/>
        </w:rPr>
        <w:t>gency notices</w:t>
      </w:r>
      <w:r w:rsidRPr="00160202">
        <w:rPr>
          <w:rFonts w:cs="Arial"/>
        </w:rPr>
        <w:t xml:space="preserve">. This represents a decrease of 32% of </w:t>
      </w:r>
      <w:r w:rsidR="003F6AC9">
        <w:rPr>
          <w:rFonts w:cs="Arial"/>
        </w:rPr>
        <w:t>a</w:t>
      </w:r>
      <w:r w:rsidR="00CE2D22">
        <w:rPr>
          <w:rFonts w:cs="Arial"/>
        </w:rPr>
        <w:t>gency notices</w:t>
      </w:r>
      <w:r w:rsidRPr="00160202">
        <w:rPr>
          <w:rFonts w:cs="Arial"/>
        </w:rPr>
        <w:t xml:space="preserve"> received from lessors between the two periods. These results can be attributed to the FRC’s capacity to support clients through early intervention to address the issues they have raised during conference and assist them to enter into repayment agreements, mediate disputes in relation to neighbourhood behaviour or damage, and develop plans to resolve breach matters. The FRC has achieved tangible and measurable outcomes towards improving housing stability in remote Aboriginal communities, as intended by the</w:t>
      </w:r>
      <w:r w:rsidRPr="00160202">
        <w:rPr>
          <w:rFonts w:cs="Arial"/>
          <w:i/>
          <w:iCs/>
        </w:rPr>
        <w:t xml:space="preserve"> Aboriginal and Torres Strait Islander Housing Action Plan 2019 – 2023</w:t>
      </w:r>
      <w:r w:rsidRPr="00160202">
        <w:rPr>
          <w:rFonts w:cs="Arial"/>
        </w:rPr>
        <w:t xml:space="preserve">. The continued operations of the FRC and possible expansion into other communities, further provides an opportunity for the Australian and Queensland Governments to leverage the success of the Commission towards attaining the </w:t>
      </w:r>
      <w:r w:rsidRPr="00160202">
        <w:rPr>
          <w:rFonts w:cs="Arial"/>
          <w:i/>
          <w:iCs/>
        </w:rPr>
        <w:t>National Agreement on Closing the Gap</w:t>
      </w:r>
      <w:r w:rsidRPr="00160202">
        <w:rPr>
          <w:rFonts w:cs="Arial"/>
        </w:rPr>
        <w:t xml:space="preserve"> target by 2031 of increasing the proportion of Aboriginal and Torres Strait Islander people living in appropriately sized (not overcrowded) housing to 88 percent.</w:t>
      </w:r>
    </w:p>
    <w:p w14:paraId="23C35A8B" w14:textId="77777777" w:rsidR="00160202" w:rsidRPr="00160202" w:rsidRDefault="00160202" w:rsidP="00160202">
      <w:pPr>
        <w:ind w:left="-142" w:right="-425"/>
        <w:jc w:val="both"/>
        <w:rPr>
          <w:rFonts w:cs="Arial"/>
        </w:rPr>
      </w:pPr>
    </w:p>
    <w:p w14:paraId="18753973" w14:textId="08AA5CBF" w:rsidR="00160202" w:rsidRPr="00160202" w:rsidRDefault="00160202" w:rsidP="00160202">
      <w:pPr>
        <w:ind w:left="-142" w:right="-425"/>
        <w:jc w:val="both"/>
        <w:rPr>
          <w:rFonts w:cs="Arial"/>
        </w:rPr>
      </w:pPr>
      <w:r w:rsidRPr="00DF46B0">
        <w:rPr>
          <w:rFonts w:cs="Arial"/>
          <w:b/>
          <w:bCs/>
          <w:i/>
          <w:iCs/>
        </w:rPr>
        <w:t>Criminal justice:</w:t>
      </w:r>
      <w:r w:rsidRPr="00160202">
        <w:rPr>
          <w:rFonts w:cs="Arial"/>
          <w:b/>
          <w:bCs/>
        </w:rPr>
        <w:t xml:space="preserve"> </w:t>
      </w:r>
      <w:r w:rsidR="00DF46B0">
        <w:rPr>
          <w:rFonts w:cs="Arial"/>
          <w:b/>
          <w:bCs/>
        </w:rPr>
        <w:t xml:space="preserve"> </w:t>
      </w:r>
      <w:r w:rsidRPr="00160202">
        <w:rPr>
          <w:rFonts w:cs="Arial"/>
          <w:b/>
          <w:bCs/>
          <w:i/>
          <w:iCs/>
        </w:rPr>
        <w:t xml:space="preserve">FRC communities report a decrease of 23 percent in </w:t>
      </w:r>
      <w:r w:rsidR="00FB4673">
        <w:rPr>
          <w:rFonts w:cs="Arial"/>
          <w:b/>
          <w:bCs/>
          <w:i/>
          <w:iCs/>
        </w:rPr>
        <w:t>a</w:t>
      </w:r>
      <w:r w:rsidR="00CE2D22">
        <w:rPr>
          <w:rFonts w:cs="Arial"/>
          <w:b/>
          <w:bCs/>
          <w:i/>
          <w:iCs/>
        </w:rPr>
        <w:t>gency notices</w:t>
      </w:r>
      <w:r w:rsidRPr="00160202">
        <w:rPr>
          <w:rFonts w:cs="Arial"/>
          <w:b/>
          <w:bCs/>
          <w:i/>
          <w:iCs/>
        </w:rPr>
        <w:t xml:space="preserve"> for convictions in the District and Supreme Courts</w:t>
      </w:r>
    </w:p>
    <w:p w14:paraId="6429B808" w14:textId="3380E00D" w:rsidR="00160202" w:rsidRPr="00160202" w:rsidRDefault="00160202" w:rsidP="00160202">
      <w:pPr>
        <w:ind w:left="-142" w:right="-425"/>
        <w:jc w:val="both"/>
        <w:rPr>
          <w:rFonts w:cs="Arial"/>
        </w:rPr>
      </w:pPr>
      <w:r w:rsidRPr="00160202">
        <w:rPr>
          <w:rFonts w:cs="Arial"/>
        </w:rPr>
        <w:t xml:space="preserve">A comparison of the periods 2014/15 to 2016/17 and 2017/18 to 2019/20 show a decrease of 23 percent in the number of Supreme and District Court notices received. These jurisdictions deal with the more serious levels of offending, and the 23 percent reduction may be indicative of the early intervention mechanism which impedes the escalation of criminal behaviour and subsequent levels of harm. The FRC is a key criminal justice diversionary and demand management initiative of the Queensland Government and is consistent with justice-related Portfolio Priorities Statement. The FRC has achieved tangible and measurable outcomes towards reducing the offending and consequential conviction of serious offences in the District and Supreme Courts by adults from the Aboriginal remote communities of Aurukun, Coen, Hope Vale and Mossman Gorge. The continued operations of the FRC and possible expansion into other communities, further provides an opportunity for the Australian and Queensland Governments to leverage the success of the Commission towards attaining the </w:t>
      </w:r>
      <w:r w:rsidRPr="00160202">
        <w:rPr>
          <w:rFonts w:cs="Arial"/>
          <w:i/>
          <w:iCs/>
        </w:rPr>
        <w:t>National Agreement on Closing the Gap</w:t>
      </w:r>
      <w:r w:rsidRPr="00160202">
        <w:rPr>
          <w:rFonts w:cs="Arial"/>
        </w:rPr>
        <w:t xml:space="preserve"> target by 2031 of reducing the rate of Aboriginal and Torres Strait Islander adults held in incarceration by at least 15 percent.</w:t>
      </w:r>
    </w:p>
    <w:p w14:paraId="2F860125" w14:textId="77777777" w:rsidR="00160202" w:rsidRPr="00160202" w:rsidRDefault="00160202" w:rsidP="00160202">
      <w:pPr>
        <w:ind w:left="-142" w:right="-425"/>
        <w:jc w:val="both"/>
        <w:rPr>
          <w:rFonts w:cs="Arial"/>
        </w:rPr>
      </w:pPr>
    </w:p>
    <w:p w14:paraId="42E6B40B" w14:textId="23183974" w:rsidR="00160202" w:rsidRPr="00160202" w:rsidRDefault="00160202" w:rsidP="00160202">
      <w:pPr>
        <w:ind w:left="-142" w:right="-425"/>
        <w:jc w:val="both"/>
        <w:rPr>
          <w:rFonts w:cs="Arial"/>
          <w:b/>
        </w:rPr>
      </w:pPr>
      <w:r w:rsidRPr="00DF46B0">
        <w:rPr>
          <w:rFonts w:cs="Arial"/>
          <w:b/>
          <w:i/>
          <w:iCs/>
        </w:rPr>
        <w:t>Socio-economic conditions:</w:t>
      </w:r>
      <w:r w:rsidRPr="00160202">
        <w:rPr>
          <w:rFonts w:cs="Arial"/>
          <w:b/>
        </w:rPr>
        <w:t xml:space="preserve"> </w:t>
      </w:r>
      <w:r w:rsidRPr="00160202">
        <w:rPr>
          <w:rFonts w:cs="Arial"/>
          <w:b/>
          <w:i/>
          <w:iCs/>
        </w:rPr>
        <w:t>FRC communities have improved or stabilised, whilst in comparable discrete communities</w:t>
      </w:r>
      <w:r w:rsidR="00DF46B0">
        <w:rPr>
          <w:rFonts w:cs="Arial"/>
          <w:b/>
          <w:i/>
          <w:iCs/>
        </w:rPr>
        <w:t>,</w:t>
      </w:r>
      <w:r w:rsidRPr="00160202">
        <w:rPr>
          <w:rFonts w:cs="Arial"/>
          <w:b/>
          <w:i/>
          <w:iCs/>
        </w:rPr>
        <w:t xml:space="preserve"> conditions have declined</w:t>
      </w:r>
      <w:r w:rsidRPr="00160202">
        <w:rPr>
          <w:rFonts w:cs="Arial"/>
          <w:b/>
        </w:rPr>
        <w:t>.</w:t>
      </w:r>
    </w:p>
    <w:p w14:paraId="2795EE67" w14:textId="54C25FDC" w:rsidR="00160202" w:rsidRPr="00160202" w:rsidRDefault="00160202" w:rsidP="00160202">
      <w:pPr>
        <w:ind w:left="-142" w:right="-425"/>
        <w:jc w:val="both"/>
        <w:rPr>
          <w:rFonts w:cs="Arial"/>
          <w:bCs/>
        </w:rPr>
      </w:pPr>
      <w:r w:rsidRPr="00160202">
        <w:rPr>
          <w:rFonts w:cs="Arial"/>
          <w:bCs/>
        </w:rPr>
        <w:t xml:space="preserve">The Australian Bureau of Statistics compiles a Socio-Economic Index for Areas (SEIFA) product using census data and ranks Australian communities relative to their social economic advantage or </w:t>
      </w:r>
      <w:r w:rsidRPr="00160202">
        <w:rPr>
          <w:rFonts w:cs="Arial"/>
          <w:bCs/>
        </w:rPr>
        <w:lastRenderedPageBreak/>
        <w:t xml:space="preserve">disadvantage. The Commission has analysed this data and compared the 2011 SEIFA rating for each of the original FRC communities with their subsequent rating following the 2016 census. Three out of four communities – Aurukun, </w:t>
      </w:r>
      <w:proofErr w:type="gramStart"/>
      <w:r w:rsidRPr="00160202">
        <w:rPr>
          <w:rFonts w:cs="Arial"/>
          <w:bCs/>
        </w:rPr>
        <w:t>Coen</w:t>
      </w:r>
      <w:proofErr w:type="gramEnd"/>
      <w:r w:rsidRPr="00160202">
        <w:rPr>
          <w:rFonts w:cs="Arial"/>
          <w:bCs/>
        </w:rPr>
        <w:t xml:space="preserve"> and Mossman Gorge – have recorded an increase in their SEIFA rating with Hope Vale remaining stable. The FRC, by assisting clients to access support services to achieve the confidence and capability needed to obtain employment, creating </w:t>
      </w:r>
      <w:proofErr w:type="gramStart"/>
      <w:r w:rsidRPr="00160202">
        <w:rPr>
          <w:rFonts w:cs="Arial"/>
          <w:bCs/>
        </w:rPr>
        <w:t>purpose</w:t>
      </w:r>
      <w:proofErr w:type="gramEnd"/>
      <w:r w:rsidRPr="00160202">
        <w:rPr>
          <w:rFonts w:cs="Arial"/>
          <w:bCs/>
        </w:rPr>
        <w:t xml:space="preserve"> and allowing families to fully participate in society is contributing to the Queensland Government’s ‘Our Future State: Advancing Queensland’s Priorities’ of creating jobs in a strong economy. Welfare reform is about reducing and/or eliminating passive welfare. The Commission is enabling its clients to challenge complex behaviours presenting barriers to economic participation.</w:t>
      </w:r>
    </w:p>
    <w:p w14:paraId="3DE7A82E" w14:textId="77777777" w:rsidR="00160202" w:rsidRPr="00160202" w:rsidRDefault="00160202" w:rsidP="00160202">
      <w:pPr>
        <w:ind w:left="-142" w:right="-425"/>
        <w:jc w:val="both"/>
        <w:rPr>
          <w:rFonts w:cs="Arial"/>
        </w:rPr>
      </w:pPr>
    </w:p>
    <w:p w14:paraId="7B2BC07A" w14:textId="77777777" w:rsidR="00160202" w:rsidRPr="0058625B" w:rsidRDefault="00160202" w:rsidP="00160202">
      <w:pPr>
        <w:ind w:left="-142" w:right="-425"/>
        <w:jc w:val="both"/>
        <w:rPr>
          <w:rFonts w:cs="Arial"/>
          <w:b/>
          <w:bCs/>
          <w:i/>
          <w:iCs/>
        </w:rPr>
      </w:pPr>
      <w:r w:rsidRPr="0058625B">
        <w:rPr>
          <w:rFonts w:cs="Arial"/>
          <w:b/>
          <w:bCs/>
          <w:i/>
          <w:iCs/>
        </w:rPr>
        <w:t xml:space="preserve">Funding uncertainty impacts operational performance and outcomes </w:t>
      </w:r>
    </w:p>
    <w:p w14:paraId="58840B5E" w14:textId="77777777" w:rsidR="00160202" w:rsidRPr="00160202" w:rsidRDefault="00160202" w:rsidP="00160202">
      <w:pPr>
        <w:ind w:left="-142" w:right="-425"/>
        <w:jc w:val="both"/>
        <w:rPr>
          <w:rFonts w:cs="Arial"/>
        </w:rPr>
      </w:pPr>
      <w:r w:rsidRPr="00160202">
        <w:rPr>
          <w:rFonts w:cs="Arial"/>
        </w:rPr>
        <w:t xml:space="preserve">In October 2014 the Queensland Parliament passed the </w:t>
      </w:r>
      <w:r w:rsidRPr="00160202">
        <w:rPr>
          <w:rFonts w:cs="Arial"/>
          <w:i/>
          <w:iCs/>
        </w:rPr>
        <w:t>Family Responsibilities Commission Amendment Bill 2014</w:t>
      </w:r>
      <w:r w:rsidRPr="00160202">
        <w:rPr>
          <w:rFonts w:cs="Arial"/>
        </w:rPr>
        <w:t xml:space="preserve">, with the Bill receiving Royal Assent on 27 October 2014. The policy objective of the Bill was to make the necessary amendments to the FRC Act to extend the operation of the FRC beyond 1 January 2015. Among other amendments aimed at increasing efficiencies and expanding operations, the FRC Act’s sunset clause (s152) was removed, enabling the FRC Act to continue indefinitely. With this significant development enabling the FRC Act to continue into perpetuity, the Australian and Queensland Governments commenced documenting their agreed basis for funding, administrative and reporting arrangements for the operation of the FRC in a Memorandum of Understanding (MOU). Unfortunately, each MOU has been for relatively short periods from 6 months to 2.5 years – short term at best – exacerbated by delays in execution and release of funds. Long-term strategic planning has been inhibited by the uncertainty of continuing government funding, and the term of such funding. The outcome of working in such an environment has in the past necessitated contracting specialist employment change consultants to assist staff with coping mechanisms to moderate the effects of instability and to assist them in maintaining motivation and organisational commitment. The certainty provided to the FRC through the funding commitment established under the last Memorandum of Understanding for a </w:t>
      </w:r>
      <w:proofErr w:type="gramStart"/>
      <w:r w:rsidRPr="00160202">
        <w:rPr>
          <w:rFonts w:cs="Arial"/>
        </w:rPr>
        <w:t>2.5 year</w:t>
      </w:r>
      <w:proofErr w:type="gramEnd"/>
      <w:r w:rsidRPr="00160202">
        <w:rPr>
          <w:rFonts w:cs="Arial"/>
        </w:rPr>
        <w:t xml:space="preserve"> timeframe has afforded the Commission an opportunity to reset its course to better meet the significant and complex needs of its clients. Client referrals to support services for the 2019-20 financial year increased by 396.3 percent from the previous reporting period.</w:t>
      </w:r>
    </w:p>
    <w:p w14:paraId="5CB50983" w14:textId="77777777" w:rsidR="00160202" w:rsidRPr="00160202" w:rsidRDefault="00160202" w:rsidP="00160202">
      <w:pPr>
        <w:ind w:left="-142" w:right="-425"/>
        <w:jc w:val="both"/>
        <w:rPr>
          <w:rFonts w:cs="Arial"/>
        </w:rPr>
      </w:pPr>
    </w:p>
    <w:p w14:paraId="5CBD0706" w14:textId="77777777" w:rsidR="00160202" w:rsidRPr="0058625B" w:rsidRDefault="00160202" w:rsidP="00160202">
      <w:pPr>
        <w:ind w:left="-142" w:right="-425"/>
        <w:jc w:val="both"/>
        <w:rPr>
          <w:rFonts w:cs="Arial"/>
          <w:b/>
          <w:bCs/>
          <w:i/>
          <w:iCs/>
        </w:rPr>
      </w:pPr>
      <w:r w:rsidRPr="0058625B">
        <w:rPr>
          <w:rFonts w:cs="Arial"/>
          <w:b/>
          <w:bCs/>
          <w:i/>
          <w:iCs/>
        </w:rPr>
        <w:t>The FRC’s model is scalable and suitable for expansion into other communities.</w:t>
      </w:r>
    </w:p>
    <w:p w14:paraId="5AC345D9" w14:textId="250DCFA7" w:rsidR="00160202" w:rsidRDefault="00160202" w:rsidP="00160202">
      <w:pPr>
        <w:ind w:left="-142" w:right="-425"/>
        <w:jc w:val="both"/>
        <w:rPr>
          <w:rFonts w:cs="Arial"/>
        </w:rPr>
      </w:pPr>
      <w:r w:rsidRPr="00160202">
        <w:rPr>
          <w:rFonts w:cs="Arial"/>
        </w:rPr>
        <w:t xml:space="preserve">Since 2018 the FRC has received </w:t>
      </w:r>
      <w:proofErr w:type="gramStart"/>
      <w:r w:rsidRPr="00160202">
        <w:rPr>
          <w:rFonts w:cs="Arial"/>
        </w:rPr>
        <w:t>a number of</w:t>
      </w:r>
      <w:proofErr w:type="gramEnd"/>
      <w:r w:rsidRPr="00160202">
        <w:rPr>
          <w:rFonts w:cs="Arial"/>
        </w:rPr>
        <w:t xml:space="preserve"> requests from Councils, leaders and community members of various Indigenous communities to obtain information on the work of the FRC and how it could assist them with their local challenges. They wish to seek alternative solutions and strategies to address their unique community issues.</w:t>
      </w:r>
    </w:p>
    <w:p w14:paraId="1DE3F071" w14:textId="77777777" w:rsidR="00F02E8F" w:rsidRPr="00160202" w:rsidRDefault="00F02E8F" w:rsidP="00160202">
      <w:pPr>
        <w:ind w:left="-142" w:right="-425"/>
        <w:jc w:val="both"/>
        <w:rPr>
          <w:rFonts w:cs="Arial"/>
        </w:rPr>
      </w:pPr>
    </w:p>
    <w:p w14:paraId="34E38A5A" w14:textId="0354D038" w:rsidR="00E974C2" w:rsidRDefault="00160202" w:rsidP="00160202">
      <w:pPr>
        <w:ind w:left="-142" w:right="-425"/>
        <w:jc w:val="both"/>
        <w:rPr>
          <w:rFonts w:cs="Arial"/>
        </w:rPr>
      </w:pPr>
      <w:r w:rsidRPr="00160202">
        <w:rPr>
          <w:rFonts w:cs="Arial"/>
        </w:rPr>
        <w:t>The Commission has core infrastructure (the information management and operating systems administered by the central Registry based in Cairns) that can be leveraged on a cost-effective basis to allow scalability of the model and expansion into other communities. The Commission can provide on request an estimation of cost and details of implementation considerations should the F</w:t>
      </w:r>
      <w:r w:rsidR="002E3954">
        <w:rPr>
          <w:rFonts w:cs="Arial"/>
        </w:rPr>
        <w:t xml:space="preserve">amily </w:t>
      </w:r>
      <w:r w:rsidRPr="00160202">
        <w:rPr>
          <w:rFonts w:cs="Arial"/>
        </w:rPr>
        <w:t>R</w:t>
      </w:r>
      <w:r w:rsidR="002E3954">
        <w:rPr>
          <w:rFonts w:cs="Arial"/>
        </w:rPr>
        <w:t xml:space="preserve">esponsibilities </w:t>
      </w:r>
      <w:r w:rsidRPr="00160202">
        <w:rPr>
          <w:rFonts w:cs="Arial"/>
        </w:rPr>
        <w:t>B</w:t>
      </w:r>
      <w:r w:rsidR="002E3954">
        <w:rPr>
          <w:rFonts w:cs="Arial"/>
        </w:rPr>
        <w:t>oard, Australian or Queensland Governments</w:t>
      </w:r>
      <w:r w:rsidRPr="00160202">
        <w:rPr>
          <w:rFonts w:cs="Arial"/>
        </w:rPr>
        <w:t xml:space="preserve"> recognise the benefits of expanding the FRC success into other communities.</w:t>
      </w:r>
    </w:p>
    <w:p w14:paraId="554DB975" w14:textId="77777777" w:rsidR="00E974C2" w:rsidRDefault="00E974C2" w:rsidP="00160202">
      <w:pPr>
        <w:ind w:left="-142" w:right="-425"/>
        <w:jc w:val="both"/>
        <w:rPr>
          <w:rFonts w:cs="Arial"/>
        </w:rPr>
      </w:pPr>
    </w:p>
    <w:p w14:paraId="105B796A" w14:textId="4FA9DBA2" w:rsidR="00160202" w:rsidRPr="00160202" w:rsidRDefault="00E974C2" w:rsidP="00160202">
      <w:pPr>
        <w:ind w:left="-142" w:right="-425"/>
        <w:jc w:val="both"/>
        <w:rPr>
          <w:rFonts w:cs="Arial"/>
        </w:rPr>
      </w:pPr>
      <w:r>
        <w:rPr>
          <w:rFonts w:cs="Arial"/>
          <w:b/>
          <w:bCs/>
          <w:u w:val="single"/>
        </w:rPr>
        <w:t>Domestic and family violence</w:t>
      </w:r>
      <w:r w:rsidR="00160202" w:rsidRPr="00160202">
        <w:rPr>
          <w:rFonts w:cs="Arial"/>
        </w:rPr>
        <w:t xml:space="preserve">  </w:t>
      </w:r>
    </w:p>
    <w:p w14:paraId="53F516C6" w14:textId="77777777" w:rsidR="00160202" w:rsidRDefault="00160202" w:rsidP="0010247F">
      <w:pPr>
        <w:ind w:left="-142" w:right="-425"/>
        <w:jc w:val="both"/>
        <w:rPr>
          <w:rFonts w:cs="Arial"/>
        </w:rPr>
      </w:pPr>
    </w:p>
    <w:p w14:paraId="596E3CF8" w14:textId="6FB1A4C5" w:rsidR="00E4641F" w:rsidRPr="00AD1CD5" w:rsidRDefault="00713379" w:rsidP="0010247F">
      <w:pPr>
        <w:ind w:left="-142" w:right="-425"/>
        <w:jc w:val="both"/>
        <w:rPr>
          <w:rFonts w:cs="Arial"/>
        </w:rPr>
      </w:pPr>
      <w:r>
        <w:rPr>
          <w:rFonts w:cs="Arial"/>
        </w:rPr>
        <w:t xml:space="preserve">As can be seen from Graph 3 </w:t>
      </w:r>
      <w:r w:rsidR="00EB280A">
        <w:rPr>
          <w:rFonts w:cs="Arial"/>
        </w:rPr>
        <w:t xml:space="preserve">in this </w:t>
      </w:r>
      <w:r w:rsidR="00834F32">
        <w:rPr>
          <w:rFonts w:cs="Arial"/>
        </w:rPr>
        <w:t>q</w:t>
      </w:r>
      <w:r w:rsidR="00EB280A">
        <w:rPr>
          <w:rFonts w:cs="Arial"/>
        </w:rPr>
        <w:t xml:space="preserve">uarterly </w:t>
      </w:r>
      <w:r w:rsidR="00834F32">
        <w:rPr>
          <w:rFonts w:cs="Arial"/>
        </w:rPr>
        <w:t>r</w:t>
      </w:r>
      <w:r w:rsidR="00EB280A">
        <w:rPr>
          <w:rFonts w:cs="Arial"/>
        </w:rPr>
        <w:t xml:space="preserve">eport </w:t>
      </w:r>
      <w:r>
        <w:rPr>
          <w:rFonts w:cs="Arial"/>
        </w:rPr>
        <w:t xml:space="preserve">(in jurisdiction notices by agency and quarter), the Commission has seen a gradual increase in the receipt of </w:t>
      </w:r>
      <w:r w:rsidR="00427936">
        <w:rPr>
          <w:rFonts w:cs="Arial"/>
        </w:rPr>
        <w:t xml:space="preserve">within jurisdiction DV order notices since </w:t>
      </w:r>
      <w:r w:rsidR="0077330B">
        <w:rPr>
          <w:rFonts w:cs="Arial"/>
        </w:rPr>
        <w:t>q</w:t>
      </w:r>
      <w:r w:rsidR="00427936">
        <w:rPr>
          <w:rFonts w:cs="Arial"/>
        </w:rPr>
        <w:t xml:space="preserve">uarter 47 and </w:t>
      </w:r>
      <w:r w:rsidR="0020453F">
        <w:rPr>
          <w:rFonts w:cs="Arial"/>
        </w:rPr>
        <w:t xml:space="preserve">within jurisdiction </w:t>
      </w:r>
      <w:r>
        <w:rPr>
          <w:rFonts w:cs="Arial"/>
        </w:rPr>
        <w:t xml:space="preserve">DV breach </w:t>
      </w:r>
      <w:r w:rsidR="0020453F">
        <w:rPr>
          <w:rFonts w:cs="Arial"/>
        </w:rPr>
        <w:t xml:space="preserve">notices </w:t>
      </w:r>
      <w:r>
        <w:rPr>
          <w:rFonts w:cs="Arial"/>
        </w:rPr>
        <w:t xml:space="preserve">since </w:t>
      </w:r>
      <w:r w:rsidR="0077330B">
        <w:rPr>
          <w:rFonts w:cs="Arial"/>
        </w:rPr>
        <w:t>q</w:t>
      </w:r>
      <w:r>
        <w:rPr>
          <w:rFonts w:cs="Arial"/>
        </w:rPr>
        <w:t xml:space="preserve">uarter 48. </w:t>
      </w:r>
      <w:r w:rsidR="002459C6">
        <w:rPr>
          <w:rFonts w:cs="Arial"/>
        </w:rPr>
        <w:t xml:space="preserve">Aurukun, Coen, Hope Vale and Mossman Gorge </w:t>
      </w:r>
      <w:r w:rsidR="007D2A1C">
        <w:rPr>
          <w:rFonts w:cs="Arial"/>
        </w:rPr>
        <w:t xml:space="preserve">all </w:t>
      </w:r>
      <w:r w:rsidR="002459C6">
        <w:rPr>
          <w:rFonts w:cs="Arial"/>
        </w:rPr>
        <w:t xml:space="preserve">show an increase in DV Order notices from last quarter. </w:t>
      </w:r>
      <w:r w:rsidR="0020453F">
        <w:rPr>
          <w:rFonts w:cs="Arial"/>
        </w:rPr>
        <w:t xml:space="preserve">This is an increasing trend of concern to the Local Commissioners which has </w:t>
      </w:r>
      <w:r w:rsidR="002459C6">
        <w:rPr>
          <w:rFonts w:cs="Arial"/>
        </w:rPr>
        <w:t xml:space="preserve">resulted in the prioritisation of DV related matters </w:t>
      </w:r>
      <w:r w:rsidR="002459C6">
        <w:rPr>
          <w:rFonts w:cs="Arial"/>
        </w:rPr>
        <w:lastRenderedPageBreak/>
        <w:t>for conferencing</w:t>
      </w:r>
      <w:r w:rsidR="007D2A1C">
        <w:rPr>
          <w:rFonts w:cs="Arial"/>
        </w:rPr>
        <w:t xml:space="preserve"> and a corresponding increase in </w:t>
      </w:r>
      <w:r w:rsidR="0020453F">
        <w:rPr>
          <w:rFonts w:cs="Arial"/>
        </w:rPr>
        <w:t>referrals made to support services</w:t>
      </w:r>
      <w:r w:rsidR="002459C6">
        <w:rPr>
          <w:rFonts w:cs="Arial"/>
        </w:rPr>
        <w:t xml:space="preserve">. </w:t>
      </w:r>
      <w:r w:rsidR="0027429B">
        <w:rPr>
          <w:rFonts w:cs="Arial"/>
        </w:rPr>
        <w:t xml:space="preserve">The Commission has identified domestic and family violence as a </w:t>
      </w:r>
      <w:r w:rsidR="0094288B">
        <w:rPr>
          <w:rFonts w:cs="Arial"/>
        </w:rPr>
        <w:t xml:space="preserve">strategic </w:t>
      </w:r>
      <w:r w:rsidR="0027429B">
        <w:rPr>
          <w:rFonts w:cs="Arial"/>
        </w:rPr>
        <w:t xml:space="preserve">priority </w:t>
      </w:r>
      <w:r w:rsidR="0094288B">
        <w:rPr>
          <w:rFonts w:cs="Arial"/>
        </w:rPr>
        <w:t xml:space="preserve">and </w:t>
      </w:r>
      <w:r w:rsidR="0027429B">
        <w:rPr>
          <w:rFonts w:cs="Arial"/>
        </w:rPr>
        <w:t xml:space="preserve">will continue to </w:t>
      </w:r>
      <w:r w:rsidR="0094288B">
        <w:rPr>
          <w:rFonts w:cs="Arial"/>
        </w:rPr>
        <w:t>promote the need for appropriate perpetrator intervention programs suitable for client referrals in FRC communities.</w:t>
      </w:r>
    </w:p>
    <w:p w14:paraId="26F01878" w14:textId="77777777" w:rsidR="00D300B4" w:rsidRDefault="00D300B4" w:rsidP="001A1C6D">
      <w:pPr>
        <w:ind w:left="-142" w:right="-425"/>
        <w:jc w:val="both"/>
        <w:rPr>
          <w:u w:val="single"/>
        </w:rPr>
      </w:pPr>
    </w:p>
    <w:p w14:paraId="408AD237" w14:textId="52AB8491" w:rsidR="00D300B4" w:rsidRPr="00D300B4" w:rsidRDefault="00D300B4" w:rsidP="001A1C6D">
      <w:pPr>
        <w:ind w:left="-142" w:right="-425"/>
        <w:jc w:val="both"/>
        <w:rPr>
          <w:b/>
          <w:bCs/>
          <w:u w:val="single"/>
        </w:rPr>
      </w:pPr>
      <w:r w:rsidRPr="00D300B4">
        <w:rPr>
          <w:b/>
          <w:bCs/>
          <w:u w:val="single"/>
        </w:rPr>
        <w:t xml:space="preserve">Draft </w:t>
      </w:r>
      <w:bookmarkStart w:id="26" w:name="_Hlk72503227"/>
      <w:r w:rsidRPr="00D300B4">
        <w:rPr>
          <w:b/>
          <w:bCs/>
          <w:u w:val="single"/>
        </w:rPr>
        <w:t>gambling harm minimisation plan for Queensland 2021-2025</w:t>
      </w:r>
      <w:bookmarkEnd w:id="26"/>
    </w:p>
    <w:p w14:paraId="2B3C0348" w14:textId="77777777" w:rsidR="00330766" w:rsidRDefault="00330766" w:rsidP="001A1C6D">
      <w:pPr>
        <w:ind w:left="-142" w:right="-425"/>
        <w:jc w:val="both"/>
      </w:pPr>
    </w:p>
    <w:p w14:paraId="264E6418" w14:textId="462298FA" w:rsidR="00F44585" w:rsidRPr="00F44585" w:rsidRDefault="00330766" w:rsidP="00F44585">
      <w:pPr>
        <w:ind w:left="-142" w:right="-425"/>
        <w:jc w:val="both"/>
        <w:rPr>
          <w:bCs/>
        </w:rPr>
      </w:pPr>
      <w:r w:rsidRPr="00330766">
        <w:t>In Fe</w:t>
      </w:r>
      <w:r>
        <w:t>bruary of this quarter the Commission was invited to provide feedback to the Department of Justice and Attorney-General regard</w:t>
      </w:r>
      <w:r w:rsidR="001761B7">
        <w:t>ing</w:t>
      </w:r>
      <w:r>
        <w:t xml:space="preserve"> the draft </w:t>
      </w:r>
      <w:r w:rsidR="001761B7">
        <w:t>‘</w:t>
      </w:r>
      <w:r>
        <w:t>Gambling harm minimisation plan for Queensland 2021-2025</w:t>
      </w:r>
      <w:r w:rsidR="001761B7">
        <w:t>’</w:t>
      </w:r>
      <w:r>
        <w:t xml:space="preserve">. The Commission has long been concerned with problem gambling in the welfare reform communities of Aurukun, Coen, Doomadgee, Hope Vale and Mossman Gorge and feedback was provided in relation to what </w:t>
      </w:r>
      <w:r w:rsidR="003A330F">
        <w:t>the Commissioners</w:t>
      </w:r>
      <w:r>
        <w:t xml:space="preserve"> have observed in the FRC communities</w:t>
      </w:r>
      <w:r w:rsidR="00471E07">
        <w:t>. It</w:t>
      </w:r>
      <w:r>
        <w:t xml:space="preserve"> was therefore primarily in relation to Indigenous community gambling events. The FRC Act provides </w:t>
      </w:r>
      <w:r w:rsidR="00FF4E95">
        <w:t>a</w:t>
      </w:r>
      <w:r>
        <w:t xml:space="preserve"> definition of ‘socially responsible standards of behaviour</w:t>
      </w:r>
      <w:r w:rsidR="00FF4E95">
        <w:t>’ which includes “…</w:t>
      </w:r>
      <w:r w:rsidR="00FF4E95" w:rsidRPr="00471E07">
        <w:rPr>
          <w:i/>
          <w:iCs/>
        </w:rPr>
        <w:t xml:space="preserve">a person’s conduct in a community, including, for example, conduct involving drug or alcohol use, </w:t>
      </w:r>
      <w:r w:rsidR="00FF4E95" w:rsidRPr="00471E07">
        <w:rPr>
          <w:b/>
          <w:bCs/>
          <w:i/>
          <w:iCs/>
        </w:rPr>
        <w:t>gambling</w:t>
      </w:r>
      <w:r w:rsidR="00FF4E95" w:rsidRPr="00471E07">
        <w:rPr>
          <w:i/>
          <w:iCs/>
        </w:rPr>
        <w:t xml:space="preserve">, offensive </w:t>
      </w:r>
      <w:proofErr w:type="gramStart"/>
      <w:r w:rsidR="00FF4E95" w:rsidRPr="00471E07">
        <w:rPr>
          <w:i/>
          <w:iCs/>
        </w:rPr>
        <w:t>behaviour</w:t>
      </w:r>
      <w:proofErr w:type="gramEnd"/>
      <w:r w:rsidR="00FF4E95" w:rsidRPr="00471E07">
        <w:rPr>
          <w:i/>
          <w:iCs/>
        </w:rPr>
        <w:t xml:space="preserve"> or violence; (d) a person’s use of premises that are social housing</w:t>
      </w:r>
      <w:r w:rsidR="00FF4E95">
        <w:t>”.</w:t>
      </w:r>
      <w:r w:rsidR="00F44585">
        <w:t xml:space="preserve"> </w:t>
      </w:r>
      <w:r w:rsidR="00F44585" w:rsidRPr="00F44585">
        <w:rPr>
          <w:bCs/>
        </w:rPr>
        <w:t>The FRC Act clearly identifie</w:t>
      </w:r>
      <w:r w:rsidR="00F44585">
        <w:rPr>
          <w:bCs/>
        </w:rPr>
        <w:t>s</w:t>
      </w:r>
      <w:r w:rsidR="00F44585" w:rsidRPr="00F44585">
        <w:rPr>
          <w:bCs/>
        </w:rPr>
        <w:t xml:space="preserve"> gambling as a behaviour which is not socially responsible and could create harm.</w:t>
      </w:r>
    </w:p>
    <w:p w14:paraId="702EB034" w14:textId="18CE7FAE" w:rsidR="00F44585" w:rsidRPr="00F44585" w:rsidRDefault="00F44585" w:rsidP="00F44585">
      <w:pPr>
        <w:ind w:left="-142" w:right="-425"/>
        <w:jc w:val="both"/>
        <w:rPr>
          <w:b/>
          <w:lang w:val="en-GB"/>
        </w:rPr>
      </w:pPr>
    </w:p>
    <w:p w14:paraId="65219069" w14:textId="3F828E3F" w:rsidR="00F44585" w:rsidRDefault="003A330F" w:rsidP="00F44585">
      <w:pPr>
        <w:ind w:left="-142" w:right="-425"/>
        <w:jc w:val="both"/>
        <w:rPr>
          <w:bCs/>
          <w:lang w:val="en-GB"/>
        </w:rPr>
      </w:pPr>
      <w:r>
        <w:rPr>
          <w:bCs/>
          <w:lang w:val="en-GB"/>
        </w:rPr>
        <w:t xml:space="preserve">The Commission’s </w:t>
      </w:r>
      <w:r w:rsidR="00471E07">
        <w:rPr>
          <w:bCs/>
          <w:lang w:val="en-GB"/>
        </w:rPr>
        <w:t xml:space="preserve">feedback </w:t>
      </w:r>
      <w:r>
        <w:rPr>
          <w:bCs/>
          <w:lang w:val="en-GB"/>
        </w:rPr>
        <w:t xml:space="preserve">was provided to DJAG on </w:t>
      </w:r>
      <w:r w:rsidR="00471E07">
        <w:rPr>
          <w:bCs/>
          <w:lang w:val="en-GB"/>
        </w:rPr>
        <w:t>2</w:t>
      </w:r>
      <w:r w:rsidR="00753B2D">
        <w:rPr>
          <w:bCs/>
          <w:lang w:val="en-GB"/>
        </w:rPr>
        <w:t>3</w:t>
      </w:r>
      <w:r w:rsidR="00471E07">
        <w:rPr>
          <w:bCs/>
          <w:lang w:val="en-GB"/>
        </w:rPr>
        <w:t xml:space="preserve"> February 2021 </w:t>
      </w:r>
      <w:r w:rsidR="00753B2D">
        <w:rPr>
          <w:bCs/>
          <w:lang w:val="en-GB"/>
        </w:rPr>
        <w:t xml:space="preserve">and </w:t>
      </w:r>
      <w:r w:rsidR="00F44585">
        <w:rPr>
          <w:bCs/>
          <w:lang w:val="en-GB"/>
        </w:rPr>
        <w:t>stated that t</w:t>
      </w:r>
      <w:r w:rsidR="00F44585" w:rsidRPr="00F44585">
        <w:rPr>
          <w:bCs/>
          <w:lang w:val="en-GB"/>
        </w:rPr>
        <w:t>he key elements of the draft Plan appear</w:t>
      </w:r>
      <w:r w:rsidR="00753B2D">
        <w:rPr>
          <w:bCs/>
          <w:lang w:val="en-GB"/>
        </w:rPr>
        <w:t>ed</w:t>
      </w:r>
      <w:r w:rsidR="00F44585" w:rsidRPr="00F44585">
        <w:rPr>
          <w:bCs/>
          <w:lang w:val="en-GB"/>
        </w:rPr>
        <w:t xml:space="preserve"> to be consistent with community expectations for gambling harm-minimisation and are appropriate. The FRC supports reference to a socially responsible industry, drive for cultural change, better understanding </w:t>
      </w:r>
      <w:r w:rsidR="00F02E8F">
        <w:rPr>
          <w:bCs/>
          <w:lang w:val="en-GB"/>
        </w:rPr>
        <w:t xml:space="preserve">of </w:t>
      </w:r>
      <w:r w:rsidR="00F44585" w:rsidRPr="00F44585">
        <w:rPr>
          <w:bCs/>
          <w:lang w:val="en-GB"/>
        </w:rPr>
        <w:t xml:space="preserve">gambling related harm, the tailoring of services for high-risk populations and interventions to address specific needs of at-risk communities. The FRC agrees that a collaborative and coordinated approach is required in regard to prevention and awareness </w:t>
      </w:r>
      <w:proofErr w:type="gramStart"/>
      <w:r w:rsidR="00F44585" w:rsidRPr="00F44585">
        <w:rPr>
          <w:bCs/>
          <w:lang w:val="en-GB"/>
        </w:rPr>
        <w:t>raising, and</w:t>
      </w:r>
      <w:proofErr w:type="gramEnd"/>
      <w:r w:rsidR="00F44585" w:rsidRPr="00F44585">
        <w:rPr>
          <w:bCs/>
          <w:lang w:val="en-GB"/>
        </w:rPr>
        <w:t xml:space="preserve"> </w:t>
      </w:r>
      <w:r w:rsidR="00753B2D">
        <w:rPr>
          <w:bCs/>
          <w:lang w:val="en-GB"/>
        </w:rPr>
        <w:t xml:space="preserve">stated </w:t>
      </w:r>
      <w:r w:rsidR="00F44585" w:rsidRPr="00F44585">
        <w:rPr>
          <w:bCs/>
          <w:lang w:val="en-GB"/>
        </w:rPr>
        <w:t>that in Indigenous communities this approach should be led ‘on the ground’. The FRC also agrees that engaging stakeholders in the design, implementation and evaluation of programs and interventions is particularly suitable to tackling gambling in Indigenous communities.</w:t>
      </w:r>
    </w:p>
    <w:p w14:paraId="01C9DF23" w14:textId="77777777" w:rsidR="00ED7B0B" w:rsidRPr="00F44585" w:rsidRDefault="00ED7B0B" w:rsidP="00F44585">
      <w:pPr>
        <w:ind w:left="-142" w:right="-425"/>
        <w:jc w:val="both"/>
        <w:rPr>
          <w:bCs/>
          <w:lang w:val="en-GB"/>
        </w:rPr>
      </w:pPr>
    </w:p>
    <w:p w14:paraId="5519FB27" w14:textId="5CA1C8D2" w:rsidR="00F44585" w:rsidRDefault="00F44585" w:rsidP="00F44585">
      <w:pPr>
        <w:ind w:left="-142" w:right="-425"/>
        <w:jc w:val="both"/>
        <w:rPr>
          <w:bCs/>
        </w:rPr>
      </w:pPr>
      <w:r w:rsidRPr="00F44585">
        <w:rPr>
          <w:bCs/>
          <w:lang w:val="en-GB"/>
        </w:rPr>
        <w:t xml:space="preserve">One of the primary challenges for minimising gambling harm in Indigenous communities is implementing a cultural change to the acceptance of gambling. Gambling in Indigenous communities </w:t>
      </w:r>
      <w:r w:rsidRPr="00F44585">
        <w:rPr>
          <w:bCs/>
        </w:rPr>
        <w:t xml:space="preserve">often occurs as part of an organised social activity such as card games and Bingo and has historically been regarded as an acceptable form of recreation. </w:t>
      </w:r>
      <w:r w:rsidRPr="00F44585">
        <w:rPr>
          <w:bCs/>
          <w:lang w:val="en-GB"/>
        </w:rPr>
        <w:t xml:space="preserve">Children are often present and grow up with the social acceptance of gambling as they see it (and sometimes participate in it) in their communities and family or clan groups. </w:t>
      </w:r>
      <w:r w:rsidRPr="00F44585">
        <w:rPr>
          <w:bCs/>
        </w:rPr>
        <w:t>The</w:t>
      </w:r>
      <w:r w:rsidR="00471E07">
        <w:rPr>
          <w:bCs/>
        </w:rPr>
        <w:t xml:space="preserve"> </w:t>
      </w:r>
      <w:r w:rsidR="00753B2D">
        <w:rPr>
          <w:bCs/>
        </w:rPr>
        <w:t>Commission</w:t>
      </w:r>
      <w:r w:rsidR="00471E07">
        <w:rPr>
          <w:bCs/>
        </w:rPr>
        <w:t xml:space="preserve"> is advised that the</w:t>
      </w:r>
      <w:r w:rsidRPr="00F44585">
        <w:rPr>
          <w:bCs/>
        </w:rPr>
        <w:t>re is also a trend involving predominately younger people participating in more solitary forms of gambling such as online betting and pokies. This occurs when community members – who are not the subject of an income management order – travel to regional centres and visit sports centres or the Casino for entertainment.</w:t>
      </w:r>
    </w:p>
    <w:p w14:paraId="45A1F854" w14:textId="77777777" w:rsidR="00C96E5E" w:rsidRPr="00F44585" w:rsidRDefault="00C96E5E" w:rsidP="00F44585">
      <w:pPr>
        <w:ind w:left="-142" w:right="-425"/>
        <w:jc w:val="both"/>
        <w:rPr>
          <w:bCs/>
        </w:rPr>
      </w:pPr>
    </w:p>
    <w:p w14:paraId="60C4E953" w14:textId="55F6317B" w:rsidR="00F44585" w:rsidRDefault="00F44585" w:rsidP="00F44585">
      <w:pPr>
        <w:ind w:left="-142" w:right="-425"/>
        <w:jc w:val="both"/>
        <w:rPr>
          <w:bCs/>
          <w:lang w:val="en-GB"/>
        </w:rPr>
      </w:pPr>
      <w:r w:rsidRPr="00F44585">
        <w:rPr>
          <w:bCs/>
        </w:rPr>
        <w:t>Most gambling in remote communities is conducted by community members who cannot afford to gamble. The money used is not excess to their requirements, nor the requirements of their families. Many community members are welfare recipients with no other form of income.</w:t>
      </w:r>
      <w:r w:rsidRPr="00F44585">
        <w:rPr>
          <w:bCs/>
          <w:lang w:val="en-GB"/>
        </w:rPr>
        <w:t xml:space="preserve"> Little to no employment opportunities exacerbate the situation as community members have time on their hands - time to seek out social engagement and recreation especially during the wet season. These are vulnerable communities where gambling plays an underlying role in further dysfunction and flows on to hardship for the gambler’s family and dependents. Creating a regulatory framework or a ‘safe environment’ for gambling is not applicable to these communities where illegal gambling occurs, though creating a locally adapted community regulation to outlaw illegal gambling may go some way to providing a control mechanism to curb the social practice and minimise harm.</w:t>
      </w:r>
    </w:p>
    <w:p w14:paraId="69D0EB31" w14:textId="77777777" w:rsidR="00ED7B0B" w:rsidRPr="00F44585" w:rsidRDefault="00ED7B0B" w:rsidP="00F44585">
      <w:pPr>
        <w:ind w:left="-142" w:right="-425"/>
        <w:jc w:val="both"/>
        <w:rPr>
          <w:bCs/>
          <w:lang w:val="en-GB"/>
        </w:rPr>
      </w:pPr>
    </w:p>
    <w:p w14:paraId="658D9B4E" w14:textId="77777777" w:rsidR="00F44585" w:rsidRPr="00F44585" w:rsidRDefault="00F44585" w:rsidP="00F44585">
      <w:pPr>
        <w:ind w:left="-142" w:right="-425"/>
        <w:jc w:val="both"/>
        <w:rPr>
          <w:bCs/>
          <w:lang w:val="en-GB"/>
        </w:rPr>
      </w:pPr>
      <w:r w:rsidRPr="00F44585">
        <w:rPr>
          <w:bCs/>
          <w:lang w:val="en-GB"/>
        </w:rPr>
        <w:t xml:space="preserve">The FRC identifies two elements to problem gambling – the first element is exerting controls and supports for ‘legal’ and socially acceptable gambling practices (as defined in the draft Plan), and the </w:t>
      </w:r>
      <w:r w:rsidRPr="00F44585">
        <w:rPr>
          <w:bCs/>
          <w:lang w:val="en-GB"/>
        </w:rPr>
        <w:lastRenderedPageBreak/>
        <w:t xml:space="preserve">second element is curbing illegal gambling which has no control framework, legal </w:t>
      </w:r>
      <w:proofErr w:type="gramStart"/>
      <w:r w:rsidRPr="00F44585">
        <w:rPr>
          <w:bCs/>
          <w:lang w:val="en-GB"/>
        </w:rPr>
        <w:t>structure</w:t>
      </w:r>
      <w:proofErr w:type="gramEnd"/>
      <w:r w:rsidRPr="00F44585">
        <w:rPr>
          <w:bCs/>
          <w:lang w:val="en-GB"/>
        </w:rPr>
        <w:t xml:space="preserve"> or safe environment. The FRC is mainly concerned with the latter and recognises that ‘safer gambling’ or ‘safer products and services’ do not present as solutions for individuals with little (if any) excess funds who are gambling their welfare payments – payments meant to meet the necessities of life.</w:t>
      </w:r>
    </w:p>
    <w:p w14:paraId="048BF726" w14:textId="0EDBAE04" w:rsidR="00F44585" w:rsidRPr="00F44585" w:rsidRDefault="00F44585" w:rsidP="00F44585">
      <w:pPr>
        <w:ind w:left="-142" w:right="-425"/>
        <w:jc w:val="both"/>
        <w:rPr>
          <w:b/>
          <w:lang w:val="en-GB"/>
        </w:rPr>
      </w:pPr>
    </w:p>
    <w:p w14:paraId="5564B709" w14:textId="5BCC6D3F" w:rsidR="002E62E1" w:rsidRDefault="002E62E1" w:rsidP="002E62E1">
      <w:pPr>
        <w:ind w:left="-142" w:right="-425"/>
        <w:jc w:val="both"/>
        <w:rPr>
          <w:bCs/>
        </w:rPr>
      </w:pPr>
      <w:r w:rsidRPr="00F44585">
        <w:rPr>
          <w:bCs/>
        </w:rPr>
        <w:t xml:space="preserve">It was reported to the FR Board on 3 November 2020 and in the FRC Annual Report 2019-20 that the problem of gambling was escalating partly due to the COVID-19 pandemic which resulted in the ceasing of Work for the Dole activities and community members’ reporting obligations. As a result, many adults in households had no </w:t>
      </w:r>
      <w:proofErr w:type="gramStart"/>
      <w:r w:rsidRPr="00F44585">
        <w:rPr>
          <w:bCs/>
        </w:rPr>
        <w:t>day to day</w:t>
      </w:r>
      <w:proofErr w:type="gramEnd"/>
      <w:r w:rsidRPr="00F44585">
        <w:rPr>
          <w:bCs/>
        </w:rPr>
        <w:t xml:space="preserve"> routine as they had no requirement to attend </w:t>
      </w:r>
      <w:r w:rsidR="00F46E9B">
        <w:rPr>
          <w:bCs/>
        </w:rPr>
        <w:t>community e</w:t>
      </w:r>
      <w:r w:rsidRPr="00F44585">
        <w:rPr>
          <w:bCs/>
        </w:rPr>
        <w:t>mployment</w:t>
      </w:r>
      <w:r w:rsidR="00F46E9B">
        <w:rPr>
          <w:bCs/>
        </w:rPr>
        <w:t xml:space="preserve"> programs</w:t>
      </w:r>
      <w:r w:rsidRPr="00F44585">
        <w:rPr>
          <w:bCs/>
        </w:rPr>
        <w:t>. Of greater concern was information received that children were also attending and engaging in gambling circles, in some cases with adult encouragement, and in others, conducting their own gambling activities with significant sums of money in the ‘pot’. Further information was received that the gambling was impacting school attendance and that some children who did turn up to class were struggling with having had very little sleep. Commissioner Williams wrote to the FR Board informing them of the concerns raised. Dr Chris Sarra (Director General of DATSIP and Chair of the FR Board) responded and advised of a working group convened to address the issue and acknowledged the limited ability for the Commission to act due to the disconnect between gambling and the agency notices received by the Commission.</w:t>
      </w:r>
    </w:p>
    <w:p w14:paraId="13CEC6EA" w14:textId="47547EC0" w:rsidR="002E62E1" w:rsidRPr="00F44585" w:rsidRDefault="002E62E1" w:rsidP="002E62E1">
      <w:pPr>
        <w:ind w:left="-142" w:right="-425"/>
        <w:jc w:val="both"/>
        <w:rPr>
          <w:bCs/>
        </w:rPr>
      </w:pPr>
    </w:p>
    <w:p w14:paraId="71E7F295" w14:textId="741F4561" w:rsidR="00F44585" w:rsidRDefault="005967F0" w:rsidP="00F44585">
      <w:pPr>
        <w:ind w:left="-142" w:right="-425"/>
        <w:jc w:val="both"/>
        <w:rPr>
          <w:bCs/>
        </w:rPr>
      </w:pPr>
      <w:r>
        <w:rPr>
          <w:bCs/>
        </w:rPr>
        <w:t>One of the tools at the Commissioners’ disposal when making decisions at con</w:t>
      </w:r>
      <w:r w:rsidR="00F44585" w:rsidRPr="00F44585">
        <w:rPr>
          <w:bCs/>
        </w:rPr>
        <w:t>ference</w:t>
      </w:r>
      <w:r>
        <w:rPr>
          <w:bCs/>
        </w:rPr>
        <w:t xml:space="preserve"> </w:t>
      </w:r>
      <w:r w:rsidR="005377BE">
        <w:rPr>
          <w:bCs/>
        </w:rPr>
        <w:t xml:space="preserve">(although utilised as a decision of last resort) </w:t>
      </w:r>
      <w:r>
        <w:rPr>
          <w:bCs/>
        </w:rPr>
        <w:t xml:space="preserve">is an order that a </w:t>
      </w:r>
      <w:r w:rsidR="00F44585" w:rsidRPr="00F44585">
        <w:rPr>
          <w:bCs/>
        </w:rPr>
        <w:t xml:space="preserve">client </w:t>
      </w:r>
      <w:r>
        <w:rPr>
          <w:bCs/>
        </w:rPr>
        <w:t xml:space="preserve">be the subject of Conditional Income Management (CIM). </w:t>
      </w:r>
      <w:r w:rsidR="00F44585" w:rsidRPr="00F44585">
        <w:rPr>
          <w:bCs/>
        </w:rPr>
        <w:t xml:space="preserve">The Commissioners utilise CIM as a tool to support people and children at risk, promote socially responsible choices, and as an incentive to meet individual and community obligations by drawing together a network of support services to focus on the individual’s skills gaps (social and economic). A community member may also </w:t>
      </w:r>
      <w:proofErr w:type="gramStart"/>
      <w:r w:rsidR="00F44585" w:rsidRPr="00F44585">
        <w:rPr>
          <w:bCs/>
        </w:rPr>
        <w:t>enter into</w:t>
      </w:r>
      <w:proofErr w:type="gramEnd"/>
      <w:r w:rsidR="00F44585" w:rsidRPr="00F44585">
        <w:rPr>
          <w:bCs/>
        </w:rPr>
        <w:t xml:space="preserve"> a Voluntary Income Management (VIM) agreement to assist them to manage their budget and meet the costs of everyday essentials. Certainly, income management would limit the amount of discretionary cash available to gamble with and would protect vulnerable community members from hardship as an outcome of their own problem gambling, or that of their family.</w:t>
      </w:r>
    </w:p>
    <w:p w14:paraId="0B222BE9" w14:textId="77777777" w:rsidR="005967F0" w:rsidRPr="00F44585" w:rsidRDefault="005967F0" w:rsidP="00F44585">
      <w:pPr>
        <w:ind w:left="-142" w:right="-425"/>
        <w:jc w:val="both"/>
        <w:rPr>
          <w:bCs/>
        </w:rPr>
      </w:pPr>
    </w:p>
    <w:p w14:paraId="15A640F7" w14:textId="6ED75FE0" w:rsidR="00F44585" w:rsidRDefault="00F44585" w:rsidP="00F44585">
      <w:pPr>
        <w:ind w:left="-142" w:right="-425"/>
        <w:jc w:val="both"/>
        <w:rPr>
          <w:bCs/>
        </w:rPr>
      </w:pPr>
      <w:r w:rsidRPr="00F44585">
        <w:rPr>
          <w:bCs/>
        </w:rPr>
        <w:t>The FRC refers to the publication ‘Gambling in Cape York’ produced by the Cape York Institute for Policy and Leadership in November 2011. Within that publication five practical measures are suggested for Government to implement to address the problem of gambling in Indigenous communities. These five suggestions include:</w:t>
      </w:r>
    </w:p>
    <w:p w14:paraId="5028D736" w14:textId="77777777" w:rsidR="00701E5F" w:rsidRPr="00F44585" w:rsidRDefault="00701E5F" w:rsidP="00F44585">
      <w:pPr>
        <w:ind w:left="-142" w:right="-425"/>
        <w:jc w:val="both"/>
        <w:rPr>
          <w:bCs/>
        </w:rPr>
      </w:pPr>
    </w:p>
    <w:p w14:paraId="26170B10" w14:textId="77777777" w:rsidR="00F44585" w:rsidRPr="00F44585" w:rsidRDefault="00F44585" w:rsidP="00F44585">
      <w:pPr>
        <w:numPr>
          <w:ilvl w:val="0"/>
          <w:numId w:val="38"/>
        </w:numPr>
        <w:ind w:right="-425"/>
        <w:jc w:val="both"/>
        <w:rPr>
          <w:bCs/>
        </w:rPr>
      </w:pPr>
      <w:r w:rsidRPr="00F44585">
        <w:rPr>
          <w:bCs/>
        </w:rPr>
        <w:t xml:space="preserve">Government should work with community councils to draft community laws against gambling, enforceable by </w:t>
      </w:r>
      <w:proofErr w:type="gramStart"/>
      <w:r w:rsidRPr="00F44585">
        <w:rPr>
          <w:bCs/>
        </w:rPr>
        <w:t>police;</w:t>
      </w:r>
      <w:proofErr w:type="gramEnd"/>
    </w:p>
    <w:p w14:paraId="5D103BA7" w14:textId="77777777" w:rsidR="00F44585" w:rsidRPr="00F44585" w:rsidRDefault="00F44585" w:rsidP="00F44585">
      <w:pPr>
        <w:numPr>
          <w:ilvl w:val="0"/>
          <w:numId w:val="38"/>
        </w:numPr>
        <w:ind w:right="-425"/>
        <w:jc w:val="both"/>
        <w:rPr>
          <w:bCs/>
        </w:rPr>
      </w:pPr>
      <w:r w:rsidRPr="00F44585">
        <w:rPr>
          <w:bCs/>
        </w:rPr>
        <w:t xml:space="preserve">Government should work to strengthen options to assist people in controlling their money – </w:t>
      </w:r>
      <w:proofErr w:type="gramStart"/>
      <w:r w:rsidRPr="00F44585">
        <w:rPr>
          <w:bCs/>
        </w:rPr>
        <w:t>e.g.</w:t>
      </w:r>
      <w:proofErr w:type="gramEnd"/>
      <w:r w:rsidRPr="00F44585">
        <w:rPr>
          <w:bCs/>
        </w:rPr>
        <w:t xml:space="preserve"> income management together with counselling and education to support individuals to manage money by building financial literacy capability;</w:t>
      </w:r>
    </w:p>
    <w:p w14:paraId="52CD6383" w14:textId="77777777" w:rsidR="00F44585" w:rsidRPr="00F44585" w:rsidRDefault="00F44585" w:rsidP="00F44585">
      <w:pPr>
        <w:numPr>
          <w:ilvl w:val="0"/>
          <w:numId w:val="38"/>
        </w:numPr>
        <w:ind w:right="-425"/>
        <w:jc w:val="both"/>
        <w:rPr>
          <w:bCs/>
        </w:rPr>
      </w:pPr>
      <w:r w:rsidRPr="00F44585">
        <w:rPr>
          <w:bCs/>
        </w:rPr>
        <w:t xml:space="preserve">Government should work with Indigenous communities to design and fund alternative activities to provide social engagement and </w:t>
      </w:r>
      <w:proofErr w:type="gramStart"/>
      <w:r w:rsidRPr="00F44585">
        <w:rPr>
          <w:bCs/>
        </w:rPr>
        <w:t>entertainment;</w:t>
      </w:r>
      <w:proofErr w:type="gramEnd"/>
    </w:p>
    <w:p w14:paraId="2C6F7D5F" w14:textId="77777777" w:rsidR="00F44585" w:rsidRPr="00F44585" w:rsidRDefault="00F44585" w:rsidP="00F44585">
      <w:pPr>
        <w:numPr>
          <w:ilvl w:val="0"/>
          <w:numId w:val="38"/>
        </w:numPr>
        <w:ind w:right="-425"/>
        <w:jc w:val="both"/>
        <w:rPr>
          <w:bCs/>
        </w:rPr>
      </w:pPr>
      <w:r w:rsidRPr="00F44585">
        <w:rPr>
          <w:bCs/>
        </w:rPr>
        <w:t xml:space="preserve">Government should implement programs to rebuild norms against </w:t>
      </w:r>
      <w:proofErr w:type="gramStart"/>
      <w:r w:rsidRPr="00F44585">
        <w:rPr>
          <w:bCs/>
        </w:rPr>
        <w:t>gambling;</w:t>
      </w:r>
      <w:proofErr w:type="gramEnd"/>
    </w:p>
    <w:p w14:paraId="4C2964C0" w14:textId="49D5082F" w:rsidR="00F44585" w:rsidRDefault="00F44585" w:rsidP="00F44585">
      <w:pPr>
        <w:numPr>
          <w:ilvl w:val="0"/>
          <w:numId w:val="38"/>
        </w:numPr>
        <w:ind w:right="-425"/>
        <w:jc w:val="both"/>
        <w:rPr>
          <w:bCs/>
        </w:rPr>
      </w:pPr>
      <w:r w:rsidRPr="00F44585">
        <w:rPr>
          <w:bCs/>
        </w:rPr>
        <w:t>Government should fund anti-gambling programs to be delivered in community on a regular basis.</w:t>
      </w:r>
    </w:p>
    <w:p w14:paraId="0CA7DD8D" w14:textId="77777777" w:rsidR="00701E5F" w:rsidRPr="00F44585" w:rsidRDefault="00701E5F" w:rsidP="00701E5F">
      <w:pPr>
        <w:ind w:left="720" w:right="-425"/>
        <w:jc w:val="both"/>
        <w:rPr>
          <w:bCs/>
        </w:rPr>
      </w:pPr>
    </w:p>
    <w:p w14:paraId="7023B861" w14:textId="77777777" w:rsidR="007F470C" w:rsidRDefault="007F470C">
      <w:pPr>
        <w:spacing w:line="240" w:lineRule="auto"/>
        <w:rPr>
          <w:bCs/>
        </w:rPr>
      </w:pPr>
      <w:r>
        <w:rPr>
          <w:bCs/>
        </w:rPr>
        <w:br w:type="page"/>
      </w:r>
    </w:p>
    <w:p w14:paraId="6B0AFF47" w14:textId="56720B2E" w:rsidR="00F44585" w:rsidRDefault="00F44585" w:rsidP="00F44585">
      <w:pPr>
        <w:ind w:left="-142" w:right="-425"/>
        <w:jc w:val="both"/>
        <w:rPr>
          <w:bCs/>
        </w:rPr>
      </w:pPr>
      <w:r w:rsidRPr="00F44585">
        <w:rPr>
          <w:bCs/>
        </w:rPr>
        <w:lastRenderedPageBreak/>
        <w:t xml:space="preserve">The FRC agrees with the above recommendations and finds them compatible with the performance measurements in the draft </w:t>
      </w:r>
      <w:r w:rsidR="00F46E9B">
        <w:rPr>
          <w:bCs/>
        </w:rPr>
        <w:t>‘G</w:t>
      </w:r>
      <w:r w:rsidR="00F46E9B" w:rsidRPr="00F46E9B">
        <w:t>ambling harm minimisation plan for Queensland 2021-2025</w:t>
      </w:r>
      <w:r w:rsidR="00F46E9B">
        <w:t>’</w:t>
      </w:r>
      <w:r w:rsidRPr="00F44585">
        <w:rPr>
          <w:bCs/>
        </w:rPr>
        <w:t xml:space="preserve"> – in particular:</w:t>
      </w:r>
    </w:p>
    <w:p w14:paraId="05A4D541" w14:textId="77777777" w:rsidR="00701E5F" w:rsidRPr="00F44585" w:rsidRDefault="00701E5F" w:rsidP="00F44585">
      <w:pPr>
        <w:ind w:left="-142" w:right="-425"/>
        <w:jc w:val="both"/>
        <w:rPr>
          <w:bCs/>
        </w:rPr>
      </w:pPr>
    </w:p>
    <w:p w14:paraId="1FF0255B" w14:textId="77777777" w:rsidR="00F44585" w:rsidRPr="00F44585" w:rsidRDefault="00F44585" w:rsidP="00F44585">
      <w:pPr>
        <w:numPr>
          <w:ilvl w:val="0"/>
          <w:numId w:val="39"/>
        </w:numPr>
        <w:ind w:right="-425"/>
        <w:jc w:val="both"/>
        <w:rPr>
          <w:bCs/>
        </w:rPr>
      </w:pPr>
      <w:r w:rsidRPr="00F44585">
        <w:rPr>
          <w:bCs/>
        </w:rPr>
        <w:t>Increased stakeholder involvement in identifying problems and co-designing solutions</w:t>
      </w:r>
    </w:p>
    <w:p w14:paraId="5AD5D086" w14:textId="77777777" w:rsidR="00F44585" w:rsidRPr="00F44585" w:rsidRDefault="00F44585" w:rsidP="00F44585">
      <w:pPr>
        <w:numPr>
          <w:ilvl w:val="0"/>
          <w:numId w:val="39"/>
        </w:numPr>
        <w:ind w:right="-425"/>
        <w:jc w:val="both"/>
        <w:rPr>
          <w:bCs/>
        </w:rPr>
      </w:pPr>
      <w:r w:rsidRPr="00F44585">
        <w:rPr>
          <w:bCs/>
        </w:rPr>
        <w:t xml:space="preserve">Reduced barriers to accessing best practice help and treatment services and </w:t>
      </w:r>
    </w:p>
    <w:p w14:paraId="57AD94EC" w14:textId="77777777" w:rsidR="00F44585" w:rsidRPr="00F44585" w:rsidRDefault="00F44585" w:rsidP="00F44585">
      <w:pPr>
        <w:numPr>
          <w:ilvl w:val="0"/>
          <w:numId w:val="39"/>
        </w:numPr>
        <w:ind w:right="-425"/>
        <w:jc w:val="both"/>
        <w:rPr>
          <w:bCs/>
        </w:rPr>
      </w:pPr>
      <w:r w:rsidRPr="00F44585">
        <w:rPr>
          <w:bCs/>
        </w:rPr>
        <w:t>Increased community awareness and understanding of gambling harm and its impacts.</w:t>
      </w:r>
    </w:p>
    <w:p w14:paraId="3936FF52" w14:textId="1F95C68D" w:rsidR="00F44585" w:rsidRPr="00F44585" w:rsidRDefault="00F44585" w:rsidP="00F44585">
      <w:pPr>
        <w:ind w:left="-142" w:right="-425"/>
        <w:jc w:val="both"/>
        <w:rPr>
          <w:b/>
        </w:rPr>
      </w:pPr>
    </w:p>
    <w:p w14:paraId="0AD0426D" w14:textId="16E3E7D0" w:rsidR="002E62E1" w:rsidRPr="00F44585" w:rsidRDefault="00F44585" w:rsidP="002E62E1">
      <w:pPr>
        <w:ind w:left="-142" w:right="-425"/>
        <w:jc w:val="both"/>
        <w:rPr>
          <w:bCs/>
          <w:lang w:val="en-GB"/>
        </w:rPr>
      </w:pPr>
      <w:r w:rsidRPr="00F44585">
        <w:rPr>
          <w:bCs/>
        </w:rPr>
        <w:t xml:space="preserve">The FRC has an active and important role to play in the </w:t>
      </w:r>
      <w:r w:rsidR="005377BE">
        <w:rPr>
          <w:bCs/>
        </w:rPr>
        <w:t xml:space="preserve">welfare reform </w:t>
      </w:r>
      <w:r w:rsidRPr="00F44585">
        <w:rPr>
          <w:bCs/>
        </w:rPr>
        <w:t xml:space="preserve">communities, but unfortunately, no direct trigger for problem or illegal gambling can bring an individual before the Commission. Commissioners can, nevertheless, counsel a client whilst in conference for other </w:t>
      </w:r>
      <w:r w:rsidR="00D82AFC">
        <w:rPr>
          <w:bCs/>
        </w:rPr>
        <w:t>a</w:t>
      </w:r>
      <w:r w:rsidR="00CE2D22">
        <w:rPr>
          <w:bCs/>
        </w:rPr>
        <w:t>gency notices</w:t>
      </w:r>
      <w:r w:rsidRPr="00F44585">
        <w:rPr>
          <w:bCs/>
        </w:rPr>
        <w:t xml:space="preserve"> should gambling be identified as a significant issue affecting their (and their family’s) wellbeing. </w:t>
      </w:r>
      <w:r w:rsidR="002E62E1" w:rsidRPr="00F44585">
        <w:rPr>
          <w:bCs/>
          <w:lang w:val="en-GB"/>
        </w:rPr>
        <w:t xml:space="preserve">Were the FRC Act to be amended to include an </w:t>
      </w:r>
      <w:r w:rsidR="00E572C3">
        <w:rPr>
          <w:bCs/>
          <w:lang w:val="en-GB"/>
        </w:rPr>
        <w:t>a</w:t>
      </w:r>
      <w:r w:rsidR="002E62E1" w:rsidRPr="00F44585">
        <w:rPr>
          <w:bCs/>
          <w:lang w:val="en-GB"/>
        </w:rPr>
        <w:t xml:space="preserve">gency </w:t>
      </w:r>
      <w:r w:rsidR="00E572C3">
        <w:rPr>
          <w:bCs/>
          <w:lang w:val="en-GB"/>
        </w:rPr>
        <w:t>n</w:t>
      </w:r>
      <w:r w:rsidR="002E62E1" w:rsidRPr="00F44585">
        <w:rPr>
          <w:bCs/>
          <w:lang w:val="en-GB"/>
        </w:rPr>
        <w:t xml:space="preserve">otice for illegal gambling, </w:t>
      </w:r>
      <w:r w:rsidR="002E62E1">
        <w:rPr>
          <w:bCs/>
          <w:lang w:val="en-GB"/>
        </w:rPr>
        <w:t>the Commission</w:t>
      </w:r>
      <w:r w:rsidR="002E62E1" w:rsidRPr="00F44585">
        <w:rPr>
          <w:bCs/>
          <w:lang w:val="en-GB"/>
        </w:rPr>
        <w:t xml:space="preserve"> would have a mandate to deal with problem gambling in isolation (being able to act solely on a gambling notice), and the role of the notifying agency would create a stronger framework for controlling illegal gambling.</w:t>
      </w:r>
    </w:p>
    <w:p w14:paraId="72910877" w14:textId="77777777" w:rsidR="002E62E1" w:rsidRDefault="002E62E1" w:rsidP="002E62E1">
      <w:pPr>
        <w:ind w:left="-142" w:right="-425"/>
        <w:jc w:val="both"/>
        <w:rPr>
          <w:bCs/>
        </w:rPr>
      </w:pPr>
    </w:p>
    <w:p w14:paraId="0DEDC19C" w14:textId="54A9D747" w:rsidR="00F44585" w:rsidRPr="00F44585" w:rsidRDefault="00F44585" w:rsidP="00F44585">
      <w:pPr>
        <w:ind w:left="-142" w:right="-425"/>
        <w:jc w:val="both"/>
        <w:rPr>
          <w:bCs/>
        </w:rPr>
      </w:pPr>
      <w:r w:rsidRPr="00F44585">
        <w:rPr>
          <w:bCs/>
        </w:rPr>
        <w:t xml:space="preserve">The FRC would welcome the opportunity to discuss with the </w:t>
      </w:r>
      <w:r w:rsidR="005B3A84">
        <w:rPr>
          <w:bCs/>
        </w:rPr>
        <w:t xml:space="preserve">Family Responsibilities Board and the </w:t>
      </w:r>
      <w:r w:rsidRPr="00F44585">
        <w:rPr>
          <w:bCs/>
        </w:rPr>
        <w:t xml:space="preserve">Queensland </w:t>
      </w:r>
      <w:r w:rsidR="005B3A84">
        <w:rPr>
          <w:bCs/>
        </w:rPr>
        <w:t xml:space="preserve">and Australian </w:t>
      </w:r>
      <w:r w:rsidRPr="00F44585">
        <w:rPr>
          <w:bCs/>
        </w:rPr>
        <w:t>Government</w:t>
      </w:r>
      <w:r w:rsidR="005377BE">
        <w:rPr>
          <w:bCs/>
        </w:rPr>
        <w:t>s</w:t>
      </w:r>
      <w:r w:rsidRPr="00F44585">
        <w:rPr>
          <w:bCs/>
        </w:rPr>
        <w:t xml:space="preserve"> the development of a statutory trigger to enable the FRC to better support community members who are exhibiting anti-social behaviours caused by problematic gambling.</w:t>
      </w:r>
    </w:p>
    <w:p w14:paraId="752948D2" w14:textId="4FEEE1F1" w:rsidR="00F44585" w:rsidRPr="00F44585" w:rsidRDefault="00F44585" w:rsidP="00F44585">
      <w:pPr>
        <w:ind w:left="-142" w:right="-425"/>
        <w:jc w:val="both"/>
        <w:rPr>
          <w:bCs/>
        </w:rPr>
      </w:pPr>
    </w:p>
    <w:p w14:paraId="53E6D808" w14:textId="0227393C" w:rsidR="00B1509F" w:rsidRPr="00330766" w:rsidRDefault="00B1509F" w:rsidP="001A1C6D">
      <w:pPr>
        <w:ind w:left="-142" w:right="-425"/>
        <w:jc w:val="both"/>
      </w:pPr>
      <w:r w:rsidRPr="00330766">
        <w:br w:type="page"/>
      </w:r>
    </w:p>
    <w:p w14:paraId="59FA8724" w14:textId="55F36592" w:rsidR="005A5B78" w:rsidRPr="00E34093" w:rsidRDefault="005A5B78" w:rsidP="005A5B78">
      <w:pPr>
        <w:pStyle w:val="Heading1"/>
        <w:ind w:left="-142" w:right="-426"/>
      </w:pPr>
      <w:bookmarkStart w:id="27" w:name="_Toc39657993"/>
      <w:r w:rsidRPr="00E34093">
        <w:lastRenderedPageBreak/>
        <w:t xml:space="preserve">3.  </w:t>
      </w:r>
      <w:r w:rsidR="000541CA">
        <w:t>Governance</w:t>
      </w:r>
      <w:bookmarkEnd w:id="27"/>
    </w:p>
    <w:p w14:paraId="7B1F60EB" w14:textId="77777777" w:rsidR="005A5B78" w:rsidRPr="00E34093" w:rsidRDefault="005A5B78" w:rsidP="005A5B78">
      <w:pPr>
        <w:ind w:left="-142" w:right="-425"/>
        <w:jc w:val="both"/>
        <w:rPr>
          <w:rFonts w:cs="Arial"/>
        </w:rPr>
      </w:pPr>
    </w:p>
    <w:p w14:paraId="7DD60656" w14:textId="77777777" w:rsidR="005A5B78" w:rsidRPr="00E34093" w:rsidRDefault="005A5B78" w:rsidP="00DB0AEE">
      <w:pPr>
        <w:pStyle w:val="Heading2"/>
      </w:pPr>
      <w:r w:rsidRPr="00E34093">
        <w:t>Governance</w:t>
      </w:r>
    </w:p>
    <w:p w14:paraId="16BE11E6" w14:textId="77777777" w:rsidR="005A5B78" w:rsidRPr="00E34093" w:rsidRDefault="005A5B78" w:rsidP="005A5B78">
      <w:pPr>
        <w:ind w:left="-142" w:right="-425"/>
        <w:jc w:val="both"/>
        <w:rPr>
          <w:rFonts w:cs="Arial"/>
        </w:rPr>
      </w:pPr>
    </w:p>
    <w:p w14:paraId="14C15363" w14:textId="25F9A4C9" w:rsidR="005A5B78" w:rsidRPr="00E34093" w:rsidRDefault="005A5B78" w:rsidP="005A5B78">
      <w:pPr>
        <w:ind w:left="-142" w:right="-425"/>
        <w:jc w:val="both"/>
        <w:rPr>
          <w:rFonts w:cs="Arial"/>
        </w:rPr>
      </w:pPr>
      <w:r w:rsidRPr="00E34093">
        <w:rPr>
          <w:rFonts w:cs="Arial"/>
        </w:rPr>
        <w:t xml:space="preserve">Part 12 of the Act provides for the establishment of the Family Responsibilities Board (the </w:t>
      </w:r>
      <w:r w:rsidR="00FA7528">
        <w:rPr>
          <w:rFonts w:cs="Arial"/>
        </w:rPr>
        <w:t xml:space="preserve">FR </w:t>
      </w:r>
      <w:r w:rsidRPr="00E34093">
        <w:rPr>
          <w:rFonts w:cs="Arial"/>
        </w:rPr>
        <w:t>Board).</w:t>
      </w:r>
    </w:p>
    <w:p w14:paraId="57A8C498" w14:textId="77777777" w:rsidR="005A5B78" w:rsidRPr="00E34093" w:rsidRDefault="005A5B78" w:rsidP="005A5B78">
      <w:pPr>
        <w:ind w:left="-142" w:right="-425"/>
        <w:jc w:val="both"/>
        <w:rPr>
          <w:rFonts w:cs="Arial"/>
        </w:rPr>
      </w:pPr>
    </w:p>
    <w:p w14:paraId="008AEDF0" w14:textId="4364909F"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Board has a mandate to give advice and make recommendations to the Minister about the operation of the Commission and similarly to give advice and make recommendations to the Commissioner about the performance of the Commission’s functions.</w:t>
      </w:r>
    </w:p>
    <w:p w14:paraId="6CD6C72F" w14:textId="77777777" w:rsidR="005A5B78" w:rsidRPr="00E34093" w:rsidRDefault="005A5B78" w:rsidP="005A5B78">
      <w:pPr>
        <w:ind w:left="-142" w:right="-425"/>
        <w:jc w:val="both"/>
        <w:rPr>
          <w:rFonts w:cs="Arial"/>
        </w:rPr>
      </w:pPr>
    </w:p>
    <w:p w14:paraId="06A43C5B" w14:textId="45B62875" w:rsidR="005A5B78" w:rsidRPr="00E34093" w:rsidRDefault="005A5B78" w:rsidP="005A5B78">
      <w:pPr>
        <w:ind w:left="-142" w:right="-425"/>
        <w:jc w:val="both"/>
        <w:rPr>
          <w:rFonts w:cs="Arial"/>
        </w:rPr>
      </w:pPr>
      <w:r w:rsidRPr="00E34093">
        <w:rPr>
          <w:rFonts w:cs="Arial"/>
        </w:rPr>
        <w:t xml:space="preserve">The </w:t>
      </w:r>
      <w:r w:rsidR="00FA7528">
        <w:rPr>
          <w:rFonts w:cs="Arial"/>
        </w:rPr>
        <w:t xml:space="preserve">FR </w:t>
      </w:r>
      <w:r w:rsidRPr="00E34093">
        <w:rPr>
          <w:rFonts w:cs="Arial"/>
        </w:rPr>
        <w:t xml:space="preserve">Board must meet at least every </w:t>
      </w:r>
      <w:r w:rsidR="000F715C">
        <w:rPr>
          <w:rFonts w:cs="Arial"/>
        </w:rPr>
        <w:t>six</w:t>
      </w:r>
      <w:r w:rsidR="000F715C" w:rsidRPr="00E34093">
        <w:rPr>
          <w:rFonts w:cs="Arial"/>
        </w:rPr>
        <w:t xml:space="preserve"> </w:t>
      </w:r>
      <w:r w:rsidR="0061573D">
        <w:rPr>
          <w:rFonts w:cs="Arial"/>
        </w:rPr>
        <w:t xml:space="preserve">months. </w:t>
      </w:r>
      <w:r w:rsidRPr="00E34093">
        <w:rPr>
          <w:rFonts w:cs="Arial"/>
        </w:rPr>
        <w:t xml:space="preserve">The meeting may be held by using any technology available which will allow for efficient and effective </w:t>
      </w:r>
      <w:proofErr w:type="gramStart"/>
      <w:r w:rsidRPr="00E34093">
        <w:rPr>
          <w:rFonts w:cs="Arial"/>
        </w:rPr>
        <w:t>communication,</w:t>
      </w:r>
      <w:proofErr w:type="gramEnd"/>
      <w:r w:rsidRPr="00E34093">
        <w:rPr>
          <w:rFonts w:cs="Arial"/>
        </w:rPr>
        <w:t xml:space="preserve"> however, the </w:t>
      </w:r>
      <w:r w:rsidR="00FA7528">
        <w:rPr>
          <w:rFonts w:cs="Arial"/>
        </w:rPr>
        <w:t xml:space="preserve">FR </w:t>
      </w:r>
      <w:r w:rsidRPr="00E34093">
        <w:rPr>
          <w:rFonts w:cs="Arial"/>
        </w:rPr>
        <w:t>Board members must meet i</w:t>
      </w:r>
      <w:r w:rsidR="0061573D">
        <w:rPr>
          <w:rFonts w:cs="Arial"/>
        </w:rPr>
        <w:t xml:space="preserve">n person at least once a year. </w:t>
      </w:r>
      <w:r w:rsidRPr="00E34093">
        <w:rPr>
          <w:rFonts w:cs="Arial"/>
        </w:rPr>
        <w:t xml:space="preserve">A quorum for the </w:t>
      </w:r>
      <w:r w:rsidR="00FA7528">
        <w:rPr>
          <w:rFonts w:cs="Arial"/>
        </w:rPr>
        <w:t xml:space="preserve">FR </w:t>
      </w:r>
      <w:r w:rsidRPr="00E34093">
        <w:rPr>
          <w:rFonts w:cs="Arial"/>
        </w:rPr>
        <w:t>Boa</w:t>
      </w:r>
      <w:r w:rsidR="00CE6E33">
        <w:rPr>
          <w:rFonts w:cs="Arial"/>
        </w:rPr>
        <w:t>rd is comprised of two members.</w:t>
      </w:r>
      <w:r w:rsidRPr="00E34093">
        <w:rPr>
          <w:rFonts w:cs="Arial"/>
        </w:rPr>
        <w:t xml:space="preserve"> The </w:t>
      </w:r>
      <w:r w:rsidR="00FA7528">
        <w:rPr>
          <w:rFonts w:cs="Arial"/>
        </w:rPr>
        <w:t xml:space="preserve">FR </w:t>
      </w:r>
      <w:r w:rsidRPr="00E34093">
        <w:rPr>
          <w:rFonts w:cs="Arial"/>
        </w:rPr>
        <w:t>Board’s membership consists of</w:t>
      </w:r>
      <w:r w:rsidR="00891427">
        <w:rPr>
          <w:rFonts w:cs="Arial"/>
        </w:rPr>
        <w:t xml:space="preserve"> the following members:</w:t>
      </w:r>
    </w:p>
    <w:p w14:paraId="65AC2BD3" w14:textId="77777777" w:rsidR="005A5B78" w:rsidRPr="00E34093" w:rsidRDefault="005A5B78" w:rsidP="005A5B78">
      <w:pPr>
        <w:ind w:left="-142" w:right="-425"/>
        <w:jc w:val="both"/>
        <w:rPr>
          <w:rFonts w:cs="Arial"/>
        </w:rPr>
      </w:pPr>
    </w:p>
    <w:p w14:paraId="191A2368" w14:textId="77777777" w:rsidR="005A5B78" w:rsidRPr="00836B08" w:rsidRDefault="00731629" w:rsidP="00FC008A">
      <w:pPr>
        <w:pStyle w:val="ListBullet"/>
        <w:ind w:left="2863" w:hanging="3005"/>
      </w:pPr>
      <w:r>
        <w:t>Dr Chris Sarra</w:t>
      </w:r>
      <w:r w:rsidR="005A5B78" w:rsidRPr="00E34093">
        <w:tab/>
        <w:t xml:space="preserve">Director-General, Department of Aboriginal and Torres Strait </w:t>
      </w:r>
      <w:r w:rsidR="005A5B78" w:rsidRPr="00836B08">
        <w:t>Island</w:t>
      </w:r>
      <w:r w:rsidR="000F715C" w:rsidRPr="00836B08">
        <w:t>er</w:t>
      </w:r>
      <w:r w:rsidR="005A5B78" w:rsidRPr="00836B08">
        <w:t xml:space="preserve"> </w:t>
      </w:r>
      <w:r w:rsidR="000F715C" w:rsidRPr="00836B08">
        <w:t>Partnerships</w:t>
      </w:r>
      <w:r w:rsidR="0057512A" w:rsidRPr="00836B08">
        <w:t xml:space="preserve"> (Chair)</w:t>
      </w:r>
    </w:p>
    <w:p w14:paraId="53F6CEC1" w14:textId="6C9B567C" w:rsidR="00281E73" w:rsidRPr="00836B08" w:rsidRDefault="00281E73" w:rsidP="00FC008A">
      <w:pPr>
        <w:pStyle w:val="ListBullet"/>
        <w:ind w:left="2863" w:hanging="3005"/>
      </w:pPr>
      <w:r w:rsidRPr="00836B08">
        <w:t xml:space="preserve">Mr </w:t>
      </w:r>
      <w:r w:rsidR="00466B4F">
        <w:t>Ray Griggs AO, CSC</w:t>
      </w:r>
      <w:r w:rsidRPr="00836B08">
        <w:tab/>
      </w:r>
      <w:r w:rsidR="00466B4F">
        <w:t>CEO</w:t>
      </w:r>
      <w:r w:rsidR="00FD17E7" w:rsidRPr="00836B08">
        <w:t>, National Indigenous Australians Agency</w:t>
      </w:r>
    </w:p>
    <w:p w14:paraId="4966C96B" w14:textId="77777777" w:rsidR="0057512A" w:rsidRDefault="0057512A" w:rsidP="00FC008A">
      <w:pPr>
        <w:pStyle w:val="ListBullet"/>
        <w:ind w:left="2863" w:hanging="3005"/>
      </w:pPr>
      <w:r w:rsidRPr="00E34093">
        <w:t>Mr Noel Pearson</w:t>
      </w:r>
      <w:r w:rsidRPr="00E34093">
        <w:tab/>
      </w:r>
      <w:r w:rsidRPr="00E34093">
        <w:tab/>
      </w:r>
      <w:r>
        <w:t xml:space="preserve">Founder, Cape York </w:t>
      </w:r>
      <w:r w:rsidR="00751CB6">
        <w:t>Partnership representing the Cape York Institute</w:t>
      </w:r>
      <w:r>
        <w:t>.</w:t>
      </w:r>
    </w:p>
    <w:p w14:paraId="667BEFF1" w14:textId="77777777" w:rsidR="00320827" w:rsidRDefault="00320827" w:rsidP="00DB0AEE">
      <w:pPr>
        <w:pStyle w:val="Heading2"/>
      </w:pPr>
    </w:p>
    <w:p w14:paraId="660BA16D" w14:textId="4D44E116" w:rsidR="00320827" w:rsidRPr="00E34093" w:rsidRDefault="00320827" w:rsidP="00DB0AEE">
      <w:pPr>
        <w:pStyle w:val="Heading2"/>
      </w:pPr>
      <w:r w:rsidRPr="00E34093">
        <w:t>Operational</w:t>
      </w:r>
    </w:p>
    <w:p w14:paraId="673CAD09" w14:textId="77777777" w:rsidR="00320827" w:rsidRPr="00E34093" w:rsidRDefault="00320827" w:rsidP="00320827">
      <w:pPr>
        <w:ind w:left="-142" w:right="-425"/>
        <w:rPr>
          <w:rFonts w:cs="Arial"/>
        </w:rPr>
      </w:pPr>
    </w:p>
    <w:p w14:paraId="1DC71554" w14:textId="2DBAB001" w:rsidR="00320827" w:rsidRPr="00E34093" w:rsidRDefault="00320827" w:rsidP="00320827">
      <w:pPr>
        <w:ind w:left="-142" w:right="-425"/>
        <w:jc w:val="both"/>
        <w:rPr>
          <w:rFonts w:cs="Arial"/>
        </w:rPr>
      </w:pPr>
      <w:r w:rsidRPr="00E34093">
        <w:rPr>
          <w:rFonts w:cs="Arial"/>
        </w:rPr>
        <w:t xml:space="preserve">In meeting obligations under Part 3 of the Act, the Family Responsibilities Commission Registry (the </w:t>
      </w:r>
      <w:r w:rsidR="00A03742">
        <w:rPr>
          <w:rFonts w:cs="Arial"/>
        </w:rPr>
        <w:t>r</w:t>
      </w:r>
      <w:r w:rsidRPr="00E34093">
        <w:rPr>
          <w:rFonts w:cs="Arial"/>
        </w:rPr>
        <w:t>egistry) commenced operations on 1</w:t>
      </w:r>
      <w:r w:rsidRPr="00E34093">
        <w:t xml:space="preserve"> </w:t>
      </w:r>
      <w:r w:rsidRPr="00E34093">
        <w:rPr>
          <w:rFonts w:cs="Arial"/>
        </w:rPr>
        <w:t xml:space="preserve">July 2008 with a central </w:t>
      </w:r>
      <w:r w:rsidR="00A03742">
        <w:rPr>
          <w:rFonts w:cs="Arial"/>
        </w:rPr>
        <w:t>r</w:t>
      </w:r>
      <w:r w:rsidRPr="00E34093">
        <w:rPr>
          <w:rFonts w:cs="Arial"/>
        </w:rPr>
        <w:t xml:space="preserve">egistry office established in Cairns and local </w:t>
      </w:r>
      <w:r w:rsidR="00A03742">
        <w:rPr>
          <w:rFonts w:cs="Arial"/>
        </w:rPr>
        <w:t>r</w:t>
      </w:r>
      <w:r w:rsidRPr="00E34093">
        <w:rPr>
          <w:rFonts w:cs="Arial"/>
        </w:rPr>
        <w:t xml:space="preserve">egistry offices operating in each of the </w:t>
      </w:r>
      <w:r>
        <w:rPr>
          <w:rFonts w:cs="Arial"/>
        </w:rPr>
        <w:t>five</w:t>
      </w:r>
      <w:r w:rsidRPr="00E34093">
        <w:rPr>
          <w:rFonts w:cs="Arial"/>
        </w:rPr>
        <w:t xml:space="preserve"> </w:t>
      </w:r>
      <w:r>
        <w:rPr>
          <w:rFonts w:cs="Arial"/>
        </w:rPr>
        <w:t>welfare reform</w:t>
      </w:r>
      <w:r w:rsidRPr="00E34093">
        <w:rPr>
          <w:rFonts w:cs="Arial"/>
        </w:rPr>
        <w:t xml:space="preserve"> communities.</w:t>
      </w:r>
    </w:p>
    <w:p w14:paraId="7989EFEF" w14:textId="77777777" w:rsidR="00320827" w:rsidRPr="00E34093" w:rsidRDefault="00320827" w:rsidP="00320827">
      <w:pPr>
        <w:ind w:left="-142" w:right="-425"/>
        <w:jc w:val="both"/>
        <w:rPr>
          <w:rFonts w:cs="Arial"/>
        </w:rPr>
      </w:pPr>
    </w:p>
    <w:p w14:paraId="0E119A14" w14:textId="27748D3E" w:rsidR="00320827" w:rsidRPr="00E34093" w:rsidRDefault="00320827" w:rsidP="00320827">
      <w:pPr>
        <w:ind w:left="-142" w:right="-425"/>
        <w:jc w:val="both"/>
        <w:rPr>
          <w:rFonts w:cs="Arial"/>
        </w:rPr>
      </w:pPr>
      <w:r w:rsidRPr="00E34093">
        <w:rPr>
          <w:rFonts w:cs="Arial"/>
        </w:rPr>
        <w:t xml:space="preserve">The </w:t>
      </w:r>
      <w:r w:rsidR="00A03742">
        <w:rPr>
          <w:rFonts w:cs="Arial"/>
        </w:rPr>
        <w:t>r</w:t>
      </w:r>
      <w:r w:rsidRPr="00E34093">
        <w:rPr>
          <w:rFonts w:cs="Arial"/>
        </w:rPr>
        <w:t xml:space="preserve">egistry, managed by the Registrar, provides corporate and operational support to the Commissioner, the Local </w:t>
      </w:r>
      <w:proofErr w:type="gramStart"/>
      <w:r w:rsidRPr="00E34093">
        <w:rPr>
          <w:rFonts w:cs="Arial"/>
        </w:rPr>
        <w:t>Commissioners</w:t>
      </w:r>
      <w:proofErr w:type="gramEnd"/>
      <w:r w:rsidRPr="00E34093">
        <w:rPr>
          <w:rFonts w:cs="Arial"/>
        </w:rPr>
        <w:t xml:space="preserve"> and the Local </w:t>
      </w:r>
      <w:r w:rsidR="00B32B26">
        <w:rPr>
          <w:rFonts w:cs="Arial"/>
        </w:rPr>
        <w:t xml:space="preserve">Registry </w:t>
      </w:r>
      <w:r w:rsidRPr="00E34093">
        <w:rPr>
          <w:rFonts w:cs="Arial"/>
        </w:rPr>
        <w:t>Coordinators.</w:t>
      </w:r>
    </w:p>
    <w:p w14:paraId="361F5466" w14:textId="77777777" w:rsidR="00BF1639" w:rsidRPr="00E34093" w:rsidRDefault="00BF1639" w:rsidP="00BF1639">
      <w:pPr>
        <w:ind w:left="-142" w:right="-425"/>
        <w:jc w:val="both"/>
        <w:rPr>
          <w:rFonts w:cs="Arial"/>
        </w:rPr>
      </w:pPr>
    </w:p>
    <w:p w14:paraId="0749F14E" w14:textId="3BB0E06B" w:rsidR="000541CA" w:rsidRDefault="000541CA" w:rsidP="00320827">
      <w:pPr>
        <w:spacing w:line="240" w:lineRule="auto"/>
        <w:rPr>
          <w:rFonts w:cs="Arial"/>
        </w:rPr>
      </w:pPr>
      <w:r>
        <w:rPr>
          <w:rFonts w:cs="Arial"/>
        </w:rPr>
        <w:br w:type="page"/>
      </w:r>
    </w:p>
    <w:p w14:paraId="201BA154" w14:textId="700021D9" w:rsidR="000541CA" w:rsidRPr="00E34093" w:rsidRDefault="000541CA" w:rsidP="000541CA">
      <w:pPr>
        <w:pStyle w:val="Heading1"/>
        <w:ind w:left="-142" w:right="-426"/>
      </w:pPr>
      <w:bookmarkStart w:id="28" w:name="_Toc39657994"/>
      <w:r>
        <w:lastRenderedPageBreak/>
        <w:t>4</w:t>
      </w:r>
      <w:r w:rsidRPr="00E34093">
        <w:t>.  Financial Operations</w:t>
      </w:r>
      <w:bookmarkEnd w:id="28"/>
    </w:p>
    <w:p w14:paraId="3ABAF23C" w14:textId="77777777" w:rsidR="009637A0" w:rsidRPr="00E34093" w:rsidRDefault="009637A0" w:rsidP="005A5B78">
      <w:pPr>
        <w:ind w:left="-142" w:right="-425"/>
        <w:jc w:val="both"/>
        <w:rPr>
          <w:rFonts w:cs="Arial"/>
        </w:rPr>
      </w:pPr>
    </w:p>
    <w:p w14:paraId="3D25C585" w14:textId="77777777" w:rsidR="009F0A67" w:rsidRPr="00BF1639" w:rsidRDefault="009F0A67" w:rsidP="00DB0AEE">
      <w:pPr>
        <w:pStyle w:val="Heading3"/>
      </w:pPr>
      <w:r w:rsidRPr="00BF1639">
        <w:t>Income:</w:t>
      </w:r>
    </w:p>
    <w:p w14:paraId="6D17618C" w14:textId="423EE8AE" w:rsidR="009F0A67" w:rsidRPr="008E6DBA" w:rsidRDefault="009F0A67" w:rsidP="00FC008A">
      <w:pPr>
        <w:pStyle w:val="ListBullet"/>
        <w:ind w:left="215" w:hanging="357"/>
      </w:pPr>
      <w:r w:rsidRPr="008E6DBA">
        <w:t xml:space="preserve">Income </w:t>
      </w:r>
      <w:r w:rsidR="006544B1" w:rsidRPr="008E6DBA">
        <w:t xml:space="preserve">received </w:t>
      </w:r>
      <w:r w:rsidRPr="008E6DBA">
        <w:t xml:space="preserve">by the Commission for the period </w:t>
      </w:r>
      <w:r w:rsidR="00297D13" w:rsidRPr="008E6DBA">
        <w:t xml:space="preserve">1 </w:t>
      </w:r>
      <w:r w:rsidR="009A7C28">
        <w:t>January 2021</w:t>
      </w:r>
      <w:r w:rsidRPr="008E6DBA">
        <w:t xml:space="preserve"> to </w:t>
      </w:r>
      <w:r w:rsidR="004F7197" w:rsidRPr="008E6DBA">
        <w:t>3</w:t>
      </w:r>
      <w:r w:rsidR="006261A6">
        <w:t xml:space="preserve">1 </w:t>
      </w:r>
      <w:r w:rsidR="009A7C28">
        <w:t>March 2021</w:t>
      </w:r>
      <w:r w:rsidRPr="008E6DBA">
        <w:t xml:space="preserve"> totalled $</w:t>
      </w:r>
      <w:r w:rsidR="00FE0240">
        <w:t>1,044,371</w:t>
      </w:r>
      <w:r w:rsidR="00A504A2" w:rsidRPr="009D3335">
        <w:t>.</w:t>
      </w:r>
      <w:r w:rsidR="00CE6E33" w:rsidRPr="008E6DBA">
        <w:t xml:space="preserve"> </w:t>
      </w:r>
      <w:r w:rsidRPr="008E6DBA">
        <w:t>This income consisted of:</w:t>
      </w:r>
    </w:p>
    <w:p w14:paraId="350616B8" w14:textId="015E868B" w:rsidR="009F0A67" w:rsidRPr="00FE0240" w:rsidRDefault="009F0A67" w:rsidP="009F0A67">
      <w:pPr>
        <w:pStyle w:val="ListBullet2"/>
      </w:pPr>
      <w:r w:rsidRPr="00A253AB">
        <w:t>$</w:t>
      </w:r>
      <w:r w:rsidR="009D3335" w:rsidRPr="00FE0240">
        <w:t>426,500</w:t>
      </w:r>
      <w:r w:rsidRPr="00FE0240">
        <w:t xml:space="preserve"> Queensland Government funding</w:t>
      </w:r>
    </w:p>
    <w:p w14:paraId="45A2692F" w14:textId="225C2CFC" w:rsidR="009F0A67" w:rsidRPr="00FE0240" w:rsidRDefault="009F0A67" w:rsidP="009F0A67">
      <w:pPr>
        <w:pStyle w:val="ListBullet2"/>
      </w:pPr>
      <w:r w:rsidRPr="00FE0240">
        <w:t>$</w:t>
      </w:r>
      <w:r w:rsidR="009D3335" w:rsidRPr="00FE0240">
        <w:t>163,250</w:t>
      </w:r>
      <w:r w:rsidR="00EB73D5" w:rsidRPr="00FE0240">
        <w:t xml:space="preserve"> </w:t>
      </w:r>
      <w:r w:rsidRPr="00FE0240">
        <w:t>Queensland Government</w:t>
      </w:r>
      <w:r w:rsidR="003300AB" w:rsidRPr="00FE0240">
        <w:t xml:space="preserve"> funding – Doomadgee</w:t>
      </w:r>
    </w:p>
    <w:p w14:paraId="02AA0FD6" w14:textId="7EAEF0C4" w:rsidR="009F0A67" w:rsidRPr="00850051" w:rsidRDefault="009F0A67" w:rsidP="009F0A67">
      <w:pPr>
        <w:pStyle w:val="ListBullet2"/>
      </w:pPr>
      <w:r w:rsidRPr="00FE0240">
        <w:t>$</w:t>
      </w:r>
      <w:r w:rsidR="00A253AB" w:rsidRPr="00FE0240">
        <w:t>450,000</w:t>
      </w:r>
      <w:r w:rsidR="00932339" w:rsidRPr="00850051">
        <w:t xml:space="preserve"> </w:t>
      </w:r>
      <w:r w:rsidRPr="00850051">
        <w:t>Australian Government funding</w:t>
      </w:r>
    </w:p>
    <w:p w14:paraId="512E3D76" w14:textId="456AB986" w:rsidR="009F0A67" w:rsidRPr="00850051" w:rsidRDefault="009F0A67" w:rsidP="009F0A67">
      <w:pPr>
        <w:pStyle w:val="ListBullet2"/>
      </w:pPr>
      <w:r w:rsidRPr="00850051">
        <w:t>$</w:t>
      </w:r>
      <w:r w:rsidR="00FE0240">
        <w:t>4,621</w:t>
      </w:r>
      <w:r w:rsidR="009D3335" w:rsidRPr="00850051">
        <w:t xml:space="preserve"> </w:t>
      </w:r>
      <w:r w:rsidRPr="00850051">
        <w:t>interest received</w:t>
      </w:r>
    </w:p>
    <w:p w14:paraId="63A91431" w14:textId="6F5B5C45" w:rsidR="009F0A67" w:rsidRDefault="009F0A67" w:rsidP="009F0A67">
      <w:pPr>
        <w:ind w:left="-142" w:right="-425"/>
        <w:jc w:val="both"/>
        <w:rPr>
          <w:rFonts w:cs="Arial"/>
        </w:rPr>
      </w:pPr>
      <w:r w:rsidRPr="0073709D">
        <w:rPr>
          <w:rFonts w:cs="Arial"/>
        </w:rPr>
        <w:t xml:space="preserve">The balance of available funds in the bank as </w:t>
      </w:r>
      <w:proofErr w:type="gramStart"/>
      <w:r w:rsidRPr="0073709D">
        <w:rPr>
          <w:rFonts w:cs="Arial"/>
        </w:rPr>
        <w:t>at</w:t>
      </w:r>
      <w:proofErr w:type="gramEnd"/>
      <w:r w:rsidRPr="0073709D">
        <w:rPr>
          <w:rFonts w:cs="Arial"/>
        </w:rPr>
        <w:t xml:space="preserve"> </w:t>
      </w:r>
      <w:r w:rsidR="004F7197" w:rsidRPr="0073709D">
        <w:rPr>
          <w:rFonts w:cs="Arial"/>
        </w:rPr>
        <w:t>3</w:t>
      </w:r>
      <w:r w:rsidR="006261A6">
        <w:rPr>
          <w:rFonts w:cs="Arial"/>
        </w:rPr>
        <w:t xml:space="preserve">1 </w:t>
      </w:r>
      <w:r w:rsidR="009A7C28">
        <w:rPr>
          <w:rFonts w:cs="Arial"/>
        </w:rPr>
        <w:t>March 2021</w:t>
      </w:r>
      <w:r w:rsidRPr="0073709D">
        <w:rPr>
          <w:rFonts w:cs="Arial"/>
        </w:rPr>
        <w:t xml:space="preserve"> </w:t>
      </w:r>
      <w:r w:rsidRPr="008E6DBA">
        <w:rPr>
          <w:rFonts w:cs="Arial"/>
        </w:rPr>
        <w:t>is $</w:t>
      </w:r>
      <w:r w:rsidR="008C3584">
        <w:rPr>
          <w:rFonts w:cs="Arial"/>
        </w:rPr>
        <w:t>4,559,260</w:t>
      </w:r>
      <w:r w:rsidR="00606CC5">
        <w:rPr>
          <w:rFonts w:cs="Arial"/>
        </w:rPr>
        <w:t>.</w:t>
      </w:r>
    </w:p>
    <w:p w14:paraId="4662D0B3" w14:textId="57ED4AA7" w:rsidR="00D840DE" w:rsidRDefault="00D840DE" w:rsidP="009F0A67">
      <w:pPr>
        <w:ind w:left="-142" w:right="-425"/>
        <w:jc w:val="both"/>
        <w:rPr>
          <w:rFonts w:cs="Arial"/>
        </w:rPr>
      </w:pPr>
    </w:p>
    <w:p w14:paraId="609DB8D6" w14:textId="77777777" w:rsidR="00C74BF5" w:rsidRPr="00BF1639" w:rsidRDefault="00C74BF5" w:rsidP="00DB0AEE">
      <w:pPr>
        <w:pStyle w:val="Heading3"/>
      </w:pPr>
      <w:r w:rsidRPr="00BF1639">
        <w:t>Expenditure:</w:t>
      </w:r>
    </w:p>
    <w:p w14:paraId="1DC8DF62" w14:textId="24F17BF9" w:rsidR="00C74BF5" w:rsidRPr="001720D5" w:rsidRDefault="00C74BF5" w:rsidP="00C74BF5">
      <w:pPr>
        <w:pStyle w:val="ListBullet"/>
        <w:ind w:left="2863" w:hanging="3005"/>
      </w:pPr>
      <w:r w:rsidRPr="00BD380A">
        <w:t xml:space="preserve">Expenditure for the period 1 </w:t>
      </w:r>
      <w:r w:rsidR="009A7C28">
        <w:t>January 2021</w:t>
      </w:r>
      <w:r w:rsidRPr="00BD380A">
        <w:t xml:space="preserve"> to 3</w:t>
      </w:r>
      <w:r w:rsidR="006261A6">
        <w:t xml:space="preserve">1 </w:t>
      </w:r>
      <w:r w:rsidR="009A7C28">
        <w:t>March 2021</w:t>
      </w:r>
      <w:r w:rsidRPr="00BD380A">
        <w:t xml:space="preserve"> was $</w:t>
      </w:r>
      <w:r w:rsidR="008C3584">
        <w:t>964,118</w:t>
      </w:r>
      <w:r>
        <w:t>.</w:t>
      </w:r>
    </w:p>
    <w:p w14:paraId="4555CA86" w14:textId="07475910" w:rsidR="00D840DE" w:rsidRDefault="00D840DE" w:rsidP="009F0A67">
      <w:pPr>
        <w:ind w:left="-142" w:right="-425"/>
        <w:jc w:val="both"/>
        <w:rPr>
          <w:rFonts w:cs="Arial"/>
        </w:rPr>
      </w:pPr>
    </w:p>
    <w:p w14:paraId="40442581" w14:textId="3C423BCF" w:rsidR="00EB0526" w:rsidRDefault="00EB0526" w:rsidP="009D766A">
      <w:pPr>
        <w:ind w:left="-142" w:right="-425"/>
        <w:jc w:val="both"/>
        <w:rPr>
          <w:rFonts w:cs="Arial"/>
          <w:sz w:val="16"/>
          <w:szCs w:val="16"/>
        </w:rPr>
      </w:pPr>
      <w:r w:rsidRPr="009D766A">
        <w:rPr>
          <w:rFonts w:cs="Arial"/>
          <w:b/>
          <w:sz w:val="16"/>
          <w:szCs w:val="16"/>
        </w:rPr>
        <w:t xml:space="preserve">Table </w:t>
      </w:r>
      <w:r w:rsidR="003453AD">
        <w:rPr>
          <w:rFonts w:cs="Arial"/>
          <w:b/>
          <w:sz w:val="16"/>
          <w:szCs w:val="16"/>
        </w:rPr>
        <w:t>2</w:t>
      </w:r>
      <w:r w:rsidR="00CE0E57">
        <w:rPr>
          <w:rFonts w:cs="Arial"/>
          <w:b/>
          <w:sz w:val="16"/>
          <w:szCs w:val="16"/>
        </w:rPr>
        <w:t>2:</w:t>
      </w:r>
      <w:r w:rsidRPr="009D766A">
        <w:rPr>
          <w:rFonts w:cs="Arial"/>
          <w:sz w:val="16"/>
          <w:szCs w:val="16"/>
        </w:rPr>
        <w:t xml:space="preserve"> Expenditure in </w:t>
      </w:r>
      <w:r w:rsidR="00856C85" w:rsidRPr="009D766A">
        <w:rPr>
          <w:rFonts w:cs="Arial"/>
          <w:sz w:val="16"/>
          <w:szCs w:val="16"/>
        </w:rPr>
        <w:t xml:space="preserve">quarter </w:t>
      </w:r>
      <w:r w:rsidR="007914E0">
        <w:rPr>
          <w:rFonts w:cs="Arial"/>
          <w:sz w:val="16"/>
          <w:szCs w:val="16"/>
        </w:rPr>
        <w:t>51</w:t>
      </w:r>
      <w:r w:rsidRPr="009D766A">
        <w:rPr>
          <w:rFonts w:cs="Arial"/>
          <w:sz w:val="16"/>
          <w:szCs w:val="16"/>
        </w:rPr>
        <w:t>.</w:t>
      </w:r>
    </w:p>
    <w:p w14:paraId="692AFDBD" w14:textId="77777777" w:rsidR="00BF1639" w:rsidRPr="009D766A" w:rsidRDefault="00BF1639" w:rsidP="009D766A">
      <w:pPr>
        <w:ind w:left="-142" w:right="-425"/>
        <w:jc w:val="both"/>
        <w:rPr>
          <w:rFonts w:cs="Arial"/>
          <w:sz w:val="16"/>
          <w:szCs w:val="16"/>
        </w:rPr>
      </w:pPr>
    </w:p>
    <w:tbl>
      <w:tblPr>
        <w:tblW w:w="9498" w:type="dxa"/>
        <w:tblInd w:w="-142" w:type="dxa"/>
        <w:tblLook w:val="0000" w:firstRow="0" w:lastRow="0" w:firstColumn="0" w:lastColumn="0" w:noHBand="0" w:noVBand="0"/>
      </w:tblPr>
      <w:tblGrid>
        <w:gridCol w:w="3544"/>
        <w:gridCol w:w="1701"/>
        <w:gridCol w:w="2552"/>
        <w:gridCol w:w="1701"/>
      </w:tblGrid>
      <w:tr w:rsidR="009F0A67" w:rsidRPr="00872CBA" w14:paraId="5F41E548" w14:textId="77777777" w:rsidTr="009D766A">
        <w:trPr>
          <w:trHeight w:val="255"/>
        </w:trPr>
        <w:tc>
          <w:tcPr>
            <w:tcW w:w="3544" w:type="dxa"/>
            <w:tcBorders>
              <w:top w:val="nil"/>
              <w:left w:val="nil"/>
              <w:bottom w:val="nil"/>
              <w:right w:val="nil"/>
            </w:tcBorders>
            <w:shd w:val="clear" w:color="auto" w:fill="000000"/>
            <w:noWrap/>
            <w:vAlign w:val="bottom"/>
          </w:tcPr>
          <w:p w14:paraId="115FA01E" w14:textId="5C032553" w:rsidR="009F0A67" w:rsidRPr="00872CBA" w:rsidRDefault="00297D13" w:rsidP="009F55E0">
            <w:pPr>
              <w:pStyle w:val="StyleTableTextBoldCentered"/>
              <w:rPr>
                <w:lang w:eastAsia="en-AU"/>
              </w:rPr>
            </w:pPr>
            <w:r>
              <w:rPr>
                <w:lang w:eastAsia="en-AU"/>
              </w:rPr>
              <w:t xml:space="preserve">1 </w:t>
            </w:r>
            <w:r w:rsidR="009A7C28">
              <w:rPr>
                <w:lang w:eastAsia="en-AU"/>
              </w:rPr>
              <w:t>January 2021</w:t>
            </w:r>
            <w:r w:rsidR="009F0A67" w:rsidRPr="00872CBA">
              <w:rPr>
                <w:lang w:eastAsia="en-AU"/>
              </w:rPr>
              <w:t xml:space="preserve"> to</w:t>
            </w:r>
          </w:p>
        </w:tc>
        <w:tc>
          <w:tcPr>
            <w:tcW w:w="1701" w:type="dxa"/>
            <w:tcBorders>
              <w:top w:val="nil"/>
              <w:left w:val="single" w:sz="4" w:space="0" w:color="FFFFFF"/>
              <w:bottom w:val="nil"/>
              <w:right w:val="single" w:sz="4" w:space="0" w:color="FFFFFF"/>
            </w:tcBorders>
            <w:shd w:val="clear" w:color="auto" w:fill="000000"/>
            <w:noWrap/>
            <w:vAlign w:val="bottom"/>
          </w:tcPr>
          <w:p w14:paraId="1C8E5D64" w14:textId="77777777" w:rsidR="009F0A67" w:rsidRPr="00872CBA" w:rsidRDefault="009F0A67" w:rsidP="009F0A67">
            <w:pPr>
              <w:pStyle w:val="StyleTableTextBoldCentered"/>
              <w:rPr>
                <w:lang w:eastAsia="en-AU"/>
              </w:rPr>
            </w:pPr>
            <w:r w:rsidRPr="00872CBA">
              <w:rPr>
                <w:lang w:eastAsia="en-AU"/>
              </w:rPr>
              <w:t>Expenditure</w:t>
            </w:r>
          </w:p>
        </w:tc>
        <w:tc>
          <w:tcPr>
            <w:tcW w:w="2552" w:type="dxa"/>
            <w:tcBorders>
              <w:top w:val="nil"/>
              <w:left w:val="nil"/>
              <w:bottom w:val="nil"/>
              <w:right w:val="single" w:sz="4" w:space="0" w:color="FFFFFF"/>
            </w:tcBorders>
            <w:shd w:val="clear" w:color="auto" w:fill="000000"/>
            <w:noWrap/>
            <w:vAlign w:val="bottom"/>
          </w:tcPr>
          <w:p w14:paraId="1CA18B8A" w14:textId="43E6DABB" w:rsidR="009F0A67" w:rsidRPr="00872CBA" w:rsidRDefault="00297D13" w:rsidP="009F55E0">
            <w:pPr>
              <w:pStyle w:val="StyleTableTextBoldCentered"/>
              <w:rPr>
                <w:lang w:eastAsia="en-AU"/>
              </w:rPr>
            </w:pPr>
            <w:r>
              <w:rPr>
                <w:lang w:eastAsia="en-AU"/>
              </w:rPr>
              <w:t xml:space="preserve">1 </w:t>
            </w:r>
            <w:r w:rsidR="009A7C28">
              <w:rPr>
                <w:lang w:eastAsia="en-AU"/>
              </w:rPr>
              <w:t>January 2021</w:t>
            </w:r>
            <w:r w:rsidR="009F0A67" w:rsidRPr="00872CBA">
              <w:rPr>
                <w:lang w:eastAsia="en-AU"/>
              </w:rPr>
              <w:t xml:space="preserve"> to</w:t>
            </w:r>
          </w:p>
        </w:tc>
        <w:tc>
          <w:tcPr>
            <w:tcW w:w="1701" w:type="dxa"/>
            <w:tcBorders>
              <w:top w:val="nil"/>
              <w:left w:val="nil"/>
              <w:bottom w:val="nil"/>
              <w:right w:val="nil"/>
            </w:tcBorders>
            <w:shd w:val="clear" w:color="auto" w:fill="000000"/>
            <w:noWrap/>
            <w:vAlign w:val="bottom"/>
          </w:tcPr>
          <w:p w14:paraId="7C72E82C" w14:textId="77777777" w:rsidR="009F0A67" w:rsidRPr="00872CBA" w:rsidRDefault="009F0A67" w:rsidP="009F0A67">
            <w:pPr>
              <w:pStyle w:val="StyleTableTextBoldCentered"/>
              <w:rPr>
                <w:lang w:eastAsia="en-AU"/>
              </w:rPr>
            </w:pPr>
            <w:r w:rsidRPr="00872CBA">
              <w:rPr>
                <w:lang w:eastAsia="en-AU"/>
              </w:rPr>
              <w:t>Expenditure</w:t>
            </w:r>
          </w:p>
        </w:tc>
      </w:tr>
      <w:tr w:rsidR="009F0A67" w:rsidRPr="00872CBA" w14:paraId="1CF33262" w14:textId="77777777" w:rsidTr="009D766A">
        <w:trPr>
          <w:trHeight w:val="255"/>
        </w:trPr>
        <w:tc>
          <w:tcPr>
            <w:tcW w:w="3544" w:type="dxa"/>
            <w:tcBorders>
              <w:top w:val="nil"/>
              <w:left w:val="nil"/>
              <w:bottom w:val="nil"/>
              <w:right w:val="nil"/>
            </w:tcBorders>
            <w:shd w:val="clear" w:color="auto" w:fill="000000"/>
            <w:noWrap/>
            <w:vAlign w:val="bottom"/>
          </w:tcPr>
          <w:p w14:paraId="7E05DA63" w14:textId="37E2FF09" w:rsidR="009F0A67" w:rsidRPr="00872CBA" w:rsidRDefault="004F7197" w:rsidP="009F55E0">
            <w:pPr>
              <w:pStyle w:val="StyleTableTextBoldCentered"/>
              <w:rPr>
                <w:lang w:eastAsia="en-AU"/>
              </w:rPr>
            </w:pPr>
            <w:r>
              <w:rPr>
                <w:lang w:eastAsia="en-AU"/>
              </w:rPr>
              <w:t>3</w:t>
            </w:r>
            <w:r w:rsidR="006261A6">
              <w:rPr>
                <w:lang w:eastAsia="en-AU"/>
              </w:rPr>
              <w:t xml:space="preserve">1 </w:t>
            </w:r>
            <w:r w:rsidR="009A7C28">
              <w:rPr>
                <w:lang w:eastAsia="en-AU"/>
              </w:rPr>
              <w:t>March 2021</w:t>
            </w:r>
          </w:p>
        </w:tc>
        <w:tc>
          <w:tcPr>
            <w:tcW w:w="1701" w:type="dxa"/>
            <w:tcBorders>
              <w:top w:val="nil"/>
              <w:left w:val="single" w:sz="4" w:space="0" w:color="FFFFFF"/>
              <w:bottom w:val="nil"/>
              <w:right w:val="single" w:sz="4" w:space="0" w:color="FFFFFF"/>
            </w:tcBorders>
            <w:shd w:val="clear" w:color="auto" w:fill="000000"/>
            <w:noWrap/>
            <w:vAlign w:val="bottom"/>
          </w:tcPr>
          <w:p w14:paraId="419802FF" w14:textId="1FD47500" w:rsidR="009F0A67" w:rsidRPr="00872CBA" w:rsidRDefault="009F0A67" w:rsidP="004F7197">
            <w:pPr>
              <w:pStyle w:val="StyleTableTextBoldCentered"/>
              <w:rPr>
                <w:lang w:eastAsia="en-AU"/>
              </w:rPr>
            </w:pPr>
            <w:r w:rsidRPr="00872CBA">
              <w:rPr>
                <w:lang w:eastAsia="en-AU"/>
              </w:rPr>
              <w:t xml:space="preserve">Qtr </w:t>
            </w:r>
            <w:r w:rsidR="007914E0">
              <w:rPr>
                <w:lang w:eastAsia="en-AU"/>
              </w:rPr>
              <w:t>51</w:t>
            </w:r>
          </w:p>
        </w:tc>
        <w:tc>
          <w:tcPr>
            <w:tcW w:w="2552" w:type="dxa"/>
            <w:tcBorders>
              <w:top w:val="nil"/>
              <w:left w:val="nil"/>
              <w:bottom w:val="nil"/>
              <w:right w:val="single" w:sz="4" w:space="0" w:color="FFFFFF"/>
            </w:tcBorders>
            <w:shd w:val="clear" w:color="auto" w:fill="000000"/>
            <w:noWrap/>
            <w:vAlign w:val="bottom"/>
          </w:tcPr>
          <w:p w14:paraId="7FB7D45D" w14:textId="6FC6854C" w:rsidR="009F0A67" w:rsidRPr="00872CBA" w:rsidRDefault="004F7197" w:rsidP="009F55E0">
            <w:pPr>
              <w:pStyle w:val="StyleTableTextBoldCentered"/>
              <w:rPr>
                <w:lang w:eastAsia="en-AU"/>
              </w:rPr>
            </w:pPr>
            <w:r>
              <w:rPr>
                <w:lang w:eastAsia="en-AU"/>
              </w:rPr>
              <w:t>3</w:t>
            </w:r>
            <w:r w:rsidR="006261A6">
              <w:rPr>
                <w:lang w:eastAsia="en-AU"/>
              </w:rPr>
              <w:t xml:space="preserve">1 </w:t>
            </w:r>
            <w:r w:rsidR="009A7C28">
              <w:rPr>
                <w:lang w:eastAsia="en-AU"/>
              </w:rPr>
              <w:t>March 2021</w:t>
            </w:r>
          </w:p>
        </w:tc>
        <w:tc>
          <w:tcPr>
            <w:tcW w:w="1701" w:type="dxa"/>
            <w:tcBorders>
              <w:top w:val="nil"/>
              <w:left w:val="nil"/>
              <w:bottom w:val="nil"/>
              <w:right w:val="nil"/>
            </w:tcBorders>
            <w:shd w:val="clear" w:color="auto" w:fill="000000"/>
            <w:noWrap/>
            <w:vAlign w:val="bottom"/>
          </w:tcPr>
          <w:p w14:paraId="4A5AEAEC" w14:textId="287B1E69" w:rsidR="009F0A67" w:rsidRPr="00872CBA" w:rsidRDefault="009F0A67" w:rsidP="004F7197">
            <w:pPr>
              <w:pStyle w:val="StyleTableTextBoldCentered"/>
              <w:rPr>
                <w:lang w:eastAsia="en-AU"/>
              </w:rPr>
            </w:pPr>
            <w:r w:rsidRPr="00872CBA">
              <w:rPr>
                <w:lang w:eastAsia="en-AU"/>
              </w:rPr>
              <w:t xml:space="preserve">Qtr </w:t>
            </w:r>
            <w:r w:rsidR="007914E0">
              <w:rPr>
                <w:lang w:eastAsia="en-AU"/>
              </w:rPr>
              <w:t>51</w:t>
            </w:r>
          </w:p>
        </w:tc>
      </w:tr>
      <w:tr w:rsidR="009F0A67" w:rsidRPr="00872CBA" w14:paraId="17611F14" w14:textId="77777777" w:rsidTr="009D766A">
        <w:trPr>
          <w:trHeight w:val="255"/>
        </w:trPr>
        <w:tc>
          <w:tcPr>
            <w:tcW w:w="3544" w:type="dxa"/>
            <w:tcBorders>
              <w:top w:val="nil"/>
              <w:left w:val="nil"/>
              <w:bottom w:val="single" w:sz="4" w:space="0" w:color="auto"/>
              <w:right w:val="nil"/>
            </w:tcBorders>
            <w:shd w:val="clear" w:color="auto" w:fill="000000"/>
            <w:noWrap/>
            <w:vAlign w:val="bottom"/>
          </w:tcPr>
          <w:p w14:paraId="38E09A7D" w14:textId="77777777" w:rsidR="009F0A67" w:rsidRPr="00872CBA" w:rsidRDefault="009F0A67" w:rsidP="009F0A67">
            <w:pPr>
              <w:pStyle w:val="TableText"/>
              <w:jc w:val="center"/>
              <w:rPr>
                <w:b/>
                <w:lang w:eastAsia="en-AU"/>
              </w:rPr>
            </w:pPr>
          </w:p>
        </w:tc>
        <w:tc>
          <w:tcPr>
            <w:tcW w:w="1701" w:type="dxa"/>
            <w:tcBorders>
              <w:top w:val="nil"/>
              <w:left w:val="single" w:sz="4" w:space="0" w:color="FFFFFF"/>
              <w:bottom w:val="single" w:sz="4" w:space="0" w:color="auto"/>
              <w:right w:val="single" w:sz="4" w:space="0" w:color="FFFFFF"/>
            </w:tcBorders>
            <w:shd w:val="clear" w:color="auto" w:fill="000000"/>
            <w:noWrap/>
            <w:vAlign w:val="bottom"/>
          </w:tcPr>
          <w:p w14:paraId="1B9392CA" w14:textId="77777777" w:rsidR="009F0A67" w:rsidRPr="00872CBA" w:rsidRDefault="009F0A67" w:rsidP="009F0A67">
            <w:pPr>
              <w:pStyle w:val="TableText"/>
              <w:jc w:val="center"/>
              <w:rPr>
                <w:b/>
                <w:lang w:eastAsia="en-AU"/>
              </w:rPr>
            </w:pPr>
          </w:p>
        </w:tc>
        <w:tc>
          <w:tcPr>
            <w:tcW w:w="2552" w:type="dxa"/>
            <w:tcBorders>
              <w:top w:val="nil"/>
              <w:left w:val="nil"/>
              <w:bottom w:val="single" w:sz="4" w:space="0" w:color="auto"/>
              <w:right w:val="single" w:sz="4" w:space="0" w:color="FFFFFF"/>
            </w:tcBorders>
            <w:shd w:val="clear" w:color="auto" w:fill="000000"/>
            <w:noWrap/>
            <w:vAlign w:val="bottom"/>
          </w:tcPr>
          <w:p w14:paraId="07732002" w14:textId="77777777" w:rsidR="009F0A67" w:rsidRPr="00872CBA" w:rsidRDefault="009F0A67" w:rsidP="009F0A67">
            <w:pPr>
              <w:pStyle w:val="TableText"/>
              <w:jc w:val="center"/>
              <w:rPr>
                <w:b/>
                <w:lang w:eastAsia="en-AU"/>
              </w:rPr>
            </w:pPr>
          </w:p>
        </w:tc>
        <w:tc>
          <w:tcPr>
            <w:tcW w:w="1701" w:type="dxa"/>
            <w:tcBorders>
              <w:top w:val="nil"/>
              <w:left w:val="nil"/>
              <w:bottom w:val="single" w:sz="4" w:space="0" w:color="auto"/>
              <w:right w:val="nil"/>
            </w:tcBorders>
            <w:shd w:val="clear" w:color="auto" w:fill="000000"/>
            <w:noWrap/>
            <w:vAlign w:val="bottom"/>
          </w:tcPr>
          <w:p w14:paraId="669FB149" w14:textId="77777777" w:rsidR="009F0A67" w:rsidRPr="00872CBA" w:rsidRDefault="009F0A67" w:rsidP="009F0A67">
            <w:pPr>
              <w:pStyle w:val="TableText"/>
              <w:jc w:val="center"/>
              <w:rPr>
                <w:b/>
                <w:lang w:eastAsia="en-AU"/>
              </w:rPr>
            </w:pPr>
          </w:p>
        </w:tc>
      </w:tr>
      <w:tr w:rsidR="009F0A67" w:rsidRPr="00872CBA" w14:paraId="2D15F069"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3F208C7" w14:textId="77777777" w:rsidR="009F0A67" w:rsidRPr="00872CBA" w:rsidRDefault="009F0A67" w:rsidP="009F0A67">
            <w:pPr>
              <w:pStyle w:val="TableText"/>
            </w:pPr>
            <w:r w:rsidRPr="00872CBA">
              <w:t>Employee salaries – FRC staff</w:t>
            </w:r>
          </w:p>
        </w:tc>
        <w:tc>
          <w:tcPr>
            <w:tcW w:w="1701" w:type="dxa"/>
            <w:tcBorders>
              <w:top w:val="single" w:sz="4" w:space="0" w:color="auto"/>
              <w:left w:val="nil"/>
              <w:bottom w:val="single" w:sz="4" w:space="0" w:color="auto"/>
              <w:right w:val="single" w:sz="4" w:space="0" w:color="auto"/>
            </w:tcBorders>
            <w:shd w:val="clear" w:color="auto" w:fill="auto"/>
            <w:noWrap/>
          </w:tcPr>
          <w:p w14:paraId="77476AD8" w14:textId="55D545F6" w:rsidR="009F0A67" w:rsidRPr="007F7AD6" w:rsidRDefault="009073E1" w:rsidP="002E59A0">
            <w:pPr>
              <w:jc w:val="right"/>
            </w:pPr>
            <w:r w:rsidRPr="007F7AD6">
              <w:t>$539,845</w:t>
            </w:r>
          </w:p>
        </w:tc>
        <w:tc>
          <w:tcPr>
            <w:tcW w:w="2552" w:type="dxa"/>
            <w:tcBorders>
              <w:top w:val="single" w:sz="4" w:space="0" w:color="auto"/>
              <w:left w:val="nil"/>
              <w:bottom w:val="single" w:sz="4" w:space="0" w:color="auto"/>
              <w:right w:val="single" w:sz="4" w:space="0" w:color="auto"/>
            </w:tcBorders>
            <w:shd w:val="clear" w:color="auto" w:fill="auto"/>
            <w:noWrap/>
          </w:tcPr>
          <w:p w14:paraId="09DAD549" w14:textId="5A34F1E3" w:rsidR="009F0A67" w:rsidRPr="007F7AD6" w:rsidRDefault="00161960" w:rsidP="009F0A67">
            <w:pPr>
              <w:pStyle w:val="TableText"/>
            </w:pPr>
            <w:r w:rsidRPr="007F7AD6">
              <w:t>Internet &amp; IT</w:t>
            </w:r>
          </w:p>
        </w:tc>
        <w:tc>
          <w:tcPr>
            <w:tcW w:w="1701" w:type="dxa"/>
            <w:tcBorders>
              <w:top w:val="single" w:sz="4" w:space="0" w:color="auto"/>
              <w:left w:val="nil"/>
              <w:bottom w:val="single" w:sz="4" w:space="0" w:color="auto"/>
              <w:right w:val="single" w:sz="4" w:space="0" w:color="auto"/>
            </w:tcBorders>
            <w:shd w:val="clear" w:color="auto" w:fill="auto"/>
            <w:noWrap/>
          </w:tcPr>
          <w:p w14:paraId="2B350BE4" w14:textId="54990A3E" w:rsidR="009F0A67" w:rsidRPr="007F7AD6" w:rsidRDefault="00EE6A73" w:rsidP="002E59A0">
            <w:pPr>
              <w:jc w:val="right"/>
            </w:pPr>
            <w:r w:rsidRPr="007F7AD6">
              <w:t>$</w:t>
            </w:r>
            <w:r w:rsidR="009073E1" w:rsidRPr="007F7AD6">
              <w:t>53,238</w:t>
            </w:r>
          </w:p>
        </w:tc>
      </w:tr>
      <w:tr w:rsidR="009F0A67" w:rsidRPr="00872CBA" w14:paraId="7FFFC35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3DB4CA08" w14:textId="77777777" w:rsidR="009F0A67" w:rsidRPr="00872CBA" w:rsidRDefault="009F0A67" w:rsidP="009F0A67">
            <w:pPr>
              <w:pStyle w:val="TableText"/>
            </w:pPr>
            <w:r w:rsidRPr="00872CBA">
              <w:t>Employee salaries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5BB75F3C" w14:textId="568B9828" w:rsidR="009F0A67" w:rsidRPr="007F7AD6" w:rsidRDefault="00EE6A73" w:rsidP="002E59A0">
            <w:pPr>
              <w:jc w:val="right"/>
            </w:pPr>
            <w:r w:rsidRPr="007F7AD6">
              <w:t>$</w:t>
            </w:r>
            <w:r w:rsidR="009073E1" w:rsidRPr="007F7AD6">
              <w:t>72,900</w:t>
            </w:r>
          </w:p>
        </w:tc>
        <w:tc>
          <w:tcPr>
            <w:tcW w:w="2552" w:type="dxa"/>
            <w:tcBorders>
              <w:top w:val="single" w:sz="4" w:space="0" w:color="auto"/>
              <w:left w:val="nil"/>
              <w:bottom w:val="single" w:sz="4" w:space="0" w:color="auto"/>
              <w:right w:val="single" w:sz="4" w:space="0" w:color="auto"/>
            </w:tcBorders>
            <w:shd w:val="clear" w:color="auto" w:fill="auto"/>
            <w:noWrap/>
          </w:tcPr>
          <w:p w14:paraId="24CD61D5" w14:textId="295E9B85" w:rsidR="009F0A67" w:rsidRPr="007F7AD6" w:rsidRDefault="00161960" w:rsidP="009F0A67">
            <w:pPr>
              <w:pStyle w:val="TableText"/>
            </w:pPr>
            <w:r w:rsidRPr="007F7AD6">
              <w:t>Motor vehicle</w:t>
            </w:r>
          </w:p>
        </w:tc>
        <w:tc>
          <w:tcPr>
            <w:tcW w:w="1701" w:type="dxa"/>
            <w:tcBorders>
              <w:top w:val="single" w:sz="4" w:space="0" w:color="auto"/>
              <w:left w:val="nil"/>
              <w:bottom w:val="single" w:sz="4" w:space="0" w:color="auto"/>
              <w:right w:val="single" w:sz="4" w:space="0" w:color="auto"/>
            </w:tcBorders>
            <w:shd w:val="clear" w:color="auto" w:fill="auto"/>
            <w:noWrap/>
          </w:tcPr>
          <w:p w14:paraId="762EE478" w14:textId="1AD5D702" w:rsidR="009F0A67" w:rsidRPr="007F7AD6" w:rsidRDefault="00EE6A73" w:rsidP="002E59A0">
            <w:pPr>
              <w:jc w:val="right"/>
            </w:pPr>
            <w:r w:rsidRPr="007F7AD6">
              <w:t>$</w:t>
            </w:r>
            <w:r w:rsidR="009073E1" w:rsidRPr="007F7AD6">
              <w:t>10,628</w:t>
            </w:r>
          </w:p>
        </w:tc>
      </w:tr>
      <w:tr w:rsidR="009F0A67" w:rsidRPr="00872CBA" w14:paraId="5A0EE9F7"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11F66C54" w14:textId="77777777" w:rsidR="009F0A67" w:rsidRPr="00872CBA" w:rsidRDefault="009F0A67" w:rsidP="009F0A67">
            <w:pPr>
              <w:pStyle w:val="TableText"/>
            </w:pPr>
            <w:r w:rsidRPr="00872CBA">
              <w:t>Employee on costs – FRC staff</w:t>
            </w:r>
          </w:p>
        </w:tc>
        <w:tc>
          <w:tcPr>
            <w:tcW w:w="1701" w:type="dxa"/>
            <w:tcBorders>
              <w:top w:val="single" w:sz="4" w:space="0" w:color="auto"/>
              <w:left w:val="nil"/>
              <w:bottom w:val="single" w:sz="4" w:space="0" w:color="auto"/>
              <w:right w:val="single" w:sz="4" w:space="0" w:color="auto"/>
            </w:tcBorders>
            <w:shd w:val="clear" w:color="auto" w:fill="auto"/>
            <w:noWrap/>
          </w:tcPr>
          <w:p w14:paraId="35A68624" w14:textId="00007D25" w:rsidR="009F0A67" w:rsidRPr="007F7AD6" w:rsidRDefault="00EE6A73" w:rsidP="002E59A0">
            <w:pPr>
              <w:jc w:val="right"/>
            </w:pPr>
            <w:r w:rsidRPr="007F7AD6">
              <w:t>$</w:t>
            </w:r>
            <w:r w:rsidR="009073E1" w:rsidRPr="007F7AD6">
              <w:t>100,765</w:t>
            </w:r>
          </w:p>
        </w:tc>
        <w:tc>
          <w:tcPr>
            <w:tcW w:w="2552" w:type="dxa"/>
            <w:tcBorders>
              <w:top w:val="single" w:sz="4" w:space="0" w:color="auto"/>
              <w:left w:val="nil"/>
              <w:bottom w:val="single" w:sz="4" w:space="0" w:color="auto"/>
              <w:right w:val="single" w:sz="4" w:space="0" w:color="auto"/>
            </w:tcBorders>
            <w:shd w:val="clear" w:color="auto" w:fill="auto"/>
            <w:noWrap/>
          </w:tcPr>
          <w:p w14:paraId="5074F2B0" w14:textId="61523833" w:rsidR="009F0A67" w:rsidRPr="007F7AD6" w:rsidRDefault="00161960" w:rsidP="009F0A67">
            <w:pPr>
              <w:pStyle w:val="TableText"/>
            </w:pPr>
            <w:r w:rsidRPr="007F7AD6">
              <w:t>Property</w:t>
            </w:r>
          </w:p>
        </w:tc>
        <w:tc>
          <w:tcPr>
            <w:tcW w:w="1701" w:type="dxa"/>
            <w:tcBorders>
              <w:top w:val="single" w:sz="4" w:space="0" w:color="auto"/>
              <w:left w:val="nil"/>
              <w:bottom w:val="single" w:sz="4" w:space="0" w:color="auto"/>
              <w:right w:val="single" w:sz="4" w:space="0" w:color="auto"/>
            </w:tcBorders>
            <w:shd w:val="clear" w:color="auto" w:fill="auto"/>
            <w:noWrap/>
          </w:tcPr>
          <w:p w14:paraId="318F1B16" w14:textId="41FF5659" w:rsidR="009F0A67" w:rsidRPr="007F7AD6" w:rsidRDefault="00EE6A73" w:rsidP="002E59A0">
            <w:pPr>
              <w:jc w:val="right"/>
            </w:pPr>
            <w:r w:rsidRPr="007F7AD6">
              <w:t>$</w:t>
            </w:r>
            <w:r w:rsidR="00962E88" w:rsidRPr="007F7AD6">
              <w:t>55,805</w:t>
            </w:r>
          </w:p>
        </w:tc>
      </w:tr>
      <w:tr w:rsidR="009F0A67" w:rsidRPr="00872CBA" w14:paraId="34DE04A2"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093293CF" w14:textId="77777777" w:rsidR="009F0A67" w:rsidRPr="00872CBA" w:rsidRDefault="009F0A67" w:rsidP="009F0A67">
            <w:pPr>
              <w:pStyle w:val="TableText"/>
            </w:pPr>
            <w:r w:rsidRPr="00872CBA">
              <w:t>Employee on costs – Local Commissioners</w:t>
            </w:r>
          </w:p>
        </w:tc>
        <w:tc>
          <w:tcPr>
            <w:tcW w:w="1701" w:type="dxa"/>
            <w:tcBorders>
              <w:top w:val="single" w:sz="4" w:space="0" w:color="auto"/>
              <w:left w:val="nil"/>
              <w:bottom w:val="single" w:sz="4" w:space="0" w:color="auto"/>
              <w:right w:val="single" w:sz="4" w:space="0" w:color="auto"/>
            </w:tcBorders>
            <w:shd w:val="clear" w:color="auto" w:fill="auto"/>
            <w:noWrap/>
          </w:tcPr>
          <w:p w14:paraId="745D0EF7" w14:textId="7B40C44C" w:rsidR="009F0A67" w:rsidRPr="007F7AD6" w:rsidRDefault="00EE6A73" w:rsidP="002E59A0">
            <w:pPr>
              <w:jc w:val="right"/>
            </w:pPr>
            <w:r w:rsidRPr="007F7AD6">
              <w:t>$</w:t>
            </w:r>
            <w:r w:rsidR="009073E1" w:rsidRPr="007F7AD6">
              <w:t>10,487</w:t>
            </w:r>
          </w:p>
        </w:tc>
        <w:tc>
          <w:tcPr>
            <w:tcW w:w="2552" w:type="dxa"/>
            <w:tcBorders>
              <w:top w:val="single" w:sz="4" w:space="0" w:color="auto"/>
              <w:left w:val="nil"/>
              <w:bottom w:val="single" w:sz="4" w:space="0" w:color="auto"/>
              <w:right w:val="single" w:sz="4" w:space="0" w:color="auto"/>
            </w:tcBorders>
            <w:shd w:val="clear" w:color="auto" w:fill="auto"/>
            <w:noWrap/>
          </w:tcPr>
          <w:p w14:paraId="3113FE5C" w14:textId="1D410301" w:rsidR="009F0A67" w:rsidRPr="007F7AD6" w:rsidRDefault="00161960" w:rsidP="009F0A67">
            <w:pPr>
              <w:pStyle w:val="TableText"/>
            </w:pPr>
            <w:r w:rsidRPr="007F7AD6">
              <w:t>Travel</w:t>
            </w:r>
          </w:p>
        </w:tc>
        <w:tc>
          <w:tcPr>
            <w:tcW w:w="1701" w:type="dxa"/>
            <w:tcBorders>
              <w:top w:val="single" w:sz="4" w:space="0" w:color="auto"/>
              <w:left w:val="nil"/>
              <w:bottom w:val="single" w:sz="4" w:space="0" w:color="auto"/>
              <w:right w:val="single" w:sz="4" w:space="0" w:color="auto"/>
            </w:tcBorders>
            <w:shd w:val="clear" w:color="auto" w:fill="auto"/>
            <w:noWrap/>
          </w:tcPr>
          <w:p w14:paraId="6711E729" w14:textId="23F54FEB" w:rsidR="009F0A67" w:rsidRPr="007F7AD6" w:rsidRDefault="00EE6A73" w:rsidP="002E59A0">
            <w:pPr>
              <w:jc w:val="right"/>
            </w:pPr>
            <w:r w:rsidRPr="007F7AD6">
              <w:t>$</w:t>
            </w:r>
            <w:r w:rsidR="00962E88" w:rsidRPr="007F7AD6">
              <w:t>59,072</w:t>
            </w:r>
          </w:p>
        </w:tc>
      </w:tr>
      <w:tr w:rsidR="009F0A67" w:rsidRPr="00872CBA" w14:paraId="67A33B76"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4464948A" w14:textId="77777777" w:rsidR="009F0A67" w:rsidRPr="00872CBA" w:rsidRDefault="009F0A67" w:rsidP="009F0A67">
            <w:pPr>
              <w:pStyle w:val="TableText"/>
            </w:pPr>
            <w:r w:rsidRPr="00872CBA">
              <w:t>Other employment costs</w:t>
            </w:r>
          </w:p>
        </w:tc>
        <w:tc>
          <w:tcPr>
            <w:tcW w:w="1701" w:type="dxa"/>
            <w:tcBorders>
              <w:top w:val="single" w:sz="4" w:space="0" w:color="auto"/>
              <w:left w:val="nil"/>
              <w:bottom w:val="single" w:sz="4" w:space="0" w:color="auto"/>
              <w:right w:val="single" w:sz="4" w:space="0" w:color="auto"/>
            </w:tcBorders>
            <w:shd w:val="clear" w:color="auto" w:fill="auto"/>
            <w:noWrap/>
          </w:tcPr>
          <w:p w14:paraId="61A35C3B" w14:textId="7C747C4A" w:rsidR="009F0A67" w:rsidRPr="007F7AD6" w:rsidRDefault="00EE6A73" w:rsidP="002E59A0">
            <w:pPr>
              <w:jc w:val="right"/>
            </w:pPr>
            <w:r w:rsidRPr="007F7AD6">
              <w:t>$</w:t>
            </w:r>
            <w:r w:rsidR="009073E1" w:rsidRPr="007F7AD6">
              <w:t>7,298</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53162510" w14:textId="6C4AAF5B" w:rsidR="009F0A67" w:rsidRPr="007F7AD6" w:rsidRDefault="00161960" w:rsidP="009F0A67">
            <w:pPr>
              <w:pStyle w:val="TableText"/>
            </w:pPr>
            <w:r w:rsidRPr="007F7AD6">
              <w:t>General operating</w:t>
            </w:r>
          </w:p>
        </w:tc>
        <w:tc>
          <w:tcPr>
            <w:tcW w:w="1701" w:type="dxa"/>
            <w:tcBorders>
              <w:top w:val="single" w:sz="4" w:space="0" w:color="auto"/>
              <w:left w:val="nil"/>
              <w:bottom w:val="single" w:sz="4" w:space="0" w:color="auto"/>
              <w:right w:val="single" w:sz="4" w:space="0" w:color="auto"/>
            </w:tcBorders>
            <w:shd w:val="clear" w:color="auto" w:fill="auto"/>
            <w:noWrap/>
          </w:tcPr>
          <w:p w14:paraId="1398CAA8" w14:textId="69D09E11" w:rsidR="009F0A67" w:rsidRPr="007F7AD6" w:rsidRDefault="00EE6A73" w:rsidP="002E59A0">
            <w:pPr>
              <w:jc w:val="right"/>
            </w:pPr>
            <w:r w:rsidRPr="007F7AD6">
              <w:t>$</w:t>
            </w:r>
            <w:r w:rsidR="00962E88" w:rsidRPr="007F7AD6">
              <w:t>38,039</w:t>
            </w:r>
          </w:p>
        </w:tc>
      </w:tr>
      <w:tr w:rsidR="007966F3" w:rsidRPr="00872CBA" w14:paraId="436DD80B"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7C2D130D" w14:textId="77777777" w:rsidR="007966F3" w:rsidRPr="00872CBA" w:rsidRDefault="007966F3" w:rsidP="000E6152">
            <w:pPr>
              <w:pStyle w:val="TableText"/>
            </w:pPr>
            <w:r w:rsidRPr="00872CBA">
              <w:t>Communications</w:t>
            </w:r>
          </w:p>
        </w:tc>
        <w:tc>
          <w:tcPr>
            <w:tcW w:w="1701" w:type="dxa"/>
            <w:tcBorders>
              <w:top w:val="single" w:sz="4" w:space="0" w:color="auto"/>
              <w:left w:val="nil"/>
              <w:bottom w:val="single" w:sz="4" w:space="0" w:color="auto"/>
              <w:right w:val="single" w:sz="4" w:space="0" w:color="auto"/>
            </w:tcBorders>
            <w:shd w:val="clear" w:color="auto" w:fill="auto"/>
            <w:noWrap/>
          </w:tcPr>
          <w:p w14:paraId="6840DD38" w14:textId="64AA7A70" w:rsidR="007966F3" w:rsidRPr="007F7AD6" w:rsidRDefault="00EE6A73" w:rsidP="002E59A0">
            <w:pPr>
              <w:jc w:val="right"/>
            </w:pPr>
            <w:r w:rsidRPr="007F7AD6">
              <w:t>$</w:t>
            </w:r>
            <w:r w:rsidR="009073E1" w:rsidRPr="007F7AD6">
              <w:t>3,402</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1B73A528" w14:textId="1DF591C1" w:rsidR="007966F3" w:rsidRPr="007F7AD6" w:rsidRDefault="00161960" w:rsidP="009F0A67">
            <w:pPr>
              <w:pStyle w:val="TableText"/>
            </w:pPr>
            <w:r w:rsidRPr="007F7AD6">
              <w:t>Other expenses</w:t>
            </w:r>
          </w:p>
        </w:tc>
        <w:tc>
          <w:tcPr>
            <w:tcW w:w="1701" w:type="dxa"/>
            <w:tcBorders>
              <w:top w:val="single" w:sz="4" w:space="0" w:color="auto"/>
              <w:left w:val="nil"/>
              <w:bottom w:val="single" w:sz="4" w:space="0" w:color="auto"/>
              <w:right w:val="single" w:sz="4" w:space="0" w:color="auto"/>
            </w:tcBorders>
            <w:shd w:val="clear" w:color="auto" w:fill="auto"/>
            <w:noWrap/>
          </w:tcPr>
          <w:p w14:paraId="3E93B404" w14:textId="0E785B7D" w:rsidR="007966F3" w:rsidRPr="007F7AD6" w:rsidRDefault="00EE6A73" w:rsidP="002E59A0">
            <w:pPr>
              <w:jc w:val="right"/>
            </w:pPr>
            <w:r w:rsidRPr="007F7AD6">
              <w:t>$</w:t>
            </w:r>
            <w:r w:rsidR="00962E88" w:rsidRPr="007F7AD6">
              <w:t>12,639</w:t>
            </w:r>
          </w:p>
        </w:tc>
      </w:tr>
      <w:tr w:rsidR="009F0A67" w:rsidRPr="00872CBA" w14:paraId="281FF681" w14:textId="77777777" w:rsidTr="009D766A">
        <w:trPr>
          <w:trHeight w:val="255"/>
        </w:trPr>
        <w:tc>
          <w:tcPr>
            <w:tcW w:w="3544" w:type="dxa"/>
            <w:tcBorders>
              <w:top w:val="single" w:sz="4" w:space="0" w:color="auto"/>
              <w:left w:val="single" w:sz="4" w:space="0" w:color="auto"/>
              <w:bottom w:val="single" w:sz="4" w:space="0" w:color="auto"/>
              <w:right w:val="single" w:sz="4" w:space="0" w:color="auto"/>
            </w:tcBorders>
            <w:shd w:val="clear" w:color="auto" w:fill="auto"/>
            <w:noWrap/>
          </w:tcPr>
          <w:p w14:paraId="6805E89F" w14:textId="77777777" w:rsidR="009F0A67" w:rsidRPr="00872CBA" w:rsidRDefault="009F0A67" w:rsidP="007966F3">
            <w:pPr>
              <w:pStyle w:val="TableText"/>
            </w:pPr>
          </w:p>
        </w:tc>
        <w:tc>
          <w:tcPr>
            <w:tcW w:w="1701" w:type="dxa"/>
            <w:tcBorders>
              <w:top w:val="single" w:sz="4" w:space="0" w:color="auto"/>
              <w:left w:val="nil"/>
              <w:bottom w:val="single" w:sz="4" w:space="0" w:color="auto"/>
              <w:right w:val="single" w:sz="4" w:space="0" w:color="auto"/>
            </w:tcBorders>
            <w:shd w:val="clear" w:color="auto" w:fill="auto"/>
            <w:noWrap/>
          </w:tcPr>
          <w:p w14:paraId="45BA18AB" w14:textId="77777777" w:rsidR="009F0A67" w:rsidRPr="007F7AD6" w:rsidRDefault="009F0A67" w:rsidP="007D1C47">
            <w:pPr>
              <w:jc w:val="right"/>
            </w:pP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0F512A19" w14:textId="74C956B7" w:rsidR="009F0A67" w:rsidRPr="007F7AD6" w:rsidRDefault="001458A2" w:rsidP="009F0A67">
            <w:pPr>
              <w:pStyle w:val="TableText"/>
              <w:rPr>
                <w:b/>
                <w:bCs/>
              </w:rPr>
            </w:pPr>
            <w:r w:rsidRPr="007F7AD6">
              <w:rPr>
                <w:b/>
                <w:bCs/>
              </w:rPr>
              <w:t>Total</w:t>
            </w:r>
          </w:p>
        </w:tc>
        <w:tc>
          <w:tcPr>
            <w:tcW w:w="1701" w:type="dxa"/>
            <w:tcBorders>
              <w:top w:val="single" w:sz="4" w:space="0" w:color="auto"/>
              <w:left w:val="nil"/>
              <w:bottom w:val="single" w:sz="4" w:space="0" w:color="auto"/>
              <w:right w:val="single" w:sz="4" w:space="0" w:color="auto"/>
            </w:tcBorders>
            <w:shd w:val="clear" w:color="auto" w:fill="auto"/>
            <w:noWrap/>
          </w:tcPr>
          <w:p w14:paraId="37C8A99E" w14:textId="6458FFED" w:rsidR="009F0A67" w:rsidRPr="007F7AD6" w:rsidRDefault="00EE6A73" w:rsidP="002E59A0">
            <w:pPr>
              <w:jc w:val="right"/>
              <w:rPr>
                <w:b/>
              </w:rPr>
            </w:pPr>
            <w:r w:rsidRPr="007F7AD6">
              <w:rPr>
                <w:b/>
              </w:rPr>
              <w:t>$</w:t>
            </w:r>
            <w:r w:rsidR="00962E88" w:rsidRPr="007F7AD6">
              <w:rPr>
                <w:b/>
              </w:rPr>
              <w:t>964,118</w:t>
            </w:r>
          </w:p>
        </w:tc>
      </w:tr>
    </w:tbl>
    <w:p w14:paraId="6D40801D" w14:textId="11BE9B99" w:rsidR="00994941" w:rsidRDefault="00994941" w:rsidP="00994941">
      <w:pPr>
        <w:ind w:left="-142" w:right="-425"/>
        <w:jc w:val="both"/>
        <w:rPr>
          <w:rFonts w:cs="Arial"/>
        </w:rPr>
      </w:pPr>
    </w:p>
    <w:p w14:paraId="226C022A" w14:textId="77777777" w:rsidR="000541CA" w:rsidRDefault="000541CA">
      <w:pPr>
        <w:spacing w:line="240" w:lineRule="auto"/>
        <w:rPr>
          <w:rFonts w:cs="Arial"/>
        </w:rPr>
      </w:pPr>
      <w:r>
        <w:rPr>
          <w:rFonts w:cs="Arial"/>
        </w:rPr>
        <w:br w:type="page"/>
      </w:r>
    </w:p>
    <w:p w14:paraId="18775980" w14:textId="249BD0CA" w:rsidR="00D770E9" w:rsidRDefault="00C14FC9" w:rsidP="00D770E9">
      <w:pPr>
        <w:ind w:left="-142" w:right="-425"/>
        <w:jc w:val="both"/>
        <w:rPr>
          <w:rFonts w:cs="Arial"/>
        </w:rPr>
      </w:pPr>
      <w:r w:rsidRPr="0020608D">
        <w:rPr>
          <w:rFonts w:cs="Arial"/>
        </w:rPr>
        <w:lastRenderedPageBreak/>
        <w:t>The core functions of the FRC can be summarised into three broad categories:</w:t>
      </w:r>
    </w:p>
    <w:p w14:paraId="08A58C75" w14:textId="77777777" w:rsidR="000541CA" w:rsidRDefault="000541CA" w:rsidP="00D770E9">
      <w:pPr>
        <w:ind w:left="-142" w:right="-425"/>
        <w:jc w:val="both"/>
        <w:rPr>
          <w:rFonts w:cs="Arial"/>
        </w:rPr>
      </w:pPr>
    </w:p>
    <w:p w14:paraId="631C8B65"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Corporate Governance:</w:t>
      </w:r>
      <w:r w:rsidRPr="00D770E9">
        <w:rPr>
          <w:rFonts w:ascii="Verdana" w:hAnsi="Verdana" w:cs="Arial"/>
          <w:sz w:val="20"/>
          <w:szCs w:val="20"/>
        </w:rPr>
        <w:t xml:space="preserve"> including corporate governance, finance, statistical reporting, </w:t>
      </w:r>
      <w:proofErr w:type="gramStart"/>
      <w:r w:rsidRPr="00D770E9">
        <w:rPr>
          <w:rFonts w:ascii="Verdana" w:hAnsi="Verdana" w:cs="Arial"/>
          <w:sz w:val="20"/>
          <w:szCs w:val="20"/>
        </w:rPr>
        <w:t>training</w:t>
      </w:r>
      <w:proofErr w:type="gramEnd"/>
      <w:r w:rsidRPr="00D770E9">
        <w:rPr>
          <w:rFonts w:ascii="Verdana" w:hAnsi="Verdana" w:cs="Arial"/>
          <w:sz w:val="20"/>
          <w:szCs w:val="20"/>
        </w:rPr>
        <w:t xml:space="preserve"> and other administrative functions to ensure the effective and efficient operations of the Commission.</w:t>
      </w:r>
    </w:p>
    <w:p w14:paraId="591C86B2" w14:textId="77777777"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Community Operations:</w:t>
      </w:r>
      <w:r w:rsidRPr="00D770E9">
        <w:rPr>
          <w:rFonts w:ascii="Verdana" w:hAnsi="Verdana" w:cs="Arial"/>
          <w:sz w:val="20"/>
          <w:szCs w:val="20"/>
        </w:rPr>
        <w:t xml:space="preserve"> including the operational costs in each of the five communities to conduct conferences, prepare and monitor case plans for clients for attendance at community support services and prepare and monitor income management orders.</w:t>
      </w:r>
    </w:p>
    <w:p w14:paraId="36682ECF" w14:textId="0C0E67EC" w:rsidR="00C14FC9" w:rsidRPr="00D770E9" w:rsidRDefault="00C14FC9" w:rsidP="00FC008A">
      <w:pPr>
        <w:pStyle w:val="ListParagraph"/>
        <w:numPr>
          <w:ilvl w:val="0"/>
          <w:numId w:val="26"/>
        </w:numPr>
        <w:spacing w:line="288" w:lineRule="auto"/>
        <w:ind w:left="215" w:right="-425" w:hanging="357"/>
        <w:jc w:val="both"/>
        <w:rPr>
          <w:rFonts w:ascii="Verdana" w:hAnsi="Verdana" w:cs="Arial"/>
          <w:sz w:val="20"/>
          <w:szCs w:val="20"/>
        </w:rPr>
      </w:pPr>
      <w:r w:rsidRPr="00D770E9">
        <w:rPr>
          <w:rFonts w:ascii="Verdana" w:hAnsi="Verdana" w:cs="Arial"/>
          <w:b/>
          <w:sz w:val="20"/>
          <w:szCs w:val="20"/>
        </w:rPr>
        <w:t>Conference Facilitation:</w:t>
      </w:r>
      <w:r w:rsidRPr="00D770E9">
        <w:rPr>
          <w:rFonts w:ascii="Verdana" w:hAnsi="Verdana" w:cs="Arial"/>
          <w:sz w:val="20"/>
          <w:szCs w:val="20"/>
        </w:rPr>
        <w:t xml:space="preserve"> including to facilitate the holding of conferences in the five communities, provide support to the Local Commissioners and Local </w:t>
      </w:r>
      <w:r w:rsidR="00310942">
        <w:rPr>
          <w:rFonts w:ascii="Verdana" w:hAnsi="Verdana" w:cs="Arial"/>
          <w:sz w:val="20"/>
          <w:szCs w:val="20"/>
        </w:rPr>
        <w:t xml:space="preserve">Registry </w:t>
      </w:r>
      <w:r w:rsidRPr="00D770E9">
        <w:rPr>
          <w:rFonts w:ascii="Verdana" w:hAnsi="Verdana" w:cs="Arial"/>
          <w:sz w:val="20"/>
          <w:szCs w:val="20"/>
        </w:rPr>
        <w:t xml:space="preserve">Coordinators to hold conferences, assist with the on-going monitoring of case plans for clients through the provision of data and other information and process income management orders </w:t>
      </w:r>
      <w:proofErr w:type="gramStart"/>
      <w:r w:rsidRPr="00D770E9">
        <w:rPr>
          <w:rFonts w:ascii="Verdana" w:hAnsi="Verdana" w:cs="Arial"/>
          <w:sz w:val="20"/>
          <w:szCs w:val="20"/>
        </w:rPr>
        <w:t>where</w:t>
      </w:r>
      <w:proofErr w:type="gramEnd"/>
      <w:r w:rsidRPr="00D770E9">
        <w:rPr>
          <w:rFonts w:ascii="Verdana" w:hAnsi="Verdana" w:cs="Arial"/>
          <w:sz w:val="20"/>
          <w:szCs w:val="20"/>
        </w:rPr>
        <w:t xml:space="preserve"> considered necessary.</w:t>
      </w:r>
    </w:p>
    <w:p w14:paraId="1B920C07" w14:textId="77777777" w:rsidR="00D770E9" w:rsidRDefault="00D770E9" w:rsidP="0020608D">
      <w:pPr>
        <w:ind w:left="-142" w:right="-425"/>
        <w:jc w:val="both"/>
        <w:rPr>
          <w:rFonts w:cs="Arial"/>
        </w:rPr>
      </w:pPr>
    </w:p>
    <w:p w14:paraId="55D8945D" w14:textId="740596DF" w:rsidR="00C14FC9" w:rsidRPr="0020608D" w:rsidRDefault="00C14FC9" w:rsidP="0020608D">
      <w:pPr>
        <w:ind w:left="-142" w:right="-425"/>
        <w:jc w:val="both"/>
        <w:rPr>
          <w:rFonts w:cs="Arial"/>
        </w:rPr>
      </w:pPr>
      <w:r w:rsidRPr="0020608D">
        <w:rPr>
          <w:rFonts w:cs="Arial"/>
        </w:rPr>
        <w:t xml:space="preserve">The functions of corporate governance and conference facilitation are conducted primarily in the </w:t>
      </w:r>
      <w:r w:rsidR="00A03742">
        <w:rPr>
          <w:rFonts w:cs="Arial"/>
        </w:rPr>
        <w:t>r</w:t>
      </w:r>
      <w:r w:rsidRPr="0020608D">
        <w:rPr>
          <w:rFonts w:cs="Arial"/>
        </w:rPr>
        <w:t xml:space="preserve">egistry office in Cairns with frequent visits to community by staff. Community operations are conducted by </w:t>
      </w:r>
      <w:r w:rsidR="0008767A">
        <w:rPr>
          <w:rFonts w:cs="Arial"/>
        </w:rPr>
        <w:t>L</w:t>
      </w:r>
      <w:r w:rsidRPr="0020608D">
        <w:rPr>
          <w:rFonts w:cs="Arial"/>
        </w:rPr>
        <w:t xml:space="preserve">ocal </w:t>
      </w:r>
      <w:r w:rsidR="00310942">
        <w:rPr>
          <w:rFonts w:cs="Arial"/>
        </w:rPr>
        <w:t xml:space="preserve">Registry </w:t>
      </w:r>
      <w:r w:rsidR="0008767A">
        <w:rPr>
          <w:rFonts w:cs="Arial"/>
        </w:rPr>
        <w:t>C</w:t>
      </w:r>
      <w:r w:rsidRPr="0020608D">
        <w:rPr>
          <w:rFonts w:cs="Arial"/>
        </w:rPr>
        <w:t xml:space="preserve">oordinators (with </w:t>
      </w:r>
      <w:r w:rsidR="0008767A">
        <w:rPr>
          <w:rFonts w:cs="Arial"/>
        </w:rPr>
        <w:t>one</w:t>
      </w:r>
      <w:r w:rsidRPr="0020608D">
        <w:rPr>
          <w:rFonts w:cs="Arial"/>
        </w:rPr>
        <w:t xml:space="preserve"> of these living remotely in the larger </w:t>
      </w:r>
      <w:r w:rsidR="00B142D3">
        <w:rPr>
          <w:rFonts w:cs="Arial"/>
        </w:rPr>
        <w:t>community</w:t>
      </w:r>
      <w:r w:rsidRPr="0020608D">
        <w:rPr>
          <w:rFonts w:cs="Arial"/>
        </w:rPr>
        <w:t xml:space="preserve"> of Aurukun and twenty-</w:t>
      </w:r>
      <w:r w:rsidR="003018E5">
        <w:rPr>
          <w:rFonts w:cs="Arial"/>
        </w:rPr>
        <w:t>nine</w:t>
      </w:r>
      <w:r w:rsidRPr="0020608D">
        <w:rPr>
          <w:rFonts w:cs="Arial"/>
        </w:rPr>
        <w:t xml:space="preserve"> Local Commissioners, resident in their respective communities, and are paid as sessional sitting Commission members for conferencing, serving notices, </w:t>
      </w:r>
      <w:proofErr w:type="gramStart"/>
      <w:r w:rsidRPr="0020608D">
        <w:rPr>
          <w:rFonts w:cs="Arial"/>
        </w:rPr>
        <w:t>meetings</w:t>
      </w:r>
      <w:proofErr w:type="gramEnd"/>
      <w:r w:rsidRPr="0020608D">
        <w:rPr>
          <w:rFonts w:cs="Arial"/>
        </w:rPr>
        <w:t xml:space="preserve"> and professional development.</w:t>
      </w:r>
    </w:p>
    <w:p w14:paraId="5863E544" w14:textId="34B56F8B" w:rsidR="00C14FC9" w:rsidRDefault="00C14FC9" w:rsidP="00994941">
      <w:pPr>
        <w:ind w:left="-142" w:right="-425"/>
        <w:jc w:val="both"/>
        <w:rPr>
          <w:rFonts w:cs="Arial"/>
        </w:rPr>
      </w:pPr>
    </w:p>
    <w:p w14:paraId="1988F4D6" w14:textId="4CE88545" w:rsidR="00C14FC9" w:rsidRDefault="00C14FC9" w:rsidP="0020608D">
      <w:pPr>
        <w:ind w:left="-142" w:right="-425"/>
        <w:jc w:val="both"/>
        <w:rPr>
          <w:rFonts w:cs="Arial"/>
        </w:rPr>
      </w:pPr>
      <w:r w:rsidRPr="0020608D">
        <w:rPr>
          <w:rFonts w:cs="Arial"/>
        </w:rPr>
        <w:t xml:space="preserve">The allocation of the FRC’s costs </w:t>
      </w:r>
      <w:r w:rsidR="00C74BF5">
        <w:rPr>
          <w:rFonts w:cs="Arial"/>
        </w:rPr>
        <w:t>i</w:t>
      </w:r>
      <w:r w:rsidR="00D770E9">
        <w:rPr>
          <w:rFonts w:cs="Arial"/>
        </w:rPr>
        <w:t xml:space="preserve">n quarter </w:t>
      </w:r>
      <w:r w:rsidR="007914E0">
        <w:rPr>
          <w:rFonts w:cs="Arial"/>
        </w:rPr>
        <w:t xml:space="preserve">51 </w:t>
      </w:r>
      <w:r w:rsidRPr="0020608D">
        <w:rPr>
          <w:rFonts w:cs="Arial"/>
        </w:rPr>
        <w:t>based on the above core functions is:</w:t>
      </w:r>
    </w:p>
    <w:p w14:paraId="434EF7B4" w14:textId="77777777" w:rsidR="000541CA" w:rsidRPr="0020608D" w:rsidRDefault="000541CA" w:rsidP="0020608D">
      <w:pPr>
        <w:ind w:left="-142" w:right="-425"/>
        <w:jc w:val="both"/>
        <w:rPr>
          <w:rFonts w:cs="Arial"/>
        </w:rPr>
      </w:pPr>
    </w:p>
    <w:p w14:paraId="7B47DE78" w14:textId="58F3E113" w:rsidR="003453AD" w:rsidRPr="00E37B61" w:rsidRDefault="003453AD" w:rsidP="003453AD">
      <w:pPr>
        <w:pStyle w:val="TableCaption"/>
        <w:spacing w:before="0"/>
        <w:ind w:left="0" w:right="-425"/>
        <w:rPr>
          <w:b/>
          <w:i w:val="0"/>
          <w:sz w:val="16"/>
        </w:rPr>
      </w:pPr>
      <w:r w:rsidRPr="00E37B61">
        <w:rPr>
          <w:b/>
          <w:i w:val="0"/>
          <w:sz w:val="16"/>
        </w:rPr>
        <w:t xml:space="preserve">Table </w:t>
      </w:r>
      <w:r>
        <w:rPr>
          <w:b/>
          <w:i w:val="0"/>
          <w:sz w:val="16"/>
        </w:rPr>
        <w:t>23</w:t>
      </w:r>
      <w:r w:rsidRPr="00E37B61">
        <w:rPr>
          <w:b/>
          <w:i w:val="0"/>
          <w:sz w:val="16"/>
        </w:rPr>
        <w:t xml:space="preserve">: </w:t>
      </w:r>
      <w:r>
        <w:rPr>
          <w:i w:val="0"/>
          <w:sz w:val="16"/>
        </w:rPr>
        <w:t>Allocation of expenses</w:t>
      </w:r>
      <w:r w:rsidRPr="00E37B61">
        <w:rPr>
          <w:i w:val="0"/>
          <w:sz w:val="16"/>
        </w:rPr>
        <w:t xml:space="preserve"> 1 </w:t>
      </w:r>
      <w:r>
        <w:rPr>
          <w:i w:val="0"/>
          <w:sz w:val="16"/>
        </w:rPr>
        <w:t xml:space="preserve">January 2021 to 31 March </w:t>
      </w:r>
      <w:r w:rsidRPr="00E37B61">
        <w:rPr>
          <w:i w:val="0"/>
          <w:sz w:val="16"/>
        </w:rPr>
        <w:t>20</w:t>
      </w:r>
      <w:r>
        <w:rPr>
          <w:i w:val="0"/>
          <w:sz w:val="16"/>
        </w:rPr>
        <w:t>21</w:t>
      </w:r>
      <w:r w:rsidRPr="00E37B61">
        <w:rPr>
          <w:i w:val="0"/>
          <w:sz w:val="16"/>
        </w:rPr>
        <w:t>.</w:t>
      </w:r>
    </w:p>
    <w:tbl>
      <w:tblPr>
        <w:tblW w:w="4155" w:type="dxa"/>
        <w:tblInd w:w="93" w:type="dxa"/>
        <w:tblLook w:val="04A0" w:firstRow="1" w:lastRow="0" w:firstColumn="1" w:lastColumn="0" w:noHBand="0" w:noVBand="1"/>
      </w:tblPr>
      <w:tblGrid>
        <w:gridCol w:w="2596"/>
        <w:gridCol w:w="1559"/>
      </w:tblGrid>
      <w:tr w:rsidR="003453AD" w:rsidRPr="00920636" w14:paraId="4B0B26F0" w14:textId="77777777" w:rsidTr="003453AD">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0F2E8B2C" w14:textId="77777777" w:rsidR="003453AD" w:rsidRPr="000F130C" w:rsidRDefault="003453AD" w:rsidP="003453AD">
            <w:pPr>
              <w:pStyle w:val="TableText"/>
              <w:ind w:left="49"/>
              <w:rPr>
                <w:b/>
                <w:lang w:eastAsia="en-AU"/>
              </w:rPr>
            </w:pPr>
            <w:r w:rsidRPr="000F130C">
              <w:rPr>
                <w:b/>
                <w:lang w:eastAsia="en-AU"/>
              </w:rPr>
              <w:t>Community</w:t>
            </w:r>
          </w:p>
        </w:tc>
        <w:tc>
          <w:tcPr>
            <w:tcW w:w="1559" w:type="dxa"/>
            <w:tcBorders>
              <w:top w:val="single" w:sz="4" w:space="0" w:color="auto"/>
              <w:left w:val="nil"/>
              <w:bottom w:val="single" w:sz="4" w:space="0" w:color="auto"/>
              <w:right w:val="single" w:sz="4" w:space="0" w:color="auto"/>
            </w:tcBorders>
            <w:hideMark/>
          </w:tcPr>
          <w:p w14:paraId="079DC7EB" w14:textId="77777777" w:rsidR="003453AD" w:rsidRDefault="003453AD" w:rsidP="003453AD">
            <w:pPr>
              <w:pStyle w:val="TableText"/>
              <w:jc w:val="right"/>
              <w:rPr>
                <w:b/>
                <w:lang w:eastAsia="en-AU"/>
              </w:rPr>
            </w:pPr>
            <w:r>
              <w:rPr>
                <w:b/>
                <w:lang w:eastAsia="en-AU"/>
              </w:rPr>
              <w:t>Percentage of Allocated Expenses</w:t>
            </w:r>
          </w:p>
        </w:tc>
      </w:tr>
      <w:tr w:rsidR="003453AD" w:rsidRPr="00920636" w14:paraId="0CFF787E" w14:textId="77777777" w:rsidTr="003453AD">
        <w:trPr>
          <w:trHeight w:val="255"/>
        </w:trPr>
        <w:tc>
          <w:tcPr>
            <w:tcW w:w="2596" w:type="dxa"/>
            <w:tcBorders>
              <w:top w:val="nil"/>
              <w:left w:val="single" w:sz="4" w:space="0" w:color="auto"/>
              <w:bottom w:val="single" w:sz="4" w:space="0" w:color="auto"/>
              <w:right w:val="single" w:sz="4" w:space="0" w:color="auto"/>
            </w:tcBorders>
            <w:noWrap/>
          </w:tcPr>
          <w:p w14:paraId="05E1913E" w14:textId="77777777" w:rsidR="003453AD" w:rsidRPr="00E72DFB" w:rsidRDefault="003453AD" w:rsidP="003453AD">
            <w:pPr>
              <w:pStyle w:val="TableText"/>
              <w:ind w:left="49"/>
              <w:rPr>
                <w:lang w:eastAsia="en-AU"/>
              </w:rPr>
            </w:pPr>
            <w:r w:rsidRPr="00E72DFB">
              <w:rPr>
                <w:lang w:eastAsia="en-AU"/>
              </w:rPr>
              <w:t>Corporate Governance</w:t>
            </w:r>
          </w:p>
        </w:tc>
        <w:tc>
          <w:tcPr>
            <w:tcW w:w="1559" w:type="dxa"/>
            <w:tcBorders>
              <w:top w:val="nil"/>
              <w:left w:val="nil"/>
              <w:bottom w:val="single" w:sz="4" w:space="0" w:color="auto"/>
              <w:right w:val="single" w:sz="4" w:space="0" w:color="auto"/>
            </w:tcBorders>
          </w:tcPr>
          <w:p w14:paraId="398DB903" w14:textId="677C1E4E" w:rsidR="003453AD" w:rsidRDefault="003453AD" w:rsidP="003453AD">
            <w:pPr>
              <w:pStyle w:val="TableText"/>
              <w:jc w:val="right"/>
              <w:rPr>
                <w:lang w:eastAsia="en-AU"/>
              </w:rPr>
            </w:pPr>
            <w:r>
              <w:rPr>
                <w:lang w:eastAsia="en-AU"/>
              </w:rPr>
              <w:t>25.76%</w:t>
            </w:r>
          </w:p>
        </w:tc>
      </w:tr>
      <w:tr w:rsidR="003453AD" w:rsidRPr="00920636" w14:paraId="54473BB3"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3FBE296E" w14:textId="77777777" w:rsidR="003453AD" w:rsidRPr="00E72DFB" w:rsidRDefault="003453AD" w:rsidP="003453AD">
            <w:pPr>
              <w:pStyle w:val="TableText"/>
              <w:ind w:left="49"/>
              <w:rPr>
                <w:lang w:eastAsia="en-AU"/>
              </w:rPr>
            </w:pPr>
            <w:r w:rsidRPr="00E72DFB">
              <w:rPr>
                <w:lang w:eastAsia="en-AU"/>
              </w:rPr>
              <w:t>Conference Facilitation</w:t>
            </w:r>
          </w:p>
        </w:tc>
        <w:tc>
          <w:tcPr>
            <w:tcW w:w="1559" w:type="dxa"/>
            <w:tcBorders>
              <w:top w:val="nil"/>
              <w:left w:val="nil"/>
              <w:bottom w:val="single" w:sz="4" w:space="0" w:color="auto"/>
              <w:right w:val="single" w:sz="4" w:space="0" w:color="auto"/>
            </w:tcBorders>
          </w:tcPr>
          <w:p w14:paraId="7D482884" w14:textId="5A4AA056" w:rsidR="003453AD" w:rsidRDefault="003453AD" w:rsidP="003453AD">
            <w:pPr>
              <w:pStyle w:val="TableText"/>
              <w:jc w:val="right"/>
              <w:rPr>
                <w:lang w:eastAsia="en-AU"/>
              </w:rPr>
            </w:pPr>
            <w:r>
              <w:rPr>
                <w:lang w:eastAsia="en-AU"/>
              </w:rPr>
              <w:t>31.93%</w:t>
            </w:r>
          </w:p>
        </w:tc>
      </w:tr>
      <w:tr w:rsidR="003453AD" w:rsidRPr="00920636" w14:paraId="7B5458CE"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4BCA23A9" w14:textId="77777777" w:rsidR="003453AD" w:rsidRPr="00E72DFB" w:rsidRDefault="003453AD" w:rsidP="003453AD">
            <w:pPr>
              <w:pStyle w:val="TableText"/>
              <w:ind w:left="49"/>
              <w:rPr>
                <w:lang w:eastAsia="en-AU"/>
              </w:rPr>
            </w:pPr>
            <w:r w:rsidRPr="00E72DFB">
              <w:rPr>
                <w:lang w:eastAsia="en-AU"/>
              </w:rPr>
              <w:t>Community Operations</w:t>
            </w:r>
          </w:p>
        </w:tc>
        <w:tc>
          <w:tcPr>
            <w:tcW w:w="1559" w:type="dxa"/>
            <w:tcBorders>
              <w:top w:val="nil"/>
              <w:left w:val="nil"/>
              <w:bottom w:val="single" w:sz="4" w:space="0" w:color="auto"/>
              <w:right w:val="single" w:sz="4" w:space="0" w:color="auto"/>
            </w:tcBorders>
          </w:tcPr>
          <w:p w14:paraId="24C6D7DF" w14:textId="354A877C" w:rsidR="003453AD" w:rsidRDefault="003453AD" w:rsidP="003453AD">
            <w:pPr>
              <w:pStyle w:val="TableText"/>
              <w:jc w:val="right"/>
              <w:rPr>
                <w:lang w:eastAsia="en-AU"/>
              </w:rPr>
            </w:pPr>
            <w:r>
              <w:rPr>
                <w:lang w:eastAsia="en-AU"/>
              </w:rPr>
              <w:t>42.31%</w:t>
            </w:r>
          </w:p>
        </w:tc>
      </w:tr>
      <w:tr w:rsidR="003453AD" w:rsidRPr="00920636" w14:paraId="2C5DF7E0"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6DDFCC05" w14:textId="77777777" w:rsidR="003453AD" w:rsidRPr="000F130C" w:rsidRDefault="003453AD" w:rsidP="003453AD">
            <w:pPr>
              <w:pStyle w:val="TableText"/>
              <w:ind w:left="49"/>
              <w:rPr>
                <w:b/>
                <w:lang w:eastAsia="en-AU"/>
              </w:rPr>
            </w:pPr>
            <w:r w:rsidRPr="000F130C">
              <w:rPr>
                <w:b/>
                <w:lang w:eastAsia="en-AU"/>
              </w:rPr>
              <w:t>TOTAL</w:t>
            </w:r>
          </w:p>
        </w:tc>
        <w:tc>
          <w:tcPr>
            <w:tcW w:w="1559" w:type="dxa"/>
            <w:tcBorders>
              <w:top w:val="nil"/>
              <w:left w:val="nil"/>
              <w:bottom w:val="single" w:sz="4" w:space="0" w:color="auto"/>
              <w:right w:val="single" w:sz="4" w:space="0" w:color="auto"/>
            </w:tcBorders>
            <w:hideMark/>
          </w:tcPr>
          <w:p w14:paraId="3DA2DF51" w14:textId="77777777" w:rsidR="003453AD" w:rsidRDefault="003453AD" w:rsidP="003453AD">
            <w:pPr>
              <w:pStyle w:val="TableText"/>
              <w:jc w:val="right"/>
              <w:rPr>
                <w:b/>
                <w:lang w:eastAsia="en-AU"/>
              </w:rPr>
            </w:pPr>
            <w:r>
              <w:rPr>
                <w:b/>
                <w:lang w:eastAsia="en-AU"/>
              </w:rPr>
              <w:t>100.00%</w:t>
            </w:r>
          </w:p>
        </w:tc>
      </w:tr>
    </w:tbl>
    <w:p w14:paraId="2BFB10DC" w14:textId="77777777" w:rsidR="003453AD" w:rsidRDefault="003453AD" w:rsidP="003453AD">
      <w:pPr>
        <w:ind w:left="-142" w:right="-425"/>
        <w:jc w:val="both"/>
        <w:rPr>
          <w:rFonts w:cs="Arial"/>
          <w:b/>
          <w:sz w:val="16"/>
          <w:szCs w:val="16"/>
        </w:rPr>
      </w:pPr>
    </w:p>
    <w:p w14:paraId="59C2A282" w14:textId="77777777" w:rsidR="003453AD" w:rsidRDefault="003453AD" w:rsidP="003453AD">
      <w:pPr>
        <w:ind w:left="-142" w:right="-425"/>
        <w:jc w:val="both"/>
        <w:rPr>
          <w:rFonts w:cs="Arial"/>
        </w:rPr>
      </w:pPr>
      <w:r>
        <w:rPr>
          <w:rFonts w:cs="Arial"/>
        </w:rPr>
        <w:t>R</w:t>
      </w:r>
      <w:r w:rsidRPr="00190B3A">
        <w:rPr>
          <w:rFonts w:cs="Arial"/>
        </w:rPr>
        <w:t>egional operational expenditure by location and quarter</w:t>
      </w:r>
      <w:r>
        <w:rPr>
          <w:rFonts w:cs="Arial"/>
        </w:rPr>
        <w:t>.</w:t>
      </w:r>
    </w:p>
    <w:p w14:paraId="1AE14639" w14:textId="77777777" w:rsidR="003453AD" w:rsidRDefault="003453AD" w:rsidP="003453AD">
      <w:pPr>
        <w:ind w:left="-142" w:right="-425"/>
        <w:jc w:val="both"/>
        <w:rPr>
          <w:rFonts w:cs="Arial"/>
        </w:rPr>
      </w:pPr>
    </w:p>
    <w:p w14:paraId="4F4FA8E3" w14:textId="741C4529" w:rsidR="003453AD" w:rsidRPr="00E37B61" w:rsidRDefault="003453AD" w:rsidP="003453AD">
      <w:pPr>
        <w:pStyle w:val="TableCaption"/>
        <w:spacing w:before="0"/>
        <w:ind w:left="0" w:right="-425"/>
        <w:rPr>
          <w:b/>
          <w:i w:val="0"/>
          <w:sz w:val="16"/>
        </w:rPr>
      </w:pPr>
      <w:r w:rsidRPr="00E37B61">
        <w:rPr>
          <w:b/>
          <w:i w:val="0"/>
          <w:sz w:val="16"/>
        </w:rPr>
        <w:t xml:space="preserve">Table </w:t>
      </w:r>
      <w:r>
        <w:rPr>
          <w:b/>
          <w:i w:val="0"/>
          <w:sz w:val="16"/>
        </w:rPr>
        <w:t>24</w:t>
      </w:r>
      <w:r w:rsidRPr="00E37B61">
        <w:rPr>
          <w:b/>
          <w:i w:val="0"/>
          <w:sz w:val="16"/>
        </w:rPr>
        <w:t xml:space="preserve">: </w:t>
      </w:r>
      <w:r w:rsidRPr="00E37B61">
        <w:rPr>
          <w:i w:val="0"/>
          <w:sz w:val="16"/>
        </w:rPr>
        <w:t xml:space="preserve">Operating costs by remote location 1 </w:t>
      </w:r>
      <w:r>
        <w:rPr>
          <w:i w:val="0"/>
          <w:sz w:val="16"/>
        </w:rPr>
        <w:t xml:space="preserve">January 2020 to 31 March </w:t>
      </w:r>
      <w:r w:rsidRPr="00E37B61">
        <w:rPr>
          <w:i w:val="0"/>
          <w:sz w:val="16"/>
        </w:rPr>
        <w:t>20</w:t>
      </w:r>
      <w:r>
        <w:rPr>
          <w:i w:val="0"/>
          <w:sz w:val="16"/>
        </w:rPr>
        <w:t>21</w:t>
      </w:r>
      <w:r w:rsidRPr="00E37B61">
        <w:rPr>
          <w:i w:val="0"/>
          <w:sz w:val="16"/>
        </w:rPr>
        <w:t>.</w:t>
      </w:r>
    </w:p>
    <w:tbl>
      <w:tblPr>
        <w:tblW w:w="8805" w:type="dxa"/>
        <w:tblInd w:w="93" w:type="dxa"/>
        <w:tblLook w:val="04A0" w:firstRow="1" w:lastRow="0" w:firstColumn="1" w:lastColumn="0" w:noHBand="0" w:noVBand="1"/>
      </w:tblPr>
      <w:tblGrid>
        <w:gridCol w:w="2596"/>
        <w:gridCol w:w="1241"/>
        <w:gridCol w:w="1242"/>
        <w:gridCol w:w="1242"/>
        <w:gridCol w:w="1242"/>
        <w:gridCol w:w="1242"/>
      </w:tblGrid>
      <w:tr w:rsidR="003453AD" w:rsidRPr="000F130C" w14:paraId="296A15A5" w14:textId="77777777" w:rsidTr="003453AD">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3E0EDE70" w14:textId="77777777" w:rsidR="003453AD" w:rsidRPr="000F130C" w:rsidRDefault="003453AD" w:rsidP="003453AD">
            <w:pPr>
              <w:pStyle w:val="TableText"/>
              <w:ind w:left="49"/>
              <w:rPr>
                <w:b/>
                <w:lang w:eastAsia="en-AU"/>
              </w:rPr>
            </w:pPr>
            <w:r w:rsidRPr="000F130C">
              <w:rPr>
                <w:b/>
                <w:lang w:eastAsia="en-AU"/>
              </w:rPr>
              <w:t>Community</w:t>
            </w:r>
          </w:p>
        </w:tc>
        <w:tc>
          <w:tcPr>
            <w:tcW w:w="1241" w:type="dxa"/>
            <w:tcBorders>
              <w:top w:val="single" w:sz="4" w:space="0" w:color="auto"/>
              <w:left w:val="nil"/>
              <w:bottom w:val="single" w:sz="4" w:space="0" w:color="auto"/>
              <w:right w:val="single" w:sz="4" w:space="0" w:color="auto"/>
            </w:tcBorders>
          </w:tcPr>
          <w:p w14:paraId="5B783D96" w14:textId="7120D02C" w:rsidR="003453AD" w:rsidRDefault="003453AD" w:rsidP="003453AD">
            <w:pPr>
              <w:pStyle w:val="TableText"/>
              <w:jc w:val="right"/>
              <w:rPr>
                <w:b/>
                <w:lang w:eastAsia="en-AU"/>
              </w:rPr>
            </w:pPr>
            <w:r>
              <w:rPr>
                <w:b/>
                <w:lang w:eastAsia="en-AU"/>
              </w:rPr>
              <w:t>Qtr 47</w:t>
            </w:r>
          </w:p>
        </w:tc>
        <w:tc>
          <w:tcPr>
            <w:tcW w:w="1242" w:type="dxa"/>
            <w:tcBorders>
              <w:top w:val="single" w:sz="4" w:space="0" w:color="auto"/>
              <w:left w:val="nil"/>
              <w:bottom w:val="single" w:sz="4" w:space="0" w:color="auto"/>
              <w:right w:val="single" w:sz="4" w:space="0" w:color="auto"/>
            </w:tcBorders>
          </w:tcPr>
          <w:p w14:paraId="2EDF8799" w14:textId="130A8E29" w:rsidR="003453AD" w:rsidRDefault="003453AD" w:rsidP="003453AD">
            <w:pPr>
              <w:pStyle w:val="TableText"/>
              <w:jc w:val="right"/>
              <w:rPr>
                <w:b/>
                <w:lang w:eastAsia="en-AU"/>
              </w:rPr>
            </w:pPr>
            <w:r>
              <w:rPr>
                <w:b/>
                <w:lang w:eastAsia="en-AU"/>
              </w:rPr>
              <w:t>Qtr 48</w:t>
            </w:r>
          </w:p>
        </w:tc>
        <w:tc>
          <w:tcPr>
            <w:tcW w:w="1242" w:type="dxa"/>
            <w:tcBorders>
              <w:top w:val="single" w:sz="4" w:space="0" w:color="auto"/>
              <w:left w:val="nil"/>
              <w:bottom w:val="single" w:sz="4" w:space="0" w:color="auto"/>
              <w:right w:val="single" w:sz="4" w:space="0" w:color="auto"/>
            </w:tcBorders>
          </w:tcPr>
          <w:p w14:paraId="5061C5D5" w14:textId="6DB59D96" w:rsidR="003453AD" w:rsidRDefault="003453AD" w:rsidP="003453AD">
            <w:pPr>
              <w:pStyle w:val="TableText"/>
              <w:jc w:val="right"/>
              <w:rPr>
                <w:b/>
                <w:lang w:eastAsia="en-AU"/>
              </w:rPr>
            </w:pPr>
            <w:r>
              <w:rPr>
                <w:b/>
                <w:lang w:eastAsia="en-AU"/>
              </w:rPr>
              <w:t>Qtr 49</w:t>
            </w:r>
          </w:p>
        </w:tc>
        <w:tc>
          <w:tcPr>
            <w:tcW w:w="1242" w:type="dxa"/>
            <w:tcBorders>
              <w:top w:val="single" w:sz="4" w:space="0" w:color="auto"/>
              <w:left w:val="nil"/>
              <w:bottom w:val="single" w:sz="4" w:space="0" w:color="auto"/>
              <w:right w:val="single" w:sz="4" w:space="0" w:color="auto"/>
            </w:tcBorders>
          </w:tcPr>
          <w:p w14:paraId="51EF60A2" w14:textId="13D695CD" w:rsidR="003453AD" w:rsidRDefault="003453AD" w:rsidP="003453AD">
            <w:pPr>
              <w:pStyle w:val="TableText"/>
              <w:jc w:val="right"/>
              <w:rPr>
                <w:b/>
                <w:lang w:eastAsia="en-AU"/>
              </w:rPr>
            </w:pPr>
            <w:r>
              <w:rPr>
                <w:b/>
                <w:lang w:eastAsia="en-AU"/>
              </w:rPr>
              <w:t>Qtr 50</w:t>
            </w:r>
          </w:p>
        </w:tc>
        <w:tc>
          <w:tcPr>
            <w:tcW w:w="1242" w:type="dxa"/>
            <w:tcBorders>
              <w:top w:val="single" w:sz="4" w:space="0" w:color="auto"/>
              <w:left w:val="nil"/>
              <w:bottom w:val="single" w:sz="4" w:space="0" w:color="auto"/>
              <w:right w:val="single" w:sz="4" w:space="0" w:color="auto"/>
            </w:tcBorders>
          </w:tcPr>
          <w:p w14:paraId="675B020A" w14:textId="60806FA1" w:rsidR="003453AD" w:rsidRDefault="003453AD" w:rsidP="003453AD">
            <w:pPr>
              <w:pStyle w:val="TableText"/>
              <w:jc w:val="right"/>
              <w:rPr>
                <w:b/>
                <w:lang w:eastAsia="en-AU"/>
              </w:rPr>
            </w:pPr>
            <w:r>
              <w:rPr>
                <w:b/>
                <w:lang w:eastAsia="en-AU"/>
              </w:rPr>
              <w:t>Qtr 51</w:t>
            </w:r>
          </w:p>
        </w:tc>
      </w:tr>
      <w:tr w:rsidR="003453AD" w:rsidRPr="000F130C" w14:paraId="19ECB41B"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65CD36E0" w14:textId="77777777" w:rsidR="003453AD" w:rsidRPr="000F130C" w:rsidRDefault="003453AD" w:rsidP="003453AD">
            <w:pPr>
              <w:pStyle w:val="TableText"/>
              <w:ind w:left="49"/>
              <w:rPr>
                <w:lang w:eastAsia="en-AU"/>
              </w:rPr>
            </w:pPr>
            <w:r w:rsidRPr="000F130C">
              <w:rPr>
                <w:lang w:eastAsia="en-AU"/>
              </w:rPr>
              <w:t>Aurukun</w:t>
            </w:r>
          </w:p>
        </w:tc>
        <w:tc>
          <w:tcPr>
            <w:tcW w:w="1241" w:type="dxa"/>
            <w:tcBorders>
              <w:top w:val="nil"/>
              <w:left w:val="nil"/>
              <w:bottom w:val="single" w:sz="4" w:space="0" w:color="auto"/>
              <w:right w:val="single" w:sz="4" w:space="0" w:color="auto"/>
            </w:tcBorders>
          </w:tcPr>
          <w:p w14:paraId="0CBF2AB6" w14:textId="16101B0E" w:rsidR="003453AD" w:rsidRDefault="003453AD" w:rsidP="003453AD">
            <w:pPr>
              <w:pStyle w:val="TableText"/>
              <w:jc w:val="right"/>
              <w:rPr>
                <w:lang w:eastAsia="en-AU"/>
              </w:rPr>
            </w:pPr>
            <w:r>
              <w:rPr>
                <w:lang w:eastAsia="en-AU"/>
              </w:rPr>
              <w:t>$160K</w:t>
            </w:r>
          </w:p>
        </w:tc>
        <w:tc>
          <w:tcPr>
            <w:tcW w:w="1242" w:type="dxa"/>
            <w:tcBorders>
              <w:top w:val="nil"/>
              <w:left w:val="nil"/>
              <w:bottom w:val="single" w:sz="4" w:space="0" w:color="auto"/>
              <w:right w:val="single" w:sz="4" w:space="0" w:color="auto"/>
            </w:tcBorders>
            <w:vAlign w:val="bottom"/>
          </w:tcPr>
          <w:p w14:paraId="1CD63AD9" w14:textId="00A04F7C" w:rsidR="003453AD" w:rsidRDefault="003453AD" w:rsidP="003453AD">
            <w:pPr>
              <w:pStyle w:val="TableText"/>
              <w:jc w:val="right"/>
              <w:rPr>
                <w:lang w:eastAsia="en-AU"/>
              </w:rPr>
            </w:pPr>
            <w:r w:rsidRPr="00346120">
              <w:rPr>
                <w:color w:val="000000"/>
              </w:rPr>
              <w:t>$117K</w:t>
            </w:r>
          </w:p>
        </w:tc>
        <w:tc>
          <w:tcPr>
            <w:tcW w:w="1242" w:type="dxa"/>
            <w:tcBorders>
              <w:top w:val="nil"/>
              <w:left w:val="nil"/>
              <w:bottom w:val="single" w:sz="4" w:space="0" w:color="auto"/>
              <w:right w:val="single" w:sz="4" w:space="0" w:color="auto"/>
            </w:tcBorders>
            <w:vAlign w:val="bottom"/>
          </w:tcPr>
          <w:p w14:paraId="619C492F" w14:textId="626DB736" w:rsidR="003453AD" w:rsidRDefault="003453AD" w:rsidP="003453AD">
            <w:pPr>
              <w:pStyle w:val="TableText"/>
              <w:jc w:val="right"/>
              <w:rPr>
                <w:lang w:eastAsia="en-AU"/>
              </w:rPr>
            </w:pPr>
            <w:r>
              <w:rPr>
                <w:rFonts w:cs="Calibri"/>
                <w:color w:val="000000"/>
              </w:rPr>
              <w:t>$</w:t>
            </w:r>
            <w:r w:rsidRPr="00705863">
              <w:rPr>
                <w:rFonts w:cs="Calibri"/>
                <w:color w:val="000000"/>
              </w:rPr>
              <w:t>82K</w:t>
            </w:r>
          </w:p>
        </w:tc>
        <w:tc>
          <w:tcPr>
            <w:tcW w:w="1242" w:type="dxa"/>
            <w:tcBorders>
              <w:top w:val="nil"/>
              <w:left w:val="nil"/>
              <w:bottom w:val="single" w:sz="4" w:space="0" w:color="auto"/>
              <w:right w:val="single" w:sz="4" w:space="0" w:color="auto"/>
            </w:tcBorders>
            <w:vAlign w:val="bottom"/>
          </w:tcPr>
          <w:p w14:paraId="43B06C50" w14:textId="605653E9" w:rsidR="003453AD" w:rsidRPr="00346120" w:rsidRDefault="003453AD" w:rsidP="003453AD">
            <w:pPr>
              <w:pStyle w:val="TableText"/>
              <w:jc w:val="right"/>
              <w:rPr>
                <w:lang w:eastAsia="en-AU"/>
              </w:rPr>
            </w:pPr>
            <w:r>
              <w:rPr>
                <w:rFonts w:cs="Calibri"/>
                <w:color w:val="000000"/>
              </w:rPr>
              <w:t>$104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6238038A" w14:textId="14A3E661" w:rsidR="003453AD" w:rsidRPr="00705863" w:rsidRDefault="003453AD" w:rsidP="003453AD">
            <w:pPr>
              <w:pStyle w:val="TableText"/>
              <w:jc w:val="right"/>
              <w:rPr>
                <w:color w:val="000000"/>
              </w:rPr>
            </w:pPr>
            <w:r>
              <w:rPr>
                <w:rFonts w:cs="Calibri"/>
                <w:color w:val="000000"/>
              </w:rPr>
              <w:t>$110</w:t>
            </w:r>
            <w:r w:rsidRPr="00705863">
              <w:rPr>
                <w:rFonts w:cs="Calibri"/>
                <w:color w:val="000000"/>
              </w:rPr>
              <w:t>K</w:t>
            </w:r>
          </w:p>
        </w:tc>
      </w:tr>
      <w:tr w:rsidR="003453AD" w:rsidRPr="000F130C" w14:paraId="0C2C8B26"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28C623A9" w14:textId="77777777" w:rsidR="003453AD" w:rsidRPr="000F130C" w:rsidRDefault="003453AD" w:rsidP="003453AD">
            <w:pPr>
              <w:pStyle w:val="TableText"/>
              <w:ind w:left="49"/>
              <w:rPr>
                <w:lang w:eastAsia="en-AU"/>
              </w:rPr>
            </w:pPr>
            <w:r w:rsidRPr="000F130C">
              <w:rPr>
                <w:lang w:eastAsia="en-AU"/>
              </w:rPr>
              <w:t>Coen</w:t>
            </w:r>
          </w:p>
        </w:tc>
        <w:tc>
          <w:tcPr>
            <w:tcW w:w="1241" w:type="dxa"/>
            <w:tcBorders>
              <w:top w:val="nil"/>
              <w:left w:val="nil"/>
              <w:bottom w:val="single" w:sz="4" w:space="0" w:color="auto"/>
              <w:right w:val="single" w:sz="4" w:space="0" w:color="auto"/>
            </w:tcBorders>
          </w:tcPr>
          <w:p w14:paraId="5452D88B" w14:textId="63AD4B85" w:rsidR="003453AD" w:rsidRDefault="003453AD" w:rsidP="003453AD">
            <w:pPr>
              <w:pStyle w:val="TableText"/>
              <w:jc w:val="right"/>
              <w:rPr>
                <w:lang w:eastAsia="en-AU"/>
              </w:rPr>
            </w:pPr>
            <w:r>
              <w:rPr>
                <w:lang w:eastAsia="en-AU"/>
              </w:rPr>
              <w:t>$29K</w:t>
            </w:r>
          </w:p>
        </w:tc>
        <w:tc>
          <w:tcPr>
            <w:tcW w:w="1242" w:type="dxa"/>
            <w:tcBorders>
              <w:top w:val="nil"/>
              <w:left w:val="nil"/>
              <w:bottom w:val="single" w:sz="4" w:space="0" w:color="auto"/>
              <w:right w:val="single" w:sz="4" w:space="0" w:color="auto"/>
            </w:tcBorders>
            <w:vAlign w:val="bottom"/>
          </w:tcPr>
          <w:p w14:paraId="094A37A6" w14:textId="7FD4B043" w:rsidR="003453AD" w:rsidRDefault="003453AD" w:rsidP="003453AD">
            <w:pPr>
              <w:pStyle w:val="TableText"/>
              <w:jc w:val="right"/>
              <w:rPr>
                <w:lang w:eastAsia="en-AU"/>
              </w:rPr>
            </w:pPr>
            <w:r w:rsidRPr="00346120">
              <w:rPr>
                <w:color w:val="000000"/>
              </w:rPr>
              <w:t>$16K</w:t>
            </w:r>
          </w:p>
        </w:tc>
        <w:tc>
          <w:tcPr>
            <w:tcW w:w="1242" w:type="dxa"/>
            <w:tcBorders>
              <w:top w:val="nil"/>
              <w:left w:val="nil"/>
              <w:bottom w:val="single" w:sz="4" w:space="0" w:color="auto"/>
              <w:right w:val="single" w:sz="4" w:space="0" w:color="auto"/>
            </w:tcBorders>
            <w:vAlign w:val="bottom"/>
          </w:tcPr>
          <w:p w14:paraId="7F458509" w14:textId="13C7A2C7" w:rsidR="003453AD" w:rsidRDefault="003453AD" w:rsidP="003453AD">
            <w:pPr>
              <w:pStyle w:val="TableText"/>
              <w:jc w:val="right"/>
              <w:rPr>
                <w:lang w:eastAsia="en-AU"/>
              </w:rPr>
            </w:pPr>
            <w:r>
              <w:rPr>
                <w:rFonts w:cs="Calibri"/>
                <w:color w:val="000000"/>
              </w:rPr>
              <w:t>$</w:t>
            </w:r>
            <w:r w:rsidRPr="00705863">
              <w:rPr>
                <w:rFonts w:cs="Calibri"/>
                <w:color w:val="000000"/>
              </w:rPr>
              <w:t>30K</w:t>
            </w:r>
          </w:p>
        </w:tc>
        <w:tc>
          <w:tcPr>
            <w:tcW w:w="1242" w:type="dxa"/>
            <w:tcBorders>
              <w:top w:val="nil"/>
              <w:left w:val="nil"/>
              <w:bottom w:val="single" w:sz="4" w:space="0" w:color="auto"/>
              <w:right w:val="single" w:sz="4" w:space="0" w:color="auto"/>
            </w:tcBorders>
            <w:vAlign w:val="bottom"/>
          </w:tcPr>
          <w:p w14:paraId="290DB124" w14:textId="13A423DE" w:rsidR="003453AD" w:rsidRPr="00346120" w:rsidRDefault="003453AD" w:rsidP="003453AD">
            <w:pPr>
              <w:pStyle w:val="TableText"/>
              <w:jc w:val="right"/>
              <w:rPr>
                <w:lang w:eastAsia="en-AU"/>
              </w:rPr>
            </w:pPr>
            <w:r>
              <w:rPr>
                <w:rFonts w:cs="Calibri"/>
                <w:color w:val="000000"/>
              </w:rPr>
              <w:t>$27</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D518A1F" w14:textId="4F783462" w:rsidR="003453AD" w:rsidRPr="00705863" w:rsidRDefault="003453AD" w:rsidP="003453AD">
            <w:pPr>
              <w:pStyle w:val="TableText"/>
              <w:jc w:val="right"/>
              <w:rPr>
                <w:color w:val="000000"/>
              </w:rPr>
            </w:pPr>
            <w:r>
              <w:rPr>
                <w:rFonts w:cs="Calibri"/>
                <w:color w:val="000000"/>
              </w:rPr>
              <w:t>$28</w:t>
            </w:r>
            <w:r w:rsidRPr="00705863">
              <w:rPr>
                <w:rFonts w:cs="Calibri"/>
                <w:color w:val="000000"/>
              </w:rPr>
              <w:t>K</w:t>
            </w:r>
          </w:p>
        </w:tc>
      </w:tr>
      <w:tr w:rsidR="003453AD" w:rsidRPr="000F130C" w14:paraId="6D5F8011" w14:textId="77777777" w:rsidTr="003453AD">
        <w:trPr>
          <w:trHeight w:val="255"/>
        </w:trPr>
        <w:tc>
          <w:tcPr>
            <w:tcW w:w="2596" w:type="dxa"/>
            <w:tcBorders>
              <w:top w:val="nil"/>
              <w:left w:val="single" w:sz="4" w:space="0" w:color="auto"/>
              <w:bottom w:val="single" w:sz="4" w:space="0" w:color="auto"/>
              <w:right w:val="single" w:sz="4" w:space="0" w:color="auto"/>
            </w:tcBorders>
            <w:noWrap/>
          </w:tcPr>
          <w:p w14:paraId="23E2FA03" w14:textId="77777777" w:rsidR="003453AD" w:rsidRPr="000F130C" w:rsidRDefault="003453AD" w:rsidP="003453AD">
            <w:pPr>
              <w:pStyle w:val="TableText"/>
              <w:ind w:left="49"/>
              <w:rPr>
                <w:lang w:eastAsia="en-AU"/>
              </w:rPr>
            </w:pPr>
            <w:r>
              <w:rPr>
                <w:lang w:eastAsia="en-AU"/>
              </w:rPr>
              <w:t>Doomadgee</w:t>
            </w:r>
          </w:p>
        </w:tc>
        <w:tc>
          <w:tcPr>
            <w:tcW w:w="1241" w:type="dxa"/>
            <w:tcBorders>
              <w:top w:val="nil"/>
              <w:left w:val="nil"/>
              <w:bottom w:val="single" w:sz="4" w:space="0" w:color="auto"/>
              <w:right w:val="single" w:sz="4" w:space="0" w:color="auto"/>
            </w:tcBorders>
          </w:tcPr>
          <w:p w14:paraId="559E0A53" w14:textId="06A11567" w:rsidR="003453AD" w:rsidRDefault="003453AD" w:rsidP="003453AD">
            <w:pPr>
              <w:pStyle w:val="TableText"/>
              <w:jc w:val="right"/>
              <w:rPr>
                <w:lang w:eastAsia="en-AU"/>
              </w:rPr>
            </w:pPr>
            <w:r>
              <w:rPr>
                <w:lang w:eastAsia="en-AU"/>
              </w:rPr>
              <w:t>$132K</w:t>
            </w:r>
          </w:p>
        </w:tc>
        <w:tc>
          <w:tcPr>
            <w:tcW w:w="1242" w:type="dxa"/>
            <w:tcBorders>
              <w:top w:val="nil"/>
              <w:left w:val="nil"/>
              <w:bottom w:val="single" w:sz="4" w:space="0" w:color="auto"/>
              <w:right w:val="single" w:sz="4" w:space="0" w:color="auto"/>
            </w:tcBorders>
            <w:vAlign w:val="bottom"/>
          </w:tcPr>
          <w:p w14:paraId="2AFEE5B3" w14:textId="6B62D166" w:rsidR="003453AD" w:rsidRDefault="003453AD" w:rsidP="003453AD">
            <w:pPr>
              <w:pStyle w:val="TableText"/>
              <w:jc w:val="right"/>
              <w:rPr>
                <w:lang w:eastAsia="en-AU"/>
              </w:rPr>
            </w:pPr>
            <w:r w:rsidRPr="00346120">
              <w:rPr>
                <w:color w:val="000000"/>
              </w:rPr>
              <w:t>$123K</w:t>
            </w:r>
          </w:p>
        </w:tc>
        <w:tc>
          <w:tcPr>
            <w:tcW w:w="1242" w:type="dxa"/>
            <w:tcBorders>
              <w:top w:val="nil"/>
              <w:left w:val="nil"/>
              <w:bottom w:val="single" w:sz="4" w:space="0" w:color="auto"/>
              <w:right w:val="single" w:sz="4" w:space="0" w:color="auto"/>
            </w:tcBorders>
            <w:vAlign w:val="bottom"/>
          </w:tcPr>
          <w:p w14:paraId="0FBECBD0" w14:textId="586FF23E" w:rsidR="003453AD" w:rsidRDefault="003453AD" w:rsidP="003453AD">
            <w:pPr>
              <w:pStyle w:val="TableText"/>
              <w:jc w:val="right"/>
              <w:rPr>
                <w:lang w:eastAsia="en-AU"/>
              </w:rPr>
            </w:pPr>
            <w:r>
              <w:rPr>
                <w:rFonts w:cs="Calibri"/>
                <w:color w:val="000000"/>
              </w:rPr>
              <w:t>$</w:t>
            </w:r>
            <w:r w:rsidRPr="00705863">
              <w:rPr>
                <w:rFonts w:cs="Calibri"/>
                <w:color w:val="000000"/>
              </w:rPr>
              <w:t>187K</w:t>
            </w:r>
          </w:p>
        </w:tc>
        <w:tc>
          <w:tcPr>
            <w:tcW w:w="1242" w:type="dxa"/>
            <w:tcBorders>
              <w:top w:val="nil"/>
              <w:left w:val="nil"/>
              <w:bottom w:val="single" w:sz="4" w:space="0" w:color="auto"/>
              <w:right w:val="single" w:sz="4" w:space="0" w:color="auto"/>
            </w:tcBorders>
            <w:vAlign w:val="bottom"/>
          </w:tcPr>
          <w:p w14:paraId="259D9E7D" w14:textId="620C54ED" w:rsidR="003453AD" w:rsidRPr="00346120" w:rsidRDefault="003453AD" w:rsidP="003453AD">
            <w:pPr>
              <w:pStyle w:val="TableText"/>
              <w:jc w:val="right"/>
              <w:rPr>
                <w:lang w:eastAsia="en-AU"/>
              </w:rPr>
            </w:pPr>
            <w:r>
              <w:rPr>
                <w:rFonts w:cs="Calibri"/>
                <w:color w:val="000000"/>
              </w:rPr>
              <w:t>$20</w:t>
            </w:r>
            <w:r w:rsidRPr="00705863">
              <w:rPr>
                <w:rFonts w:cs="Calibri"/>
                <w:color w:val="000000"/>
              </w:rPr>
              <w:t>7K</w:t>
            </w:r>
          </w:p>
        </w:tc>
        <w:tc>
          <w:tcPr>
            <w:tcW w:w="1242" w:type="dxa"/>
            <w:tcBorders>
              <w:top w:val="nil"/>
              <w:left w:val="nil"/>
              <w:bottom w:val="single" w:sz="4" w:space="0" w:color="auto"/>
              <w:right w:val="single" w:sz="4" w:space="0" w:color="auto"/>
            </w:tcBorders>
            <w:vAlign w:val="bottom"/>
          </w:tcPr>
          <w:p w14:paraId="2AD5F688" w14:textId="45CB6C38" w:rsidR="003453AD" w:rsidRPr="00705863" w:rsidRDefault="003453AD" w:rsidP="003453AD">
            <w:pPr>
              <w:pStyle w:val="TableText"/>
              <w:jc w:val="right"/>
              <w:rPr>
                <w:color w:val="000000"/>
              </w:rPr>
            </w:pPr>
            <w:r>
              <w:rPr>
                <w:rFonts w:cs="Calibri"/>
                <w:color w:val="000000"/>
              </w:rPr>
              <w:t>$163</w:t>
            </w:r>
            <w:r w:rsidRPr="00705863">
              <w:rPr>
                <w:rFonts w:cs="Calibri"/>
                <w:color w:val="000000"/>
              </w:rPr>
              <w:t>K</w:t>
            </w:r>
          </w:p>
        </w:tc>
      </w:tr>
      <w:tr w:rsidR="003453AD" w:rsidRPr="000F130C" w14:paraId="15CBC04D"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03C10304" w14:textId="77777777" w:rsidR="003453AD" w:rsidRPr="000F130C" w:rsidRDefault="003453AD" w:rsidP="003453AD">
            <w:pPr>
              <w:pStyle w:val="TableText"/>
              <w:ind w:left="49"/>
              <w:rPr>
                <w:lang w:eastAsia="en-AU"/>
              </w:rPr>
            </w:pPr>
            <w:r w:rsidRPr="000F130C">
              <w:rPr>
                <w:lang w:eastAsia="en-AU"/>
              </w:rPr>
              <w:t>Hope Vale</w:t>
            </w:r>
          </w:p>
        </w:tc>
        <w:tc>
          <w:tcPr>
            <w:tcW w:w="1241" w:type="dxa"/>
            <w:tcBorders>
              <w:top w:val="nil"/>
              <w:left w:val="nil"/>
              <w:bottom w:val="single" w:sz="4" w:space="0" w:color="auto"/>
              <w:right w:val="single" w:sz="4" w:space="0" w:color="auto"/>
            </w:tcBorders>
          </w:tcPr>
          <w:p w14:paraId="1E9D673A" w14:textId="6D05D18E" w:rsidR="003453AD" w:rsidRDefault="003453AD" w:rsidP="003453AD">
            <w:pPr>
              <w:pStyle w:val="TableText"/>
              <w:jc w:val="right"/>
              <w:rPr>
                <w:lang w:eastAsia="en-AU"/>
              </w:rPr>
            </w:pPr>
            <w:r>
              <w:rPr>
                <w:lang w:eastAsia="en-AU"/>
              </w:rPr>
              <w:t>$58K</w:t>
            </w:r>
          </w:p>
        </w:tc>
        <w:tc>
          <w:tcPr>
            <w:tcW w:w="1242" w:type="dxa"/>
            <w:tcBorders>
              <w:top w:val="nil"/>
              <w:left w:val="nil"/>
              <w:bottom w:val="single" w:sz="4" w:space="0" w:color="auto"/>
              <w:right w:val="single" w:sz="4" w:space="0" w:color="auto"/>
            </w:tcBorders>
            <w:vAlign w:val="bottom"/>
          </w:tcPr>
          <w:p w14:paraId="178DED72" w14:textId="5BFC5545" w:rsidR="003453AD" w:rsidRDefault="003453AD" w:rsidP="003453AD">
            <w:pPr>
              <w:pStyle w:val="TableText"/>
              <w:jc w:val="right"/>
              <w:rPr>
                <w:lang w:eastAsia="en-AU"/>
              </w:rPr>
            </w:pPr>
            <w:r w:rsidRPr="00346120">
              <w:rPr>
                <w:color w:val="000000"/>
              </w:rPr>
              <w:t>$49K</w:t>
            </w:r>
          </w:p>
        </w:tc>
        <w:tc>
          <w:tcPr>
            <w:tcW w:w="1242" w:type="dxa"/>
            <w:tcBorders>
              <w:top w:val="nil"/>
              <w:left w:val="nil"/>
              <w:bottom w:val="single" w:sz="4" w:space="0" w:color="auto"/>
              <w:right w:val="single" w:sz="4" w:space="0" w:color="auto"/>
            </w:tcBorders>
            <w:vAlign w:val="bottom"/>
          </w:tcPr>
          <w:p w14:paraId="3ADAEBEE" w14:textId="55F73C49" w:rsidR="003453AD" w:rsidRDefault="003453AD" w:rsidP="003453AD">
            <w:pPr>
              <w:pStyle w:val="TableText"/>
              <w:jc w:val="right"/>
              <w:rPr>
                <w:lang w:eastAsia="en-AU"/>
              </w:rPr>
            </w:pPr>
            <w:r>
              <w:rPr>
                <w:rFonts w:cs="Calibri"/>
                <w:color w:val="000000"/>
              </w:rPr>
              <w:t>$</w:t>
            </w:r>
            <w:r w:rsidRPr="00705863">
              <w:rPr>
                <w:rFonts w:cs="Calibri"/>
                <w:color w:val="000000"/>
              </w:rPr>
              <w:t>67K</w:t>
            </w:r>
          </w:p>
        </w:tc>
        <w:tc>
          <w:tcPr>
            <w:tcW w:w="1242" w:type="dxa"/>
            <w:tcBorders>
              <w:top w:val="nil"/>
              <w:left w:val="nil"/>
              <w:bottom w:val="single" w:sz="4" w:space="0" w:color="auto"/>
              <w:right w:val="single" w:sz="4" w:space="0" w:color="auto"/>
            </w:tcBorders>
            <w:vAlign w:val="bottom"/>
          </w:tcPr>
          <w:p w14:paraId="7B99E82B" w14:textId="446761A1" w:rsidR="003453AD" w:rsidRPr="00346120" w:rsidRDefault="003453AD" w:rsidP="003453AD">
            <w:pPr>
              <w:pStyle w:val="TableText"/>
              <w:jc w:val="right"/>
              <w:rPr>
                <w:lang w:eastAsia="en-AU"/>
              </w:rPr>
            </w:pPr>
            <w:r>
              <w:rPr>
                <w:rFonts w:cs="Calibri"/>
                <w:color w:val="000000"/>
              </w:rPr>
              <w:t>$</w:t>
            </w:r>
            <w:r w:rsidRPr="00705863">
              <w:rPr>
                <w:rFonts w:cs="Calibri"/>
                <w:color w:val="000000"/>
              </w:rPr>
              <w:t>6</w:t>
            </w:r>
            <w:r>
              <w:rPr>
                <w:rFonts w:cs="Calibri"/>
                <w:color w:val="000000"/>
              </w:rPr>
              <w:t>2</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5A6CAA3D" w14:textId="5EF6794D" w:rsidR="003453AD" w:rsidRPr="00705863" w:rsidRDefault="003453AD" w:rsidP="003453AD">
            <w:pPr>
              <w:pStyle w:val="TableText"/>
              <w:jc w:val="right"/>
              <w:rPr>
                <w:color w:val="000000"/>
              </w:rPr>
            </w:pPr>
            <w:r>
              <w:rPr>
                <w:rFonts w:cs="Calibri"/>
                <w:color w:val="000000"/>
              </w:rPr>
              <w:t>$73</w:t>
            </w:r>
            <w:r w:rsidRPr="00705863">
              <w:rPr>
                <w:rFonts w:cs="Calibri"/>
                <w:color w:val="000000"/>
              </w:rPr>
              <w:t>K</w:t>
            </w:r>
          </w:p>
        </w:tc>
      </w:tr>
      <w:tr w:rsidR="003453AD" w:rsidRPr="000F130C" w14:paraId="3025AC90"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449D1128" w14:textId="77777777" w:rsidR="003453AD" w:rsidRPr="000F130C" w:rsidRDefault="003453AD" w:rsidP="003453AD">
            <w:pPr>
              <w:pStyle w:val="TableText"/>
              <w:ind w:left="49"/>
              <w:rPr>
                <w:lang w:eastAsia="en-AU"/>
              </w:rPr>
            </w:pPr>
            <w:r w:rsidRPr="000F130C">
              <w:rPr>
                <w:lang w:eastAsia="en-AU"/>
              </w:rPr>
              <w:t>Mossman Gorge</w:t>
            </w:r>
          </w:p>
        </w:tc>
        <w:tc>
          <w:tcPr>
            <w:tcW w:w="1241" w:type="dxa"/>
            <w:tcBorders>
              <w:top w:val="nil"/>
              <w:left w:val="nil"/>
              <w:bottom w:val="single" w:sz="4" w:space="0" w:color="auto"/>
              <w:right w:val="single" w:sz="4" w:space="0" w:color="auto"/>
            </w:tcBorders>
          </w:tcPr>
          <w:p w14:paraId="58A7F46F" w14:textId="5BDF5E03" w:rsidR="003453AD" w:rsidRDefault="003453AD" w:rsidP="003453AD">
            <w:pPr>
              <w:pStyle w:val="TableText"/>
              <w:jc w:val="right"/>
              <w:rPr>
                <w:lang w:eastAsia="en-AU"/>
              </w:rPr>
            </w:pPr>
            <w:r>
              <w:rPr>
                <w:lang w:eastAsia="en-AU"/>
              </w:rPr>
              <w:t>$28K</w:t>
            </w:r>
          </w:p>
        </w:tc>
        <w:tc>
          <w:tcPr>
            <w:tcW w:w="1242" w:type="dxa"/>
            <w:tcBorders>
              <w:top w:val="nil"/>
              <w:left w:val="nil"/>
              <w:bottom w:val="single" w:sz="4" w:space="0" w:color="auto"/>
              <w:right w:val="single" w:sz="4" w:space="0" w:color="auto"/>
            </w:tcBorders>
            <w:vAlign w:val="bottom"/>
          </w:tcPr>
          <w:p w14:paraId="3E593C69" w14:textId="190D785B" w:rsidR="003453AD" w:rsidRDefault="003453AD" w:rsidP="003453AD">
            <w:pPr>
              <w:pStyle w:val="TableText"/>
              <w:jc w:val="right"/>
              <w:rPr>
                <w:lang w:eastAsia="en-AU"/>
              </w:rPr>
            </w:pPr>
            <w:r w:rsidRPr="00346120">
              <w:rPr>
                <w:color w:val="000000"/>
              </w:rPr>
              <w:t>$25K</w:t>
            </w:r>
          </w:p>
        </w:tc>
        <w:tc>
          <w:tcPr>
            <w:tcW w:w="1242" w:type="dxa"/>
            <w:tcBorders>
              <w:top w:val="nil"/>
              <w:left w:val="nil"/>
              <w:bottom w:val="single" w:sz="4" w:space="0" w:color="auto"/>
              <w:right w:val="single" w:sz="4" w:space="0" w:color="auto"/>
            </w:tcBorders>
            <w:vAlign w:val="bottom"/>
          </w:tcPr>
          <w:p w14:paraId="006F6C2E" w14:textId="01685208" w:rsidR="003453AD" w:rsidRDefault="003453AD" w:rsidP="003453AD">
            <w:pPr>
              <w:pStyle w:val="TableText"/>
              <w:jc w:val="right"/>
              <w:rPr>
                <w:lang w:eastAsia="en-AU"/>
              </w:rPr>
            </w:pPr>
            <w:r>
              <w:rPr>
                <w:rFonts w:cs="Calibri"/>
                <w:color w:val="000000"/>
              </w:rPr>
              <w:t>$</w:t>
            </w:r>
            <w:r w:rsidRPr="00705863">
              <w:rPr>
                <w:rFonts w:cs="Calibri"/>
                <w:color w:val="000000"/>
              </w:rPr>
              <w:t>32K</w:t>
            </w:r>
          </w:p>
        </w:tc>
        <w:tc>
          <w:tcPr>
            <w:tcW w:w="1242" w:type="dxa"/>
            <w:tcBorders>
              <w:top w:val="nil"/>
              <w:left w:val="nil"/>
              <w:bottom w:val="single" w:sz="4" w:space="0" w:color="auto"/>
              <w:right w:val="single" w:sz="4" w:space="0" w:color="auto"/>
            </w:tcBorders>
            <w:vAlign w:val="bottom"/>
          </w:tcPr>
          <w:p w14:paraId="4D95C0A1" w14:textId="4D87A839" w:rsidR="003453AD" w:rsidRPr="00346120" w:rsidRDefault="003453AD" w:rsidP="003453AD">
            <w:pPr>
              <w:pStyle w:val="TableText"/>
              <w:jc w:val="right"/>
              <w:rPr>
                <w:lang w:eastAsia="en-AU"/>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c>
          <w:tcPr>
            <w:tcW w:w="1242" w:type="dxa"/>
            <w:tcBorders>
              <w:top w:val="nil"/>
              <w:left w:val="nil"/>
              <w:bottom w:val="single" w:sz="4" w:space="0" w:color="auto"/>
              <w:right w:val="single" w:sz="4" w:space="0" w:color="auto"/>
            </w:tcBorders>
            <w:vAlign w:val="bottom"/>
          </w:tcPr>
          <w:p w14:paraId="050BC8DE" w14:textId="77777777" w:rsidR="003453AD" w:rsidRPr="00705863" w:rsidRDefault="003453AD" w:rsidP="003453AD">
            <w:pPr>
              <w:pStyle w:val="TableText"/>
              <w:jc w:val="right"/>
              <w:rPr>
                <w:color w:val="000000"/>
              </w:rPr>
            </w:pPr>
            <w:r>
              <w:rPr>
                <w:rFonts w:cs="Calibri"/>
                <w:color w:val="000000"/>
              </w:rPr>
              <w:t>$</w:t>
            </w:r>
            <w:r w:rsidRPr="00705863">
              <w:rPr>
                <w:rFonts w:cs="Calibri"/>
                <w:color w:val="000000"/>
              </w:rPr>
              <w:t>3</w:t>
            </w:r>
            <w:r>
              <w:rPr>
                <w:rFonts w:cs="Calibri"/>
                <w:color w:val="000000"/>
              </w:rPr>
              <w:t>4</w:t>
            </w:r>
            <w:r w:rsidRPr="00705863">
              <w:rPr>
                <w:rFonts w:cs="Calibri"/>
                <w:color w:val="000000"/>
              </w:rPr>
              <w:t>K</w:t>
            </w:r>
          </w:p>
        </w:tc>
      </w:tr>
      <w:tr w:rsidR="003453AD" w:rsidRPr="000F130C" w14:paraId="459A5157"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3059E7D4" w14:textId="77777777" w:rsidR="003453AD" w:rsidRPr="000F130C" w:rsidRDefault="003453AD" w:rsidP="003453AD">
            <w:pPr>
              <w:pStyle w:val="TableText"/>
              <w:ind w:left="49"/>
              <w:rPr>
                <w:b/>
                <w:lang w:eastAsia="en-AU"/>
              </w:rPr>
            </w:pPr>
            <w:r w:rsidRPr="000F130C">
              <w:rPr>
                <w:b/>
                <w:lang w:eastAsia="en-AU"/>
              </w:rPr>
              <w:t>TOTAL</w:t>
            </w:r>
          </w:p>
        </w:tc>
        <w:tc>
          <w:tcPr>
            <w:tcW w:w="1241" w:type="dxa"/>
            <w:tcBorders>
              <w:top w:val="nil"/>
              <w:left w:val="nil"/>
              <w:bottom w:val="single" w:sz="4" w:space="0" w:color="auto"/>
              <w:right w:val="single" w:sz="4" w:space="0" w:color="auto"/>
            </w:tcBorders>
          </w:tcPr>
          <w:p w14:paraId="041F8FDA" w14:textId="7BF567E4" w:rsidR="003453AD" w:rsidRDefault="003453AD" w:rsidP="003453AD">
            <w:pPr>
              <w:pStyle w:val="TableText"/>
              <w:jc w:val="right"/>
              <w:rPr>
                <w:b/>
                <w:lang w:eastAsia="en-AU"/>
              </w:rPr>
            </w:pPr>
            <w:r>
              <w:rPr>
                <w:b/>
                <w:lang w:eastAsia="en-AU"/>
              </w:rPr>
              <w:t>$407K</w:t>
            </w:r>
          </w:p>
        </w:tc>
        <w:tc>
          <w:tcPr>
            <w:tcW w:w="1242" w:type="dxa"/>
            <w:tcBorders>
              <w:top w:val="nil"/>
              <w:left w:val="nil"/>
              <w:bottom w:val="single" w:sz="4" w:space="0" w:color="auto"/>
              <w:right w:val="single" w:sz="4" w:space="0" w:color="auto"/>
            </w:tcBorders>
            <w:vAlign w:val="bottom"/>
          </w:tcPr>
          <w:p w14:paraId="49DE5DE2" w14:textId="5431CF53" w:rsidR="003453AD" w:rsidRDefault="003453AD" w:rsidP="003453AD">
            <w:pPr>
              <w:pStyle w:val="TableText"/>
              <w:jc w:val="right"/>
              <w:rPr>
                <w:b/>
                <w:lang w:eastAsia="en-AU"/>
              </w:rPr>
            </w:pPr>
            <w:r w:rsidRPr="00346120">
              <w:rPr>
                <w:b/>
                <w:bCs/>
                <w:color w:val="000000"/>
              </w:rPr>
              <w:t>$330K</w:t>
            </w:r>
          </w:p>
        </w:tc>
        <w:tc>
          <w:tcPr>
            <w:tcW w:w="1242" w:type="dxa"/>
            <w:tcBorders>
              <w:top w:val="nil"/>
              <w:left w:val="nil"/>
              <w:bottom w:val="single" w:sz="4" w:space="0" w:color="auto"/>
              <w:right w:val="single" w:sz="4" w:space="0" w:color="auto"/>
            </w:tcBorders>
            <w:vAlign w:val="bottom"/>
          </w:tcPr>
          <w:p w14:paraId="72C49013" w14:textId="0A291FC8" w:rsidR="003453AD" w:rsidRDefault="003453AD" w:rsidP="003453AD">
            <w:pPr>
              <w:pStyle w:val="TableText"/>
              <w:jc w:val="right"/>
              <w:rPr>
                <w:b/>
                <w:lang w:eastAsia="en-AU"/>
              </w:rPr>
            </w:pPr>
            <w:r>
              <w:rPr>
                <w:rFonts w:cs="Calibri"/>
                <w:b/>
                <w:bCs/>
                <w:color w:val="000000"/>
              </w:rPr>
              <w:t>$</w:t>
            </w:r>
            <w:r w:rsidRPr="00705863">
              <w:rPr>
                <w:rFonts w:cs="Calibri"/>
                <w:b/>
                <w:bCs/>
                <w:color w:val="000000"/>
              </w:rPr>
              <w:t>398K</w:t>
            </w:r>
          </w:p>
        </w:tc>
        <w:tc>
          <w:tcPr>
            <w:tcW w:w="1242" w:type="dxa"/>
            <w:tcBorders>
              <w:top w:val="nil"/>
              <w:left w:val="nil"/>
              <w:bottom w:val="single" w:sz="4" w:space="0" w:color="auto"/>
              <w:right w:val="single" w:sz="4" w:space="0" w:color="auto"/>
            </w:tcBorders>
            <w:vAlign w:val="bottom"/>
          </w:tcPr>
          <w:p w14:paraId="79D81518" w14:textId="4432F4F3" w:rsidR="003453AD" w:rsidRPr="00346120" w:rsidRDefault="003453AD" w:rsidP="003453AD">
            <w:pPr>
              <w:pStyle w:val="TableText"/>
              <w:jc w:val="right"/>
              <w:rPr>
                <w:b/>
                <w:bCs/>
                <w:lang w:eastAsia="en-AU"/>
              </w:rPr>
            </w:pPr>
            <w:r>
              <w:rPr>
                <w:rFonts w:cs="Calibri"/>
                <w:b/>
                <w:bCs/>
                <w:color w:val="000000"/>
              </w:rPr>
              <w:t>$434</w:t>
            </w:r>
            <w:r w:rsidRPr="00705863">
              <w:rPr>
                <w:rFonts w:cs="Calibri"/>
                <w:b/>
                <w:bCs/>
                <w:color w:val="000000"/>
              </w:rPr>
              <w:t>K</w:t>
            </w:r>
          </w:p>
        </w:tc>
        <w:tc>
          <w:tcPr>
            <w:tcW w:w="1242" w:type="dxa"/>
            <w:tcBorders>
              <w:top w:val="nil"/>
              <w:left w:val="nil"/>
              <w:bottom w:val="single" w:sz="4" w:space="0" w:color="auto"/>
              <w:right w:val="single" w:sz="4" w:space="0" w:color="auto"/>
            </w:tcBorders>
            <w:vAlign w:val="bottom"/>
          </w:tcPr>
          <w:p w14:paraId="71AE4502" w14:textId="662AC79B" w:rsidR="003453AD" w:rsidRPr="00705863" w:rsidRDefault="003453AD" w:rsidP="003453AD">
            <w:pPr>
              <w:pStyle w:val="TableText"/>
              <w:jc w:val="right"/>
              <w:rPr>
                <w:b/>
                <w:bCs/>
                <w:color w:val="000000"/>
              </w:rPr>
            </w:pPr>
            <w:r>
              <w:rPr>
                <w:rFonts w:cs="Calibri"/>
                <w:b/>
                <w:bCs/>
                <w:color w:val="000000"/>
              </w:rPr>
              <w:t>$408</w:t>
            </w:r>
            <w:r w:rsidRPr="00705863">
              <w:rPr>
                <w:rFonts w:cs="Calibri"/>
                <w:b/>
                <w:bCs/>
                <w:color w:val="000000"/>
              </w:rPr>
              <w:t>K</w:t>
            </w:r>
          </w:p>
        </w:tc>
      </w:tr>
    </w:tbl>
    <w:p w14:paraId="4C2F5AEF" w14:textId="77777777" w:rsidR="003453AD" w:rsidRDefault="003453AD" w:rsidP="003453AD">
      <w:pPr>
        <w:ind w:left="-142" w:right="-425"/>
        <w:jc w:val="both"/>
        <w:rPr>
          <w:rFonts w:cs="Arial"/>
        </w:rPr>
      </w:pPr>
    </w:p>
    <w:p w14:paraId="4FC064FB" w14:textId="2B27DE56" w:rsidR="003453AD" w:rsidRDefault="003453AD" w:rsidP="003453AD">
      <w:pPr>
        <w:ind w:left="-142" w:right="-425"/>
        <w:jc w:val="both"/>
        <w:rPr>
          <w:rFonts w:cs="Arial"/>
        </w:rPr>
      </w:pPr>
      <w:r>
        <w:rPr>
          <w:rFonts w:cs="Arial"/>
        </w:rPr>
        <w:t xml:space="preserve">Cairns expenditure for quarter 51 </w:t>
      </w:r>
      <w:r w:rsidRPr="006A0DDF">
        <w:rPr>
          <w:rFonts w:cs="Arial"/>
        </w:rPr>
        <w:t xml:space="preserve">compared to </w:t>
      </w:r>
      <w:r>
        <w:rPr>
          <w:rFonts w:cs="Arial"/>
        </w:rPr>
        <w:t xml:space="preserve">the </w:t>
      </w:r>
      <w:r w:rsidRPr="006A0DDF">
        <w:rPr>
          <w:rFonts w:cs="Arial"/>
        </w:rPr>
        <w:t xml:space="preserve">previous </w:t>
      </w:r>
      <w:r>
        <w:rPr>
          <w:rFonts w:cs="Arial"/>
        </w:rPr>
        <w:t>four</w:t>
      </w:r>
      <w:r w:rsidRPr="006A0DDF">
        <w:rPr>
          <w:rFonts w:cs="Arial"/>
        </w:rPr>
        <w:t xml:space="preserve"> quarter</w:t>
      </w:r>
      <w:r>
        <w:rPr>
          <w:rFonts w:cs="Arial"/>
        </w:rPr>
        <w:t>s.</w:t>
      </w:r>
    </w:p>
    <w:p w14:paraId="22EEC914" w14:textId="77777777" w:rsidR="003453AD" w:rsidRDefault="003453AD" w:rsidP="003453AD">
      <w:pPr>
        <w:ind w:left="-142" w:right="-425"/>
        <w:jc w:val="both"/>
        <w:rPr>
          <w:rFonts w:cs="Arial"/>
        </w:rPr>
      </w:pPr>
    </w:p>
    <w:p w14:paraId="3DA4BA37" w14:textId="127945D3" w:rsidR="003453AD" w:rsidRPr="00E37B61" w:rsidRDefault="003453AD" w:rsidP="003453AD">
      <w:pPr>
        <w:pStyle w:val="TableCaption"/>
        <w:spacing w:before="0"/>
        <w:ind w:left="0" w:right="-425"/>
        <w:rPr>
          <w:b/>
          <w:i w:val="0"/>
          <w:sz w:val="16"/>
        </w:rPr>
      </w:pPr>
      <w:r w:rsidRPr="00E37B61">
        <w:rPr>
          <w:b/>
          <w:i w:val="0"/>
          <w:sz w:val="16"/>
        </w:rPr>
        <w:t>Table 2</w:t>
      </w:r>
      <w:r>
        <w:rPr>
          <w:b/>
          <w:i w:val="0"/>
          <w:sz w:val="16"/>
        </w:rPr>
        <w:t>5</w:t>
      </w:r>
      <w:r w:rsidRPr="00E37B61">
        <w:rPr>
          <w:b/>
          <w:i w:val="0"/>
          <w:sz w:val="16"/>
        </w:rPr>
        <w:t xml:space="preserve">: </w:t>
      </w:r>
      <w:r w:rsidRPr="00E37B61">
        <w:rPr>
          <w:i w:val="0"/>
          <w:sz w:val="16"/>
        </w:rPr>
        <w:t xml:space="preserve">Quarterly operating costs Cairns </w:t>
      </w:r>
      <w:r>
        <w:rPr>
          <w:i w:val="0"/>
          <w:sz w:val="16"/>
        </w:rPr>
        <w:t xml:space="preserve">Registry </w:t>
      </w:r>
      <w:r w:rsidRPr="00E37B61">
        <w:rPr>
          <w:i w:val="0"/>
          <w:sz w:val="16"/>
        </w:rPr>
        <w:t xml:space="preserve">1 </w:t>
      </w:r>
      <w:r>
        <w:rPr>
          <w:i w:val="0"/>
          <w:sz w:val="16"/>
        </w:rPr>
        <w:t xml:space="preserve">January 2020 to 31 March </w:t>
      </w:r>
      <w:r w:rsidRPr="00E37B61">
        <w:rPr>
          <w:i w:val="0"/>
          <w:sz w:val="16"/>
        </w:rPr>
        <w:t>20</w:t>
      </w:r>
      <w:r>
        <w:rPr>
          <w:i w:val="0"/>
          <w:sz w:val="16"/>
        </w:rPr>
        <w:t>21.</w:t>
      </w:r>
    </w:p>
    <w:tbl>
      <w:tblPr>
        <w:tblW w:w="8846" w:type="dxa"/>
        <w:tblInd w:w="93" w:type="dxa"/>
        <w:tblLook w:val="04A0" w:firstRow="1" w:lastRow="0" w:firstColumn="1" w:lastColumn="0" w:noHBand="0" w:noVBand="1"/>
      </w:tblPr>
      <w:tblGrid>
        <w:gridCol w:w="2596"/>
        <w:gridCol w:w="1250"/>
        <w:gridCol w:w="1250"/>
        <w:gridCol w:w="1250"/>
        <w:gridCol w:w="1250"/>
        <w:gridCol w:w="1250"/>
      </w:tblGrid>
      <w:tr w:rsidR="003453AD" w:rsidRPr="00920636" w14:paraId="4695C25D" w14:textId="77777777" w:rsidTr="003453AD">
        <w:trPr>
          <w:trHeight w:val="255"/>
        </w:trPr>
        <w:tc>
          <w:tcPr>
            <w:tcW w:w="2596" w:type="dxa"/>
            <w:tcBorders>
              <w:top w:val="single" w:sz="4" w:space="0" w:color="auto"/>
              <w:left w:val="single" w:sz="4" w:space="0" w:color="auto"/>
              <w:bottom w:val="single" w:sz="4" w:space="0" w:color="auto"/>
              <w:right w:val="single" w:sz="4" w:space="0" w:color="auto"/>
            </w:tcBorders>
            <w:noWrap/>
            <w:hideMark/>
          </w:tcPr>
          <w:p w14:paraId="7388A16D" w14:textId="77777777" w:rsidR="003453AD" w:rsidRPr="000F130C" w:rsidRDefault="003453AD" w:rsidP="003453AD">
            <w:pPr>
              <w:pStyle w:val="TableText"/>
              <w:ind w:left="49"/>
              <w:rPr>
                <w:b/>
                <w:lang w:eastAsia="en-AU"/>
              </w:rPr>
            </w:pPr>
            <w:r w:rsidRPr="000F130C">
              <w:rPr>
                <w:b/>
                <w:lang w:eastAsia="en-AU"/>
              </w:rPr>
              <w:t>Community</w:t>
            </w:r>
          </w:p>
        </w:tc>
        <w:tc>
          <w:tcPr>
            <w:tcW w:w="1250" w:type="dxa"/>
            <w:tcBorders>
              <w:top w:val="single" w:sz="4" w:space="0" w:color="auto"/>
              <w:left w:val="nil"/>
              <w:bottom w:val="single" w:sz="4" w:space="0" w:color="auto"/>
              <w:right w:val="single" w:sz="4" w:space="0" w:color="auto"/>
            </w:tcBorders>
          </w:tcPr>
          <w:p w14:paraId="5BA5BD72" w14:textId="7CD0EBF8" w:rsidR="003453AD" w:rsidRDefault="003453AD" w:rsidP="003453AD">
            <w:pPr>
              <w:pStyle w:val="TableText"/>
              <w:jc w:val="right"/>
              <w:rPr>
                <w:b/>
                <w:lang w:eastAsia="en-AU"/>
              </w:rPr>
            </w:pPr>
            <w:r>
              <w:rPr>
                <w:b/>
                <w:lang w:eastAsia="en-AU"/>
              </w:rPr>
              <w:t>Qtr 47</w:t>
            </w:r>
          </w:p>
        </w:tc>
        <w:tc>
          <w:tcPr>
            <w:tcW w:w="1250" w:type="dxa"/>
            <w:tcBorders>
              <w:top w:val="single" w:sz="4" w:space="0" w:color="auto"/>
              <w:left w:val="nil"/>
              <w:bottom w:val="single" w:sz="4" w:space="0" w:color="auto"/>
              <w:right w:val="single" w:sz="4" w:space="0" w:color="auto"/>
            </w:tcBorders>
          </w:tcPr>
          <w:p w14:paraId="00619928" w14:textId="7F09D1E4" w:rsidR="003453AD" w:rsidRDefault="003453AD" w:rsidP="003453AD">
            <w:pPr>
              <w:pStyle w:val="TableText"/>
              <w:jc w:val="right"/>
              <w:rPr>
                <w:b/>
                <w:lang w:eastAsia="en-AU"/>
              </w:rPr>
            </w:pPr>
            <w:r>
              <w:rPr>
                <w:b/>
                <w:lang w:eastAsia="en-AU"/>
              </w:rPr>
              <w:t>Qtr 48</w:t>
            </w:r>
          </w:p>
        </w:tc>
        <w:tc>
          <w:tcPr>
            <w:tcW w:w="1250" w:type="dxa"/>
            <w:tcBorders>
              <w:top w:val="single" w:sz="4" w:space="0" w:color="auto"/>
              <w:left w:val="nil"/>
              <w:bottom w:val="single" w:sz="4" w:space="0" w:color="auto"/>
              <w:right w:val="single" w:sz="4" w:space="0" w:color="auto"/>
            </w:tcBorders>
          </w:tcPr>
          <w:p w14:paraId="3B3D45BC" w14:textId="66FC8F04" w:rsidR="003453AD" w:rsidRDefault="003453AD" w:rsidP="003453AD">
            <w:pPr>
              <w:pStyle w:val="TableText"/>
              <w:jc w:val="right"/>
              <w:rPr>
                <w:b/>
                <w:lang w:eastAsia="en-AU"/>
              </w:rPr>
            </w:pPr>
            <w:r>
              <w:rPr>
                <w:b/>
                <w:lang w:eastAsia="en-AU"/>
              </w:rPr>
              <w:t>Qtr 49</w:t>
            </w:r>
          </w:p>
        </w:tc>
        <w:tc>
          <w:tcPr>
            <w:tcW w:w="1250" w:type="dxa"/>
            <w:tcBorders>
              <w:top w:val="single" w:sz="4" w:space="0" w:color="auto"/>
              <w:left w:val="nil"/>
              <w:bottom w:val="single" w:sz="4" w:space="0" w:color="auto"/>
              <w:right w:val="single" w:sz="4" w:space="0" w:color="auto"/>
            </w:tcBorders>
          </w:tcPr>
          <w:p w14:paraId="38A90B99" w14:textId="735BE0DA" w:rsidR="003453AD" w:rsidRDefault="003453AD" w:rsidP="003453AD">
            <w:pPr>
              <w:pStyle w:val="TableText"/>
              <w:jc w:val="right"/>
              <w:rPr>
                <w:b/>
                <w:lang w:eastAsia="en-AU"/>
              </w:rPr>
            </w:pPr>
            <w:r>
              <w:rPr>
                <w:b/>
                <w:lang w:eastAsia="en-AU"/>
              </w:rPr>
              <w:t>Qtr 50</w:t>
            </w:r>
          </w:p>
        </w:tc>
        <w:tc>
          <w:tcPr>
            <w:tcW w:w="1250" w:type="dxa"/>
            <w:tcBorders>
              <w:top w:val="single" w:sz="4" w:space="0" w:color="auto"/>
              <w:left w:val="nil"/>
              <w:bottom w:val="single" w:sz="4" w:space="0" w:color="auto"/>
              <w:right w:val="single" w:sz="4" w:space="0" w:color="auto"/>
            </w:tcBorders>
          </w:tcPr>
          <w:p w14:paraId="482ECDB0" w14:textId="60CC8EE1" w:rsidR="003453AD" w:rsidRDefault="003453AD" w:rsidP="003453AD">
            <w:pPr>
              <w:pStyle w:val="TableText"/>
              <w:jc w:val="right"/>
              <w:rPr>
                <w:b/>
                <w:lang w:eastAsia="en-AU"/>
              </w:rPr>
            </w:pPr>
            <w:r>
              <w:rPr>
                <w:b/>
                <w:lang w:eastAsia="en-AU"/>
              </w:rPr>
              <w:t>Qtr 51</w:t>
            </w:r>
          </w:p>
        </w:tc>
      </w:tr>
      <w:tr w:rsidR="003453AD" w:rsidRPr="00920636" w14:paraId="1C409842" w14:textId="77777777" w:rsidTr="003453AD">
        <w:trPr>
          <w:trHeight w:val="255"/>
        </w:trPr>
        <w:tc>
          <w:tcPr>
            <w:tcW w:w="2596" w:type="dxa"/>
            <w:tcBorders>
              <w:top w:val="nil"/>
              <w:left w:val="single" w:sz="4" w:space="0" w:color="auto"/>
              <w:bottom w:val="single" w:sz="4" w:space="0" w:color="auto"/>
              <w:right w:val="single" w:sz="4" w:space="0" w:color="auto"/>
            </w:tcBorders>
            <w:noWrap/>
          </w:tcPr>
          <w:p w14:paraId="7A4E3310" w14:textId="77777777" w:rsidR="003453AD" w:rsidRPr="00E72DFB" w:rsidRDefault="003453AD" w:rsidP="003453AD">
            <w:pPr>
              <w:pStyle w:val="TableText"/>
              <w:ind w:left="49"/>
              <w:rPr>
                <w:lang w:eastAsia="en-AU"/>
              </w:rPr>
            </w:pPr>
            <w:r w:rsidRPr="00E72DFB">
              <w:rPr>
                <w:lang w:eastAsia="en-AU"/>
              </w:rPr>
              <w:t>Corporate Governance</w:t>
            </w:r>
          </w:p>
        </w:tc>
        <w:tc>
          <w:tcPr>
            <w:tcW w:w="1250" w:type="dxa"/>
            <w:tcBorders>
              <w:top w:val="nil"/>
              <w:left w:val="nil"/>
              <w:bottom w:val="single" w:sz="4" w:space="0" w:color="auto"/>
              <w:right w:val="single" w:sz="4" w:space="0" w:color="auto"/>
            </w:tcBorders>
          </w:tcPr>
          <w:p w14:paraId="2509DF61" w14:textId="47BDE625" w:rsidR="003453AD" w:rsidRDefault="003453AD" w:rsidP="003453AD">
            <w:pPr>
              <w:pStyle w:val="TableText"/>
              <w:jc w:val="right"/>
              <w:rPr>
                <w:lang w:eastAsia="en-AU"/>
              </w:rPr>
            </w:pPr>
            <w:r>
              <w:rPr>
                <w:lang w:eastAsia="en-AU"/>
              </w:rPr>
              <w:t>$256K</w:t>
            </w:r>
          </w:p>
        </w:tc>
        <w:tc>
          <w:tcPr>
            <w:tcW w:w="1250" w:type="dxa"/>
            <w:tcBorders>
              <w:top w:val="nil"/>
              <w:left w:val="nil"/>
              <w:bottom w:val="single" w:sz="4" w:space="0" w:color="auto"/>
              <w:right w:val="single" w:sz="4" w:space="0" w:color="auto"/>
            </w:tcBorders>
            <w:vAlign w:val="center"/>
          </w:tcPr>
          <w:p w14:paraId="06CB5BBE" w14:textId="4AB4D976" w:rsidR="003453AD" w:rsidRDefault="003453AD" w:rsidP="003453AD">
            <w:pPr>
              <w:pStyle w:val="TableText"/>
              <w:jc w:val="right"/>
              <w:rPr>
                <w:lang w:eastAsia="en-AU"/>
              </w:rPr>
            </w:pPr>
            <w:r>
              <w:rPr>
                <w:lang w:eastAsia="en-AU"/>
              </w:rPr>
              <w:t>$</w:t>
            </w:r>
            <w:r w:rsidRPr="00EB7A8F">
              <w:rPr>
                <w:lang w:eastAsia="en-AU"/>
              </w:rPr>
              <w:t>264K</w:t>
            </w:r>
          </w:p>
        </w:tc>
        <w:tc>
          <w:tcPr>
            <w:tcW w:w="1250" w:type="dxa"/>
            <w:tcBorders>
              <w:top w:val="nil"/>
              <w:left w:val="nil"/>
              <w:bottom w:val="single" w:sz="4" w:space="0" w:color="auto"/>
              <w:right w:val="single" w:sz="4" w:space="0" w:color="auto"/>
            </w:tcBorders>
            <w:vAlign w:val="center"/>
          </w:tcPr>
          <w:p w14:paraId="428B30C9" w14:textId="0F696887" w:rsidR="003453AD" w:rsidRDefault="003453AD" w:rsidP="003453AD">
            <w:pPr>
              <w:pStyle w:val="TableText"/>
              <w:jc w:val="right"/>
              <w:rPr>
                <w:lang w:eastAsia="en-AU"/>
              </w:rPr>
            </w:pPr>
            <w:r>
              <w:rPr>
                <w:rFonts w:cs="Arial"/>
              </w:rPr>
              <w:t>$</w:t>
            </w:r>
            <w:r w:rsidRPr="0074086C">
              <w:rPr>
                <w:rFonts w:cs="Arial"/>
              </w:rPr>
              <w:t>260K</w:t>
            </w:r>
          </w:p>
        </w:tc>
        <w:tc>
          <w:tcPr>
            <w:tcW w:w="1250" w:type="dxa"/>
            <w:tcBorders>
              <w:top w:val="nil"/>
              <w:left w:val="nil"/>
              <w:bottom w:val="single" w:sz="4" w:space="0" w:color="auto"/>
              <w:right w:val="single" w:sz="4" w:space="0" w:color="auto"/>
            </w:tcBorders>
            <w:vAlign w:val="center"/>
          </w:tcPr>
          <w:p w14:paraId="70DB61AA" w14:textId="5B385208" w:rsidR="003453AD" w:rsidRDefault="003453AD" w:rsidP="003453AD">
            <w:pPr>
              <w:pStyle w:val="TableText"/>
              <w:jc w:val="right"/>
              <w:rPr>
                <w:lang w:eastAsia="en-AU"/>
              </w:rPr>
            </w:pPr>
            <w:r>
              <w:rPr>
                <w:rFonts w:cs="Arial"/>
              </w:rPr>
              <w:t>$</w:t>
            </w:r>
            <w:r w:rsidRPr="0074086C">
              <w:rPr>
                <w:rFonts w:cs="Arial"/>
              </w:rPr>
              <w:t>2</w:t>
            </w:r>
            <w:r>
              <w:rPr>
                <w:rFonts w:cs="Arial"/>
              </w:rPr>
              <w:t>75</w:t>
            </w:r>
            <w:r w:rsidRPr="0074086C">
              <w:rPr>
                <w:rFonts w:cs="Arial"/>
              </w:rPr>
              <w:t>K</w:t>
            </w:r>
          </w:p>
        </w:tc>
        <w:tc>
          <w:tcPr>
            <w:tcW w:w="1250" w:type="dxa"/>
            <w:tcBorders>
              <w:top w:val="nil"/>
              <w:left w:val="nil"/>
              <w:bottom w:val="single" w:sz="4" w:space="0" w:color="auto"/>
              <w:right w:val="single" w:sz="4" w:space="0" w:color="auto"/>
            </w:tcBorders>
            <w:vAlign w:val="center"/>
          </w:tcPr>
          <w:p w14:paraId="2B3E9E03" w14:textId="09FAD7A4" w:rsidR="003453AD" w:rsidRPr="0074086C" w:rsidRDefault="003453AD" w:rsidP="003453AD">
            <w:pPr>
              <w:pStyle w:val="TableText"/>
              <w:jc w:val="right"/>
              <w:rPr>
                <w:lang w:eastAsia="en-AU"/>
              </w:rPr>
            </w:pPr>
            <w:r>
              <w:rPr>
                <w:rFonts w:cs="Arial"/>
              </w:rPr>
              <w:t>$</w:t>
            </w:r>
            <w:r w:rsidRPr="0074086C">
              <w:rPr>
                <w:rFonts w:cs="Arial"/>
              </w:rPr>
              <w:t>2</w:t>
            </w:r>
            <w:r>
              <w:rPr>
                <w:rFonts w:cs="Arial"/>
              </w:rPr>
              <w:t>48</w:t>
            </w:r>
            <w:r w:rsidRPr="0074086C">
              <w:rPr>
                <w:rFonts w:cs="Arial"/>
              </w:rPr>
              <w:t>K</w:t>
            </w:r>
          </w:p>
        </w:tc>
      </w:tr>
      <w:tr w:rsidR="003453AD" w:rsidRPr="00920636" w14:paraId="5C4AABAC"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751DD42B" w14:textId="77777777" w:rsidR="003453AD" w:rsidRPr="00E72DFB" w:rsidRDefault="003453AD" w:rsidP="003453AD">
            <w:pPr>
              <w:pStyle w:val="TableText"/>
              <w:ind w:left="49"/>
              <w:rPr>
                <w:lang w:eastAsia="en-AU"/>
              </w:rPr>
            </w:pPr>
            <w:r w:rsidRPr="00E72DFB">
              <w:rPr>
                <w:lang w:eastAsia="en-AU"/>
              </w:rPr>
              <w:t>Conference Facilitation</w:t>
            </w:r>
          </w:p>
        </w:tc>
        <w:tc>
          <w:tcPr>
            <w:tcW w:w="1250" w:type="dxa"/>
            <w:tcBorders>
              <w:top w:val="nil"/>
              <w:left w:val="nil"/>
              <w:bottom w:val="single" w:sz="4" w:space="0" w:color="auto"/>
              <w:right w:val="single" w:sz="4" w:space="0" w:color="auto"/>
            </w:tcBorders>
          </w:tcPr>
          <w:p w14:paraId="14617EAB" w14:textId="6A7A24C4" w:rsidR="003453AD" w:rsidRDefault="003453AD" w:rsidP="003453AD">
            <w:pPr>
              <w:pStyle w:val="TableText"/>
              <w:jc w:val="right"/>
              <w:rPr>
                <w:lang w:eastAsia="en-AU"/>
              </w:rPr>
            </w:pPr>
            <w:r>
              <w:rPr>
                <w:lang w:eastAsia="en-AU"/>
              </w:rPr>
              <w:t>$187K</w:t>
            </w:r>
          </w:p>
        </w:tc>
        <w:tc>
          <w:tcPr>
            <w:tcW w:w="1250" w:type="dxa"/>
            <w:tcBorders>
              <w:top w:val="nil"/>
              <w:left w:val="nil"/>
              <w:bottom w:val="single" w:sz="4" w:space="0" w:color="auto"/>
              <w:right w:val="single" w:sz="4" w:space="0" w:color="auto"/>
            </w:tcBorders>
            <w:vAlign w:val="center"/>
          </w:tcPr>
          <w:p w14:paraId="7B452223" w14:textId="654917A2" w:rsidR="003453AD" w:rsidRDefault="003453AD" w:rsidP="003453AD">
            <w:pPr>
              <w:pStyle w:val="TableText"/>
              <w:jc w:val="right"/>
              <w:rPr>
                <w:lang w:eastAsia="en-AU"/>
              </w:rPr>
            </w:pPr>
            <w:r>
              <w:rPr>
                <w:lang w:eastAsia="en-AU"/>
              </w:rPr>
              <w:t>$</w:t>
            </w:r>
            <w:r w:rsidRPr="00EB7A8F">
              <w:rPr>
                <w:lang w:eastAsia="en-AU"/>
              </w:rPr>
              <w:t>309K</w:t>
            </w:r>
          </w:p>
        </w:tc>
        <w:tc>
          <w:tcPr>
            <w:tcW w:w="1250" w:type="dxa"/>
            <w:tcBorders>
              <w:top w:val="nil"/>
              <w:left w:val="nil"/>
              <w:bottom w:val="single" w:sz="4" w:space="0" w:color="auto"/>
              <w:right w:val="single" w:sz="4" w:space="0" w:color="auto"/>
            </w:tcBorders>
            <w:vAlign w:val="center"/>
          </w:tcPr>
          <w:p w14:paraId="263B8583" w14:textId="234E5E1C" w:rsidR="003453AD" w:rsidRDefault="003453AD" w:rsidP="003453AD">
            <w:pPr>
              <w:pStyle w:val="TableText"/>
              <w:jc w:val="right"/>
              <w:rPr>
                <w:lang w:eastAsia="en-AU"/>
              </w:rPr>
            </w:pPr>
            <w:r>
              <w:rPr>
                <w:rFonts w:cs="Arial"/>
              </w:rPr>
              <w:t>$</w:t>
            </w:r>
            <w:r w:rsidRPr="0074086C">
              <w:rPr>
                <w:rFonts w:cs="Arial"/>
              </w:rPr>
              <w:t>250K</w:t>
            </w:r>
          </w:p>
        </w:tc>
        <w:tc>
          <w:tcPr>
            <w:tcW w:w="1250" w:type="dxa"/>
            <w:tcBorders>
              <w:top w:val="nil"/>
              <w:left w:val="nil"/>
              <w:bottom w:val="single" w:sz="4" w:space="0" w:color="auto"/>
              <w:right w:val="single" w:sz="4" w:space="0" w:color="auto"/>
            </w:tcBorders>
            <w:vAlign w:val="center"/>
          </w:tcPr>
          <w:p w14:paraId="547DC28A" w14:textId="2873EE22" w:rsidR="003453AD" w:rsidRDefault="003453AD" w:rsidP="003453AD">
            <w:pPr>
              <w:pStyle w:val="TableText"/>
              <w:jc w:val="right"/>
              <w:rPr>
                <w:lang w:eastAsia="en-AU"/>
              </w:rPr>
            </w:pPr>
            <w:r>
              <w:rPr>
                <w:rFonts w:cs="Arial"/>
              </w:rPr>
              <w:t>$</w:t>
            </w:r>
            <w:r w:rsidRPr="0074086C">
              <w:rPr>
                <w:rFonts w:cs="Arial"/>
              </w:rPr>
              <w:t>2</w:t>
            </w:r>
            <w:r>
              <w:rPr>
                <w:rFonts w:cs="Arial"/>
              </w:rPr>
              <w:t>39</w:t>
            </w:r>
            <w:r w:rsidRPr="0074086C">
              <w:rPr>
                <w:rFonts w:cs="Arial"/>
              </w:rPr>
              <w:t>K</w:t>
            </w:r>
          </w:p>
        </w:tc>
        <w:tc>
          <w:tcPr>
            <w:tcW w:w="1250" w:type="dxa"/>
            <w:tcBorders>
              <w:top w:val="nil"/>
              <w:left w:val="nil"/>
              <w:bottom w:val="single" w:sz="4" w:space="0" w:color="auto"/>
              <w:right w:val="single" w:sz="4" w:space="0" w:color="auto"/>
            </w:tcBorders>
            <w:vAlign w:val="center"/>
          </w:tcPr>
          <w:p w14:paraId="779CFAB3" w14:textId="12EED239" w:rsidR="003453AD" w:rsidRPr="0074086C" w:rsidRDefault="003453AD" w:rsidP="003453AD">
            <w:pPr>
              <w:pStyle w:val="TableText"/>
              <w:jc w:val="right"/>
              <w:rPr>
                <w:lang w:eastAsia="en-AU"/>
              </w:rPr>
            </w:pPr>
            <w:r>
              <w:rPr>
                <w:rFonts w:cs="Arial"/>
              </w:rPr>
              <w:t>$</w:t>
            </w:r>
            <w:r w:rsidR="00790331">
              <w:rPr>
                <w:rFonts w:cs="Arial"/>
              </w:rPr>
              <w:t>308</w:t>
            </w:r>
            <w:r w:rsidRPr="0074086C">
              <w:rPr>
                <w:rFonts w:cs="Arial"/>
              </w:rPr>
              <w:t>K</w:t>
            </w:r>
          </w:p>
        </w:tc>
      </w:tr>
      <w:tr w:rsidR="003453AD" w:rsidRPr="00920636" w14:paraId="14729B92" w14:textId="77777777" w:rsidTr="003453AD">
        <w:trPr>
          <w:trHeight w:val="255"/>
        </w:trPr>
        <w:tc>
          <w:tcPr>
            <w:tcW w:w="2596" w:type="dxa"/>
            <w:tcBorders>
              <w:top w:val="nil"/>
              <w:left w:val="single" w:sz="4" w:space="0" w:color="auto"/>
              <w:bottom w:val="single" w:sz="4" w:space="0" w:color="auto"/>
              <w:right w:val="single" w:sz="4" w:space="0" w:color="auto"/>
            </w:tcBorders>
            <w:noWrap/>
            <w:hideMark/>
          </w:tcPr>
          <w:p w14:paraId="37A8CF0F" w14:textId="77777777" w:rsidR="003453AD" w:rsidRPr="000F130C" w:rsidRDefault="003453AD" w:rsidP="003453AD">
            <w:pPr>
              <w:pStyle w:val="TableText"/>
              <w:ind w:left="49"/>
              <w:rPr>
                <w:b/>
                <w:lang w:eastAsia="en-AU"/>
              </w:rPr>
            </w:pPr>
            <w:r w:rsidRPr="000F130C">
              <w:rPr>
                <w:b/>
                <w:lang w:eastAsia="en-AU"/>
              </w:rPr>
              <w:t>TOTAL</w:t>
            </w:r>
          </w:p>
        </w:tc>
        <w:tc>
          <w:tcPr>
            <w:tcW w:w="1250" w:type="dxa"/>
            <w:tcBorders>
              <w:top w:val="nil"/>
              <w:left w:val="nil"/>
              <w:bottom w:val="single" w:sz="4" w:space="0" w:color="auto"/>
              <w:right w:val="single" w:sz="4" w:space="0" w:color="auto"/>
            </w:tcBorders>
          </w:tcPr>
          <w:p w14:paraId="621C49AA" w14:textId="04190A4F" w:rsidR="003453AD" w:rsidRDefault="003453AD" w:rsidP="003453AD">
            <w:pPr>
              <w:pStyle w:val="TableText"/>
              <w:jc w:val="right"/>
              <w:rPr>
                <w:b/>
                <w:lang w:eastAsia="en-AU"/>
              </w:rPr>
            </w:pPr>
            <w:r>
              <w:rPr>
                <w:b/>
                <w:lang w:eastAsia="en-AU"/>
              </w:rPr>
              <w:t>$443K</w:t>
            </w:r>
          </w:p>
        </w:tc>
        <w:tc>
          <w:tcPr>
            <w:tcW w:w="1250" w:type="dxa"/>
            <w:tcBorders>
              <w:top w:val="nil"/>
              <w:left w:val="nil"/>
              <w:bottom w:val="single" w:sz="4" w:space="0" w:color="auto"/>
              <w:right w:val="single" w:sz="4" w:space="0" w:color="auto"/>
            </w:tcBorders>
            <w:vAlign w:val="center"/>
          </w:tcPr>
          <w:p w14:paraId="7242E914" w14:textId="3F4B7C9F" w:rsidR="003453AD" w:rsidRDefault="003453AD" w:rsidP="003453AD">
            <w:pPr>
              <w:pStyle w:val="TableText"/>
              <w:jc w:val="right"/>
              <w:rPr>
                <w:b/>
                <w:lang w:eastAsia="en-AU"/>
              </w:rPr>
            </w:pPr>
            <w:r>
              <w:rPr>
                <w:b/>
                <w:bCs/>
                <w:lang w:eastAsia="en-AU"/>
              </w:rPr>
              <w:t>$</w:t>
            </w:r>
            <w:r w:rsidRPr="00EB7A8F">
              <w:rPr>
                <w:b/>
                <w:bCs/>
                <w:lang w:eastAsia="en-AU"/>
              </w:rPr>
              <w:t>573</w:t>
            </w:r>
            <w:r>
              <w:rPr>
                <w:b/>
                <w:bCs/>
                <w:lang w:eastAsia="en-AU"/>
              </w:rPr>
              <w:t>K</w:t>
            </w:r>
          </w:p>
        </w:tc>
        <w:tc>
          <w:tcPr>
            <w:tcW w:w="1250" w:type="dxa"/>
            <w:tcBorders>
              <w:top w:val="nil"/>
              <w:left w:val="nil"/>
              <w:bottom w:val="single" w:sz="4" w:space="0" w:color="auto"/>
              <w:right w:val="single" w:sz="4" w:space="0" w:color="auto"/>
            </w:tcBorders>
            <w:vAlign w:val="center"/>
          </w:tcPr>
          <w:p w14:paraId="0BF49ACE" w14:textId="57CA5393" w:rsidR="003453AD" w:rsidRDefault="003453AD" w:rsidP="003453AD">
            <w:pPr>
              <w:pStyle w:val="TableText"/>
              <w:jc w:val="right"/>
              <w:rPr>
                <w:b/>
                <w:lang w:eastAsia="en-AU"/>
              </w:rPr>
            </w:pPr>
            <w:r>
              <w:rPr>
                <w:rFonts w:cs="Arial"/>
                <w:b/>
                <w:bCs/>
              </w:rPr>
              <w:t>$</w:t>
            </w:r>
            <w:r w:rsidRPr="0074086C">
              <w:rPr>
                <w:rFonts w:cs="Arial"/>
                <w:b/>
                <w:bCs/>
              </w:rPr>
              <w:t>510</w:t>
            </w:r>
            <w:r>
              <w:rPr>
                <w:rFonts w:cs="Arial"/>
                <w:b/>
                <w:bCs/>
              </w:rPr>
              <w:t>K</w:t>
            </w:r>
          </w:p>
        </w:tc>
        <w:tc>
          <w:tcPr>
            <w:tcW w:w="1250" w:type="dxa"/>
            <w:tcBorders>
              <w:top w:val="nil"/>
              <w:left w:val="nil"/>
              <w:bottom w:val="single" w:sz="4" w:space="0" w:color="auto"/>
              <w:right w:val="single" w:sz="4" w:space="0" w:color="auto"/>
            </w:tcBorders>
            <w:vAlign w:val="center"/>
          </w:tcPr>
          <w:p w14:paraId="41E39219" w14:textId="626EB479" w:rsidR="003453AD" w:rsidRPr="00EB7A8F" w:rsidRDefault="003453AD" w:rsidP="003453AD">
            <w:pPr>
              <w:pStyle w:val="TableText"/>
              <w:jc w:val="right"/>
              <w:rPr>
                <w:b/>
                <w:bCs/>
                <w:lang w:eastAsia="en-AU"/>
              </w:rPr>
            </w:pPr>
            <w:r>
              <w:rPr>
                <w:rFonts w:cs="Arial"/>
                <w:b/>
                <w:bCs/>
              </w:rPr>
              <w:t>$</w:t>
            </w:r>
            <w:r w:rsidRPr="0074086C">
              <w:rPr>
                <w:rFonts w:cs="Arial"/>
                <w:b/>
                <w:bCs/>
              </w:rPr>
              <w:t>51</w:t>
            </w:r>
            <w:r>
              <w:rPr>
                <w:rFonts w:cs="Arial"/>
                <w:b/>
                <w:bCs/>
              </w:rPr>
              <w:t>4K</w:t>
            </w:r>
          </w:p>
        </w:tc>
        <w:tc>
          <w:tcPr>
            <w:tcW w:w="1250" w:type="dxa"/>
            <w:tcBorders>
              <w:top w:val="nil"/>
              <w:left w:val="nil"/>
              <w:bottom w:val="single" w:sz="4" w:space="0" w:color="auto"/>
              <w:right w:val="single" w:sz="4" w:space="0" w:color="auto"/>
            </w:tcBorders>
            <w:vAlign w:val="center"/>
          </w:tcPr>
          <w:p w14:paraId="5268AAF0" w14:textId="2A4A52AD" w:rsidR="003453AD" w:rsidRPr="0074086C" w:rsidRDefault="003453AD" w:rsidP="003453AD">
            <w:pPr>
              <w:pStyle w:val="TableText"/>
              <w:jc w:val="right"/>
              <w:rPr>
                <w:b/>
                <w:bCs/>
                <w:lang w:eastAsia="en-AU"/>
              </w:rPr>
            </w:pPr>
            <w:r>
              <w:rPr>
                <w:rFonts w:cs="Arial"/>
                <w:b/>
                <w:bCs/>
              </w:rPr>
              <w:t>$</w:t>
            </w:r>
            <w:r w:rsidRPr="0074086C">
              <w:rPr>
                <w:rFonts w:cs="Arial"/>
                <w:b/>
                <w:bCs/>
              </w:rPr>
              <w:t>5</w:t>
            </w:r>
            <w:r w:rsidR="00790331">
              <w:rPr>
                <w:rFonts w:cs="Arial"/>
                <w:b/>
                <w:bCs/>
              </w:rPr>
              <w:t>56</w:t>
            </w:r>
            <w:r>
              <w:rPr>
                <w:rFonts w:cs="Arial"/>
                <w:b/>
                <w:bCs/>
              </w:rPr>
              <w:t>K</w:t>
            </w:r>
          </w:p>
        </w:tc>
      </w:tr>
    </w:tbl>
    <w:p w14:paraId="0BC6F67A" w14:textId="77777777" w:rsidR="003453AD" w:rsidRDefault="003453AD" w:rsidP="003453AD">
      <w:pPr>
        <w:ind w:left="-142" w:right="-425"/>
        <w:jc w:val="both"/>
        <w:rPr>
          <w:rFonts w:cs="Arial"/>
        </w:rPr>
      </w:pPr>
    </w:p>
    <w:p w14:paraId="0CFC51BD" w14:textId="75E05E5A" w:rsidR="00D017C0" w:rsidRDefault="00D017C0">
      <w:pPr>
        <w:spacing w:line="240" w:lineRule="auto"/>
        <w:rPr>
          <w:rFonts w:cs="Arial"/>
          <w:sz w:val="16"/>
          <w:szCs w:val="16"/>
        </w:rPr>
      </w:pPr>
    </w:p>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1816"/>
        <w:gridCol w:w="1817"/>
      </w:tblGrid>
      <w:tr w:rsidR="00D017C0" w:rsidRPr="0056129C" w14:paraId="23D22753" w14:textId="77777777" w:rsidTr="00E37E96">
        <w:trPr>
          <w:trHeight w:val="279"/>
          <w:tblHeader/>
        </w:trPr>
        <w:tc>
          <w:tcPr>
            <w:tcW w:w="1526" w:type="dxa"/>
            <w:tcBorders>
              <w:top w:val="nil"/>
              <w:left w:val="nil"/>
              <w:bottom w:val="nil"/>
              <w:right w:val="nil"/>
            </w:tcBorders>
            <w:shd w:val="clear" w:color="auto" w:fill="auto"/>
            <w:vAlign w:val="center"/>
          </w:tcPr>
          <w:p w14:paraId="7F6BCF4B" w14:textId="77777777" w:rsidR="00D017C0" w:rsidRPr="00E65AEC" w:rsidRDefault="00D017C0" w:rsidP="00E37E96">
            <w:pPr>
              <w:ind w:right="-100"/>
              <w:rPr>
                <w:rFonts w:cs="Arial"/>
                <w:b/>
              </w:rPr>
            </w:pPr>
            <w:r>
              <w:rPr>
                <w:rFonts w:cs="Arial"/>
                <w:b/>
              </w:rPr>
              <w:t xml:space="preserve">APPENDIX </w:t>
            </w:r>
            <w:r w:rsidRPr="00E65AEC">
              <w:rPr>
                <w:rFonts w:cs="Arial"/>
                <w:b/>
              </w:rPr>
              <w:t>A</w:t>
            </w:r>
          </w:p>
        </w:tc>
        <w:tc>
          <w:tcPr>
            <w:tcW w:w="5699" w:type="dxa"/>
            <w:gridSpan w:val="5"/>
            <w:tcBorders>
              <w:top w:val="nil"/>
              <w:left w:val="nil"/>
              <w:bottom w:val="nil"/>
              <w:right w:val="nil"/>
            </w:tcBorders>
            <w:shd w:val="clear" w:color="auto" w:fill="auto"/>
            <w:vAlign w:val="center"/>
          </w:tcPr>
          <w:p w14:paraId="65FC77CA" w14:textId="77777777" w:rsidR="00D017C0" w:rsidRDefault="00D017C0" w:rsidP="00E37E96">
            <w:pPr>
              <w:tabs>
                <w:tab w:val="left" w:pos="6272"/>
              </w:tabs>
              <w:jc w:val="center"/>
              <w:rPr>
                <w:rFonts w:ascii="Arial" w:hAnsi="Arial" w:cs="Arial"/>
                <w:b/>
                <w:bCs/>
                <w:noProof/>
                <w:lang w:val="en-US"/>
              </w:rPr>
            </w:pPr>
          </w:p>
        </w:tc>
        <w:tc>
          <w:tcPr>
            <w:tcW w:w="3633" w:type="dxa"/>
            <w:gridSpan w:val="2"/>
            <w:tcBorders>
              <w:top w:val="nil"/>
              <w:left w:val="nil"/>
              <w:bottom w:val="nil"/>
              <w:right w:val="nil"/>
            </w:tcBorders>
            <w:shd w:val="clear" w:color="auto" w:fill="auto"/>
            <w:vAlign w:val="center"/>
          </w:tcPr>
          <w:p w14:paraId="218C70DA" w14:textId="77777777" w:rsidR="00D017C0" w:rsidRPr="00B22AF8" w:rsidRDefault="00D017C0" w:rsidP="00E37E96">
            <w:pPr>
              <w:jc w:val="right"/>
              <w:rPr>
                <w:noProof/>
                <w:lang w:eastAsia="en-AU"/>
              </w:rPr>
            </w:pPr>
          </w:p>
        </w:tc>
      </w:tr>
      <w:tr w:rsidR="00D017C0" w:rsidRPr="0056129C" w14:paraId="344929DC" w14:textId="77777777" w:rsidTr="00E37E96">
        <w:trPr>
          <w:trHeight w:val="1140"/>
          <w:tblHeader/>
        </w:trPr>
        <w:tc>
          <w:tcPr>
            <w:tcW w:w="1526" w:type="dxa"/>
            <w:tcBorders>
              <w:top w:val="nil"/>
              <w:left w:val="nil"/>
              <w:bottom w:val="single" w:sz="18" w:space="0" w:color="auto"/>
              <w:right w:val="nil"/>
            </w:tcBorders>
            <w:shd w:val="clear" w:color="auto" w:fill="auto"/>
            <w:vAlign w:val="center"/>
          </w:tcPr>
          <w:p w14:paraId="503B639B" w14:textId="77777777" w:rsidR="00D017C0" w:rsidRPr="0056129C" w:rsidRDefault="00D017C0" w:rsidP="00E37E96">
            <w:pPr>
              <w:ind w:right="-100"/>
              <w:rPr>
                <w:rFonts w:ascii="Arial Narrow" w:hAnsi="Arial Narrow" w:cs="Arial"/>
                <w:b/>
                <w:bCs/>
              </w:rPr>
            </w:pPr>
            <w:r w:rsidRPr="00B9709A">
              <w:rPr>
                <w:rFonts w:cs="Arial"/>
              </w:rPr>
              <w:br w:type="page"/>
            </w:r>
            <w:r>
              <w:rPr>
                <w:noProof/>
                <w:lang w:eastAsia="en-AU"/>
              </w:rPr>
              <w:drawing>
                <wp:inline distT="0" distB="0" distL="0" distR="0" wp14:anchorId="04C8A912" wp14:editId="210AC1F3">
                  <wp:extent cx="600075" cy="752475"/>
                  <wp:effectExtent l="0" t="0" r="9525" b="9525"/>
                  <wp:docPr id="7" name="Picture 2" descr="FR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C Logo_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c>
        <w:tc>
          <w:tcPr>
            <w:tcW w:w="7515" w:type="dxa"/>
            <w:gridSpan w:val="6"/>
            <w:tcBorders>
              <w:top w:val="nil"/>
              <w:left w:val="nil"/>
              <w:bottom w:val="single" w:sz="18" w:space="0" w:color="auto"/>
              <w:right w:val="nil"/>
            </w:tcBorders>
            <w:shd w:val="clear" w:color="auto" w:fill="auto"/>
            <w:vAlign w:val="center"/>
          </w:tcPr>
          <w:p w14:paraId="116923F4" w14:textId="11641C9A"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SITTING</w:t>
            </w:r>
            <w:r>
              <w:rPr>
                <w:rFonts w:ascii="Arial" w:hAnsi="Arial" w:cs="Arial"/>
                <w:b/>
                <w:bCs/>
                <w:noProof/>
                <w:lang w:val="en-US"/>
              </w:rPr>
              <w:t>S</w:t>
            </w:r>
            <w:r w:rsidRPr="00BC00C8">
              <w:rPr>
                <w:rFonts w:ascii="Arial" w:hAnsi="Arial" w:cs="Arial"/>
                <w:b/>
                <w:bCs/>
                <w:noProof/>
                <w:lang w:val="en-US"/>
              </w:rPr>
              <w:t xml:space="preserve"> CALENDAR </w:t>
            </w:r>
            <w:r>
              <w:rPr>
                <w:rFonts w:ascii="Arial" w:hAnsi="Arial" w:cs="Arial"/>
                <w:b/>
                <w:bCs/>
                <w:noProof/>
                <w:lang w:val="en-US"/>
              </w:rPr>
              <w:t>20</w:t>
            </w:r>
            <w:r w:rsidR="001A5CE8">
              <w:rPr>
                <w:rFonts w:ascii="Arial" w:hAnsi="Arial" w:cs="Arial"/>
                <w:b/>
                <w:bCs/>
                <w:noProof/>
                <w:lang w:val="en-US"/>
              </w:rPr>
              <w:t>20</w:t>
            </w:r>
          </w:p>
          <w:p w14:paraId="0994F7AC" w14:textId="77777777" w:rsidR="00D017C0" w:rsidRPr="00BC00C8" w:rsidRDefault="00D017C0" w:rsidP="00E37E96">
            <w:pPr>
              <w:tabs>
                <w:tab w:val="left" w:pos="6272"/>
              </w:tabs>
              <w:jc w:val="center"/>
              <w:rPr>
                <w:rFonts w:ascii="Arial" w:hAnsi="Arial" w:cs="Arial"/>
                <w:b/>
                <w:bCs/>
                <w:noProof/>
                <w:lang w:val="en-US"/>
              </w:rPr>
            </w:pPr>
            <w:r w:rsidRPr="00BC00C8">
              <w:rPr>
                <w:rFonts w:ascii="Arial" w:hAnsi="Arial" w:cs="Arial"/>
                <w:b/>
                <w:bCs/>
                <w:noProof/>
                <w:lang w:val="en-US"/>
              </w:rPr>
              <w:t>FAMILY RESPONSIBILITIES COMMISSION</w:t>
            </w:r>
          </w:p>
          <w:p w14:paraId="32EE4585" w14:textId="3E008538" w:rsidR="00D017C0" w:rsidRPr="0056129C" w:rsidRDefault="00AD1CD5" w:rsidP="00E37E96">
            <w:pPr>
              <w:jc w:val="center"/>
              <w:rPr>
                <w:rFonts w:ascii="Arial Narrow" w:hAnsi="Arial Narrow" w:cs="Arial"/>
                <w:b/>
                <w:bCs/>
              </w:rPr>
            </w:pPr>
            <w:r>
              <w:rPr>
                <w:rFonts w:ascii="Arial" w:hAnsi="Arial" w:cs="Arial"/>
                <w:b/>
                <w:bCs/>
                <w:noProof/>
                <w:lang w:val="en-US"/>
              </w:rPr>
              <w:t>1 January 2021 to 30 June 2021</w:t>
            </w:r>
          </w:p>
        </w:tc>
        <w:tc>
          <w:tcPr>
            <w:tcW w:w="1817" w:type="dxa"/>
            <w:tcBorders>
              <w:top w:val="nil"/>
              <w:left w:val="nil"/>
              <w:bottom w:val="single" w:sz="18" w:space="0" w:color="auto"/>
              <w:right w:val="nil"/>
            </w:tcBorders>
            <w:shd w:val="clear" w:color="auto" w:fill="auto"/>
            <w:vAlign w:val="center"/>
          </w:tcPr>
          <w:p w14:paraId="79EDD674" w14:textId="77777777" w:rsidR="00D017C0" w:rsidRPr="0056129C" w:rsidRDefault="00D017C0" w:rsidP="00E37E96">
            <w:pPr>
              <w:jc w:val="right"/>
              <w:rPr>
                <w:rFonts w:ascii="Arial Narrow" w:hAnsi="Arial Narrow" w:cs="Arial"/>
                <w:b/>
                <w:bCs/>
              </w:rPr>
            </w:pPr>
            <w:r>
              <w:rPr>
                <w:noProof/>
                <w:lang w:eastAsia="en-AU"/>
              </w:rPr>
              <w:drawing>
                <wp:inline distT="0" distB="0" distL="0" distR="0" wp14:anchorId="34BF59C6" wp14:editId="2BE3DA3F">
                  <wp:extent cx="600075" cy="752475"/>
                  <wp:effectExtent l="0" t="0" r="9525" b="9525"/>
                  <wp:docPr id="9" name="Picture 2" descr="FRC 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C Logo_colou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752475"/>
                          </a:xfrm>
                          <a:prstGeom prst="rect">
                            <a:avLst/>
                          </a:prstGeom>
                          <a:noFill/>
                          <a:ln>
                            <a:noFill/>
                          </a:ln>
                        </pic:spPr>
                      </pic:pic>
                    </a:graphicData>
                  </a:graphic>
                </wp:inline>
              </w:drawing>
            </w:r>
          </w:p>
        </w:tc>
      </w:tr>
      <w:tr w:rsidR="00D017C0" w:rsidRPr="00BC2C5D" w14:paraId="2D8D131F" w14:textId="77777777" w:rsidTr="002B2062">
        <w:trPr>
          <w:trHeight w:val="567"/>
          <w:tblHeader/>
        </w:trPr>
        <w:tc>
          <w:tcPr>
            <w:tcW w:w="1526" w:type="dxa"/>
            <w:tcBorders>
              <w:top w:val="single" w:sz="18" w:space="0" w:color="auto"/>
              <w:left w:val="single" w:sz="18" w:space="0" w:color="auto"/>
              <w:bottom w:val="single" w:sz="18" w:space="0" w:color="auto"/>
              <w:right w:val="single" w:sz="18" w:space="0" w:color="C0C0C0"/>
            </w:tcBorders>
            <w:shd w:val="clear" w:color="auto" w:fill="D9D9D9"/>
            <w:vAlign w:val="center"/>
          </w:tcPr>
          <w:p w14:paraId="75D7B15D" w14:textId="77777777" w:rsidR="00D017C0" w:rsidRPr="00A634FA" w:rsidRDefault="00D017C0" w:rsidP="00E37E96">
            <w:pPr>
              <w:ind w:right="-100"/>
              <w:jc w:val="center"/>
              <w:rPr>
                <w:rFonts w:ascii="Arial Narrow" w:hAnsi="Arial Narrow" w:cs="Arial"/>
                <w:b/>
                <w:bCs/>
                <w:sz w:val="16"/>
                <w:szCs w:val="16"/>
              </w:rPr>
            </w:pPr>
            <w:r w:rsidRPr="00A634FA">
              <w:rPr>
                <w:rFonts w:ascii="Arial Narrow" w:hAnsi="Arial Narrow" w:cs="Arial"/>
                <w:b/>
                <w:bCs/>
                <w:sz w:val="16"/>
                <w:szCs w:val="16"/>
              </w:rPr>
              <w:t>Week Beginning</w:t>
            </w:r>
          </w:p>
        </w:tc>
        <w:tc>
          <w:tcPr>
            <w:tcW w:w="1051"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6EBC31D2"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auto"/>
              <w:right w:val="single" w:sz="18" w:space="0" w:color="BFBFBF"/>
            </w:tcBorders>
            <w:shd w:val="clear" w:color="auto" w:fill="D9D9D9"/>
            <w:vAlign w:val="center"/>
          </w:tcPr>
          <w:p w14:paraId="44D03B00"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auto"/>
              <w:right w:val="single" w:sz="18" w:space="0" w:color="C0C0C0"/>
            </w:tcBorders>
            <w:shd w:val="clear" w:color="auto" w:fill="D9D9D9"/>
            <w:vAlign w:val="center"/>
          </w:tcPr>
          <w:p w14:paraId="037456A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auto"/>
              <w:right w:val="single" w:sz="18" w:space="0" w:color="C0C0C0"/>
            </w:tcBorders>
            <w:shd w:val="clear" w:color="auto" w:fill="D9D9D9"/>
            <w:vAlign w:val="center"/>
          </w:tcPr>
          <w:p w14:paraId="212C19F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auto"/>
              <w:right w:val="single" w:sz="18" w:space="0" w:color="auto"/>
            </w:tcBorders>
            <w:shd w:val="clear" w:color="auto" w:fill="D9D9D9"/>
            <w:vAlign w:val="center"/>
          </w:tcPr>
          <w:p w14:paraId="33ED9491"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Friday</w:t>
            </w:r>
          </w:p>
        </w:tc>
        <w:tc>
          <w:tcPr>
            <w:tcW w:w="3633" w:type="dxa"/>
            <w:gridSpan w:val="2"/>
            <w:tcBorders>
              <w:top w:val="single" w:sz="18" w:space="0" w:color="auto"/>
              <w:left w:val="single" w:sz="18" w:space="0" w:color="auto"/>
              <w:bottom w:val="single" w:sz="18" w:space="0" w:color="auto"/>
              <w:right w:val="single" w:sz="18" w:space="0" w:color="auto"/>
            </w:tcBorders>
            <w:shd w:val="clear" w:color="auto" w:fill="D9D9D9"/>
            <w:vAlign w:val="center"/>
          </w:tcPr>
          <w:p w14:paraId="3C69451C" w14:textId="77777777" w:rsidR="00D017C0" w:rsidRPr="00A634FA" w:rsidRDefault="00D017C0" w:rsidP="00E37E96">
            <w:pPr>
              <w:jc w:val="center"/>
              <w:rPr>
                <w:rFonts w:ascii="Arial Narrow" w:hAnsi="Arial Narrow" w:cs="Arial"/>
                <w:b/>
                <w:bCs/>
                <w:sz w:val="16"/>
                <w:szCs w:val="16"/>
              </w:rPr>
            </w:pPr>
            <w:r w:rsidRPr="00A634FA">
              <w:rPr>
                <w:rFonts w:ascii="Arial Narrow" w:hAnsi="Arial Narrow" w:cs="Arial"/>
                <w:b/>
                <w:bCs/>
                <w:sz w:val="16"/>
                <w:szCs w:val="16"/>
              </w:rPr>
              <w:t>Other</w:t>
            </w:r>
          </w:p>
        </w:tc>
      </w:tr>
      <w:tr w:rsidR="00EB0D94" w:rsidRPr="00BC2C5D" w14:paraId="137E730A" w14:textId="77777777" w:rsidTr="002B2062">
        <w:trPr>
          <w:trHeight w:val="567"/>
        </w:trPr>
        <w:tc>
          <w:tcPr>
            <w:tcW w:w="1526" w:type="dxa"/>
            <w:tcBorders>
              <w:top w:val="single" w:sz="18" w:space="0" w:color="C0C0C0"/>
              <w:left w:val="single" w:sz="18" w:space="0" w:color="auto"/>
              <w:bottom w:val="single" w:sz="18" w:space="0" w:color="C0C0C0"/>
              <w:right w:val="single" w:sz="18" w:space="0" w:color="C0C0C0"/>
            </w:tcBorders>
            <w:shd w:val="clear" w:color="auto" w:fill="auto"/>
            <w:vAlign w:val="center"/>
          </w:tcPr>
          <w:p w14:paraId="644AD876" w14:textId="4CB3A2B0" w:rsidR="00EB0D94" w:rsidRPr="00A634FA" w:rsidRDefault="00F10DE3" w:rsidP="00EB0D94">
            <w:pPr>
              <w:jc w:val="center"/>
              <w:rPr>
                <w:rFonts w:ascii="Arial Narrow" w:hAnsi="Arial Narrow" w:cs="Arial"/>
                <w:sz w:val="16"/>
                <w:szCs w:val="16"/>
              </w:rPr>
            </w:pPr>
            <w:r>
              <w:rPr>
                <w:rFonts w:ascii="Arial Narrow" w:hAnsi="Arial Narrow" w:cs="Arial"/>
                <w:sz w:val="16"/>
                <w:szCs w:val="16"/>
              </w:rPr>
              <w:t>4 January</w:t>
            </w:r>
          </w:p>
        </w:tc>
        <w:tc>
          <w:tcPr>
            <w:tcW w:w="1051"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65F0521"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BFBFBF"/>
            </w:tcBorders>
            <w:shd w:val="clear" w:color="auto" w:fill="D9D9D9"/>
            <w:vAlign w:val="center"/>
          </w:tcPr>
          <w:p w14:paraId="265489CC"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C0C0C0"/>
              <w:right w:val="single" w:sz="18" w:space="0" w:color="C0C0C0"/>
            </w:tcBorders>
            <w:shd w:val="clear" w:color="auto" w:fill="D9D9D9"/>
            <w:vAlign w:val="center"/>
          </w:tcPr>
          <w:p w14:paraId="1437238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C0C0C0"/>
            </w:tcBorders>
            <w:shd w:val="clear" w:color="auto" w:fill="D9D9D9"/>
            <w:vAlign w:val="center"/>
          </w:tcPr>
          <w:p w14:paraId="225B231A" w14:textId="77777777" w:rsidR="00EB0D94" w:rsidRPr="00A634FA"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bottom w:val="single" w:sz="18" w:space="0" w:color="C0C0C0"/>
              <w:right w:val="single" w:sz="18" w:space="0" w:color="auto"/>
            </w:tcBorders>
            <w:shd w:val="clear" w:color="auto" w:fill="D9D9D9"/>
            <w:vAlign w:val="center"/>
          </w:tcPr>
          <w:p w14:paraId="1D5E583E" w14:textId="77777777" w:rsidR="00EB0D94" w:rsidRPr="00A634FA"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bottom w:val="single" w:sz="18" w:space="0" w:color="C0C0C0"/>
              <w:right w:val="single" w:sz="18" w:space="0" w:color="auto"/>
            </w:tcBorders>
            <w:shd w:val="clear" w:color="auto" w:fill="D9D9D9"/>
            <w:vAlign w:val="center"/>
          </w:tcPr>
          <w:p w14:paraId="476BF40D" w14:textId="0CA05DD5" w:rsidR="00EB0D94" w:rsidRPr="008805E5" w:rsidRDefault="00EB0D94" w:rsidP="00EB0D94">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EB0D94" w:rsidRPr="00BC2C5D" w14:paraId="7C66C142" w14:textId="77777777" w:rsidTr="005C3C04">
        <w:trPr>
          <w:trHeight w:val="567"/>
        </w:trPr>
        <w:tc>
          <w:tcPr>
            <w:tcW w:w="1526" w:type="dxa"/>
            <w:tcBorders>
              <w:top w:val="single" w:sz="18" w:space="0" w:color="C0C0C0"/>
              <w:left w:val="single" w:sz="18" w:space="0" w:color="auto"/>
              <w:right w:val="single" w:sz="18" w:space="0" w:color="C0C0C0"/>
            </w:tcBorders>
            <w:shd w:val="clear" w:color="auto" w:fill="auto"/>
            <w:vAlign w:val="center"/>
          </w:tcPr>
          <w:p w14:paraId="750FF1B7" w14:textId="3A2384F5" w:rsidR="00EB0D94" w:rsidRPr="00A634FA" w:rsidRDefault="00EB0D94" w:rsidP="00EB0D94">
            <w:pPr>
              <w:jc w:val="center"/>
              <w:rPr>
                <w:rFonts w:ascii="Arial Narrow" w:hAnsi="Arial Narrow" w:cs="Arial"/>
                <w:sz w:val="16"/>
                <w:szCs w:val="16"/>
              </w:rPr>
            </w:pPr>
            <w:r w:rsidRPr="00EB0D94">
              <w:rPr>
                <w:rFonts w:ascii="Arial Narrow" w:hAnsi="Arial Narrow" w:cs="Arial"/>
                <w:sz w:val="16"/>
                <w:szCs w:val="16"/>
              </w:rPr>
              <w:t>1</w:t>
            </w:r>
            <w:r w:rsidR="00F10DE3">
              <w:rPr>
                <w:rFonts w:ascii="Arial Narrow" w:hAnsi="Arial Narrow" w:cs="Arial"/>
                <w:sz w:val="16"/>
                <w:szCs w:val="16"/>
              </w:rPr>
              <w:t>1 January</w:t>
            </w:r>
          </w:p>
        </w:tc>
        <w:tc>
          <w:tcPr>
            <w:tcW w:w="1051" w:type="dxa"/>
            <w:tcBorders>
              <w:top w:val="single" w:sz="18" w:space="0" w:color="C0C0C0"/>
              <w:left w:val="single" w:sz="18" w:space="0" w:color="C0C0C0"/>
              <w:right w:val="single" w:sz="18" w:space="0" w:color="C0C0C0"/>
            </w:tcBorders>
            <w:shd w:val="clear" w:color="auto" w:fill="D9D9D9"/>
            <w:vAlign w:val="center"/>
          </w:tcPr>
          <w:p w14:paraId="7FB8E453"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731C4540"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BFBFBF"/>
              <w:bottom w:val="single" w:sz="18" w:space="0" w:color="BFBFBF"/>
              <w:right w:val="single" w:sz="18" w:space="0" w:color="C0C0C0"/>
            </w:tcBorders>
            <w:shd w:val="clear" w:color="auto" w:fill="D9D9D9"/>
            <w:vAlign w:val="center"/>
          </w:tcPr>
          <w:p w14:paraId="1E99A741"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07B23DF6" w14:textId="77777777" w:rsidR="00EB0D94" w:rsidRPr="004E471D" w:rsidRDefault="00EB0D94"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5BFFB592" w14:textId="2A85C949" w:rsidR="00EB0D94" w:rsidRPr="007B3063" w:rsidRDefault="00EB0D94" w:rsidP="00EB0D94">
            <w:pPr>
              <w:jc w:val="center"/>
              <w:rPr>
                <w:rFonts w:ascii="Arial Narrow" w:hAnsi="Arial Narrow" w:cs="Arial"/>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304C5BB3" w14:textId="4BAABC37" w:rsidR="00EB0D94" w:rsidRPr="008805E5" w:rsidRDefault="008805E5" w:rsidP="00EB0D94">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C45F66" w:rsidRPr="00BC2C5D" w14:paraId="5BA53CBD" w14:textId="77777777" w:rsidTr="00BE7187">
        <w:trPr>
          <w:trHeight w:val="615"/>
        </w:trPr>
        <w:tc>
          <w:tcPr>
            <w:tcW w:w="1526" w:type="dxa"/>
            <w:tcBorders>
              <w:top w:val="single" w:sz="18" w:space="0" w:color="BFBFBF"/>
              <w:left w:val="single" w:sz="18" w:space="0" w:color="auto"/>
              <w:right w:val="single" w:sz="18" w:space="0" w:color="C0C0C0"/>
            </w:tcBorders>
            <w:shd w:val="clear" w:color="auto" w:fill="auto"/>
            <w:vAlign w:val="center"/>
          </w:tcPr>
          <w:p w14:paraId="0D10FC03" w14:textId="5CD6393E" w:rsidR="00C45F66" w:rsidRPr="00A634FA" w:rsidRDefault="00C45F66" w:rsidP="00EB0D94">
            <w:pPr>
              <w:jc w:val="center"/>
              <w:rPr>
                <w:rFonts w:ascii="Arial Narrow" w:hAnsi="Arial Narrow" w:cs="Arial"/>
                <w:sz w:val="16"/>
                <w:szCs w:val="16"/>
              </w:rPr>
            </w:pPr>
            <w:r>
              <w:rPr>
                <w:rFonts w:ascii="Arial Narrow" w:hAnsi="Arial Narrow" w:cs="Arial"/>
                <w:sz w:val="16"/>
                <w:szCs w:val="16"/>
              </w:rPr>
              <w:t>18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5FA0BC74" w14:textId="24A35D13" w:rsidR="00C45F66" w:rsidRPr="00F10DE3" w:rsidRDefault="00C45F66" w:rsidP="00EB0D94">
            <w:pPr>
              <w:jc w:val="center"/>
              <w:rPr>
                <w:rFonts w:ascii="Arial Narrow" w:hAnsi="Arial Narrow" w:cs="Arial"/>
                <w:sz w:val="16"/>
                <w:szCs w:val="16"/>
              </w:rPr>
            </w:pPr>
          </w:p>
        </w:tc>
        <w:tc>
          <w:tcPr>
            <w:tcW w:w="1162" w:type="dxa"/>
            <w:tcBorders>
              <w:top w:val="single" w:sz="18" w:space="0" w:color="BFBFBF"/>
              <w:left w:val="single" w:sz="18" w:space="0" w:color="C0C0C0"/>
              <w:right w:val="single" w:sz="18" w:space="0" w:color="BFBFBF"/>
              <w:tr2bl w:val="nil"/>
            </w:tcBorders>
            <w:shd w:val="clear" w:color="auto" w:fill="D9D9D9"/>
            <w:vAlign w:val="center"/>
          </w:tcPr>
          <w:p w14:paraId="346AA547" w14:textId="0C907594" w:rsidR="00C45F66" w:rsidRPr="00F10DE3" w:rsidRDefault="00C45F66" w:rsidP="00193311">
            <w:pPr>
              <w:jc w:val="center"/>
              <w:rPr>
                <w:rFonts w:ascii="Arial Narrow" w:hAnsi="Arial Narrow" w:cs="Arial"/>
                <w:b/>
                <w:bCs/>
                <w:sz w:val="16"/>
                <w:szCs w:val="16"/>
              </w:rPr>
            </w:pPr>
          </w:p>
        </w:tc>
        <w:tc>
          <w:tcPr>
            <w:tcW w:w="1162" w:type="dxa"/>
            <w:tcBorders>
              <w:top w:val="single" w:sz="18" w:space="0" w:color="BFBFBF"/>
              <w:left w:val="single" w:sz="18" w:space="0" w:color="BFBFBF"/>
              <w:right w:val="single" w:sz="18" w:space="0" w:color="C0C0C0"/>
            </w:tcBorders>
            <w:shd w:val="clear" w:color="auto" w:fill="53D2FF"/>
            <w:vAlign w:val="center"/>
          </w:tcPr>
          <w:p w14:paraId="7A536749" w14:textId="168E20FF" w:rsidR="00C45F66" w:rsidRPr="00F10DE3" w:rsidRDefault="003F5A4A" w:rsidP="00EB0D94">
            <w:pPr>
              <w:jc w:val="center"/>
              <w:rPr>
                <w:rFonts w:ascii="Arial Narrow" w:hAnsi="Arial Narrow" w:cs="Arial"/>
                <w:b/>
                <w:bCs/>
                <w:sz w:val="16"/>
                <w:szCs w:val="16"/>
              </w:rPr>
            </w:pPr>
            <w:r>
              <w:rPr>
                <w:rFonts w:ascii="Arial Narrow" w:hAnsi="Arial Narrow" w:cs="Arial"/>
                <w:b/>
                <w:bCs/>
                <w:sz w:val="16"/>
                <w:szCs w:val="16"/>
              </w:rPr>
              <w:t>20</w:t>
            </w:r>
          </w:p>
        </w:tc>
        <w:tc>
          <w:tcPr>
            <w:tcW w:w="1162" w:type="dxa"/>
            <w:tcBorders>
              <w:top w:val="single" w:sz="18" w:space="0" w:color="BFBFBF"/>
              <w:left w:val="single" w:sz="18" w:space="0" w:color="C0C0C0"/>
              <w:right w:val="single" w:sz="18" w:space="0" w:color="C0C0C0"/>
            </w:tcBorders>
            <w:shd w:val="clear" w:color="auto" w:fill="53D2FF"/>
            <w:vAlign w:val="center"/>
          </w:tcPr>
          <w:p w14:paraId="6CAE5B32" w14:textId="0D6C78C1" w:rsidR="00C45F66" w:rsidRPr="00F10DE3" w:rsidRDefault="003F5A4A" w:rsidP="00EB0D94">
            <w:pPr>
              <w:jc w:val="center"/>
              <w:rPr>
                <w:rFonts w:ascii="Arial Narrow" w:hAnsi="Arial Narrow" w:cs="Arial"/>
                <w:b/>
                <w:bCs/>
                <w:sz w:val="16"/>
                <w:szCs w:val="16"/>
              </w:rPr>
            </w:pPr>
            <w:r>
              <w:rPr>
                <w:rFonts w:ascii="Arial Narrow" w:hAnsi="Arial Narrow" w:cs="Arial"/>
                <w:b/>
                <w:bCs/>
                <w:sz w:val="16"/>
                <w:szCs w:val="16"/>
              </w:rPr>
              <w:t>21</w:t>
            </w:r>
          </w:p>
        </w:tc>
        <w:tc>
          <w:tcPr>
            <w:tcW w:w="1162" w:type="dxa"/>
            <w:tcBorders>
              <w:top w:val="single" w:sz="18" w:space="0" w:color="BFBFBF"/>
              <w:left w:val="single" w:sz="18" w:space="0" w:color="C0C0C0"/>
              <w:right w:val="single" w:sz="18" w:space="0" w:color="auto"/>
            </w:tcBorders>
            <w:shd w:val="clear" w:color="auto" w:fill="53D2FF"/>
            <w:vAlign w:val="center"/>
          </w:tcPr>
          <w:p w14:paraId="77ED7AC8" w14:textId="4FF7327F" w:rsidR="00C45F66" w:rsidRPr="003F5A4A" w:rsidRDefault="003F5A4A" w:rsidP="00EB0D94">
            <w:pPr>
              <w:jc w:val="center"/>
              <w:rPr>
                <w:rFonts w:ascii="Arial Narrow" w:hAnsi="Arial Narrow" w:cs="Arial"/>
                <w:b/>
                <w:bCs/>
                <w:sz w:val="16"/>
                <w:szCs w:val="16"/>
              </w:rPr>
            </w:pPr>
            <w:r w:rsidRPr="003F5A4A">
              <w:rPr>
                <w:rFonts w:ascii="Arial Narrow" w:hAnsi="Arial Narrow" w:cs="Arial"/>
                <w:b/>
                <w:bCs/>
                <w:sz w:val="16"/>
                <w:szCs w:val="16"/>
              </w:rPr>
              <w:t>22</w:t>
            </w:r>
          </w:p>
        </w:tc>
        <w:tc>
          <w:tcPr>
            <w:tcW w:w="3633" w:type="dxa"/>
            <w:gridSpan w:val="2"/>
            <w:tcBorders>
              <w:top w:val="single" w:sz="18" w:space="0" w:color="BFBFBF"/>
              <w:left w:val="single" w:sz="18" w:space="0" w:color="auto"/>
              <w:right w:val="single" w:sz="18" w:space="0" w:color="auto"/>
            </w:tcBorders>
            <w:shd w:val="clear" w:color="auto" w:fill="D9D9D9"/>
            <w:vAlign w:val="center"/>
          </w:tcPr>
          <w:p w14:paraId="46FE2A80"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rPr>
              <w:t>Local Registry Coordinator and Local Commissioner Workshop</w:t>
            </w:r>
          </w:p>
          <w:p w14:paraId="6C8C40F7" w14:textId="1FB13EA7" w:rsidR="00C45F66" w:rsidRPr="008805E5" w:rsidRDefault="008805E5" w:rsidP="008805E5">
            <w:pPr>
              <w:jc w:val="center"/>
              <w:rPr>
                <w:rFonts w:ascii="Arial Narrow" w:hAnsi="Arial Narrow" w:cs="Arial"/>
                <w:sz w:val="16"/>
                <w:szCs w:val="16"/>
              </w:rPr>
            </w:pPr>
            <w:r w:rsidRPr="008805E5">
              <w:rPr>
                <w:rFonts w:ascii="Arial Narrow" w:hAnsi="Arial Narrow"/>
                <w:color w:val="31849B"/>
                <w:sz w:val="16"/>
                <w:szCs w:val="16"/>
              </w:rPr>
              <w:t>Doomadgee – Gulf Circuit</w:t>
            </w:r>
          </w:p>
        </w:tc>
      </w:tr>
      <w:tr w:rsidR="00C45F66" w:rsidRPr="00BC2C5D" w14:paraId="3FC520FE" w14:textId="77777777" w:rsidTr="005C3C04">
        <w:trPr>
          <w:trHeight w:val="615"/>
        </w:trPr>
        <w:tc>
          <w:tcPr>
            <w:tcW w:w="1526" w:type="dxa"/>
            <w:tcBorders>
              <w:top w:val="single" w:sz="18" w:space="0" w:color="BFBFBF"/>
              <w:left w:val="single" w:sz="18" w:space="0" w:color="auto"/>
              <w:right w:val="single" w:sz="18" w:space="0" w:color="C0C0C0"/>
            </w:tcBorders>
            <w:shd w:val="clear" w:color="auto" w:fill="auto"/>
            <w:vAlign w:val="center"/>
          </w:tcPr>
          <w:p w14:paraId="6D1805FC" w14:textId="512CAD15" w:rsidR="00C45F66" w:rsidRPr="00A634FA" w:rsidRDefault="00C45F66" w:rsidP="00EB0D94">
            <w:pPr>
              <w:jc w:val="center"/>
              <w:rPr>
                <w:rFonts w:ascii="Arial Narrow" w:hAnsi="Arial Narrow" w:cs="Arial"/>
                <w:sz w:val="16"/>
                <w:szCs w:val="16"/>
              </w:rPr>
            </w:pPr>
            <w:r>
              <w:rPr>
                <w:rFonts w:ascii="Arial Narrow" w:hAnsi="Arial Narrow" w:cs="Arial"/>
                <w:sz w:val="16"/>
                <w:szCs w:val="16"/>
              </w:rPr>
              <w:t>25 January</w:t>
            </w:r>
          </w:p>
        </w:tc>
        <w:tc>
          <w:tcPr>
            <w:tcW w:w="1051" w:type="dxa"/>
            <w:tcBorders>
              <w:top w:val="single" w:sz="18" w:space="0" w:color="BFBFBF"/>
              <w:left w:val="single" w:sz="18" w:space="0" w:color="C0C0C0"/>
              <w:right w:val="single" w:sz="18" w:space="0" w:color="C0C0C0"/>
            </w:tcBorders>
            <w:shd w:val="clear" w:color="auto" w:fill="D9D9D9"/>
            <w:vAlign w:val="center"/>
          </w:tcPr>
          <w:p w14:paraId="4DAA80E5" w14:textId="4D14B982" w:rsidR="00C45F66" w:rsidRPr="00F10DE3" w:rsidRDefault="00C45F66" w:rsidP="00EB0D94">
            <w:pPr>
              <w:jc w:val="center"/>
              <w:rPr>
                <w:rFonts w:ascii="Arial Narrow" w:hAnsi="Arial Narrow" w:cs="Arial"/>
                <w:sz w:val="16"/>
                <w:szCs w:val="16"/>
              </w:rPr>
            </w:pPr>
          </w:p>
        </w:tc>
        <w:tc>
          <w:tcPr>
            <w:tcW w:w="1162" w:type="dxa"/>
            <w:tcBorders>
              <w:top w:val="single" w:sz="18" w:space="0" w:color="C0C0C0"/>
              <w:left w:val="single" w:sz="18" w:space="0" w:color="C0C0C0"/>
              <w:right w:val="single" w:sz="18" w:space="0" w:color="BFBFBF"/>
              <w:tr2bl w:val="nil"/>
            </w:tcBorders>
            <w:shd w:val="clear" w:color="auto" w:fill="D9D9D9"/>
            <w:vAlign w:val="center"/>
          </w:tcPr>
          <w:p w14:paraId="211F9DD8" w14:textId="6987C936" w:rsidR="00C45F66" w:rsidRPr="00F10DE3" w:rsidRDefault="00C45F66" w:rsidP="00193311">
            <w:pPr>
              <w:jc w:val="center"/>
              <w:rPr>
                <w:rFonts w:ascii="Arial Narrow" w:hAnsi="Arial Narrow" w:cs="Arial"/>
                <w:b/>
                <w:bCs/>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BFBFBF"/>
              <w:right w:val="single" w:sz="18" w:space="0" w:color="C0C0C0"/>
            </w:tcBorders>
            <w:shd w:val="clear" w:color="auto" w:fill="auto"/>
            <w:vAlign w:val="center"/>
          </w:tcPr>
          <w:p w14:paraId="54F73A57" w14:textId="73BDED24" w:rsidR="00C45F66" w:rsidRPr="00F10DE3" w:rsidRDefault="00C45F66" w:rsidP="00EB0D94">
            <w:pPr>
              <w:jc w:val="center"/>
              <w:rPr>
                <w:rFonts w:ascii="Arial Narrow" w:hAnsi="Arial Narrow" w:cs="Arial"/>
                <w:b/>
                <w:bCs/>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2B85F166" w14:textId="1CFB677D" w:rsidR="00C45F66" w:rsidRPr="00F10DE3" w:rsidRDefault="00C45F66" w:rsidP="00EB0D94">
            <w:pPr>
              <w:jc w:val="center"/>
              <w:rPr>
                <w:rFonts w:ascii="Arial Narrow" w:hAnsi="Arial Narrow" w:cs="Arial"/>
                <w:b/>
                <w:bCs/>
                <w:sz w:val="16"/>
                <w:szCs w:val="16"/>
              </w:rPr>
            </w:pPr>
          </w:p>
        </w:tc>
        <w:tc>
          <w:tcPr>
            <w:tcW w:w="1162" w:type="dxa"/>
            <w:tcBorders>
              <w:top w:val="single" w:sz="18" w:space="0" w:color="BFBFBF"/>
              <w:left w:val="single" w:sz="18" w:space="0" w:color="C0C0C0"/>
              <w:right w:val="single" w:sz="18" w:space="0" w:color="auto"/>
            </w:tcBorders>
            <w:shd w:val="clear" w:color="auto" w:fill="auto"/>
            <w:vAlign w:val="center"/>
          </w:tcPr>
          <w:p w14:paraId="4C8AAF12" w14:textId="6BB98184" w:rsidR="00C45F66" w:rsidRPr="00F10DE3" w:rsidRDefault="00C45F66" w:rsidP="00EB0D94">
            <w:pPr>
              <w:jc w:val="center"/>
              <w:rPr>
                <w:rFonts w:ascii="Arial Narrow" w:hAnsi="Arial Narrow" w:cs="Arial"/>
                <w:sz w:val="16"/>
                <w:szCs w:val="16"/>
              </w:rPr>
            </w:pPr>
          </w:p>
        </w:tc>
        <w:tc>
          <w:tcPr>
            <w:tcW w:w="3633" w:type="dxa"/>
            <w:gridSpan w:val="2"/>
            <w:tcBorders>
              <w:top w:val="single" w:sz="18" w:space="0" w:color="BFBFBF"/>
              <w:left w:val="single" w:sz="18" w:space="0" w:color="auto"/>
              <w:right w:val="single" w:sz="18" w:space="0" w:color="auto"/>
            </w:tcBorders>
            <w:shd w:val="clear" w:color="auto" w:fill="auto"/>
            <w:vAlign w:val="center"/>
          </w:tcPr>
          <w:p w14:paraId="4A692BE1" w14:textId="552D5008" w:rsidR="00C45F66" w:rsidRPr="008805E5" w:rsidRDefault="008805E5" w:rsidP="00EB0D94">
            <w:pPr>
              <w:jc w:val="center"/>
              <w:rPr>
                <w:rFonts w:ascii="Arial Narrow" w:hAnsi="Arial Narrow" w:cs="Arial"/>
                <w:sz w:val="16"/>
                <w:szCs w:val="16"/>
              </w:rPr>
            </w:pPr>
            <w:r w:rsidRPr="008805E5">
              <w:rPr>
                <w:rFonts w:ascii="Arial Narrow" w:hAnsi="Arial Narrow" w:cs="Arial"/>
                <w:color w:val="244061"/>
                <w:sz w:val="16"/>
                <w:szCs w:val="16"/>
                <w:highlight w:val="yellow"/>
              </w:rPr>
              <w:t>26 Australia Day Public Holiday</w:t>
            </w:r>
          </w:p>
        </w:tc>
      </w:tr>
      <w:tr w:rsidR="00C45F66" w:rsidRPr="00BC2C5D" w14:paraId="20327535" w14:textId="77777777" w:rsidTr="00193311">
        <w:trPr>
          <w:trHeight w:val="615"/>
        </w:trPr>
        <w:tc>
          <w:tcPr>
            <w:tcW w:w="1526" w:type="dxa"/>
            <w:tcBorders>
              <w:top w:val="single" w:sz="18" w:space="0" w:color="auto"/>
              <w:left w:val="single" w:sz="18" w:space="0" w:color="auto"/>
              <w:right w:val="single" w:sz="18" w:space="0" w:color="C0C0C0"/>
            </w:tcBorders>
            <w:shd w:val="clear" w:color="auto" w:fill="auto"/>
            <w:vAlign w:val="center"/>
          </w:tcPr>
          <w:p w14:paraId="088F8A57" w14:textId="7A2524D9" w:rsidR="00C45F66" w:rsidRPr="00A634FA" w:rsidRDefault="00C45F66" w:rsidP="00EB0D94">
            <w:pPr>
              <w:jc w:val="center"/>
              <w:rPr>
                <w:rFonts w:ascii="Arial Narrow" w:hAnsi="Arial Narrow" w:cs="Arial"/>
                <w:sz w:val="16"/>
                <w:szCs w:val="16"/>
              </w:rPr>
            </w:pPr>
            <w:r>
              <w:rPr>
                <w:rFonts w:ascii="Arial Narrow" w:hAnsi="Arial Narrow" w:cs="Arial"/>
                <w:sz w:val="16"/>
                <w:szCs w:val="16"/>
              </w:rPr>
              <w:t>1 February</w:t>
            </w:r>
          </w:p>
        </w:tc>
        <w:tc>
          <w:tcPr>
            <w:tcW w:w="1051" w:type="dxa"/>
            <w:tcBorders>
              <w:top w:val="single" w:sz="18" w:space="0" w:color="auto"/>
              <w:left w:val="single" w:sz="18" w:space="0" w:color="C0C0C0"/>
              <w:right w:val="single" w:sz="18" w:space="0" w:color="C0C0C0"/>
            </w:tcBorders>
            <w:shd w:val="clear" w:color="auto" w:fill="auto"/>
            <w:vAlign w:val="center"/>
          </w:tcPr>
          <w:p w14:paraId="05BAEBD3" w14:textId="77777777" w:rsidR="00C45F66" w:rsidRPr="00F10DE3" w:rsidRDefault="00C45F66" w:rsidP="00EB0D94">
            <w:pPr>
              <w:jc w:val="center"/>
              <w:rPr>
                <w:rFonts w:ascii="Arial Narrow" w:hAnsi="Arial Narrow" w:cs="Arial"/>
                <w:sz w:val="16"/>
                <w:szCs w:val="16"/>
              </w:rPr>
            </w:pPr>
          </w:p>
        </w:tc>
        <w:tc>
          <w:tcPr>
            <w:tcW w:w="1162" w:type="dxa"/>
            <w:tcBorders>
              <w:top w:val="single" w:sz="18" w:space="0" w:color="auto"/>
              <w:left w:val="single" w:sz="18" w:space="0" w:color="C0C0C0"/>
              <w:right w:val="single" w:sz="18" w:space="0" w:color="BFBFBF"/>
            </w:tcBorders>
            <w:shd w:val="clear" w:color="auto" w:fill="auto"/>
            <w:vAlign w:val="center"/>
          </w:tcPr>
          <w:p w14:paraId="6EF5A450" w14:textId="0C9C25C0" w:rsidR="00C45F66" w:rsidRPr="00F10DE3" w:rsidRDefault="00C45F66" w:rsidP="00EB0D94">
            <w:pPr>
              <w:jc w:val="center"/>
              <w:rPr>
                <w:rFonts w:ascii="Arial Narrow" w:hAnsi="Arial Narrow" w:cs="Arial"/>
                <w:sz w:val="16"/>
                <w:szCs w:val="16"/>
              </w:rPr>
            </w:pPr>
          </w:p>
        </w:tc>
        <w:tc>
          <w:tcPr>
            <w:tcW w:w="1162" w:type="dxa"/>
            <w:tcBorders>
              <w:top w:val="single" w:sz="18" w:space="0" w:color="auto"/>
              <w:left w:val="single" w:sz="18" w:space="0" w:color="BFBFBF"/>
              <w:right w:val="single" w:sz="18" w:space="0" w:color="C0C0C0"/>
            </w:tcBorders>
            <w:shd w:val="clear" w:color="auto" w:fill="auto"/>
            <w:vAlign w:val="center"/>
          </w:tcPr>
          <w:p w14:paraId="60AD86C6" w14:textId="74D43903" w:rsidR="00C45F66" w:rsidRPr="00F10DE3" w:rsidRDefault="00C45F66" w:rsidP="00EB0D94">
            <w:pPr>
              <w:jc w:val="center"/>
              <w:rPr>
                <w:rFonts w:ascii="Arial Narrow" w:hAnsi="Arial Narrow" w:cs="Arial"/>
                <w:b/>
                <w:bCs/>
                <w:sz w:val="16"/>
                <w:szCs w:val="16"/>
              </w:rPr>
            </w:pPr>
          </w:p>
        </w:tc>
        <w:tc>
          <w:tcPr>
            <w:tcW w:w="1162" w:type="dxa"/>
            <w:tcBorders>
              <w:top w:val="single" w:sz="18" w:space="0" w:color="auto"/>
              <w:left w:val="single" w:sz="18" w:space="0" w:color="C0C0C0"/>
              <w:right w:val="single" w:sz="18" w:space="0" w:color="C0C0C0"/>
            </w:tcBorders>
            <w:shd w:val="clear" w:color="auto" w:fill="auto"/>
            <w:vAlign w:val="center"/>
          </w:tcPr>
          <w:p w14:paraId="7C18418D" w14:textId="13CE8515" w:rsidR="00C45F66" w:rsidRPr="00F10DE3" w:rsidRDefault="00C45F66" w:rsidP="00193311">
            <w:pPr>
              <w:jc w:val="center"/>
              <w:rPr>
                <w:rFonts w:ascii="Arial Narrow" w:hAnsi="Arial Narrow" w:cs="Arial"/>
                <w:b/>
                <w:bCs/>
                <w:sz w:val="16"/>
                <w:szCs w:val="16"/>
              </w:rPr>
            </w:pPr>
          </w:p>
        </w:tc>
        <w:tc>
          <w:tcPr>
            <w:tcW w:w="1162" w:type="dxa"/>
            <w:tcBorders>
              <w:top w:val="single" w:sz="18" w:space="0" w:color="auto"/>
              <w:left w:val="single" w:sz="18" w:space="0" w:color="C0C0C0"/>
              <w:right w:val="single" w:sz="18" w:space="0" w:color="auto"/>
            </w:tcBorders>
            <w:shd w:val="clear" w:color="auto" w:fill="auto"/>
            <w:vAlign w:val="center"/>
          </w:tcPr>
          <w:p w14:paraId="4997C671" w14:textId="77777777" w:rsidR="00C45F66" w:rsidRPr="00F10DE3" w:rsidRDefault="00C45F66" w:rsidP="00EB0D94">
            <w:pPr>
              <w:jc w:val="center"/>
              <w:rPr>
                <w:rFonts w:ascii="Arial Narrow" w:hAnsi="Arial Narrow" w:cs="Arial"/>
                <w:sz w:val="16"/>
                <w:szCs w:val="16"/>
              </w:rPr>
            </w:pPr>
          </w:p>
        </w:tc>
        <w:tc>
          <w:tcPr>
            <w:tcW w:w="3633" w:type="dxa"/>
            <w:gridSpan w:val="2"/>
            <w:tcBorders>
              <w:top w:val="single" w:sz="18" w:space="0" w:color="auto"/>
              <w:left w:val="single" w:sz="18" w:space="0" w:color="auto"/>
              <w:right w:val="single" w:sz="18" w:space="0" w:color="auto"/>
            </w:tcBorders>
            <w:shd w:val="clear" w:color="auto" w:fill="auto"/>
            <w:vAlign w:val="center"/>
          </w:tcPr>
          <w:p w14:paraId="71568B7F" w14:textId="03CFEF3C" w:rsidR="00C45F66" w:rsidRPr="008805E5" w:rsidRDefault="008805E5" w:rsidP="00EB0D94">
            <w:pPr>
              <w:jc w:val="center"/>
              <w:rPr>
                <w:rFonts w:ascii="Arial Narrow" w:hAnsi="Arial Narrow"/>
                <w:color w:val="31849B"/>
                <w:sz w:val="16"/>
                <w:szCs w:val="16"/>
              </w:rPr>
            </w:pPr>
            <w:r w:rsidRPr="008805E5">
              <w:rPr>
                <w:rFonts w:ascii="Arial Narrow" w:hAnsi="Arial Narrow"/>
                <w:color w:val="31849B"/>
                <w:sz w:val="16"/>
                <w:szCs w:val="16"/>
              </w:rPr>
              <w:t>Cooktown Circuit</w:t>
            </w:r>
          </w:p>
        </w:tc>
      </w:tr>
      <w:tr w:rsidR="005C3C04" w:rsidRPr="00BC2C5D" w14:paraId="34AF6A84" w14:textId="77777777" w:rsidTr="004B46D8">
        <w:trPr>
          <w:trHeight w:val="30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166DE05A" w14:textId="1DB70A72" w:rsidR="005C3C04" w:rsidRDefault="005C3C04" w:rsidP="00EB0D94">
            <w:pPr>
              <w:jc w:val="center"/>
              <w:rPr>
                <w:rFonts w:ascii="Arial Narrow" w:hAnsi="Arial Narrow" w:cs="Arial"/>
                <w:sz w:val="16"/>
                <w:szCs w:val="16"/>
              </w:rPr>
            </w:pPr>
            <w:r>
              <w:rPr>
                <w:rFonts w:ascii="Arial Narrow" w:hAnsi="Arial Narrow" w:cs="Arial"/>
                <w:sz w:val="16"/>
                <w:szCs w:val="16"/>
              </w:rPr>
              <w:t>8 February</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1044A681" w14:textId="77777777" w:rsidR="005C3C04" w:rsidRPr="00F10DE3" w:rsidRDefault="005C3C04" w:rsidP="00EB0D94">
            <w:pPr>
              <w:jc w:val="center"/>
              <w:rPr>
                <w:rFonts w:ascii="Arial Narrow" w:hAnsi="Arial Narrow" w:cs="Arial"/>
                <w:sz w:val="16"/>
                <w:szCs w:val="16"/>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34B4531E" w14:textId="303CC605" w:rsidR="005C3C04" w:rsidRPr="00F10DE3" w:rsidRDefault="005C3C04" w:rsidP="00193311">
            <w:pPr>
              <w:jc w:val="center"/>
              <w:rPr>
                <w:rFonts w:ascii="Arial Narrow" w:hAnsi="Arial Narrow" w:cs="Arial"/>
                <w:b/>
                <w:bCs/>
                <w:sz w:val="16"/>
                <w:szCs w:val="16"/>
              </w:rPr>
            </w:pPr>
            <w:r>
              <w:rPr>
                <w:rFonts w:ascii="Arial Narrow" w:hAnsi="Arial Narrow" w:cs="Arial"/>
                <w:b/>
                <w:bCs/>
                <w:sz w:val="16"/>
                <w:szCs w:val="16"/>
              </w:rPr>
              <w:t>9</w:t>
            </w:r>
          </w:p>
        </w:tc>
        <w:tc>
          <w:tcPr>
            <w:tcW w:w="1162" w:type="dxa"/>
            <w:tcBorders>
              <w:top w:val="single" w:sz="18" w:space="0" w:color="BFBFBF" w:themeColor="background1" w:themeShade="BF"/>
              <w:left w:val="single" w:sz="18" w:space="0" w:color="BFBFBF"/>
              <w:bottom w:val="nil"/>
              <w:right w:val="single" w:sz="18" w:space="0" w:color="C0C0C0"/>
            </w:tcBorders>
            <w:shd w:val="clear" w:color="auto" w:fill="FF0000"/>
            <w:vAlign w:val="center"/>
          </w:tcPr>
          <w:p w14:paraId="04E57ED8" w14:textId="173582A6"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10</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733FC8E2" w14:textId="45BCAB04"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10A6A94" w14:textId="77777777" w:rsidR="005C3C04" w:rsidRPr="00F10DE3" w:rsidRDefault="005C3C04" w:rsidP="00EB0D94">
            <w:pPr>
              <w:jc w:val="center"/>
              <w:rPr>
                <w:rFonts w:ascii="Arial Narrow" w:hAnsi="Arial Narrow" w:cs="Arial"/>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37A79FEF" w14:textId="22CF6656" w:rsidR="005C3C04" w:rsidRPr="008805E5" w:rsidRDefault="008805E5" w:rsidP="002B2062">
            <w:pPr>
              <w:jc w:val="center"/>
              <w:rPr>
                <w:rFonts w:ascii="Arial Narrow" w:hAnsi="Arial Narrow"/>
                <w:color w:val="31849B"/>
                <w:sz w:val="16"/>
                <w:szCs w:val="16"/>
              </w:rPr>
            </w:pPr>
            <w:r w:rsidRPr="008805E5">
              <w:rPr>
                <w:rFonts w:ascii="Arial Narrow" w:hAnsi="Arial Narrow"/>
                <w:color w:val="31849B"/>
                <w:sz w:val="16"/>
                <w:szCs w:val="16"/>
              </w:rPr>
              <w:t>Aurukun Cape B Circuit</w:t>
            </w:r>
          </w:p>
        </w:tc>
      </w:tr>
      <w:tr w:rsidR="005C3C04" w:rsidRPr="00BC2C5D" w14:paraId="20E0F9D5" w14:textId="77777777" w:rsidTr="004B46D8">
        <w:trPr>
          <w:trHeight w:val="307"/>
        </w:trPr>
        <w:tc>
          <w:tcPr>
            <w:tcW w:w="1526" w:type="dxa"/>
            <w:vMerge/>
            <w:tcBorders>
              <w:left w:val="single" w:sz="18" w:space="0" w:color="auto"/>
              <w:right w:val="single" w:sz="18" w:space="0" w:color="C0C0C0"/>
            </w:tcBorders>
            <w:shd w:val="clear" w:color="auto" w:fill="auto"/>
            <w:vAlign w:val="center"/>
          </w:tcPr>
          <w:p w14:paraId="522454B1" w14:textId="77777777" w:rsidR="005C3C04" w:rsidRDefault="005C3C04"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56D1D980" w14:textId="77777777" w:rsidR="005C3C04" w:rsidRPr="00F10DE3" w:rsidRDefault="005C3C04" w:rsidP="00EB0D94">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FF0000"/>
            <w:vAlign w:val="center"/>
          </w:tcPr>
          <w:p w14:paraId="4B91DD1D" w14:textId="77777777" w:rsidR="005C3C04" w:rsidRDefault="005C3C04" w:rsidP="00193311">
            <w:pPr>
              <w:jc w:val="center"/>
              <w:rPr>
                <w:rFonts w:ascii="Arial Narrow" w:hAnsi="Arial Narrow" w:cs="Arial"/>
                <w:b/>
                <w:bCs/>
                <w:sz w:val="16"/>
                <w:szCs w:val="16"/>
              </w:rPr>
            </w:pPr>
          </w:p>
        </w:tc>
        <w:tc>
          <w:tcPr>
            <w:tcW w:w="1162" w:type="dxa"/>
            <w:tcBorders>
              <w:top w:val="nil"/>
              <w:left w:val="single" w:sz="18" w:space="0" w:color="BFBFBF"/>
              <w:bottom w:val="single" w:sz="18" w:space="0" w:color="C0C0C0"/>
              <w:right w:val="single" w:sz="18" w:space="0" w:color="BFBFBF"/>
            </w:tcBorders>
            <w:shd w:val="clear" w:color="auto" w:fill="769245"/>
            <w:vAlign w:val="center"/>
          </w:tcPr>
          <w:p w14:paraId="35DC84AB" w14:textId="0D43265F"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10</w:t>
            </w:r>
          </w:p>
        </w:tc>
        <w:tc>
          <w:tcPr>
            <w:tcW w:w="1162" w:type="dxa"/>
            <w:tcBorders>
              <w:top w:val="nil"/>
              <w:left w:val="single" w:sz="18" w:space="0" w:color="BFBFBF"/>
              <w:bottom w:val="single" w:sz="18" w:space="0" w:color="C0C0C0"/>
              <w:right w:val="single" w:sz="18" w:space="0" w:color="C0C0C0"/>
            </w:tcBorders>
            <w:shd w:val="clear" w:color="auto" w:fill="769245"/>
            <w:vAlign w:val="center"/>
          </w:tcPr>
          <w:p w14:paraId="67DA5382" w14:textId="4B2DD9B8"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tcBorders>
              <w:left w:val="single" w:sz="18" w:space="0" w:color="C0C0C0"/>
              <w:right w:val="single" w:sz="18" w:space="0" w:color="auto"/>
            </w:tcBorders>
            <w:shd w:val="clear" w:color="auto" w:fill="auto"/>
            <w:vAlign w:val="center"/>
          </w:tcPr>
          <w:p w14:paraId="3DC295B1" w14:textId="77777777" w:rsidR="005C3C04" w:rsidRPr="00F10DE3" w:rsidRDefault="005C3C04"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6CF57D9E" w14:textId="77777777" w:rsidR="005C3C04" w:rsidRPr="008805E5" w:rsidRDefault="005C3C04" w:rsidP="002B2062">
            <w:pPr>
              <w:jc w:val="center"/>
              <w:rPr>
                <w:rFonts w:ascii="Arial Narrow" w:hAnsi="Arial Narrow"/>
                <w:color w:val="31849B"/>
                <w:sz w:val="16"/>
                <w:szCs w:val="16"/>
              </w:rPr>
            </w:pPr>
          </w:p>
        </w:tc>
      </w:tr>
      <w:tr w:rsidR="005C3C04" w:rsidRPr="00BC2C5D" w14:paraId="2980BC10" w14:textId="77777777" w:rsidTr="004B46D8">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C745A6" w14:textId="038B51F3" w:rsidR="005C3C04" w:rsidRPr="00A634FA" w:rsidRDefault="005C3C04" w:rsidP="00EB0D94">
            <w:pPr>
              <w:jc w:val="center"/>
              <w:rPr>
                <w:rFonts w:ascii="Arial Narrow" w:hAnsi="Arial Narrow" w:cs="Arial"/>
                <w:sz w:val="16"/>
                <w:szCs w:val="16"/>
              </w:rPr>
            </w:pPr>
            <w:r>
              <w:rPr>
                <w:rFonts w:ascii="Arial Narrow" w:hAnsi="Arial Narrow" w:cs="Arial"/>
                <w:sz w:val="16"/>
                <w:szCs w:val="16"/>
              </w:rPr>
              <w:t>15 February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59C7D183" w14:textId="77777777" w:rsidR="005C3C04" w:rsidRPr="00F10DE3" w:rsidRDefault="005C3C04" w:rsidP="00EB0D94">
            <w:pPr>
              <w:jc w:val="center"/>
              <w:rPr>
                <w:rFonts w:ascii="Arial Narrow" w:hAnsi="Arial Narrow" w:cs="Arial"/>
                <w:sz w:val="16"/>
                <w:szCs w:val="16"/>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61BD711E" w14:textId="7C74A9BC"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1</w:t>
            </w:r>
            <w:r w:rsidR="008805E5">
              <w:rPr>
                <w:rFonts w:ascii="Arial Narrow" w:hAnsi="Arial Narrow" w:cs="Arial"/>
                <w:b/>
                <w:bCs/>
                <w:sz w:val="16"/>
                <w:szCs w:val="16"/>
              </w:rPr>
              <w:t>6</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3BA986A2" w14:textId="727C985E"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17</w:t>
            </w:r>
          </w:p>
        </w:tc>
        <w:tc>
          <w:tcPr>
            <w:tcW w:w="1162" w:type="dxa"/>
            <w:vMerge w:val="restart"/>
            <w:tcBorders>
              <w:top w:val="single" w:sz="18" w:space="0" w:color="C0C0C0"/>
              <w:left w:val="single" w:sz="18" w:space="0" w:color="C0C0C0"/>
              <w:bottom w:val="single" w:sz="18" w:space="0" w:color="C0C0C0"/>
              <w:right w:val="single" w:sz="18" w:space="0" w:color="C0C0C0"/>
            </w:tcBorders>
            <w:shd w:val="thinDiagCross" w:color="auto" w:fill="A972A9"/>
            <w:vAlign w:val="center"/>
          </w:tcPr>
          <w:p w14:paraId="719EBC8E" w14:textId="3D2493C7"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18</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71B48D44" w14:textId="77777777" w:rsidR="005C3C04" w:rsidRPr="00F10DE3" w:rsidRDefault="005C3C04" w:rsidP="00EB0D94">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69C694F" w14:textId="459780C0" w:rsidR="005C3C04" w:rsidRPr="008805E5" w:rsidRDefault="005C3C04" w:rsidP="00EB0D94">
            <w:pPr>
              <w:jc w:val="center"/>
              <w:rPr>
                <w:rFonts w:ascii="Arial Narrow" w:hAnsi="Arial Narrow"/>
                <w:sz w:val="16"/>
                <w:szCs w:val="16"/>
              </w:rPr>
            </w:pPr>
          </w:p>
        </w:tc>
      </w:tr>
      <w:tr w:rsidR="005C3C04" w:rsidRPr="00BC2C5D" w14:paraId="7E16FBEE" w14:textId="77777777" w:rsidTr="004B46D8">
        <w:trPr>
          <w:trHeight w:val="284"/>
        </w:trPr>
        <w:tc>
          <w:tcPr>
            <w:tcW w:w="1526" w:type="dxa"/>
            <w:vMerge/>
            <w:tcBorders>
              <w:left w:val="single" w:sz="18" w:space="0" w:color="auto"/>
              <w:right w:val="single" w:sz="18" w:space="0" w:color="C0C0C0"/>
            </w:tcBorders>
            <w:shd w:val="clear" w:color="auto" w:fill="auto"/>
            <w:vAlign w:val="center"/>
          </w:tcPr>
          <w:p w14:paraId="52364570" w14:textId="77777777" w:rsidR="005C3C04" w:rsidRDefault="005C3C04"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712A97D" w14:textId="77777777" w:rsidR="005C3C04" w:rsidRPr="00F10DE3" w:rsidRDefault="005C3C04" w:rsidP="00EB0D94">
            <w:pPr>
              <w:jc w:val="center"/>
              <w:rPr>
                <w:rFonts w:ascii="Arial Narrow" w:hAnsi="Arial Narrow" w:cs="Arial"/>
                <w:sz w:val="16"/>
                <w:szCs w:val="16"/>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71FCE50B" w14:textId="47C5B645" w:rsidR="005C3C04" w:rsidRPr="00F10DE3" w:rsidRDefault="005C3C04" w:rsidP="00193311">
            <w:pPr>
              <w:jc w:val="center"/>
              <w:rPr>
                <w:rFonts w:ascii="Arial Narrow" w:hAnsi="Arial Narrow" w:cs="Arial"/>
                <w:b/>
                <w:bCs/>
                <w:sz w:val="16"/>
                <w:szCs w:val="16"/>
              </w:rPr>
            </w:pPr>
            <w:r>
              <w:rPr>
                <w:rFonts w:ascii="Arial Narrow" w:hAnsi="Arial Narrow" w:cs="Arial"/>
                <w:b/>
                <w:bCs/>
                <w:sz w:val="16"/>
                <w:szCs w:val="16"/>
              </w:rPr>
              <w:t>16</w:t>
            </w:r>
          </w:p>
        </w:tc>
        <w:tc>
          <w:tcPr>
            <w:tcW w:w="1162" w:type="dxa"/>
            <w:vMerge/>
            <w:tcBorders>
              <w:left w:val="single" w:sz="18" w:space="0" w:color="BFBFBF"/>
              <w:right w:val="single" w:sz="18" w:space="0" w:color="C0C0C0"/>
            </w:tcBorders>
            <w:shd w:val="clear" w:color="auto" w:fill="A972A9"/>
            <w:vAlign w:val="center"/>
          </w:tcPr>
          <w:p w14:paraId="0DEBBF86" w14:textId="77777777" w:rsidR="005C3C04" w:rsidRPr="00F10DE3" w:rsidRDefault="005C3C04" w:rsidP="00EB0D94">
            <w:pPr>
              <w:jc w:val="center"/>
              <w:rPr>
                <w:rFonts w:ascii="Arial Narrow" w:hAnsi="Arial Narrow" w:cs="Arial"/>
                <w:b/>
                <w:bCs/>
                <w:sz w:val="16"/>
                <w:szCs w:val="16"/>
              </w:rPr>
            </w:pPr>
          </w:p>
        </w:tc>
        <w:tc>
          <w:tcPr>
            <w:tcW w:w="1162" w:type="dxa"/>
            <w:vMerge/>
            <w:tcBorders>
              <w:top w:val="single" w:sz="18" w:space="0" w:color="FFFFFF"/>
              <w:left w:val="single" w:sz="18" w:space="0" w:color="C0C0C0"/>
              <w:bottom w:val="single" w:sz="18" w:space="0" w:color="C0C0C0"/>
              <w:right w:val="single" w:sz="18" w:space="0" w:color="C0C0C0"/>
            </w:tcBorders>
            <w:shd w:val="thinDiagCross" w:color="auto" w:fill="A972A9"/>
            <w:vAlign w:val="center"/>
          </w:tcPr>
          <w:p w14:paraId="281F3A25" w14:textId="77777777" w:rsidR="005C3C04" w:rsidRPr="00F10DE3" w:rsidRDefault="005C3C04" w:rsidP="00193311">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51065556" w14:textId="77777777" w:rsidR="005C3C04" w:rsidRPr="00F10DE3" w:rsidRDefault="005C3C04" w:rsidP="00EB0D94">
            <w:pPr>
              <w:jc w:val="center"/>
              <w:rPr>
                <w:rFonts w:ascii="Arial Narrow" w:hAnsi="Arial Narrow" w:cs="Arial"/>
                <w:sz w:val="16"/>
                <w:szCs w:val="16"/>
              </w:rPr>
            </w:pPr>
          </w:p>
        </w:tc>
        <w:tc>
          <w:tcPr>
            <w:tcW w:w="3633" w:type="dxa"/>
            <w:gridSpan w:val="2"/>
            <w:vMerge/>
            <w:tcBorders>
              <w:left w:val="single" w:sz="18" w:space="0" w:color="auto"/>
              <w:right w:val="single" w:sz="18" w:space="0" w:color="auto"/>
            </w:tcBorders>
            <w:shd w:val="clear" w:color="auto" w:fill="auto"/>
            <w:vAlign w:val="center"/>
          </w:tcPr>
          <w:p w14:paraId="7B04B169" w14:textId="77777777" w:rsidR="005C3C04" w:rsidRPr="008805E5" w:rsidRDefault="005C3C04" w:rsidP="00EB0D94">
            <w:pPr>
              <w:jc w:val="center"/>
              <w:rPr>
                <w:rFonts w:ascii="Arial Narrow" w:hAnsi="Arial Narrow"/>
                <w:sz w:val="16"/>
                <w:szCs w:val="16"/>
              </w:rPr>
            </w:pPr>
          </w:p>
        </w:tc>
      </w:tr>
      <w:tr w:rsidR="005C3C04" w:rsidRPr="00BC2C5D" w14:paraId="3066009B" w14:textId="77777777" w:rsidTr="004B46D8">
        <w:trPr>
          <w:trHeight w:val="308"/>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4ABB8CC6" w14:textId="0D5E51AE" w:rsidR="005C3C04" w:rsidRPr="00A634FA" w:rsidRDefault="005C3C04" w:rsidP="00EB0D94">
            <w:pPr>
              <w:jc w:val="center"/>
              <w:rPr>
                <w:rFonts w:ascii="Arial Narrow" w:hAnsi="Arial Narrow" w:cs="Arial"/>
                <w:sz w:val="16"/>
                <w:szCs w:val="16"/>
              </w:rPr>
            </w:pPr>
            <w:r>
              <w:rPr>
                <w:rFonts w:ascii="Arial Narrow" w:hAnsi="Arial Narrow" w:cs="Arial"/>
                <w:sz w:val="16"/>
                <w:szCs w:val="16"/>
              </w:rPr>
              <w:t>22 February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18147567" w14:textId="77777777" w:rsidR="005C3C04" w:rsidRPr="00F10DE3" w:rsidRDefault="005C3C04" w:rsidP="00EB0D94">
            <w:pPr>
              <w:jc w:val="center"/>
              <w:rPr>
                <w:rFonts w:ascii="Arial Narrow" w:hAnsi="Arial Narrow" w:cs="Arial"/>
                <w:sz w:val="16"/>
                <w:szCs w:val="16"/>
              </w:rPr>
            </w:pPr>
          </w:p>
        </w:tc>
        <w:tc>
          <w:tcPr>
            <w:tcW w:w="1162" w:type="dxa"/>
            <w:tcBorders>
              <w:top w:val="single" w:sz="18" w:space="0" w:color="BFBFBF"/>
              <w:left w:val="single" w:sz="18" w:space="0" w:color="C0C0C0"/>
              <w:bottom w:val="nil"/>
              <w:right w:val="single" w:sz="18" w:space="0" w:color="BFBFBF"/>
            </w:tcBorders>
            <w:shd w:val="clear" w:color="auto" w:fill="FF0000"/>
            <w:vAlign w:val="center"/>
          </w:tcPr>
          <w:p w14:paraId="63E8B25A" w14:textId="7B64D308"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23</w:t>
            </w:r>
          </w:p>
        </w:tc>
        <w:tc>
          <w:tcPr>
            <w:tcW w:w="1162" w:type="dxa"/>
            <w:vMerge w:val="restart"/>
            <w:tcBorders>
              <w:top w:val="single" w:sz="18" w:space="0" w:color="BFBFBF"/>
              <w:left w:val="single" w:sz="18" w:space="0" w:color="BFBFBF"/>
              <w:right w:val="single" w:sz="18" w:space="0" w:color="C0C0C0"/>
            </w:tcBorders>
            <w:shd w:val="clear" w:color="auto" w:fill="FF0000"/>
            <w:vAlign w:val="center"/>
          </w:tcPr>
          <w:p w14:paraId="710F20E7" w14:textId="4B1DC616"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24</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6C6E2192" w14:textId="05E2BADF"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25</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80ACE5B" w14:textId="3EAE6954" w:rsidR="005C3C04" w:rsidRPr="00F10DE3" w:rsidRDefault="005C3C04" w:rsidP="00EB0D94">
            <w:pPr>
              <w:jc w:val="center"/>
              <w:rPr>
                <w:rFonts w:ascii="Arial Narrow" w:hAnsi="Arial Narrow" w:cs="Arial"/>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319B5DB0" w14:textId="7A4EDE1A" w:rsidR="005C3C04" w:rsidRPr="008805E5" w:rsidRDefault="008805E5" w:rsidP="00EB0D94">
            <w:pPr>
              <w:jc w:val="center"/>
              <w:rPr>
                <w:rFonts w:ascii="Arial Narrow" w:hAnsi="Arial Narrow"/>
                <w:color w:val="31849B"/>
                <w:sz w:val="16"/>
                <w:szCs w:val="16"/>
              </w:rPr>
            </w:pPr>
            <w:r w:rsidRPr="008805E5">
              <w:rPr>
                <w:rFonts w:ascii="Arial Narrow" w:hAnsi="Arial Narrow"/>
                <w:color w:val="31849B"/>
                <w:sz w:val="16"/>
                <w:szCs w:val="16"/>
              </w:rPr>
              <w:t>Doomadgee – Gulf Circuit</w:t>
            </w:r>
          </w:p>
        </w:tc>
      </w:tr>
      <w:tr w:rsidR="005C3C04" w:rsidRPr="00BC2C5D" w14:paraId="719E8F24" w14:textId="77777777" w:rsidTr="008805E5">
        <w:trPr>
          <w:trHeight w:val="284"/>
        </w:trPr>
        <w:tc>
          <w:tcPr>
            <w:tcW w:w="1526" w:type="dxa"/>
            <w:vMerge/>
            <w:tcBorders>
              <w:left w:val="single" w:sz="18" w:space="0" w:color="auto"/>
              <w:bottom w:val="single" w:sz="18" w:space="0" w:color="auto"/>
              <w:right w:val="single" w:sz="18" w:space="0" w:color="C0C0C0"/>
            </w:tcBorders>
            <w:shd w:val="clear" w:color="auto" w:fill="auto"/>
            <w:vAlign w:val="center"/>
          </w:tcPr>
          <w:p w14:paraId="680D9037" w14:textId="77777777" w:rsidR="005C3C04" w:rsidRDefault="005C3C04" w:rsidP="00EB0D94">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6B627D2C" w14:textId="77777777" w:rsidR="005C3C04" w:rsidRPr="00F10DE3" w:rsidRDefault="005C3C04" w:rsidP="00EB0D94">
            <w:pPr>
              <w:jc w:val="center"/>
              <w:rPr>
                <w:rFonts w:ascii="Arial Narrow" w:hAnsi="Arial Narrow" w:cs="Arial"/>
                <w:sz w:val="16"/>
                <w:szCs w:val="16"/>
              </w:rPr>
            </w:pPr>
          </w:p>
        </w:tc>
        <w:tc>
          <w:tcPr>
            <w:tcW w:w="1162" w:type="dxa"/>
            <w:tcBorders>
              <w:top w:val="nil"/>
              <w:left w:val="single" w:sz="18" w:space="0" w:color="C0C0C0"/>
              <w:bottom w:val="single" w:sz="18" w:space="0" w:color="auto"/>
              <w:right w:val="single" w:sz="18" w:space="0" w:color="BFBFBF"/>
            </w:tcBorders>
            <w:shd w:val="clear" w:color="auto" w:fill="31849B"/>
            <w:vAlign w:val="center"/>
          </w:tcPr>
          <w:p w14:paraId="3C68F01B" w14:textId="1DBE4529" w:rsidR="005C3C04" w:rsidRPr="00F10DE3" w:rsidRDefault="00A42988" w:rsidP="00193311">
            <w:pPr>
              <w:jc w:val="center"/>
              <w:rPr>
                <w:rFonts w:ascii="Arial Narrow" w:hAnsi="Arial Narrow" w:cs="Arial"/>
                <w:b/>
                <w:bCs/>
                <w:sz w:val="16"/>
                <w:szCs w:val="16"/>
              </w:rPr>
            </w:pPr>
            <w:r>
              <w:rPr>
                <w:rFonts w:ascii="Arial Narrow" w:hAnsi="Arial Narrow" w:cs="Arial"/>
                <w:b/>
                <w:bCs/>
                <w:sz w:val="16"/>
                <w:szCs w:val="16"/>
              </w:rPr>
              <w:t>23</w:t>
            </w:r>
          </w:p>
        </w:tc>
        <w:tc>
          <w:tcPr>
            <w:tcW w:w="1162" w:type="dxa"/>
            <w:vMerge/>
            <w:tcBorders>
              <w:left w:val="single" w:sz="18" w:space="0" w:color="BFBFBF"/>
              <w:bottom w:val="single" w:sz="18" w:space="0" w:color="auto"/>
              <w:right w:val="single" w:sz="18" w:space="0" w:color="C0C0C0"/>
            </w:tcBorders>
            <w:shd w:val="clear" w:color="auto" w:fill="FF0000"/>
            <w:vAlign w:val="center"/>
          </w:tcPr>
          <w:p w14:paraId="20CFFDAC" w14:textId="77777777" w:rsidR="005C3C04" w:rsidRPr="00F10DE3" w:rsidRDefault="005C3C04" w:rsidP="00EB0D94">
            <w:pPr>
              <w:jc w:val="center"/>
              <w:rPr>
                <w:rFonts w:ascii="Arial Narrow" w:hAnsi="Arial Narrow" w:cs="Arial"/>
                <w:b/>
                <w:bCs/>
                <w:sz w:val="16"/>
                <w:szCs w:val="16"/>
              </w:rPr>
            </w:pPr>
          </w:p>
        </w:tc>
        <w:tc>
          <w:tcPr>
            <w:tcW w:w="1162" w:type="dxa"/>
            <w:tcBorders>
              <w:top w:val="nil"/>
              <w:left w:val="single" w:sz="18" w:space="0" w:color="C0C0C0"/>
              <w:bottom w:val="single" w:sz="18" w:space="0" w:color="auto"/>
              <w:right w:val="single" w:sz="18" w:space="0" w:color="C0C0C0"/>
            </w:tcBorders>
            <w:shd w:val="clear" w:color="auto" w:fill="769245"/>
            <w:vAlign w:val="center"/>
          </w:tcPr>
          <w:p w14:paraId="66437C5C" w14:textId="0C024B8F" w:rsidR="005C3C04" w:rsidRPr="00F10DE3" w:rsidRDefault="00A42988" w:rsidP="00EB0D94">
            <w:pPr>
              <w:jc w:val="center"/>
              <w:rPr>
                <w:rFonts w:ascii="Arial Narrow" w:hAnsi="Arial Narrow" w:cs="Arial"/>
                <w:b/>
                <w:bCs/>
                <w:sz w:val="16"/>
                <w:szCs w:val="16"/>
              </w:rPr>
            </w:pPr>
            <w:r>
              <w:rPr>
                <w:rFonts w:ascii="Arial Narrow" w:hAnsi="Arial Narrow" w:cs="Arial"/>
                <w:b/>
                <w:bCs/>
                <w:sz w:val="16"/>
                <w:szCs w:val="16"/>
              </w:rPr>
              <w:t>25</w:t>
            </w:r>
          </w:p>
        </w:tc>
        <w:tc>
          <w:tcPr>
            <w:tcW w:w="1162" w:type="dxa"/>
            <w:vMerge/>
            <w:tcBorders>
              <w:left w:val="single" w:sz="18" w:space="0" w:color="C0C0C0"/>
              <w:bottom w:val="single" w:sz="18" w:space="0" w:color="auto"/>
              <w:right w:val="single" w:sz="18" w:space="0" w:color="auto"/>
            </w:tcBorders>
            <w:shd w:val="clear" w:color="auto" w:fill="auto"/>
            <w:vAlign w:val="center"/>
          </w:tcPr>
          <w:p w14:paraId="4606BD33" w14:textId="77777777" w:rsidR="005C3C04" w:rsidRPr="00F10DE3" w:rsidRDefault="005C3C04" w:rsidP="00EB0D94">
            <w:pPr>
              <w:jc w:val="center"/>
              <w:rPr>
                <w:rFonts w:ascii="Arial Narrow" w:hAnsi="Arial Narrow" w:cs="Arial"/>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0B9516F6" w14:textId="77777777" w:rsidR="005C3C04" w:rsidRPr="008805E5" w:rsidRDefault="005C3C04" w:rsidP="00EB0D94">
            <w:pPr>
              <w:jc w:val="center"/>
              <w:rPr>
                <w:rFonts w:ascii="Arial Narrow" w:hAnsi="Arial Narrow"/>
                <w:color w:val="31849B"/>
                <w:sz w:val="16"/>
                <w:szCs w:val="16"/>
              </w:rPr>
            </w:pPr>
          </w:p>
        </w:tc>
      </w:tr>
      <w:tr w:rsidR="00C45F66" w:rsidRPr="00BC2C5D" w14:paraId="4F42726F" w14:textId="77777777" w:rsidTr="008805E5">
        <w:trPr>
          <w:trHeight w:val="615"/>
        </w:trPr>
        <w:tc>
          <w:tcPr>
            <w:tcW w:w="1526" w:type="dxa"/>
            <w:tcBorders>
              <w:top w:val="single" w:sz="18" w:space="0" w:color="auto"/>
              <w:left w:val="single" w:sz="18" w:space="0" w:color="auto"/>
              <w:bottom w:val="single" w:sz="18" w:space="0" w:color="BFBFBF" w:themeColor="background1" w:themeShade="BF"/>
              <w:right w:val="single" w:sz="18" w:space="0" w:color="C0C0C0"/>
            </w:tcBorders>
            <w:shd w:val="clear" w:color="auto" w:fill="auto"/>
            <w:vAlign w:val="center"/>
          </w:tcPr>
          <w:p w14:paraId="547AAE0E" w14:textId="45725801" w:rsidR="00C45F66" w:rsidRPr="00A634FA" w:rsidRDefault="00C45F66" w:rsidP="00EB0D94">
            <w:pPr>
              <w:jc w:val="center"/>
              <w:rPr>
                <w:rFonts w:ascii="Arial Narrow" w:hAnsi="Arial Narrow" w:cs="Arial"/>
                <w:sz w:val="16"/>
                <w:szCs w:val="16"/>
              </w:rPr>
            </w:pPr>
            <w:r>
              <w:rPr>
                <w:rFonts w:ascii="Arial Narrow" w:hAnsi="Arial Narrow" w:cs="Arial"/>
                <w:sz w:val="16"/>
                <w:szCs w:val="16"/>
              </w:rPr>
              <w:t>1 March</w:t>
            </w:r>
          </w:p>
        </w:tc>
        <w:tc>
          <w:tcPr>
            <w:tcW w:w="1051" w:type="dxa"/>
            <w:tcBorders>
              <w:top w:val="single" w:sz="18" w:space="0" w:color="auto"/>
              <w:left w:val="single" w:sz="18" w:space="0" w:color="C0C0C0"/>
              <w:bottom w:val="single" w:sz="18" w:space="0" w:color="BFBFBF" w:themeColor="background1" w:themeShade="BF"/>
              <w:right w:val="single" w:sz="18" w:space="0" w:color="C0C0C0"/>
            </w:tcBorders>
            <w:shd w:val="clear" w:color="auto" w:fill="auto"/>
            <w:vAlign w:val="center"/>
          </w:tcPr>
          <w:p w14:paraId="01743E49" w14:textId="77777777" w:rsidR="00C45F66" w:rsidRPr="00F10DE3" w:rsidRDefault="00C45F66" w:rsidP="00EB0D94">
            <w:pPr>
              <w:jc w:val="center"/>
              <w:rPr>
                <w:rFonts w:ascii="Arial Narrow" w:hAnsi="Arial Narrow" w:cs="Arial"/>
                <w:sz w:val="16"/>
                <w:szCs w:val="16"/>
              </w:rPr>
            </w:pPr>
          </w:p>
        </w:tc>
        <w:tc>
          <w:tcPr>
            <w:tcW w:w="1162" w:type="dxa"/>
            <w:tcBorders>
              <w:top w:val="single" w:sz="18" w:space="0" w:color="auto"/>
              <w:left w:val="single" w:sz="18" w:space="0" w:color="C0C0C0"/>
              <w:bottom w:val="single" w:sz="18" w:space="0" w:color="BFBFBF" w:themeColor="background1" w:themeShade="BF"/>
              <w:right w:val="single" w:sz="18" w:space="0" w:color="BFBFBF"/>
            </w:tcBorders>
            <w:shd w:val="clear" w:color="auto" w:fill="A972A9"/>
            <w:vAlign w:val="center"/>
          </w:tcPr>
          <w:p w14:paraId="638618E9" w14:textId="4F195303" w:rsidR="00C45F66" w:rsidRPr="00F10DE3" w:rsidRDefault="00A42988" w:rsidP="00193311">
            <w:pPr>
              <w:jc w:val="center"/>
              <w:rPr>
                <w:rFonts w:ascii="Arial Narrow" w:hAnsi="Arial Narrow" w:cs="Arial"/>
                <w:b/>
                <w:bCs/>
                <w:sz w:val="16"/>
                <w:szCs w:val="16"/>
              </w:rPr>
            </w:pPr>
            <w:r>
              <w:rPr>
                <w:rFonts w:ascii="Arial Narrow" w:hAnsi="Arial Narrow" w:cs="Arial"/>
                <w:b/>
                <w:bCs/>
                <w:sz w:val="16"/>
                <w:szCs w:val="16"/>
              </w:rPr>
              <w:t>2</w:t>
            </w:r>
          </w:p>
        </w:tc>
        <w:tc>
          <w:tcPr>
            <w:tcW w:w="1162" w:type="dxa"/>
            <w:tcBorders>
              <w:top w:val="single" w:sz="18" w:space="0" w:color="auto"/>
              <w:left w:val="single" w:sz="18" w:space="0" w:color="BFBFBF"/>
              <w:bottom w:val="single" w:sz="18" w:space="0" w:color="BFBFBF" w:themeColor="background1" w:themeShade="BF"/>
              <w:right w:val="single" w:sz="18" w:space="0" w:color="C0C0C0"/>
            </w:tcBorders>
            <w:shd w:val="clear" w:color="auto" w:fill="A972A9"/>
            <w:vAlign w:val="center"/>
          </w:tcPr>
          <w:p w14:paraId="2A768ACC" w14:textId="19927E6C" w:rsidR="00C45F66" w:rsidRPr="00F10DE3" w:rsidRDefault="00A42988" w:rsidP="00EB0D94">
            <w:pPr>
              <w:jc w:val="center"/>
              <w:rPr>
                <w:rFonts w:ascii="Arial Narrow" w:hAnsi="Arial Narrow" w:cs="Arial"/>
                <w:b/>
                <w:bCs/>
                <w:sz w:val="16"/>
                <w:szCs w:val="16"/>
              </w:rPr>
            </w:pPr>
            <w:r>
              <w:rPr>
                <w:rFonts w:ascii="Arial Narrow" w:hAnsi="Arial Narrow" w:cs="Arial"/>
                <w:b/>
                <w:bCs/>
                <w:sz w:val="16"/>
                <w:szCs w:val="16"/>
              </w:rPr>
              <w:t>3</w:t>
            </w:r>
          </w:p>
        </w:tc>
        <w:tc>
          <w:tcPr>
            <w:tcW w:w="1162" w:type="dxa"/>
            <w:tcBorders>
              <w:top w:val="single" w:sz="18" w:space="0" w:color="auto"/>
              <w:left w:val="single" w:sz="18" w:space="0" w:color="C0C0C0"/>
              <w:bottom w:val="single" w:sz="18" w:space="0" w:color="BFBFBF" w:themeColor="background1" w:themeShade="BF"/>
              <w:right w:val="single" w:sz="18" w:space="0" w:color="C0C0C0"/>
            </w:tcBorders>
            <w:shd w:val="thinDiagCross" w:color="auto" w:fill="A972A9"/>
            <w:vAlign w:val="center"/>
          </w:tcPr>
          <w:p w14:paraId="20B7857C" w14:textId="2408B107" w:rsidR="00C45F66" w:rsidRPr="00F10DE3" w:rsidRDefault="00A42988" w:rsidP="00193311">
            <w:pPr>
              <w:jc w:val="center"/>
              <w:rPr>
                <w:rFonts w:ascii="Arial Narrow" w:hAnsi="Arial Narrow" w:cs="Arial"/>
                <w:b/>
                <w:bCs/>
                <w:color w:val="000000"/>
                <w:sz w:val="16"/>
                <w:szCs w:val="16"/>
              </w:rPr>
            </w:pPr>
            <w:r>
              <w:rPr>
                <w:rFonts w:ascii="Arial Narrow" w:hAnsi="Arial Narrow" w:cs="Arial"/>
                <w:b/>
                <w:bCs/>
                <w:color w:val="000000"/>
                <w:sz w:val="16"/>
                <w:szCs w:val="16"/>
              </w:rPr>
              <w:t>4</w:t>
            </w:r>
          </w:p>
        </w:tc>
        <w:tc>
          <w:tcPr>
            <w:tcW w:w="1162" w:type="dxa"/>
            <w:tcBorders>
              <w:top w:val="single" w:sz="18" w:space="0" w:color="auto"/>
              <w:left w:val="single" w:sz="18" w:space="0" w:color="C0C0C0"/>
              <w:bottom w:val="single" w:sz="18" w:space="0" w:color="BFBFBF" w:themeColor="background1" w:themeShade="BF"/>
              <w:right w:val="single" w:sz="18" w:space="0" w:color="auto"/>
            </w:tcBorders>
            <w:shd w:val="clear" w:color="auto" w:fill="auto"/>
            <w:vAlign w:val="center"/>
          </w:tcPr>
          <w:p w14:paraId="3B88A390" w14:textId="77777777" w:rsidR="00C45F66" w:rsidRPr="00F10DE3" w:rsidRDefault="00C45F66"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bottom w:val="single" w:sz="18" w:space="0" w:color="BFBFBF" w:themeColor="background1" w:themeShade="BF"/>
              <w:right w:val="single" w:sz="18" w:space="0" w:color="auto"/>
            </w:tcBorders>
            <w:shd w:val="clear" w:color="auto" w:fill="auto"/>
            <w:vAlign w:val="center"/>
          </w:tcPr>
          <w:p w14:paraId="03F7AA07" w14:textId="31FBE494" w:rsidR="00C45F66" w:rsidRPr="008805E5" w:rsidRDefault="008805E5" w:rsidP="00EB0D94">
            <w:pPr>
              <w:jc w:val="center"/>
              <w:rPr>
                <w:rFonts w:ascii="Arial Narrow" w:hAnsi="Arial Narrow" w:cs="Arial"/>
                <w:sz w:val="16"/>
                <w:szCs w:val="16"/>
              </w:rPr>
            </w:pPr>
            <w:r w:rsidRPr="008805E5">
              <w:rPr>
                <w:rFonts w:ascii="Arial Narrow" w:hAnsi="Arial Narrow"/>
                <w:color w:val="31849B"/>
                <w:sz w:val="16"/>
                <w:szCs w:val="16"/>
              </w:rPr>
              <w:t>Cooktown – Circuit</w:t>
            </w:r>
          </w:p>
        </w:tc>
      </w:tr>
      <w:tr w:rsidR="005C3C04" w:rsidRPr="00BC2C5D" w14:paraId="1709D6A1" w14:textId="77777777" w:rsidTr="008805E5">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51BF0A00" w14:textId="3834448C" w:rsidR="005C3C04" w:rsidRPr="00390B39" w:rsidRDefault="005C3C04" w:rsidP="00390B39">
            <w:pPr>
              <w:jc w:val="center"/>
              <w:rPr>
                <w:rFonts w:ascii="Arial Narrow" w:hAnsi="Arial Narrow" w:cs="Arial"/>
                <w:sz w:val="16"/>
                <w:szCs w:val="16"/>
              </w:rPr>
            </w:pPr>
            <w:r>
              <w:rPr>
                <w:rFonts w:ascii="Arial Narrow" w:hAnsi="Arial Narrow" w:cs="Arial"/>
                <w:sz w:val="16"/>
                <w:szCs w:val="16"/>
              </w:rPr>
              <w:t>8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8EF7F10" w14:textId="77777777" w:rsidR="005C3C04" w:rsidRPr="00F10DE3" w:rsidRDefault="005C3C04" w:rsidP="00EB0D94">
            <w:pPr>
              <w:jc w:val="center"/>
              <w:rPr>
                <w:rFonts w:ascii="Arial Narrow" w:hAnsi="Arial Narrow" w:cs="Arial"/>
                <w:color w:val="000000"/>
                <w:sz w:val="16"/>
                <w:szCs w:val="16"/>
              </w:rPr>
            </w:pPr>
          </w:p>
        </w:tc>
        <w:tc>
          <w:tcPr>
            <w:tcW w:w="1162" w:type="dxa"/>
            <w:vMerge w:val="restart"/>
            <w:tcBorders>
              <w:top w:val="single" w:sz="18" w:space="0" w:color="BFBFBF" w:themeColor="background1" w:themeShade="BF"/>
              <w:left w:val="single" w:sz="18" w:space="0" w:color="C0C0C0"/>
              <w:right w:val="single" w:sz="18" w:space="0" w:color="BFBFBF"/>
            </w:tcBorders>
            <w:shd w:val="clear" w:color="auto" w:fill="FF0000"/>
            <w:vAlign w:val="center"/>
          </w:tcPr>
          <w:p w14:paraId="06EA5338" w14:textId="26857B72" w:rsidR="005C3C04" w:rsidRPr="00F10DE3" w:rsidRDefault="005C3C04" w:rsidP="00EB0D94">
            <w:pPr>
              <w:jc w:val="center"/>
              <w:rPr>
                <w:rFonts w:ascii="Arial Narrow" w:hAnsi="Arial Narrow" w:cs="Arial"/>
                <w:b/>
                <w:bCs/>
                <w:color w:val="000000"/>
                <w:sz w:val="16"/>
                <w:szCs w:val="16"/>
              </w:rPr>
            </w:pPr>
            <w:r>
              <w:rPr>
                <w:rFonts w:ascii="Arial Narrow" w:hAnsi="Arial Narrow" w:cs="Arial"/>
                <w:b/>
                <w:bCs/>
                <w:color w:val="000000"/>
                <w:sz w:val="16"/>
                <w:szCs w:val="16"/>
              </w:rPr>
              <w:t>9</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66874CFB" w14:textId="7155AB99" w:rsidR="005C3C04" w:rsidRPr="00F10DE3" w:rsidRDefault="005C3C04" w:rsidP="00EB0D94">
            <w:pPr>
              <w:jc w:val="center"/>
              <w:rPr>
                <w:rFonts w:ascii="Arial Narrow" w:hAnsi="Arial Narrow" w:cs="Arial"/>
                <w:b/>
                <w:bCs/>
                <w:color w:val="000000"/>
                <w:sz w:val="16"/>
                <w:szCs w:val="16"/>
              </w:rPr>
            </w:pPr>
            <w:r>
              <w:rPr>
                <w:rFonts w:ascii="Arial Narrow" w:hAnsi="Arial Narrow" w:cs="Arial"/>
                <w:b/>
                <w:bCs/>
                <w:color w:val="000000"/>
                <w:sz w:val="16"/>
                <w:szCs w:val="16"/>
              </w:rPr>
              <w:t>10</w:t>
            </w:r>
          </w:p>
        </w:tc>
        <w:tc>
          <w:tcPr>
            <w:tcW w:w="1162" w:type="dxa"/>
            <w:tcBorders>
              <w:top w:val="single" w:sz="18" w:space="0" w:color="BFBFBF" w:themeColor="background1" w:themeShade="BF"/>
              <w:left w:val="single" w:sz="18" w:space="0" w:color="C0C0C0"/>
              <w:bottom w:val="nil"/>
              <w:right w:val="single" w:sz="18" w:space="0" w:color="C0C0C0"/>
            </w:tcBorders>
            <w:shd w:val="clear" w:color="auto" w:fill="FF0000"/>
            <w:vAlign w:val="center"/>
          </w:tcPr>
          <w:p w14:paraId="6FA11784" w14:textId="43814BA3"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11</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12101718"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E52BC2E" w14:textId="26BD991C" w:rsidR="005C3C04" w:rsidRPr="008805E5" w:rsidRDefault="008805E5" w:rsidP="002B2062">
            <w:pPr>
              <w:jc w:val="center"/>
              <w:rPr>
                <w:rFonts w:ascii="Arial Narrow" w:hAnsi="Arial Narrow"/>
                <w:color w:val="31849B"/>
                <w:sz w:val="16"/>
                <w:szCs w:val="16"/>
              </w:rPr>
            </w:pPr>
            <w:r w:rsidRPr="008805E5">
              <w:rPr>
                <w:rFonts w:ascii="Arial Narrow" w:hAnsi="Arial Narrow"/>
                <w:color w:val="31849B"/>
                <w:sz w:val="16"/>
                <w:szCs w:val="16"/>
              </w:rPr>
              <w:t>Aurukun Cape B &amp; Coen Cape A Circuit</w:t>
            </w:r>
          </w:p>
        </w:tc>
      </w:tr>
      <w:tr w:rsidR="005C3C04" w:rsidRPr="00BC2C5D" w14:paraId="701F2BE1" w14:textId="77777777" w:rsidTr="004B46D8">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5BDCA7E5" w14:textId="77777777" w:rsidR="005C3C04" w:rsidRDefault="005C3C04" w:rsidP="00390B3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3B21F38E" w14:textId="77777777" w:rsidR="005C3C04" w:rsidRPr="00F10DE3" w:rsidRDefault="005C3C04" w:rsidP="00EB0D94">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FF0000"/>
            <w:vAlign w:val="center"/>
          </w:tcPr>
          <w:p w14:paraId="20894FA0" w14:textId="77777777" w:rsidR="005C3C04" w:rsidRDefault="005C3C04" w:rsidP="00EB0D94">
            <w:pPr>
              <w:jc w:val="center"/>
              <w:rPr>
                <w:rFonts w:ascii="Arial Narrow" w:hAnsi="Arial Narrow" w:cs="Arial"/>
                <w:b/>
                <w:bCs/>
                <w:color w:val="000000"/>
                <w:sz w:val="16"/>
                <w:szCs w:val="16"/>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FF0000"/>
            <w:vAlign w:val="center"/>
          </w:tcPr>
          <w:p w14:paraId="4EC07A13" w14:textId="77777777" w:rsidR="005C3C04" w:rsidRDefault="005C3C04" w:rsidP="00EB0D94">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491819A5" w14:textId="68C4A73D"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11</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3C9CBA9D"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63AFF38C" w14:textId="77777777" w:rsidR="005C3C04" w:rsidRPr="008805E5" w:rsidRDefault="005C3C04" w:rsidP="002B2062">
            <w:pPr>
              <w:jc w:val="center"/>
              <w:rPr>
                <w:rFonts w:ascii="Arial Narrow" w:hAnsi="Arial Narrow"/>
                <w:color w:val="31849B"/>
                <w:sz w:val="16"/>
                <w:szCs w:val="16"/>
              </w:rPr>
            </w:pPr>
          </w:p>
        </w:tc>
      </w:tr>
      <w:tr w:rsidR="005C3C04" w:rsidRPr="00BC2C5D" w14:paraId="73DF2101" w14:textId="77777777" w:rsidTr="004B46D8">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6F7B8E84" w14:textId="0B66A6F3" w:rsidR="005C3C04" w:rsidRPr="00390B39" w:rsidRDefault="005C3C04" w:rsidP="00390B39">
            <w:pPr>
              <w:jc w:val="center"/>
              <w:rPr>
                <w:rFonts w:ascii="Arial Narrow" w:hAnsi="Arial Narrow" w:cs="Arial"/>
                <w:sz w:val="16"/>
                <w:szCs w:val="16"/>
              </w:rPr>
            </w:pPr>
            <w:r>
              <w:rPr>
                <w:rFonts w:ascii="Arial Narrow" w:hAnsi="Arial Narrow" w:cs="Arial"/>
                <w:sz w:val="16"/>
                <w:szCs w:val="16"/>
              </w:rPr>
              <w:t>15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2174859" w14:textId="77777777" w:rsidR="005C3C04" w:rsidRPr="00F10DE3" w:rsidRDefault="005C3C04"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A972A9"/>
            <w:vAlign w:val="center"/>
          </w:tcPr>
          <w:p w14:paraId="023F7BD7" w14:textId="464CB32A"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16</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A972A9"/>
            <w:vAlign w:val="center"/>
          </w:tcPr>
          <w:p w14:paraId="587EA42C" w14:textId="27641272"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17</w:t>
            </w:r>
          </w:p>
        </w:tc>
        <w:tc>
          <w:tcPr>
            <w:tcW w:w="1162" w:type="dxa"/>
            <w:vMerge w:val="restart"/>
            <w:tcBorders>
              <w:top w:val="single" w:sz="18" w:space="0" w:color="C0C0C0"/>
              <w:left w:val="single" w:sz="18" w:space="0" w:color="C0C0C0"/>
              <w:bottom w:val="single" w:sz="18" w:space="0" w:color="C0C0C0"/>
              <w:right w:val="single" w:sz="18" w:space="0" w:color="C0C0C0"/>
            </w:tcBorders>
            <w:shd w:val="thinDiagCross" w:color="auto" w:fill="A972A9"/>
            <w:vAlign w:val="center"/>
          </w:tcPr>
          <w:p w14:paraId="0D6D0741" w14:textId="21A8D72B" w:rsidR="005C3C04" w:rsidRPr="00F10DE3"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18</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ABBF5DF"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07D43AC4" w14:textId="6191EF09" w:rsidR="005C3C04" w:rsidRPr="008805E5" w:rsidRDefault="005C3C04" w:rsidP="00EB0D94">
            <w:pPr>
              <w:jc w:val="center"/>
              <w:rPr>
                <w:rFonts w:ascii="Arial Narrow" w:hAnsi="Arial Narrow"/>
                <w:color w:val="31849B"/>
                <w:sz w:val="16"/>
                <w:szCs w:val="16"/>
              </w:rPr>
            </w:pPr>
          </w:p>
        </w:tc>
      </w:tr>
      <w:tr w:rsidR="005C3C04" w:rsidRPr="00BC2C5D" w14:paraId="7427F9BD" w14:textId="77777777" w:rsidTr="004B46D8">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5D24D082" w14:textId="77777777" w:rsidR="005C3C04" w:rsidRDefault="005C3C04" w:rsidP="00390B3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685FFFE3" w14:textId="77777777" w:rsidR="005C3C04" w:rsidRPr="00F10DE3" w:rsidRDefault="005C3C04"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BFBFBF"/>
              <w:right w:val="single" w:sz="18" w:space="0" w:color="BFBFBF"/>
            </w:tcBorders>
            <w:shd w:val="clear" w:color="auto" w:fill="FFFF00"/>
            <w:vAlign w:val="center"/>
          </w:tcPr>
          <w:p w14:paraId="45E8A08D" w14:textId="0058A051" w:rsidR="005C3C04" w:rsidRPr="00F10DE3" w:rsidRDefault="005C3C04" w:rsidP="00EB0D94">
            <w:pPr>
              <w:jc w:val="center"/>
              <w:rPr>
                <w:rFonts w:ascii="Arial Narrow" w:hAnsi="Arial Narrow" w:cs="Arial"/>
                <w:b/>
                <w:bCs/>
                <w:color w:val="000000"/>
                <w:sz w:val="16"/>
                <w:szCs w:val="16"/>
              </w:rPr>
            </w:pPr>
            <w:r>
              <w:rPr>
                <w:rFonts w:ascii="Arial Narrow" w:hAnsi="Arial Narrow" w:cs="Arial"/>
                <w:b/>
                <w:bCs/>
                <w:color w:val="000000"/>
                <w:sz w:val="16"/>
                <w:szCs w:val="16"/>
              </w:rPr>
              <w:t>16</w:t>
            </w:r>
          </w:p>
        </w:tc>
        <w:tc>
          <w:tcPr>
            <w:tcW w:w="1162" w:type="dxa"/>
            <w:vMerge/>
            <w:tcBorders>
              <w:left w:val="single" w:sz="18" w:space="0" w:color="BFBFBF"/>
              <w:bottom w:val="single" w:sz="18" w:space="0" w:color="BFBFBF" w:themeColor="background1" w:themeShade="BF"/>
              <w:right w:val="single" w:sz="18" w:space="0" w:color="C0C0C0"/>
            </w:tcBorders>
            <w:shd w:val="clear" w:color="auto" w:fill="auto"/>
            <w:vAlign w:val="center"/>
          </w:tcPr>
          <w:p w14:paraId="08640915" w14:textId="77777777" w:rsidR="005C3C04" w:rsidRPr="00F10DE3" w:rsidRDefault="005C3C04" w:rsidP="00EB0D94">
            <w:pPr>
              <w:jc w:val="center"/>
              <w:rPr>
                <w:rFonts w:ascii="Arial Narrow" w:hAnsi="Arial Narrow" w:cs="Arial"/>
                <w:b/>
                <w:bCs/>
                <w:color w:val="000000"/>
                <w:sz w:val="16"/>
                <w:szCs w:val="16"/>
              </w:rPr>
            </w:pPr>
          </w:p>
        </w:tc>
        <w:tc>
          <w:tcPr>
            <w:tcW w:w="1162" w:type="dxa"/>
            <w:vMerge/>
            <w:tcBorders>
              <w:top w:val="single" w:sz="18" w:space="0" w:color="FFFFFF"/>
              <w:left w:val="single" w:sz="18" w:space="0" w:color="C0C0C0"/>
              <w:bottom w:val="single" w:sz="18" w:space="0" w:color="C0C0C0"/>
              <w:right w:val="single" w:sz="18" w:space="0" w:color="C0C0C0"/>
            </w:tcBorders>
            <w:shd w:val="thinDiagCross" w:color="auto" w:fill="A972A9"/>
            <w:vAlign w:val="center"/>
          </w:tcPr>
          <w:p w14:paraId="00BD2587" w14:textId="77777777" w:rsidR="005C3C04" w:rsidRPr="00F10DE3" w:rsidRDefault="005C3C04" w:rsidP="00EB0D94">
            <w:pPr>
              <w:jc w:val="center"/>
              <w:rPr>
                <w:rFonts w:ascii="Arial Narrow" w:hAnsi="Arial Narrow" w:cs="Arial"/>
                <w:b/>
                <w:bCs/>
                <w:color w:val="000000"/>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735556AD" w14:textId="77777777" w:rsidR="005C3C04" w:rsidRPr="00F10DE3" w:rsidRDefault="005C3C04"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2BEB1240" w14:textId="77777777" w:rsidR="005C3C04" w:rsidRPr="008805E5" w:rsidRDefault="005C3C04" w:rsidP="00EB0D94">
            <w:pPr>
              <w:jc w:val="center"/>
              <w:rPr>
                <w:rFonts w:ascii="Arial Narrow" w:hAnsi="Arial Narrow"/>
                <w:color w:val="31849B"/>
                <w:sz w:val="16"/>
                <w:szCs w:val="16"/>
              </w:rPr>
            </w:pPr>
          </w:p>
        </w:tc>
      </w:tr>
      <w:tr w:rsidR="005C3C04" w:rsidRPr="00BC2C5D" w14:paraId="307A9FC1" w14:textId="77777777" w:rsidTr="004B46D8">
        <w:trPr>
          <w:trHeight w:val="285"/>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3CB29D9B" w14:textId="2B22EE06" w:rsidR="005C3C04" w:rsidRPr="00390B39" w:rsidRDefault="005C3C04" w:rsidP="00390B39">
            <w:pPr>
              <w:jc w:val="center"/>
              <w:rPr>
                <w:rFonts w:ascii="Arial Narrow" w:hAnsi="Arial Narrow" w:cs="Arial"/>
                <w:sz w:val="16"/>
                <w:szCs w:val="16"/>
              </w:rPr>
            </w:pPr>
            <w:r>
              <w:rPr>
                <w:rFonts w:ascii="Arial Narrow" w:hAnsi="Arial Narrow" w:cs="Arial"/>
                <w:sz w:val="16"/>
                <w:szCs w:val="16"/>
              </w:rPr>
              <w:t>22 March</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2B552431" w14:textId="77777777" w:rsidR="005C3C04" w:rsidRPr="00A634FA" w:rsidRDefault="005C3C04" w:rsidP="00EB0D94">
            <w:pPr>
              <w:jc w:val="center"/>
              <w:rPr>
                <w:rFonts w:ascii="Arial Narrow" w:hAnsi="Arial Narrow" w:cs="Arial"/>
                <w:color w:val="000000"/>
                <w:sz w:val="16"/>
                <w:szCs w:val="16"/>
              </w:rPr>
            </w:pPr>
          </w:p>
        </w:tc>
        <w:tc>
          <w:tcPr>
            <w:tcW w:w="1162" w:type="dxa"/>
            <w:vMerge w:val="restart"/>
            <w:tcBorders>
              <w:top w:val="single" w:sz="18" w:space="0" w:color="BFBFBF"/>
              <w:left w:val="single" w:sz="18" w:space="0" w:color="C0C0C0"/>
              <w:right w:val="single" w:sz="18" w:space="0" w:color="BFBFBF"/>
            </w:tcBorders>
            <w:shd w:val="clear" w:color="auto" w:fill="FF0000"/>
            <w:vAlign w:val="center"/>
          </w:tcPr>
          <w:p w14:paraId="7C5A4051" w14:textId="1809D405" w:rsidR="005C3C04" w:rsidRPr="005C3C04" w:rsidRDefault="005C3C04" w:rsidP="00EB0D94">
            <w:pPr>
              <w:jc w:val="center"/>
              <w:rPr>
                <w:rFonts w:ascii="Arial Narrow" w:hAnsi="Arial Narrow" w:cs="Arial"/>
                <w:b/>
                <w:bCs/>
                <w:color w:val="000000"/>
                <w:sz w:val="16"/>
                <w:szCs w:val="16"/>
              </w:rPr>
            </w:pPr>
            <w:r w:rsidRPr="005C3C04">
              <w:rPr>
                <w:rFonts w:ascii="Arial Narrow" w:hAnsi="Arial Narrow" w:cs="Arial"/>
                <w:b/>
                <w:bCs/>
                <w:color w:val="000000"/>
                <w:sz w:val="16"/>
                <w:szCs w:val="16"/>
              </w:rPr>
              <w:t>23</w:t>
            </w:r>
          </w:p>
        </w:tc>
        <w:tc>
          <w:tcPr>
            <w:tcW w:w="1162" w:type="dxa"/>
            <w:vMerge w:val="restart"/>
            <w:tcBorders>
              <w:top w:val="single" w:sz="18" w:space="0" w:color="BFBFBF" w:themeColor="background1" w:themeShade="BF"/>
              <w:left w:val="single" w:sz="18" w:space="0" w:color="BFBFBF"/>
              <w:right w:val="single" w:sz="18" w:space="0" w:color="C0C0C0"/>
            </w:tcBorders>
            <w:shd w:val="clear" w:color="auto" w:fill="FF0000"/>
            <w:vAlign w:val="center"/>
          </w:tcPr>
          <w:p w14:paraId="2D625F6F" w14:textId="3B1A4BFD" w:rsidR="005C3C04" w:rsidRPr="005C3C04" w:rsidRDefault="005C3C04" w:rsidP="00EB0D94">
            <w:pPr>
              <w:jc w:val="center"/>
              <w:rPr>
                <w:rFonts w:ascii="Arial Narrow" w:hAnsi="Arial Narrow" w:cs="Arial"/>
                <w:b/>
                <w:bCs/>
                <w:color w:val="000000"/>
                <w:sz w:val="16"/>
                <w:szCs w:val="16"/>
              </w:rPr>
            </w:pPr>
            <w:r w:rsidRPr="005C3C04">
              <w:rPr>
                <w:rFonts w:ascii="Arial Narrow" w:hAnsi="Arial Narrow" w:cs="Arial"/>
                <w:b/>
                <w:bCs/>
                <w:color w:val="000000"/>
                <w:sz w:val="16"/>
                <w:szCs w:val="16"/>
              </w:rPr>
              <w:t>24</w:t>
            </w:r>
          </w:p>
        </w:tc>
        <w:tc>
          <w:tcPr>
            <w:tcW w:w="1162" w:type="dxa"/>
            <w:tcBorders>
              <w:top w:val="single" w:sz="18" w:space="0" w:color="C0C0C0"/>
              <w:left w:val="single" w:sz="18" w:space="0" w:color="C0C0C0"/>
              <w:bottom w:val="nil"/>
              <w:right w:val="single" w:sz="18" w:space="0" w:color="C0C0C0"/>
            </w:tcBorders>
            <w:shd w:val="clear" w:color="auto" w:fill="FF0000"/>
            <w:vAlign w:val="center"/>
          </w:tcPr>
          <w:p w14:paraId="31F3F07A" w14:textId="49ABA444" w:rsidR="005C3C04" w:rsidRPr="005C3C04"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25</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765D5946" w14:textId="77777777" w:rsidR="005C3C04" w:rsidRPr="00A634FA" w:rsidRDefault="005C3C04" w:rsidP="00EB0D94">
            <w:pPr>
              <w:jc w:val="center"/>
              <w:rPr>
                <w:rFonts w:ascii="Arial Narrow" w:hAnsi="Arial Narrow" w:cs="Arial"/>
                <w:color w:val="000000"/>
                <w:sz w:val="16"/>
                <w:szCs w:val="16"/>
              </w:rPr>
            </w:pPr>
          </w:p>
        </w:tc>
        <w:tc>
          <w:tcPr>
            <w:tcW w:w="3633" w:type="dxa"/>
            <w:gridSpan w:val="2"/>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7636D447" w14:textId="55B2C24D" w:rsidR="005C3C04" w:rsidRPr="008805E5" w:rsidRDefault="008805E5" w:rsidP="00EB0D94">
            <w:pPr>
              <w:jc w:val="center"/>
              <w:rPr>
                <w:rFonts w:ascii="Arial Narrow" w:hAnsi="Arial Narrow"/>
                <w:sz w:val="16"/>
                <w:szCs w:val="16"/>
              </w:rPr>
            </w:pPr>
            <w:r w:rsidRPr="008805E5">
              <w:rPr>
                <w:rFonts w:ascii="Arial Narrow" w:hAnsi="Arial Narrow"/>
                <w:color w:val="31849B"/>
                <w:sz w:val="16"/>
                <w:szCs w:val="16"/>
              </w:rPr>
              <w:t>Doomadgee – Gulf Circuit</w:t>
            </w:r>
          </w:p>
        </w:tc>
      </w:tr>
      <w:tr w:rsidR="005C3C04" w:rsidRPr="00BC2C5D" w14:paraId="2EA53E51" w14:textId="77777777" w:rsidTr="004B46D8">
        <w:trPr>
          <w:trHeight w:val="285"/>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7CBA43AC" w14:textId="77777777" w:rsidR="005C3C04" w:rsidRDefault="005C3C04" w:rsidP="00390B3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10C323FC" w14:textId="77777777" w:rsidR="005C3C04" w:rsidRPr="00A634FA" w:rsidRDefault="005C3C04" w:rsidP="00EB0D94">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BFBFBF"/>
            </w:tcBorders>
            <w:shd w:val="clear" w:color="auto" w:fill="FF0000"/>
            <w:vAlign w:val="center"/>
          </w:tcPr>
          <w:p w14:paraId="29482FD3" w14:textId="77777777" w:rsidR="005C3C04" w:rsidRPr="005C3C04" w:rsidRDefault="005C3C04" w:rsidP="00EB0D94">
            <w:pPr>
              <w:jc w:val="center"/>
              <w:rPr>
                <w:rFonts w:ascii="Arial Narrow" w:hAnsi="Arial Narrow" w:cs="Arial"/>
                <w:b/>
                <w:bCs/>
                <w:color w:val="000000"/>
                <w:sz w:val="16"/>
                <w:szCs w:val="16"/>
              </w:rPr>
            </w:pPr>
          </w:p>
        </w:tc>
        <w:tc>
          <w:tcPr>
            <w:tcW w:w="1162" w:type="dxa"/>
            <w:vMerge/>
            <w:tcBorders>
              <w:left w:val="single" w:sz="18" w:space="0" w:color="BFBFBF"/>
              <w:bottom w:val="single" w:sz="18" w:space="0" w:color="BFBFBF" w:themeColor="background1" w:themeShade="BF"/>
              <w:right w:val="single" w:sz="18" w:space="0" w:color="C0C0C0"/>
            </w:tcBorders>
            <w:shd w:val="clear" w:color="auto" w:fill="FF0000"/>
            <w:vAlign w:val="center"/>
          </w:tcPr>
          <w:p w14:paraId="515F6ABF" w14:textId="77777777" w:rsidR="005C3C04" w:rsidRPr="005C3C04" w:rsidRDefault="005C3C04" w:rsidP="00EB0D94">
            <w:pPr>
              <w:jc w:val="center"/>
              <w:rPr>
                <w:rFonts w:ascii="Arial Narrow" w:hAnsi="Arial Narrow" w:cs="Arial"/>
                <w:b/>
                <w:bCs/>
                <w:color w:val="000000"/>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548F0AF6" w14:textId="4A07C9D7" w:rsidR="005C3C04" w:rsidRPr="005C3C04" w:rsidRDefault="00A42988" w:rsidP="00EB0D94">
            <w:pPr>
              <w:jc w:val="center"/>
              <w:rPr>
                <w:rFonts w:ascii="Arial Narrow" w:hAnsi="Arial Narrow" w:cs="Arial"/>
                <w:b/>
                <w:bCs/>
                <w:color w:val="000000"/>
                <w:sz w:val="16"/>
                <w:szCs w:val="16"/>
              </w:rPr>
            </w:pPr>
            <w:r>
              <w:rPr>
                <w:rFonts w:ascii="Arial Narrow" w:hAnsi="Arial Narrow" w:cs="Arial"/>
                <w:b/>
                <w:bCs/>
                <w:color w:val="000000"/>
                <w:sz w:val="16"/>
                <w:szCs w:val="16"/>
              </w:rPr>
              <w:t>25</w:t>
            </w: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0EA45696" w14:textId="77777777" w:rsidR="005C3C04" w:rsidRPr="00A634FA" w:rsidRDefault="005C3C04"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BFBFBF" w:themeColor="background1" w:themeShade="BF"/>
              <w:right w:val="single" w:sz="18" w:space="0" w:color="auto"/>
            </w:tcBorders>
            <w:shd w:val="clear" w:color="auto" w:fill="auto"/>
            <w:vAlign w:val="center"/>
          </w:tcPr>
          <w:p w14:paraId="519A7C74" w14:textId="77777777" w:rsidR="005C3C04" w:rsidRPr="008805E5" w:rsidRDefault="005C3C04" w:rsidP="00EB0D94">
            <w:pPr>
              <w:jc w:val="center"/>
              <w:rPr>
                <w:rFonts w:ascii="Arial Narrow" w:hAnsi="Arial Narrow"/>
                <w:sz w:val="16"/>
                <w:szCs w:val="16"/>
              </w:rPr>
            </w:pPr>
          </w:p>
        </w:tc>
      </w:tr>
      <w:tr w:rsidR="00F22B87" w:rsidRPr="00BC2C5D" w14:paraId="04B98309" w14:textId="77777777" w:rsidTr="00F22B87">
        <w:trPr>
          <w:trHeight w:val="615"/>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B4F819B" w14:textId="0FD8FE5E" w:rsidR="00F22B87" w:rsidRPr="00390B39" w:rsidRDefault="00F22B87" w:rsidP="00390B39">
            <w:pPr>
              <w:jc w:val="center"/>
              <w:rPr>
                <w:rFonts w:ascii="Arial Narrow" w:hAnsi="Arial Narrow" w:cs="Arial"/>
                <w:sz w:val="16"/>
                <w:szCs w:val="16"/>
              </w:rPr>
            </w:pPr>
            <w:r>
              <w:rPr>
                <w:rFonts w:ascii="Arial Narrow" w:hAnsi="Arial Narrow" w:cs="Arial"/>
                <w:sz w:val="16"/>
                <w:szCs w:val="16"/>
              </w:rPr>
              <w:t>29 March</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642C16FC" w14:textId="77777777" w:rsidR="00F22B87" w:rsidRPr="00A634FA" w:rsidRDefault="00F22B87" w:rsidP="00EB0D94">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right w:val="single" w:sz="18" w:space="0" w:color="BFBFBF"/>
            </w:tcBorders>
            <w:shd w:val="clear" w:color="auto" w:fill="FFFF00"/>
            <w:vAlign w:val="center"/>
          </w:tcPr>
          <w:p w14:paraId="0A7AAF2C" w14:textId="7FA0ACDD" w:rsidR="00F22B87" w:rsidRPr="005C3C04" w:rsidRDefault="00F22B87" w:rsidP="00294AA0">
            <w:pPr>
              <w:jc w:val="center"/>
              <w:rPr>
                <w:rFonts w:ascii="Arial Narrow" w:hAnsi="Arial Narrow" w:cs="Arial"/>
                <w:b/>
                <w:bCs/>
                <w:color w:val="000000"/>
                <w:sz w:val="16"/>
                <w:szCs w:val="16"/>
              </w:rPr>
            </w:pPr>
            <w:r>
              <w:rPr>
                <w:rFonts w:ascii="Arial Narrow" w:hAnsi="Arial Narrow" w:cs="Arial"/>
                <w:b/>
                <w:bCs/>
                <w:color w:val="000000"/>
                <w:sz w:val="16"/>
                <w:szCs w:val="16"/>
              </w:rPr>
              <w:t>30</w:t>
            </w:r>
          </w:p>
        </w:tc>
        <w:tc>
          <w:tcPr>
            <w:tcW w:w="1162" w:type="dxa"/>
            <w:tcBorders>
              <w:top w:val="single" w:sz="18" w:space="0" w:color="BFBFBF" w:themeColor="background1" w:themeShade="BF"/>
              <w:left w:val="single" w:sz="18" w:space="0" w:color="BFBFBF"/>
              <w:right w:val="single" w:sz="18" w:space="0" w:color="C0C0C0"/>
            </w:tcBorders>
            <w:shd w:val="clear" w:color="auto" w:fill="A972A9"/>
            <w:vAlign w:val="center"/>
          </w:tcPr>
          <w:p w14:paraId="1F9ED47F" w14:textId="451C8402" w:rsidR="00F22B87" w:rsidRPr="005C3C04" w:rsidRDefault="00F22B87" w:rsidP="00EB0D94">
            <w:pPr>
              <w:jc w:val="center"/>
              <w:rPr>
                <w:rFonts w:ascii="Arial Narrow" w:hAnsi="Arial Narrow" w:cs="Arial"/>
                <w:b/>
                <w:bCs/>
                <w:color w:val="000000"/>
                <w:sz w:val="16"/>
                <w:szCs w:val="16"/>
              </w:rPr>
            </w:pPr>
            <w:r>
              <w:rPr>
                <w:rFonts w:ascii="Arial Narrow" w:hAnsi="Arial Narrow" w:cs="Arial"/>
                <w:b/>
                <w:bCs/>
                <w:color w:val="000000"/>
                <w:sz w:val="16"/>
                <w:szCs w:val="16"/>
              </w:rPr>
              <w:t>31</w:t>
            </w:r>
          </w:p>
        </w:tc>
        <w:tc>
          <w:tcPr>
            <w:tcW w:w="1162" w:type="dxa"/>
            <w:tcBorders>
              <w:top w:val="single" w:sz="18" w:space="0" w:color="C0C0C0"/>
              <w:left w:val="single" w:sz="18" w:space="0" w:color="C0C0C0"/>
              <w:right w:val="single" w:sz="18" w:space="0" w:color="C0C0C0"/>
            </w:tcBorders>
            <w:shd w:val="clear" w:color="auto" w:fill="auto"/>
            <w:vAlign w:val="center"/>
          </w:tcPr>
          <w:p w14:paraId="2B4AD7BE" w14:textId="77777777" w:rsidR="00F22B87" w:rsidRPr="005C3C04" w:rsidRDefault="00F22B87" w:rsidP="00EB0D94">
            <w:pPr>
              <w:jc w:val="center"/>
              <w:rPr>
                <w:rFonts w:ascii="Arial Narrow" w:hAnsi="Arial Narrow" w:cs="Arial"/>
                <w:b/>
                <w:bCs/>
                <w:color w:val="000000"/>
                <w:sz w:val="16"/>
                <w:szCs w:val="16"/>
              </w:rPr>
            </w:pPr>
          </w:p>
        </w:tc>
        <w:tc>
          <w:tcPr>
            <w:tcW w:w="1162" w:type="dxa"/>
            <w:tcBorders>
              <w:top w:val="single" w:sz="18" w:space="0" w:color="BFBFBF" w:themeColor="background1" w:themeShade="BF"/>
              <w:left w:val="single" w:sz="18" w:space="0" w:color="C0C0C0"/>
              <w:right w:val="single" w:sz="18" w:space="0" w:color="auto"/>
            </w:tcBorders>
            <w:shd w:val="clear" w:color="auto" w:fill="D9D9D9"/>
            <w:vAlign w:val="center"/>
          </w:tcPr>
          <w:p w14:paraId="71435210" w14:textId="193F18B3" w:rsidR="00F22B87" w:rsidRPr="00A634FA" w:rsidRDefault="00F22B87"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3633" w:type="dxa"/>
            <w:gridSpan w:val="2"/>
            <w:tcBorders>
              <w:top w:val="single" w:sz="18" w:space="0" w:color="BFBFBF" w:themeColor="background1" w:themeShade="BF"/>
              <w:left w:val="single" w:sz="18" w:space="0" w:color="auto"/>
              <w:right w:val="single" w:sz="18" w:space="0" w:color="auto"/>
            </w:tcBorders>
            <w:shd w:val="clear" w:color="auto" w:fill="auto"/>
            <w:vAlign w:val="center"/>
          </w:tcPr>
          <w:p w14:paraId="3EB018F0" w14:textId="5C017109" w:rsidR="00F22B87" w:rsidRPr="008805E5" w:rsidRDefault="00F22B87" w:rsidP="00EB0D94">
            <w:pPr>
              <w:jc w:val="center"/>
              <w:rPr>
                <w:rFonts w:ascii="Arial Narrow" w:hAnsi="Arial Narrow"/>
                <w:sz w:val="16"/>
                <w:szCs w:val="16"/>
              </w:rPr>
            </w:pPr>
            <w:r w:rsidRPr="008805E5">
              <w:rPr>
                <w:rFonts w:ascii="Arial Narrow" w:hAnsi="Arial Narrow" w:cs="Arial"/>
                <w:color w:val="244061"/>
                <w:sz w:val="16"/>
                <w:szCs w:val="16"/>
                <w:highlight w:val="yellow"/>
              </w:rPr>
              <w:t>2 Good Friday</w:t>
            </w:r>
          </w:p>
        </w:tc>
      </w:tr>
      <w:tr w:rsidR="00F65FFD" w:rsidRPr="00BC2C5D" w14:paraId="1920F1D5" w14:textId="77777777" w:rsidTr="004B46D8">
        <w:trPr>
          <w:trHeight w:val="567"/>
        </w:trPr>
        <w:tc>
          <w:tcPr>
            <w:tcW w:w="1526" w:type="dxa"/>
            <w:tcBorders>
              <w:top w:val="single" w:sz="18" w:space="0" w:color="auto"/>
              <w:left w:val="single" w:sz="18" w:space="0" w:color="auto"/>
              <w:right w:val="single" w:sz="18" w:space="0" w:color="C0C0C0"/>
            </w:tcBorders>
            <w:shd w:val="clear" w:color="auto" w:fill="auto"/>
            <w:vAlign w:val="center"/>
          </w:tcPr>
          <w:p w14:paraId="79CA0660" w14:textId="2BE8F129" w:rsidR="00F65FFD" w:rsidRPr="00A634FA" w:rsidRDefault="00F65FFD" w:rsidP="00390B39">
            <w:pPr>
              <w:jc w:val="center"/>
              <w:rPr>
                <w:rFonts w:ascii="Arial Narrow" w:hAnsi="Arial Narrow" w:cs="Arial"/>
                <w:sz w:val="16"/>
                <w:szCs w:val="16"/>
              </w:rPr>
            </w:pPr>
            <w:r w:rsidRPr="00390B39">
              <w:rPr>
                <w:rFonts w:ascii="Arial Narrow" w:hAnsi="Arial Narrow" w:cs="Arial"/>
                <w:sz w:val="16"/>
                <w:szCs w:val="16"/>
              </w:rPr>
              <w:t xml:space="preserve">5 </w:t>
            </w:r>
            <w:r w:rsidR="00362B60">
              <w:rPr>
                <w:rFonts w:ascii="Arial Narrow" w:hAnsi="Arial Narrow" w:cs="Arial"/>
                <w:sz w:val="16"/>
                <w:szCs w:val="16"/>
              </w:rPr>
              <w:t>April</w:t>
            </w:r>
          </w:p>
        </w:tc>
        <w:tc>
          <w:tcPr>
            <w:tcW w:w="1051" w:type="dxa"/>
            <w:tcBorders>
              <w:top w:val="single" w:sz="18" w:space="0" w:color="auto"/>
              <w:left w:val="single" w:sz="18" w:space="0" w:color="C0C0C0"/>
              <w:right w:val="single" w:sz="18" w:space="0" w:color="C0C0C0"/>
            </w:tcBorders>
            <w:shd w:val="clear" w:color="auto" w:fill="D9D9D9"/>
            <w:vAlign w:val="center"/>
          </w:tcPr>
          <w:p w14:paraId="56638F21" w14:textId="4AD8749C" w:rsidR="00F65FFD" w:rsidRPr="00A634FA" w:rsidRDefault="008D4D8C"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tcBorders>
              <w:top w:val="single" w:sz="18" w:space="0" w:color="auto"/>
              <w:left w:val="single" w:sz="18" w:space="0" w:color="C0C0C0"/>
              <w:right w:val="single" w:sz="18" w:space="0" w:color="BFBFBF"/>
            </w:tcBorders>
            <w:shd w:val="clear" w:color="auto" w:fill="D9D9D9"/>
            <w:vAlign w:val="center"/>
          </w:tcPr>
          <w:p w14:paraId="4476C160" w14:textId="48888BC1" w:rsidR="00F65FFD" w:rsidRPr="00D8497C" w:rsidRDefault="00F65FFD" w:rsidP="00F65FFD">
            <w:pPr>
              <w:jc w:val="center"/>
              <w:rPr>
                <w:rFonts w:ascii="Arial Narrow" w:hAnsi="Arial Narrow" w:cs="Arial"/>
                <w:b/>
                <w:bCs/>
                <w:color w:val="000000"/>
                <w:sz w:val="16"/>
                <w:szCs w:val="16"/>
              </w:rPr>
            </w:pPr>
          </w:p>
        </w:tc>
        <w:tc>
          <w:tcPr>
            <w:tcW w:w="1162" w:type="dxa"/>
            <w:tcBorders>
              <w:top w:val="single" w:sz="18" w:space="0" w:color="auto"/>
              <w:left w:val="single" w:sz="18" w:space="0" w:color="BFBFBF"/>
              <w:right w:val="single" w:sz="18" w:space="0" w:color="C0C0C0"/>
            </w:tcBorders>
            <w:shd w:val="clear" w:color="auto" w:fill="D9D9D9"/>
            <w:vAlign w:val="center"/>
          </w:tcPr>
          <w:p w14:paraId="1AE5584B" w14:textId="3BDAF397" w:rsidR="00F65FFD" w:rsidRPr="00D8497C" w:rsidRDefault="00F65FFD" w:rsidP="00EB0D94">
            <w:pPr>
              <w:jc w:val="center"/>
              <w:rPr>
                <w:rFonts w:ascii="Arial Narrow" w:hAnsi="Arial Narrow" w:cs="Arial"/>
                <w:b/>
                <w:bCs/>
                <w:color w:val="000000"/>
                <w:sz w:val="16"/>
                <w:szCs w:val="16"/>
              </w:rPr>
            </w:pPr>
          </w:p>
        </w:tc>
        <w:tc>
          <w:tcPr>
            <w:tcW w:w="1162" w:type="dxa"/>
            <w:tcBorders>
              <w:top w:val="single" w:sz="18" w:space="0" w:color="auto"/>
              <w:left w:val="single" w:sz="18" w:space="0" w:color="C0C0C0"/>
              <w:right w:val="single" w:sz="18" w:space="0" w:color="C0C0C0"/>
            </w:tcBorders>
            <w:shd w:val="clear" w:color="auto" w:fill="D9D9D9"/>
            <w:vAlign w:val="center"/>
          </w:tcPr>
          <w:p w14:paraId="6B78F59B" w14:textId="0AA37562" w:rsidR="00F65FFD" w:rsidRPr="00D8497C" w:rsidRDefault="00F65FFD" w:rsidP="00F65FFD">
            <w:pPr>
              <w:jc w:val="center"/>
              <w:rPr>
                <w:rFonts w:ascii="Arial Narrow" w:hAnsi="Arial Narrow" w:cs="Arial"/>
                <w:b/>
                <w:bCs/>
                <w:color w:val="000000"/>
                <w:sz w:val="16"/>
                <w:szCs w:val="16"/>
              </w:rPr>
            </w:pPr>
          </w:p>
        </w:tc>
        <w:tc>
          <w:tcPr>
            <w:tcW w:w="1162" w:type="dxa"/>
            <w:tcBorders>
              <w:top w:val="single" w:sz="18" w:space="0" w:color="auto"/>
              <w:left w:val="single" w:sz="18" w:space="0" w:color="C0C0C0"/>
              <w:right w:val="single" w:sz="18" w:space="0" w:color="auto"/>
            </w:tcBorders>
            <w:shd w:val="clear" w:color="auto" w:fill="D9D9D9"/>
            <w:vAlign w:val="center"/>
          </w:tcPr>
          <w:p w14:paraId="1A733CA3" w14:textId="77777777" w:rsidR="00F65FFD" w:rsidRPr="00A634FA" w:rsidRDefault="00F65FFD" w:rsidP="00EB0D94">
            <w:pPr>
              <w:jc w:val="center"/>
              <w:rPr>
                <w:rFonts w:ascii="Arial Narrow" w:hAnsi="Arial Narrow" w:cs="Arial"/>
                <w:color w:val="000000"/>
                <w:sz w:val="16"/>
                <w:szCs w:val="16"/>
              </w:rPr>
            </w:pPr>
          </w:p>
        </w:tc>
        <w:tc>
          <w:tcPr>
            <w:tcW w:w="3633" w:type="dxa"/>
            <w:gridSpan w:val="2"/>
            <w:tcBorders>
              <w:top w:val="single" w:sz="18" w:space="0" w:color="auto"/>
              <w:left w:val="single" w:sz="18" w:space="0" w:color="auto"/>
              <w:right w:val="single" w:sz="18" w:space="0" w:color="auto"/>
            </w:tcBorders>
            <w:shd w:val="clear" w:color="auto" w:fill="D9D9D9"/>
            <w:vAlign w:val="center"/>
          </w:tcPr>
          <w:p w14:paraId="5D4521D7" w14:textId="77777777" w:rsidR="008805E5" w:rsidRPr="008805E5" w:rsidRDefault="008805E5" w:rsidP="008805E5">
            <w:pPr>
              <w:jc w:val="center"/>
              <w:rPr>
                <w:rFonts w:ascii="Arial Narrow" w:hAnsi="Arial Narrow" w:cs="Arial"/>
                <w:color w:val="244061"/>
                <w:sz w:val="16"/>
                <w:szCs w:val="16"/>
              </w:rPr>
            </w:pPr>
            <w:r w:rsidRPr="008805E5">
              <w:rPr>
                <w:rFonts w:ascii="Arial Narrow" w:hAnsi="Arial Narrow" w:cs="Arial"/>
                <w:color w:val="244061"/>
                <w:sz w:val="16"/>
                <w:szCs w:val="16"/>
                <w:highlight w:val="yellow"/>
              </w:rPr>
              <w:t>5 Easter Monday</w:t>
            </w:r>
          </w:p>
          <w:p w14:paraId="51EA0079" w14:textId="40300C53" w:rsidR="00F65FFD" w:rsidRPr="008805E5" w:rsidRDefault="008805E5" w:rsidP="008805E5">
            <w:pPr>
              <w:jc w:val="center"/>
              <w:rPr>
                <w:rFonts w:ascii="Arial Narrow" w:hAnsi="Arial Narrow"/>
                <w:color w:val="31849B"/>
                <w:sz w:val="16"/>
                <w:szCs w:val="16"/>
              </w:rPr>
            </w:pPr>
            <w:r w:rsidRPr="008805E5">
              <w:rPr>
                <w:rFonts w:ascii="Arial Narrow" w:hAnsi="Arial Narrow"/>
                <w:color w:val="31849B"/>
                <w:sz w:val="16"/>
                <w:szCs w:val="16"/>
              </w:rPr>
              <w:t>Cooktown – Circuit</w:t>
            </w:r>
          </w:p>
        </w:tc>
      </w:tr>
      <w:tr w:rsidR="00A42988" w:rsidRPr="00BC2C5D" w14:paraId="3D55130B" w14:textId="77777777" w:rsidTr="00A42988">
        <w:trPr>
          <w:trHeight w:val="615"/>
        </w:trPr>
        <w:tc>
          <w:tcPr>
            <w:tcW w:w="1526" w:type="dxa"/>
            <w:tcBorders>
              <w:top w:val="single" w:sz="18" w:space="0" w:color="C0C0C0"/>
              <w:left w:val="single" w:sz="18" w:space="0" w:color="auto"/>
              <w:right w:val="single" w:sz="18" w:space="0" w:color="C0C0C0"/>
            </w:tcBorders>
            <w:shd w:val="clear" w:color="auto" w:fill="auto"/>
            <w:vAlign w:val="center"/>
          </w:tcPr>
          <w:p w14:paraId="50A09688" w14:textId="79E4E537" w:rsidR="00A42988" w:rsidRPr="00A634FA" w:rsidRDefault="00A42988" w:rsidP="00EB0D94">
            <w:pPr>
              <w:jc w:val="center"/>
              <w:rPr>
                <w:rFonts w:ascii="Arial Narrow" w:hAnsi="Arial Narrow" w:cs="Arial"/>
                <w:sz w:val="16"/>
                <w:szCs w:val="16"/>
              </w:rPr>
            </w:pPr>
            <w:r w:rsidRPr="00390B39">
              <w:rPr>
                <w:rFonts w:ascii="Arial Narrow" w:hAnsi="Arial Narrow" w:cs="Arial"/>
                <w:sz w:val="16"/>
                <w:szCs w:val="16"/>
              </w:rPr>
              <w:t xml:space="preserve">12 </w:t>
            </w:r>
            <w:r>
              <w:rPr>
                <w:rFonts w:ascii="Arial Narrow" w:hAnsi="Arial Narrow" w:cs="Arial"/>
                <w:sz w:val="16"/>
                <w:szCs w:val="16"/>
              </w:rPr>
              <w:t>April</w:t>
            </w:r>
          </w:p>
        </w:tc>
        <w:tc>
          <w:tcPr>
            <w:tcW w:w="1051" w:type="dxa"/>
            <w:tcBorders>
              <w:top w:val="single" w:sz="18" w:space="0" w:color="C0C0C0"/>
              <w:left w:val="single" w:sz="18" w:space="0" w:color="C0C0C0"/>
              <w:right w:val="single" w:sz="18" w:space="0" w:color="C0C0C0"/>
            </w:tcBorders>
            <w:shd w:val="clear" w:color="auto" w:fill="D9D9D9"/>
            <w:vAlign w:val="center"/>
          </w:tcPr>
          <w:p w14:paraId="3BBBD21F" w14:textId="77777777" w:rsidR="00A42988" w:rsidRPr="00A634FA" w:rsidRDefault="00A42988"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right w:val="single" w:sz="18" w:space="0" w:color="BFBFBF"/>
            </w:tcBorders>
            <w:shd w:val="clear" w:color="auto" w:fill="D9D9D9"/>
            <w:vAlign w:val="center"/>
          </w:tcPr>
          <w:p w14:paraId="2F78CCA0" w14:textId="1AD429F7" w:rsidR="00A42988" w:rsidRPr="00D8497C" w:rsidRDefault="00A42988" w:rsidP="00193311">
            <w:pPr>
              <w:jc w:val="center"/>
              <w:rPr>
                <w:rFonts w:ascii="Arial Narrow" w:hAnsi="Arial Narrow" w:cs="Arial"/>
                <w:b/>
                <w:bCs/>
                <w:sz w:val="16"/>
                <w:szCs w:val="16"/>
              </w:rPr>
            </w:pPr>
          </w:p>
        </w:tc>
        <w:tc>
          <w:tcPr>
            <w:tcW w:w="1162" w:type="dxa"/>
            <w:tcBorders>
              <w:top w:val="single" w:sz="18" w:space="0" w:color="C0C0C0"/>
              <w:left w:val="single" w:sz="18" w:space="0" w:color="BFBFBF"/>
              <w:right w:val="single" w:sz="18" w:space="0" w:color="C0C0C0"/>
            </w:tcBorders>
            <w:shd w:val="clear" w:color="auto" w:fill="D9D9D9"/>
            <w:vAlign w:val="center"/>
          </w:tcPr>
          <w:p w14:paraId="484ED60A" w14:textId="28F003F2" w:rsidR="00A42988" w:rsidRPr="00D8497C" w:rsidRDefault="00A42988" w:rsidP="00EB0D94">
            <w:pPr>
              <w:jc w:val="center"/>
              <w:rPr>
                <w:rFonts w:ascii="Arial Narrow" w:hAnsi="Arial Narrow" w:cs="Arial"/>
                <w:b/>
                <w:bCs/>
                <w:color w:val="000000"/>
                <w:sz w:val="16"/>
                <w:szCs w:val="16"/>
              </w:rPr>
            </w:pPr>
          </w:p>
        </w:tc>
        <w:tc>
          <w:tcPr>
            <w:tcW w:w="1162" w:type="dxa"/>
            <w:tcBorders>
              <w:top w:val="single" w:sz="18" w:space="0" w:color="C0C0C0"/>
              <w:left w:val="single" w:sz="18" w:space="0" w:color="C0C0C0"/>
              <w:right w:val="single" w:sz="18" w:space="0" w:color="C0C0C0"/>
            </w:tcBorders>
            <w:shd w:val="clear" w:color="auto" w:fill="D9D9D9"/>
            <w:vAlign w:val="center"/>
          </w:tcPr>
          <w:p w14:paraId="13761527" w14:textId="59BFAA2A" w:rsidR="00A42988" w:rsidRPr="00D8497C" w:rsidRDefault="00A42988" w:rsidP="00193311">
            <w:pPr>
              <w:jc w:val="center"/>
              <w:rPr>
                <w:rFonts w:ascii="Arial Narrow" w:hAnsi="Arial Narrow" w:cs="Arial"/>
                <w:b/>
                <w:bCs/>
                <w:color w:val="000000"/>
                <w:sz w:val="16"/>
                <w:szCs w:val="16"/>
              </w:rPr>
            </w:pPr>
          </w:p>
        </w:tc>
        <w:tc>
          <w:tcPr>
            <w:tcW w:w="1162" w:type="dxa"/>
            <w:tcBorders>
              <w:top w:val="single" w:sz="18" w:space="0" w:color="C0C0C0"/>
              <w:left w:val="single" w:sz="18" w:space="0" w:color="C0C0C0"/>
              <w:right w:val="single" w:sz="18" w:space="0" w:color="auto"/>
            </w:tcBorders>
            <w:shd w:val="clear" w:color="auto" w:fill="D9D9D9"/>
            <w:vAlign w:val="center"/>
          </w:tcPr>
          <w:p w14:paraId="341632A4" w14:textId="77777777" w:rsidR="00A42988" w:rsidRPr="00A634FA" w:rsidRDefault="00A42988" w:rsidP="00EB0D94">
            <w:pPr>
              <w:jc w:val="center"/>
              <w:rPr>
                <w:rFonts w:ascii="Arial Narrow" w:hAnsi="Arial Narrow" w:cs="Arial"/>
                <w:color w:val="000000"/>
                <w:sz w:val="16"/>
                <w:szCs w:val="16"/>
              </w:rPr>
            </w:pPr>
          </w:p>
        </w:tc>
        <w:tc>
          <w:tcPr>
            <w:tcW w:w="3633" w:type="dxa"/>
            <w:gridSpan w:val="2"/>
            <w:tcBorders>
              <w:top w:val="single" w:sz="18" w:space="0" w:color="C0C0C0"/>
              <w:left w:val="single" w:sz="18" w:space="0" w:color="auto"/>
              <w:right w:val="single" w:sz="18" w:space="0" w:color="auto"/>
            </w:tcBorders>
            <w:shd w:val="clear" w:color="auto" w:fill="D9D9D9"/>
            <w:vAlign w:val="center"/>
          </w:tcPr>
          <w:p w14:paraId="184F82AE" w14:textId="78F91C8D" w:rsidR="00A42988" w:rsidRPr="008805E5" w:rsidRDefault="008805E5" w:rsidP="002B2062">
            <w:pPr>
              <w:jc w:val="center"/>
              <w:rPr>
                <w:rFonts w:ascii="Arial Narrow" w:hAnsi="Arial Narrow"/>
                <w:sz w:val="16"/>
                <w:szCs w:val="16"/>
              </w:rPr>
            </w:pPr>
            <w:r w:rsidRPr="008805E5">
              <w:rPr>
                <w:rFonts w:ascii="Arial Narrow" w:hAnsi="Arial Narrow"/>
                <w:color w:val="31849B"/>
                <w:sz w:val="16"/>
                <w:szCs w:val="16"/>
              </w:rPr>
              <w:t>Aurukun Cape B Circuit</w:t>
            </w:r>
          </w:p>
        </w:tc>
      </w:tr>
      <w:tr w:rsidR="003F5A4A" w:rsidRPr="00BC2C5D" w14:paraId="172CB696" w14:textId="77777777" w:rsidTr="004B46D8">
        <w:trPr>
          <w:trHeight w:val="308"/>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3C871EE" w14:textId="0FCA4F89" w:rsidR="003F5A4A" w:rsidRPr="00A634FA" w:rsidRDefault="003F5A4A" w:rsidP="00EB0D94">
            <w:pPr>
              <w:jc w:val="center"/>
              <w:rPr>
                <w:rFonts w:ascii="Arial Narrow" w:hAnsi="Arial Narrow" w:cs="Arial"/>
                <w:sz w:val="16"/>
                <w:szCs w:val="16"/>
              </w:rPr>
            </w:pPr>
            <w:r>
              <w:rPr>
                <w:rFonts w:ascii="Arial Narrow" w:hAnsi="Arial Narrow" w:cs="Arial"/>
                <w:sz w:val="16"/>
                <w:szCs w:val="16"/>
              </w:rPr>
              <w:t>19 April</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3BC75E46" w14:textId="38390FC0" w:rsidR="003F5A4A" w:rsidRPr="00A634FA" w:rsidRDefault="003F5A4A" w:rsidP="00EB0D94">
            <w:pPr>
              <w:jc w:val="center"/>
              <w:rPr>
                <w:rFonts w:ascii="Arial Narrow" w:hAnsi="Arial Narrow" w:cs="Arial"/>
                <w:color w:val="000000"/>
                <w:sz w:val="16"/>
                <w:szCs w:val="16"/>
              </w:rPr>
            </w:pP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6A7880B7" w14:textId="7181D4EC" w:rsidR="003F5A4A" w:rsidRPr="00D8497C" w:rsidRDefault="003F5A4A" w:rsidP="00193311">
            <w:pPr>
              <w:jc w:val="center"/>
              <w:rPr>
                <w:rFonts w:ascii="Arial Narrow" w:hAnsi="Arial Narrow" w:cs="Arial"/>
                <w:b/>
                <w:bCs/>
                <w:color w:val="000000"/>
                <w:sz w:val="16"/>
                <w:szCs w:val="16"/>
              </w:rPr>
            </w:pPr>
            <w:r>
              <w:rPr>
                <w:rFonts w:ascii="Arial Narrow" w:hAnsi="Arial Narrow" w:cs="Arial"/>
                <w:b/>
                <w:bCs/>
                <w:color w:val="000000"/>
                <w:sz w:val="16"/>
                <w:szCs w:val="16"/>
              </w:rPr>
              <w:t>20</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2BEECBCA" w14:textId="4C439A1C" w:rsidR="003F5A4A" w:rsidRPr="00D8497C" w:rsidRDefault="003F5A4A" w:rsidP="00EB0D94">
            <w:pPr>
              <w:jc w:val="center"/>
              <w:rPr>
                <w:rFonts w:ascii="Arial Narrow" w:hAnsi="Arial Narrow" w:cs="Arial"/>
                <w:b/>
                <w:bCs/>
                <w:sz w:val="16"/>
                <w:szCs w:val="16"/>
              </w:rPr>
            </w:pPr>
            <w:r>
              <w:rPr>
                <w:rFonts w:ascii="Arial Narrow" w:hAnsi="Arial Narrow" w:cs="Arial"/>
                <w:b/>
                <w:bCs/>
                <w:sz w:val="16"/>
                <w:szCs w:val="16"/>
              </w:rPr>
              <w:t>21</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30CE006" w14:textId="27622F8C" w:rsidR="003F5A4A" w:rsidRPr="00D8497C" w:rsidRDefault="003F5A4A" w:rsidP="00EB0D94">
            <w:pPr>
              <w:jc w:val="center"/>
              <w:rPr>
                <w:rFonts w:ascii="Arial Narrow" w:hAnsi="Arial Narrow" w:cs="Arial"/>
                <w:b/>
                <w:bCs/>
                <w:color w:val="000000"/>
                <w:sz w:val="16"/>
                <w:szCs w:val="16"/>
              </w:rPr>
            </w:pPr>
            <w:r>
              <w:rPr>
                <w:rFonts w:ascii="Arial Narrow" w:hAnsi="Arial Narrow" w:cs="Arial"/>
                <w:b/>
                <w:bCs/>
                <w:color w:val="000000"/>
                <w:sz w:val="16"/>
                <w:szCs w:val="16"/>
              </w:rPr>
              <w:t>22</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1FFAFF47"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val="restart"/>
            <w:tcBorders>
              <w:top w:val="single" w:sz="18" w:space="0" w:color="C0C0C0"/>
              <w:left w:val="single" w:sz="18" w:space="0" w:color="auto"/>
              <w:right w:val="single" w:sz="18" w:space="0" w:color="auto"/>
            </w:tcBorders>
            <w:shd w:val="clear" w:color="auto" w:fill="auto"/>
            <w:vAlign w:val="center"/>
          </w:tcPr>
          <w:p w14:paraId="7B200A01" w14:textId="60E46DC5" w:rsidR="003F5A4A" w:rsidRPr="008805E5" w:rsidRDefault="008805E5" w:rsidP="00EB0D94">
            <w:pPr>
              <w:jc w:val="center"/>
              <w:rPr>
                <w:rFonts w:ascii="Arial Narrow" w:hAnsi="Arial Narrow" w:cs="Arial"/>
                <w:sz w:val="16"/>
                <w:szCs w:val="16"/>
              </w:rPr>
            </w:pPr>
            <w:r w:rsidRPr="008805E5">
              <w:rPr>
                <w:rFonts w:ascii="Arial Narrow" w:hAnsi="Arial Narrow"/>
                <w:color w:val="31849B"/>
                <w:sz w:val="16"/>
                <w:szCs w:val="16"/>
              </w:rPr>
              <w:t>Doomadgee – Gulf Circuit</w:t>
            </w:r>
          </w:p>
        </w:tc>
      </w:tr>
      <w:tr w:rsidR="003F5A4A" w:rsidRPr="00BC2C5D" w14:paraId="5D228ED8" w14:textId="77777777" w:rsidTr="004B46D8">
        <w:trPr>
          <w:trHeight w:val="284"/>
        </w:trPr>
        <w:tc>
          <w:tcPr>
            <w:tcW w:w="1526" w:type="dxa"/>
            <w:vMerge/>
            <w:tcBorders>
              <w:left w:val="single" w:sz="18" w:space="0" w:color="auto"/>
              <w:right w:val="single" w:sz="18" w:space="0" w:color="C0C0C0"/>
            </w:tcBorders>
            <w:shd w:val="clear" w:color="auto" w:fill="auto"/>
            <w:vAlign w:val="center"/>
          </w:tcPr>
          <w:p w14:paraId="2FA91802" w14:textId="77777777" w:rsidR="003F5A4A" w:rsidRDefault="003F5A4A" w:rsidP="00EB0D94">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50ADBDF" w14:textId="77777777" w:rsidR="003F5A4A" w:rsidRPr="00A634FA" w:rsidRDefault="003F5A4A" w:rsidP="00EB0D94">
            <w:pPr>
              <w:jc w:val="center"/>
              <w:rPr>
                <w:rFonts w:ascii="Arial Narrow" w:hAnsi="Arial Narrow" w:cs="Arial"/>
                <w:color w:val="000000"/>
                <w:sz w:val="16"/>
                <w:szCs w:val="16"/>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0CA1B702" w14:textId="7CEA9DCD" w:rsidR="003F5A4A" w:rsidRPr="00D8497C" w:rsidRDefault="003F5A4A" w:rsidP="00193311">
            <w:pPr>
              <w:jc w:val="center"/>
              <w:rPr>
                <w:rFonts w:ascii="Arial Narrow" w:hAnsi="Arial Narrow" w:cs="Arial"/>
                <w:b/>
                <w:bCs/>
                <w:color w:val="000000"/>
                <w:sz w:val="16"/>
                <w:szCs w:val="16"/>
              </w:rPr>
            </w:pPr>
            <w:r>
              <w:rPr>
                <w:rFonts w:ascii="Arial Narrow" w:hAnsi="Arial Narrow" w:cs="Arial"/>
                <w:b/>
                <w:bCs/>
                <w:color w:val="000000"/>
                <w:sz w:val="16"/>
                <w:szCs w:val="16"/>
              </w:rPr>
              <w:t>20</w:t>
            </w:r>
          </w:p>
        </w:tc>
        <w:tc>
          <w:tcPr>
            <w:tcW w:w="1162" w:type="dxa"/>
            <w:vMerge/>
            <w:tcBorders>
              <w:left w:val="single" w:sz="18" w:space="0" w:color="BFBFBF"/>
              <w:right w:val="single" w:sz="18" w:space="0" w:color="C0C0C0"/>
            </w:tcBorders>
            <w:shd w:val="clear" w:color="auto" w:fill="auto"/>
            <w:vAlign w:val="center"/>
          </w:tcPr>
          <w:p w14:paraId="32F675A9" w14:textId="77777777" w:rsidR="003F5A4A" w:rsidRPr="00D8497C" w:rsidRDefault="003F5A4A" w:rsidP="00EB0D94">
            <w:pPr>
              <w:jc w:val="center"/>
              <w:rPr>
                <w:rFonts w:ascii="Arial Narrow" w:hAnsi="Arial Narrow" w:cs="Arial"/>
                <w:b/>
                <w:bCs/>
                <w:sz w:val="16"/>
                <w:szCs w:val="16"/>
              </w:rPr>
            </w:pPr>
          </w:p>
        </w:tc>
        <w:tc>
          <w:tcPr>
            <w:tcW w:w="1162" w:type="dxa"/>
            <w:vMerge/>
            <w:tcBorders>
              <w:left w:val="single" w:sz="18" w:space="0" w:color="C0C0C0"/>
              <w:right w:val="single" w:sz="18" w:space="0" w:color="C0C0C0"/>
            </w:tcBorders>
            <w:shd w:val="clear" w:color="auto" w:fill="auto"/>
            <w:vAlign w:val="center"/>
          </w:tcPr>
          <w:p w14:paraId="340C9522" w14:textId="77777777" w:rsidR="003F5A4A" w:rsidRPr="00D8497C" w:rsidRDefault="003F5A4A" w:rsidP="00EB0D94">
            <w:pPr>
              <w:jc w:val="center"/>
              <w:rPr>
                <w:rFonts w:ascii="Arial Narrow" w:hAnsi="Arial Narrow" w:cs="Arial"/>
                <w:b/>
                <w:bCs/>
                <w:color w:val="000000"/>
                <w:sz w:val="16"/>
                <w:szCs w:val="16"/>
              </w:rPr>
            </w:pPr>
          </w:p>
        </w:tc>
        <w:tc>
          <w:tcPr>
            <w:tcW w:w="1162" w:type="dxa"/>
            <w:vMerge/>
            <w:tcBorders>
              <w:left w:val="single" w:sz="18" w:space="0" w:color="C0C0C0"/>
              <w:right w:val="single" w:sz="18" w:space="0" w:color="auto"/>
            </w:tcBorders>
            <w:shd w:val="clear" w:color="auto" w:fill="auto"/>
            <w:vAlign w:val="center"/>
          </w:tcPr>
          <w:p w14:paraId="61C210CB"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tcBorders>
              <w:left w:val="single" w:sz="18" w:space="0" w:color="auto"/>
              <w:right w:val="single" w:sz="18" w:space="0" w:color="auto"/>
            </w:tcBorders>
            <w:shd w:val="clear" w:color="auto" w:fill="auto"/>
            <w:vAlign w:val="center"/>
          </w:tcPr>
          <w:p w14:paraId="6D0B149C" w14:textId="77777777" w:rsidR="003F5A4A" w:rsidRPr="008805E5" w:rsidRDefault="003F5A4A" w:rsidP="00EB0D94">
            <w:pPr>
              <w:jc w:val="center"/>
              <w:rPr>
                <w:rFonts w:ascii="Arial Narrow" w:hAnsi="Arial Narrow" w:cs="Arial"/>
                <w:sz w:val="16"/>
                <w:szCs w:val="16"/>
              </w:rPr>
            </w:pPr>
          </w:p>
        </w:tc>
      </w:tr>
      <w:tr w:rsidR="003F5A4A" w:rsidRPr="00BC2C5D" w14:paraId="512E60FF" w14:textId="77777777" w:rsidTr="004B46D8">
        <w:trPr>
          <w:trHeight w:val="284"/>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40EA42D4" w14:textId="532E9D04" w:rsidR="003F5A4A" w:rsidRPr="00A634FA" w:rsidRDefault="003F5A4A" w:rsidP="00EB0D94">
            <w:pPr>
              <w:jc w:val="center"/>
              <w:rPr>
                <w:rFonts w:ascii="Arial Narrow" w:hAnsi="Arial Narrow" w:cs="Arial"/>
                <w:sz w:val="16"/>
                <w:szCs w:val="16"/>
              </w:rPr>
            </w:pPr>
            <w:r>
              <w:rPr>
                <w:rFonts w:ascii="Arial Narrow" w:hAnsi="Arial Narrow" w:cs="Arial"/>
                <w:sz w:val="16"/>
                <w:szCs w:val="16"/>
              </w:rPr>
              <w:t>26 April</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7612969B" w14:textId="069DA08E" w:rsidR="003F5A4A" w:rsidRPr="00A634FA" w:rsidRDefault="003F5A4A" w:rsidP="00EB0D94">
            <w:pPr>
              <w:jc w:val="center"/>
              <w:rPr>
                <w:rFonts w:ascii="Arial Narrow" w:hAnsi="Arial Narrow" w:cs="Arial"/>
                <w:color w:val="000000"/>
                <w:sz w:val="16"/>
                <w:szCs w:val="16"/>
              </w:rPr>
            </w:pPr>
            <w:r w:rsidRPr="004E471D">
              <w:rPr>
                <w:rFonts w:ascii="Arial Narrow" w:hAnsi="Arial Narrow" w:cs="Arial"/>
                <w:color w:val="FF0000"/>
                <w:sz w:val="16"/>
                <w:szCs w:val="16"/>
                <w:highlight w:val="yellow"/>
              </w:rPr>
              <w:t>Public Holiday</w:t>
            </w:r>
          </w:p>
        </w:tc>
        <w:tc>
          <w:tcPr>
            <w:tcW w:w="1162" w:type="dxa"/>
            <w:vMerge w:val="restart"/>
            <w:tcBorders>
              <w:top w:val="single" w:sz="18" w:space="0" w:color="C0C0C0"/>
              <w:left w:val="single" w:sz="18" w:space="0" w:color="C0C0C0"/>
              <w:bottom w:val="single" w:sz="18" w:space="0" w:color="auto"/>
              <w:right w:val="single" w:sz="18" w:space="0" w:color="BFBFBF"/>
            </w:tcBorders>
            <w:shd w:val="clear" w:color="auto" w:fill="auto"/>
            <w:vAlign w:val="center"/>
          </w:tcPr>
          <w:p w14:paraId="42289F1C" w14:textId="2E01E8DA" w:rsidR="003F5A4A" w:rsidRPr="00A42988" w:rsidRDefault="003F5A4A" w:rsidP="00A42988">
            <w:pPr>
              <w:ind w:left="1440" w:hanging="1440"/>
              <w:jc w:val="center"/>
              <w:rPr>
                <w:rFonts w:ascii="Arial Narrow" w:hAnsi="Arial Narrow" w:cs="Arial"/>
                <w:b/>
                <w:bCs/>
                <w:sz w:val="16"/>
                <w:szCs w:val="16"/>
              </w:rPr>
            </w:pPr>
          </w:p>
        </w:tc>
        <w:tc>
          <w:tcPr>
            <w:tcW w:w="1162" w:type="dxa"/>
            <w:tcBorders>
              <w:top w:val="single" w:sz="18" w:space="0" w:color="C0C0C0"/>
              <w:left w:val="single" w:sz="18" w:space="0" w:color="BFBFBF"/>
              <w:bottom w:val="nil"/>
              <w:right w:val="single" w:sz="18" w:space="0" w:color="C0C0C0"/>
            </w:tcBorders>
            <w:shd w:val="clear" w:color="auto" w:fill="A972A9"/>
            <w:vAlign w:val="center"/>
          </w:tcPr>
          <w:p w14:paraId="2B6CD71B" w14:textId="3A3789B2" w:rsidR="003F5A4A" w:rsidRPr="00D8497C" w:rsidRDefault="003F5A4A" w:rsidP="00A57D22">
            <w:pPr>
              <w:ind w:left="1440" w:hanging="1440"/>
              <w:jc w:val="center"/>
              <w:rPr>
                <w:rFonts w:ascii="Arial Narrow" w:hAnsi="Arial Narrow" w:cs="Arial"/>
                <w:b/>
                <w:bCs/>
                <w:sz w:val="16"/>
                <w:szCs w:val="16"/>
              </w:rPr>
            </w:pPr>
            <w:r>
              <w:rPr>
                <w:rFonts w:ascii="Arial Narrow" w:hAnsi="Arial Narrow" w:cs="Arial"/>
                <w:b/>
                <w:bCs/>
                <w:sz w:val="16"/>
                <w:szCs w:val="16"/>
              </w:rPr>
              <w:t>28</w:t>
            </w:r>
          </w:p>
        </w:tc>
        <w:tc>
          <w:tcPr>
            <w:tcW w:w="1162" w:type="dxa"/>
            <w:tcBorders>
              <w:top w:val="single" w:sz="18" w:space="0" w:color="C0C0C0"/>
              <w:left w:val="single" w:sz="18" w:space="0" w:color="C0C0C0"/>
              <w:bottom w:val="nil"/>
              <w:right w:val="single" w:sz="18" w:space="0" w:color="C0C0C0"/>
            </w:tcBorders>
            <w:shd w:val="clear" w:color="auto" w:fill="A972A9"/>
            <w:vAlign w:val="center"/>
          </w:tcPr>
          <w:p w14:paraId="0984E9CC" w14:textId="422DF066" w:rsidR="003F5A4A" w:rsidRPr="00D8497C" w:rsidRDefault="003F5A4A" w:rsidP="00EB0D94">
            <w:pPr>
              <w:jc w:val="center"/>
              <w:rPr>
                <w:rFonts w:ascii="Arial Narrow" w:hAnsi="Arial Narrow" w:cs="Arial"/>
                <w:b/>
                <w:bCs/>
                <w:color w:val="000000"/>
                <w:sz w:val="16"/>
                <w:szCs w:val="16"/>
              </w:rPr>
            </w:pPr>
            <w:r>
              <w:rPr>
                <w:rFonts w:ascii="Arial Narrow" w:hAnsi="Arial Narrow" w:cs="Arial"/>
                <w:b/>
                <w:bCs/>
                <w:color w:val="000000"/>
                <w:sz w:val="16"/>
                <w:szCs w:val="16"/>
              </w:rPr>
              <w:t>29</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4B09F96C"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val="restart"/>
            <w:tcBorders>
              <w:top w:val="single" w:sz="18" w:space="0" w:color="BFBFBF"/>
              <w:left w:val="single" w:sz="18" w:space="0" w:color="auto"/>
              <w:right w:val="single" w:sz="18" w:space="0" w:color="auto"/>
            </w:tcBorders>
            <w:shd w:val="clear" w:color="auto" w:fill="auto"/>
            <w:vAlign w:val="center"/>
          </w:tcPr>
          <w:p w14:paraId="58B2748E" w14:textId="19D07638" w:rsidR="003F5A4A" w:rsidRPr="008805E5" w:rsidRDefault="008805E5" w:rsidP="00EB0D94">
            <w:pPr>
              <w:jc w:val="center"/>
              <w:rPr>
                <w:rFonts w:ascii="Arial Narrow" w:hAnsi="Arial Narrow" w:cs="Arial"/>
                <w:sz w:val="16"/>
                <w:szCs w:val="16"/>
              </w:rPr>
            </w:pPr>
            <w:r w:rsidRPr="008805E5">
              <w:rPr>
                <w:rFonts w:ascii="Arial Narrow" w:hAnsi="Arial Narrow" w:cs="Arial"/>
                <w:color w:val="244061"/>
                <w:sz w:val="16"/>
                <w:szCs w:val="16"/>
                <w:highlight w:val="yellow"/>
              </w:rPr>
              <w:t>26 Anzac Day Public Holiday</w:t>
            </w:r>
          </w:p>
        </w:tc>
      </w:tr>
      <w:tr w:rsidR="003F5A4A" w:rsidRPr="00BC2C5D" w14:paraId="57E6C7C5" w14:textId="77777777" w:rsidTr="004B46D8">
        <w:trPr>
          <w:trHeight w:val="284"/>
        </w:trPr>
        <w:tc>
          <w:tcPr>
            <w:tcW w:w="1526" w:type="dxa"/>
            <w:vMerge/>
            <w:tcBorders>
              <w:left w:val="single" w:sz="18" w:space="0" w:color="auto"/>
              <w:bottom w:val="single" w:sz="18" w:space="0" w:color="auto"/>
              <w:right w:val="single" w:sz="18" w:space="0" w:color="C0C0C0"/>
            </w:tcBorders>
            <w:shd w:val="clear" w:color="auto" w:fill="auto"/>
            <w:vAlign w:val="center"/>
          </w:tcPr>
          <w:p w14:paraId="71FA8FE6" w14:textId="77777777" w:rsidR="003F5A4A" w:rsidRDefault="003F5A4A" w:rsidP="00EB0D94">
            <w:pPr>
              <w:jc w:val="center"/>
              <w:rPr>
                <w:rFonts w:ascii="Arial Narrow" w:hAnsi="Arial Narrow" w:cs="Arial"/>
                <w:sz w:val="16"/>
                <w:szCs w:val="16"/>
              </w:rPr>
            </w:pPr>
          </w:p>
        </w:tc>
        <w:tc>
          <w:tcPr>
            <w:tcW w:w="1051" w:type="dxa"/>
            <w:vMerge/>
            <w:tcBorders>
              <w:left w:val="single" w:sz="18" w:space="0" w:color="C0C0C0"/>
              <w:bottom w:val="single" w:sz="18" w:space="0" w:color="auto"/>
              <w:right w:val="single" w:sz="18" w:space="0" w:color="C0C0C0"/>
            </w:tcBorders>
            <w:shd w:val="clear" w:color="auto" w:fill="auto"/>
            <w:vAlign w:val="center"/>
          </w:tcPr>
          <w:p w14:paraId="346F6164" w14:textId="77777777" w:rsidR="003F5A4A" w:rsidRPr="004E471D" w:rsidRDefault="003F5A4A" w:rsidP="00EB0D94">
            <w:pPr>
              <w:jc w:val="center"/>
              <w:rPr>
                <w:rFonts w:ascii="Arial Narrow" w:hAnsi="Arial Narrow" w:cs="Arial"/>
                <w:color w:val="FF0000"/>
                <w:sz w:val="16"/>
                <w:szCs w:val="16"/>
                <w:highlight w:val="yellow"/>
              </w:rPr>
            </w:pPr>
          </w:p>
        </w:tc>
        <w:tc>
          <w:tcPr>
            <w:tcW w:w="1162" w:type="dxa"/>
            <w:vMerge/>
            <w:tcBorders>
              <w:top w:val="single" w:sz="18" w:space="0" w:color="FFFFFF"/>
              <w:left w:val="single" w:sz="18" w:space="0" w:color="C0C0C0"/>
              <w:bottom w:val="single" w:sz="18" w:space="0" w:color="auto"/>
              <w:right w:val="single" w:sz="18" w:space="0" w:color="BFBFBF"/>
            </w:tcBorders>
            <w:shd w:val="clear" w:color="auto" w:fill="auto"/>
            <w:vAlign w:val="center"/>
          </w:tcPr>
          <w:p w14:paraId="2FF81677" w14:textId="77777777" w:rsidR="003F5A4A" w:rsidRPr="00A42988" w:rsidRDefault="003F5A4A" w:rsidP="00A42988">
            <w:pPr>
              <w:ind w:left="1440" w:hanging="1440"/>
              <w:jc w:val="center"/>
              <w:rPr>
                <w:rFonts w:ascii="Arial Narrow" w:hAnsi="Arial Narrow" w:cs="Arial"/>
                <w:b/>
                <w:bCs/>
                <w:sz w:val="16"/>
                <w:szCs w:val="16"/>
              </w:rPr>
            </w:pPr>
          </w:p>
        </w:tc>
        <w:tc>
          <w:tcPr>
            <w:tcW w:w="1162" w:type="dxa"/>
            <w:tcBorders>
              <w:top w:val="nil"/>
              <w:left w:val="single" w:sz="18" w:space="0" w:color="BFBFBF"/>
              <w:bottom w:val="single" w:sz="18" w:space="0" w:color="auto"/>
              <w:right w:val="single" w:sz="18" w:space="0" w:color="BFBFBF"/>
            </w:tcBorders>
            <w:shd w:val="clear" w:color="auto" w:fill="769245"/>
            <w:vAlign w:val="center"/>
          </w:tcPr>
          <w:p w14:paraId="5B82A49A" w14:textId="11CBEBD5" w:rsidR="003F5A4A" w:rsidRPr="00D8497C" w:rsidRDefault="003F5A4A" w:rsidP="00A57D22">
            <w:pPr>
              <w:ind w:left="1440" w:hanging="1440"/>
              <w:jc w:val="center"/>
              <w:rPr>
                <w:rFonts w:ascii="Arial Narrow" w:hAnsi="Arial Narrow" w:cs="Arial"/>
                <w:b/>
                <w:bCs/>
                <w:sz w:val="16"/>
                <w:szCs w:val="16"/>
              </w:rPr>
            </w:pPr>
            <w:r>
              <w:rPr>
                <w:rFonts w:ascii="Arial Narrow" w:hAnsi="Arial Narrow" w:cs="Arial"/>
                <w:b/>
                <w:bCs/>
                <w:sz w:val="16"/>
                <w:szCs w:val="16"/>
              </w:rPr>
              <w:t>28</w:t>
            </w:r>
          </w:p>
        </w:tc>
        <w:tc>
          <w:tcPr>
            <w:tcW w:w="1162" w:type="dxa"/>
            <w:tcBorders>
              <w:top w:val="nil"/>
              <w:left w:val="single" w:sz="18" w:space="0" w:color="BFBFBF"/>
              <w:bottom w:val="single" w:sz="18" w:space="0" w:color="auto"/>
              <w:right w:val="single" w:sz="18" w:space="0" w:color="C0C0C0"/>
            </w:tcBorders>
            <w:shd w:val="clear" w:color="auto" w:fill="769245"/>
            <w:vAlign w:val="center"/>
          </w:tcPr>
          <w:p w14:paraId="3DF18BD3" w14:textId="20D29C79" w:rsidR="003F5A4A" w:rsidRPr="00D8497C" w:rsidRDefault="003F5A4A" w:rsidP="00EB0D94">
            <w:pPr>
              <w:jc w:val="center"/>
              <w:rPr>
                <w:rFonts w:ascii="Arial Narrow" w:hAnsi="Arial Narrow" w:cs="Arial"/>
                <w:b/>
                <w:bCs/>
                <w:color w:val="000000"/>
                <w:sz w:val="16"/>
                <w:szCs w:val="16"/>
              </w:rPr>
            </w:pPr>
            <w:r>
              <w:rPr>
                <w:rFonts w:ascii="Arial Narrow" w:hAnsi="Arial Narrow" w:cs="Arial"/>
                <w:b/>
                <w:bCs/>
                <w:color w:val="000000"/>
                <w:sz w:val="16"/>
                <w:szCs w:val="16"/>
              </w:rPr>
              <w:t>29 ½ day</w:t>
            </w:r>
          </w:p>
        </w:tc>
        <w:tc>
          <w:tcPr>
            <w:tcW w:w="1162" w:type="dxa"/>
            <w:vMerge/>
            <w:tcBorders>
              <w:left w:val="single" w:sz="18" w:space="0" w:color="C0C0C0"/>
              <w:bottom w:val="single" w:sz="18" w:space="0" w:color="auto"/>
              <w:right w:val="single" w:sz="18" w:space="0" w:color="auto"/>
            </w:tcBorders>
            <w:shd w:val="clear" w:color="auto" w:fill="auto"/>
            <w:vAlign w:val="center"/>
          </w:tcPr>
          <w:p w14:paraId="768DFC5C" w14:textId="77777777" w:rsidR="003F5A4A" w:rsidRPr="00A634FA" w:rsidRDefault="003F5A4A" w:rsidP="00EB0D94">
            <w:pPr>
              <w:jc w:val="center"/>
              <w:rPr>
                <w:rFonts w:ascii="Arial Narrow" w:hAnsi="Arial Narrow" w:cs="Arial"/>
                <w:color w:val="000000"/>
                <w:sz w:val="16"/>
                <w:szCs w:val="16"/>
              </w:rPr>
            </w:pPr>
          </w:p>
        </w:tc>
        <w:tc>
          <w:tcPr>
            <w:tcW w:w="3633" w:type="dxa"/>
            <w:gridSpan w:val="2"/>
            <w:vMerge/>
            <w:tcBorders>
              <w:left w:val="single" w:sz="18" w:space="0" w:color="auto"/>
              <w:bottom w:val="single" w:sz="18" w:space="0" w:color="auto"/>
              <w:right w:val="single" w:sz="18" w:space="0" w:color="auto"/>
            </w:tcBorders>
            <w:shd w:val="clear" w:color="auto" w:fill="auto"/>
            <w:vAlign w:val="center"/>
          </w:tcPr>
          <w:p w14:paraId="4017460A" w14:textId="77777777" w:rsidR="003F5A4A" w:rsidRPr="008E728C" w:rsidRDefault="003F5A4A" w:rsidP="00EB0D94">
            <w:pPr>
              <w:jc w:val="center"/>
              <w:rPr>
                <w:rFonts w:ascii="Arial Narrow" w:hAnsi="Arial Narrow" w:cs="Arial"/>
                <w:sz w:val="16"/>
                <w:szCs w:val="16"/>
              </w:rPr>
            </w:pPr>
          </w:p>
        </w:tc>
      </w:tr>
    </w:tbl>
    <w:p w14:paraId="6472B3F0" w14:textId="77777777" w:rsidR="00C5507C" w:rsidRDefault="00C5507C"/>
    <w:tbl>
      <w:tblPr>
        <w:tblpPr w:leftFromText="180" w:rightFromText="180" w:vertAnchor="text" w:horzAnchor="margin" w:tblpXSpec="center" w:tblpY="-189"/>
        <w:tblW w:w="10858" w:type="dxa"/>
        <w:tblBorders>
          <w:bottom w:val="single" w:sz="18" w:space="0" w:color="FFFFFF"/>
          <w:insideH w:val="single" w:sz="18" w:space="0" w:color="FFFFFF"/>
          <w:insideV w:val="single" w:sz="18" w:space="0" w:color="FFFFFF"/>
        </w:tblBorders>
        <w:shd w:val="clear" w:color="auto" w:fill="F3F3F3"/>
        <w:tblLayout w:type="fixed"/>
        <w:tblLook w:val="01E0" w:firstRow="1" w:lastRow="1" w:firstColumn="1" w:lastColumn="1" w:noHBand="0" w:noVBand="0"/>
      </w:tblPr>
      <w:tblGrid>
        <w:gridCol w:w="1526"/>
        <w:gridCol w:w="1051"/>
        <w:gridCol w:w="1162"/>
        <w:gridCol w:w="1162"/>
        <w:gridCol w:w="1162"/>
        <w:gridCol w:w="1162"/>
        <w:gridCol w:w="3633"/>
      </w:tblGrid>
      <w:tr w:rsidR="00C5507C" w:rsidRPr="00BC2C5D" w14:paraId="57F3478D" w14:textId="77777777" w:rsidTr="00C5507C">
        <w:trPr>
          <w:trHeight w:val="567"/>
        </w:trPr>
        <w:tc>
          <w:tcPr>
            <w:tcW w:w="1526" w:type="dxa"/>
            <w:tcBorders>
              <w:top w:val="single" w:sz="18" w:space="0" w:color="auto"/>
              <w:left w:val="single" w:sz="18" w:space="0" w:color="auto"/>
              <w:bottom w:val="single" w:sz="18" w:space="0" w:color="C0C0C0"/>
              <w:right w:val="single" w:sz="18" w:space="0" w:color="C0C0C0"/>
            </w:tcBorders>
            <w:shd w:val="clear" w:color="auto" w:fill="D9D9D9"/>
            <w:vAlign w:val="center"/>
          </w:tcPr>
          <w:p w14:paraId="076BBB4C" w14:textId="6B36EBF6" w:rsidR="00C5507C" w:rsidRPr="00390B39" w:rsidRDefault="00C5507C" w:rsidP="00C5507C">
            <w:pPr>
              <w:jc w:val="center"/>
              <w:rPr>
                <w:rFonts w:ascii="Arial Narrow" w:hAnsi="Arial Narrow" w:cs="Arial"/>
                <w:sz w:val="16"/>
                <w:szCs w:val="16"/>
              </w:rPr>
            </w:pPr>
            <w:r w:rsidRPr="00A634FA">
              <w:rPr>
                <w:rFonts w:ascii="Arial Narrow" w:hAnsi="Arial Narrow" w:cs="Arial"/>
                <w:b/>
                <w:bCs/>
                <w:sz w:val="16"/>
                <w:szCs w:val="16"/>
              </w:rPr>
              <w:lastRenderedPageBreak/>
              <w:t>Week Beginning</w:t>
            </w:r>
          </w:p>
        </w:tc>
        <w:tc>
          <w:tcPr>
            <w:tcW w:w="1051"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4AFCFA19" w14:textId="35072771" w:rsidR="00C5507C" w:rsidRPr="006C79D3"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Monday</w:t>
            </w:r>
          </w:p>
        </w:tc>
        <w:tc>
          <w:tcPr>
            <w:tcW w:w="1162" w:type="dxa"/>
            <w:tcBorders>
              <w:top w:val="single" w:sz="18" w:space="0" w:color="auto"/>
              <w:left w:val="single" w:sz="18" w:space="0" w:color="C0C0C0"/>
              <w:bottom w:val="single" w:sz="18" w:space="0" w:color="C0C0C0"/>
              <w:right w:val="single" w:sz="18" w:space="0" w:color="BFBFBF"/>
            </w:tcBorders>
            <w:shd w:val="clear" w:color="auto" w:fill="D9D9D9"/>
            <w:vAlign w:val="center"/>
          </w:tcPr>
          <w:p w14:paraId="6613605B" w14:textId="6E80E341"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Tuesday</w:t>
            </w:r>
          </w:p>
        </w:tc>
        <w:tc>
          <w:tcPr>
            <w:tcW w:w="1162" w:type="dxa"/>
            <w:tcBorders>
              <w:top w:val="single" w:sz="18" w:space="0" w:color="auto"/>
              <w:left w:val="single" w:sz="18" w:space="0" w:color="BFBFBF"/>
              <w:bottom w:val="single" w:sz="18" w:space="0" w:color="C0C0C0"/>
              <w:right w:val="single" w:sz="18" w:space="0" w:color="C0C0C0"/>
            </w:tcBorders>
            <w:shd w:val="clear" w:color="auto" w:fill="D9D9D9"/>
            <w:vAlign w:val="center"/>
          </w:tcPr>
          <w:p w14:paraId="106463A5" w14:textId="619B2035"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Wednesday</w:t>
            </w:r>
          </w:p>
        </w:tc>
        <w:tc>
          <w:tcPr>
            <w:tcW w:w="1162" w:type="dxa"/>
            <w:tcBorders>
              <w:top w:val="single" w:sz="18" w:space="0" w:color="auto"/>
              <w:left w:val="single" w:sz="18" w:space="0" w:color="C0C0C0"/>
              <w:bottom w:val="single" w:sz="18" w:space="0" w:color="C0C0C0"/>
              <w:right w:val="single" w:sz="18" w:space="0" w:color="C0C0C0"/>
            </w:tcBorders>
            <w:shd w:val="clear" w:color="auto" w:fill="D9D9D9"/>
            <w:vAlign w:val="center"/>
          </w:tcPr>
          <w:p w14:paraId="764F6996" w14:textId="172F8B2A" w:rsidR="00C5507C" w:rsidRPr="00D8497C" w:rsidRDefault="00C5507C" w:rsidP="00C5507C">
            <w:pPr>
              <w:jc w:val="center"/>
              <w:rPr>
                <w:rFonts w:ascii="Arial Narrow" w:hAnsi="Arial Narrow" w:cs="Arial"/>
                <w:b/>
                <w:bCs/>
                <w:sz w:val="16"/>
                <w:szCs w:val="16"/>
              </w:rPr>
            </w:pPr>
            <w:r w:rsidRPr="00A634FA">
              <w:rPr>
                <w:rFonts w:ascii="Arial Narrow" w:hAnsi="Arial Narrow" w:cs="Arial"/>
                <w:b/>
                <w:bCs/>
                <w:sz w:val="16"/>
                <w:szCs w:val="16"/>
              </w:rPr>
              <w:t>Thursday</w:t>
            </w:r>
          </w:p>
        </w:tc>
        <w:tc>
          <w:tcPr>
            <w:tcW w:w="1162" w:type="dxa"/>
            <w:tcBorders>
              <w:top w:val="single" w:sz="18" w:space="0" w:color="auto"/>
              <w:left w:val="single" w:sz="18" w:space="0" w:color="C0C0C0"/>
              <w:bottom w:val="single" w:sz="18" w:space="0" w:color="C0C0C0"/>
              <w:right w:val="single" w:sz="18" w:space="0" w:color="auto"/>
            </w:tcBorders>
            <w:shd w:val="clear" w:color="auto" w:fill="D9D9D9"/>
            <w:vAlign w:val="center"/>
          </w:tcPr>
          <w:p w14:paraId="5F92859E" w14:textId="15FA920B" w:rsidR="00C5507C" w:rsidRPr="00A634FA" w:rsidRDefault="00C5507C" w:rsidP="00C5507C">
            <w:pPr>
              <w:jc w:val="center"/>
              <w:rPr>
                <w:rFonts w:ascii="Arial Narrow" w:hAnsi="Arial Narrow" w:cs="Arial"/>
                <w:sz w:val="16"/>
                <w:szCs w:val="16"/>
              </w:rPr>
            </w:pPr>
            <w:r w:rsidRPr="00A634FA">
              <w:rPr>
                <w:rFonts w:ascii="Arial Narrow" w:hAnsi="Arial Narrow" w:cs="Arial"/>
                <w:b/>
                <w:bCs/>
                <w:sz w:val="16"/>
                <w:szCs w:val="16"/>
              </w:rPr>
              <w:t>Friday</w:t>
            </w:r>
          </w:p>
        </w:tc>
        <w:tc>
          <w:tcPr>
            <w:tcW w:w="3633" w:type="dxa"/>
            <w:tcBorders>
              <w:top w:val="single" w:sz="18" w:space="0" w:color="auto"/>
              <w:left w:val="single" w:sz="18" w:space="0" w:color="auto"/>
              <w:bottom w:val="single" w:sz="18" w:space="0" w:color="C0C0C0"/>
              <w:right w:val="single" w:sz="18" w:space="0" w:color="auto"/>
            </w:tcBorders>
            <w:shd w:val="clear" w:color="auto" w:fill="D9D9D9"/>
            <w:vAlign w:val="center"/>
          </w:tcPr>
          <w:p w14:paraId="131CEE6B" w14:textId="48C163EC" w:rsidR="00C5507C" w:rsidRPr="008E728C" w:rsidRDefault="00C5507C" w:rsidP="00C5507C">
            <w:pPr>
              <w:jc w:val="center"/>
              <w:rPr>
                <w:rFonts w:ascii="Arial Narrow" w:hAnsi="Arial Narrow" w:cs="Arial"/>
                <w:sz w:val="16"/>
                <w:szCs w:val="16"/>
                <w:highlight w:val="yellow"/>
              </w:rPr>
            </w:pPr>
            <w:r w:rsidRPr="00A634FA">
              <w:rPr>
                <w:rFonts w:ascii="Arial Narrow" w:hAnsi="Arial Narrow" w:cs="Arial"/>
                <w:b/>
                <w:bCs/>
                <w:sz w:val="16"/>
                <w:szCs w:val="16"/>
              </w:rPr>
              <w:t>Other</w:t>
            </w:r>
          </w:p>
        </w:tc>
      </w:tr>
      <w:tr w:rsidR="00A42988" w:rsidRPr="00BC2C5D" w14:paraId="0CE321A3" w14:textId="77777777" w:rsidTr="004B46D8">
        <w:trPr>
          <w:trHeight w:val="613"/>
        </w:trPr>
        <w:tc>
          <w:tcPr>
            <w:tcW w:w="1526" w:type="dxa"/>
            <w:tcBorders>
              <w:top w:val="single" w:sz="18" w:space="0" w:color="C0C0C0"/>
              <w:left w:val="single" w:sz="18" w:space="0" w:color="auto"/>
              <w:right w:val="single" w:sz="18" w:space="0" w:color="C0C0C0"/>
            </w:tcBorders>
            <w:shd w:val="clear" w:color="auto" w:fill="auto"/>
            <w:vAlign w:val="center"/>
          </w:tcPr>
          <w:p w14:paraId="696DAD36" w14:textId="523296AA" w:rsidR="00A42988" w:rsidRPr="00390B39" w:rsidRDefault="003F5A4A" w:rsidP="00C5507C">
            <w:pPr>
              <w:jc w:val="center"/>
              <w:rPr>
                <w:rFonts w:ascii="Arial Narrow" w:hAnsi="Arial Narrow" w:cs="Arial"/>
                <w:sz w:val="16"/>
                <w:szCs w:val="16"/>
              </w:rPr>
            </w:pPr>
            <w:r>
              <w:rPr>
                <w:rFonts w:ascii="Arial Narrow" w:hAnsi="Arial Narrow" w:cs="Arial"/>
                <w:sz w:val="16"/>
                <w:szCs w:val="16"/>
              </w:rPr>
              <w:t>3</w:t>
            </w:r>
            <w:r w:rsidR="00A42988">
              <w:rPr>
                <w:rFonts w:ascii="Arial Narrow" w:hAnsi="Arial Narrow" w:cs="Arial"/>
                <w:sz w:val="16"/>
                <w:szCs w:val="16"/>
              </w:rPr>
              <w:t xml:space="preserve"> May</w:t>
            </w:r>
          </w:p>
        </w:tc>
        <w:tc>
          <w:tcPr>
            <w:tcW w:w="1051" w:type="dxa"/>
            <w:tcBorders>
              <w:top w:val="single" w:sz="18" w:space="0" w:color="C0C0C0"/>
              <w:left w:val="single" w:sz="18" w:space="0" w:color="C0C0C0"/>
              <w:right w:val="single" w:sz="18" w:space="0" w:color="C0C0C0"/>
            </w:tcBorders>
            <w:shd w:val="clear" w:color="auto" w:fill="auto"/>
            <w:vAlign w:val="center"/>
          </w:tcPr>
          <w:p w14:paraId="2F9AEB6D" w14:textId="001E0C86" w:rsidR="00A42988" w:rsidRPr="006C79D3" w:rsidRDefault="003F5A4A" w:rsidP="00C5507C">
            <w:pPr>
              <w:jc w:val="center"/>
              <w:rPr>
                <w:rFonts w:ascii="Arial Narrow" w:hAnsi="Arial Narrow" w:cs="Arial"/>
                <w:sz w:val="16"/>
                <w:szCs w:val="16"/>
                <w:highlight w:val="yellow"/>
              </w:rPr>
            </w:pPr>
            <w:r w:rsidRPr="004E471D">
              <w:rPr>
                <w:rFonts w:ascii="Arial Narrow" w:hAnsi="Arial Narrow" w:cs="Arial"/>
                <w:color w:val="FF0000"/>
                <w:sz w:val="16"/>
                <w:szCs w:val="16"/>
                <w:highlight w:val="yellow"/>
              </w:rPr>
              <w:t>Public Holiday</w:t>
            </w:r>
          </w:p>
        </w:tc>
        <w:tc>
          <w:tcPr>
            <w:tcW w:w="1162" w:type="dxa"/>
            <w:tcBorders>
              <w:top w:val="single" w:sz="18" w:space="0" w:color="C0C0C0"/>
              <w:left w:val="single" w:sz="18" w:space="0" w:color="C0C0C0"/>
              <w:right w:val="single" w:sz="18" w:space="0" w:color="BFBFBF"/>
            </w:tcBorders>
            <w:shd w:val="clear" w:color="auto" w:fill="auto"/>
            <w:vAlign w:val="center"/>
          </w:tcPr>
          <w:p w14:paraId="65468345" w14:textId="1AA307C4" w:rsidR="00A42988" w:rsidRPr="00D8497C" w:rsidRDefault="00A42988" w:rsidP="00193311">
            <w:pPr>
              <w:jc w:val="center"/>
              <w:rPr>
                <w:rFonts w:ascii="Arial Narrow" w:hAnsi="Arial Narrow" w:cs="Arial"/>
                <w:b/>
                <w:bCs/>
                <w:sz w:val="16"/>
                <w:szCs w:val="16"/>
              </w:rPr>
            </w:pPr>
          </w:p>
        </w:tc>
        <w:tc>
          <w:tcPr>
            <w:tcW w:w="1162" w:type="dxa"/>
            <w:tcBorders>
              <w:top w:val="single" w:sz="18" w:space="0" w:color="C0C0C0"/>
              <w:left w:val="single" w:sz="18" w:space="0" w:color="BFBFBF"/>
              <w:right w:val="single" w:sz="18" w:space="0" w:color="C0C0C0"/>
            </w:tcBorders>
            <w:shd w:val="clear" w:color="auto" w:fill="FF0000"/>
            <w:vAlign w:val="center"/>
          </w:tcPr>
          <w:p w14:paraId="5D26E3A1" w14:textId="1033E55A" w:rsidR="00A42988" w:rsidRPr="00D8497C" w:rsidRDefault="003F5A4A" w:rsidP="00C5507C">
            <w:pPr>
              <w:jc w:val="center"/>
              <w:rPr>
                <w:rFonts w:ascii="Arial Narrow" w:hAnsi="Arial Narrow" w:cs="Arial"/>
                <w:b/>
                <w:bCs/>
                <w:sz w:val="16"/>
                <w:szCs w:val="16"/>
              </w:rPr>
            </w:pPr>
            <w:r>
              <w:rPr>
                <w:rFonts w:ascii="Arial Narrow" w:hAnsi="Arial Narrow" w:cs="Arial"/>
                <w:b/>
                <w:bCs/>
                <w:sz w:val="16"/>
                <w:szCs w:val="16"/>
              </w:rPr>
              <w:t>5</w:t>
            </w:r>
          </w:p>
        </w:tc>
        <w:tc>
          <w:tcPr>
            <w:tcW w:w="1162" w:type="dxa"/>
            <w:tcBorders>
              <w:top w:val="single" w:sz="18" w:space="0" w:color="C0C0C0"/>
              <w:left w:val="single" w:sz="18" w:space="0" w:color="C0C0C0"/>
              <w:bottom w:val="single" w:sz="18" w:space="0" w:color="C0C0C0"/>
              <w:right w:val="single" w:sz="18" w:space="0" w:color="C0C0C0"/>
            </w:tcBorders>
            <w:shd w:val="clear" w:color="auto" w:fill="FF0000"/>
            <w:vAlign w:val="center"/>
          </w:tcPr>
          <w:p w14:paraId="37F7711A" w14:textId="31F26C30" w:rsidR="00A42988" w:rsidRPr="00D8497C" w:rsidRDefault="003F5A4A" w:rsidP="00C5507C">
            <w:pPr>
              <w:jc w:val="center"/>
              <w:rPr>
                <w:rFonts w:ascii="Arial Narrow" w:hAnsi="Arial Narrow" w:cs="Arial"/>
                <w:b/>
                <w:bCs/>
                <w:sz w:val="16"/>
                <w:szCs w:val="16"/>
              </w:rPr>
            </w:pPr>
            <w:r>
              <w:rPr>
                <w:rFonts w:ascii="Arial Narrow" w:hAnsi="Arial Narrow" w:cs="Arial"/>
                <w:b/>
                <w:bCs/>
                <w:sz w:val="16"/>
                <w:szCs w:val="16"/>
              </w:rPr>
              <w:t>6</w:t>
            </w:r>
          </w:p>
        </w:tc>
        <w:tc>
          <w:tcPr>
            <w:tcW w:w="1162" w:type="dxa"/>
            <w:tcBorders>
              <w:top w:val="single" w:sz="18" w:space="0" w:color="C0C0C0"/>
              <w:left w:val="single" w:sz="18" w:space="0" w:color="C0C0C0"/>
              <w:right w:val="single" w:sz="18" w:space="0" w:color="auto"/>
            </w:tcBorders>
            <w:shd w:val="clear" w:color="auto" w:fill="auto"/>
            <w:vAlign w:val="center"/>
          </w:tcPr>
          <w:p w14:paraId="2ABAD594" w14:textId="77777777" w:rsidR="00A42988" w:rsidRPr="00A634FA" w:rsidRDefault="00A42988" w:rsidP="00C5507C">
            <w:pPr>
              <w:jc w:val="center"/>
              <w:rPr>
                <w:rFonts w:ascii="Arial Narrow" w:hAnsi="Arial Narrow" w:cs="Arial"/>
                <w:sz w:val="16"/>
                <w:szCs w:val="16"/>
              </w:rPr>
            </w:pPr>
          </w:p>
        </w:tc>
        <w:tc>
          <w:tcPr>
            <w:tcW w:w="3633" w:type="dxa"/>
            <w:tcBorders>
              <w:top w:val="single" w:sz="18" w:space="0" w:color="C0C0C0"/>
              <w:left w:val="single" w:sz="18" w:space="0" w:color="auto"/>
              <w:right w:val="single" w:sz="18" w:space="0" w:color="auto"/>
            </w:tcBorders>
            <w:shd w:val="clear" w:color="auto" w:fill="auto"/>
            <w:vAlign w:val="center"/>
          </w:tcPr>
          <w:p w14:paraId="3492AC94" w14:textId="77777777" w:rsidR="008805E5" w:rsidRPr="008805E5" w:rsidRDefault="008805E5" w:rsidP="008805E5">
            <w:pPr>
              <w:jc w:val="center"/>
              <w:rPr>
                <w:rFonts w:ascii="Arial Narrow" w:hAnsi="Arial Narrow" w:cs="Arial"/>
                <w:color w:val="244061"/>
                <w:sz w:val="16"/>
                <w:szCs w:val="16"/>
                <w:highlight w:val="yellow"/>
              </w:rPr>
            </w:pPr>
            <w:r w:rsidRPr="008805E5">
              <w:rPr>
                <w:rFonts w:ascii="Arial Narrow" w:hAnsi="Arial Narrow" w:cs="Arial"/>
                <w:color w:val="244061"/>
                <w:sz w:val="16"/>
                <w:szCs w:val="16"/>
                <w:highlight w:val="yellow"/>
              </w:rPr>
              <w:t>3 Labour Day</w:t>
            </w:r>
          </w:p>
          <w:p w14:paraId="5CA04E27" w14:textId="79F37BA9" w:rsidR="00A42988" w:rsidRPr="008805E5" w:rsidRDefault="008805E5"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3F5A4A" w:rsidRPr="00BC2C5D" w14:paraId="3EA964B8" w14:textId="77777777" w:rsidTr="00211D14">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A6385D6" w14:textId="769DD7D1" w:rsidR="003F5A4A" w:rsidRPr="00390B39" w:rsidRDefault="003F5A4A" w:rsidP="00C5507C">
            <w:pPr>
              <w:jc w:val="center"/>
              <w:rPr>
                <w:rFonts w:ascii="Arial Narrow" w:hAnsi="Arial Narrow" w:cs="Arial"/>
                <w:sz w:val="16"/>
                <w:szCs w:val="16"/>
              </w:rPr>
            </w:pPr>
            <w:r>
              <w:rPr>
                <w:rFonts w:ascii="Arial Narrow" w:hAnsi="Arial Narrow" w:cs="Arial"/>
                <w:sz w:val="16"/>
                <w:szCs w:val="16"/>
              </w:rPr>
              <w:t>10 May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7120716" w14:textId="2460197C" w:rsidR="003F5A4A" w:rsidRPr="006C79D3" w:rsidRDefault="003F5A4A" w:rsidP="00C5507C">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nil"/>
              <w:right w:val="single" w:sz="18" w:space="0" w:color="BFBFBF"/>
            </w:tcBorders>
            <w:shd w:val="clear" w:color="auto" w:fill="A972A9"/>
            <w:vAlign w:val="center"/>
          </w:tcPr>
          <w:p w14:paraId="79A68E23" w14:textId="23F982CF"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05A7C8EF" w14:textId="69CC41EC"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12</w:t>
            </w:r>
          </w:p>
        </w:tc>
        <w:tc>
          <w:tcPr>
            <w:tcW w:w="1162" w:type="dxa"/>
            <w:tcBorders>
              <w:top w:val="single" w:sz="18" w:space="0" w:color="C0C0C0"/>
              <w:left w:val="single" w:sz="18" w:space="0" w:color="C0C0C0"/>
              <w:bottom w:val="nil"/>
              <w:right w:val="single" w:sz="18" w:space="0" w:color="C0C0C0"/>
            </w:tcBorders>
            <w:shd w:val="thinDiagCross" w:color="auto" w:fill="A972A9"/>
            <w:vAlign w:val="center"/>
          </w:tcPr>
          <w:p w14:paraId="10D421D0" w14:textId="031B1B53"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13</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3521E9C0" w14:textId="77777777" w:rsidR="003F5A4A" w:rsidRPr="00A634FA" w:rsidRDefault="003F5A4A" w:rsidP="00C5507C">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11145A3" w14:textId="390515CB" w:rsidR="003F5A4A" w:rsidRPr="008805E5" w:rsidRDefault="008805E5" w:rsidP="00C5507C">
            <w:pPr>
              <w:jc w:val="center"/>
              <w:rPr>
                <w:rFonts w:ascii="Arial Narrow" w:hAnsi="Arial Narrow" w:cs="Arial"/>
                <w:sz w:val="16"/>
                <w:szCs w:val="16"/>
                <w:highlight w:val="yellow"/>
              </w:rPr>
            </w:pPr>
            <w:r w:rsidRPr="008805E5">
              <w:rPr>
                <w:rFonts w:ascii="Arial Narrow" w:hAnsi="Arial Narrow"/>
                <w:color w:val="31849B"/>
                <w:sz w:val="16"/>
                <w:szCs w:val="16"/>
              </w:rPr>
              <w:t>Aurukun Cape B &amp; Coen Cape A Circuit</w:t>
            </w:r>
          </w:p>
        </w:tc>
      </w:tr>
      <w:tr w:rsidR="003F5A4A" w:rsidRPr="00BC2C5D" w14:paraId="5DBEDFF6" w14:textId="77777777" w:rsidTr="00211D14">
        <w:trPr>
          <w:trHeight w:val="284"/>
        </w:trPr>
        <w:tc>
          <w:tcPr>
            <w:tcW w:w="1526" w:type="dxa"/>
            <w:vMerge/>
            <w:tcBorders>
              <w:left w:val="single" w:sz="18" w:space="0" w:color="auto"/>
              <w:right w:val="single" w:sz="18" w:space="0" w:color="C0C0C0"/>
            </w:tcBorders>
            <w:shd w:val="clear" w:color="auto" w:fill="auto"/>
            <w:vAlign w:val="center"/>
          </w:tcPr>
          <w:p w14:paraId="310696BF" w14:textId="77777777" w:rsidR="003F5A4A" w:rsidRDefault="003F5A4A" w:rsidP="00C5507C">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64D1E16B" w14:textId="77777777" w:rsidR="003F5A4A" w:rsidRPr="006C79D3" w:rsidRDefault="003F5A4A" w:rsidP="00C5507C">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31849B"/>
            <w:vAlign w:val="center"/>
          </w:tcPr>
          <w:p w14:paraId="62C1C360" w14:textId="4667FF65"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11</w:t>
            </w:r>
          </w:p>
        </w:tc>
        <w:tc>
          <w:tcPr>
            <w:tcW w:w="1162" w:type="dxa"/>
            <w:vMerge/>
            <w:tcBorders>
              <w:left w:val="single" w:sz="18" w:space="0" w:color="BFBFBF"/>
              <w:right w:val="single" w:sz="18" w:space="0" w:color="C0C0C0"/>
            </w:tcBorders>
            <w:shd w:val="clear" w:color="auto" w:fill="auto"/>
            <w:vAlign w:val="center"/>
          </w:tcPr>
          <w:p w14:paraId="3E711D3B" w14:textId="77777777" w:rsidR="003F5A4A" w:rsidRPr="00D8497C" w:rsidRDefault="003F5A4A" w:rsidP="00C5507C">
            <w:pPr>
              <w:jc w:val="center"/>
              <w:rPr>
                <w:rFonts w:ascii="Arial Narrow" w:hAnsi="Arial Narrow" w:cs="Arial"/>
                <w:b/>
                <w:bCs/>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147B34BB" w14:textId="3F5775B8" w:rsidR="003F5A4A" w:rsidRPr="00D8497C" w:rsidRDefault="00C71944" w:rsidP="00C5507C">
            <w:pPr>
              <w:jc w:val="center"/>
              <w:rPr>
                <w:rFonts w:ascii="Arial Narrow" w:hAnsi="Arial Narrow" w:cs="Arial"/>
                <w:b/>
                <w:bCs/>
                <w:sz w:val="16"/>
                <w:szCs w:val="16"/>
              </w:rPr>
            </w:pPr>
            <w:r>
              <w:rPr>
                <w:rFonts w:ascii="Arial Narrow" w:hAnsi="Arial Narrow" w:cs="Arial"/>
                <w:b/>
                <w:bCs/>
                <w:sz w:val="16"/>
                <w:szCs w:val="16"/>
              </w:rPr>
              <w:t>13</w:t>
            </w:r>
          </w:p>
        </w:tc>
        <w:tc>
          <w:tcPr>
            <w:tcW w:w="1162" w:type="dxa"/>
            <w:vMerge/>
            <w:tcBorders>
              <w:left w:val="single" w:sz="18" w:space="0" w:color="C0C0C0"/>
              <w:right w:val="single" w:sz="18" w:space="0" w:color="auto"/>
            </w:tcBorders>
            <w:shd w:val="clear" w:color="auto" w:fill="auto"/>
            <w:vAlign w:val="center"/>
          </w:tcPr>
          <w:p w14:paraId="55A2AAAC" w14:textId="77777777" w:rsidR="003F5A4A" w:rsidRPr="00A634FA" w:rsidRDefault="003F5A4A" w:rsidP="00C5507C">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5C7A5FED" w14:textId="77777777" w:rsidR="003F5A4A" w:rsidRPr="008805E5" w:rsidRDefault="003F5A4A" w:rsidP="00C5507C">
            <w:pPr>
              <w:jc w:val="center"/>
              <w:rPr>
                <w:rFonts w:ascii="Arial Narrow" w:hAnsi="Arial Narrow"/>
                <w:color w:val="31849B"/>
                <w:sz w:val="16"/>
                <w:szCs w:val="16"/>
              </w:rPr>
            </w:pPr>
          </w:p>
        </w:tc>
      </w:tr>
      <w:tr w:rsidR="003F5A4A" w:rsidRPr="00BC2C5D" w14:paraId="3766C4CB" w14:textId="77777777" w:rsidTr="00211D14">
        <w:trPr>
          <w:trHeight w:val="284"/>
        </w:trPr>
        <w:tc>
          <w:tcPr>
            <w:tcW w:w="1526" w:type="dxa"/>
            <w:vMerge w:val="restart"/>
            <w:tcBorders>
              <w:top w:val="single" w:sz="18" w:space="0" w:color="C0C0C0"/>
              <w:left w:val="single" w:sz="18" w:space="0" w:color="auto"/>
              <w:right w:val="single" w:sz="18" w:space="0" w:color="C0C0C0"/>
            </w:tcBorders>
            <w:shd w:val="clear" w:color="auto" w:fill="auto"/>
            <w:vAlign w:val="center"/>
          </w:tcPr>
          <w:p w14:paraId="0F542D29" w14:textId="7C6E10C1" w:rsidR="003F5A4A" w:rsidRDefault="003F5A4A" w:rsidP="00390B39">
            <w:pPr>
              <w:jc w:val="center"/>
              <w:rPr>
                <w:rFonts w:ascii="Arial Narrow" w:hAnsi="Arial Narrow" w:cs="Arial"/>
                <w:sz w:val="16"/>
                <w:szCs w:val="16"/>
              </w:rPr>
            </w:pPr>
            <w:r>
              <w:rPr>
                <w:rFonts w:ascii="Arial Narrow" w:hAnsi="Arial Narrow" w:cs="Arial"/>
                <w:sz w:val="16"/>
                <w:szCs w:val="16"/>
              </w:rPr>
              <w:t>17 May</w:t>
            </w:r>
          </w:p>
        </w:tc>
        <w:tc>
          <w:tcPr>
            <w:tcW w:w="1051" w:type="dxa"/>
            <w:vMerge w:val="restart"/>
            <w:tcBorders>
              <w:top w:val="single" w:sz="18" w:space="0" w:color="C0C0C0"/>
              <w:left w:val="single" w:sz="18" w:space="0" w:color="C0C0C0"/>
              <w:right w:val="single" w:sz="18" w:space="0" w:color="C0C0C0"/>
            </w:tcBorders>
            <w:shd w:val="clear" w:color="auto" w:fill="auto"/>
            <w:vAlign w:val="center"/>
          </w:tcPr>
          <w:p w14:paraId="2B5526BB" w14:textId="15BE7F65" w:rsidR="003F5A4A" w:rsidRPr="006C79D3" w:rsidRDefault="003F5A4A" w:rsidP="00390B39">
            <w:pPr>
              <w:jc w:val="center"/>
              <w:rPr>
                <w:rFonts w:ascii="Arial Narrow" w:hAnsi="Arial Narrow" w:cs="Arial"/>
                <w:sz w:val="16"/>
                <w:szCs w:val="16"/>
                <w:highlight w:val="yellow"/>
              </w:rPr>
            </w:pPr>
            <w:r w:rsidRPr="00C45F66">
              <w:rPr>
                <w:rFonts w:ascii="Arial Narrow" w:hAnsi="Arial Narrow" w:cs="Arial"/>
                <w:sz w:val="16"/>
                <w:szCs w:val="16"/>
                <w:highlight w:val="yellow"/>
              </w:rPr>
              <w:t>Public Holiday</w:t>
            </w:r>
          </w:p>
        </w:tc>
        <w:tc>
          <w:tcPr>
            <w:tcW w:w="1162" w:type="dxa"/>
            <w:tcBorders>
              <w:top w:val="single" w:sz="18" w:space="0" w:color="C0C0C0"/>
              <w:left w:val="single" w:sz="18" w:space="0" w:color="C0C0C0"/>
              <w:bottom w:val="nil"/>
              <w:right w:val="single" w:sz="18" w:space="0" w:color="BFBFBF"/>
            </w:tcBorders>
            <w:shd w:val="clear" w:color="auto" w:fill="FF0000"/>
            <w:vAlign w:val="center"/>
          </w:tcPr>
          <w:p w14:paraId="7CBBAD8B" w14:textId="10B66694" w:rsidR="003F5A4A" w:rsidRPr="00D8497C" w:rsidRDefault="00C71944" w:rsidP="00193311">
            <w:pPr>
              <w:jc w:val="center"/>
              <w:rPr>
                <w:rFonts w:ascii="Arial Narrow" w:hAnsi="Arial Narrow" w:cs="Arial"/>
                <w:b/>
                <w:bCs/>
                <w:sz w:val="16"/>
                <w:szCs w:val="16"/>
              </w:rPr>
            </w:pPr>
            <w:r>
              <w:rPr>
                <w:rFonts w:ascii="Arial Narrow" w:hAnsi="Arial Narrow" w:cs="Arial"/>
                <w:b/>
                <w:bCs/>
                <w:sz w:val="16"/>
                <w:szCs w:val="16"/>
              </w:rPr>
              <w:t>18</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46FDB6FD" w14:textId="0638F45F" w:rsidR="003F5A4A" w:rsidRPr="00D8497C" w:rsidRDefault="00C71944" w:rsidP="00390B39">
            <w:pPr>
              <w:jc w:val="center"/>
              <w:rPr>
                <w:rFonts w:ascii="Arial Narrow" w:hAnsi="Arial Narrow" w:cs="Arial"/>
                <w:b/>
                <w:bCs/>
                <w:sz w:val="16"/>
                <w:szCs w:val="16"/>
              </w:rPr>
            </w:pPr>
            <w:r>
              <w:rPr>
                <w:rFonts w:ascii="Arial Narrow" w:hAnsi="Arial Narrow" w:cs="Arial"/>
                <w:b/>
                <w:bCs/>
                <w:sz w:val="16"/>
                <w:szCs w:val="16"/>
              </w:rPr>
              <w:t>19</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0E61EDBE" w14:textId="6FF4CFB3" w:rsidR="003F5A4A"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20</w:t>
            </w:r>
          </w:p>
        </w:tc>
        <w:tc>
          <w:tcPr>
            <w:tcW w:w="1162" w:type="dxa"/>
            <w:vMerge w:val="restart"/>
            <w:tcBorders>
              <w:top w:val="single" w:sz="18" w:space="0" w:color="C0C0C0"/>
              <w:left w:val="single" w:sz="18" w:space="0" w:color="C0C0C0"/>
              <w:right w:val="single" w:sz="18" w:space="0" w:color="auto"/>
            </w:tcBorders>
            <w:shd w:val="clear" w:color="auto" w:fill="auto"/>
            <w:vAlign w:val="center"/>
          </w:tcPr>
          <w:p w14:paraId="5DEA3FBA" w14:textId="77777777" w:rsidR="003F5A4A" w:rsidRPr="00A634FA" w:rsidRDefault="003F5A4A" w:rsidP="00390B39">
            <w:pPr>
              <w:jc w:val="center"/>
              <w:rPr>
                <w:rFonts w:ascii="Arial Narrow" w:hAnsi="Arial Narrow" w:cs="Arial"/>
                <w:sz w:val="16"/>
                <w:szCs w:val="16"/>
              </w:rPr>
            </w:pPr>
          </w:p>
        </w:tc>
        <w:tc>
          <w:tcPr>
            <w:tcW w:w="3633" w:type="dxa"/>
            <w:vMerge w:val="restart"/>
            <w:tcBorders>
              <w:top w:val="single" w:sz="18" w:space="0" w:color="C0C0C0"/>
              <w:left w:val="single" w:sz="18" w:space="0" w:color="auto"/>
              <w:right w:val="single" w:sz="18" w:space="0" w:color="auto"/>
            </w:tcBorders>
            <w:shd w:val="clear" w:color="auto" w:fill="auto"/>
            <w:vAlign w:val="center"/>
          </w:tcPr>
          <w:p w14:paraId="79F66223"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highlight w:val="yellow"/>
              </w:rPr>
              <w:t>17 Hope Vale Evacuation Day</w:t>
            </w:r>
          </w:p>
          <w:p w14:paraId="7E9BBB20" w14:textId="7C1FC821" w:rsidR="003F5A4A" w:rsidRPr="008805E5" w:rsidRDefault="008805E5" w:rsidP="008805E5">
            <w:pPr>
              <w:jc w:val="center"/>
              <w:rPr>
                <w:rFonts w:ascii="Arial Narrow" w:hAnsi="Arial Narrow" w:cs="Arial"/>
                <w:sz w:val="16"/>
                <w:szCs w:val="16"/>
                <w:highlight w:val="yellow"/>
              </w:rPr>
            </w:pPr>
            <w:r w:rsidRPr="008805E5">
              <w:rPr>
                <w:rFonts w:ascii="Arial Narrow" w:hAnsi="Arial Narrow"/>
                <w:color w:val="31849B"/>
                <w:sz w:val="16"/>
                <w:szCs w:val="16"/>
              </w:rPr>
              <w:t>Doomadgee – Gulf Circuit</w:t>
            </w:r>
          </w:p>
        </w:tc>
      </w:tr>
      <w:tr w:rsidR="003F5A4A" w:rsidRPr="00BC2C5D" w14:paraId="34633262" w14:textId="77777777" w:rsidTr="00211D14">
        <w:trPr>
          <w:trHeight w:val="284"/>
        </w:trPr>
        <w:tc>
          <w:tcPr>
            <w:tcW w:w="1526" w:type="dxa"/>
            <w:vMerge/>
            <w:tcBorders>
              <w:left w:val="single" w:sz="18" w:space="0" w:color="auto"/>
              <w:right w:val="single" w:sz="18" w:space="0" w:color="C0C0C0"/>
            </w:tcBorders>
            <w:shd w:val="clear" w:color="auto" w:fill="auto"/>
            <w:vAlign w:val="center"/>
          </w:tcPr>
          <w:p w14:paraId="63F75E4D" w14:textId="77777777" w:rsidR="003F5A4A" w:rsidRDefault="003F5A4A"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23E9A370" w14:textId="77777777" w:rsidR="003F5A4A" w:rsidRPr="00C45F66" w:rsidRDefault="003F5A4A" w:rsidP="00390B3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552FD601" w14:textId="72E98538" w:rsidR="003F5A4A" w:rsidRPr="00D8497C" w:rsidRDefault="00C71944" w:rsidP="00193311">
            <w:pPr>
              <w:jc w:val="center"/>
              <w:rPr>
                <w:rFonts w:ascii="Arial Narrow" w:hAnsi="Arial Narrow" w:cs="Arial"/>
                <w:b/>
                <w:bCs/>
                <w:sz w:val="16"/>
                <w:szCs w:val="16"/>
              </w:rPr>
            </w:pPr>
            <w:r>
              <w:rPr>
                <w:rFonts w:ascii="Arial Narrow" w:hAnsi="Arial Narrow" w:cs="Arial"/>
                <w:b/>
                <w:bCs/>
                <w:sz w:val="16"/>
                <w:szCs w:val="16"/>
              </w:rPr>
              <w:t>18</w:t>
            </w:r>
          </w:p>
        </w:tc>
        <w:tc>
          <w:tcPr>
            <w:tcW w:w="1162" w:type="dxa"/>
            <w:vMerge/>
            <w:tcBorders>
              <w:left w:val="single" w:sz="18" w:space="0" w:color="BFBFBF"/>
              <w:right w:val="single" w:sz="18" w:space="0" w:color="C0C0C0"/>
            </w:tcBorders>
            <w:shd w:val="clear" w:color="auto" w:fill="auto"/>
            <w:vAlign w:val="center"/>
          </w:tcPr>
          <w:p w14:paraId="2731C7CC" w14:textId="77777777" w:rsidR="003F5A4A" w:rsidRPr="00D8497C" w:rsidRDefault="003F5A4A" w:rsidP="00390B39">
            <w:pPr>
              <w:jc w:val="center"/>
              <w:rPr>
                <w:rFonts w:ascii="Arial Narrow" w:hAnsi="Arial Narrow" w:cs="Arial"/>
                <w:b/>
                <w:bCs/>
                <w:sz w:val="16"/>
                <w:szCs w:val="16"/>
              </w:rPr>
            </w:pPr>
          </w:p>
        </w:tc>
        <w:tc>
          <w:tcPr>
            <w:tcW w:w="1162" w:type="dxa"/>
            <w:vMerge/>
            <w:tcBorders>
              <w:left w:val="single" w:sz="18" w:space="0" w:color="C0C0C0"/>
              <w:bottom w:val="single" w:sz="18" w:space="0" w:color="C0C0C0"/>
              <w:right w:val="single" w:sz="18" w:space="0" w:color="C0C0C0"/>
            </w:tcBorders>
            <w:shd w:val="clear" w:color="auto" w:fill="auto"/>
            <w:vAlign w:val="center"/>
          </w:tcPr>
          <w:p w14:paraId="3BCA9202" w14:textId="77777777" w:rsidR="003F5A4A" w:rsidRPr="00D8497C" w:rsidRDefault="003F5A4A" w:rsidP="00390B39">
            <w:pPr>
              <w:jc w:val="center"/>
              <w:rPr>
                <w:rFonts w:ascii="Arial Narrow" w:hAnsi="Arial Narrow" w:cs="Arial"/>
                <w:b/>
                <w:bCs/>
                <w:sz w:val="16"/>
                <w:szCs w:val="16"/>
              </w:rPr>
            </w:pPr>
          </w:p>
        </w:tc>
        <w:tc>
          <w:tcPr>
            <w:tcW w:w="1162" w:type="dxa"/>
            <w:vMerge/>
            <w:tcBorders>
              <w:left w:val="single" w:sz="18" w:space="0" w:color="C0C0C0"/>
              <w:right w:val="single" w:sz="18" w:space="0" w:color="auto"/>
            </w:tcBorders>
            <w:shd w:val="clear" w:color="auto" w:fill="auto"/>
            <w:vAlign w:val="center"/>
          </w:tcPr>
          <w:p w14:paraId="655039B4" w14:textId="77777777" w:rsidR="003F5A4A" w:rsidRPr="00A634FA" w:rsidRDefault="003F5A4A"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51C2AC92" w14:textId="77777777" w:rsidR="003F5A4A" w:rsidRPr="008805E5" w:rsidRDefault="003F5A4A" w:rsidP="00390B39">
            <w:pPr>
              <w:jc w:val="center"/>
              <w:rPr>
                <w:rFonts w:ascii="Arial Narrow" w:hAnsi="Arial Narrow" w:cs="Arial"/>
                <w:sz w:val="16"/>
                <w:szCs w:val="16"/>
                <w:highlight w:val="yellow"/>
              </w:rPr>
            </w:pPr>
          </w:p>
        </w:tc>
      </w:tr>
      <w:tr w:rsidR="0005429E" w:rsidRPr="00BC2C5D" w14:paraId="2952A691" w14:textId="77777777" w:rsidTr="004B46D8">
        <w:trPr>
          <w:trHeight w:val="285"/>
        </w:trPr>
        <w:tc>
          <w:tcPr>
            <w:tcW w:w="1526" w:type="dxa"/>
            <w:vMerge w:val="restart"/>
            <w:tcBorders>
              <w:top w:val="single" w:sz="18" w:space="0" w:color="BFBFBF"/>
              <w:left w:val="single" w:sz="18" w:space="0" w:color="auto"/>
              <w:right w:val="single" w:sz="18" w:space="0" w:color="C0C0C0"/>
            </w:tcBorders>
            <w:shd w:val="clear" w:color="auto" w:fill="auto"/>
            <w:vAlign w:val="center"/>
          </w:tcPr>
          <w:p w14:paraId="219AC89F" w14:textId="74069359" w:rsidR="0005429E" w:rsidRPr="00A634FA" w:rsidRDefault="003F5A4A" w:rsidP="00390B39">
            <w:pPr>
              <w:jc w:val="center"/>
              <w:rPr>
                <w:rFonts w:ascii="Arial Narrow" w:hAnsi="Arial Narrow" w:cs="Arial"/>
                <w:sz w:val="16"/>
                <w:szCs w:val="16"/>
              </w:rPr>
            </w:pPr>
            <w:r>
              <w:rPr>
                <w:rFonts w:ascii="Arial Narrow" w:hAnsi="Arial Narrow" w:cs="Arial"/>
                <w:sz w:val="16"/>
                <w:szCs w:val="16"/>
              </w:rPr>
              <w:t>24 May</w:t>
            </w:r>
          </w:p>
        </w:tc>
        <w:tc>
          <w:tcPr>
            <w:tcW w:w="1051" w:type="dxa"/>
            <w:vMerge w:val="restart"/>
            <w:tcBorders>
              <w:top w:val="single" w:sz="18" w:space="0" w:color="BFBFBF"/>
              <w:left w:val="single" w:sz="18" w:space="0" w:color="C0C0C0"/>
              <w:right w:val="single" w:sz="18" w:space="0" w:color="C0C0C0"/>
            </w:tcBorders>
            <w:shd w:val="clear" w:color="auto" w:fill="auto"/>
            <w:vAlign w:val="center"/>
          </w:tcPr>
          <w:p w14:paraId="4A0F32FC" w14:textId="68686A64" w:rsidR="0005429E" w:rsidRPr="00A634FA" w:rsidRDefault="0005429E" w:rsidP="00390B39">
            <w:pPr>
              <w:jc w:val="center"/>
              <w:rPr>
                <w:rFonts w:ascii="Arial Narrow" w:hAnsi="Arial Narrow" w:cs="Arial"/>
                <w:sz w:val="16"/>
                <w:szCs w:val="16"/>
              </w:rPr>
            </w:pPr>
          </w:p>
        </w:tc>
        <w:tc>
          <w:tcPr>
            <w:tcW w:w="1162" w:type="dxa"/>
            <w:vMerge w:val="restart"/>
            <w:tcBorders>
              <w:top w:val="single" w:sz="18" w:space="0" w:color="C0C0C0"/>
              <w:left w:val="single" w:sz="18" w:space="0" w:color="C0C0C0"/>
              <w:right w:val="single" w:sz="18" w:space="0" w:color="BFBFBF"/>
            </w:tcBorders>
            <w:shd w:val="clear" w:color="auto" w:fill="A972A9"/>
            <w:vAlign w:val="center"/>
          </w:tcPr>
          <w:p w14:paraId="4423C25E" w14:textId="76E8549B"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25</w:t>
            </w:r>
          </w:p>
        </w:tc>
        <w:tc>
          <w:tcPr>
            <w:tcW w:w="1162" w:type="dxa"/>
            <w:vMerge w:val="restart"/>
            <w:tcBorders>
              <w:top w:val="single" w:sz="18" w:space="0" w:color="C0C0C0"/>
              <w:left w:val="single" w:sz="18" w:space="0" w:color="BFBFBF"/>
              <w:right w:val="single" w:sz="18" w:space="0" w:color="C0C0C0"/>
            </w:tcBorders>
            <w:shd w:val="clear" w:color="auto" w:fill="A972A9"/>
            <w:vAlign w:val="center"/>
          </w:tcPr>
          <w:p w14:paraId="2AE45B4E" w14:textId="6484AE3B"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26</w:t>
            </w:r>
          </w:p>
        </w:tc>
        <w:tc>
          <w:tcPr>
            <w:tcW w:w="1162" w:type="dxa"/>
            <w:tcBorders>
              <w:top w:val="single" w:sz="18" w:space="0" w:color="C0C0C0"/>
              <w:left w:val="single" w:sz="18" w:space="0" w:color="C0C0C0"/>
              <w:bottom w:val="nil"/>
              <w:right w:val="single" w:sz="18" w:space="0" w:color="C0C0C0"/>
            </w:tcBorders>
            <w:shd w:val="thinDiagCross" w:color="auto" w:fill="A972A9"/>
            <w:vAlign w:val="center"/>
          </w:tcPr>
          <w:p w14:paraId="158F79EF" w14:textId="6098AF4B"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27</w:t>
            </w:r>
          </w:p>
        </w:tc>
        <w:tc>
          <w:tcPr>
            <w:tcW w:w="1162" w:type="dxa"/>
            <w:vMerge w:val="restart"/>
            <w:tcBorders>
              <w:top w:val="single" w:sz="18" w:space="0" w:color="BFBFBF"/>
              <w:left w:val="single" w:sz="18" w:space="0" w:color="C0C0C0"/>
              <w:right w:val="single" w:sz="18" w:space="0" w:color="auto"/>
            </w:tcBorders>
            <w:shd w:val="clear" w:color="auto" w:fill="auto"/>
            <w:vAlign w:val="center"/>
          </w:tcPr>
          <w:p w14:paraId="3C457AF3" w14:textId="77777777" w:rsidR="0005429E" w:rsidRPr="00A634FA" w:rsidRDefault="0005429E" w:rsidP="00390B39">
            <w:pPr>
              <w:jc w:val="center"/>
              <w:rPr>
                <w:rFonts w:ascii="Arial Narrow" w:hAnsi="Arial Narrow" w:cs="Arial"/>
                <w:sz w:val="16"/>
                <w:szCs w:val="16"/>
              </w:rPr>
            </w:pPr>
          </w:p>
        </w:tc>
        <w:tc>
          <w:tcPr>
            <w:tcW w:w="3633" w:type="dxa"/>
            <w:vMerge w:val="restart"/>
            <w:tcBorders>
              <w:top w:val="single" w:sz="18" w:space="0" w:color="BFBFBF"/>
              <w:left w:val="single" w:sz="18" w:space="0" w:color="auto"/>
              <w:right w:val="single" w:sz="18" w:space="0" w:color="auto"/>
            </w:tcBorders>
            <w:shd w:val="clear" w:color="auto" w:fill="auto"/>
            <w:vAlign w:val="center"/>
          </w:tcPr>
          <w:p w14:paraId="6E6EBCEC" w14:textId="4A5B443B" w:rsidR="0005429E" w:rsidRPr="008805E5" w:rsidRDefault="0005429E" w:rsidP="00390B39">
            <w:pPr>
              <w:jc w:val="center"/>
              <w:rPr>
                <w:rFonts w:ascii="Arial Narrow" w:hAnsi="Arial Narrow" w:cs="Arial"/>
                <w:sz w:val="16"/>
                <w:szCs w:val="16"/>
              </w:rPr>
            </w:pPr>
          </w:p>
        </w:tc>
      </w:tr>
      <w:tr w:rsidR="0005429E" w:rsidRPr="00BC2C5D" w14:paraId="2E729446" w14:textId="77777777" w:rsidTr="004B46D8">
        <w:trPr>
          <w:trHeight w:val="285"/>
        </w:trPr>
        <w:tc>
          <w:tcPr>
            <w:tcW w:w="1526" w:type="dxa"/>
            <w:vMerge/>
            <w:tcBorders>
              <w:left w:val="single" w:sz="18" w:space="0" w:color="auto"/>
              <w:right w:val="single" w:sz="18" w:space="0" w:color="C0C0C0"/>
            </w:tcBorders>
            <w:shd w:val="clear" w:color="auto" w:fill="auto"/>
            <w:vAlign w:val="center"/>
          </w:tcPr>
          <w:p w14:paraId="7B122324" w14:textId="77777777" w:rsidR="0005429E" w:rsidRPr="00390B39" w:rsidRDefault="0005429E" w:rsidP="00390B39">
            <w:pPr>
              <w:jc w:val="center"/>
              <w:rPr>
                <w:rFonts w:ascii="Arial Narrow" w:hAnsi="Arial Narrow" w:cs="Arial"/>
                <w:sz w:val="16"/>
                <w:szCs w:val="16"/>
              </w:rPr>
            </w:pPr>
          </w:p>
        </w:tc>
        <w:tc>
          <w:tcPr>
            <w:tcW w:w="1051" w:type="dxa"/>
            <w:vMerge/>
            <w:tcBorders>
              <w:left w:val="single" w:sz="18" w:space="0" w:color="C0C0C0"/>
              <w:right w:val="single" w:sz="18" w:space="0" w:color="C0C0C0"/>
            </w:tcBorders>
            <w:shd w:val="clear" w:color="auto" w:fill="auto"/>
            <w:vAlign w:val="center"/>
          </w:tcPr>
          <w:p w14:paraId="01DB08CE" w14:textId="77777777" w:rsidR="0005429E" w:rsidRPr="00A634FA" w:rsidRDefault="0005429E" w:rsidP="00390B39">
            <w:pPr>
              <w:jc w:val="center"/>
              <w:rPr>
                <w:rFonts w:ascii="Arial Narrow" w:hAnsi="Arial Narrow" w:cs="Arial"/>
                <w:sz w:val="16"/>
                <w:szCs w:val="16"/>
              </w:rPr>
            </w:pPr>
          </w:p>
        </w:tc>
        <w:tc>
          <w:tcPr>
            <w:tcW w:w="1162" w:type="dxa"/>
            <w:vMerge/>
            <w:tcBorders>
              <w:left w:val="single" w:sz="18" w:space="0" w:color="C0C0C0"/>
              <w:right w:val="single" w:sz="18" w:space="0" w:color="BFBFBF"/>
            </w:tcBorders>
            <w:shd w:val="clear" w:color="auto" w:fill="auto"/>
            <w:vAlign w:val="center"/>
          </w:tcPr>
          <w:p w14:paraId="4AED6987" w14:textId="77777777" w:rsidR="0005429E" w:rsidRPr="00D8497C" w:rsidRDefault="0005429E" w:rsidP="00390B39">
            <w:pPr>
              <w:jc w:val="center"/>
              <w:rPr>
                <w:rFonts w:ascii="Arial Narrow" w:hAnsi="Arial Narrow" w:cs="Arial"/>
                <w:b/>
                <w:bCs/>
                <w:sz w:val="16"/>
                <w:szCs w:val="16"/>
              </w:rPr>
            </w:pPr>
          </w:p>
        </w:tc>
        <w:tc>
          <w:tcPr>
            <w:tcW w:w="1162" w:type="dxa"/>
            <w:vMerge/>
            <w:tcBorders>
              <w:left w:val="single" w:sz="18" w:space="0" w:color="BFBFBF"/>
              <w:right w:val="single" w:sz="18" w:space="0" w:color="C0C0C0"/>
            </w:tcBorders>
            <w:shd w:val="clear" w:color="auto" w:fill="auto"/>
            <w:vAlign w:val="center"/>
          </w:tcPr>
          <w:p w14:paraId="10F63DB5" w14:textId="77777777" w:rsidR="0005429E" w:rsidRPr="00D8497C" w:rsidRDefault="0005429E" w:rsidP="00390B39">
            <w:pPr>
              <w:jc w:val="center"/>
              <w:rPr>
                <w:rFonts w:ascii="Arial Narrow" w:hAnsi="Arial Narrow" w:cs="Arial"/>
                <w:b/>
                <w:bCs/>
                <w:sz w:val="16"/>
                <w:szCs w:val="16"/>
              </w:rPr>
            </w:pP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51AA152E" w14:textId="2ACA2316" w:rsidR="0005429E" w:rsidRPr="00D8497C" w:rsidRDefault="00C71944" w:rsidP="00390B39">
            <w:pPr>
              <w:jc w:val="center"/>
              <w:rPr>
                <w:rFonts w:ascii="Arial Narrow" w:hAnsi="Arial Narrow" w:cs="Arial"/>
                <w:b/>
                <w:bCs/>
                <w:sz w:val="16"/>
                <w:szCs w:val="16"/>
              </w:rPr>
            </w:pPr>
            <w:r>
              <w:rPr>
                <w:rFonts w:ascii="Arial Narrow" w:hAnsi="Arial Narrow" w:cs="Arial"/>
                <w:b/>
                <w:bCs/>
                <w:sz w:val="16"/>
                <w:szCs w:val="16"/>
              </w:rPr>
              <w:t>27</w:t>
            </w:r>
          </w:p>
        </w:tc>
        <w:tc>
          <w:tcPr>
            <w:tcW w:w="1162" w:type="dxa"/>
            <w:vMerge/>
            <w:tcBorders>
              <w:left w:val="single" w:sz="18" w:space="0" w:color="C0C0C0"/>
              <w:right w:val="single" w:sz="18" w:space="0" w:color="auto"/>
            </w:tcBorders>
            <w:shd w:val="clear" w:color="auto" w:fill="auto"/>
            <w:vAlign w:val="center"/>
          </w:tcPr>
          <w:p w14:paraId="04FB6A0B" w14:textId="77777777" w:rsidR="0005429E" w:rsidRPr="00A634FA" w:rsidRDefault="0005429E" w:rsidP="00390B39">
            <w:pPr>
              <w:jc w:val="center"/>
              <w:rPr>
                <w:rFonts w:ascii="Arial Narrow" w:hAnsi="Arial Narrow" w:cs="Arial"/>
                <w:sz w:val="16"/>
                <w:szCs w:val="16"/>
              </w:rPr>
            </w:pPr>
          </w:p>
        </w:tc>
        <w:tc>
          <w:tcPr>
            <w:tcW w:w="3633" w:type="dxa"/>
            <w:vMerge/>
            <w:tcBorders>
              <w:left w:val="single" w:sz="18" w:space="0" w:color="auto"/>
              <w:right w:val="single" w:sz="18" w:space="0" w:color="auto"/>
            </w:tcBorders>
            <w:shd w:val="clear" w:color="auto" w:fill="auto"/>
            <w:vAlign w:val="center"/>
          </w:tcPr>
          <w:p w14:paraId="3C1FE3CA" w14:textId="77777777" w:rsidR="0005429E" w:rsidRPr="008805E5" w:rsidRDefault="0005429E" w:rsidP="00390B39">
            <w:pPr>
              <w:jc w:val="center"/>
              <w:rPr>
                <w:rFonts w:ascii="Arial Narrow" w:hAnsi="Arial Narrow" w:cs="Arial"/>
                <w:sz w:val="16"/>
                <w:szCs w:val="16"/>
              </w:rPr>
            </w:pPr>
          </w:p>
        </w:tc>
      </w:tr>
      <w:tr w:rsidR="00F22B87" w:rsidRPr="00BC2C5D" w14:paraId="1CA5194F" w14:textId="77777777" w:rsidTr="00F22B87">
        <w:trPr>
          <w:trHeight w:val="613"/>
        </w:trPr>
        <w:tc>
          <w:tcPr>
            <w:tcW w:w="1526" w:type="dxa"/>
            <w:tcBorders>
              <w:top w:val="single" w:sz="18" w:space="0" w:color="BFBFBF" w:themeColor="background1" w:themeShade="BF"/>
              <w:left w:val="single" w:sz="18" w:space="0" w:color="auto"/>
              <w:right w:val="single" w:sz="18" w:space="0" w:color="C0C0C0"/>
            </w:tcBorders>
            <w:shd w:val="clear" w:color="auto" w:fill="auto"/>
            <w:vAlign w:val="center"/>
          </w:tcPr>
          <w:p w14:paraId="62CCD3D4" w14:textId="421FBD71" w:rsidR="00F22B87" w:rsidRPr="00A634FA" w:rsidRDefault="00F22B87" w:rsidP="00390B39">
            <w:pPr>
              <w:jc w:val="center"/>
              <w:rPr>
                <w:rFonts w:ascii="Arial Narrow" w:hAnsi="Arial Narrow" w:cs="Arial"/>
                <w:sz w:val="16"/>
                <w:szCs w:val="16"/>
              </w:rPr>
            </w:pPr>
            <w:r w:rsidRPr="00390B39">
              <w:rPr>
                <w:rFonts w:ascii="Arial Narrow" w:hAnsi="Arial Narrow" w:cs="Arial"/>
                <w:sz w:val="16"/>
                <w:szCs w:val="16"/>
              </w:rPr>
              <w:t>3</w:t>
            </w:r>
            <w:r>
              <w:rPr>
                <w:rFonts w:ascii="Arial Narrow" w:hAnsi="Arial Narrow" w:cs="Arial"/>
                <w:sz w:val="16"/>
                <w:szCs w:val="16"/>
              </w:rPr>
              <w:t>1 May</w:t>
            </w:r>
          </w:p>
        </w:tc>
        <w:tc>
          <w:tcPr>
            <w:tcW w:w="1051" w:type="dxa"/>
            <w:tcBorders>
              <w:top w:val="single" w:sz="18" w:space="0" w:color="BFBFBF" w:themeColor="background1" w:themeShade="BF"/>
              <w:left w:val="single" w:sz="18" w:space="0" w:color="C0C0C0"/>
              <w:right w:val="single" w:sz="18" w:space="0" w:color="C0C0C0"/>
            </w:tcBorders>
            <w:shd w:val="clear" w:color="auto" w:fill="auto"/>
            <w:vAlign w:val="center"/>
          </w:tcPr>
          <w:p w14:paraId="66E74CF9" w14:textId="77777777" w:rsidR="00F22B87" w:rsidRPr="00A634FA" w:rsidRDefault="00F22B87" w:rsidP="00390B3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right w:val="single" w:sz="18" w:space="0" w:color="BFBFBF"/>
            </w:tcBorders>
            <w:shd w:val="clear" w:color="auto" w:fill="FFFF00"/>
            <w:vAlign w:val="center"/>
          </w:tcPr>
          <w:p w14:paraId="5280C7F2" w14:textId="547B3937" w:rsidR="00F22B87" w:rsidRPr="00D8497C" w:rsidRDefault="00F22B87" w:rsidP="00294AA0">
            <w:pPr>
              <w:jc w:val="center"/>
              <w:rPr>
                <w:rFonts w:ascii="Arial Narrow" w:hAnsi="Arial Narrow" w:cs="Arial"/>
                <w:b/>
                <w:bCs/>
                <w:color w:val="000000"/>
                <w:sz w:val="16"/>
                <w:szCs w:val="16"/>
              </w:rPr>
            </w:pPr>
            <w:r>
              <w:rPr>
                <w:rFonts w:ascii="Arial Narrow" w:hAnsi="Arial Narrow" w:cs="Arial"/>
                <w:b/>
                <w:bCs/>
                <w:color w:val="000000"/>
                <w:sz w:val="16"/>
                <w:szCs w:val="16"/>
              </w:rPr>
              <w:t>1</w:t>
            </w:r>
          </w:p>
        </w:tc>
        <w:tc>
          <w:tcPr>
            <w:tcW w:w="1162" w:type="dxa"/>
            <w:tcBorders>
              <w:top w:val="single" w:sz="18" w:space="0" w:color="BFBFBF" w:themeColor="background1" w:themeShade="BF"/>
              <w:left w:val="single" w:sz="18" w:space="0" w:color="BFBFBF"/>
              <w:right w:val="single" w:sz="18" w:space="0" w:color="C0C0C0"/>
            </w:tcBorders>
            <w:shd w:val="clear" w:color="auto" w:fill="auto"/>
            <w:vAlign w:val="center"/>
          </w:tcPr>
          <w:p w14:paraId="31836070" w14:textId="24F96DAF" w:rsidR="00F22B87" w:rsidRPr="00D8497C" w:rsidRDefault="00F22B87" w:rsidP="00390B39">
            <w:pPr>
              <w:jc w:val="center"/>
              <w:rPr>
                <w:rFonts w:ascii="Arial Narrow" w:hAnsi="Arial Narrow" w:cs="Arial"/>
                <w:b/>
                <w:bCs/>
                <w:color w:val="000000"/>
                <w:sz w:val="16"/>
                <w:szCs w:val="16"/>
              </w:rPr>
            </w:pPr>
          </w:p>
        </w:tc>
        <w:tc>
          <w:tcPr>
            <w:tcW w:w="1162" w:type="dxa"/>
            <w:tcBorders>
              <w:top w:val="single" w:sz="18" w:space="0" w:color="C0C0C0"/>
              <w:left w:val="single" w:sz="18" w:space="0" w:color="C0C0C0"/>
              <w:right w:val="single" w:sz="18" w:space="0" w:color="C0C0C0"/>
            </w:tcBorders>
            <w:shd w:val="clear" w:color="auto" w:fill="auto"/>
            <w:vAlign w:val="center"/>
          </w:tcPr>
          <w:p w14:paraId="18177425" w14:textId="2EF11DA6" w:rsidR="00F22B87" w:rsidRPr="00D8497C" w:rsidRDefault="00F22B87" w:rsidP="00F22B87">
            <w:pPr>
              <w:rPr>
                <w:rFonts w:ascii="Arial Narrow" w:hAnsi="Arial Narrow" w:cs="Arial"/>
                <w:b/>
                <w:bCs/>
                <w:sz w:val="16"/>
                <w:szCs w:val="16"/>
              </w:rPr>
            </w:pPr>
            <w:r w:rsidRPr="00C45F66">
              <w:rPr>
                <w:rFonts w:ascii="Arial Narrow" w:hAnsi="Arial Narrow" w:cs="Arial"/>
                <w:sz w:val="16"/>
                <w:szCs w:val="16"/>
                <w:highlight w:val="yellow"/>
              </w:rPr>
              <w:t>Public Holiday</w:t>
            </w:r>
          </w:p>
        </w:tc>
        <w:tc>
          <w:tcPr>
            <w:tcW w:w="1162" w:type="dxa"/>
            <w:tcBorders>
              <w:top w:val="single" w:sz="18" w:space="0" w:color="BFBFBF" w:themeColor="background1" w:themeShade="BF"/>
              <w:left w:val="single" w:sz="18" w:space="0" w:color="C0C0C0"/>
              <w:right w:val="single" w:sz="18" w:space="0" w:color="auto"/>
            </w:tcBorders>
            <w:shd w:val="clear" w:color="auto" w:fill="auto"/>
            <w:vAlign w:val="center"/>
          </w:tcPr>
          <w:p w14:paraId="56CF5F8B" w14:textId="77777777" w:rsidR="00F22B87" w:rsidRPr="00A634FA" w:rsidRDefault="00F22B87" w:rsidP="00390B39">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right w:val="single" w:sz="18" w:space="0" w:color="auto"/>
            </w:tcBorders>
            <w:shd w:val="clear" w:color="auto" w:fill="auto"/>
            <w:vAlign w:val="center"/>
          </w:tcPr>
          <w:p w14:paraId="79079BDB" w14:textId="77777777" w:rsidR="00F22B87" w:rsidRPr="008805E5" w:rsidRDefault="00F22B87" w:rsidP="008805E5">
            <w:pPr>
              <w:jc w:val="center"/>
              <w:rPr>
                <w:rFonts w:ascii="Arial Narrow" w:hAnsi="Arial Narrow"/>
                <w:sz w:val="16"/>
                <w:szCs w:val="16"/>
              </w:rPr>
            </w:pPr>
            <w:r w:rsidRPr="008805E5">
              <w:rPr>
                <w:rFonts w:ascii="Arial Narrow" w:hAnsi="Arial Narrow"/>
                <w:sz w:val="16"/>
                <w:szCs w:val="16"/>
                <w:highlight w:val="yellow"/>
              </w:rPr>
              <w:t>3 Mabo Day</w:t>
            </w:r>
          </w:p>
          <w:p w14:paraId="6C9148DC" w14:textId="33F322C9" w:rsidR="00F22B87" w:rsidRPr="008805E5" w:rsidRDefault="00F22B87" w:rsidP="008805E5">
            <w:pPr>
              <w:jc w:val="center"/>
              <w:rPr>
                <w:rFonts w:ascii="Arial Narrow" w:hAnsi="Arial Narrow" w:cs="Arial"/>
                <w:sz w:val="16"/>
                <w:szCs w:val="16"/>
                <w:highlight w:val="yellow"/>
              </w:rPr>
            </w:pPr>
            <w:r w:rsidRPr="008805E5">
              <w:rPr>
                <w:rFonts w:ascii="Arial Narrow" w:hAnsi="Arial Narrow"/>
                <w:color w:val="31849B"/>
                <w:sz w:val="16"/>
                <w:szCs w:val="16"/>
              </w:rPr>
              <w:t>Cooktown – Circuit</w:t>
            </w:r>
          </w:p>
        </w:tc>
      </w:tr>
      <w:tr w:rsidR="003F5A4A" w:rsidRPr="00BC2C5D" w14:paraId="6A282D96" w14:textId="77777777" w:rsidTr="00211D14">
        <w:trPr>
          <w:trHeight w:val="284"/>
        </w:trPr>
        <w:tc>
          <w:tcPr>
            <w:tcW w:w="1526" w:type="dxa"/>
            <w:vMerge w:val="restart"/>
            <w:tcBorders>
              <w:top w:val="single" w:sz="18" w:space="0" w:color="auto"/>
              <w:left w:val="single" w:sz="18" w:space="0" w:color="auto"/>
              <w:right w:val="single" w:sz="18" w:space="0" w:color="C0C0C0"/>
            </w:tcBorders>
            <w:shd w:val="clear" w:color="auto" w:fill="auto"/>
            <w:vAlign w:val="center"/>
          </w:tcPr>
          <w:p w14:paraId="6D86D990" w14:textId="764E379B" w:rsidR="003F5A4A" w:rsidRPr="00A634FA" w:rsidRDefault="003F5A4A" w:rsidP="00313AD9">
            <w:pPr>
              <w:jc w:val="center"/>
              <w:rPr>
                <w:rFonts w:ascii="Arial Narrow" w:hAnsi="Arial Narrow" w:cs="Arial"/>
                <w:sz w:val="16"/>
                <w:szCs w:val="16"/>
              </w:rPr>
            </w:pPr>
            <w:r>
              <w:rPr>
                <w:rFonts w:ascii="Arial Narrow" w:hAnsi="Arial Narrow" w:cs="Arial"/>
                <w:sz w:val="16"/>
                <w:szCs w:val="16"/>
              </w:rPr>
              <w:t>7 June</w:t>
            </w:r>
          </w:p>
        </w:tc>
        <w:tc>
          <w:tcPr>
            <w:tcW w:w="1051" w:type="dxa"/>
            <w:vMerge w:val="restart"/>
            <w:tcBorders>
              <w:top w:val="single" w:sz="18" w:space="0" w:color="auto"/>
              <w:left w:val="single" w:sz="18" w:space="0" w:color="C0C0C0"/>
              <w:right w:val="single" w:sz="18" w:space="0" w:color="C0C0C0"/>
            </w:tcBorders>
            <w:shd w:val="clear" w:color="auto" w:fill="auto"/>
            <w:vAlign w:val="center"/>
          </w:tcPr>
          <w:p w14:paraId="695555CE" w14:textId="61BB7C07" w:rsidR="003F5A4A" w:rsidRPr="00A634FA" w:rsidRDefault="003F5A4A" w:rsidP="00313AD9">
            <w:pPr>
              <w:jc w:val="center"/>
              <w:rPr>
                <w:rFonts w:ascii="Arial Narrow" w:hAnsi="Arial Narrow" w:cs="Arial"/>
                <w:sz w:val="16"/>
                <w:szCs w:val="16"/>
                <w:highlight w:val="yellow"/>
              </w:rPr>
            </w:pPr>
          </w:p>
        </w:tc>
        <w:tc>
          <w:tcPr>
            <w:tcW w:w="1162" w:type="dxa"/>
            <w:tcBorders>
              <w:top w:val="single" w:sz="18" w:space="0" w:color="auto"/>
              <w:left w:val="single" w:sz="18" w:space="0" w:color="C0C0C0"/>
              <w:bottom w:val="nil"/>
              <w:right w:val="single" w:sz="18" w:space="0" w:color="BFBFBF"/>
            </w:tcBorders>
            <w:shd w:val="clear" w:color="auto" w:fill="A972A9"/>
            <w:vAlign w:val="center"/>
          </w:tcPr>
          <w:p w14:paraId="09C9C0A4" w14:textId="496D454F"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8</w:t>
            </w:r>
          </w:p>
        </w:tc>
        <w:tc>
          <w:tcPr>
            <w:tcW w:w="1162" w:type="dxa"/>
            <w:tcBorders>
              <w:top w:val="single" w:sz="18" w:space="0" w:color="auto"/>
              <w:left w:val="single" w:sz="18" w:space="0" w:color="BFBFBF"/>
              <w:bottom w:val="nil"/>
              <w:right w:val="single" w:sz="18" w:space="0" w:color="C0C0C0"/>
            </w:tcBorders>
            <w:shd w:val="clear" w:color="auto" w:fill="A972A9"/>
            <w:vAlign w:val="center"/>
          </w:tcPr>
          <w:p w14:paraId="1BF01046" w14:textId="0008C537"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9</w:t>
            </w:r>
          </w:p>
        </w:tc>
        <w:tc>
          <w:tcPr>
            <w:tcW w:w="1162" w:type="dxa"/>
            <w:vMerge w:val="restart"/>
            <w:tcBorders>
              <w:top w:val="single" w:sz="18" w:space="0" w:color="auto"/>
              <w:left w:val="single" w:sz="18" w:space="0" w:color="C0C0C0"/>
              <w:bottom w:val="single" w:sz="18" w:space="0" w:color="C0C0C0"/>
              <w:right w:val="single" w:sz="18" w:space="0" w:color="C0C0C0"/>
            </w:tcBorders>
            <w:shd w:val="thinDiagCross" w:color="auto" w:fill="A972A9"/>
            <w:vAlign w:val="center"/>
          </w:tcPr>
          <w:p w14:paraId="63AD05D9" w14:textId="0707A8E0" w:rsidR="003F5A4A" w:rsidRPr="00D8497C" w:rsidRDefault="00C71944" w:rsidP="00313AD9">
            <w:pPr>
              <w:jc w:val="center"/>
              <w:rPr>
                <w:rFonts w:ascii="Arial Narrow" w:hAnsi="Arial Narrow" w:cs="Arial"/>
                <w:b/>
                <w:bCs/>
                <w:sz w:val="16"/>
                <w:szCs w:val="16"/>
              </w:rPr>
            </w:pPr>
            <w:r>
              <w:rPr>
                <w:rFonts w:ascii="Arial Narrow" w:hAnsi="Arial Narrow" w:cs="Arial"/>
                <w:b/>
                <w:bCs/>
                <w:sz w:val="16"/>
                <w:szCs w:val="16"/>
              </w:rPr>
              <w:t>10</w:t>
            </w:r>
          </w:p>
        </w:tc>
        <w:tc>
          <w:tcPr>
            <w:tcW w:w="1162" w:type="dxa"/>
            <w:vMerge w:val="restart"/>
            <w:tcBorders>
              <w:top w:val="single" w:sz="18" w:space="0" w:color="auto"/>
              <w:left w:val="single" w:sz="18" w:space="0" w:color="C0C0C0"/>
              <w:right w:val="single" w:sz="18" w:space="0" w:color="auto"/>
            </w:tcBorders>
            <w:shd w:val="clear" w:color="auto" w:fill="auto"/>
            <w:vAlign w:val="center"/>
          </w:tcPr>
          <w:p w14:paraId="7FC64D6A" w14:textId="77777777" w:rsidR="003F5A4A" w:rsidRPr="00A634FA" w:rsidRDefault="003F5A4A" w:rsidP="00313AD9">
            <w:pPr>
              <w:jc w:val="center"/>
              <w:rPr>
                <w:rFonts w:ascii="Arial Narrow" w:hAnsi="Arial Narrow" w:cs="Arial"/>
                <w:sz w:val="16"/>
                <w:szCs w:val="16"/>
                <w:highlight w:val="yellow"/>
              </w:rPr>
            </w:pPr>
          </w:p>
        </w:tc>
        <w:tc>
          <w:tcPr>
            <w:tcW w:w="3633" w:type="dxa"/>
            <w:vMerge w:val="restart"/>
            <w:tcBorders>
              <w:top w:val="single" w:sz="18" w:space="0" w:color="auto"/>
              <w:left w:val="single" w:sz="18" w:space="0" w:color="auto"/>
              <w:right w:val="single" w:sz="18" w:space="0" w:color="auto"/>
            </w:tcBorders>
            <w:shd w:val="clear" w:color="auto" w:fill="auto"/>
            <w:vAlign w:val="center"/>
          </w:tcPr>
          <w:p w14:paraId="24C0F620"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rPr>
              <w:t>11 Reconciliation Re-enactment Commemoration</w:t>
            </w:r>
          </w:p>
          <w:p w14:paraId="7594D7D0" w14:textId="19AEE558" w:rsidR="003F5A4A" w:rsidRPr="008805E5" w:rsidRDefault="008805E5" w:rsidP="008805E5">
            <w:pPr>
              <w:jc w:val="center"/>
              <w:rPr>
                <w:rFonts w:ascii="Arial Narrow" w:hAnsi="Arial Narrow"/>
                <w:sz w:val="16"/>
                <w:szCs w:val="16"/>
              </w:rPr>
            </w:pPr>
            <w:r w:rsidRPr="008805E5">
              <w:rPr>
                <w:rFonts w:ascii="Arial Narrow" w:hAnsi="Arial Narrow"/>
                <w:color w:val="31849B"/>
                <w:sz w:val="16"/>
                <w:szCs w:val="16"/>
              </w:rPr>
              <w:t>Aurukun Cape B Circuit</w:t>
            </w:r>
          </w:p>
        </w:tc>
      </w:tr>
      <w:tr w:rsidR="003F5A4A" w:rsidRPr="00BC2C5D" w14:paraId="18A1C8FC" w14:textId="77777777" w:rsidTr="00211D14">
        <w:trPr>
          <w:trHeight w:val="284"/>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4D648DF" w14:textId="77777777" w:rsidR="003F5A4A" w:rsidRDefault="003F5A4A" w:rsidP="00313AD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7BB643F0" w14:textId="77777777" w:rsidR="003F5A4A" w:rsidRPr="00A634FA" w:rsidRDefault="003F5A4A" w:rsidP="00313AD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BFBFBF" w:themeColor="background1" w:themeShade="BF"/>
              <w:right w:val="single" w:sz="18" w:space="0" w:color="C0C0C0"/>
            </w:tcBorders>
            <w:shd w:val="clear" w:color="auto" w:fill="31849B"/>
            <w:vAlign w:val="center"/>
          </w:tcPr>
          <w:p w14:paraId="1A593F7B" w14:textId="4BE63B04"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8</w:t>
            </w:r>
          </w:p>
        </w:tc>
        <w:tc>
          <w:tcPr>
            <w:tcW w:w="1162" w:type="dxa"/>
            <w:tcBorders>
              <w:top w:val="nil"/>
              <w:left w:val="single" w:sz="18" w:space="0" w:color="C0C0C0"/>
              <w:bottom w:val="single" w:sz="18" w:space="0" w:color="C0C0C0"/>
              <w:right w:val="single" w:sz="18" w:space="0" w:color="C0C0C0"/>
            </w:tcBorders>
            <w:shd w:val="clear" w:color="auto" w:fill="769245"/>
            <w:vAlign w:val="center"/>
          </w:tcPr>
          <w:p w14:paraId="6CE51DBC" w14:textId="5A72F7A5" w:rsidR="003F5A4A" w:rsidRPr="00D8497C" w:rsidRDefault="00C71944" w:rsidP="00313AD9">
            <w:pPr>
              <w:jc w:val="center"/>
              <w:rPr>
                <w:rFonts w:ascii="Arial Narrow" w:hAnsi="Arial Narrow" w:cs="Arial"/>
                <w:b/>
                <w:bCs/>
                <w:color w:val="000000"/>
                <w:sz w:val="16"/>
                <w:szCs w:val="16"/>
              </w:rPr>
            </w:pPr>
            <w:r>
              <w:rPr>
                <w:rFonts w:ascii="Arial Narrow" w:hAnsi="Arial Narrow" w:cs="Arial"/>
                <w:b/>
                <w:bCs/>
                <w:color w:val="000000"/>
                <w:sz w:val="16"/>
                <w:szCs w:val="16"/>
              </w:rPr>
              <w:t>9</w:t>
            </w:r>
          </w:p>
        </w:tc>
        <w:tc>
          <w:tcPr>
            <w:tcW w:w="1162" w:type="dxa"/>
            <w:vMerge/>
            <w:tcBorders>
              <w:top w:val="single" w:sz="18" w:space="0" w:color="C0C0C0"/>
              <w:left w:val="single" w:sz="18" w:space="0" w:color="C0C0C0"/>
              <w:bottom w:val="single" w:sz="18" w:space="0" w:color="C0C0C0"/>
              <w:right w:val="single" w:sz="18" w:space="0" w:color="C0C0C0"/>
            </w:tcBorders>
            <w:shd w:val="thinDiagCross" w:color="auto" w:fill="A972A9"/>
            <w:vAlign w:val="center"/>
          </w:tcPr>
          <w:p w14:paraId="2CB29D26" w14:textId="77777777" w:rsidR="003F5A4A" w:rsidRPr="00D8497C" w:rsidRDefault="003F5A4A" w:rsidP="00313AD9">
            <w:pPr>
              <w:jc w:val="center"/>
              <w:rPr>
                <w:rFonts w:ascii="Arial Narrow" w:hAnsi="Arial Narrow" w:cs="Arial"/>
                <w:b/>
                <w:bCs/>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5B438B5A" w14:textId="77777777" w:rsidR="003F5A4A" w:rsidRPr="00A634FA" w:rsidRDefault="003F5A4A" w:rsidP="00313AD9">
            <w:pPr>
              <w:jc w:val="center"/>
              <w:rPr>
                <w:rFonts w:ascii="Arial Narrow" w:hAnsi="Arial Narrow" w:cs="Arial"/>
                <w:sz w:val="16"/>
                <w:szCs w:val="16"/>
                <w:highlight w:val="yellow"/>
              </w:rPr>
            </w:pPr>
          </w:p>
        </w:tc>
        <w:tc>
          <w:tcPr>
            <w:tcW w:w="3633"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4945DFA6" w14:textId="77777777" w:rsidR="003F5A4A" w:rsidRPr="008805E5" w:rsidRDefault="003F5A4A" w:rsidP="008D4D8C">
            <w:pPr>
              <w:jc w:val="center"/>
              <w:rPr>
                <w:rFonts w:ascii="Arial Narrow" w:hAnsi="Arial Narrow" w:cs="Arial"/>
                <w:sz w:val="16"/>
                <w:szCs w:val="16"/>
              </w:rPr>
            </w:pPr>
          </w:p>
        </w:tc>
      </w:tr>
      <w:tr w:rsidR="003F5A4A" w:rsidRPr="00BC2C5D" w14:paraId="5AD4A603" w14:textId="77777777" w:rsidTr="004B46D8">
        <w:trPr>
          <w:trHeight w:val="278"/>
        </w:trPr>
        <w:tc>
          <w:tcPr>
            <w:tcW w:w="1526" w:type="dxa"/>
            <w:vMerge w:val="restart"/>
            <w:tcBorders>
              <w:top w:val="single" w:sz="18" w:space="0" w:color="BFBFBF" w:themeColor="background1" w:themeShade="BF"/>
              <w:left w:val="single" w:sz="18" w:space="0" w:color="auto"/>
              <w:right w:val="single" w:sz="18" w:space="0" w:color="C0C0C0"/>
            </w:tcBorders>
            <w:shd w:val="clear" w:color="auto" w:fill="auto"/>
            <w:vAlign w:val="center"/>
          </w:tcPr>
          <w:p w14:paraId="541D2196" w14:textId="5DD6144C" w:rsidR="003F5A4A" w:rsidRDefault="003F5A4A" w:rsidP="00313AD9">
            <w:pPr>
              <w:jc w:val="center"/>
              <w:rPr>
                <w:rFonts w:ascii="Arial Narrow" w:hAnsi="Arial Narrow" w:cs="Arial"/>
                <w:sz w:val="16"/>
                <w:szCs w:val="16"/>
              </w:rPr>
            </w:pPr>
            <w:r>
              <w:rPr>
                <w:rFonts w:ascii="Arial Narrow" w:hAnsi="Arial Narrow" w:cs="Arial"/>
                <w:sz w:val="16"/>
                <w:szCs w:val="16"/>
              </w:rPr>
              <w:t>14 June</w:t>
            </w:r>
          </w:p>
        </w:tc>
        <w:tc>
          <w:tcPr>
            <w:tcW w:w="1051" w:type="dxa"/>
            <w:vMerge w:val="restart"/>
            <w:tcBorders>
              <w:top w:val="single" w:sz="18" w:space="0" w:color="BFBFBF" w:themeColor="background1" w:themeShade="BF"/>
              <w:left w:val="single" w:sz="18" w:space="0" w:color="C0C0C0"/>
              <w:right w:val="single" w:sz="18" w:space="0" w:color="C0C0C0"/>
            </w:tcBorders>
            <w:shd w:val="clear" w:color="auto" w:fill="auto"/>
            <w:vAlign w:val="center"/>
          </w:tcPr>
          <w:p w14:paraId="7C9E53CD" w14:textId="77777777" w:rsidR="003F5A4A" w:rsidRPr="00A634FA" w:rsidRDefault="003F5A4A" w:rsidP="00313AD9">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nil"/>
              <w:right w:val="single" w:sz="18" w:space="0" w:color="BFBFBF"/>
            </w:tcBorders>
            <w:shd w:val="clear" w:color="auto" w:fill="FF0000"/>
            <w:vAlign w:val="center"/>
          </w:tcPr>
          <w:p w14:paraId="6101D748" w14:textId="3C727B9A" w:rsidR="003F5A4A" w:rsidRPr="00C71944" w:rsidRDefault="00C71944" w:rsidP="00313AD9">
            <w:pPr>
              <w:jc w:val="center"/>
              <w:rPr>
                <w:rFonts w:ascii="Arial Narrow" w:hAnsi="Arial Narrow" w:cs="Arial"/>
                <w:b/>
                <w:bCs/>
                <w:color w:val="000000"/>
                <w:sz w:val="16"/>
                <w:szCs w:val="16"/>
              </w:rPr>
            </w:pPr>
            <w:r w:rsidRPr="00C71944">
              <w:rPr>
                <w:rFonts w:ascii="Arial Narrow" w:hAnsi="Arial Narrow" w:cs="Arial"/>
                <w:b/>
                <w:bCs/>
                <w:color w:val="000000"/>
                <w:sz w:val="16"/>
                <w:szCs w:val="16"/>
              </w:rPr>
              <w:t>15</w:t>
            </w:r>
          </w:p>
        </w:tc>
        <w:tc>
          <w:tcPr>
            <w:tcW w:w="1162" w:type="dxa"/>
            <w:vMerge w:val="restart"/>
            <w:tcBorders>
              <w:top w:val="single" w:sz="18" w:space="0" w:color="C0C0C0"/>
              <w:left w:val="single" w:sz="18" w:space="0" w:color="BFBFBF"/>
              <w:right w:val="single" w:sz="18" w:space="0" w:color="C0C0C0"/>
            </w:tcBorders>
            <w:shd w:val="clear" w:color="auto" w:fill="FF0000"/>
            <w:vAlign w:val="center"/>
          </w:tcPr>
          <w:p w14:paraId="1EACD015" w14:textId="091AFF19" w:rsidR="003F5A4A" w:rsidRPr="00C71944" w:rsidRDefault="00C71944" w:rsidP="00313AD9">
            <w:pPr>
              <w:jc w:val="center"/>
              <w:rPr>
                <w:rFonts w:ascii="Arial Narrow" w:hAnsi="Arial Narrow" w:cs="Arial"/>
                <w:b/>
                <w:bCs/>
                <w:color w:val="000000"/>
                <w:sz w:val="16"/>
                <w:szCs w:val="16"/>
              </w:rPr>
            </w:pPr>
            <w:r w:rsidRPr="00C71944">
              <w:rPr>
                <w:rFonts w:ascii="Arial Narrow" w:hAnsi="Arial Narrow" w:cs="Arial"/>
                <w:b/>
                <w:bCs/>
                <w:color w:val="000000"/>
                <w:sz w:val="16"/>
                <w:szCs w:val="16"/>
              </w:rPr>
              <w:t>16</w:t>
            </w:r>
          </w:p>
        </w:tc>
        <w:tc>
          <w:tcPr>
            <w:tcW w:w="1162" w:type="dxa"/>
            <w:vMerge w:val="restart"/>
            <w:tcBorders>
              <w:top w:val="single" w:sz="18" w:space="0" w:color="C0C0C0"/>
              <w:left w:val="single" w:sz="18" w:space="0" w:color="C0C0C0"/>
              <w:right w:val="single" w:sz="18" w:space="0" w:color="C0C0C0"/>
            </w:tcBorders>
            <w:shd w:val="clear" w:color="auto" w:fill="FF0000"/>
            <w:vAlign w:val="center"/>
          </w:tcPr>
          <w:p w14:paraId="66B770D2" w14:textId="33F8FD97" w:rsidR="003F5A4A" w:rsidRPr="00C71944" w:rsidRDefault="00C71944" w:rsidP="004B316F">
            <w:pPr>
              <w:jc w:val="center"/>
              <w:rPr>
                <w:rFonts w:ascii="Arial Narrow" w:hAnsi="Arial Narrow" w:cs="Arial"/>
                <w:b/>
                <w:bCs/>
                <w:sz w:val="16"/>
                <w:szCs w:val="16"/>
              </w:rPr>
            </w:pPr>
            <w:r w:rsidRPr="00C71944">
              <w:rPr>
                <w:rFonts w:ascii="Arial Narrow" w:hAnsi="Arial Narrow" w:cs="Arial"/>
                <w:b/>
                <w:bCs/>
                <w:sz w:val="16"/>
                <w:szCs w:val="16"/>
              </w:rPr>
              <w:t>17</w:t>
            </w:r>
          </w:p>
        </w:tc>
        <w:tc>
          <w:tcPr>
            <w:tcW w:w="1162" w:type="dxa"/>
            <w:vMerge w:val="restart"/>
            <w:tcBorders>
              <w:top w:val="single" w:sz="18" w:space="0" w:color="BFBFBF" w:themeColor="background1" w:themeShade="BF"/>
              <w:left w:val="single" w:sz="18" w:space="0" w:color="C0C0C0"/>
              <w:right w:val="single" w:sz="18" w:space="0" w:color="auto"/>
            </w:tcBorders>
            <w:shd w:val="clear" w:color="auto" w:fill="auto"/>
            <w:vAlign w:val="center"/>
          </w:tcPr>
          <w:p w14:paraId="26701529" w14:textId="77777777" w:rsidR="003F5A4A" w:rsidRPr="00A634FA" w:rsidRDefault="003F5A4A" w:rsidP="00313AD9">
            <w:pPr>
              <w:jc w:val="center"/>
              <w:rPr>
                <w:rFonts w:ascii="Arial Narrow" w:hAnsi="Arial Narrow" w:cs="Arial"/>
                <w:sz w:val="16"/>
                <w:szCs w:val="16"/>
                <w:highlight w:val="yellow"/>
              </w:rPr>
            </w:pPr>
          </w:p>
        </w:tc>
        <w:tc>
          <w:tcPr>
            <w:tcW w:w="3633" w:type="dxa"/>
            <w:vMerge w:val="restart"/>
            <w:tcBorders>
              <w:top w:val="single" w:sz="18" w:space="0" w:color="BFBFBF" w:themeColor="background1" w:themeShade="BF"/>
              <w:left w:val="single" w:sz="18" w:space="0" w:color="auto"/>
              <w:right w:val="single" w:sz="18" w:space="0" w:color="auto"/>
            </w:tcBorders>
            <w:shd w:val="clear" w:color="auto" w:fill="auto"/>
            <w:vAlign w:val="center"/>
          </w:tcPr>
          <w:p w14:paraId="5B76F0EA" w14:textId="77777777" w:rsidR="008805E5" w:rsidRPr="008805E5" w:rsidRDefault="008805E5" w:rsidP="008805E5">
            <w:pPr>
              <w:jc w:val="center"/>
              <w:rPr>
                <w:rFonts w:ascii="Arial Narrow" w:hAnsi="Arial Narrow"/>
                <w:sz w:val="16"/>
                <w:szCs w:val="16"/>
              </w:rPr>
            </w:pPr>
            <w:r w:rsidRPr="008805E5">
              <w:rPr>
                <w:rFonts w:ascii="Arial Narrow" w:hAnsi="Arial Narrow"/>
                <w:sz w:val="16"/>
                <w:szCs w:val="16"/>
              </w:rPr>
              <w:t>18-19 Mount Isa Show</w:t>
            </w:r>
          </w:p>
          <w:p w14:paraId="7D052E2D" w14:textId="77777777" w:rsidR="008805E5" w:rsidRPr="008805E5" w:rsidRDefault="008805E5" w:rsidP="008805E5">
            <w:pPr>
              <w:jc w:val="center"/>
              <w:rPr>
                <w:rFonts w:ascii="Arial Narrow" w:hAnsi="Arial Narrow" w:cs="Arial"/>
                <w:sz w:val="16"/>
                <w:szCs w:val="16"/>
              </w:rPr>
            </w:pPr>
            <w:r w:rsidRPr="008805E5">
              <w:rPr>
                <w:rFonts w:ascii="Arial Narrow" w:hAnsi="Arial Narrow" w:cs="Arial"/>
                <w:sz w:val="16"/>
                <w:szCs w:val="16"/>
              </w:rPr>
              <w:t>18- 20 Cooktown Discovery Festival</w:t>
            </w:r>
          </w:p>
          <w:p w14:paraId="34E89CD0" w14:textId="4AC96723" w:rsidR="003F5A4A" w:rsidRPr="008805E5" w:rsidRDefault="008805E5" w:rsidP="008805E5">
            <w:pPr>
              <w:jc w:val="center"/>
              <w:rPr>
                <w:rFonts w:ascii="Arial Narrow" w:hAnsi="Arial Narrow"/>
                <w:sz w:val="16"/>
                <w:szCs w:val="16"/>
              </w:rPr>
            </w:pPr>
            <w:r w:rsidRPr="008805E5">
              <w:rPr>
                <w:rFonts w:ascii="Arial Narrow" w:hAnsi="Arial Narrow"/>
                <w:color w:val="31849B"/>
                <w:sz w:val="16"/>
                <w:szCs w:val="16"/>
              </w:rPr>
              <w:t>Doomadgee – Gulf Circuit</w:t>
            </w:r>
          </w:p>
        </w:tc>
      </w:tr>
      <w:tr w:rsidR="003F5A4A" w:rsidRPr="00BC2C5D" w14:paraId="2CA91FCD" w14:textId="77777777" w:rsidTr="004B46D8">
        <w:trPr>
          <w:trHeight w:val="277"/>
        </w:trPr>
        <w:tc>
          <w:tcPr>
            <w:tcW w:w="1526" w:type="dxa"/>
            <w:vMerge/>
            <w:tcBorders>
              <w:left w:val="single" w:sz="18" w:space="0" w:color="auto"/>
              <w:bottom w:val="single" w:sz="18" w:space="0" w:color="BFBFBF" w:themeColor="background1" w:themeShade="BF"/>
              <w:right w:val="single" w:sz="18" w:space="0" w:color="C0C0C0"/>
            </w:tcBorders>
            <w:shd w:val="clear" w:color="auto" w:fill="auto"/>
            <w:vAlign w:val="center"/>
          </w:tcPr>
          <w:p w14:paraId="178A608A" w14:textId="77777777" w:rsidR="003F5A4A" w:rsidRDefault="003F5A4A" w:rsidP="00313AD9">
            <w:pPr>
              <w:jc w:val="center"/>
              <w:rPr>
                <w:rFonts w:ascii="Arial Narrow" w:hAnsi="Arial Narrow" w:cs="Arial"/>
                <w:sz w:val="16"/>
                <w:szCs w:val="16"/>
              </w:rPr>
            </w:pPr>
          </w:p>
        </w:tc>
        <w:tc>
          <w:tcPr>
            <w:tcW w:w="1051"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32A63984" w14:textId="77777777" w:rsidR="003F5A4A" w:rsidRPr="00A634FA" w:rsidRDefault="003F5A4A" w:rsidP="00313AD9">
            <w:pPr>
              <w:jc w:val="center"/>
              <w:rPr>
                <w:rFonts w:ascii="Arial Narrow" w:hAnsi="Arial Narrow" w:cs="Arial"/>
                <w:sz w:val="16"/>
                <w:szCs w:val="16"/>
                <w:highlight w:val="yellow"/>
              </w:rPr>
            </w:pPr>
          </w:p>
        </w:tc>
        <w:tc>
          <w:tcPr>
            <w:tcW w:w="1162" w:type="dxa"/>
            <w:tcBorders>
              <w:top w:val="nil"/>
              <w:left w:val="single" w:sz="18" w:space="0" w:color="C0C0C0"/>
              <w:bottom w:val="single" w:sz="18" w:space="0" w:color="C0C0C0"/>
              <w:right w:val="single" w:sz="18" w:space="0" w:color="BFBFBF"/>
            </w:tcBorders>
            <w:shd w:val="clear" w:color="auto" w:fill="FFFF00"/>
            <w:vAlign w:val="center"/>
          </w:tcPr>
          <w:p w14:paraId="2DF95D50" w14:textId="1FBEF1B8" w:rsidR="003F5A4A" w:rsidRPr="00C71944" w:rsidRDefault="00C71944" w:rsidP="00313AD9">
            <w:pPr>
              <w:jc w:val="center"/>
              <w:rPr>
                <w:rFonts w:ascii="Arial Narrow" w:hAnsi="Arial Narrow" w:cs="Arial"/>
                <w:b/>
                <w:bCs/>
                <w:color w:val="000000"/>
                <w:sz w:val="16"/>
                <w:szCs w:val="16"/>
              </w:rPr>
            </w:pPr>
            <w:r w:rsidRPr="00C71944">
              <w:rPr>
                <w:rFonts w:ascii="Arial Narrow" w:hAnsi="Arial Narrow" w:cs="Arial"/>
                <w:b/>
                <w:bCs/>
                <w:color w:val="000000"/>
                <w:sz w:val="16"/>
                <w:szCs w:val="16"/>
              </w:rPr>
              <w:t>15</w:t>
            </w:r>
          </w:p>
        </w:tc>
        <w:tc>
          <w:tcPr>
            <w:tcW w:w="1162" w:type="dxa"/>
            <w:vMerge/>
            <w:tcBorders>
              <w:left w:val="single" w:sz="18" w:space="0" w:color="BFBFBF"/>
              <w:bottom w:val="single" w:sz="18" w:space="0" w:color="BFBFBF" w:themeColor="background1" w:themeShade="BF"/>
              <w:right w:val="single" w:sz="18" w:space="0" w:color="C0C0C0"/>
            </w:tcBorders>
            <w:shd w:val="clear" w:color="auto" w:fill="auto"/>
            <w:vAlign w:val="center"/>
          </w:tcPr>
          <w:p w14:paraId="527D902A" w14:textId="77777777" w:rsidR="003F5A4A" w:rsidRDefault="003F5A4A" w:rsidP="00313AD9">
            <w:pPr>
              <w:jc w:val="center"/>
              <w:rPr>
                <w:rFonts w:ascii="Arial Narrow" w:hAnsi="Arial Narrow" w:cs="Arial"/>
                <w:color w:val="000000"/>
                <w:sz w:val="16"/>
                <w:szCs w:val="16"/>
              </w:rPr>
            </w:pPr>
          </w:p>
        </w:tc>
        <w:tc>
          <w:tcPr>
            <w:tcW w:w="1162" w:type="dxa"/>
            <w:vMerge/>
            <w:tcBorders>
              <w:left w:val="single" w:sz="18" w:space="0" w:color="C0C0C0"/>
              <w:bottom w:val="single" w:sz="18" w:space="0" w:color="BFBFBF" w:themeColor="background1" w:themeShade="BF"/>
              <w:right w:val="single" w:sz="18" w:space="0" w:color="C0C0C0"/>
            </w:tcBorders>
            <w:shd w:val="clear" w:color="auto" w:fill="auto"/>
            <w:vAlign w:val="center"/>
          </w:tcPr>
          <w:p w14:paraId="36108DC0" w14:textId="77777777" w:rsidR="003F5A4A" w:rsidRDefault="003F5A4A" w:rsidP="004B316F">
            <w:pPr>
              <w:jc w:val="center"/>
              <w:rPr>
                <w:rFonts w:ascii="Arial Narrow" w:hAnsi="Arial Narrow" w:cs="Arial"/>
                <w:sz w:val="16"/>
                <w:szCs w:val="16"/>
              </w:rPr>
            </w:pPr>
          </w:p>
        </w:tc>
        <w:tc>
          <w:tcPr>
            <w:tcW w:w="1162" w:type="dxa"/>
            <w:vMerge/>
            <w:tcBorders>
              <w:left w:val="single" w:sz="18" w:space="0" w:color="C0C0C0"/>
              <w:bottom w:val="single" w:sz="18" w:space="0" w:color="BFBFBF" w:themeColor="background1" w:themeShade="BF"/>
              <w:right w:val="single" w:sz="18" w:space="0" w:color="auto"/>
            </w:tcBorders>
            <w:shd w:val="clear" w:color="auto" w:fill="auto"/>
            <w:vAlign w:val="center"/>
          </w:tcPr>
          <w:p w14:paraId="341AC735" w14:textId="77777777" w:rsidR="003F5A4A" w:rsidRPr="00A634FA" w:rsidRDefault="003F5A4A" w:rsidP="00313AD9">
            <w:pPr>
              <w:jc w:val="center"/>
              <w:rPr>
                <w:rFonts w:ascii="Arial Narrow" w:hAnsi="Arial Narrow" w:cs="Arial"/>
                <w:sz w:val="16"/>
                <w:szCs w:val="16"/>
                <w:highlight w:val="yellow"/>
              </w:rPr>
            </w:pPr>
          </w:p>
        </w:tc>
        <w:tc>
          <w:tcPr>
            <w:tcW w:w="3633" w:type="dxa"/>
            <w:vMerge/>
            <w:tcBorders>
              <w:left w:val="single" w:sz="18" w:space="0" w:color="auto"/>
              <w:bottom w:val="single" w:sz="18" w:space="0" w:color="BFBFBF" w:themeColor="background1" w:themeShade="BF"/>
              <w:right w:val="single" w:sz="18" w:space="0" w:color="auto"/>
            </w:tcBorders>
            <w:shd w:val="clear" w:color="auto" w:fill="auto"/>
            <w:vAlign w:val="center"/>
          </w:tcPr>
          <w:p w14:paraId="02590889" w14:textId="77777777" w:rsidR="003F5A4A" w:rsidRPr="008805E5" w:rsidRDefault="003F5A4A" w:rsidP="002F0FCC">
            <w:pPr>
              <w:jc w:val="center"/>
              <w:rPr>
                <w:rFonts w:ascii="Arial Narrow" w:hAnsi="Arial Narrow"/>
                <w:sz w:val="16"/>
                <w:szCs w:val="16"/>
              </w:rPr>
            </w:pPr>
          </w:p>
        </w:tc>
      </w:tr>
      <w:tr w:rsidR="002B2062" w:rsidRPr="00BC2C5D" w14:paraId="358400C0" w14:textId="77777777" w:rsidTr="004B46D8">
        <w:trPr>
          <w:trHeight w:val="555"/>
        </w:trPr>
        <w:tc>
          <w:tcPr>
            <w:tcW w:w="1526" w:type="dxa"/>
            <w:tcBorders>
              <w:top w:val="single" w:sz="18" w:space="0" w:color="BFBFBF" w:themeColor="background1" w:themeShade="BF"/>
              <w:left w:val="single" w:sz="18" w:space="0" w:color="auto"/>
              <w:bottom w:val="single" w:sz="18" w:space="0" w:color="BFBFBF" w:themeColor="background1" w:themeShade="BF"/>
              <w:right w:val="single" w:sz="18" w:space="0" w:color="C0C0C0"/>
            </w:tcBorders>
            <w:shd w:val="clear" w:color="auto" w:fill="auto"/>
            <w:vAlign w:val="center"/>
          </w:tcPr>
          <w:p w14:paraId="7F3CCD7D" w14:textId="08021336" w:rsidR="002B2062" w:rsidRDefault="002B2062" w:rsidP="002B2062">
            <w:pPr>
              <w:jc w:val="center"/>
              <w:rPr>
                <w:rFonts w:ascii="Arial Narrow" w:hAnsi="Arial Narrow" w:cs="Arial"/>
                <w:sz w:val="16"/>
                <w:szCs w:val="16"/>
              </w:rPr>
            </w:pPr>
            <w:r>
              <w:rPr>
                <w:rFonts w:ascii="Arial Narrow" w:hAnsi="Arial Narrow" w:cs="Arial"/>
                <w:sz w:val="16"/>
                <w:szCs w:val="16"/>
              </w:rPr>
              <w:t xml:space="preserve">21 </w:t>
            </w:r>
            <w:r w:rsidR="00362B60">
              <w:rPr>
                <w:rFonts w:ascii="Arial Narrow" w:hAnsi="Arial Narrow" w:cs="Arial"/>
                <w:sz w:val="16"/>
                <w:szCs w:val="16"/>
              </w:rPr>
              <w:t>June</w:t>
            </w:r>
          </w:p>
        </w:tc>
        <w:tc>
          <w:tcPr>
            <w:tcW w:w="1051"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53D2FF"/>
            <w:vAlign w:val="center"/>
          </w:tcPr>
          <w:p w14:paraId="5AA43F07" w14:textId="77777777"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C0C0C0"/>
              <w:left w:val="single" w:sz="18" w:space="0" w:color="C0C0C0"/>
              <w:bottom w:val="single" w:sz="18" w:space="0" w:color="BFBFBF" w:themeColor="background1" w:themeShade="BF"/>
              <w:right w:val="single" w:sz="18" w:space="0" w:color="BFBFBF"/>
            </w:tcBorders>
            <w:shd w:val="clear" w:color="auto" w:fill="53D2FF"/>
            <w:vAlign w:val="center"/>
          </w:tcPr>
          <w:p w14:paraId="6A12CAE1"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BFBFBF" w:themeColor="background1" w:themeShade="BF"/>
              <w:right w:val="single" w:sz="18" w:space="0" w:color="C0C0C0"/>
            </w:tcBorders>
            <w:shd w:val="clear" w:color="auto" w:fill="53D2FF"/>
            <w:vAlign w:val="center"/>
          </w:tcPr>
          <w:p w14:paraId="6DFE03AF"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C0C0C0"/>
            </w:tcBorders>
            <w:shd w:val="clear" w:color="auto" w:fill="53D2FF"/>
            <w:vAlign w:val="center"/>
          </w:tcPr>
          <w:p w14:paraId="44E04AA2"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BFBFBF" w:themeColor="background1" w:themeShade="BF"/>
              <w:right w:val="single" w:sz="18" w:space="0" w:color="auto"/>
            </w:tcBorders>
            <w:shd w:val="clear" w:color="auto" w:fill="53D2FF"/>
            <w:vAlign w:val="center"/>
          </w:tcPr>
          <w:p w14:paraId="6B9BFEA4" w14:textId="5F89072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BFBFBF" w:themeColor="background1" w:themeShade="BF"/>
              <w:right w:val="single" w:sz="18" w:space="0" w:color="auto"/>
            </w:tcBorders>
            <w:shd w:val="clear" w:color="auto" w:fill="auto"/>
            <w:vAlign w:val="center"/>
          </w:tcPr>
          <w:p w14:paraId="5A84D8F4" w14:textId="70C99F49" w:rsidR="002B2062" w:rsidRPr="008805E5" w:rsidRDefault="008805E5" w:rsidP="002B2062">
            <w:pPr>
              <w:jc w:val="center"/>
              <w:rPr>
                <w:rFonts w:ascii="Arial Narrow" w:hAnsi="Arial Narrow"/>
                <w:sz w:val="16"/>
                <w:szCs w:val="16"/>
              </w:rPr>
            </w:pPr>
            <w:r w:rsidRPr="008805E5">
              <w:rPr>
                <w:rFonts w:ascii="Arial Narrow" w:hAnsi="Arial Narrow"/>
                <w:sz w:val="16"/>
                <w:szCs w:val="16"/>
              </w:rPr>
              <w:t>Local Commissioner Development Week</w:t>
            </w:r>
          </w:p>
        </w:tc>
      </w:tr>
      <w:tr w:rsidR="002B2062" w:rsidRPr="00BC2C5D" w14:paraId="454096CA" w14:textId="77777777" w:rsidTr="00C5507C">
        <w:trPr>
          <w:trHeight w:val="555"/>
        </w:trPr>
        <w:tc>
          <w:tcPr>
            <w:tcW w:w="1526" w:type="dxa"/>
            <w:tcBorders>
              <w:top w:val="single" w:sz="18" w:space="0" w:color="BFBFBF" w:themeColor="background1" w:themeShade="BF"/>
              <w:left w:val="single" w:sz="18" w:space="0" w:color="auto"/>
              <w:bottom w:val="single" w:sz="18" w:space="0" w:color="auto"/>
              <w:right w:val="single" w:sz="18" w:space="0" w:color="C0C0C0"/>
            </w:tcBorders>
            <w:shd w:val="clear" w:color="auto" w:fill="auto"/>
            <w:vAlign w:val="center"/>
          </w:tcPr>
          <w:p w14:paraId="4DFE7608" w14:textId="4A5C9220" w:rsidR="002B2062" w:rsidRDefault="002B2062" w:rsidP="002B2062">
            <w:pPr>
              <w:jc w:val="center"/>
              <w:rPr>
                <w:rFonts w:ascii="Arial Narrow" w:hAnsi="Arial Narrow" w:cs="Arial"/>
                <w:sz w:val="16"/>
                <w:szCs w:val="16"/>
              </w:rPr>
            </w:pPr>
            <w:r>
              <w:rPr>
                <w:rFonts w:ascii="Arial Narrow" w:hAnsi="Arial Narrow" w:cs="Arial"/>
                <w:sz w:val="16"/>
                <w:szCs w:val="16"/>
              </w:rPr>
              <w:t xml:space="preserve">28 </w:t>
            </w:r>
            <w:r w:rsidR="00362B60">
              <w:rPr>
                <w:rFonts w:ascii="Arial Narrow" w:hAnsi="Arial Narrow" w:cs="Arial"/>
                <w:sz w:val="16"/>
                <w:szCs w:val="16"/>
              </w:rPr>
              <w:t>June</w:t>
            </w:r>
          </w:p>
        </w:tc>
        <w:tc>
          <w:tcPr>
            <w:tcW w:w="1051"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360302F3" w14:textId="13F2AAA4" w:rsidR="002B2062" w:rsidRPr="00A634FA" w:rsidRDefault="002B2062" w:rsidP="002B2062">
            <w:pPr>
              <w:jc w:val="center"/>
              <w:rPr>
                <w:rFonts w:ascii="Arial Narrow" w:hAnsi="Arial Narrow" w:cs="Arial"/>
                <w:sz w:val="16"/>
                <w:szCs w:val="16"/>
                <w:highlight w:val="yellow"/>
              </w:rPr>
            </w:pPr>
          </w:p>
        </w:tc>
        <w:tc>
          <w:tcPr>
            <w:tcW w:w="1162" w:type="dxa"/>
            <w:tcBorders>
              <w:top w:val="single" w:sz="18" w:space="0" w:color="BFBFBF" w:themeColor="background1" w:themeShade="BF"/>
              <w:left w:val="single" w:sz="18" w:space="0" w:color="C0C0C0"/>
              <w:bottom w:val="single" w:sz="18" w:space="0" w:color="auto"/>
              <w:right w:val="single" w:sz="18" w:space="0" w:color="BFBFBF"/>
            </w:tcBorders>
            <w:shd w:val="clear" w:color="auto" w:fill="D9D9D9"/>
            <w:vAlign w:val="center"/>
          </w:tcPr>
          <w:p w14:paraId="2C94E94A"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BFBFBF"/>
              <w:bottom w:val="single" w:sz="18" w:space="0" w:color="auto"/>
              <w:right w:val="single" w:sz="18" w:space="0" w:color="C0C0C0"/>
            </w:tcBorders>
            <w:shd w:val="clear" w:color="auto" w:fill="D9D9D9"/>
            <w:vAlign w:val="center"/>
          </w:tcPr>
          <w:p w14:paraId="67C67A85" w14:textId="77777777" w:rsidR="002B2062" w:rsidRDefault="002B2062" w:rsidP="002B2062">
            <w:pPr>
              <w:jc w:val="center"/>
              <w:rPr>
                <w:rFonts w:ascii="Arial Narrow" w:hAnsi="Arial Narrow" w:cs="Arial"/>
                <w:color w:val="000000"/>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C0C0C0"/>
            </w:tcBorders>
            <w:shd w:val="clear" w:color="auto" w:fill="D9D9D9"/>
            <w:vAlign w:val="center"/>
          </w:tcPr>
          <w:p w14:paraId="44573AD3" w14:textId="77777777" w:rsidR="002B2062" w:rsidRDefault="002B2062" w:rsidP="002B2062">
            <w:pPr>
              <w:jc w:val="center"/>
              <w:rPr>
                <w:rFonts w:ascii="Arial Narrow" w:hAnsi="Arial Narrow" w:cs="Arial"/>
                <w:sz w:val="16"/>
                <w:szCs w:val="16"/>
              </w:rPr>
            </w:pPr>
          </w:p>
        </w:tc>
        <w:tc>
          <w:tcPr>
            <w:tcW w:w="1162" w:type="dxa"/>
            <w:tcBorders>
              <w:top w:val="single" w:sz="18" w:space="0" w:color="BFBFBF" w:themeColor="background1" w:themeShade="BF"/>
              <w:left w:val="single" w:sz="18" w:space="0" w:color="C0C0C0"/>
              <w:bottom w:val="single" w:sz="18" w:space="0" w:color="auto"/>
              <w:right w:val="single" w:sz="18" w:space="0" w:color="auto"/>
            </w:tcBorders>
            <w:shd w:val="clear" w:color="auto" w:fill="D9D9D9"/>
            <w:vAlign w:val="center"/>
          </w:tcPr>
          <w:p w14:paraId="617889D1" w14:textId="26E552FE" w:rsidR="002B2062" w:rsidRPr="00A634FA" w:rsidRDefault="002B2062" w:rsidP="002B2062">
            <w:pPr>
              <w:jc w:val="center"/>
              <w:rPr>
                <w:rFonts w:ascii="Arial Narrow" w:hAnsi="Arial Narrow" w:cs="Arial"/>
                <w:sz w:val="16"/>
                <w:szCs w:val="16"/>
                <w:highlight w:val="yellow"/>
              </w:rPr>
            </w:pPr>
          </w:p>
        </w:tc>
        <w:tc>
          <w:tcPr>
            <w:tcW w:w="3633" w:type="dxa"/>
            <w:tcBorders>
              <w:top w:val="single" w:sz="18" w:space="0" w:color="BFBFBF" w:themeColor="background1" w:themeShade="BF"/>
              <w:left w:val="single" w:sz="18" w:space="0" w:color="auto"/>
              <w:bottom w:val="single" w:sz="18" w:space="0" w:color="auto"/>
              <w:right w:val="single" w:sz="18" w:space="0" w:color="auto"/>
            </w:tcBorders>
            <w:shd w:val="clear" w:color="auto" w:fill="D9D9D9"/>
            <w:vAlign w:val="center"/>
          </w:tcPr>
          <w:p w14:paraId="684BF69B" w14:textId="46ADA799" w:rsidR="002B2062" w:rsidRPr="008E728C" w:rsidRDefault="002B2062" w:rsidP="002B2062">
            <w:pPr>
              <w:jc w:val="center"/>
              <w:rPr>
                <w:rFonts w:ascii="Arial Narrow" w:hAnsi="Arial Narrow"/>
                <w:sz w:val="16"/>
                <w:szCs w:val="16"/>
              </w:rPr>
            </w:pPr>
          </w:p>
        </w:tc>
      </w:tr>
    </w:tbl>
    <w:p w14:paraId="76B33384" w14:textId="074FAC56" w:rsidR="00D017C0" w:rsidRDefault="00D017C0" w:rsidP="004B316F">
      <w:pPr>
        <w:spacing w:line="240" w:lineRule="auto"/>
        <w:jc w:val="both"/>
        <w:rPr>
          <w:rFonts w:cs="Arial"/>
          <w:sz w:val="16"/>
          <w:szCs w:val="16"/>
        </w:rPr>
      </w:pPr>
    </w:p>
    <w:p w14:paraId="0D98CD12" w14:textId="77777777" w:rsidR="00840A1A" w:rsidRPr="00840A1A" w:rsidRDefault="00840A1A" w:rsidP="002A0D70">
      <w:pPr>
        <w:spacing w:line="240" w:lineRule="auto"/>
        <w:rPr>
          <w:rFonts w:ascii="Arial" w:hAnsi="Arial" w:cs="Arial"/>
          <w:b/>
        </w:rPr>
      </w:pPr>
      <w:r w:rsidRPr="00840A1A">
        <w:rPr>
          <w:rFonts w:ascii="Arial" w:hAnsi="Arial" w:cs="Arial"/>
          <w:b/>
        </w:rPr>
        <w:t>LEGEND</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693"/>
      </w:tblGrid>
      <w:tr w:rsidR="00FA3323" w:rsidRPr="0036066B" w14:paraId="46D90E2A" w14:textId="77777777" w:rsidTr="00F10DE3">
        <w:tc>
          <w:tcPr>
            <w:tcW w:w="710" w:type="dxa"/>
            <w:tcBorders>
              <w:bottom w:val="single" w:sz="4" w:space="0" w:color="auto"/>
            </w:tcBorders>
            <w:shd w:val="clear" w:color="auto" w:fill="D9D9D9"/>
          </w:tcPr>
          <w:p w14:paraId="39FFEEAD" w14:textId="77777777" w:rsidR="00FA3323" w:rsidRPr="0036066B" w:rsidRDefault="00FA3323" w:rsidP="00A15FC1">
            <w:pPr>
              <w:rPr>
                <w:rFonts w:ascii="Arial Narrow" w:hAnsi="Arial Narrow"/>
              </w:rPr>
            </w:pPr>
          </w:p>
        </w:tc>
        <w:tc>
          <w:tcPr>
            <w:tcW w:w="2693" w:type="dxa"/>
            <w:shd w:val="clear" w:color="auto" w:fill="auto"/>
          </w:tcPr>
          <w:p w14:paraId="2A743319" w14:textId="77777777" w:rsidR="00FA3323" w:rsidRPr="0036066B" w:rsidRDefault="00FA3323" w:rsidP="00A15FC1">
            <w:pPr>
              <w:rPr>
                <w:rFonts w:ascii="Arial Narrow" w:hAnsi="Arial Narrow"/>
              </w:rPr>
            </w:pPr>
            <w:r w:rsidRPr="0036066B">
              <w:rPr>
                <w:rFonts w:ascii="Arial" w:hAnsi="Arial" w:cs="Arial"/>
              </w:rPr>
              <w:t>Office Days</w:t>
            </w:r>
          </w:p>
        </w:tc>
      </w:tr>
      <w:tr w:rsidR="00FA3323" w:rsidRPr="0036066B" w14:paraId="2B38FB28" w14:textId="77777777" w:rsidTr="00F10DE3">
        <w:tc>
          <w:tcPr>
            <w:tcW w:w="710" w:type="dxa"/>
            <w:tcBorders>
              <w:bottom w:val="single" w:sz="4" w:space="0" w:color="auto"/>
            </w:tcBorders>
            <w:shd w:val="clear" w:color="auto" w:fill="FFFF00"/>
          </w:tcPr>
          <w:p w14:paraId="1001310F" w14:textId="77777777" w:rsidR="00FA3323" w:rsidRPr="0036066B" w:rsidRDefault="00FA3323" w:rsidP="00A15FC1">
            <w:pPr>
              <w:rPr>
                <w:rFonts w:ascii="Arial Narrow" w:hAnsi="Arial Narrow"/>
              </w:rPr>
            </w:pPr>
          </w:p>
        </w:tc>
        <w:tc>
          <w:tcPr>
            <w:tcW w:w="2693" w:type="dxa"/>
            <w:shd w:val="clear" w:color="auto" w:fill="auto"/>
          </w:tcPr>
          <w:p w14:paraId="18C3D116" w14:textId="77777777" w:rsidR="00FA3323" w:rsidRPr="0036066B" w:rsidRDefault="00FA3323" w:rsidP="00A15FC1">
            <w:pPr>
              <w:rPr>
                <w:rFonts w:ascii="Arial Narrow" w:hAnsi="Arial Narrow"/>
              </w:rPr>
            </w:pPr>
            <w:r w:rsidRPr="0036066B">
              <w:rPr>
                <w:rFonts w:ascii="Arial" w:hAnsi="Arial" w:cs="Arial"/>
              </w:rPr>
              <w:t>Public Holidays</w:t>
            </w:r>
          </w:p>
        </w:tc>
      </w:tr>
      <w:tr w:rsidR="00FA3323" w:rsidRPr="0036066B" w14:paraId="345D01B0" w14:textId="77777777" w:rsidTr="00F10DE3">
        <w:tc>
          <w:tcPr>
            <w:tcW w:w="710" w:type="dxa"/>
            <w:tcBorders>
              <w:bottom w:val="single" w:sz="4" w:space="0" w:color="auto"/>
            </w:tcBorders>
            <w:shd w:val="clear" w:color="auto" w:fill="FF3737"/>
          </w:tcPr>
          <w:p w14:paraId="4407EFEB" w14:textId="77777777" w:rsidR="00FA3323" w:rsidRPr="0036066B" w:rsidRDefault="00FA3323" w:rsidP="00A15FC1">
            <w:pPr>
              <w:rPr>
                <w:rFonts w:ascii="Arial Narrow" w:hAnsi="Arial Narrow"/>
              </w:rPr>
            </w:pPr>
          </w:p>
        </w:tc>
        <w:tc>
          <w:tcPr>
            <w:tcW w:w="2693" w:type="dxa"/>
            <w:shd w:val="clear" w:color="auto" w:fill="auto"/>
          </w:tcPr>
          <w:p w14:paraId="7F8BE1A9" w14:textId="77777777" w:rsidR="00FA3323" w:rsidRPr="0036066B" w:rsidRDefault="00FA3323" w:rsidP="00A15FC1">
            <w:pPr>
              <w:rPr>
                <w:rFonts w:ascii="Arial Narrow" w:hAnsi="Arial Narrow"/>
              </w:rPr>
            </w:pPr>
            <w:r w:rsidRPr="0036066B">
              <w:rPr>
                <w:rFonts w:ascii="Arial" w:hAnsi="Arial" w:cs="Arial"/>
              </w:rPr>
              <w:t>Aurukun Sitting</w:t>
            </w:r>
          </w:p>
        </w:tc>
      </w:tr>
      <w:tr w:rsidR="00FA3323" w:rsidRPr="0036066B" w14:paraId="5ABEBE63" w14:textId="77777777" w:rsidTr="00F10DE3">
        <w:tc>
          <w:tcPr>
            <w:tcW w:w="710" w:type="dxa"/>
            <w:tcBorders>
              <w:bottom w:val="single" w:sz="4" w:space="0" w:color="auto"/>
            </w:tcBorders>
            <w:shd w:val="clear" w:color="auto" w:fill="31849B"/>
          </w:tcPr>
          <w:p w14:paraId="6F1688FD" w14:textId="77777777" w:rsidR="00FA3323" w:rsidRPr="0036066B" w:rsidRDefault="00FA3323" w:rsidP="00A15FC1">
            <w:pPr>
              <w:rPr>
                <w:rFonts w:ascii="Arial Narrow" w:hAnsi="Arial Narrow"/>
              </w:rPr>
            </w:pPr>
          </w:p>
        </w:tc>
        <w:tc>
          <w:tcPr>
            <w:tcW w:w="2693" w:type="dxa"/>
            <w:shd w:val="clear" w:color="auto" w:fill="auto"/>
          </w:tcPr>
          <w:p w14:paraId="4E9239C3" w14:textId="77777777" w:rsidR="00FA3323" w:rsidRPr="0036066B" w:rsidRDefault="00FA3323" w:rsidP="00A15FC1">
            <w:pPr>
              <w:rPr>
                <w:rFonts w:ascii="Arial Narrow" w:hAnsi="Arial Narrow"/>
              </w:rPr>
            </w:pPr>
            <w:r w:rsidRPr="0036066B">
              <w:rPr>
                <w:rFonts w:ascii="Arial" w:hAnsi="Arial" w:cs="Arial"/>
              </w:rPr>
              <w:t>Coen Sitting</w:t>
            </w:r>
          </w:p>
        </w:tc>
      </w:tr>
      <w:tr w:rsidR="00FA3323" w:rsidRPr="0036066B" w14:paraId="4B5A38DB" w14:textId="77777777" w:rsidTr="00F10DE3">
        <w:tc>
          <w:tcPr>
            <w:tcW w:w="710" w:type="dxa"/>
            <w:tcBorders>
              <w:bottom w:val="single" w:sz="4" w:space="0" w:color="auto"/>
            </w:tcBorders>
            <w:shd w:val="clear" w:color="auto" w:fill="A972A9"/>
          </w:tcPr>
          <w:p w14:paraId="629ABFEB" w14:textId="77777777" w:rsidR="00FA3323" w:rsidRPr="0036066B" w:rsidRDefault="00FA3323" w:rsidP="00A15FC1">
            <w:pPr>
              <w:rPr>
                <w:rFonts w:ascii="Arial Narrow" w:hAnsi="Arial Narrow"/>
              </w:rPr>
            </w:pPr>
          </w:p>
        </w:tc>
        <w:tc>
          <w:tcPr>
            <w:tcW w:w="2693" w:type="dxa"/>
            <w:shd w:val="clear" w:color="auto" w:fill="auto"/>
          </w:tcPr>
          <w:p w14:paraId="65C1800C" w14:textId="77777777" w:rsidR="00FA3323" w:rsidRPr="0036066B" w:rsidRDefault="00FA3323" w:rsidP="00A15FC1">
            <w:pPr>
              <w:rPr>
                <w:rFonts w:ascii="Arial" w:hAnsi="Arial" w:cs="Arial"/>
              </w:rPr>
            </w:pPr>
            <w:r>
              <w:rPr>
                <w:rFonts w:ascii="Arial" w:hAnsi="Arial" w:cs="Arial"/>
              </w:rPr>
              <w:t>Doomadgee Sitting</w:t>
            </w:r>
          </w:p>
        </w:tc>
      </w:tr>
      <w:tr w:rsidR="00FA3323" w:rsidRPr="0036066B" w14:paraId="520AD516" w14:textId="77777777" w:rsidTr="00F10DE3">
        <w:tc>
          <w:tcPr>
            <w:tcW w:w="710" w:type="dxa"/>
            <w:tcBorders>
              <w:bottom w:val="single" w:sz="4" w:space="0" w:color="auto"/>
            </w:tcBorders>
            <w:shd w:val="clear" w:color="auto" w:fill="76923C"/>
          </w:tcPr>
          <w:p w14:paraId="5F4403FF" w14:textId="77777777" w:rsidR="00FA3323" w:rsidRPr="0036066B" w:rsidRDefault="00FA3323" w:rsidP="00A15FC1">
            <w:pPr>
              <w:rPr>
                <w:rFonts w:ascii="Arial Narrow" w:hAnsi="Arial Narrow"/>
              </w:rPr>
            </w:pPr>
          </w:p>
        </w:tc>
        <w:tc>
          <w:tcPr>
            <w:tcW w:w="2693" w:type="dxa"/>
            <w:shd w:val="clear" w:color="auto" w:fill="auto"/>
          </w:tcPr>
          <w:p w14:paraId="4F5A30B1" w14:textId="77777777" w:rsidR="00FA3323" w:rsidRPr="0036066B" w:rsidRDefault="00FA3323" w:rsidP="00A15FC1">
            <w:pPr>
              <w:rPr>
                <w:rFonts w:ascii="Arial Narrow" w:hAnsi="Arial Narrow"/>
              </w:rPr>
            </w:pPr>
            <w:r w:rsidRPr="0036066B">
              <w:rPr>
                <w:rFonts w:ascii="Arial" w:hAnsi="Arial" w:cs="Arial"/>
              </w:rPr>
              <w:t>Hope Vale Sitting</w:t>
            </w:r>
          </w:p>
        </w:tc>
      </w:tr>
      <w:tr w:rsidR="00FA3323" w:rsidRPr="0036066B" w14:paraId="7A5819AF" w14:textId="77777777" w:rsidTr="00F10DE3">
        <w:tc>
          <w:tcPr>
            <w:tcW w:w="710" w:type="dxa"/>
            <w:tcBorders>
              <w:bottom w:val="single" w:sz="4" w:space="0" w:color="auto"/>
            </w:tcBorders>
            <w:shd w:val="clear" w:color="auto" w:fill="FFFA00"/>
          </w:tcPr>
          <w:p w14:paraId="049D7E38" w14:textId="77777777" w:rsidR="00FA3323" w:rsidRPr="0036066B" w:rsidRDefault="00FA3323" w:rsidP="00A15FC1">
            <w:pPr>
              <w:rPr>
                <w:rFonts w:ascii="Arial Narrow" w:hAnsi="Arial Narrow"/>
              </w:rPr>
            </w:pPr>
          </w:p>
        </w:tc>
        <w:tc>
          <w:tcPr>
            <w:tcW w:w="2693" w:type="dxa"/>
            <w:shd w:val="clear" w:color="auto" w:fill="auto"/>
          </w:tcPr>
          <w:p w14:paraId="28FFD9ED" w14:textId="77777777" w:rsidR="00FA3323" w:rsidRPr="0036066B" w:rsidRDefault="00FA3323" w:rsidP="00A15FC1">
            <w:pPr>
              <w:rPr>
                <w:rFonts w:ascii="Arial Narrow" w:hAnsi="Arial Narrow"/>
              </w:rPr>
            </w:pPr>
            <w:r w:rsidRPr="0036066B">
              <w:rPr>
                <w:rFonts w:ascii="Arial" w:hAnsi="Arial" w:cs="Arial"/>
              </w:rPr>
              <w:t>Mossman Gorge Sitting</w:t>
            </w:r>
          </w:p>
        </w:tc>
      </w:tr>
      <w:tr w:rsidR="00FA3323" w:rsidRPr="0036066B" w14:paraId="7ED2E4FF" w14:textId="77777777" w:rsidTr="00F10DE3">
        <w:tc>
          <w:tcPr>
            <w:tcW w:w="710" w:type="dxa"/>
            <w:shd w:val="clear" w:color="auto" w:fill="auto"/>
          </w:tcPr>
          <w:p w14:paraId="095F5B2E" w14:textId="77777777" w:rsidR="00FA3323" w:rsidRPr="0036066B" w:rsidRDefault="00FA3323" w:rsidP="00A15FC1">
            <w:pPr>
              <w:jc w:val="center"/>
              <w:rPr>
                <w:rFonts w:ascii="Arial Narrow" w:hAnsi="Arial Narrow"/>
              </w:rPr>
            </w:pPr>
            <w:r w:rsidRPr="0036066B">
              <w:rPr>
                <w:rFonts w:ascii="Arial" w:hAnsi="Arial" w:cs="Arial"/>
                <w:strike/>
              </w:rPr>
              <w:t>0</w:t>
            </w:r>
          </w:p>
        </w:tc>
        <w:tc>
          <w:tcPr>
            <w:tcW w:w="2693" w:type="dxa"/>
            <w:shd w:val="clear" w:color="auto" w:fill="auto"/>
          </w:tcPr>
          <w:p w14:paraId="2A3999ED" w14:textId="77777777" w:rsidR="00FA3323" w:rsidRPr="0036066B" w:rsidRDefault="00FA3323" w:rsidP="00A15FC1">
            <w:pPr>
              <w:rPr>
                <w:rFonts w:ascii="Arial Narrow" w:hAnsi="Arial Narrow"/>
              </w:rPr>
            </w:pPr>
            <w:r w:rsidRPr="0036066B">
              <w:rPr>
                <w:rFonts w:ascii="Arial" w:hAnsi="Arial" w:cs="Arial"/>
              </w:rPr>
              <w:t>Cancelled Conference</w:t>
            </w:r>
          </w:p>
        </w:tc>
      </w:tr>
    </w:tbl>
    <w:p w14:paraId="5A6BD35E" w14:textId="77777777" w:rsidR="004053AC" w:rsidRDefault="004053AC" w:rsidP="00967E77">
      <w:pPr>
        <w:rPr>
          <w:rFonts w:ascii="Arial Narrow" w:hAnsi="Arial Narrow"/>
        </w:r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08"/>
        <w:gridCol w:w="1261"/>
        <w:gridCol w:w="1535"/>
        <w:gridCol w:w="1275"/>
      </w:tblGrid>
      <w:tr w:rsidR="00967E77" w:rsidRPr="00D83311" w14:paraId="42BFAEF8" w14:textId="77777777" w:rsidTr="00F10DE3">
        <w:trPr>
          <w:trHeight w:val="284"/>
        </w:trPr>
        <w:tc>
          <w:tcPr>
            <w:tcW w:w="3686" w:type="dxa"/>
            <w:shd w:val="clear" w:color="auto" w:fill="DBE5F1"/>
          </w:tcPr>
          <w:p w14:paraId="78B78BA5" w14:textId="77777777" w:rsidR="00967E77" w:rsidRPr="00D83311" w:rsidRDefault="00967E77" w:rsidP="00967E77">
            <w:pPr>
              <w:jc w:val="center"/>
              <w:rPr>
                <w:rFonts w:ascii="Arial" w:hAnsi="Arial" w:cs="Arial"/>
                <w:b/>
              </w:rPr>
            </w:pPr>
            <w:r w:rsidRPr="00D83311">
              <w:rPr>
                <w:rFonts w:ascii="Arial" w:hAnsi="Arial" w:cs="Arial"/>
                <w:b/>
              </w:rPr>
              <w:t>OFFICE</w:t>
            </w:r>
          </w:p>
        </w:tc>
        <w:tc>
          <w:tcPr>
            <w:tcW w:w="2308" w:type="dxa"/>
            <w:shd w:val="clear" w:color="auto" w:fill="DBE5F1"/>
          </w:tcPr>
          <w:p w14:paraId="347534A6" w14:textId="77777777" w:rsidR="00967E77" w:rsidRPr="00D83311" w:rsidRDefault="00967E77" w:rsidP="00967E77">
            <w:pPr>
              <w:jc w:val="center"/>
              <w:rPr>
                <w:rFonts w:ascii="Arial" w:hAnsi="Arial" w:cs="Arial"/>
                <w:b/>
              </w:rPr>
            </w:pPr>
            <w:r w:rsidRPr="00D83311">
              <w:rPr>
                <w:rFonts w:ascii="Arial" w:hAnsi="Arial" w:cs="Arial"/>
                <w:b/>
              </w:rPr>
              <w:t>CONTACT NAME</w:t>
            </w:r>
          </w:p>
        </w:tc>
        <w:tc>
          <w:tcPr>
            <w:tcW w:w="1261" w:type="dxa"/>
            <w:shd w:val="clear" w:color="auto" w:fill="DBE5F1"/>
          </w:tcPr>
          <w:p w14:paraId="0F7199F3" w14:textId="77777777" w:rsidR="00967E77" w:rsidRPr="00D83311" w:rsidRDefault="00967E77" w:rsidP="00967E77">
            <w:pPr>
              <w:jc w:val="center"/>
              <w:rPr>
                <w:rFonts w:ascii="Arial" w:hAnsi="Arial" w:cs="Arial"/>
                <w:b/>
              </w:rPr>
            </w:pPr>
            <w:r w:rsidRPr="00D83311">
              <w:rPr>
                <w:rFonts w:ascii="Arial" w:hAnsi="Arial" w:cs="Arial"/>
                <w:b/>
              </w:rPr>
              <w:t>Phone</w:t>
            </w:r>
          </w:p>
        </w:tc>
        <w:tc>
          <w:tcPr>
            <w:tcW w:w="1535" w:type="dxa"/>
            <w:shd w:val="clear" w:color="auto" w:fill="DBE5F1"/>
          </w:tcPr>
          <w:p w14:paraId="142BCA5C" w14:textId="77777777" w:rsidR="00967E77" w:rsidRPr="00D83311" w:rsidRDefault="00967E77" w:rsidP="00967E77">
            <w:pPr>
              <w:jc w:val="center"/>
              <w:rPr>
                <w:rFonts w:ascii="Arial" w:hAnsi="Arial" w:cs="Arial"/>
                <w:b/>
              </w:rPr>
            </w:pPr>
            <w:r w:rsidRPr="00D83311">
              <w:rPr>
                <w:rFonts w:ascii="Arial" w:hAnsi="Arial" w:cs="Arial"/>
                <w:b/>
              </w:rPr>
              <w:t>Mobile</w:t>
            </w:r>
          </w:p>
        </w:tc>
        <w:tc>
          <w:tcPr>
            <w:tcW w:w="1275" w:type="dxa"/>
            <w:shd w:val="clear" w:color="auto" w:fill="DBE5F1"/>
          </w:tcPr>
          <w:p w14:paraId="6EFEDF0C" w14:textId="77777777" w:rsidR="00967E77" w:rsidRPr="00D83311" w:rsidRDefault="00967E77" w:rsidP="00967E77">
            <w:pPr>
              <w:jc w:val="center"/>
              <w:rPr>
                <w:rFonts w:ascii="Arial" w:hAnsi="Arial" w:cs="Arial"/>
                <w:b/>
              </w:rPr>
            </w:pPr>
            <w:r w:rsidRPr="00D83311">
              <w:rPr>
                <w:rFonts w:ascii="Arial" w:hAnsi="Arial" w:cs="Arial"/>
                <w:b/>
              </w:rPr>
              <w:t>Facsimile</w:t>
            </w:r>
          </w:p>
        </w:tc>
      </w:tr>
      <w:tr w:rsidR="00E67BBC" w:rsidRPr="00D83311" w14:paraId="7AC0CA1E" w14:textId="77777777" w:rsidTr="00F10DE3">
        <w:trPr>
          <w:trHeight w:val="284"/>
        </w:trPr>
        <w:tc>
          <w:tcPr>
            <w:tcW w:w="3686" w:type="dxa"/>
            <w:shd w:val="clear" w:color="auto" w:fill="auto"/>
            <w:vAlign w:val="center"/>
          </w:tcPr>
          <w:p w14:paraId="4EA8313E" w14:textId="48D91B63" w:rsidR="00E67BBC" w:rsidRPr="00E67BBC" w:rsidRDefault="00E67BBC" w:rsidP="00E67BBC">
            <w:pPr>
              <w:rPr>
                <w:rFonts w:ascii="Arial" w:hAnsi="Arial" w:cs="Arial"/>
              </w:rPr>
            </w:pPr>
            <w:r w:rsidRPr="00E67BBC">
              <w:rPr>
                <w:rFonts w:ascii="Arial" w:hAnsi="Arial" w:cs="Arial"/>
              </w:rPr>
              <w:t>Cairns – Commissioner</w:t>
            </w:r>
          </w:p>
        </w:tc>
        <w:tc>
          <w:tcPr>
            <w:tcW w:w="2308" w:type="dxa"/>
            <w:shd w:val="clear" w:color="auto" w:fill="auto"/>
            <w:vAlign w:val="center"/>
          </w:tcPr>
          <w:p w14:paraId="2575E680" w14:textId="31DB6806" w:rsidR="00E67BBC" w:rsidRPr="00E67BBC" w:rsidRDefault="00E67BBC" w:rsidP="00E67BBC">
            <w:pPr>
              <w:rPr>
                <w:rFonts w:ascii="Arial" w:hAnsi="Arial" w:cs="Arial"/>
              </w:rPr>
            </w:pPr>
            <w:r w:rsidRPr="00E67BBC">
              <w:rPr>
                <w:rFonts w:ascii="Arial" w:hAnsi="Arial" w:cs="Arial"/>
              </w:rPr>
              <w:t>Ms Tammy Williams</w:t>
            </w:r>
          </w:p>
        </w:tc>
        <w:tc>
          <w:tcPr>
            <w:tcW w:w="1261" w:type="dxa"/>
            <w:shd w:val="clear" w:color="auto" w:fill="auto"/>
            <w:vAlign w:val="center"/>
          </w:tcPr>
          <w:p w14:paraId="37188136" w14:textId="3259BC56" w:rsidR="00E67BBC" w:rsidRPr="00E67BBC" w:rsidRDefault="00E67BBC" w:rsidP="00E67BBC">
            <w:pPr>
              <w:jc w:val="center"/>
              <w:rPr>
                <w:rFonts w:ascii="Arial" w:hAnsi="Arial" w:cs="Arial"/>
              </w:rPr>
            </w:pPr>
            <w:r w:rsidRPr="00E67BBC">
              <w:rPr>
                <w:rFonts w:ascii="Arial" w:hAnsi="Arial" w:cs="Arial"/>
              </w:rPr>
              <w:t>4081 8413</w:t>
            </w:r>
          </w:p>
        </w:tc>
        <w:tc>
          <w:tcPr>
            <w:tcW w:w="1535" w:type="dxa"/>
            <w:shd w:val="clear" w:color="auto" w:fill="auto"/>
            <w:vAlign w:val="center"/>
          </w:tcPr>
          <w:p w14:paraId="4221BDBF" w14:textId="4DFDE73D" w:rsidR="00E67BBC" w:rsidRPr="00E67BBC" w:rsidRDefault="00E67BBC" w:rsidP="00E67BBC">
            <w:pPr>
              <w:jc w:val="center"/>
              <w:rPr>
                <w:rFonts w:ascii="Arial" w:hAnsi="Arial" w:cs="Arial"/>
              </w:rPr>
            </w:pPr>
            <w:r w:rsidRPr="00E67BBC">
              <w:rPr>
                <w:rFonts w:ascii="Arial" w:hAnsi="Arial" w:cs="Arial"/>
              </w:rPr>
              <w:t>0447 739 137</w:t>
            </w:r>
          </w:p>
        </w:tc>
        <w:tc>
          <w:tcPr>
            <w:tcW w:w="1275" w:type="dxa"/>
            <w:shd w:val="clear" w:color="auto" w:fill="auto"/>
            <w:vAlign w:val="center"/>
          </w:tcPr>
          <w:p w14:paraId="23792D04" w14:textId="3CA3CDB1"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61495AE" w14:textId="77777777" w:rsidTr="00F10DE3">
        <w:trPr>
          <w:trHeight w:val="284"/>
        </w:trPr>
        <w:tc>
          <w:tcPr>
            <w:tcW w:w="3686" w:type="dxa"/>
            <w:shd w:val="clear" w:color="auto" w:fill="auto"/>
            <w:vAlign w:val="center"/>
          </w:tcPr>
          <w:p w14:paraId="162B3C56" w14:textId="4D607764" w:rsidR="00B60E22" w:rsidRPr="00E67BBC" w:rsidRDefault="00B60E22" w:rsidP="00E67BBC">
            <w:pPr>
              <w:rPr>
                <w:rFonts w:ascii="Arial" w:hAnsi="Arial" w:cs="Arial"/>
              </w:rPr>
            </w:pPr>
            <w:r>
              <w:rPr>
                <w:rFonts w:ascii="Arial" w:hAnsi="Arial" w:cs="Arial"/>
              </w:rPr>
              <w:t>Cairns – Deputy Commissioner</w:t>
            </w:r>
          </w:p>
        </w:tc>
        <w:tc>
          <w:tcPr>
            <w:tcW w:w="2308" w:type="dxa"/>
            <w:shd w:val="clear" w:color="auto" w:fill="auto"/>
            <w:vAlign w:val="center"/>
          </w:tcPr>
          <w:p w14:paraId="13B665B8" w14:textId="5B851FD8" w:rsidR="00B60E22" w:rsidRPr="00E67BBC" w:rsidRDefault="00B60E22" w:rsidP="00E67BBC">
            <w:pPr>
              <w:rPr>
                <w:rFonts w:ascii="Arial" w:hAnsi="Arial" w:cs="Arial"/>
              </w:rPr>
            </w:pPr>
            <w:r>
              <w:rPr>
                <w:rFonts w:ascii="Arial" w:hAnsi="Arial" w:cs="Arial"/>
              </w:rPr>
              <w:t>Mr Rod Curtin</w:t>
            </w:r>
          </w:p>
        </w:tc>
        <w:tc>
          <w:tcPr>
            <w:tcW w:w="1261" w:type="dxa"/>
            <w:shd w:val="clear" w:color="auto" w:fill="auto"/>
            <w:vAlign w:val="center"/>
          </w:tcPr>
          <w:p w14:paraId="5768F957" w14:textId="3C879442" w:rsidR="00B60E22" w:rsidRPr="00E67BBC" w:rsidRDefault="00B60E22" w:rsidP="00E67BBC">
            <w:pPr>
              <w:jc w:val="center"/>
              <w:rPr>
                <w:rFonts w:ascii="Arial" w:hAnsi="Arial" w:cs="Arial"/>
              </w:rPr>
            </w:pPr>
            <w:r>
              <w:rPr>
                <w:rFonts w:ascii="Arial" w:hAnsi="Arial" w:cs="Arial"/>
              </w:rPr>
              <w:t>4081 8410</w:t>
            </w:r>
          </w:p>
        </w:tc>
        <w:tc>
          <w:tcPr>
            <w:tcW w:w="1535" w:type="dxa"/>
            <w:shd w:val="clear" w:color="auto" w:fill="auto"/>
            <w:vAlign w:val="center"/>
          </w:tcPr>
          <w:p w14:paraId="713272F7" w14:textId="484957E6" w:rsidR="00B60E22" w:rsidRPr="00E67BBC" w:rsidRDefault="00B60E22" w:rsidP="00E67BBC">
            <w:pPr>
              <w:jc w:val="center"/>
              <w:rPr>
                <w:rFonts w:ascii="Arial" w:hAnsi="Arial" w:cs="Arial"/>
              </w:rPr>
            </w:pPr>
            <w:r>
              <w:rPr>
                <w:rFonts w:ascii="Arial" w:hAnsi="Arial" w:cs="Arial"/>
              </w:rPr>
              <w:t>0419 647 948</w:t>
            </w:r>
          </w:p>
        </w:tc>
        <w:tc>
          <w:tcPr>
            <w:tcW w:w="1275" w:type="dxa"/>
            <w:shd w:val="clear" w:color="auto" w:fill="auto"/>
            <w:vAlign w:val="center"/>
          </w:tcPr>
          <w:p w14:paraId="3771714E" w14:textId="38978160" w:rsidR="00B60E22" w:rsidRPr="00E67BBC" w:rsidRDefault="00B60E22" w:rsidP="00E67BBC">
            <w:pPr>
              <w:jc w:val="center"/>
              <w:rPr>
                <w:rFonts w:ascii="Arial" w:hAnsi="Arial" w:cs="Arial"/>
              </w:rPr>
            </w:pPr>
            <w:r>
              <w:rPr>
                <w:rFonts w:ascii="Arial" w:hAnsi="Arial" w:cs="Arial"/>
              </w:rPr>
              <w:t>4041 0974</w:t>
            </w:r>
          </w:p>
        </w:tc>
      </w:tr>
      <w:tr w:rsidR="00E67BBC" w:rsidRPr="00D83311" w14:paraId="4AE1FE76" w14:textId="77777777" w:rsidTr="00F10DE3">
        <w:trPr>
          <w:trHeight w:val="284"/>
        </w:trPr>
        <w:tc>
          <w:tcPr>
            <w:tcW w:w="3686" w:type="dxa"/>
            <w:shd w:val="clear" w:color="auto" w:fill="auto"/>
            <w:vAlign w:val="center"/>
          </w:tcPr>
          <w:p w14:paraId="5116CEAB" w14:textId="4F360482" w:rsidR="00E67BBC" w:rsidRPr="00E67BBC" w:rsidRDefault="00E67BBC" w:rsidP="00E67BBC">
            <w:pPr>
              <w:rPr>
                <w:rFonts w:ascii="Arial" w:hAnsi="Arial" w:cs="Arial"/>
              </w:rPr>
            </w:pPr>
            <w:r w:rsidRPr="00E67BBC">
              <w:rPr>
                <w:rFonts w:ascii="Arial" w:hAnsi="Arial" w:cs="Arial"/>
              </w:rPr>
              <w:t>Cairns – Registrar</w:t>
            </w:r>
          </w:p>
        </w:tc>
        <w:tc>
          <w:tcPr>
            <w:tcW w:w="2308" w:type="dxa"/>
            <w:shd w:val="clear" w:color="auto" w:fill="auto"/>
            <w:vAlign w:val="center"/>
          </w:tcPr>
          <w:p w14:paraId="73035401" w14:textId="50A6E466" w:rsidR="00E67BBC" w:rsidRPr="00E67BBC" w:rsidRDefault="00E67BBC" w:rsidP="00E67BBC">
            <w:pPr>
              <w:rPr>
                <w:rFonts w:ascii="Arial" w:hAnsi="Arial" w:cs="Arial"/>
              </w:rPr>
            </w:pPr>
            <w:r w:rsidRPr="00E67BBC">
              <w:rPr>
                <w:rFonts w:ascii="Arial" w:hAnsi="Arial" w:cs="Arial"/>
              </w:rPr>
              <w:t>Ms Maxine McLeod</w:t>
            </w:r>
          </w:p>
        </w:tc>
        <w:tc>
          <w:tcPr>
            <w:tcW w:w="1261" w:type="dxa"/>
            <w:shd w:val="clear" w:color="auto" w:fill="auto"/>
            <w:vAlign w:val="center"/>
          </w:tcPr>
          <w:p w14:paraId="61BA9B0E" w14:textId="4868AE80" w:rsidR="00E67BBC" w:rsidRPr="00E67BBC" w:rsidRDefault="00E67BBC" w:rsidP="00E67BBC">
            <w:pPr>
              <w:jc w:val="center"/>
              <w:rPr>
                <w:rFonts w:ascii="Arial" w:hAnsi="Arial" w:cs="Arial"/>
              </w:rPr>
            </w:pPr>
            <w:r w:rsidRPr="00E67BBC">
              <w:rPr>
                <w:rFonts w:ascii="Arial" w:hAnsi="Arial" w:cs="Arial"/>
              </w:rPr>
              <w:t>4081 8412</w:t>
            </w:r>
          </w:p>
        </w:tc>
        <w:tc>
          <w:tcPr>
            <w:tcW w:w="1535" w:type="dxa"/>
            <w:shd w:val="clear" w:color="auto" w:fill="auto"/>
            <w:vAlign w:val="center"/>
          </w:tcPr>
          <w:p w14:paraId="4EDB491E" w14:textId="2A0C72DE" w:rsidR="00E67BBC" w:rsidRPr="00E67BBC" w:rsidRDefault="00E67BBC" w:rsidP="00E67BBC">
            <w:pPr>
              <w:jc w:val="center"/>
              <w:rPr>
                <w:rFonts w:ascii="Arial" w:hAnsi="Arial" w:cs="Arial"/>
              </w:rPr>
            </w:pPr>
            <w:r w:rsidRPr="00E67BBC">
              <w:rPr>
                <w:rFonts w:ascii="Arial" w:hAnsi="Arial" w:cs="Arial"/>
              </w:rPr>
              <w:t>0409 461 624</w:t>
            </w:r>
          </w:p>
        </w:tc>
        <w:tc>
          <w:tcPr>
            <w:tcW w:w="1275" w:type="dxa"/>
            <w:shd w:val="clear" w:color="auto" w:fill="auto"/>
            <w:vAlign w:val="center"/>
          </w:tcPr>
          <w:p w14:paraId="4D90E65B" w14:textId="12F98F78"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3D3BBDC6" w14:textId="77777777" w:rsidTr="00F10DE3">
        <w:trPr>
          <w:trHeight w:val="284"/>
        </w:trPr>
        <w:tc>
          <w:tcPr>
            <w:tcW w:w="3686" w:type="dxa"/>
            <w:shd w:val="clear" w:color="auto" w:fill="auto"/>
            <w:vAlign w:val="center"/>
          </w:tcPr>
          <w:p w14:paraId="05C1E82E" w14:textId="5823A4AD" w:rsidR="00E67BBC" w:rsidRPr="00E67BBC" w:rsidRDefault="00E67BBC" w:rsidP="00E67BBC">
            <w:pPr>
              <w:rPr>
                <w:rFonts w:ascii="Arial" w:hAnsi="Arial" w:cs="Arial"/>
              </w:rPr>
            </w:pPr>
            <w:r w:rsidRPr="00E67BBC">
              <w:rPr>
                <w:rFonts w:ascii="Arial" w:hAnsi="Arial" w:cs="Arial"/>
              </w:rPr>
              <w:t>Cairns – Executive Officer (Finance)</w:t>
            </w:r>
          </w:p>
        </w:tc>
        <w:tc>
          <w:tcPr>
            <w:tcW w:w="2308" w:type="dxa"/>
            <w:shd w:val="clear" w:color="auto" w:fill="auto"/>
            <w:vAlign w:val="center"/>
          </w:tcPr>
          <w:p w14:paraId="7AF4D22C" w14:textId="1BC1CBD1" w:rsidR="00E67BBC" w:rsidRPr="00E67BBC" w:rsidRDefault="00E67BBC" w:rsidP="00E67BBC">
            <w:pPr>
              <w:rPr>
                <w:rFonts w:ascii="Arial" w:hAnsi="Arial" w:cs="Arial"/>
              </w:rPr>
            </w:pPr>
            <w:r w:rsidRPr="00E67BBC">
              <w:rPr>
                <w:rFonts w:ascii="Arial" w:hAnsi="Arial" w:cs="Arial"/>
              </w:rPr>
              <w:t>Ms Tracey Paterson</w:t>
            </w:r>
          </w:p>
        </w:tc>
        <w:tc>
          <w:tcPr>
            <w:tcW w:w="1261" w:type="dxa"/>
            <w:shd w:val="clear" w:color="auto" w:fill="auto"/>
            <w:vAlign w:val="center"/>
          </w:tcPr>
          <w:p w14:paraId="1D2FDB4C" w14:textId="57272658" w:rsidR="00E67BBC" w:rsidRPr="00E67BBC" w:rsidRDefault="00E67BBC" w:rsidP="00E67BBC">
            <w:pPr>
              <w:jc w:val="center"/>
              <w:rPr>
                <w:rFonts w:ascii="Arial" w:hAnsi="Arial" w:cs="Arial"/>
              </w:rPr>
            </w:pPr>
            <w:r w:rsidRPr="00E67BBC">
              <w:rPr>
                <w:rFonts w:ascii="Arial" w:hAnsi="Arial" w:cs="Arial"/>
              </w:rPr>
              <w:t>4081 8411</w:t>
            </w:r>
          </w:p>
        </w:tc>
        <w:tc>
          <w:tcPr>
            <w:tcW w:w="1535" w:type="dxa"/>
            <w:shd w:val="clear" w:color="auto" w:fill="auto"/>
            <w:vAlign w:val="center"/>
          </w:tcPr>
          <w:p w14:paraId="4FFCA915" w14:textId="040640BB" w:rsidR="00E67BBC" w:rsidRPr="00E67BBC" w:rsidRDefault="00E67BBC" w:rsidP="00E67BBC">
            <w:pPr>
              <w:jc w:val="center"/>
              <w:rPr>
                <w:rFonts w:ascii="Arial" w:hAnsi="Arial" w:cs="Arial"/>
              </w:rPr>
            </w:pPr>
            <w:r w:rsidRPr="00E67BBC">
              <w:rPr>
                <w:rFonts w:ascii="Arial" w:hAnsi="Arial" w:cs="Arial"/>
              </w:rPr>
              <w:t>0429 495 353</w:t>
            </w:r>
          </w:p>
        </w:tc>
        <w:tc>
          <w:tcPr>
            <w:tcW w:w="1275" w:type="dxa"/>
            <w:shd w:val="clear" w:color="auto" w:fill="auto"/>
            <w:vAlign w:val="center"/>
          </w:tcPr>
          <w:p w14:paraId="2AEF667E" w14:textId="0B7D37B3" w:rsidR="00E67BBC" w:rsidRPr="00E67BBC" w:rsidRDefault="00E67BBC" w:rsidP="00E67BBC">
            <w:pPr>
              <w:jc w:val="center"/>
              <w:rPr>
                <w:rFonts w:ascii="Arial" w:hAnsi="Arial" w:cs="Arial"/>
              </w:rPr>
            </w:pPr>
            <w:r w:rsidRPr="00E67BBC">
              <w:rPr>
                <w:rFonts w:ascii="Arial" w:hAnsi="Arial" w:cs="Arial"/>
              </w:rPr>
              <w:t>4041 0974</w:t>
            </w:r>
          </w:p>
        </w:tc>
      </w:tr>
      <w:tr w:rsidR="00F10DE3" w:rsidRPr="00D83311" w14:paraId="0EC7D371" w14:textId="77777777" w:rsidTr="00F10DE3">
        <w:trPr>
          <w:trHeight w:val="284"/>
        </w:trPr>
        <w:tc>
          <w:tcPr>
            <w:tcW w:w="3686" w:type="dxa"/>
            <w:shd w:val="clear" w:color="auto" w:fill="auto"/>
            <w:vAlign w:val="center"/>
          </w:tcPr>
          <w:p w14:paraId="1BF012FA" w14:textId="057222EE" w:rsidR="00F10DE3" w:rsidRPr="00E67BBC" w:rsidRDefault="00F10DE3" w:rsidP="00E67BBC">
            <w:pPr>
              <w:rPr>
                <w:rFonts w:ascii="Arial" w:hAnsi="Arial" w:cs="Arial"/>
              </w:rPr>
            </w:pPr>
            <w:r>
              <w:rPr>
                <w:rFonts w:ascii="Arial" w:hAnsi="Arial" w:cs="Arial"/>
              </w:rPr>
              <w:t>Acting Client Manager</w:t>
            </w:r>
          </w:p>
        </w:tc>
        <w:tc>
          <w:tcPr>
            <w:tcW w:w="2308" w:type="dxa"/>
            <w:shd w:val="clear" w:color="auto" w:fill="auto"/>
            <w:vAlign w:val="center"/>
          </w:tcPr>
          <w:p w14:paraId="6414AEC0" w14:textId="4A2AA154" w:rsidR="00F10DE3" w:rsidRPr="00E67BBC" w:rsidRDefault="00F10DE3" w:rsidP="00E67BBC">
            <w:pPr>
              <w:rPr>
                <w:rFonts w:ascii="Arial" w:hAnsi="Arial" w:cs="Arial"/>
              </w:rPr>
            </w:pPr>
            <w:r>
              <w:rPr>
                <w:rFonts w:ascii="Arial" w:hAnsi="Arial" w:cs="Arial"/>
              </w:rPr>
              <w:t>Ms Sandi Rye</w:t>
            </w:r>
          </w:p>
        </w:tc>
        <w:tc>
          <w:tcPr>
            <w:tcW w:w="1261" w:type="dxa"/>
            <w:shd w:val="clear" w:color="auto" w:fill="auto"/>
            <w:vAlign w:val="center"/>
          </w:tcPr>
          <w:p w14:paraId="0880E2DB" w14:textId="3FDDD41F" w:rsidR="00F10DE3" w:rsidRPr="00E67BBC" w:rsidRDefault="00F10DE3" w:rsidP="00E67BBC">
            <w:pPr>
              <w:jc w:val="center"/>
              <w:rPr>
                <w:rFonts w:ascii="Arial" w:hAnsi="Arial" w:cs="Arial"/>
              </w:rPr>
            </w:pPr>
            <w:r>
              <w:rPr>
                <w:rFonts w:ascii="Arial" w:hAnsi="Arial" w:cs="Arial"/>
              </w:rPr>
              <w:t>4081 8410</w:t>
            </w:r>
          </w:p>
        </w:tc>
        <w:tc>
          <w:tcPr>
            <w:tcW w:w="1535" w:type="dxa"/>
            <w:shd w:val="clear" w:color="auto" w:fill="auto"/>
            <w:vAlign w:val="center"/>
          </w:tcPr>
          <w:p w14:paraId="538B9CA3" w14:textId="6BFDD1CA" w:rsidR="00F10DE3" w:rsidRPr="00E67BBC" w:rsidRDefault="00F10DE3" w:rsidP="00E67BBC">
            <w:pPr>
              <w:jc w:val="center"/>
              <w:rPr>
                <w:rFonts w:ascii="Arial" w:hAnsi="Arial" w:cs="Arial"/>
              </w:rPr>
            </w:pPr>
            <w:r>
              <w:rPr>
                <w:rFonts w:ascii="Arial" w:hAnsi="Arial" w:cs="Arial"/>
              </w:rPr>
              <w:t>0438 195 342</w:t>
            </w:r>
          </w:p>
        </w:tc>
        <w:tc>
          <w:tcPr>
            <w:tcW w:w="1275" w:type="dxa"/>
            <w:shd w:val="clear" w:color="auto" w:fill="auto"/>
            <w:vAlign w:val="center"/>
          </w:tcPr>
          <w:p w14:paraId="2E04F215" w14:textId="0D4203D1" w:rsidR="00F10DE3" w:rsidRPr="00E67BBC" w:rsidRDefault="00F10DE3" w:rsidP="00E67BBC">
            <w:pPr>
              <w:jc w:val="center"/>
              <w:rPr>
                <w:rFonts w:ascii="Arial" w:hAnsi="Arial" w:cs="Arial"/>
              </w:rPr>
            </w:pPr>
            <w:r>
              <w:rPr>
                <w:rFonts w:ascii="Arial" w:hAnsi="Arial" w:cs="Arial"/>
              </w:rPr>
              <w:t>4041 0974</w:t>
            </w:r>
          </w:p>
        </w:tc>
      </w:tr>
      <w:tr w:rsidR="00E67BBC" w:rsidRPr="00D83311" w14:paraId="0AA468FE" w14:textId="77777777" w:rsidTr="00F10DE3">
        <w:trPr>
          <w:trHeight w:val="284"/>
        </w:trPr>
        <w:tc>
          <w:tcPr>
            <w:tcW w:w="3686" w:type="dxa"/>
            <w:shd w:val="clear" w:color="auto" w:fill="auto"/>
            <w:vAlign w:val="center"/>
          </w:tcPr>
          <w:p w14:paraId="3649648A" w14:textId="77EA729D" w:rsidR="00E67BBC" w:rsidRPr="00E67BBC" w:rsidRDefault="00E67BBC" w:rsidP="00E67BBC">
            <w:pPr>
              <w:rPr>
                <w:rFonts w:ascii="Arial" w:hAnsi="Arial" w:cs="Arial"/>
              </w:rPr>
            </w:pPr>
            <w:r w:rsidRPr="00E67BBC">
              <w:rPr>
                <w:rFonts w:ascii="Arial" w:hAnsi="Arial" w:cs="Arial"/>
              </w:rPr>
              <w:t>Aurukun Local</w:t>
            </w:r>
            <w:r w:rsidR="00310942">
              <w:rPr>
                <w:rFonts w:ascii="Arial" w:hAnsi="Arial" w:cs="Arial"/>
              </w:rPr>
              <w:t xml:space="preserve"> Registry</w:t>
            </w:r>
            <w:r w:rsidRPr="00E67BBC">
              <w:rPr>
                <w:rFonts w:ascii="Arial" w:hAnsi="Arial" w:cs="Arial"/>
              </w:rPr>
              <w:t xml:space="preserve"> Coordinator</w:t>
            </w:r>
          </w:p>
        </w:tc>
        <w:tc>
          <w:tcPr>
            <w:tcW w:w="2308" w:type="dxa"/>
            <w:shd w:val="clear" w:color="auto" w:fill="auto"/>
            <w:vAlign w:val="center"/>
          </w:tcPr>
          <w:p w14:paraId="38A2D5AE" w14:textId="5BC3CE65" w:rsidR="00E67BBC" w:rsidRPr="00E67BBC" w:rsidRDefault="00E67BBC" w:rsidP="00E67BBC">
            <w:pPr>
              <w:rPr>
                <w:rFonts w:ascii="Arial" w:hAnsi="Arial" w:cs="Arial"/>
              </w:rPr>
            </w:pPr>
            <w:r w:rsidRPr="00E67BBC">
              <w:rPr>
                <w:rFonts w:ascii="Arial" w:hAnsi="Arial" w:cs="Arial"/>
              </w:rPr>
              <w:t>Mr Bryce Coxall</w:t>
            </w:r>
          </w:p>
        </w:tc>
        <w:tc>
          <w:tcPr>
            <w:tcW w:w="1261" w:type="dxa"/>
            <w:shd w:val="clear" w:color="auto" w:fill="auto"/>
            <w:vAlign w:val="center"/>
          </w:tcPr>
          <w:p w14:paraId="59EC3BFE" w14:textId="6AD6CDF2" w:rsidR="00E67BBC" w:rsidRPr="00E67BBC" w:rsidRDefault="00E67BBC" w:rsidP="00E67BBC">
            <w:pPr>
              <w:jc w:val="center"/>
              <w:rPr>
                <w:rFonts w:ascii="Arial" w:hAnsi="Arial" w:cs="Arial"/>
              </w:rPr>
            </w:pPr>
            <w:r w:rsidRPr="00E67BBC">
              <w:rPr>
                <w:rFonts w:ascii="Arial" w:hAnsi="Arial" w:cs="Arial"/>
              </w:rPr>
              <w:t>4060 6185</w:t>
            </w:r>
          </w:p>
        </w:tc>
        <w:tc>
          <w:tcPr>
            <w:tcW w:w="1535" w:type="dxa"/>
            <w:shd w:val="clear" w:color="auto" w:fill="auto"/>
            <w:vAlign w:val="center"/>
          </w:tcPr>
          <w:p w14:paraId="56C65990" w14:textId="33B9570F" w:rsidR="00E67BBC" w:rsidRPr="00E67BBC" w:rsidRDefault="00E67BBC" w:rsidP="00E67BBC">
            <w:pPr>
              <w:jc w:val="center"/>
              <w:rPr>
                <w:rFonts w:ascii="Arial" w:hAnsi="Arial" w:cs="Arial"/>
              </w:rPr>
            </w:pPr>
            <w:r w:rsidRPr="00E67BBC">
              <w:rPr>
                <w:rFonts w:ascii="Arial" w:hAnsi="Arial" w:cs="Arial"/>
              </w:rPr>
              <w:t>0428 985 106</w:t>
            </w:r>
          </w:p>
        </w:tc>
        <w:tc>
          <w:tcPr>
            <w:tcW w:w="1275" w:type="dxa"/>
            <w:shd w:val="clear" w:color="auto" w:fill="auto"/>
            <w:vAlign w:val="center"/>
          </w:tcPr>
          <w:p w14:paraId="1266BE6F" w14:textId="071BB74B"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6C3E8A51" w14:textId="77777777" w:rsidTr="00F10DE3">
        <w:trPr>
          <w:trHeight w:val="284"/>
        </w:trPr>
        <w:tc>
          <w:tcPr>
            <w:tcW w:w="3686" w:type="dxa"/>
            <w:shd w:val="clear" w:color="auto" w:fill="auto"/>
            <w:vAlign w:val="center"/>
          </w:tcPr>
          <w:p w14:paraId="605C8262" w14:textId="0EA9027C" w:rsidR="00E67BBC" w:rsidRPr="00E67BBC" w:rsidRDefault="00F10DE3" w:rsidP="00E67BBC">
            <w:pPr>
              <w:rPr>
                <w:rFonts w:ascii="Arial" w:hAnsi="Arial" w:cs="Arial"/>
              </w:rPr>
            </w:pPr>
            <w:r>
              <w:rPr>
                <w:rFonts w:ascii="Arial" w:hAnsi="Arial" w:cs="Arial"/>
              </w:rPr>
              <w:t xml:space="preserve">Acting </w:t>
            </w:r>
            <w:r w:rsidR="00E67BBC" w:rsidRPr="00E67BBC">
              <w:rPr>
                <w:rFonts w:ascii="Arial" w:hAnsi="Arial" w:cs="Arial"/>
              </w:rPr>
              <w:t xml:space="preserve">Coen Local </w:t>
            </w:r>
            <w:r w:rsidR="00310942">
              <w:rPr>
                <w:rFonts w:ascii="Arial" w:hAnsi="Arial" w:cs="Arial"/>
              </w:rPr>
              <w:t xml:space="preserve">Registry </w:t>
            </w:r>
            <w:r w:rsidR="00E67BBC" w:rsidRPr="00E67BBC">
              <w:rPr>
                <w:rFonts w:ascii="Arial" w:hAnsi="Arial" w:cs="Arial"/>
              </w:rPr>
              <w:t>Coordinator</w:t>
            </w:r>
          </w:p>
        </w:tc>
        <w:tc>
          <w:tcPr>
            <w:tcW w:w="2308" w:type="dxa"/>
            <w:shd w:val="clear" w:color="auto" w:fill="auto"/>
            <w:vAlign w:val="center"/>
          </w:tcPr>
          <w:p w14:paraId="5802C696" w14:textId="7142D123" w:rsidR="00E67BBC" w:rsidRPr="00E67BBC" w:rsidRDefault="00F10DE3" w:rsidP="00E67BBC">
            <w:pPr>
              <w:rPr>
                <w:rFonts w:ascii="Arial" w:hAnsi="Arial" w:cs="Arial"/>
              </w:rPr>
            </w:pPr>
            <w:r>
              <w:rPr>
                <w:rFonts w:ascii="Arial" w:hAnsi="Arial" w:cs="Arial"/>
              </w:rPr>
              <w:t>Mr Simeon Miglioranza</w:t>
            </w:r>
          </w:p>
        </w:tc>
        <w:tc>
          <w:tcPr>
            <w:tcW w:w="1261" w:type="dxa"/>
            <w:shd w:val="clear" w:color="auto" w:fill="auto"/>
            <w:vAlign w:val="center"/>
          </w:tcPr>
          <w:p w14:paraId="7D89524A" w14:textId="77777777" w:rsidR="00E67BBC" w:rsidRPr="00E67BBC" w:rsidRDefault="00E67BBC" w:rsidP="00E67BBC">
            <w:pPr>
              <w:jc w:val="center"/>
              <w:rPr>
                <w:rFonts w:ascii="Arial" w:hAnsi="Arial" w:cs="Arial"/>
              </w:rPr>
            </w:pPr>
          </w:p>
        </w:tc>
        <w:tc>
          <w:tcPr>
            <w:tcW w:w="1535" w:type="dxa"/>
            <w:shd w:val="clear" w:color="auto" w:fill="auto"/>
            <w:vAlign w:val="center"/>
          </w:tcPr>
          <w:p w14:paraId="1826CD02" w14:textId="0BDDBCDD" w:rsidR="00E67BBC" w:rsidRPr="00E67BBC" w:rsidRDefault="00E67BBC" w:rsidP="00E67BBC">
            <w:pPr>
              <w:jc w:val="center"/>
              <w:rPr>
                <w:rFonts w:ascii="Arial" w:hAnsi="Arial" w:cs="Arial"/>
              </w:rPr>
            </w:pPr>
            <w:r w:rsidRPr="00E67BBC">
              <w:rPr>
                <w:rFonts w:ascii="Arial" w:hAnsi="Arial" w:cs="Arial"/>
              </w:rPr>
              <w:t>0417 798 392</w:t>
            </w:r>
          </w:p>
        </w:tc>
        <w:tc>
          <w:tcPr>
            <w:tcW w:w="1275" w:type="dxa"/>
            <w:shd w:val="clear" w:color="auto" w:fill="auto"/>
            <w:vAlign w:val="center"/>
          </w:tcPr>
          <w:p w14:paraId="23937D66" w14:textId="0F86015A"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277ED5E3" w14:textId="77777777" w:rsidTr="00F10DE3">
        <w:trPr>
          <w:trHeight w:val="284"/>
        </w:trPr>
        <w:tc>
          <w:tcPr>
            <w:tcW w:w="3686" w:type="dxa"/>
            <w:shd w:val="clear" w:color="auto" w:fill="auto"/>
            <w:vAlign w:val="center"/>
          </w:tcPr>
          <w:p w14:paraId="364D4494" w14:textId="6395816C" w:rsidR="00E67BBC" w:rsidRPr="00E67BBC" w:rsidRDefault="00E67BBC" w:rsidP="00E67BBC">
            <w:pPr>
              <w:rPr>
                <w:rFonts w:ascii="Arial" w:hAnsi="Arial" w:cs="Arial"/>
              </w:rPr>
            </w:pPr>
            <w:r w:rsidRPr="00E67BBC">
              <w:rPr>
                <w:rFonts w:ascii="Arial" w:hAnsi="Arial" w:cs="Arial"/>
              </w:rPr>
              <w:t xml:space="preserve">Acting Doomadgee Local </w:t>
            </w:r>
            <w:r w:rsidR="00310942">
              <w:rPr>
                <w:rFonts w:ascii="Arial" w:hAnsi="Arial" w:cs="Arial"/>
              </w:rPr>
              <w:t xml:space="preserve">Registry </w:t>
            </w:r>
            <w:r w:rsidRPr="00E67BBC">
              <w:rPr>
                <w:rFonts w:ascii="Arial" w:hAnsi="Arial" w:cs="Arial"/>
              </w:rPr>
              <w:t>Coordinator</w:t>
            </w:r>
          </w:p>
        </w:tc>
        <w:tc>
          <w:tcPr>
            <w:tcW w:w="2308" w:type="dxa"/>
            <w:shd w:val="clear" w:color="auto" w:fill="auto"/>
            <w:vAlign w:val="center"/>
          </w:tcPr>
          <w:p w14:paraId="4D4CC50C" w14:textId="7D05BF8A" w:rsidR="00E67BBC" w:rsidRPr="00E67BBC" w:rsidRDefault="00E67BBC" w:rsidP="00E67BBC">
            <w:pPr>
              <w:rPr>
                <w:rFonts w:ascii="Arial" w:hAnsi="Arial" w:cs="Arial"/>
              </w:rPr>
            </w:pPr>
            <w:r w:rsidRPr="00E67BBC">
              <w:rPr>
                <w:rFonts w:ascii="Arial" w:hAnsi="Arial" w:cs="Arial"/>
              </w:rPr>
              <w:t>Mr Brenden Joinbee</w:t>
            </w:r>
          </w:p>
        </w:tc>
        <w:tc>
          <w:tcPr>
            <w:tcW w:w="1261" w:type="dxa"/>
            <w:shd w:val="clear" w:color="auto" w:fill="auto"/>
            <w:vAlign w:val="center"/>
          </w:tcPr>
          <w:p w14:paraId="15302AB0" w14:textId="5E766493" w:rsidR="00E67BBC" w:rsidRPr="00E67BBC" w:rsidRDefault="00E67BBC" w:rsidP="00E67BBC">
            <w:pPr>
              <w:jc w:val="center"/>
              <w:rPr>
                <w:rFonts w:ascii="Arial" w:hAnsi="Arial" w:cs="Arial"/>
              </w:rPr>
            </w:pPr>
            <w:r w:rsidRPr="00E67BBC">
              <w:rPr>
                <w:rFonts w:ascii="Arial" w:hAnsi="Arial" w:cs="Arial"/>
              </w:rPr>
              <w:t>4745 8111</w:t>
            </w:r>
          </w:p>
        </w:tc>
        <w:tc>
          <w:tcPr>
            <w:tcW w:w="1535" w:type="dxa"/>
            <w:shd w:val="clear" w:color="auto" w:fill="auto"/>
            <w:vAlign w:val="center"/>
          </w:tcPr>
          <w:p w14:paraId="73E266CB" w14:textId="54C4E81D" w:rsidR="00E67BBC" w:rsidRPr="00E67BBC" w:rsidRDefault="00E67BBC" w:rsidP="00E67BBC">
            <w:pPr>
              <w:jc w:val="center"/>
              <w:rPr>
                <w:rFonts w:ascii="Arial" w:hAnsi="Arial" w:cs="Arial"/>
              </w:rPr>
            </w:pPr>
            <w:r w:rsidRPr="00E67BBC">
              <w:rPr>
                <w:rFonts w:ascii="Arial" w:hAnsi="Arial" w:cs="Arial"/>
              </w:rPr>
              <w:t>0418 666 204</w:t>
            </w:r>
          </w:p>
        </w:tc>
        <w:tc>
          <w:tcPr>
            <w:tcW w:w="1275" w:type="dxa"/>
            <w:shd w:val="clear" w:color="auto" w:fill="auto"/>
            <w:vAlign w:val="center"/>
          </w:tcPr>
          <w:p w14:paraId="4F8E772D" w14:textId="066BA6BD" w:rsidR="00E67BBC" w:rsidRPr="00E67BBC" w:rsidRDefault="00E67BBC" w:rsidP="00E67BBC">
            <w:pPr>
              <w:jc w:val="center"/>
              <w:rPr>
                <w:rFonts w:ascii="Arial" w:hAnsi="Arial" w:cs="Arial"/>
              </w:rPr>
            </w:pPr>
            <w:r w:rsidRPr="00E67BBC">
              <w:rPr>
                <w:rFonts w:ascii="Arial" w:hAnsi="Arial" w:cs="Arial"/>
              </w:rPr>
              <w:t>4041 0974</w:t>
            </w:r>
          </w:p>
        </w:tc>
      </w:tr>
      <w:tr w:rsidR="00E67BBC" w:rsidRPr="00D83311" w14:paraId="7EFE0B9D" w14:textId="77777777" w:rsidTr="00F10DE3">
        <w:trPr>
          <w:trHeight w:val="284"/>
        </w:trPr>
        <w:tc>
          <w:tcPr>
            <w:tcW w:w="3686" w:type="dxa"/>
            <w:shd w:val="clear" w:color="auto" w:fill="auto"/>
            <w:vAlign w:val="center"/>
          </w:tcPr>
          <w:p w14:paraId="7D09B19F" w14:textId="7E81ED31" w:rsidR="00E67BBC" w:rsidRPr="00E67BBC" w:rsidRDefault="00E67BBC" w:rsidP="00E67BBC">
            <w:pPr>
              <w:rPr>
                <w:rFonts w:ascii="Arial" w:hAnsi="Arial" w:cs="Arial"/>
              </w:rPr>
            </w:pPr>
            <w:r w:rsidRPr="00E67BBC">
              <w:rPr>
                <w:rFonts w:ascii="Arial" w:hAnsi="Arial" w:cs="Arial"/>
              </w:rPr>
              <w:t xml:space="preserve">Acting Hope Vale Local </w:t>
            </w:r>
            <w:r w:rsidR="00310942">
              <w:rPr>
                <w:rFonts w:ascii="Arial" w:hAnsi="Arial" w:cs="Arial"/>
              </w:rPr>
              <w:t xml:space="preserve">Registry </w:t>
            </w:r>
            <w:r w:rsidRPr="00E67BBC">
              <w:rPr>
                <w:rFonts w:ascii="Arial" w:hAnsi="Arial" w:cs="Arial"/>
              </w:rPr>
              <w:t>Coordinator</w:t>
            </w:r>
          </w:p>
        </w:tc>
        <w:tc>
          <w:tcPr>
            <w:tcW w:w="2308" w:type="dxa"/>
            <w:shd w:val="clear" w:color="auto" w:fill="auto"/>
            <w:vAlign w:val="center"/>
          </w:tcPr>
          <w:p w14:paraId="77F022D6" w14:textId="088ACAAF" w:rsidR="00E67BBC" w:rsidRPr="00E67BBC" w:rsidRDefault="00E67BBC" w:rsidP="00E67BBC">
            <w:pPr>
              <w:rPr>
                <w:rFonts w:ascii="Arial" w:hAnsi="Arial" w:cs="Arial"/>
              </w:rPr>
            </w:pPr>
            <w:r w:rsidRPr="00E67BBC">
              <w:rPr>
                <w:rFonts w:ascii="Arial" w:hAnsi="Arial" w:cs="Arial"/>
              </w:rPr>
              <w:t>Ms Josephine Pinder</w:t>
            </w:r>
          </w:p>
        </w:tc>
        <w:tc>
          <w:tcPr>
            <w:tcW w:w="1261" w:type="dxa"/>
            <w:shd w:val="clear" w:color="auto" w:fill="auto"/>
            <w:vAlign w:val="center"/>
          </w:tcPr>
          <w:p w14:paraId="5275522B" w14:textId="226A0CAA" w:rsidR="00E67BBC" w:rsidRPr="00E67BBC" w:rsidRDefault="00E67BBC" w:rsidP="00E67BBC">
            <w:pPr>
              <w:jc w:val="center"/>
              <w:rPr>
                <w:rFonts w:ascii="Arial" w:hAnsi="Arial" w:cs="Arial"/>
              </w:rPr>
            </w:pPr>
            <w:r w:rsidRPr="00E67BBC">
              <w:rPr>
                <w:rFonts w:ascii="Arial" w:hAnsi="Arial" w:cs="Arial"/>
              </w:rPr>
              <w:t>4060 9153</w:t>
            </w:r>
          </w:p>
        </w:tc>
        <w:tc>
          <w:tcPr>
            <w:tcW w:w="1535" w:type="dxa"/>
            <w:shd w:val="clear" w:color="auto" w:fill="auto"/>
            <w:vAlign w:val="center"/>
          </w:tcPr>
          <w:p w14:paraId="79DE2125" w14:textId="672BEFAE" w:rsidR="00E67BBC" w:rsidRPr="00E67BBC" w:rsidRDefault="00E67BBC" w:rsidP="00E67BBC">
            <w:pPr>
              <w:jc w:val="center"/>
              <w:rPr>
                <w:rFonts w:ascii="Arial" w:hAnsi="Arial" w:cs="Arial"/>
              </w:rPr>
            </w:pPr>
            <w:r w:rsidRPr="00E67BBC">
              <w:rPr>
                <w:rFonts w:ascii="Arial" w:hAnsi="Arial" w:cs="Arial"/>
              </w:rPr>
              <w:t>0408 482 026</w:t>
            </w:r>
          </w:p>
        </w:tc>
        <w:tc>
          <w:tcPr>
            <w:tcW w:w="1275" w:type="dxa"/>
            <w:shd w:val="clear" w:color="auto" w:fill="auto"/>
            <w:vAlign w:val="center"/>
          </w:tcPr>
          <w:p w14:paraId="59AA8D5D" w14:textId="07266147" w:rsidR="00E67BBC" w:rsidRPr="00E67BBC" w:rsidRDefault="00E67BBC" w:rsidP="00E67BBC">
            <w:pPr>
              <w:jc w:val="center"/>
              <w:rPr>
                <w:rFonts w:ascii="Arial" w:hAnsi="Arial" w:cs="Arial"/>
              </w:rPr>
            </w:pPr>
            <w:r w:rsidRPr="00E67BBC">
              <w:rPr>
                <w:rFonts w:ascii="Arial" w:hAnsi="Arial" w:cs="Arial"/>
              </w:rPr>
              <w:t>4041 0974</w:t>
            </w:r>
          </w:p>
        </w:tc>
      </w:tr>
      <w:tr w:rsidR="00B60E22" w:rsidRPr="00D83311" w14:paraId="14311B17" w14:textId="77777777" w:rsidTr="00F10DE3">
        <w:trPr>
          <w:trHeight w:val="284"/>
        </w:trPr>
        <w:tc>
          <w:tcPr>
            <w:tcW w:w="3686" w:type="dxa"/>
            <w:shd w:val="clear" w:color="auto" w:fill="auto"/>
            <w:vAlign w:val="center"/>
          </w:tcPr>
          <w:p w14:paraId="73107646" w14:textId="575D58F7" w:rsidR="00B60E22" w:rsidRPr="00E67BBC" w:rsidRDefault="00F10DE3" w:rsidP="00B60E22">
            <w:pPr>
              <w:rPr>
                <w:rFonts w:ascii="Arial" w:hAnsi="Arial" w:cs="Arial"/>
              </w:rPr>
            </w:pPr>
            <w:r>
              <w:rPr>
                <w:rFonts w:ascii="Arial" w:hAnsi="Arial" w:cs="Arial"/>
              </w:rPr>
              <w:t xml:space="preserve">Acting </w:t>
            </w:r>
            <w:r w:rsidR="00B60E22" w:rsidRPr="00E67BBC">
              <w:rPr>
                <w:rFonts w:ascii="Arial" w:hAnsi="Arial" w:cs="Arial"/>
              </w:rPr>
              <w:t xml:space="preserve">Mossman Gorge Local </w:t>
            </w:r>
            <w:r w:rsidR="00B60E22">
              <w:rPr>
                <w:rFonts w:ascii="Arial" w:hAnsi="Arial" w:cs="Arial"/>
              </w:rPr>
              <w:t xml:space="preserve">Registry </w:t>
            </w:r>
            <w:r w:rsidR="00B60E22" w:rsidRPr="00E67BBC">
              <w:rPr>
                <w:rFonts w:ascii="Arial" w:hAnsi="Arial" w:cs="Arial"/>
              </w:rPr>
              <w:t>Coordinator</w:t>
            </w:r>
          </w:p>
        </w:tc>
        <w:tc>
          <w:tcPr>
            <w:tcW w:w="2308" w:type="dxa"/>
            <w:shd w:val="clear" w:color="auto" w:fill="auto"/>
            <w:vAlign w:val="center"/>
          </w:tcPr>
          <w:p w14:paraId="59965F87" w14:textId="22849820" w:rsidR="00B60E22" w:rsidRPr="00E67BBC" w:rsidRDefault="00F10DE3" w:rsidP="00B60E22">
            <w:pPr>
              <w:rPr>
                <w:rFonts w:ascii="Arial" w:hAnsi="Arial" w:cs="Arial"/>
              </w:rPr>
            </w:pPr>
            <w:r>
              <w:rPr>
                <w:rFonts w:ascii="Arial" w:hAnsi="Arial" w:cs="Arial"/>
              </w:rPr>
              <w:t>Mr Simeon Miglioranza</w:t>
            </w:r>
          </w:p>
        </w:tc>
        <w:tc>
          <w:tcPr>
            <w:tcW w:w="1261" w:type="dxa"/>
            <w:shd w:val="clear" w:color="auto" w:fill="auto"/>
            <w:vAlign w:val="center"/>
          </w:tcPr>
          <w:p w14:paraId="78DBA0DF" w14:textId="77777777" w:rsidR="00B60E22" w:rsidRPr="00E67BBC" w:rsidRDefault="00B60E22" w:rsidP="00B60E22">
            <w:pPr>
              <w:jc w:val="center"/>
              <w:rPr>
                <w:rFonts w:ascii="Arial" w:hAnsi="Arial" w:cs="Arial"/>
              </w:rPr>
            </w:pPr>
          </w:p>
        </w:tc>
        <w:tc>
          <w:tcPr>
            <w:tcW w:w="1535" w:type="dxa"/>
            <w:shd w:val="clear" w:color="auto" w:fill="auto"/>
            <w:vAlign w:val="center"/>
          </w:tcPr>
          <w:p w14:paraId="1CB77B42" w14:textId="34E21ABB" w:rsidR="00B60E22" w:rsidRPr="00E67BBC" w:rsidRDefault="00B60E22" w:rsidP="00B60E22">
            <w:pPr>
              <w:jc w:val="center"/>
              <w:rPr>
                <w:rFonts w:ascii="Arial" w:hAnsi="Arial" w:cs="Arial"/>
              </w:rPr>
            </w:pPr>
            <w:r w:rsidRPr="00E67BBC">
              <w:rPr>
                <w:rFonts w:ascii="Arial" w:hAnsi="Arial" w:cs="Arial"/>
              </w:rPr>
              <w:t>0417 798 392</w:t>
            </w:r>
          </w:p>
        </w:tc>
        <w:tc>
          <w:tcPr>
            <w:tcW w:w="1275" w:type="dxa"/>
            <w:shd w:val="clear" w:color="auto" w:fill="auto"/>
            <w:vAlign w:val="center"/>
          </w:tcPr>
          <w:p w14:paraId="46004A59" w14:textId="62742EFF" w:rsidR="00B60E22" w:rsidRPr="00E67BBC" w:rsidRDefault="00B60E22" w:rsidP="00B60E22">
            <w:pPr>
              <w:jc w:val="center"/>
              <w:rPr>
                <w:rFonts w:ascii="Arial" w:hAnsi="Arial" w:cs="Arial"/>
              </w:rPr>
            </w:pPr>
            <w:r w:rsidRPr="00E67BBC">
              <w:rPr>
                <w:rFonts w:ascii="Arial" w:hAnsi="Arial" w:cs="Arial"/>
              </w:rPr>
              <w:t>4041 0974</w:t>
            </w:r>
          </w:p>
        </w:tc>
      </w:tr>
    </w:tbl>
    <w:p w14:paraId="3AE90444" w14:textId="77777777" w:rsidR="00967E77" w:rsidRDefault="00967E77" w:rsidP="00967E77">
      <w:pPr>
        <w:rPr>
          <w:rFonts w:ascii="Arial Narrow" w:hAnsi="Arial Narrow"/>
        </w:rPr>
      </w:pPr>
    </w:p>
    <w:sectPr w:rsidR="00967E77" w:rsidSect="005B6887">
      <w:type w:val="continuous"/>
      <w:pgSz w:w="11907" w:h="16840" w:code="9"/>
      <w:pgMar w:top="680" w:right="1134" w:bottom="284" w:left="1134" w:header="0" w:footer="85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FDDCF6" w14:textId="77777777" w:rsidR="003453AD" w:rsidRDefault="003453AD">
      <w:r>
        <w:separator/>
      </w:r>
    </w:p>
  </w:endnote>
  <w:endnote w:type="continuationSeparator" w:id="0">
    <w:p w14:paraId="41CFC827" w14:textId="77777777" w:rsidR="003453AD" w:rsidRDefault="003453AD">
      <w:r>
        <w:continuationSeparator/>
      </w:r>
    </w:p>
  </w:endnote>
  <w:endnote w:type="continuationNotice" w:id="1">
    <w:p w14:paraId="00F068CD" w14:textId="77777777" w:rsidR="003453AD" w:rsidRDefault="00345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Shell Dlg">
    <w:panose1 w:val="020B0604020202020204"/>
    <w:charset w:val="00"/>
    <w:family w:val="swiss"/>
    <w:pitch w:val="variable"/>
    <w:sig w:usb0="E5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MetaNormal-Roman">
    <w:altName w:val="Calibri"/>
    <w:panose1 w:val="00000000000000000000"/>
    <w:charset w:val="00"/>
    <w:family w:val="swiss"/>
    <w:notTrueType/>
    <w:pitch w:val="variable"/>
    <w:sig w:usb0="00000003" w:usb1="00000000" w:usb2="00000000" w:usb3="00000000" w:csb0="00000001" w:csb1="00000000"/>
  </w:font>
  <w:font w:name="Swiss721BT-Roman">
    <w:altName w:val="Swis721 B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A5B26" w14:textId="77777777" w:rsidR="003453AD" w:rsidRDefault="003453AD"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C7800C" w14:textId="77777777" w:rsidR="003453AD" w:rsidRDefault="003453AD" w:rsidP="005135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EF23E" w14:textId="77777777" w:rsidR="003453AD" w:rsidRDefault="003453AD" w:rsidP="002F3E7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E0FF0FD" w14:textId="77777777" w:rsidR="003453AD" w:rsidRDefault="003453AD" w:rsidP="0051356B">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7EC2" w14:textId="77777777" w:rsidR="003453AD" w:rsidRDefault="003453AD" w:rsidP="009C02C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27FCA3" w14:textId="77777777" w:rsidR="003453AD" w:rsidRDefault="003453AD">
      <w:r>
        <w:separator/>
      </w:r>
    </w:p>
  </w:footnote>
  <w:footnote w:type="continuationSeparator" w:id="0">
    <w:p w14:paraId="44E66A37" w14:textId="77777777" w:rsidR="003453AD" w:rsidRDefault="003453AD">
      <w:r>
        <w:continuationSeparator/>
      </w:r>
    </w:p>
  </w:footnote>
  <w:footnote w:type="continuationNotice" w:id="1">
    <w:p w14:paraId="6117002E" w14:textId="77777777" w:rsidR="003453AD" w:rsidRDefault="003453AD">
      <w:pPr>
        <w:spacing w:line="240" w:lineRule="auto"/>
      </w:pPr>
    </w:p>
  </w:footnote>
  <w:footnote w:id="2">
    <w:p w14:paraId="0E53FAAB" w14:textId="2D309F62" w:rsidR="003453AD" w:rsidRPr="00504360" w:rsidRDefault="003453AD" w:rsidP="00452E54">
      <w:pPr>
        <w:pStyle w:val="FootnoteText"/>
        <w:rPr>
          <w:sz w:val="16"/>
          <w:szCs w:val="16"/>
        </w:rPr>
      </w:pPr>
      <w:r w:rsidRPr="00504360">
        <w:rPr>
          <w:rStyle w:val="FootnoteReference"/>
          <w:sz w:val="16"/>
          <w:szCs w:val="16"/>
        </w:rPr>
        <w:footnoteRef/>
      </w:r>
      <w:r w:rsidRPr="00504360">
        <w:rPr>
          <w:sz w:val="16"/>
          <w:szCs w:val="16"/>
        </w:rPr>
        <w:t xml:space="preserve"> Agency notices are counted on the basis of the number of persons named on the </w:t>
      </w:r>
      <w:proofErr w:type="gramStart"/>
      <w:r w:rsidRPr="00504360">
        <w:rPr>
          <w:sz w:val="16"/>
          <w:szCs w:val="16"/>
        </w:rPr>
        <w:t>notice  (</w:t>
      </w:r>
      <w:proofErr w:type="gramEnd"/>
      <w:r w:rsidRPr="00504360">
        <w:rPr>
          <w:sz w:val="16"/>
          <w:szCs w:val="16"/>
        </w:rPr>
        <w:t>e.g. a Child Safety and Welfare notice relating to two parents is counted as two notices and if three children from one family have an unexplained absence on one day, it is counted as three individual School Attendance notices).</w:t>
      </w:r>
    </w:p>
  </w:footnote>
  <w:footnote w:id="3">
    <w:p w14:paraId="17C90660" w14:textId="2F5B9D09" w:rsidR="003453AD" w:rsidRDefault="003453AD">
      <w:pPr>
        <w:pStyle w:val="FootnoteText"/>
      </w:pPr>
      <w:r w:rsidRPr="000D5911">
        <w:rPr>
          <w:rStyle w:val="FootnoteReference"/>
          <w:sz w:val="16"/>
          <w:szCs w:val="16"/>
        </w:rPr>
        <w:footnoteRef/>
      </w:r>
      <w:r w:rsidRPr="002D4A7E">
        <w:rPr>
          <w:rStyle w:val="FootnoteReference"/>
        </w:rPr>
        <w:t xml:space="preserve"> </w:t>
      </w:r>
      <w:r w:rsidRPr="00EE7D25">
        <w:rPr>
          <w:sz w:val="16"/>
          <w:szCs w:val="16"/>
        </w:rPr>
        <w:t xml:space="preserve">Values expressed as a percentage have been rounded to the nearest whole number </w:t>
      </w:r>
      <w:proofErr w:type="gramStart"/>
      <w:r w:rsidRPr="00EE7D25">
        <w:rPr>
          <w:sz w:val="16"/>
          <w:szCs w:val="16"/>
        </w:rPr>
        <w:t>e</w:t>
      </w:r>
      <w:r>
        <w:rPr>
          <w:sz w:val="16"/>
          <w:szCs w:val="16"/>
        </w:rPr>
        <w:t>.</w:t>
      </w:r>
      <w:r w:rsidRPr="00EE7D25">
        <w:rPr>
          <w:sz w:val="16"/>
          <w:szCs w:val="16"/>
        </w:rPr>
        <w:t>g.</w:t>
      </w:r>
      <w:proofErr w:type="gramEnd"/>
      <w:r w:rsidRPr="00EE7D25">
        <w:rPr>
          <w:sz w:val="16"/>
          <w:szCs w:val="16"/>
        </w:rPr>
        <w:t xml:space="preserve"> </w:t>
      </w:r>
      <w:r>
        <w:rPr>
          <w:sz w:val="16"/>
          <w:szCs w:val="16"/>
        </w:rPr>
        <w:t xml:space="preserve">37.9% </w:t>
      </w:r>
      <w:r w:rsidRPr="00EE7D25">
        <w:rPr>
          <w:sz w:val="16"/>
          <w:szCs w:val="16"/>
        </w:rPr>
        <w:t xml:space="preserve">has been rounded up to </w:t>
      </w:r>
      <w:r>
        <w:rPr>
          <w:sz w:val="16"/>
          <w:szCs w:val="16"/>
        </w:rPr>
        <w:t>38%</w:t>
      </w:r>
      <w:r w:rsidRPr="00EE7D25">
        <w:rPr>
          <w:sz w:val="16"/>
          <w:szCs w:val="16"/>
        </w:rPr>
        <w:t xml:space="preserve">, whilst </w:t>
      </w:r>
      <w:r>
        <w:rPr>
          <w:sz w:val="16"/>
          <w:szCs w:val="16"/>
        </w:rPr>
        <w:t>62.3%</w:t>
      </w:r>
      <w:r w:rsidRPr="00EE7D25">
        <w:rPr>
          <w:sz w:val="16"/>
          <w:szCs w:val="16"/>
        </w:rPr>
        <w:t xml:space="preserve"> has been rounded down to </w:t>
      </w:r>
      <w:r>
        <w:rPr>
          <w:sz w:val="16"/>
          <w:szCs w:val="16"/>
        </w:rPr>
        <w:t>62%.</w:t>
      </w:r>
    </w:p>
  </w:footnote>
  <w:footnote w:id="4">
    <w:p w14:paraId="264E5477" w14:textId="16D708B1" w:rsidR="003453AD" w:rsidRPr="00504360" w:rsidRDefault="003453AD" w:rsidP="00452E54">
      <w:pPr>
        <w:pStyle w:val="FootnoteText"/>
        <w:rPr>
          <w:sz w:val="16"/>
          <w:szCs w:val="16"/>
        </w:rPr>
      </w:pPr>
      <w:r w:rsidRPr="00504360">
        <w:rPr>
          <w:rStyle w:val="FootnoteReference"/>
          <w:sz w:val="16"/>
          <w:szCs w:val="16"/>
        </w:rPr>
        <w:footnoteRef/>
      </w:r>
      <w:r w:rsidRPr="00504360">
        <w:rPr>
          <w:rStyle w:val="FootnoteReference"/>
          <w:sz w:val="16"/>
          <w:szCs w:val="16"/>
        </w:rPr>
        <w:t xml:space="preserve"> </w:t>
      </w:r>
      <w:r w:rsidRPr="00504360">
        <w:rPr>
          <w:rStyle w:val="FootnoteReference"/>
          <w:sz w:val="16"/>
          <w:szCs w:val="16"/>
          <w:vertAlign w:val="baseline"/>
        </w:rPr>
        <w:t>A</w:t>
      </w:r>
      <w:r>
        <w:rPr>
          <w:rStyle w:val="FootnoteReference"/>
          <w:sz w:val="16"/>
          <w:szCs w:val="16"/>
          <w:vertAlign w:val="baseline"/>
        </w:rPr>
        <w:t>n</w:t>
      </w:r>
      <w:r>
        <w:rPr>
          <w:sz w:val="16"/>
          <w:szCs w:val="16"/>
        </w:rPr>
        <w:t xml:space="preserve"> agreement and a decision can have multiple</w:t>
      </w:r>
      <w:r w:rsidRPr="00504360">
        <w:rPr>
          <w:rStyle w:val="FootnoteReference"/>
          <w:sz w:val="16"/>
          <w:szCs w:val="16"/>
          <w:vertAlign w:val="baseline"/>
        </w:rPr>
        <w:t xml:space="preserve"> case </w:t>
      </w:r>
      <w:r w:rsidRPr="00504360">
        <w:rPr>
          <w:sz w:val="16"/>
          <w:szCs w:val="16"/>
        </w:rPr>
        <w:t>plan</w:t>
      </w:r>
      <w:r>
        <w:rPr>
          <w:sz w:val="16"/>
          <w:szCs w:val="16"/>
        </w:rPr>
        <w:t>s which in turn</w:t>
      </w:r>
      <w:r w:rsidRPr="00504360">
        <w:rPr>
          <w:rStyle w:val="FootnoteReference"/>
          <w:sz w:val="16"/>
          <w:szCs w:val="16"/>
          <w:vertAlign w:val="baseline"/>
        </w:rPr>
        <w:t xml:space="preserve"> can have multiple referrals </w:t>
      </w:r>
      <w:r>
        <w:rPr>
          <w:sz w:val="16"/>
          <w:szCs w:val="16"/>
        </w:rPr>
        <w:t xml:space="preserve">where a </w:t>
      </w:r>
      <w:proofErr w:type="gramStart"/>
      <w:r>
        <w:rPr>
          <w:sz w:val="16"/>
          <w:szCs w:val="16"/>
        </w:rPr>
        <w:t>service providers</w:t>
      </w:r>
      <w:proofErr w:type="gramEnd"/>
      <w:r>
        <w:rPr>
          <w:sz w:val="16"/>
          <w:szCs w:val="16"/>
        </w:rPr>
        <w:t xml:space="preserve"> has multiple programs.</w:t>
      </w:r>
    </w:p>
  </w:footnote>
  <w:footnote w:id="5">
    <w:p w14:paraId="17AFE2CF" w14:textId="1C0C3F7F" w:rsidR="003453AD" w:rsidRPr="006B5AE2" w:rsidRDefault="003453AD">
      <w:pPr>
        <w:pStyle w:val="FootnoteText"/>
        <w:rPr>
          <w:sz w:val="16"/>
          <w:szCs w:val="16"/>
        </w:rPr>
      </w:pPr>
      <w:r w:rsidRPr="006B5AE2">
        <w:rPr>
          <w:rStyle w:val="FootnoteReference"/>
        </w:rPr>
        <w:footnoteRef/>
      </w:r>
      <w:r w:rsidRPr="006B5AE2">
        <w:rPr>
          <w:sz w:val="16"/>
          <w:szCs w:val="16"/>
        </w:rPr>
        <w:t xml:space="preserve"> A person the subject of a family responsibilities agreement or order may apply to the Commission to amend or end the agreement or order. These applications are decided at an application hearing</w:t>
      </w:r>
      <w:r>
        <w:rPr>
          <w:sz w:val="16"/>
          <w:szCs w:val="16"/>
        </w:rPr>
        <w:t>.</w:t>
      </w:r>
    </w:p>
  </w:footnote>
  <w:footnote w:id="6">
    <w:p w14:paraId="748DF0EC" w14:textId="73FBDFBA" w:rsidR="003453AD" w:rsidRPr="002D034C" w:rsidRDefault="003453AD">
      <w:pPr>
        <w:pStyle w:val="FootnoteText"/>
        <w:rPr>
          <w:sz w:val="16"/>
          <w:szCs w:val="16"/>
        </w:rPr>
      </w:pPr>
      <w:r w:rsidRPr="002D034C">
        <w:rPr>
          <w:rStyle w:val="FootnoteReference"/>
          <w:sz w:val="16"/>
          <w:szCs w:val="16"/>
        </w:rPr>
        <w:footnoteRef/>
      </w:r>
      <w:r w:rsidRPr="002D034C">
        <w:rPr>
          <w:sz w:val="16"/>
          <w:szCs w:val="16"/>
        </w:rPr>
        <w:t xml:space="preserve"> Values expressed as a percentage have been rounded to the nearest whole number </w:t>
      </w:r>
      <w:proofErr w:type="gramStart"/>
      <w:r w:rsidRPr="002D034C">
        <w:rPr>
          <w:sz w:val="16"/>
          <w:szCs w:val="16"/>
        </w:rPr>
        <w:t>e.g.</w:t>
      </w:r>
      <w:proofErr w:type="gramEnd"/>
      <w:r w:rsidRPr="002D034C">
        <w:rPr>
          <w:sz w:val="16"/>
          <w:szCs w:val="16"/>
        </w:rPr>
        <w:t xml:space="preserve"> 37.9% has been rounded up to </w:t>
      </w:r>
      <w:r w:rsidRPr="00837C9F">
        <w:rPr>
          <w:sz w:val="16"/>
          <w:szCs w:val="16"/>
        </w:rPr>
        <w:t>38%, whilst 62.3% has been rounded down to 62%.</w:t>
      </w:r>
    </w:p>
  </w:footnote>
  <w:footnote w:id="7">
    <w:p w14:paraId="386D72C0" w14:textId="749C0058" w:rsidR="003453AD" w:rsidRPr="00993F41" w:rsidRDefault="003453AD">
      <w:pPr>
        <w:pStyle w:val="FootnoteText"/>
        <w:rPr>
          <w:sz w:val="16"/>
          <w:szCs w:val="16"/>
        </w:rPr>
      </w:pPr>
      <w:r w:rsidRPr="00993F41">
        <w:rPr>
          <w:rStyle w:val="FootnoteReference"/>
          <w:sz w:val="16"/>
          <w:szCs w:val="16"/>
        </w:rPr>
        <w:footnoteRef/>
      </w:r>
      <w:r w:rsidRPr="00993F41">
        <w:rPr>
          <w:sz w:val="16"/>
          <w:szCs w:val="16"/>
        </w:rPr>
        <w:t xml:space="preserve"> Refer to the descriptions of abbreviations on page 5.</w:t>
      </w:r>
    </w:p>
  </w:footnote>
  <w:footnote w:id="8">
    <w:p w14:paraId="255B35DE" w14:textId="6E1C31FD" w:rsidR="003453AD" w:rsidRDefault="003453AD">
      <w:pPr>
        <w:pStyle w:val="FootnoteText"/>
      </w:pPr>
      <w:r>
        <w:rPr>
          <w:rStyle w:val="FootnoteReference"/>
        </w:rPr>
        <w:footnoteRef/>
      </w:r>
      <w:r>
        <w:t xml:space="preserve"> </w:t>
      </w:r>
      <w:r w:rsidRPr="00F106B3">
        <w:rPr>
          <w:sz w:val="16"/>
          <w:szCs w:val="16"/>
        </w:rPr>
        <w:t xml:space="preserve">Refer to the descriptions of abbreviations on page </w:t>
      </w:r>
      <w:r>
        <w:rPr>
          <w:sz w:val="16"/>
          <w:szCs w:val="16"/>
        </w:rPr>
        <w:t>5</w:t>
      </w:r>
      <w:r w:rsidRPr="00F106B3">
        <w:rPr>
          <w:sz w:val="16"/>
          <w:szCs w:val="16"/>
        </w:rPr>
        <w:t>.</w:t>
      </w:r>
    </w:p>
  </w:footnote>
  <w:footnote w:id="9">
    <w:p w14:paraId="6BB51738" w14:textId="2DA7F83F" w:rsidR="003453AD" w:rsidRPr="00837C9F" w:rsidRDefault="003453AD">
      <w:pPr>
        <w:pStyle w:val="FootnoteText"/>
        <w:rPr>
          <w:sz w:val="16"/>
          <w:szCs w:val="16"/>
        </w:rPr>
      </w:pPr>
      <w:r w:rsidRPr="00837C9F">
        <w:rPr>
          <w:rStyle w:val="FootnoteReference"/>
          <w:sz w:val="16"/>
          <w:szCs w:val="16"/>
        </w:rPr>
        <w:footnoteRef/>
      </w:r>
      <w:r w:rsidRPr="00837C9F">
        <w:rPr>
          <w:sz w:val="16"/>
          <w:szCs w:val="16"/>
        </w:rPr>
        <w:t xml:space="preserve"> Values expressed as a percentage have been rounded to the nearest whole number </w:t>
      </w:r>
      <w:proofErr w:type="gramStart"/>
      <w:r w:rsidRPr="00837C9F">
        <w:rPr>
          <w:sz w:val="16"/>
          <w:szCs w:val="16"/>
        </w:rPr>
        <w:t>e.g.</w:t>
      </w:r>
      <w:proofErr w:type="gramEnd"/>
      <w:r w:rsidRPr="00837C9F">
        <w:rPr>
          <w:sz w:val="16"/>
          <w:szCs w:val="16"/>
        </w:rPr>
        <w:t xml:space="preserve"> 37.9% has been rounded up to 38%, whilst 62.3% has been rounded down to 62%.</w:t>
      </w:r>
    </w:p>
  </w:footnote>
  <w:footnote w:id="10">
    <w:p w14:paraId="621C3F9F" w14:textId="77777777" w:rsidR="003453AD" w:rsidRPr="00850FF3" w:rsidRDefault="003453AD" w:rsidP="005A5B78">
      <w:pPr>
        <w:pStyle w:val="FootnoteText"/>
        <w:rPr>
          <w:rStyle w:val="FootnoteReference"/>
          <w:sz w:val="16"/>
          <w:szCs w:val="16"/>
          <w:vertAlign w:val="baseline"/>
        </w:rPr>
      </w:pPr>
      <w:r w:rsidRPr="00850FF3">
        <w:rPr>
          <w:rStyle w:val="FootnoteReference"/>
          <w:sz w:val="16"/>
          <w:szCs w:val="16"/>
        </w:rPr>
        <w:footnoteRef/>
      </w:r>
      <w:r w:rsidRPr="00850FF3">
        <w:rPr>
          <w:rStyle w:val="FootnoteReference"/>
          <w:sz w:val="16"/>
          <w:szCs w:val="16"/>
          <w:vertAlign w:val="baseline"/>
        </w:rPr>
        <w:t xml:space="preserve"> Counting rules are that an agency notice is counted on the basis of number of ‘clients’ on the notice. For example a child safety and welfare notice relating to two parents is counted as two notices.</w:t>
      </w:r>
    </w:p>
  </w:footnote>
  <w:footnote w:id="11">
    <w:p w14:paraId="3198B7FC" w14:textId="4F62061B" w:rsidR="003453AD" w:rsidRPr="00D845E4" w:rsidRDefault="003453AD">
      <w:pPr>
        <w:pStyle w:val="FootnoteText"/>
        <w:rPr>
          <w:sz w:val="16"/>
          <w:szCs w:val="16"/>
        </w:rPr>
      </w:pPr>
      <w:r w:rsidRPr="00D845E4">
        <w:rPr>
          <w:rStyle w:val="FootnoteReference"/>
          <w:sz w:val="16"/>
          <w:szCs w:val="16"/>
        </w:rPr>
        <w:footnoteRef/>
      </w:r>
      <w:r w:rsidRPr="00D845E4">
        <w:rPr>
          <w:sz w:val="16"/>
          <w:szCs w:val="16"/>
        </w:rPr>
        <w:t xml:space="preserve"> Values expressed as a percentage have been rounded to the nearest whole number </w:t>
      </w:r>
      <w:proofErr w:type="gramStart"/>
      <w:r w:rsidRPr="00D845E4">
        <w:rPr>
          <w:sz w:val="16"/>
          <w:szCs w:val="16"/>
        </w:rPr>
        <w:t>e.g.</w:t>
      </w:r>
      <w:proofErr w:type="gramEnd"/>
      <w:r w:rsidRPr="00D845E4">
        <w:rPr>
          <w:sz w:val="16"/>
          <w:szCs w:val="16"/>
        </w:rPr>
        <w:t xml:space="preserve"> 37.9% has been rounded up to 38%, whilst 62.3% has been rounded down to 62%.</w:t>
      </w:r>
    </w:p>
  </w:footnote>
  <w:footnote w:id="12">
    <w:p w14:paraId="0902E148" w14:textId="30AC1DA5" w:rsidR="003453AD" w:rsidRDefault="003453AD">
      <w:pPr>
        <w:pStyle w:val="FootnoteText"/>
      </w:pPr>
      <w:r w:rsidRPr="00850FF3">
        <w:rPr>
          <w:rStyle w:val="FootnoteReference"/>
          <w:sz w:val="16"/>
          <w:szCs w:val="16"/>
        </w:rPr>
        <w:footnoteRef/>
      </w:r>
      <w:r w:rsidRPr="00850FF3">
        <w:rPr>
          <w:sz w:val="16"/>
          <w:szCs w:val="16"/>
        </w:rPr>
        <w:t xml:space="preserve"> Agency notices for the community of Doomadgee are presently received from the Department of Education and the Department of Child</w:t>
      </w:r>
      <w:r>
        <w:rPr>
          <w:sz w:val="16"/>
          <w:szCs w:val="16"/>
        </w:rPr>
        <w:t>ren, Youth Justice and Multicultural Affairs only</w:t>
      </w:r>
      <w:r w:rsidRPr="00850FF3">
        <w:rPr>
          <w:sz w:val="16"/>
          <w:szCs w:val="16"/>
        </w:rPr>
        <w:t>.</w:t>
      </w:r>
    </w:p>
  </w:footnote>
  <w:footnote w:id="13">
    <w:p w14:paraId="048B8130" w14:textId="3510BF68" w:rsidR="003453AD" w:rsidRPr="00AF4062" w:rsidRDefault="003453AD">
      <w:pPr>
        <w:pStyle w:val="FootnoteText"/>
        <w:rPr>
          <w:sz w:val="16"/>
          <w:szCs w:val="16"/>
        </w:rPr>
      </w:pPr>
      <w:r w:rsidRPr="00AF4062">
        <w:rPr>
          <w:rStyle w:val="FootnoteReference"/>
          <w:sz w:val="16"/>
          <w:szCs w:val="16"/>
        </w:rPr>
        <w:footnoteRef/>
      </w:r>
      <w:r w:rsidRPr="00AF4062">
        <w:rPr>
          <w:sz w:val="16"/>
          <w:szCs w:val="16"/>
        </w:rPr>
        <w:t xml:space="preserve"> Values expressed as a percentage have been rounded to the nearest whole number </w:t>
      </w:r>
      <w:proofErr w:type="gramStart"/>
      <w:r w:rsidRPr="00AF4062">
        <w:rPr>
          <w:sz w:val="16"/>
          <w:szCs w:val="16"/>
        </w:rPr>
        <w:t>e.g.</w:t>
      </w:r>
      <w:proofErr w:type="gramEnd"/>
      <w:r w:rsidRPr="00AF4062">
        <w:rPr>
          <w:sz w:val="16"/>
          <w:szCs w:val="16"/>
        </w:rPr>
        <w:t xml:space="preserve"> 37.9% has been rounded up to </w:t>
      </w:r>
      <w:r w:rsidRPr="00604429">
        <w:rPr>
          <w:sz w:val="16"/>
          <w:szCs w:val="16"/>
        </w:rPr>
        <w:t>38%, whilst 62.3% has been rounded down to 62%.</w:t>
      </w:r>
    </w:p>
  </w:footnote>
  <w:footnote w:id="14">
    <w:p w14:paraId="70C1A401" w14:textId="77777777" w:rsidR="003453AD" w:rsidRPr="004B50DF" w:rsidRDefault="003453AD" w:rsidP="005A5B78">
      <w:pPr>
        <w:pStyle w:val="FootnoteText"/>
        <w:rPr>
          <w:sz w:val="16"/>
          <w:szCs w:val="16"/>
        </w:rPr>
      </w:pPr>
      <w:r w:rsidRPr="003B0C41">
        <w:rPr>
          <w:rStyle w:val="FootnoteReference"/>
          <w:sz w:val="16"/>
          <w:szCs w:val="16"/>
        </w:rPr>
        <w:footnoteRef/>
      </w:r>
      <w:r w:rsidRPr="004B50DF">
        <w:rPr>
          <w:sz w:val="16"/>
          <w:szCs w:val="16"/>
        </w:rPr>
        <w:t xml:space="preserve"> The number of conferences held relates to the number of conferences listed, which includes where a client was served with a Notice to Attend Conference and subsequently failed to attend.</w:t>
      </w:r>
    </w:p>
  </w:footnote>
  <w:footnote w:id="15">
    <w:p w14:paraId="1D04A1CF" w14:textId="77777777" w:rsidR="003453AD" w:rsidRDefault="003453A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client </w:t>
      </w:r>
      <w:r>
        <w:rPr>
          <w:sz w:val="16"/>
          <w:szCs w:val="16"/>
        </w:rPr>
        <w:t xml:space="preserve">who received a notice 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date of the first notice received for the client during the quarter.</w:t>
      </w:r>
    </w:p>
  </w:footnote>
  <w:footnote w:id="16">
    <w:p w14:paraId="55C03F91" w14:textId="77777777" w:rsidR="003453AD" w:rsidRDefault="003453A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conferenced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c</w:t>
      </w:r>
      <w:r>
        <w:rPr>
          <w:sz w:val="16"/>
          <w:szCs w:val="16"/>
        </w:rPr>
        <w:t>onference held</w:t>
      </w:r>
      <w:r w:rsidRPr="007A314B">
        <w:rPr>
          <w:rStyle w:val="FootnoteReference"/>
          <w:sz w:val="16"/>
          <w:szCs w:val="16"/>
          <w:vertAlign w:val="baseline"/>
        </w:rPr>
        <w:t xml:space="preserve"> for the client during the quarter.</w:t>
      </w:r>
    </w:p>
  </w:footnote>
  <w:footnote w:id="17">
    <w:p w14:paraId="4B536E73" w14:textId="38246E21" w:rsidR="003453AD" w:rsidRDefault="003453A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referred </w:t>
      </w:r>
      <w:r w:rsidRPr="007A314B">
        <w:rPr>
          <w:rStyle w:val="FootnoteReference"/>
          <w:sz w:val="16"/>
          <w:szCs w:val="16"/>
          <w:vertAlign w:val="baseline"/>
        </w:rPr>
        <w:t xml:space="preserve">client </w:t>
      </w:r>
      <w:r>
        <w:rPr>
          <w:sz w:val="16"/>
          <w:szCs w:val="16"/>
        </w:rPr>
        <w:t xml:space="preserve">for the quarter through a Family Responsibilities Agreement or a Family Responsibilities Order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case plan during the quarter</w:t>
      </w:r>
      <w:r w:rsidRPr="007A314B">
        <w:rPr>
          <w:rStyle w:val="FootnoteReference"/>
          <w:sz w:val="16"/>
          <w:szCs w:val="16"/>
          <w:vertAlign w:val="baseline"/>
        </w:rPr>
        <w:t>.</w:t>
      </w:r>
    </w:p>
  </w:footnote>
  <w:footnote w:id="18">
    <w:p w14:paraId="5AC10446" w14:textId="77777777" w:rsidR="003453AD" w:rsidRDefault="003453AD" w:rsidP="0013112F">
      <w:pPr>
        <w:pStyle w:val="FootnoteText"/>
      </w:pPr>
      <w:r w:rsidRPr="00C5462F">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CIM’d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first </w:t>
      </w:r>
      <w:r>
        <w:rPr>
          <w:rStyle w:val="FootnoteReference"/>
          <w:sz w:val="16"/>
          <w:szCs w:val="16"/>
          <w:vertAlign w:val="baseline"/>
        </w:rPr>
        <w:t>c</w:t>
      </w:r>
      <w:r>
        <w:rPr>
          <w:sz w:val="16"/>
          <w:szCs w:val="16"/>
        </w:rPr>
        <w:t>onference date held where the client was placed on a CIM during the quarter</w:t>
      </w:r>
      <w:r w:rsidRPr="007A314B">
        <w:rPr>
          <w:rStyle w:val="FootnoteReference"/>
          <w:sz w:val="16"/>
          <w:szCs w:val="16"/>
          <w:vertAlign w:val="baseline"/>
        </w:rPr>
        <w:t>.</w:t>
      </w:r>
    </w:p>
  </w:footnote>
  <w:footnote w:id="19">
    <w:p w14:paraId="5B5EB21A" w14:textId="77777777" w:rsidR="003453AD" w:rsidRDefault="003453AD" w:rsidP="00D605A2">
      <w:pPr>
        <w:pStyle w:val="FootnoteText"/>
      </w:pPr>
      <w:r w:rsidRPr="003A65E8">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referred </w:t>
      </w:r>
      <w:r w:rsidRPr="007A314B">
        <w:rPr>
          <w:rStyle w:val="FootnoteReference"/>
          <w:sz w:val="16"/>
          <w:szCs w:val="16"/>
          <w:vertAlign w:val="baseline"/>
        </w:rPr>
        <w:t xml:space="preserve">client </w:t>
      </w:r>
      <w:r>
        <w:rPr>
          <w:sz w:val="16"/>
          <w:szCs w:val="16"/>
        </w:rPr>
        <w:t xml:space="preserve">for the quarter through a Voluntary Agreement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w:t>
      </w:r>
      <w:r>
        <w:rPr>
          <w:rStyle w:val="FootnoteReference"/>
          <w:sz w:val="16"/>
          <w:szCs w:val="16"/>
          <w:vertAlign w:val="baseline"/>
        </w:rPr>
        <w:t>s</w:t>
      </w:r>
      <w:r>
        <w:rPr>
          <w:sz w:val="16"/>
          <w:szCs w:val="16"/>
        </w:rPr>
        <w:t xml:space="preserve">tart date of the voluntary agreement where the client </w:t>
      </w:r>
      <w:proofErr w:type="gramStart"/>
      <w:r>
        <w:rPr>
          <w:sz w:val="16"/>
          <w:szCs w:val="16"/>
        </w:rPr>
        <w:t>entered into</w:t>
      </w:r>
      <w:proofErr w:type="gramEnd"/>
      <w:r>
        <w:rPr>
          <w:sz w:val="16"/>
          <w:szCs w:val="16"/>
        </w:rPr>
        <w:t xml:space="preserve"> a voluntary case plan during the quarter</w:t>
      </w:r>
      <w:r w:rsidRPr="007A314B">
        <w:rPr>
          <w:rStyle w:val="FootnoteReference"/>
          <w:sz w:val="16"/>
          <w:szCs w:val="16"/>
          <w:vertAlign w:val="baseline"/>
        </w:rPr>
        <w:t>.</w:t>
      </w:r>
    </w:p>
  </w:footnote>
  <w:footnote w:id="20">
    <w:p w14:paraId="5014099E" w14:textId="43F0F4FD" w:rsidR="003453AD" w:rsidRDefault="003453AD">
      <w:pPr>
        <w:pStyle w:val="FootnoteText"/>
      </w:pPr>
      <w:r w:rsidRPr="00A46F7B">
        <w:rPr>
          <w:rStyle w:val="FootnoteReference"/>
          <w:sz w:val="16"/>
          <w:szCs w:val="16"/>
        </w:rPr>
        <w:footnoteRef/>
      </w:r>
      <w:r>
        <w:t xml:space="preserve"> </w:t>
      </w:r>
      <w:r w:rsidRPr="007A314B">
        <w:rPr>
          <w:rStyle w:val="FootnoteReference"/>
          <w:sz w:val="16"/>
          <w:szCs w:val="16"/>
          <w:vertAlign w:val="baseline"/>
        </w:rPr>
        <w:t xml:space="preserve">Average age of a </w:t>
      </w:r>
      <w:r>
        <w:rPr>
          <w:sz w:val="16"/>
          <w:szCs w:val="16"/>
        </w:rPr>
        <w:t xml:space="preserve">VIM </w:t>
      </w:r>
      <w:r w:rsidRPr="007A314B">
        <w:rPr>
          <w:rStyle w:val="FootnoteReference"/>
          <w:sz w:val="16"/>
          <w:szCs w:val="16"/>
          <w:vertAlign w:val="baseline"/>
        </w:rPr>
        <w:t xml:space="preserve">client </w:t>
      </w:r>
      <w:r>
        <w:rPr>
          <w:sz w:val="16"/>
          <w:szCs w:val="16"/>
        </w:rPr>
        <w:t xml:space="preserve">for the quarter </w:t>
      </w:r>
      <w:r w:rsidRPr="007A314B">
        <w:rPr>
          <w:rStyle w:val="FootnoteReference"/>
          <w:sz w:val="16"/>
          <w:szCs w:val="16"/>
          <w:vertAlign w:val="baseline"/>
        </w:rPr>
        <w:t>is calculate</w:t>
      </w:r>
      <w:r>
        <w:rPr>
          <w:rStyle w:val="FootnoteReference"/>
          <w:sz w:val="16"/>
          <w:szCs w:val="16"/>
          <w:vertAlign w:val="baseline"/>
        </w:rPr>
        <w:t>d</w:t>
      </w:r>
      <w:r w:rsidRPr="007A314B">
        <w:rPr>
          <w:rStyle w:val="FootnoteReference"/>
          <w:sz w:val="16"/>
          <w:szCs w:val="16"/>
          <w:vertAlign w:val="baseline"/>
        </w:rPr>
        <w:t xml:space="preserve"> at the </w:t>
      </w:r>
      <w:r>
        <w:rPr>
          <w:rStyle w:val="FootnoteReference"/>
          <w:sz w:val="16"/>
          <w:szCs w:val="16"/>
          <w:vertAlign w:val="baseline"/>
        </w:rPr>
        <w:t>e</w:t>
      </w:r>
      <w:r>
        <w:rPr>
          <w:sz w:val="16"/>
          <w:szCs w:val="16"/>
        </w:rPr>
        <w:t>ffective date of the agreement where the client was placed on a VIM during the quarter</w:t>
      </w:r>
      <w:r w:rsidRPr="007A314B">
        <w:rPr>
          <w:rStyle w:val="FootnoteReference"/>
          <w:sz w:val="16"/>
          <w:szCs w:val="16"/>
          <w:vertAlign w:val="baseline"/>
        </w:rPr>
        <w:t>.</w:t>
      </w:r>
    </w:p>
  </w:footnote>
  <w:footnote w:id="21">
    <w:p w14:paraId="4AA50FB0" w14:textId="57363BC2" w:rsidR="003453AD" w:rsidRDefault="003453AD">
      <w:pPr>
        <w:pStyle w:val="FootnoteText"/>
      </w:pPr>
      <w:r w:rsidRPr="003A65E8">
        <w:rPr>
          <w:rStyle w:val="FootnoteReference"/>
          <w:sz w:val="16"/>
          <w:szCs w:val="16"/>
        </w:rPr>
        <w:footnoteRef/>
      </w:r>
      <w:r>
        <w:t xml:space="preserve"> </w:t>
      </w:r>
      <w:r w:rsidRPr="007A314B">
        <w:rPr>
          <w:rStyle w:val="FootnoteReference"/>
          <w:sz w:val="16"/>
          <w:szCs w:val="16"/>
          <w:vertAlign w:val="baseline"/>
        </w:rPr>
        <w:t xml:space="preserve">Average age of </w:t>
      </w:r>
      <w:proofErr w:type="spellStart"/>
      <w:r w:rsidRPr="007A314B">
        <w:rPr>
          <w:rStyle w:val="FootnoteReference"/>
          <w:sz w:val="16"/>
          <w:szCs w:val="16"/>
          <w:vertAlign w:val="baseline"/>
        </w:rPr>
        <w:t>a</w:t>
      </w:r>
      <w:proofErr w:type="spellEnd"/>
      <w:r w:rsidRPr="007A314B">
        <w:rPr>
          <w:rStyle w:val="FootnoteReference"/>
          <w:sz w:val="16"/>
          <w:szCs w:val="16"/>
          <w:vertAlign w:val="baseline"/>
        </w:rPr>
        <w:t xml:space="preserve"> </w:t>
      </w:r>
      <w:r>
        <w:rPr>
          <w:sz w:val="16"/>
          <w:szCs w:val="16"/>
        </w:rPr>
        <w:t xml:space="preserve">application hearing </w:t>
      </w:r>
      <w:r w:rsidRPr="007A314B">
        <w:rPr>
          <w:rStyle w:val="FootnoteReference"/>
          <w:sz w:val="16"/>
          <w:szCs w:val="16"/>
          <w:vertAlign w:val="baseline"/>
        </w:rPr>
        <w:t>client</w:t>
      </w:r>
      <w:r>
        <w:rPr>
          <w:sz w:val="16"/>
          <w:szCs w:val="16"/>
        </w:rPr>
        <w:t xml:space="preserve"> for the quarter</w:t>
      </w:r>
      <w:r w:rsidRPr="007A314B">
        <w:rPr>
          <w:rStyle w:val="FootnoteReference"/>
          <w:sz w:val="16"/>
          <w:szCs w:val="16"/>
          <w:vertAlign w:val="baseline"/>
        </w:rPr>
        <w:t xml:space="preserve"> is calculate</w:t>
      </w:r>
      <w:r>
        <w:rPr>
          <w:rStyle w:val="FootnoteReference"/>
          <w:sz w:val="16"/>
          <w:szCs w:val="16"/>
          <w:vertAlign w:val="baseline"/>
        </w:rPr>
        <w:t>d</w:t>
      </w:r>
      <w:r w:rsidRPr="007A314B">
        <w:rPr>
          <w:rStyle w:val="FootnoteReference"/>
          <w:sz w:val="16"/>
          <w:szCs w:val="16"/>
          <w:vertAlign w:val="baseline"/>
        </w:rPr>
        <w:t xml:space="preserve"> at the date of the first </w:t>
      </w:r>
      <w:r>
        <w:rPr>
          <w:rStyle w:val="FootnoteReference"/>
          <w:sz w:val="16"/>
          <w:szCs w:val="16"/>
          <w:vertAlign w:val="baseline"/>
        </w:rPr>
        <w:t>a</w:t>
      </w:r>
      <w:r>
        <w:rPr>
          <w:sz w:val="16"/>
          <w:szCs w:val="16"/>
        </w:rPr>
        <w:t>pplication hearing held</w:t>
      </w:r>
      <w:r w:rsidRPr="007A314B">
        <w:rPr>
          <w:rStyle w:val="FootnoteReference"/>
          <w:sz w:val="16"/>
          <w:szCs w:val="16"/>
          <w:vertAlign w:val="baseline"/>
        </w:rPr>
        <w:t xml:space="preserve"> for the client during the quarter.</w:t>
      </w:r>
    </w:p>
  </w:footnote>
  <w:footnote w:id="22">
    <w:p w14:paraId="15716F00" w14:textId="26382896" w:rsidR="003453AD" w:rsidRDefault="003453AD" w:rsidP="00F500CF">
      <w:pPr>
        <w:pStyle w:val="FootnoteText"/>
        <w:jc w:val="both"/>
      </w:pPr>
      <w:r w:rsidRPr="00C5462F">
        <w:rPr>
          <w:rStyle w:val="FootnoteReference"/>
          <w:sz w:val="16"/>
          <w:szCs w:val="16"/>
        </w:rPr>
        <w:footnoteRef/>
      </w:r>
      <w:r w:rsidRPr="004971EA">
        <w:rPr>
          <w:sz w:val="16"/>
          <w:szCs w:val="16"/>
        </w:rPr>
        <w:t xml:space="preserve"> Note: </w:t>
      </w:r>
      <w:r w:rsidRPr="0044594D">
        <w:rPr>
          <w:sz w:val="16"/>
          <w:szCs w:val="16"/>
        </w:rPr>
        <w:t>Australian Statistical Geography Standard 2016 boundaries used are local government areas for Aurukun, Doomadgee and Hope Vale, and statistical areas level 1 (SA1s) of 3139616 for Coen and 3116408 for Mossman Gorge.</w:t>
      </w:r>
    </w:p>
  </w:footnote>
  <w:footnote w:id="23">
    <w:p w14:paraId="3BBC0E7E" w14:textId="41F30A76" w:rsidR="003453AD" w:rsidRDefault="003453AD" w:rsidP="00F500CF">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4971EA">
        <w:rPr>
          <w:rFonts w:cs="Arial"/>
          <w:sz w:val="16"/>
          <w:szCs w:val="16"/>
        </w:rPr>
        <w:t xml:space="preserve">Queensland Government Statistician’s Office (QGSO), Queensland Treasury, based on the Australian Bureau of Statistics (ABS) </w:t>
      </w:r>
      <w:r>
        <w:rPr>
          <w:rFonts w:cs="Arial"/>
          <w:sz w:val="16"/>
          <w:szCs w:val="16"/>
        </w:rPr>
        <w:t xml:space="preserve">unpublished preliminary </w:t>
      </w:r>
      <w:r w:rsidRPr="004971EA">
        <w:rPr>
          <w:rFonts w:cs="Arial"/>
          <w:sz w:val="16"/>
          <w:szCs w:val="16"/>
        </w:rPr>
        <w:t>Estimated Resident Population (ERP) data by age and sex at the Local Govern</w:t>
      </w:r>
      <w:r>
        <w:rPr>
          <w:rFonts w:cs="Arial"/>
          <w:sz w:val="16"/>
          <w:szCs w:val="16"/>
        </w:rPr>
        <w:t>ment Area level for 30 June 2019</w:t>
      </w:r>
      <w:r w:rsidRPr="004971EA">
        <w:rPr>
          <w:rFonts w:cs="Arial"/>
          <w:sz w:val="16"/>
          <w:szCs w:val="16"/>
        </w:rPr>
        <w:t>.</w:t>
      </w:r>
    </w:p>
  </w:footnote>
  <w:footnote w:id="24">
    <w:p w14:paraId="3884DA28" w14:textId="23E533ED" w:rsidR="003453AD" w:rsidRDefault="003453AD" w:rsidP="00F500CF">
      <w:pPr>
        <w:pStyle w:val="FootnoteText"/>
      </w:pPr>
      <w:r w:rsidRPr="00C5462F">
        <w:rPr>
          <w:rStyle w:val="FootnoteReference"/>
          <w:sz w:val="18"/>
          <w:szCs w:val="18"/>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2019.</w:t>
      </w:r>
    </w:p>
  </w:footnote>
  <w:footnote w:id="25">
    <w:p w14:paraId="5BB1F6F6" w14:textId="2B05C385" w:rsidR="003453AD" w:rsidRDefault="003453AD" w:rsidP="00F500CF">
      <w:pPr>
        <w:pStyle w:val="FootnoteText"/>
      </w:pPr>
      <w:r w:rsidRPr="00C5462F">
        <w:rPr>
          <w:rStyle w:val="FootnoteReference"/>
          <w:sz w:val="16"/>
          <w:szCs w:val="16"/>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w:t>
      </w:r>
      <w:r w:rsidRPr="002376E4">
        <w:rPr>
          <w:rFonts w:cs="Arial"/>
          <w:sz w:val="16"/>
          <w:szCs w:val="16"/>
        </w:rPr>
        <w:t xml:space="preserve">ERP data at the Statistical Area level 1 for 30 June </w:t>
      </w:r>
      <w:r>
        <w:rPr>
          <w:rFonts w:cs="Arial"/>
          <w:sz w:val="16"/>
          <w:szCs w:val="16"/>
        </w:rPr>
        <w:t>2019</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282A3" w14:textId="65FBE856" w:rsidR="003453AD" w:rsidRDefault="003453AD">
    <w:pPr>
      <w:pStyle w:val="Header"/>
    </w:pPr>
    <w:r>
      <w:rPr>
        <w:noProof/>
      </w:rPr>
      <mc:AlternateContent>
        <mc:Choice Requires="wps">
          <w:drawing>
            <wp:anchor distT="0" distB="0" distL="114300" distR="114300" simplePos="0" relativeHeight="251657728" behindDoc="1" locked="0" layoutInCell="0" allowOverlap="1" wp14:anchorId="484233E2" wp14:editId="2ECD34AD">
              <wp:simplePos x="0" y="0"/>
              <wp:positionH relativeFrom="margin">
                <wp:align>center</wp:align>
              </wp:positionH>
              <wp:positionV relativeFrom="margin">
                <wp:align>center</wp:align>
              </wp:positionV>
              <wp:extent cx="6471920" cy="2157095"/>
              <wp:effectExtent l="0" t="1876425" r="0" b="1519555"/>
              <wp:wrapNone/>
              <wp:docPr id="10"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C717D" w14:textId="77777777" w:rsidR="003453AD" w:rsidRDefault="003453AD"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4233E2" id="_x0000_t202" coordsize="21600,21600" o:spt="202" path="m,l,21600r21600,l21600,xe">
              <v:stroke joinstyle="miter"/>
              <v:path gradientshapeok="t" o:connecttype="rect"/>
            </v:shapetype>
            <v:shape id="WordArt 5" o:spid="_x0000_s1027" type="#_x0000_t202" style="position:absolute;margin-left:0;margin-top:0;width:509.6pt;height:169.8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" o:allowincell="f" filled="f" stroked="f">
              <v:stroke joinstyle="round"/>
              <o:lock v:ext="edit" shapetype="t"/>
              <v:textbox style="mso-fit-shape-to-text:t">
                <w:txbxContent>
                  <w:p w14:paraId="727C717D" w14:textId="77777777" w:rsidR="003453AD" w:rsidRDefault="003453AD"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6704" behindDoc="1" locked="0" layoutInCell="0" allowOverlap="1" wp14:anchorId="116AA6F2" wp14:editId="43933A13">
              <wp:simplePos x="0" y="0"/>
              <wp:positionH relativeFrom="margin">
                <wp:align>center</wp:align>
              </wp:positionH>
              <wp:positionV relativeFrom="margin">
                <wp:align>center</wp:align>
              </wp:positionV>
              <wp:extent cx="6471920" cy="2157095"/>
              <wp:effectExtent l="0" t="1876425" r="0" b="1519555"/>
              <wp:wrapNone/>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71920"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C92C3C" w14:textId="77777777" w:rsidR="003453AD" w:rsidRDefault="003453AD"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16AA6F2" id="WordArt 3" o:spid="_x0000_s1028" type="#_x0000_t202" style="position:absolute;margin-left:0;margin-top:0;width:509.6pt;height:169.8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" o:allowincell="f" filled="f" stroked="f">
              <v:stroke joinstyle="round"/>
              <o:lock v:ext="edit" shapetype="t"/>
              <v:textbox style="mso-fit-shape-to-text:t">
                <w:txbxContent>
                  <w:p w14:paraId="39C92C3C" w14:textId="77777777" w:rsidR="003453AD" w:rsidRDefault="003453AD" w:rsidP="002220BA">
                    <w:pPr>
                      <w:pStyle w:val="NormalWeb"/>
                      <w:spacing w:before="0" w:beforeAutospacing="0" w:after="0" w:afterAutospacing="0"/>
                      <w:jc w:val="center"/>
                    </w:pPr>
                    <w:r>
                      <w:rPr>
                        <w:rFonts w:ascii="Verdana" w:eastAsia="Verdana" w:hAnsi="Verdana" w:cs="Verdana"/>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0CF0E" w14:textId="4BBAF6FC" w:rsidR="003453AD" w:rsidRDefault="003453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E48980" w14:textId="77777777" w:rsidR="003453AD" w:rsidRDefault="00345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F490BF8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5E0A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A698C5B2"/>
    <w:lvl w:ilvl="0">
      <w:numFmt w:val="decimal"/>
      <w:pStyle w:val="Caption"/>
      <w:lvlText w:val="*"/>
      <w:lvlJc w:val="left"/>
      <w:rPr>
        <w:rFonts w:cs="Times New Roman"/>
      </w:rPr>
    </w:lvl>
  </w:abstractNum>
  <w:abstractNum w:abstractNumId="3"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4" w15:restartNumberingAfterBreak="0">
    <w:nsid w:val="0A4B17EC"/>
    <w:multiLevelType w:val="hybridMultilevel"/>
    <w:tmpl w:val="355A3ABA"/>
    <w:lvl w:ilvl="0" w:tplc="5B9CFC1A">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5"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360DA0"/>
    <w:multiLevelType w:val="hybridMultilevel"/>
    <w:tmpl w:val="7F0ECF8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15033605"/>
    <w:multiLevelType w:val="hybridMultilevel"/>
    <w:tmpl w:val="58589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104CC"/>
    <w:multiLevelType w:val="hybridMultilevel"/>
    <w:tmpl w:val="4C7817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D9E004C"/>
    <w:multiLevelType w:val="hybridMultilevel"/>
    <w:tmpl w:val="4948AE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cs="Times New Roman" w:hint="default"/>
        <w:sz w:val="16"/>
        <w:szCs w:val="16"/>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3C27DBB"/>
    <w:multiLevelType w:val="hybridMultilevel"/>
    <w:tmpl w:val="A8F2CFD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240D51FC"/>
    <w:multiLevelType w:val="hybridMultilevel"/>
    <w:tmpl w:val="1B20D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4" w15:restartNumberingAfterBreak="0">
    <w:nsid w:val="30793EA7"/>
    <w:multiLevelType w:val="hybridMultilevel"/>
    <w:tmpl w:val="955C6146"/>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5" w15:restartNumberingAfterBreak="0">
    <w:nsid w:val="34B66570"/>
    <w:multiLevelType w:val="hybridMultilevel"/>
    <w:tmpl w:val="96803FA8"/>
    <w:lvl w:ilvl="0" w:tplc="A642B176">
      <w:start w:val="1"/>
      <w:numFmt w:val="bullet"/>
      <w:pStyle w:val="ListBullet2"/>
      <w:lvlText w:val=""/>
      <w:lvlJc w:val="left"/>
      <w:pPr>
        <w:ind w:left="720" w:hanging="360"/>
      </w:pPr>
      <w:rPr>
        <w:rFonts w:ascii="Wingdings" w:hAnsi="Wingdings"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76B4E54"/>
    <w:multiLevelType w:val="hybridMultilevel"/>
    <w:tmpl w:val="19E83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A4E0210"/>
    <w:multiLevelType w:val="hybridMultilevel"/>
    <w:tmpl w:val="82C421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A562E19"/>
    <w:multiLevelType w:val="hybridMultilevel"/>
    <w:tmpl w:val="24646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D93FE2"/>
    <w:multiLevelType w:val="hybridMultilevel"/>
    <w:tmpl w:val="FC8C49AA"/>
    <w:lvl w:ilvl="0" w:tplc="B68E1B12">
      <w:start w:val="1"/>
      <w:numFmt w:val="decimal"/>
      <w:lvlText w:val="%1."/>
      <w:lvlJc w:val="left"/>
      <w:pPr>
        <w:ind w:left="218" w:hanging="360"/>
      </w:pPr>
      <w:rPr>
        <w:rFonts w:hint="default"/>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20"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B1685F"/>
    <w:multiLevelType w:val="hybridMultilevel"/>
    <w:tmpl w:val="AECC483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2" w15:restartNumberingAfterBreak="0">
    <w:nsid w:val="5127075F"/>
    <w:multiLevelType w:val="hybridMultilevel"/>
    <w:tmpl w:val="66B83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B599D"/>
    <w:multiLevelType w:val="hybridMultilevel"/>
    <w:tmpl w:val="A8FC7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E12AD1"/>
    <w:multiLevelType w:val="hybridMultilevel"/>
    <w:tmpl w:val="BF720AC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5" w15:restartNumberingAfterBreak="0">
    <w:nsid w:val="5B370C71"/>
    <w:multiLevelType w:val="hybridMultilevel"/>
    <w:tmpl w:val="FB2A4458"/>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6" w15:restartNumberingAfterBreak="0">
    <w:nsid w:val="5C2D614A"/>
    <w:multiLevelType w:val="hybridMultilevel"/>
    <w:tmpl w:val="56A43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C3F25D2"/>
    <w:multiLevelType w:val="hybridMultilevel"/>
    <w:tmpl w:val="30C2FF2C"/>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28"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DC85453"/>
    <w:multiLevelType w:val="hybridMultilevel"/>
    <w:tmpl w:val="6978B6F2"/>
    <w:lvl w:ilvl="0" w:tplc="A24A9DE4">
      <w:start w:val="1"/>
      <w:numFmt w:val="bullet"/>
      <w:pStyle w:val="BulletedList"/>
      <w:lvlText w:val=""/>
      <w:lvlJc w:val="left"/>
      <w:pPr>
        <w:tabs>
          <w:tab w:val="num" w:pos="720"/>
        </w:tabs>
        <w:ind w:left="72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EBA30D9"/>
    <w:multiLevelType w:val="hybridMultilevel"/>
    <w:tmpl w:val="5AAE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0E97123"/>
    <w:multiLevelType w:val="hybridMultilevel"/>
    <w:tmpl w:val="E31AF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2DD5FEA"/>
    <w:multiLevelType w:val="multilevel"/>
    <w:tmpl w:val="9C60AE34"/>
    <w:lvl w:ilvl="0">
      <w:start w:val="1"/>
      <w:numFmt w:val="decimal"/>
      <w:pStyle w:val="Style2"/>
      <w:lvlText w:val="%1."/>
      <w:lvlJc w:val="left"/>
      <w:pPr>
        <w:tabs>
          <w:tab w:val="num" w:pos="454"/>
        </w:tabs>
        <w:ind w:left="454" w:hanging="454"/>
      </w:pPr>
      <w:rPr>
        <w:rFonts w:cs="Times New Roman" w:hint="default"/>
        <w:b/>
        <w:i w:val="0"/>
      </w:rPr>
    </w:lvl>
    <w:lvl w:ilvl="1">
      <w:start w:val="1"/>
      <w:numFmt w:val="bullet"/>
      <w:lvlRestart w:val="0"/>
      <w:pStyle w:val="bulletpoint"/>
      <w:lvlText w:val=""/>
      <w:lvlJc w:val="left"/>
      <w:pPr>
        <w:tabs>
          <w:tab w:val="num" w:pos="454"/>
        </w:tabs>
        <w:ind w:left="454" w:hanging="454"/>
      </w:pPr>
      <w:rPr>
        <w:rFonts w:ascii="Symbol" w:hAnsi="Symbol" w:hint="default"/>
        <w:b w:val="0"/>
        <w:i w:val="0"/>
      </w:rPr>
    </w:lvl>
    <w:lvl w:ilvl="2">
      <w:start w:val="1"/>
      <w:numFmt w:val="bullet"/>
      <w:lvlRestart w:val="0"/>
      <w:pStyle w:val="dashpoint"/>
      <w:lvlText w:val="–"/>
      <w:lvlJc w:val="left"/>
      <w:pPr>
        <w:tabs>
          <w:tab w:val="num" w:pos="907"/>
        </w:tabs>
        <w:ind w:left="907" w:hanging="453"/>
      </w:pPr>
      <w:rPr>
        <w:rFonts w:ascii="Times New Roman" w:hAnsi="Times New Roman" w:hint="default"/>
        <w:b w:val="0"/>
        <w:i w:val="0"/>
      </w:rPr>
    </w:lvl>
    <w:lvl w:ilvl="3">
      <w:start w:val="1"/>
      <w:numFmt w:val="decimal"/>
      <w:lvlText w:val="%1.%2.%3.%4"/>
      <w:lvlJc w:val="left"/>
      <w:pPr>
        <w:tabs>
          <w:tab w:val="num" w:pos="2041"/>
        </w:tabs>
        <w:ind w:left="2041" w:hanging="907"/>
      </w:pPr>
      <w:rPr>
        <w:rFonts w:cs="Times New Roman" w:hint="default"/>
        <w:b w:val="0"/>
        <w:i w:val="0"/>
      </w:rPr>
    </w:lvl>
    <w:lvl w:ilvl="4">
      <w:start w:val="1"/>
      <w:numFmt w:val="decimal"/>
      <w:lvlText w:val="%1.%2.%3.%4.%5."/>
      <w:lvlJc w:val="left"/>
      <w:pPr>
        <w:tabs>
          <w:tab w:val="num" w:pos="4111"/>
        </w:tabs>
        <w:ind w:left="4111" w:hanging="1134"/>
      </w:pPr>
      <w:rPr>
        <w:rFonts w:cs="Times New Roman" w:hint="default"/>
        <w:b w:val="0"/>
        <w:i w:val="0"/>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15:restartNumberingAfterBreak="0">
    <w:nsid w:val="74F358ED"/>
    <w:multiLevelType w:val="hybridMultilevel"/>
    <w:tmpl w:val="666CA1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75407658"/>
    <w:multiLevelType w:val="hybridMultilevel"/>
    <w:tmpl w:val="89F623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6F4759"/>
    <w:multiLevelType w:val="hybridMultilevel"/>
    <w:tmpl w:val="A93A9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F425486"/>
    <w:multiLevelType w:val="multilevel"/>
    <w:tmpl w:val="314A4662"/>
    <w:styleLink w:val="StyleOutlinenumbered"/>
    <w:lvl w:ilvl="0">
      <w:start w:val="1"/>
      <w:numFmt w:val="bullet"/>
      <w:lvlText w:val=""/>
      <w:lvlJc w:val="left"/>
      <w:pPr>
        <w:tabs>
          <w:tab w:val="num" w:pos="720"/>
        </w:tabs>
        <w:ind w:left="720" w:hanging="36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9"/>
  </w:num>
  <w:num w:numId="3">
    <w:abstractNumId w:val="10"/>
  </w:num>
  <w:num w:numId="4">
    <w:abstractNumId w:val="32"/>
  </w:num>
  <w:num w:numId="5">
    <w:abstractNumId w:val="36"/>
  </w:num>
  <w:num w:numId="6">
    <w:abstractNumId w:val="1"/>
  </w:num>
  <w:num w:numId="7">
    <w:abstractNumId w:val="15"/>
  </w:num>
  <w:num w:numId="8">
    <w:abstractNumId w:val="3"/>
  </w:num>
  <w:num w:numId="9">
    <w:abstractNumId w:val="19"/>
  </w:num>
  <w:num w:numId="10">
    <w:abstractNumId w:val="20"/>
  </w:num>
  <w:num w:numId="11">
    <w:abstractNumId w:val="35"/>
  </w:num>
  <w:num w:numId="12">
    <w:abstractNumId w:val="16"/>
  </w:num>
  <w:num w:numId="13">
    <w:abstractNumId w:val="33"/>
  </w:num>
  <w:num w:numId="14">
    <w:abstractNumId w:val="9"/>
  </w:num>
  <w:num w:numId="15">
    <w:abstractNumId w:val="5"/>
  </w:num>
  <w:num w:numId="16">
    <w:abstractNumId w:val="4"/>
  </w:num>
  <w:num w:numId="17">
    <w:abstractNumId w:val="11"/>
  </w:num>
  <w:num w:numId="18">
    <w:abstractNumId w:val="27"/>
  </w:num>
  <w:num w:numId="19">
    <w:abstractNumId w:val="25"/>
  </w:num>
  <w:num w:numId="20">
    <w:abstractNumId w:val="14"/>
  </w:num>
  <w:num w:numId="21">
    <w:abstractNumId w:val="6"/>
  </w:num>
  <w:num w:numId="22">
    <w:abstractNumId w:val="1"/>
  </w:num>
  <w:num w:numId="23">
    <w:abstractNumId w:val="1"/>
  </w:num>
  <w:num w:numId="24">
    <w:abstractNumId w:val="7"/>
  </w:num>
  <w:num w:numId="25">
    <w:abstractNumId w:val="24"/>
  </w:num>
  <w:num w:numId="26">
    <w:abstractNumId w:val="21"/>
  </w:num>
  <w:num w:numId="27">
    <w:abstractNumId w:val="0"/>
  </w:num>
  <w:num w:numId="28">
    <w:abstractNumId w:val="12"/>
  </w:num>
  <w:num w:numId="29">
    <w:abstractNumId w:val="22"/>
  </w:num>
  <w:num w:numId="30">
    <w:abstractNumId w:val="23"/>
  </w:num>
  <w:num w:numId="31">
    <w:abstractNumId w:val="28"/>
  </w:num>
  <w:num w:numId="32">
    <w:abstractNumId w:val="34"/>
  </w:num>
  <w:num w:numId="33">
    <w:abstractNumId w:val="13"/>
  </w:num>
  <w:num w:numId="34">
    <w:abstractNumId w:val="17"/>
  </w:num>
  <w:num w:numId="35">
    <w:abstractNumId w:val="26"/>
  </w:num>
  <w:num w:numId="36">
    <w:abstractNumId w:val="8"/>
  </w:num>
  <w:num w:numId="37">
    <w:abstractNumId w:val="18"/>
  </w:num>
  <w:num w:numId="38">
    <w:abstractNumId w:val="31"/>
  </w:num>
  <w:num w:numId="39">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96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C5E"/>
    <w:rsid w:val="00000091"/>
    <w:rsid w:val="00000183"/>
    <w:rsid w:val="000003BC"/>
    <w:rsid w:val="00000540"/>
    <w:rsid w:val="000006DF"/>
    <w:rsid w:val="000007E1"/>
    <w:rsid w:val="00000872"/>
    <w:rsid w:val="0000090C"/>
    <w:rsid w:val="00000E97"/>
    <w:rsid w:val="00000FF9"/>
    <w:rsid w:val="000010BC"/>
    <w:rsid w:val="0000121E"/>
    <w:rsid w:val="00001341"/>
    <w:rsid w:val="000013EF"/>
    <w:rsid w:val="00001546"/>
    <w:rsid w:val="0000180A"/>
    <w:rsid w:val="00001818"/>
    <w:rsid w:val="00001840"/>
    <w:rsid w:val="00001AA1"/>
    <w:rsid w:val="00001BAB"/>
    <w:rsid w:val="00001CE2"/>
    <w:rsid w:val="00001E8D"/>
    <w:rsid w:val="00001FB1"/>
    <w:rsid w:val="00002082"/>
    <w:rsid w:val="000022AB"/>
    <w:rsid w:val="00002BF6"/>
    <w:rsid w:val="00002D0C"/>
    <w:rsid w:val="00002E4C"/>
    <w:rsid w:val="0000355E"/>
    <w:rsid w:val="00003756"/>
    <w:rsid w:val="00003AD4"/>
    <w:rsid w:val="000040A8"/>
    <w:rsid w:val="0000478B"/>
    <w:rsid w:val="000047DC"/>
    <w:rsid w:val="00004A47"/>
    <w:rsid w:val="00004D7C"/>
    <w:rsid w:val="00004F7D"/>
    <w:rsid w:val="00004FB4"/>
    <w:rsid w:val="000052E6"/>
    <w:rsid w:val="000058CD"/>
    <w:rsid w:val="00005A38"/>
    <w:rsid w:val="00005E39"/>
    <w:rsid w:val="00006185"/>
    <w:rsid w:val="00006254"/>
    <w:rsid w:val="000062EC"/>
    <w:rsid w:val="00006743"/>
    <w:rsid w:val="0000674B"/>
    <w:rsid w:val="000068AE"/>
    <w:rsid w:val="000068E7"/>
    <w:rsid w:val="0000692B"/>
    <w:rsid w:val="00006B81"/>
    <w:rsid w:val="00006CA5"/>
    <w:rsid w:val="00006F38"/>
    <w:rsid w:val="000072FE"/>
    <w:rsid w:val="00007930"/>
    <w:rsid w:val="00007A59"/>
    <w:rsid w:val="00007B00"/>
    <w:rsid w:val="00007BA5"/>
    <w:rsid w:val="00007BA9"/>
    <w:rsid w:val="000102C9"/>
    <w:rsid w:val="00010328"/>
    <w:rsid w:val="0001094E"/>
    <w:rsid w:val="00010BBF"/>
    <w:rsid w:val="00010EF3"/>
    <w:rsid w:val="000111F9"/>
    <w:rsid w:val="0001136D"/>
    <w:rsid w:val="000116C1"/>
    <w:rsid w:val="00011851"/>
    <w:rsid w:val="000118DB"/>
    <w:rsid w:val="00011A27"/>
    <w:rsid w:val="00011A44"/>
    <w:rsid w:val="00011EAC"/>
    <w:rsid w:val="00012243"/>
    <w:rsid w:val="00012307"/>
    <w:rsid w:val="00012727"/>
    <w:rsid w:val="00012782"/>
    <w:rsid w:val="000127DC"/>
    <w:rsid w:val="00012B69"/>
    <w:rsid w:val="00012BC4"/>
    <w:rsid w:val="00012D60"/>
    <w:rsid w:val="00012FF1"/>
    <w:rsid w:val="00013220"/>
    <w:rsid w:val="000133FB"/>
    <w:rsid w:val="000135F4"/>
    <w:rsid w:val="0001383B"/>
    <w:rsid w:val="00013959"/>
    <w:rsid w:val="00013B20"/>
    <w:rsid w:val="00013CBD"/>
    <w:rsid w:val="00013F94"/>
    <w:rsid w:val="00014009"/>
    <w:rsid w:val="00014180"/>
    <w:rsid w:val="00014749"/>
    <w:rsid w:val="00014855"/>
    <w:rsid w:val="000149B6"/>
    <w:rsid w:val="00014B53"/>
    <w:rsid w:val="00014C9A"/>
    <w:rsid w:val="00014EB6"/>
    <w:rsid w:val="00014F68"/>
    <w:rsid w:val="000152F9"/>
    <w:rsid w:val="000153CE"/>
    <w:rsid w:val="0001550D"/>
    <w:rsid w:val="000156CD"/>
    <w:rsid w:val="0001572D"/>
    <w:rsid w:val="00015759"/>
    <w:rsid w:val="000157CE"/>
    <w:rsid w:val="00015CAD"/>
    <w:rsid w:val="00015DF4"/>
    <w:rsid w:val="00015EDE"/>
    <w:rsid w:val="0001603A"/>
    <w:rsid w:val="000166C6"/>
    <w:rsid w:val="000168F6"/>
    <w:rsid w:val="00016B36"/>
    <w:rsid w:val="00016B8C"/>
    <w:rsid w:val="00016BA3"/>
    <w:rsid w:val="00016C84"/>
    <w:rsid w:val="000171D3"/>
    <w:rsid w:val="000172FC"/>
    <w:rsid w:val="00017419"/>
    <w:rsid w:val="0001785E"/>
    <w:rsid w:val="00017AEF"/>
    <w:rsid w:val="00017DD6"/>
    <w:rsid w:val="00017DF8"/>
    <w:rsid w:val="00017E6A"/>
    <w:rsid w:val="00017EB4"/>
    <w:rsid w:val="00017F60"/>
    <w:rsid w:val="000200C4"/>
    <w:rsid w:val="00020102"/>
    <w:rsid w:val="00020267"/>
    <w:rsid w:val="00020313"/>
    <w:rsid w:val="00020578"/>
    <w:rsid w:val="000209EC"/>
    <w:rsid w:val="00020B5E"/>
    <w:rsid w:val="00020DE4"/>
    <w:rsid w:val="00020E95"/>
    <w:rsid w:val="00020F26"/>
    <w:rsid w:val="00020FC2"/>
    <w:rsid w:val="0002112E"/>
    <w:rsid w:val="000215B0"/>
    <w:rsid w:val="000216DD"/>
    <w:rsid w:val="000216F3"/>
    <w:rsid w:val="000218DF"/>
    <w:rsid w:val="000219BE"/>
    <w:rsid w:val="00021FD3"/>
    <w:rsid w:val="00021FED"/>
    <w:rsid w:val="00022690"/>
    <w:rsid w:val="00022A61"/>
    <w:rsid w:val="00023090"/>
    <w:rsid w:val="00023110"/>
    <w:rsid w:val="00023277"/>
    <w:rsid w:val="000232D9"/>
    <w:rsid w:val="0002375F"/>
    <w:rsid w:val="000238CF"/>
    <w:rsid w:val="00023EA1"/>
    <w:rsid w:val="00024039"/>
    <w:rsid w:val="00024088"/>
    <w:rsid w:val="0002417B"/>
    <w:rsid w:val="000242AA"/>
    <w:rsid w:val="000243EF"/>
    <w:rsid w:val="000245C3"/>
    <w:rsid w:val="00024A73"/>
    <w:rsid w:val="00024B81"/>
    <w:rsid w:val="00024BC6"/>
    <w:rsid w:val="00024C90"/>
    <w:rsid w:val="00025054"/>
    <w:rsid w:val="00025194"/>
    <w:rsid w:val="000256E1"/>
    <w:rsid w:val="000257CF"/>
    <w:rsid w:val="000257DF"/>
    <w:rsid w:val="00025928"/>
    <w:rsid w:val="0002593E"/>
    <w:rsid w:val="000259FA"/>
    <w:rsid w:val="00025B58"/>
    <w:rsid w:val="00025D77"/>
    <w:rsid w:val="00025DBA"/>
    <w:rsid w:val="00025DDC"/>
    <w:rsid w:val="00025F03"/>
    <w:rsid w:val="00026475"/>
    <w:rsid w:val="0002665C"/>
    <w:rsid w:val="0002698B"/>
    <w:rsid w:val="000269D2"/>
    <w:rsid w:val="00026C3E"/>
    <w:rsid w:val="00026F91"/>
    <w:rsid w:val="00026FBA"/>
    <w:rsid w:val="000272AD"/>
    <w:rsid w:val="000272F4"/>
    <w:rsid w:val="000276FC"/>
    <w:rsid w:val="00027963"/>
    <w:rsid w:val="00027995"/>
    <w:rsid w:val="00027A2A"/>
    <w:rsid w:val="00027EA9"/>
    <w:rsid w:val="0003006E"/>
    <w:rsid w:val="0003023A"/>
    <w:rsid w:val="000305F2"/>
    <w:rsid w:val="0003062F"/>
    <w:rsid w:val="000308B0"/>
    <w:rsid w:val="000308D1"/>
    <w:rsid w:val="00030ADB"/>
    <w:rsid w:val="00030E9D"/>
    <w:rsid w:val="00030F3F"/>
    <w:rsid w:val="00031361"/>
    <w:rsid w:val="0003139F"/>
    <w:rsid w:val="0003140A"/>
    <w:rsid w:val="00031735"/>
    <w:rsid w:val="0003174C"/>
    <w:rsid w:val="0003177B"/>
    <w:rsid w:val="0003177F"/>
    <w:rsid w:val="000317DC"/>
    <w:rsid w:val="0003185A"/>
    <w:rsid w:val="000319D3"/>
    <w:rsid w:val="00031A6E"/>
    <w:rsid w:val="00031AEB"/>
    <w:rsid w:val="00031C25"/>
    <w:rsid w:val="00031E8C"/>
    <w:rsid w:val="00031FD2"/>
    <w:rsid w:val="00032259"/>
    <w:rsid w:val="000324EF"/>
    <w:rsid w:val="00032CE8"/>
    <w:rsid w:val="00032D51"/>
    <w:rsid w:val="00032D57"/>
    <w:rsid w:val="00033023"/>
    <w:rsid w:val="00033197"/>
    <w:rsid w:val="000331AA"/>
    <w:rsid w:val="000331CE"/>
    <w:rsid w:val="000331EA"/>
    <w:rsid w:val="0003328B"/>
    <w:rsid w:val="0003359B"/>
    <w:rsid w:val="00033994"/>
    <w:rsid w:val="000339A4"/>
    <w:rsid w:val="00033B4F"/>
    <w:rsid w:val="00033C59"/>
    <w:rsid w:val="000340A6"/>
    <w:rsid w:val="0003415F"/>
    <w:rsid w:val="00034221"/>
    <w:rsid w:val="000342D9"/>
    <w:rsid w:val="0003431D"/>
    <w:rsid w:val="00034341"/>
    <w:rsid w:val="0003457B"/>
    <w:rsid w:val="00034601"/>
    <w:rsid w:val="0003469F"/>
    <w:rsid w:val="000347E0"/>
    <w:rsid w:val="00034843"/>
    <w:rsid w:val="00034D8E"/>
    <w:rsid w:val="00034DC3"/>
    <w:rsid w:val="00034FA6"/>
    <w:rsid w:val="00035006"/>
    <w:rsid w:val="00035309"/>
    <w:rsid w:val="00035794"/>
    <w:rsid w:val="000357ED"/>
    <w:rsid w:val="000358AC"/>
    <w:rsid w:val="00036093"/>
    <w:rsid w:val="000361E4"/>
    <w:rsid w:val="00036306"/>
    <w:rsid w:val="000364B5"/>
    <w:rsid w:val="000366FD"/>
    <w:rsid w:val="0003677B"/>
    <w:rsid w:val="00036853"/>
    <w:rsid w:val="0003687E"/>
    <w:rsid w:val="000368A0"/>
    <w:rsid w:val="00036AB1"/>
    <w:rsid w:val="00036AFC"/>
    <w:rsid w:val="00036DFA"/>
    <w:rsid w:val="00036EEB"/>
    <w:rsid w:val="00036F83"/>
    <w:rsid w:val="000372F0"/>
    <w:rsid w:val="00037481"/>
    <w:rsid w:val="00037500"/>
    <w:rsid w:val="0003752C"/>
    <w:rsid w:val="000378DA"/>
    <w:rsid w:val="00037B1E"/>
    <w:rsid w:val="00037CE8"/>
    <w:rsid w:val="00037EEB"/>
    <w:rsid w:val="00037EEF"/>
    <w:rsid w:val="00037F3C"/>
    <w:rsid w:val="000400E0"/>
    <w:rsid w:val="000400FB"/>
    <w:rsid w:val="00040158"/>
    <w:rsid w:val="00040870"/>
    <w:rsid w:val="00040A15"/>
    <w:rsid w:val="000411A9"/>
    <w:rsid w:val="00041270"/>
    <w:rsid w:val="00041335"/>
    <w:rsid w:val="0004136D"/>
    <w:rsid w:val="00041392"/>
    <w:rsid w:val="000415A0"/>
    <w:rsid w:val="000416CE"/>
    <w:rsid w:val="000418C6"/>
    <w:rsid w:val="0004193C"/>
    <w:rsid w:val="00041997"/>
    <w:rsid w:val="00041D5F"/>
    <w:rsid w:val="00041D6E"/>
    <w:rsid w:val="00041E39"/>
    <w:rsid w:val="00041F3C"/>
    <w:rsid w:val="00042060"/>
    <w:rsid w:val="00042089"/>
    <w:rsid w:val="000420C3"/>
    <w:rsid w:val="000421CF"/>
    <w:rsid w:val="000424FE"/>
    <w:rsid w:val="00042559"/>
    <w:rsid w:val="000425FC"/>
    <w:rsid w:val="000426BA"/>
    <w:rsid w:val="00042A81"/>
    <w:rsid w:val="00042BCA"/>
    <w:rsid w:val="00042CC2"/>
    <w:rsid w:val="00042DF7"/>
    <w:rsid w:val="0004375F"/>
    <w:rsid w:val="00043856"/>
    <w:rsid w:val="00043AA0"/>
    <w:rsid w:val="00043EB1"/>
    <w:rsid w:val="0004440B"/>
    <w:rsid w:val="00044540"/>
    <w:rsid w:val="000445D3"/>
    <w:rsid w:val="000445E2"/>
    <w:rsid w:val="00044A06"/>
    <w:rsid w:val="00044BE3"/>
    <w:rsid w:val="00044C50"/>
    <w:rsid w:val="00044C9A"/>
    <w:rsid w:val="00044D3A"/>
    <w:rsid w:val="000451D4"/>
    <w:rsid w:val="00045DD8"/>
    <w:rsid w:val="00045E7C"/>
    <w:rsid w:val="0004637C"/>
    <w:rsid w:val="0004639A"/>
    <w:rsid w:val="000463FB"/>
    <w:rsid w:val="00046637"/>
    <w:rsid w:val="00046644"/>
    <w:rsid w:val="00046D12"/>
    <w:rsid w:val="00046EE8"/>
    <w:rsid w:val="00046EF5"/>
    <w:rsid w:val="000474F4"/>
    <w:rsid w:val="0004757A"/>
    <w:rsid w:val="00047687"/>
    <w:rsid w:val="0004774C"/>
    <w:rsid w:val="00047888"/>
    <w:rsid w:val="00047E2E"/>
    <w:rsid w:val="000500C4"/>
    <w:rsid w:val="0005023F"/>
    <w:rsid w:val="00050296"/>
    <w:rsid w:val="00050402"/>
    <w:rsid w:val="00050592"/>
    <w:rsid w:val="000506CB"/>
    <w:rsid w:val="0005083D"/>
    <w:rsid w:val="00050A13"/>
    <w:rsid w:val="00050BAC"/>
    <w:rsid w:val="00050BCC"/>
    <w:rsid w:val="00050D22"/>
    <w:rsid w:val="00050F3B"/>
    <w:rsid w:val="00050F4A"/>
    <w:rsid w:val="00051000"/>
    <w:rsid w:val="0005100D"/>
    <w:rsid w:val="0005113F"/>
    <w:rsid w:val="000511C7"/>
    <w:rsid w:val="000512CC"/>
    <w:rsid w:val="0005148A"/>
    <w:rsid w:val="000519E6"/>
    <w:rsid w:val="00051A41"/>
    <w:rsid w:val="00051CCE"/>
    <w:rsid w:val="00051E7D"/>
    <w:rsid w:val="00051F95"/>
    <w:rsid w:val="00051FBB"/>
    <w:rsid w:val="000523E4"/>
    <w:rsid w:val="0005247E"/>
    <w:rsid w:val="000524A6"/>
    <w:rsid w:val="000524BF"/>
    <w:rsid w:val="000524E5"/>
    <w:rsid w:val="0005266C"/>
    <w:rsid w:val="0005275F"/>
    <w:rsid w:val="0005294D"/>
    <w:rsid w:val="00052A73"/>
    <w:rsid w:val="00052C3C"/>
    <w:rsid w:val="00052EB5"/>
    <w:rsid w:val="00052F0D"/>
    <w:rsid w:val="00052FC6"/>
    <w:rsid w:val="0005311A"/>
    <w:rsid w:val="000535A3"/>
    <w:rsid w:val="00053658"/>
    <w:rsid w:val="0005394C"/>
    <w:rsid w:val="00053C24"/>
    <w:rsid w:val="00053ED3"/>
    <w:rsid w:val="00054129"/>
    <w:rsid w:val="000541CA"/>
    <w:rsid w:val="000541CF"/>
    <w:rsid w:val="0005429E"/>
    <w:rsid w:val="000544BC"/>
    <w:rsid w:val="00054581"/>
    <w:rsid w:val="00054771"/>
    <w:rsid w:val="0005494A"/>
    <w:rsid w:val="00054CCC"/>
    <w:rsid w:val="00054E05"/>
    <w:rsid w:val="00054E20"/>
    <w:rsid w:val="00054F6B"/>
    <w:rsid w:val="0005529E"/>
    <w:rsid w:val="000553D0"/>
    <w:rsid w:val="0005566E"/>
    <w:rsid w:val="00055789"/>
    <w:rsid w:val="00055891"/>
    <w:rsid w:val="00055AAF"/>
    <w:rsid w:val="00055ADA"/>
    <w:rsid w:val="00055B55"/>
    <w:rsid w:val="00055F4B"/>
    <w:rsid w:val="00055FB2"/>
    <w:rsid w:val="00056329"/>
    <w:rsid w:val="0005638B"/>
    <w:rsid w:val="0005638D"/>
    <w:rsid w:val="000566F8"/>
    <w:rsid w:val="00056B48"/>
    <w:rsid w:val="00056D0D"/>
    <w:rsid w:val="00056DA3"/>
    <w:rsid w:val="00057179"/>
    <w:rsid w:val="000575B6"/>
    <w:rsid w:val="00057823"/>
    <w:rsid w:val="0005786D"/>
    <w:rsid w:val="00057A8F"/>
    <w:rsid w:val="00057B6E"/>
    <w:rsid w:val="0006007E"/>
    <w:rsid w:val="00060351"/>
    <w:rsid w:val="000603B6"/>
    <w:rsid w:val="0006064F"/>
    <w:rsid w:val="00060733"/>
    <w:rsid w:val="00060863"/>
    <w:rsid w:val="00060C99"/>
    <w:rsid w:val="000612F5"/>
    <w:rsid w:val="00061307"/>
    <w:rsid w:val="00061780"/>
    <w:rsid w:val="00061B71"/>
    <w:rsid w:val="00061DDC"/>
    <w:rsid w:val="00061EE8"/>
    <w:rsid w:val="00062332"/>
    <w:rsid w:val="000623F7"/>
    <w:rsid w:val="00062612"/>
    <w:rsid w:val="000627DE"/>
    <w:rsid w:val="000628DC"/>
    <w:rsid w:val="00062A30"/>
    <w:rsid w:val="00062C5A"/>
    <w:rsid w:val="000630B4"/>
    <w:rsid w:val="00063231"/>
    <w:rsid w:val="0006382E"/>
    <w:rsid w:val="00063A31"/>
    <w:rsid w:val="00063B44"/>
    <w:rsid w:val="00063C4B"/>
    <w:rsid w:val="0006411B"/>
    <w:rsid w:val="00064419"/>
    <w:rsid w:val="000646F9"/>
    <w:rsid w:val="00064A70"/>
    <w:rsid w:val="00064D55"/>
    <w:rsid w:val="0006502C"/>
    <w:rsid w:val="00065105"/>
    <w:rsid w:val="0006512B"/>
    <w:rsid w:val="00065352"/>
    <w:rsid w:val="0006577D"/>
    <w:rsid w:val="00065971"/>
    <w:rsid w:val="000659DA"/>
    <w:rsid w:val="00065A37"/>
    <w:rsid w:val="00065D72"/>
    <w:rsid w:val="00065E47"/>
    <w:rsid w:val="00065F9A"/>
    <w:rsid w:val="00066077"/>
    <w:rsid w:val="00066317"/>
    <w:rsid w:val="000664F2"/>
    <w:rsid w:val="00066559"/>
    <w:rsid w:val="00066634"/>
    <w:rsid w:val="00066785"/>
    <w:rsid w:val="00066874"/>
    <w:rsid w:val="000669B0"/>
    <w:rsid w:val="00066A16"/>
    <w:rsid w:val="00066AD2"/>
    <w:rsid w:val="00067051"/>
    <w:rsid w:val="00067057"/>
    <w:rsid w:val="0006727C"/>
    <w:rsid w:val="000674F6"/>
    <w:rsid w:val="000675A0"/>
    <w:rsid w:val="00067613"/>
    <w:rsid w:val="00067654"/>
    <w:rsid w:val="00067A34"/>
    <w:rsid w:val="00067BA8"/>
    <w:rsid w:val="00067EE4"/>
    <w:rsid w:val="00070104"/>
    <w:rsid w:val="000702FD"/>
    <w:rsid w:val="000706F7"/>
    <w:rsid w:val="00070796"/>
    <w:rsid w:val="00070AC0"/>
    <w:rsid w:val="00070B4D"/>
    <w:rsid w:val="00070D65"/>
    <w:rsid w:val="00070DAC"/>
    <w:rsid w:val="00070E6B"/>
    <w:rsid w:val="0007100C"/>
    <w:rsid w:val="00071019"/>
    <w:rsid w:val="0007111D"/>
    <w:rsid w:val="0007138D"/>
    <w:rsid w:val="0007145B"/>
    <w:rsid w:val="00071856"/>
    <w:rsid w:val="00071B1F"/>
    <w:rsid w:val="00071DFB"/>
    <w:rsid w:val="00071F63"/>
    <w:rsid w:val="0007204B"/>
    <w:rsid w:val="0007205C"/>
    <w:rsid w:val="000723DC"/>
    <w:rsid w:val="000724E4"/>
    <w:rsid w:val="0007265E"/>
    <w:rsid w:val="0007277D"/>
    <w:rsid w:val="00072952"/>
    <w:rsid w:val="000729E5"/>
    <w:rsid w:val="00072EA3"/>
    <w:rsid w:val="00072FBA"/>
    <w:rsid w:val="000736E7"/>
    <w:rsid w:val="0007389A"/>
    <w:rsid w:val="00073A0B"/>
    <w:rsid w:val="00073A17"/>
    <w:rsid w:val="00073C0A"/>
    <w:rsid w:val="00073C92"/>
    <w:rsid w:val="00073E3A"/>
    <w:rsid w:val="000742F0"/>
    <w:rsid w:val="00074381"/>
    <w:rsid w:val="000743F4"/>
    <w:rsid w:val="00074403"/>
    <w:rsid w:val="000745D1"/>
    <w:rsid w:val="0007465F"/>
    <w:rsid w:val="0007479D"/>
    <w:rsid w:val="00074AC2"/>
    <w:rsid w:val="00074DAB"/>
    <w:rsid w:val="00074FCA"/>
    <w:rsid w:val="0007509D"/>
    <w:rsid w:val="0007527F"/>
    <w:rsid w:val="000752C1"/>
    <w:rsid w:val="00075571"/>
    <w:rsid w:val="000755DD"/>
    <w:rsid w:val="00075812"/>
    <w:rsid w:val="000759EB"/>
    <w:rsid w:val="00075AEB"/>
    <w:rsid w:val="00075B5A"/>
    <w:rsid w:val="00075CBD"/>
    <w:rsid w:val="00075DF1"/>
    <w:rsid w:val="00075F13"/>
    <w:rsid w:val="00076664"/>
    <w:rsid w:val="000766E8"/>
    <w:rsid w:val="000767CA"/>
    <w:rsid w:val="00076DF0"/>
    <w:rsid w:val="00076ED0"/>
    <w:rsid w:val="00076F28"/>
    <w:rsid w:val="00076F49"/>
    <w:rsid w:val="0007704A"/>
    <w:rsid w:val="0007732E"/>
    <w:rsid w:val="000773ED"/>
    <w:rsid w:val="00077508"/>
    <w:rsid w:val="000775B1"/>
    <w:rsid w:val="000777E2"/>
    <w:rsid w:val="000778EB"/>
    <w:rsid w:val="00077DC7"/>
    <w:rsid w:val="00077F50"/>
    <w:rsid w:val="000801CF"/>
    <w:rsid w:val="00080235"/>
    <w:rsid w:val="0008053E"/>
    <w:rsid w:val="0008069E"/>
    <w:rsid w:val="000806FF"/>
    <w:rsid w:val="00080A6A"/>
    <w:rsid w:val="00080CC6"/>
    <w:rsid w:val="00080E0C"/>
    <w:rsid w:val="00080FE0"/>
    <w:rsid w:val="0008114B"/>
    <w:rsid w:val="000815E5"/>
    <w:rsid w:val="00081689"/>
    <w:rsid w:val="00081AA0"/>
    <w:rsid w:val="00081AA9"/>
    <w:rsid w:val="000823AD"/>
    <w:rsid w:val="0008247E"/>
    <w:rsid w:val="000824D7"/>
    <w:rsid w:val="0008253E"/>
    <w:rsid w:val="0008254C"/>
    <w:rsid w:val="0008278B"/>
    <w:rsid w:val="0008286C"/>
    <w:rsid w:val="00082B15"/>
    <w:rsid w:val="00082B63"/>
    <w:rsid w:val="00082D4C"/>
    <w:rsid w:val="00082FF5"/>
    <w:rsid w:val="00083269"/>
    <w:rsid w:val="00083463"/>
    <w:rsid w:val="000836E2"/>
    <w:rsid w:val="000837D9"/>
    <w:rsid w:val="000837FA"/>
    <w:rsid w:val="0008383E"/>
    <w:rsid w:val="00083868"/>
    <w:rsid w:val="0008390F"/>
    <w:rsid w:val="00083B42"/>
    <w:rsid w:val="00083BB7"/>
    <w:rsid w:val="00084350"/>
    <w:rsid w:val="0008447F"/>
    <w:rsid w:val="0008495D"/>
    <w:rsid w:val="00084C17"/>
    <w:rsid w:val="00084EA5"/>
    <w:rsid w:val="00085105"/>
    <w:rsid w:val="0008546D"/>
    <w:rsid w:val="00085675"/>
    <w:rsid w:val="00085BF6"/>
    <w:rsid w:val="00085CDB"/>
    <w:rsid w:val="00085E08"/>
    <w:rsid w:val="00085F7B"/>
    <w:rsid w:val="00086044"/>
    <w:rsid w:val="0008633C"/>
    <w:rsid w:val="0008641C"/>
    <w:rsid w:val="00086DBA"/>
    <w:rsid w:val="00086E5B"/>
    <w:rsid w:val="00087253"/>
    <w:rsid w:val="000872E8"/>
    <w:rsid w:val="000875AE"/>
    <w:rsid w:val="000875E5"/>
    <w:rsid w:val="0008767A"/>
    <w:rsid w:val="000876F7"/>
    <w:rsid w:val="00087B6F"/>
    <w:rsid w:val="00087B99"/>
    <w:rsid w:val="00087F9B"/>
    <w:rsid w:val="00087FB0"/>
    <w:rsid w:val="0009012F"/>
    <w:rsid w:val="000901A9"/>
    <w:rsid w:val="00090404"/>
    <w:rsid w:val="000906AE"/>
    <w:rsid w:val="00090889"/>
    <w:rsid w:val="0009094D"/>
    <w:rsid w:val="00090D16"/>
    <w:rsid w:val="00090E8B"/>
    <w:rsid w:val="0009108F"/>
    <w:rsid w:val="0009110A"/>
    <w:rsid w:val="0009129E"/>
    <w:rsid w:val="000912B2"/>
    <w:rsid w:val="000914CC"/>
    <w:rsid w:val="000915D5"/>
    <w:rsid w:val="000915DB"/>
    <w:rsid w:val="0009165D"/>
    <w:rsid w:val="00091828"/>
    <w:rsid w:val="00091AD9"/>
    <w:rsid w:val="00091AF9"/>
    <w:rsid w:val="00091DE0"/>
    <w:rsid w:val="00091EEA"/>
    <w:rsid w:val="00091F90"/>
    <w:rsid w:val="000921F0"/>
    <w:rsid w:val="0009231E"/>
    <w:rsid w:val="00092362"/>
    <w:rsid w:val="00092490"/>
    <w:rsid w:val="000924A0"/>
    <w:rsid w:val="00092661"/>
    <w:rsid w:val="00092695"/>
    <w:rsid w:val="00092756"/>
    <w:rsid w:val="00093196"/>
    <w:rsid w:val="0009319D"/>
    <w:rsid w:val="00093286"/>
    <w:rsid w:val="000932C8"/>
    <w:rsid w:val="000933CD"/>
    <w:rsid w:val="0009384A"/>
    <w:rsid w:val="00093930"/>
    <w:rsid w:val="00093C19"/>
    <w:rsid w:val="00093D52"/>
    <w:rsid w:val="00093F87"/>
    <w:rsid w:val="00093FB3"/>
    <w:rsid w:val="00094083"/>
    <w:rsid w:val="000940CC"/>
    <w:rsid w:val="0009427F"/>
    <w:rsid w:val="00094379"/>
    <w:rsid w:val="0009457F"/>
    <w:rsid w:val="00094AC7"/>
    <w:rsid w:val="000950F0"/>
    <w:rsid w:val="00095388"/>
    <w:rsid w:val="000957D9"/>
    <w:rsid w:val="000957FF"/>
    <w:rsid w:val="0009589C"/>
    <w:rsid w:val="00095A9A"/>
    <w:rsid w:val="00095B39"/>
    <w:rsid w:val="00095E43"/>
    <w:rsid w:val="00095E69"/>
    <w:rsid w:val="00095FF7"/>
    <w:rsid w:val="0009606A"/>
    <w:rsid w:val="0009607B"/>
    <w:rsid w:val="00096080"/>
    <w:rsid w:val="000963B2"/>
    <w:rsid w:val="000963D6"/>
    <w:rsid w:val="00096456"/>
    <w:rsid w:val="00096611"/>
    <w:rsid w:val="00096670"/>
    <w:rsid w:val="00096815"/>
    <w:rsid w:val="00096857"/>
    <w:rsid w:val="000969E5"/>
    <w:rsid w:val="00096A8C"/>
    <w:rsid w:val="00096AE0"/>
    <w:rsid w:val="00096B05"/>
    <w:rsid w:val="00096BD0"/>
    <w:rsid w:val="00096C0B"/>
    <w:rsid w:val="00096C45"/>
    <w:rsid w:val="00096E3A"/>
    <w:rsid w:val="00096EFD"/>
    <w:rsid w:val="00096FA5"/>
    <w:rsid w:val="00097189"/>
    <w:rsid w:val="0009773A"/>
    <w:rsid w:val="00097A20"/>
    <w:rsid w:val="00097AE7"/>
    <w:rsid w:val="00097BC8"/>
    <w:rsid w:val="00097C07"/>
    <w:rsid w:val="000A008C"/>
    <w:rsid w:val="000A0166"/>
    <w:rsid w:val="000A01CF"/>
    <w:rsid w:val="000A04C2"/>
    <w:rsid w:val="000A04DF"/>
    <w:rsid w:val="000A05BB"/>
    <w:rsid w:val="000A0BFC"/>
    <w:rsid w:val="000A0CFA"/>
    <w:rsid w:val="000A0FB7"/>
    <w:rsid w:val="000A10EF"/>
    <w:rsid w:val="000A10F8"/>
    <w:rsid w:val="000A110A"/>
    <w:rsid w:val="000A110F"/>
    <w:rsid w:val="000A121A"/>
    <w:rsid w:val="000A14E2"/>
    <w:rsid w:val="000A155A"/>
    <w:rsid w:val="000A19DD"/>
    <w:rsid w:val="000A1E36"/>
    <w:rsid w:val="000A1F37"/>
    <w:rsid w:val="000A203F"/>
    <w:rsid w:val="000A20DE"/>
    <w:rsid w:val="000A223C"/>
    <w:rsid w:val="000A22E3"/>
    <w:rsid w:val="000A2808"/>
    <w:rsid w:val="000A288F"/>
    <w:rsid w:val="000A28A4"/>
    <w:rsid w:val="000A2A02"/>
    <w:rsid w:val="000A2BCD"/>
    <w:rsid w:val="000A2C4C"/>
    <w:rsid w:val="000A2D4C"/>
    <w:rsid w:val="000A2D98"/>
    <w:rsid w:val="000A2E90"/>
    <w:rsid w:val="000A2FC1"/>
    <w:rsid w:val="000A315B"/>
    <w:rsid w:val="000A3204"/>
    <w:rsid w:val="000A348E"/>
    <w:rsid w:val="000A3567"/>
    <w:rsid w:val="000A3891"/>
    <w:rsid w:val="000A38AB"/>
    <w:rsid w:val="000A3947"/>
    <w:rsid w:val="000A3ACD"/>
    <w:rsid w:val="000A3DB3"/>
    <w:rsid w:val="000A3FD2"/>
    <w:rsid w:val="000A41DF"/>
    <w:rsid w:val="000A4528"/>
    <w:rsid w:val="000A46F3"/>
    <w:rsid w:val="000A4819"/>
    <w:rsid w:val="000A4DC2"/>
    <w:rsid w:val="000A5460"/>
    <w:rsid w:val="000A5464"/>
    <w:rsid w:val="000A5703"/>
    <w:rsid w:val="000A570F"/>
    <w:rsid w:val="000A5823"/>
    <w:rsid w:val="000A58DF"/>
    <w:rsid w:val="000A59EC"/>
    <w:rsid w:val="000A5A63"/>
    <w:rsid w:val="000A5E6C"/>
    <w:rsid w:val="000A603A"/>
    <w:rsid w:val="000A616F"/>
    <w:rsid w:val="000A622A"/>
    <w:rsid w:val="000A6232"/>
    <w:rsid w:val="000A63AB"/>
    <w:rsid w:val="000A63E7"/>
    <w:rsid w:val="000A64F1"/>
    <w:rsid w:val="000A65DD"/>
    <w:rsid w:val="000A670E"/>
    <w:rsid w:val="000A6E84"/>
    <w:rsid w:val="000A702B"/>
    <w:rsid w:val="000A71A2"/>
    <w:rsid w:val="000A759D"/>
    <w:rsid w:val="000A766B"/>
    <w:rsid w:val="000A7823"/>
    <w:rsid w:val="000A78F2"/>
    <w:rsid w:val="000A7B9E"/>
    <w:rsid w:val="000A7C59"/>
    <w:rsid w:val="000B029F"/>
    <w:rsid w:val="000B0676"/>
    <w:rsid w:val="000B09E5"/>
    <w:rsid w:val="000B0B6F"/>
    <w:rsid w:val="000B0E76"/>
    <w:rsid w:val="000B0EF5"/>
    <w:rsid w:val="000B0F0E"/>
    <w:rsid w:val="000B158A"/>
    <w:rsid w:val="000B15DA"/>
    <w:rsid w:val="000B164F"/>
    <w:rsid w:val="000B16D3"/>
    <w:rsid w:val="000B1D3E"/>
    <w:rsid w:val="000B212C"/>
    <w:rsid w:val="000B227F"/>
    <w:rsid w:val="000B2326"/>
    <w:rsid w:val="000B2803"/>
    <w:rsid w:val="000B28E6"/>
    <w:rsid w:val="000B2926"/>
    <w:rsid w:val="000B2B4D"/>
    <w:rsid w:val="000B2F64"/>
    <w:rsid w:val="000B30FA"/>
    <w:rsid w:val="000B315A"/>
    <w:rsid w:val="000B3226"/>
    <w:rsid w:val="000B3356"/>
    <w:rsid w:val="000B3974"/>
    <w:rsid w:val="000B3A80"/>
    <w:rsid w:val="000B3F04"/>
    <w:rsid w:val="000B3FDC"/>
    <w:rsid w:val="000B41FB"/>
    <w:rsid w:val="000B423B"/>
    <w:rsid w:val="000B471D"/>
    <w:rsid w:val="000B47E1"/>
    <w:rsid w:val="000B4B49"/>
    <w:rsid w:val="000B4B81"/>
    <w:rsid w:val="000B4C14"/>
    <w:rsid w:val="000B4CD5"/>
    <w:rsid w:val="000B4D37"/>
    <w:rsid w:val="000B4DA7"/>
    <w:rsid w:val="000B4F35"/>
    <w:rsid w:val="000B54C1"/>
    <w:rsid w:val="000B55EE"/>
    <w:rsid w:val="000B588A"/>
    <w:rsid w:val="000B58D1"/>
    <w:rsid w:val="000B596F"/>
    <w:rsid w:val="000B59B5"/>
    <w:rsid w:val="000B5A8B"/>
    <w:rsid w:val="000B5AE5"/>
    <w:rsid w:val="000B5B08"/>
    <w:rsid w:val="000B5BD2"/>
    <w:rsid w:val="000B5FBD"/>
    <w:rsid w:val="000B5FD9"/>
    <w:rsid w:val="000B6294"/>
    <w:rsid w:val="000B66C6"/>
    <w:rsid w:val="000B6811"/>
    <w:rsid w:val="000B69F8"/>
    <w:rsid w:val="000B6D18"/>
    <w:rsid w:val="000B6D4D"/>
    <w:rsid w:val="000B6D75"/>
    <w:rsid w:val="000B6E2E"/>
    <w:rsid w:val="000B6E87"/>
    <w:rsid w:val="000B6F89"/>
    <w:rsid w:val="000B70BE"/>
    <w:rsid w:val="000B7109"/>
    <w:rsid w:val="000B74F0"/>
    <w:rsid w:val="000B7966"/>
    <w:rsid w:val="000B79C8"/>
    <w:rsid w:val="000B7B59"/>
    <w:rsid w:val="000B7BD1"/>
    <w:rsid w:val="000B7C7E"/>
    <w:rsid w:val="000B7E1F"/>
    <w:rsid w:val="000C0018"/>
    <w:rsid w:val="000C010D"/>
    <w:rsid w:val="000C02CB"/>
    <w:rsid w:val="000C02CE"/>
    <w:rsid w:val="000C0454"/>
    <w:rsid w:val="000C073D"/>
    <w:rsid w:val="000C089E"/>
    <w:rsid w:val="000C08D9"/>
    <w:rsid w:val="000C098B"/>
    <w:rsid w:val="000C0A9A"/>
    <w:rsid w:val="000C0CAB"/>
    <w:rsid w:val="000C0D6A"/>
    <w:rsid w:val="000C0E3B"/>
    <w:rsid w:val="000C0E40"/>
    <w:rsid w:val="000C1273"/>
    <w:rsid w:val="000C171F"/>
    <w:rsid w:val="000C1805"/>
    <w:rsid w:val="000C1BD7"/>
    <w:rsid w:val="000C1D07"/>
    <w:rsid w:val="000C1F17"/>
    <w:rsid w:val="000C1F52"/>
    <w:rsid w:val="000C2208"/>
    <w:rsid w:val="000C2444"/>
    <w:rsid w:val="000C25A1"/>
    <w:rsid w:val="000C268D"/>
    <w:rsid w:val="000C26D8"/>
    <w:rsid w:val="000C2716"/>
    <w:rsid w:val="000C285E"/>
    <w:rsid w:val="000C2D12"/>
    <w:rsid w:val="000C31BE"/>
    <w:rsid w:val="000C346F"/>
    <w:rsid w:val="000C3763"/>
    <w:rsid w:val="000C3851"/>
    <w:rsid w:val="000C38E9"/>
    <w:rsid w:val="000C3954"/>
    <w:rsid w:val="000C3955"/>
    <w:rsid w:val="000C3A6F"/>
    <w:rsid w:val="000C3B65"/>
    <w:rsid w:val="000C3D23"/>
    <w:rsid w:val="000C4125"/>
    <w:rsid w:val="000C41CA"/>
    <w:rsid w:val="000C42EE"/>
    <w:rsid w:val="000C43B8"/>
    <w:rsid w:val="000C45C0"/>
    <w:rsid w:val="000C45ED"/>
    <w:rsid w:val="000C4727"/>
    <w:rsid w:val="000C473F"/>
    <w:rsid w:val="000C48F1"/>
    <w:rsid w:val="000C4C24"/>
    <w:rsid w:val="000C4D78"/>
    <w:rsid w:val="000C4E0E"/>
    <w:rsid w:val="000C50A9"/>
    <w:rsid w:val="000C5142"/>
    <w:rsid w:val="000C5157"/>
    <w:rsid w:val="000C5619"/>
    <w:rsid w:val="000C5810"/>
    <w:rsid w:val="000C59CA"/>
    <w:rsid w:val="000C5A7E"/>
    <w:rsid w:val="000C5B74"/>
    <w:rsid w:val="000C5BA5"/>
    <w:rsid w:val="000C5BD0"/>
    <w:rsid w:val="000C609C"/>
    <w:rsid w:val="000C659D"/>
    <w:rsid w:val="000C6893"/>
    <w:rsid w:val="000C6A64"/>
    <w:rsid w:val="000C6B8A"/>
    <w:rsid w:val="000C6E0A"/>
    <w:rsid w:val="000C6F1E"/>
    <w:rsid w:val="000C74AF"/>
    <w:rsid w:val="000C75D2"/>
    <w:rsid w:val="000C7B6D"/>
    <w:rsid w:val="000D022D"/>
    <w:rsid w:val="000D05C5"/>
    <w:rsid w:val="000D0AF2"/>
    <w:rsid w:val="000D0CE4"/>
    <w:rsid w:val="000D0E24"/>
    <w:rsid w:val="000D0F2F"/>
    <w:rsid w:val="000D0F94"/>
    <w:rsid w:val="000D11B9"/>
    <w:rsid w:val="000D1470"/>
    <w:rsid w:val="000D168C"/>
    <w:rsid w:val="000D16AA"/>
    <w:rsid w:val="000D191C"/>
    <w:rsid w:val="000D1936"/>
    <w:rsid w:val="000D1985"/>
    <w:rsid w:val="000D1B12"/>
    <w:rsid w:val="000D1DAF"/>
    <w:rsid w:val="000D262C"/>
    <w:rsid w:val="000D2778"/>
    <w:rsid w:val="000D281E"/>
    <w:rsid w:val="000D28F1"/>
    <w:rsid w:val="000D2A09"/>
    <w:rsid w:val="000D2A23"/>
    <w:rsid w:val="000D2EB4"/>
    <w:rsid w:val="000D2FB9"/>
    <w:rsid w:val="000D3113"/>
    <w:rsid w:val="000D33FC"/>
    <w:rsid w:val="000D343D"/>
    <w:rsid w:val="000D362D"/>
    <w:rsid w:val="000D3781"/>
    <w:rsid w:val="000D3AF7"/>
    <w:rsid w:val="000D3D13"/>
    <w:rsid w:val="000D3DBF"/>
    <w:rsid w:val="000D4081"/>
    <w:rsid w:val="000D40BB"/>
    <w:rsid w:val="000D46C8"/>
    <w:rsid w:val="000D4771"/>
    <w:rsid w:val="000D4891"/>
    <w:rsid w:val="000D49C3"/>
    <w:rsid w:val="000D49EF"/>
    <w:rsid w:val="000D4A5C"/>
    <w:rsid w:val="000D4A8C"/>
    <w:rsid w:val="000D4FCD"/>
    <w:rsid w:val="000D50E3"/>
    <w:rsid w:val="000D51C2"/>
    <w:rsid w:val="000D527B"/>
    <w:rsid w:val="000D575F"/>
    <w:rsid w:val="000D5911"/>
    <w:rsid w:val="000D5AA8"/>
    <w:rsid w:val="000D5C0F"/>
    <w:rsid w:val="000D5EAA"/>
    <w:rsid w:val="000D603B"/>
    <w:rsid w:val="000D619E"/>
    <w:rsid w:val="000D622E"/>
    <w:rsid w:val="000D6590"/>
    <w:rsid w:val="000D65AE"/>
    <w:rsid w:val="000D6E9A"/>
    <w:rsid w:val="000D7292"/>
    <w:rsid w:val="000D72EE"/>
    <w:rsid w:val="000D7306"/>
    <w:rsid w:val="000D7A37"/>
    <w:rsid w:val="000E028F"/>
    <w:rsid w:val="000E0AD8"/>
    <w:rsid w:val="000E0FEA"/>
    <w:rsid w:val="000E1050"/>
    <w:rsid w:val="000E12DA"/>
    <w:rsid w:val="000E14DF"/>
    <w:rsid w:val="000E15D5"/>
    <w:rsid w:val="000E186F"/>
    <w:rsid w:val="000E1A84"/>
    <w:rsid w:val="000E1E18"/>
    <w:rsid w:val="000E1EB5"/>
    <w:rsid w:val="000E225B"/>
    <w:rsid w:val="000E2658"/>
    <w:rsid w:val="000E27F0"/>
    <w:rsid w:val="000E2C6D"/>
    <w:rsid w:val="000E2D5D"/>
    <w:rsid w:val="000E2F26"/>
    <w:rsid w:val="000E3108"/>
    <w:rsid w:val="000E3118"/>
    <w:rsid w:val="000E31BE"/>
    <w:rsid w:val="000E3531"/>
    <w:rsid w:val="000E3A4C"/>
    <w:rsid w:val="000E3C69"/>
    <w:rsid w:val="000E3D5D"/>
    <w:rsid w:val="000E3FC6"/>
    <w:rsid w:val="000E410D"/>
    <w:rsid w:val="000E4145"/>
    <w:rsid w:val="000E415A"/>
    <w:rsid w:val="000E4171"/>
    <w:rsid w:val="000E424C"/>
    <w:rsid w:val="000E4299"/>
    <w:rsid w:val="000E4382"/>
    <w:rsid w:val="000E43B8"/>
    <w:rsid w:val="000E4922"/>
    <w:rsid w:val="000E4A74"/>
    <w:rsid w:val="000E4B3D"/>
    <w:rsid w:val="000E4D97"/>
    <w:rsid w:val="000E4EE2"/>
    <w:rsid w:val="000E4FAD"/>
    <w:rsid w:val="000E5052"/>
    <w:rsid w:val="000E52C1"/>
    <w:rsid w:val="000E5330"/>
    <w:rsid w:val="000E554D"/>
    <w:rsid w:val="000E557A"/>
    <w:rsid w:val="000E5634"/>
    <w:rsid w:val="000E5707"/>
    <w:rsid w:val="000E5E4B"/>
    <w:rsid w:val="000E60F5"/>
    <w:rsid w:val="000E6152"/>
    <w:rsid w:val="000E6193"/>
    <w:rsid w:val="000E63E4"/>
    <w:rsid w:val="000E644F"/>
    <w:rsid w:val="000E65EB"/>
    <w:rsid w:val="000E6656"/>
    <w:rsid w:val="000E681E"/>
    <w:rsid w:val="000E687A"/>
    <w:rsid w:val="000E68AF"/>
    <w:rsid w:val="000E6D09"/>
    <w:rsid w:val="000E6D39"/>
    <w:rsid w:val="000E6E12"/>
    <w:rsid w:val="000E702D"/>
    <w:rsid w:val="000E717E"/>
    <w:rsid w:val="000E7326"/>
    <w:rsid w:val="000E7385"/>
    <w:rsid w:val="000E73F8"/>
    <w:rsid w:val="000E742F"/>
    <w:rsid w:val="000E75F7"/>
    <w:rsid w:val="000E7626"/>
    <w:rsid w:val="000E7850"/>
    <w:rsid w:val="000E7CA0"/>
    <w:rsid w:val="000F01E1"/>
    <w:rsid w:val="000F01F3"/>
    <w:rsid w:val="000F035D"/>
    <w:rsid w:val="000F067C"/>
    <w:rsid w:val="000F08CE"/>
    <w:rsid w:val="000F0E32"/>
    <w:rsid w:val="000F0E40"/>
    <w:rsid w:val="000F1060"/>
    <w:rsid w:val="000F1085"/>
    <w:rsid w:val="000F1394"/>
    <w:rsid w:val="000F153D"/>
    <w:rsid w:val="000F18B2"/>
    <w:rsid w:val="000F1C67"/>
    <w:rsid w:val="000F1CC5"/>
    <w:rsid w:val="000F1E2D"/>
    <w:rsid w:val="000F1E82"/>
    <w:rsid w:val="000F1EFA"/>
    <w:rsid w:val="000F1F81"/>
    <w:rsid w:val="000F2402"/>
    <w:rsid w:val="000F2605"/>
    <w:rsid w:val="000F2766"/>
    <w:rsid w:val="000F28A9"/>
    <w:rsid w:val="000F2915"/>
    <w:rsid w:val="000F29F5"/>
    <w:rsid w:val="000F2ACC"/>
    <w:rsid w:val="000F2DD2"/>
    <w:rsid w:val="000F2F9F"/>
    <w:rsid w:val="000F310B"/>
    <w:rsid w:val="000F32A8"/>
    <w:rsid w:val="000F32B6"/>
    <w:rsid w:val="000F364D"/>
    <w:rsid w:val="000F37F8"/>
    <w:rsid w:val="000F3A02"/>
    <w:rsid w:val="000F3AEA"/>
    <w:rsid w:val="000F3D4B"/>
    <w:rsid w:val="000F3FA4"/>
    <w:rsid w:val="000F40C3"/>
    <w:rsid w:val="000F48DE"/>
    <w:rsid w:val="000F4A7B"/>
    <w:rsid w:val="000F4AF1"/>
    <w:rsid w:val="000F4D8D"/>
    <w:rsid w:val="000F4E91"/>
    <w:rsid w:val="000F513B"/>
    <w:rsid w:val="000F51A0"/>
    <w:rsid w:val="000F524F"/>
    <w:rsid w:val="000F5342"/>
    <w:rsid w:val="000F54FD"/>
    <w:rsid w:val="000F5713"/>
    <w:rsid w:val="000F5758"/>
    <w:rsid w:val="000F5774"/>
    <w:rsid w:val="000F59B0"/>
    <w:rsid w:val="000F5A32"/>
    <w:rsid w:val="000F5BA6"/>
    <w:rsid w:val="000F5D34"/>
    <w:rsid w:val="000F600E"/>
    <w:rsid w:val="000F6632"/>
    <w:rsid w:val="000F689D"/>
    <w:rsid w:val="000F6A3F"/>
    <w:rsid w:val="000F6AE7"/>
    <w:rsid w:val="000F6B60"/>
    <w:rsid w:val="000F6E0F"/>
    <w:rsid w:val="000F6EEA"/>
    <w:rsid w:val="000F6FB8"/>
    <w:rsid w:val="000F70C0"/>
    <w:rsid w:val="000F715C"/>
    <w:rsid w:val="000F7234"/>
    <w:rsid w:val="000F7248"/>
    <w:rsid w:val="000F72BF"/>
    <w:rsid w:val="000F7800"/>
    <w:rsid w:val="000F7817"/>
    <w:rsid w:val="000F7BC7"/>
    <w:rsid w:val="000F7DA2"/>
    <w:rsid w:val="000F7F99"/>
    <w:rsid w:val="000F7FE8"/>
    <w:rsid w:val="0010040B"/>
    <w:rsid w:val="001004DC"/>
    <w:rsid w:val="001004E7"/>
    <w:rsid w:val="0010050F"/>
    <w:rsid w:val="00100679"/>
    <w:rsid w:val="0010094D"/>
    <w:rsid w:val="00100C85"/>
    <w:rsid w:val="00100EBB"/>
    <w:rsid w:val="00100EE3"/>
    <w:rsid w:val="00101235"/>
    <w:rsid w:val="001013CE"/>
    <w:rsid w:val="00101421"/>
    <w:rsid w:val="001017B8"/>
    <w:rsid w:val="00101CB8"/>
    <w:rsid w:val="0010247F"/>
    <w:rsid w:val="001029D2"/>
    <w:rsid w:val="00102C6A"/>
    <w:rsid w:val="00103132"/>
    <w:rsid w:val="001031EE"/>
    <w:rsid w:val="0010326A"/>
    <w:rsid w:val="00103285"/>
    <w:rsid w:val="0010344E"/>
    <w:rsid w:val="00103933"/>
    <w:rsid w:val="00103979"/>
    <w:rsid w:val="00103A9A"/>
    <w:rsid w:val="00103AEF"/>
    <w:rsid w:val="00103C2E"/>
    <w:rsid w:val="00103F8B"/>
    <w:rsid w:val="001044A9"/>
    <w:rsid w:val="001045A3"/>
    <w:rsid w:val="001045E5"/>
    <w:rsid w:val="00104730"/>
    <w:rsid w:val="00104BCF"/>
    <w:rsid w:val="00104CC0"/>
    <w:rsid w:val="001050C3"/>
    <w:rsid w:val="00105388"/>
    <w:rsid w:val="00105394"/>
    <w:rsid w:val="00105827"/>
    <w:rsid w:val="00105844"/>
    <w:rsid w:val="00105A7D"/>
    <w:rsid w:val="00105B4D"/>
    <w:rsid w:val="00105C3C"/>
    <w:rsid w:val="00105EAC"/>
    <w:rsid w:val="0010637E"/>
    <w:rsid w:val="00106394"/>
    <w:rsid w:val="00106839"/>
    <w:rsid w:val="00106872"/>
    <w:rsid w:val="00106AAE"/>
    <w:rsid w:val="00106B59"/>
    <w:rsid w:val="00106E69"/>
    <w:rsid w:val="00106E80"/>
    <w:rsid w:val="00106EA8"/>
    <w:rsid w:val="00106EF2"/>
    <w:rsid w:val="00106F7E"/>
    <w:rsid w:val="00107020"/>
    <w:rsid w:val="00107174"/>
    <w:rsid w:val="001079D3"/>
    <w:rsid w:val="00107C49"/>
    <w:rsid w:val="00107C7A"/>
    <w:rsid w:val="00107CBA"/>
    <w:rsid w:val="00107F54"/>
    <w:rsid w:val="00110477"/>
    <w:rsid w:val="00110541"/>
    <w:rsid w:val="001105B3"/>
    <w:rsid w:val="001105D4"/>
    <w:rsid w:val="00110869"/>
    <w:rsid w:val="00110A72"/>
    <w:rsid w:val="00110B01"/>
    <w:rsid w:val="00110B39"/>
    <w:rsid w:val="00110BDF"/>
    <w:rsid w:val="00110E11"/>
    <w:rsid w:val="001110D5"/>
    <w:rsid w:val="0011142A"/>
    <w:rsid w:val="001114D4"/>
    <w:rsid w:val="001114E8"/>
    <w:rsid w:val="00111660"/>
    <w:rsid w:val="001118E9"/>
    <w:rsid w:val="00111B27"/>
    <w:rsid w:val="00111E4B"/>
    <w:rsid w:val="00111F45"/>
    <w:rsid w:val="0011233B"/>
    <w:rsid w:val="0011234B"/>
    <w:rsid w:val="001123DA"/>
    <w:rsid w:val="00112614"/>
    <w:rsid w:val="00112797"/>
    <w:rsid w:val="0011298A"/>
    <w:rsid w:val="001129EF"/>
    <w:rsid w:val="00112D16"/>
    <w:rsid w:val="00112EDE"/>
    <w:rsid w:val="00112EEC"/>
    <w:rsid w:val="00112EF3"/>
    <w:rsid w:val="00113244"/>
    <w:rsid w:val="001132B5"/>
    <w:rsid w:val="001133BC"/>
    <w:rsid w:val="00113BB7"/>
    <w:rsid w:val="00113EA2"/>
    <w:rsid w:val="00113EB7"/>
    <w:rsid w:val="00113F5A"/>
    <w:rsid w:val="00113FEA"/>
    <w:rsid w:val="00114354"/>
    <w:rsid w:val="0011440D"/>
    <w:rsid w:val="001147B1"/>
    <w:rsid w:val="0011499D"/>
    <w:rsid w:val="00114B59"/>
    <w:rsid w:val="00114B63"/>
    <w:rsid w:val="00114C5E"/>
    <w:rsid w:val="00114D1D"/>
    <w:rsid w:val="00114DA7"/>
    <w:rsid w:val="00114ED1"/>
    <w:rsid w:val="00114F51"/>
    <w:rsid w:val="001151C6"/>
    <w:rsid w:val="001152C3"/>
    <w:rsid w:val="0011553B"/>
    <w:rsid w:val="0011588E"/>
    <w:rsid w:val="00115A09"/>
    <w:rsid w:val="00115A55"/>
    <w:rsid w:val="00115D43"/>
    <w:rsid w:val="00115E41"/>
    <w:rsid w:val="00115F95"/>
    <w:rsid w:val="001166B2"/>
    <w:rsid w:val="001166ED"/>
    <w:rsid w:val="00116758"/>
    <w:rsid w:val="00116D5F"/>
    <w:rsid w:val="00116DA0"/>
    <w:rsid w:val="00116E10"/>
    <w:rsid w:val="001176F5"/>
    <w:rsid w:val="001179BE"/>
    <w:rsid w:val="00117C54"/>
    <w:rsid w:val="00117DD2"/>
    <w:rsid w:val="00117F5F"/>
    <w:rsid w:val="0012005D"/>
    <w:rsid w:val="00120068"/>
    <w:rsid w:val="001200DF"/>
    <w:rsid w:val="00120380"/>
    <w:rsid w:val="001204F2"/>
    <w:rsid w:val="001209F3"/>
    <w:rsid w:val="00120A8B"/>
    <w:rsid w:val="00120B2F"/>
    <w:rsid w:val="00120C33"/>
    <w:rsid w:val="00120E0A"/>
    <w:rsid w:val="00120E2C"/>
    <w:rsid w:val="00121159"/>
    <w:rsid w:val="0012124D"/>
    <w:rsid w:val="00121523"/>
    <w:rsid w:val="00121622"/>
    <w:rsid w:val="001217B5"/>
    <w:rsid w:val="0012182B"/>
    <w:rsid w:val="00121F49"/>
    <w:rsid w:val="00121F59"/>
    <w:rsid w:val="00122061"/>
    <w:rsid w:val="001220C6"/>
    <w:rsid w:val="0012257C"/>
    <w:rsid w:val="0012263A"/>
    <w:rsid w:val="001227EE"/>
    <w:rsid w:val="00122C57"/>
    <w:rsid w:val="00122CE6"/>
    <w:rsid w:val="0012303B"/>
    <w:rsid w:val="001230C7"/>
    <w:rsid w:val="001233D2"/>
    <w:rsid w:val="00123451"/>
    <w:rsid w:val="00123457"/>
    <w:rsid w:val="00123469"/>
    <w:rsid w:val="00123756"/>
    <w:rsid w:val="001237F8"/>
    <w:rsid w:val="0012398D"/>
    <w:rsid w:val="00123D7E"/>
    <w:rsid w:val="00123F42"/>
    <w:rsid w:val="00124281"/>
    <w:rsid w:val="00124579"/>
    <w:rsid w:val="001249B0"/>
    <w:rsid w:val="00124C4F"/>
    <w:rsid w:val="00124D97"/>
    <w:rsid w:val="00124DAC"/>
    <w:rsid w:val="00124E51"/>
    <w:rsid w:val="00124EAC"/>
    <w:rsid w:val="00124F98"/>
    <w:rsid w:val="001250BB"/>
    <w:rsid w:val="00125113"/>
    <w:rsid w:val="00125225"/>
    <w:rsid w:val="001256AE"/>
    <w:rsid w:val="0012571F"/>
    <w:rsid w:val="001257BF"/>
    <w:rsid w:val="00125E6E"/>
    <w:rsid w:val="00125EBE"/>
    <w:rsid w:val="00125FBE"/>
    <w:rsid w:val="00125FC4"/>
    <w:rsid w:val="001261E9"/>
    <w:rsid w:val="001262DE"/>
    <w:rsid w:val="00126382"/>
    <w:rsid w:val="001263B0"/>
    <w:rsid w:val="00126400"/>
    <w:rsid w:val="0012658A"/>
    <w:rsid w:val="001265B8"/>
    <w:rsid w:val="0012689B"/>
    <w:rsid w:val="001268F4"/>
    <w:rsid w:val="00126B85"/>
    <w:rsid w:val="00126C84"/>
    <w:rsid w:val="00126EB5"/>
    <w:rsid w:val="00126EF5"/>
    <w:rsid w:val="00126FD1"/>
    <w:rsid w:val="00127068"/>
    <w:rsid w:val="00127369"/>
    <w:rsid w:val="0012749C"/>
    <w:rsid w:val="0012758D"/>
    <w:rsid w:val="00127702"/>
    <w:rsid w:val="001278F1"/>
    <w:rsid w:val="00127938"/>
    <w:rsid w:val="001279EA"/>
    <w:rsid w:val="00127A28"/>
    <w:rsid w:val="00127CEE"/>
    <w:rsid w:val="00130190"/>
    <w:rsid w:val="0013023B"/>
    <w:rsid w:val="00130576"/>
    <w:rsid w:val="00130578"/>
    <w:rsid w:val="001305E3"/>
    <w:rsid w:val="001306E6"/>
    <w:rsid w:val="001306F8"/>
    <w:rsid w:val="001307E4"/>
    <w:rsid w:val="00130B12"/>
    <w:rsid w:val="00130BE6"/>
    <w:rsid w:val="001310D7"/>
    <w:rsid w:val="0013112F"/>
    <w:rsid w:val="00131179"/>
    <w:rsid w:val="0013138E"/>
    <w:rsid w:val="00131659"/>
    <w:rsid w:val="001316B4"/>
    <w:rsid w:val="00131A31"/>
    <w:rsid w:val="00131FBE"/>
    <w:rsid w:val="00132190"/>
    <w:rsid w:val="001321C2"/>
    <w:rsid w:val="00132487"/>
    <w:rsid w:val="0013297A"/>
    <w:rsid w:val="00132CD8"/>
    <w:rsid w:val="00132E0D"/>
    <w:rsid w:val="00132E75"/>
    <w:rsid w:val="00133373"/>
    <w:rsid w:val="0013357C"/>
    <w:rsid w:val="00133A05"/>
    <w:rsid w:val="00133ACC"/>
    <w:rsid w:val="00133B3F"/>
    <w:rsid w:val="00133F5B"/>
    <w:rsid w:val="00133FAE"/>
    <w:rsid w:val="00134144"/>
    <w:rsid w:val="00134234"/>
    <w:rsid w:val="0013425E"/>
    <w:rsid w:val="00134545"/>
    <w:rsid w:val="001345A9"/>
    <w:rsid w:val="0013470F"/>
    <w:rsid w:val="001347A9"/>
    <w:rsid w:val="001347D6"/>
    <w:rsid w:val="00134A17"/>
    <w:rsid w:val="00134AB7"/>
    <w:rsid w:val="00134B1E"/>
    <w:rsid w:val="00134CB1"/>
    <w:rsid w:val="00134DB1"/>
    <w:rsid w:val="0013564C"/>
    <w:rsid w:val="001356F8"/>
    <w:rsid w:val="0013587F"/>
    <w:rsid w:val="00135891"/>
    <w:rsid w:val="00135915"/>
    <w:rsid w:val="00135AD2"/>
    <w:rsid w:val="00135DF0"/>
    <w:rsid w:val="00135FBA"/>
    <w:rsid w:val="001361DF"/>
    <w:rsid w:val="00136436"/>
    <w:rsid w:val="001364C6"/>
    <w:rsid w:val="0013655D"/>
    <w:rsid w:val="00136693"/>
    <w:rsid w:val="00136868"/>
    <w:rsid w:val="00136B2E"/>
    <w:rsid w:val="00136CE2"/>
    <w:rsid w:val="00136FD9"/>
    <w:rsid w:val="00137236"/>
    <w:rsid w:val="00137747"/>
    <w:rsid w:val="00137947"/>
    <w:rsid w:val="00137A77"/>
    <w:rsid w:val="00137DCB"/>
    <w:rsid w:val="00137FD2"/>
    <w:rsid w:val="001401D2"/>
    <w:rsid w:val="00140205"/>
    <w:rsid w:val="001408BC"/>
    <w:rsid w:val="00140B54"/>
    <w:rsid w:val="00140B6F"/>
    <w:rsid w:val="00140C5D"/>
    <w:rsid w:val="00140C62"/>
    <w:rsid w:val="00140D53"/>
    <w:rsid w:val="00140D6E"/>
    <w:rsid w:val="00140E4E"/>
    <w:rsid w:val="00140EA9"/>
    <w:rsid w:val="00140EF2"/>
    <w:rsid w:val="00140F10"/>
    <w:rsid w:val="0014115A"/>
    <w:rsid w:val="001413C4"/>
    <w:rsid w:val="001413EE"/>
    <w:rsid w:val="00141CB2"/>
    <w:rsid w:val="00141E01"/>
    <w:rsid w:val="00142227"/>
    <w:rsid w:val="0014227C"/>
    <w:rsid w:val="001422E9"/>
    <w:rsid w:val="00142532"/>
    <w:rsid w:val="00142D1A"/>
    <w:rsid w:val="00142EF0"/>
    <w:rsid w:val="001430F9"/>
    <w:rsid w:val="001431C4"/>
    <w:rsid w:val="0014335A"/>
    <w:rsid w:val="001433C8"/>
    <w:rsid w:val="0014343E"/>
    <w:rsid w:val="001434A1"/>
    <w:rsid w:val="001438AC"/>
    <w:rsid w:val="00143C4D"/>
    <w:rsid w:val="00144134"/>
    <w:rsid w:val="0014415F"/>
    <w:rsid w:val="00144171"/>
    <w:rsid w:val="001446E3"/>
    <w:rsid w:val="001447CA"/>
    <w:rsid w:val="001449A4"/>
    <w:rsid w:val="00144ACD"/>
    <w:rsid w:val="00144B23"/>
    <w:rsid w:val="00144BF6"/>
    <w:rsid w:val="00144C55"/>
    <w:rsid w:val="00144CF9"/>
    <w:rsid w:val="00144DB6"/>
    <w:rsid w:val="00144FEF"/>
    <w:rsid w:val="00145063"/>
    <w:rsid w:val="001453DE"/>
    <w:rsid w:val="001458A2"/>
    <w:rsid w:val="00145A95"/>
    <w:rsid w:val="00145BA4"/>
    <w:rsid w:val="00146082"/>
    <w:rsid w:val="00146127"/>
    <w:rsid w:val="00146208"/>
    <w:rsid w:val="00146210"/>
    <w:rsid w:val="001465BD"/>
    <w:rsid w:val="001466E2"/>
    <w:rsid w:val="00146E06"/>
    <w:rsid w:val="00146E0E"/>
    <w:rsid w:val="00146E4C"/>
    <w:rsid w:val="001474AC"/>
    <w:rsid w:val="0014786E"/>
    <w:rsid w:val="0014797C"/>
    <w:rsid w:val="001479C9"/>
    <w:rsid w:val="00147B73"/>
    <w:rsid w:val="00147C79"/>
    <w:rsid w:val="00147E38"/>
    <w:rsid w:val="001501D0"/>
    <w:rsid w:val="00150274"/>
    <w:rsid w:val="0015076E"/>
    <w:rsid w:val="0015090C"/>
    <w:rsid w:val="0015104D"/>
    <w:rsid w:val="001511ED"/>
    <w:rsid w:val="00151377"/>
    <w:rsid w:val="00151482"/>
    <w:rsid w:val="001515F8"/>
    <w:rsid w:val="00151C2B"/>
    <w:rsid w:val="00151DBD"/>
    <w:rsid w:val="00152128"/>
    <w:rsid w:val="00152476"/>
    <w:rsid w:val="001529B7"/>
    <w:rsid w:val="00152C24"/>
    <w:rsid w:val="00152CFB"/>
    <w:rsid w:val="00153088"/>
    <w:rsid w:val="0015330B"/>
    <w:rsid w:val="00153630"/>
    <w:rsid w:val="001536CE"/>
    <w:rsid w:val="001539E7"/>
    <w:rsid w:val="00153D47"/>
    <w:rsid w:val="00153F8C"/>
    <w:rsid w:val="00153F92"/>
    <w:rsid w:val="00154085"/>
    <w:rsid w:val="001541D4"/>
    <w:rsid w:val="001542AF"/>
    <w:rsid w:val="001542E8"/>
    <w:rsid w:val="0015434C"/>
    <w:rsid w:val="0015441A"/>
    <w:rsid w:val="00154525"/>
    <w:rsid w:val="00154579"/>
    <w:rsid w:val="00154650"/>
    <w:rsid w:val="001549BA"/>
    <w:rsid w:val="00154DE4"/>
    <w:rsid w:val="00154E3C"/>
    <w:rsid w:val="00154F6F"/>
    <w:rsid w:val="001554C1"/>
    <w:rsid w:val="00155613"/>
    <w:rsid w:val="00155773"/>
    <w:rsid w:val="00155AE7"/>
    <w:rsid w:val="00155CF4"/>
    <w:rsid w:val="00155DC8"/>
    <w:rsid w:val="00155E6C"/>
    <w:rsid w:val="00155F40"/>
    <w:rsid w:val="00156777"/>
    <w:rsid w:val="00156B35"/>
    <w:rsid w:val="00156B43"/>
    <w:rsid w:val="00156FC4"/>
    <w:rsid w:val="001570C8"/>
    <w:rsid w:val="00157175"/>
    <w:rsid w:val="00157838"/>
    <w:rsid w:val="00157890"/>
    <w:rsid w:val="001579A7"/>
    <w:rsid w:val="00157A98"/>
    <w:rsid w:val="00157C93"/>
    <w:rsid w:val="00157E6E"/>
    <w:rsid w:val="00157FCA"/>
    <w:rsid w:val="0016016D"/>
    <w:rsid w:val="001601BF"/>
    <w:rsid w:val="00160202"/>
    <w:rsid w:val="00160230"/>
    <w:rsid w:val="00160292"/>
    <w:rsid w:val="0016036E"/>
    <w:rsid w:val="00160590"/>
    <w:rsid w:val="0016060B"/>
    <w:rsid w:val="001606BA"/>
    <w:rsid w:val="00160A26"/>
    <w:rsid w:val="00160A51"/>
    <w:rsid w:val="00160A9B"/>
    <w:rsid w:val="00160B59"/>
    <w:rsid w:val="00160B60"/>
    <w:rsid w:val="00160C67"/>
    <w:rsid w:val="00160D36"/>
    <w:rsid w:val="0016130D"/>
    <w:rsid w:val="001613CB"/>
    <w:rsid w:val="00161697"/>
    <w:rsid w:val="0016170C"/>
    <w:rsid w:val="001617D2"/>
    <w:rsid w:val="0016184F"/>
    <w:rsid w:val="00161960"/>
    <w:rsid w:val="00161A38"/>
    <w:rsid w:val="00161F89"/>
    <w:rsid w:val="0016268C"/>
    <w:rsid w:val="001627ED"/>
    <w:rsid w:val="00162817"/>
    <w:rsid w:val="001629C1"/>
    <w:rsid w:val="00162A50"/>
    <w:rsid w:val="00162AE7"/>
    <w:rsid w:val="00162F06"/>
    <w:rsid w:val="00162F80"/>
    <w:rsid w:val="0016301E"/>
    <w:rsid w:val="001630C7"/>
    <w:rsid w:val="0016312B"/>
    <w:rsid w:val="001632B2"/>
    <w:rsid w:val="001634B8"/>
    <w:rsid w:val="0016362E"/>
    <w:rsid w:val="00163969"/>
    <w:rsid w:val="001639B4"/>
    <w:rsid w:val="00163B58"/>
    <w:rsid w:val="00163F9A"/>
    <w:rsid w:val="0016405A"/>
    <w:rsid w:val="00164099"/>
    <w:rsid w:val="001640FA"/>
    <w:rsid w:val="00164246"/>
    <w:rsid w:val="0016475B"/>
    <w:rsid w:val="001647BD"/>
    <w:rsid w:val="0016492F"/>
    <w:rsid w:val="001649BF"/>
    <w:rsid w:val="001649D1"/>
    <w:rsid w:val="00164AFB"/>
    <w:rsid w:val="00164B22"/>
    <w:rsid w:val="00164D5F"/>
    <w:rsid w:val="00164F5A"/>
    <w:rsid w:val="00164FD7"/>
    <w:rsid w:val="00165083"/>
    <w:rsid w:val="00165263"/>
    <w:rsid w:val="001652F8"/>
    <w:rsid w:val="001654A8"/>
    <w:rsid w:val="001654E8"/>
    <w:rsid w:val="00165792"/>
    <w:rsid w:val="00165A39"/>
    <w:rsid w:val="00165E4D"/>
    <w:rsid w:val="00165FAB"/>
    <w:rsid w:val="0016605D"/>
    <w:rsid w:val="00166102"/>
    <w:rsid w:val="00166EDA"/>
    <w:rsid w:val="0016719F"/>
    <w:rsid w:val="00167496"/>
    <w:rsid w:val="00167CEF"/>
    <w:rsid w:val="00167D59"/>
    <w:rsid w:val="00167F73"/>
    <w:rsid w:val="00170861"/>
    <w:rsid w:val="001709BF"/>
    <w:rsid w:val="00170A1E"/>
    <w:rsid w:val="00170B54"/>
    <w:rsid w:val="00170CA7"/>
    <w:rsid w:val="00170D7C"/>
    <w:rsid w:val="00170DE1"/>
    <w:rsid w:val="00170E6E"/>
    <w:rsid w:val="00170F30"/>
    <w:rsid w:val="00171674"/>
    <w:rsid w:val="00171698"/>
    <w:rsid w:val="00171A79"/>
    <w:rsid w:val="00171C81"/>
    <w:rsid w:val="00171F3B"/>
    <w:rsid w:val="00171F7E"/>
    <w:rsid w:val="00171F8D"/>
    <w:rsid w:val="001720D5"/>
    <w:rsid w:val="001725A3"/>
    <w:rsid w:val="001726B3"/>
    <w:rsid w:val="00172866"/>
    <w:rsid w:val="001728B2"/>
    <w:rsid w:val="00172AF9"/>
    <w:rsid w:val="00172BC3"/>
    <w:rsid w:val="00172C68"/>
    <w:rsid w:val="00172D1E"/>
    <w:rsid w:val="001731A9"/>
    <w:rsid w:val="001733FD"/>
    <w:rsid w:val="001734D9"/>
    <w:rsid w:val="00173B0A"/>
    <w:rsid w:val="00173C48"/>
    <w:rsid w:val="00173EDF"/>
    <w:rsid w:val="00173F7B"/>
    <w:rsid w:val="001743DD"/>
    <w:rsid w:val="00174450"/>
    <w:rsid w:val="00174475"/>
    <w:rsid w:val="001744B7"/>
    <w:rsid w:val="001747B1"/>
    <w:rsid w:val="001748A5"/>
    <w:rsid w:val="001748AA"/>
    <w:rsid w:val="00174E7D"/>
    <w:rsid w:val="00174F1F"/>
    <w:rsid w:val="00174F50"/>
    <w:rsid w:val="00175312"/>
    <w:rsid w:val="001755D1"/>
    <w:rsid w:val="0017568B"/>
    <w:rsid w:val="001756F6"/>
    <w:rsid w:val="00175959"/>
    <w:rsid w:val="001759A7"/>
    <w:rsid w:val="00175B89"/>
    <w:rsid w:val="00175D14"/>
    <w:rsid w:val="00175DDF"/>
    <w:rsid w:val="001761B7"/>
    <w:rsid w:val="00176923"/>
    <w:rsid w:val="00176959"/>
    <w:rsid w:val="00176A77"/>
    <w:rsid w:val="00176B86"/>
    <w:rsid w:val="00177155"/>
    <w:rsid w:val="0017716E"/>
    <w:rsid w:val="00177678"/>
    <w:rsid w:val="00177792"/>
    <w:rsid w:val="0017780B"/>
    <w:rsid w:val="00177964"/>
    <w:rsid w:val="00177A6D"/>
    <w:rsid w:val="00177B31"/>
    <w:rsid w:val="00177C5B"/>
    <w:rsid w:val="00177D7C"/>
    <w:rsid w:val="00177EDE"/>
    <w:rsid w:val="00177EE6"/>
    <w:rsid w:val="001801F0"/>
    <w:rsid w:val="00180589"/>
    <w:rsid w:val="00180595"/>
    <w:rsid w:val="001806DC"/>
    <w:rsid w:val="001807B6"/>
    <w:rsid w:val="00180814"/>
    <w:rsid w:val="001808A2"/>
    <w:rsid w:val="00180C96"/>
    <w:rsid w:val="001810DD"/>
    <w:rsid w:val="0018119E"/>
    <w:rsid w:val="00181330"/>
    <w:rsid w:val="00181403"/>
    <w:rsid w:val="001814E6"/>
    <w:rsid w:val="0018157D"/>
    <w:rsid w:val="00181643"/>
    <w:rsid w:val="0018175A"/>
    <w:rsid w:val="001817C2"/>
    <w:rsid w:val="0018182D"/>
    <w:rsid w:val="00181832"/>
    <w:rsid w:val="0018196F"/>
    <w:rsid w:val="00181B04"/>
    <w:rsid w:val="00181B45"/>
    <w:rsid w:val="00181B54"/>
    <w:rsid w:val="00181DA5"/>
    <w:rsid w:val="00181E6A"/>
    <w:rsid w:val="00182229"/>
    <w:rsid w:val="001823AE"/>
    <w:rsid w:val="0018267A"/>
    <w:rsid w:val="00182AFB"/>
    <w:rsid w:val="00182C1C"/>
    <w:rsid w:val="00182E33"/>
    <w:rsid w:val="00182E59"/>
    <w:rsid w:val="0018319F"/>
    <w:rsid w:val="001833B9"/>
    <w:rsid w:val="00183482"/>
    <w:rsid w:val="001834CC"/>
    <w:rsid w:val="0018364A"/>
    <w:rsid w:val="001837F8"/>
    <w:rsid w:val="00183AC3"/>
    <w:rsid w:val="00183BAB"/>
    <w:rsid w:val="00183DD6"/>
    <w:rsid w:val="00183F2C"/>
    <w:rsid w:val="001841AD"/>
    <w:rsid w:val="00184556"/>
    <w:rsid w:val="001846AD"/>
    <w:rsid w:val="00184A2C"/>
    <w:rsid w:val="00184C25"/>
    <w:rsid w:val="00184C49"/>
    <w:rsid w:val="00184D05"/>
    <w:rsid w:val="00184E52"/>
    <w:rsid w:val="00184E82"/>
    <w:rsid w:val="0018544A"/>
    <w:rsid w:val="001855F6"/>
    <w:rsid w:val="00185688"/>
    <w:rsid w:val="001857A6"/>
    <w:rsid w:val="001857DF"/>
    <w:rsid w:val="00185822"/>
    <w:rsid w:val="001859A3"/>
    <w:rsid w:val="001859F3"/>
    <w:rsid w:val="00185D19"/>
    <w:rsid w:val="001861C2"/>
    <w:rsid w:val="001863B5"/>
    <w:rsid w:val="001863F6"/>
    <w:rsid w:val="00186477"/>
    <w:rsid w:val="001864D4"/>
    <w:rsid w:val="0018657B"/>
    <w:rsid w:val="001866C3"/>
    <w:rsid w:val="001867F2"/>
    <w:rsid w:val="001869EE"/>
    <w:rsid w:val="00186C54"/>
    <w:rsid w:val="00186D70"/>
    <w:rsid w:val="00186F1D"/>
    <w:rsid w:val="0018709E"/>
    <w:rsid w:val="001875A8"/>
    <w:rsid w:val="001878BD"/>
    <w:rsid w:val="001879E2"/>
    <w:rsid w:val="00187AFB"/>
    <w:rsid w:val="00190076"/>
    <w:rsid w:val="00190113"/>
    <w:rsid w:val="00190233"/>
    <w:rsid w:val="001902E6"/>
    <w:rsid w:val="001905E8"/>
    <w:rsid w:val="00190B3A"/>
    <w:rsid w:val="00190C1B"/>
    <w:rsid w:val="00190C78"/>
    <w:rsid w:val="00191228"/>
    <w:rsid w:val="001912AC"/>
    <w:rsid w:val="001913A8"/>
    <w:rsid w:val="00191ED7"/>
    <w:rsid w:val="00191FB0"/>
    <w:rsid w:val="00191FB8"/>
    <w:rsid w:val="001922F2"/>
    <w:rsid w:val="00192389"/>
    <w:rsid w:val="00192506"/>
    <w:rsid w:val="00192737"/>
    <w:rsid w:val="001927AD"/>
    <w:rsid w:val="001928E3"/>
    <w:rsid w:val="00192AD0"/>
    <w:rsid w:val="00192D8A"/>
    <w:rsid w:val="00192E60"/>
    <w:rsid w:val="00192FD5"/>
    <w:rsid w:val="0019319F"/>
    <w:rsid w:val="00193311"/>
    <w:rsid w:val="001933E1"/>
    <w:rsid w:val="001934B3"/>
    <w:rsid w:val="001935FC"/>
    <w:rsid w:val="0019391E"/>
    <w:rsid w:val="00193997"/>
    <w:rsid w:val="00193DC9"/>
    <w:rsid w:val="00193FBE"/>
    <w:rsid w:val="00194083"/>
    <w:rsid w:val="0019429D"/>
    <w:rsid w:val="001942EC"/>
    <w:rsid w:val="00194491"/>
    <w:rsid w:val="00194B76"/>
    <w:rsid w:val="00194BA3"/>
    <w:rsid w:val="00194DC1"/>
    <w:rsid w:val="00195130"/>
    <w:rsid w:val="0019514A"/>
    <w:rsid w:val="00195208"/>
    <w:rsid w:val="00195441"/>
    <w:rsid w:val="0019544D"/>
    <w:rsid w:val="0019570F"/>
    <w:rsid w:val="00195901"/>
    <w:rsid w:val="001959BF"/>
    <w:rsid w:val="00195FA1"/>
    <w:rsid w:val="001966F3"/>
    <w:rsid w:val="001969B3"/>
    <w:rsid w:val="00196F8B"/>
    <w:rsid w:val="0019713E"/>
    <w:rsid w:val="0019775D"/>
    <w:rsid w:val="00197850"/>
    <w:rsid w:val="001979EB"/>
    <w:rsid w:val="00197D5B"/>
    <w:rsid w:val="00197F57"/>
    <w:rsid w:val="001A0060"/>
    <w:rsid w:val="001A02F1"/>
    <w:rsid w:val="001A05DB"/>
    <w:rsid w:val="001A0629"/>
    <w:rsid w:val="001A0E2E"/>
    <w:rsid w:val="001A0E57"/>
    <w:rsid w:val="001A0F20"/>
    <w:rsid w:val="001A10D1"/>
    <w:rsid w:val="001A198A"/>
    <w:rsid w:val="001A19B9"/>
    <w:rsid w:val="001A1A13"/>
    <w:rsid w:val="001A1C15"/>
    <w:rsid w:val="001A1C6D"/>
    <w:rsid w:val="001A2123"/>
    <w:rsid w:val="001A2229"/>
    <w:rsid w:val="001A2395"/>
    <w:rsid w:val="001A2529"/>
    <w:rsid w:val="001A2629"/>
    <w:rsid w:val="001A26D0"/>
    <w:rsid w:val="001A3CB9"/>
    <w:rsid w:val="001A4012"/>
    <w:rsid w:val="001A4134"/>
    <w:rsid w:val="001A4284"/>
    <w:rsid w:val="001A4696"/>
    <w:rsid w:val="001A4CE2"/>
    <w:rsid w:val="001A4F04"/>
    <w:rsid w:val="001A50B7"/>
    <w:rsid w:val="001A52DE"/>
    <w:rsid w:val="001A5355"/>
    <w:rsid w:val="001A53E3"/>
    <w:rsid w:val="001A54C8"/>
    <w:rsid w:val="001A56E1"/>
    <w:rsid w:val="001A5969"/>
    <w:rsid w:val="001A5B2A"/>
    <w:rsid w:val="001A5C02"/>
    <w:rsid w:val="001A5CE8"/>
    <w:rsid w:val="001A60BD"/>
    <w:rsid w:val="001A6126"/>
    <w:rsid w:val="001A6620"/>
    <w:rsid w:val="001A66D1"/>
    <w:rsid w:val="001A6882"/>
    <w:rsid w:val="001A69EA"/>
    <w:rsid w:val="001A6D1A"/>
    <w:rsid w:val="001A6DB6"/>
    <w:rsid w:val="001A779D"/>
    <w:rsid w:val="001A788C"/>
    <w:rsid w:val="001A789F"/>
    <w:rsid w:val="001A7922"/>
    <w:rsid w:val="001B00B4"/>
    <w:rsid w:val="001B00B8"/>
    <w:rsid w:val="001B010A"/>
    <w:rsid w:val="001B01AB"/>
    <w:rsid w:val="001B033C"/>
    <w:rsid w:val="001B064A"/>
    <w:rsid w:val="001B0904"/>
    <w:rsid w:val="001B0A29"/>
    <w:rsid w:val="001B127A"/>
    <w:rsid w:val="001B14ED"/>
    <w:rsid w:val="001B1637"/>
    <w:rsid w:val="001B1A1E"/>
    <w:rsid w:val="001B1B38"/>
    <w:rsid w:val="001B1B87"/>
    <w:rsid w:val="001B1BAB"/>
    <w:rsid w:val="001B1D01"/>
    <w:rsid w:val="001B20FF"/>
    <w:rsid w:val="001B2162"/>
    <w:rsid w:val="001B22D0"/>
    <w:rsid w:val="001B237B"/>
    <w:rsid w:val="001B2415"/>
    <w:rsid w:val="001B247E"/>
    <w:rsid w:val="001B24DE"/>
    <w:rsid w:val="001B271C"/>
    <w:rsid w:val="001B273F"/>
    <w:rsid w:val="001B2812"/>
    <w:rsid w:val="001B2BBA"/>
    <w:rsid w:val="001B2D72"/>
    <w:rsid w:val="001B2F7D"/>
    <w:rsid w:val="001B2FDC"/>
    <w:rsid w:val="001B31E3"/>
    <w:rsid w:val="001B334E"/>
    <w:rsid w:val="001B35C8"/>
    <w:rsid w:val="001B377C"/>
    <w:rsid w:val="001B3A78"/>
    <w:rsid w:val="001B3ACB"/>
    <w:rsid w:val="001B3B99"/>
    <w:rsid w:val="001B3B9C"/>
    <w:rsid w:val="001B3BE0"/>
    <w:rsid w:val="001B3D48"/>
    <w:rsid w:val="001B3F63"/>
    <w:rsid w:val="001B457C"/>
    <w:rsid w:val="001B45FE"/>
    <w:rsid w:val="001B469B"/>
    <w:rsid w:val="001B46CB"/>
    <w:rsid w:val="001B4754"/>
    <w:rsid w:val="001B4B37"/>
    <w:rsid w:val="001B4F7A"/>
    <w:rsid w:val="001B4F91"/>
    <w:rsid w:val="001B5008"/>
    <w:rsid w:val="001B5188"/>
    <w:rsid w:val="001B5197"/>
    <w:rsid w:val="001B5290"/>
    <w:rsid w:val="001B5452"/>
    <w:rsid w:val="001B54C9"/>
    <w:rsid w:val="001B5662"/>
    <w:rsid w:val="001B5731"/>
    <w:rsid w:val="001B578D"/>
    <w:rsid w:val="001B5838"/>
    <w:rsid w:val="001B5ABF"/>
    <w:rsid w:val="001B5B11"/>
    <w:rsid w:val="001B5B3A"/>
    <w:rsid w:val="001B5C1E"/>
    <w:rsid w:val="001B6032"/>
    <w:rsid w:val="001B60A9"/>
    <w:rsid w:val="001B637A"/>
    <w:rsid w:val="001B6476"/>
    <w:rsid w:val="001B6548"/>
    <w:rsid w:val="001B66DC"/>
    <w:rsid w:val="001B6A0E"/>
    <w:rsid w:val="001B6C3A"/>
    <w:rsid w:val="001B6CA8"/>
    <w:rsid w:val="001B6E6E"/>
    <w:rsid w:val="001B6EFB"/>
    <w:rsid w:val="001B71D4"/>
    <w:rsid w:val="001B735E"/>
    <w:rsid w:val="001B7397"/>
    <w:rsid w:val="001B73D1"/>
    <w:rsid w:val="001B7473"/>
    <w:rsid w:val="001B7612"/>
    <w:rsid w:val="001B7615"/>
    <w:rsid w:val="001B76BC"/>
    <w:rsid w:val="001B7743"/>
    <w:rsid w:val="001B7850"/>
    <w:rsid w:val="001B788F"/>
    <w:rsid w:val="001B7A4F"/>
    <w:rsid w:val="001B7B40"/>
    <w:rsid w:val="001B7C39"/>
    <w:rsid w:val="001B7E57"/>
    <w:rsid w:val="001B7F3F"/>
    <w:rsid w:val="001C010D"/>
    <w:rsid w:val="001C041F"/>
    <w:rsid w:val="001C0447"/>
    <w:rsid w:val="001C0937"/>
    <w:rsid w:val="001C101D"/>
    <w:rsid w:val="001C1068"/>
    <w:rsid w:val="001C10FD"/>
    <w:rsid w:val="001C11CC"/>
    <w:rsid w:val="001C1468"/>
    <w:rsid w:val="001C181A"/>
    <w:rsid w:val="001C1821"/>
    <w:rsid w:val="001C1A46"/>
    <w:rsid w:val="001C1CAC"/>
    <w:rsid w:val="001C1CDB"/>
    <w:rsid w:val="001C1D93"/>
    <w:rsid w:val="001C1E98"/>
    <w:rsid w:val="001C249D"/>
    <w:rsid w:val="001C268D"/>
    <w:rsid w:val="001C26C4"/>
    <w:rsid w:val="001C27EC"/>
    <w:rsid w:val="001C28ED"/>
    <w:rsid w:val="001C2B8A"/>
    <w:rsid w:val="001C2E8E"/>
    <w:rsid w:val="001C2F71"/>
    <w:rsid w:val="001C3238"/>
    <w:rsid w:val="001C366A"/>
    <w:rsid w:val="001C37A9"/>
    <w:rsid w:val="001C3DE4"/>
    <w:rsid w:val="001C4103"/>
    <w:rsid w:val="001C436A"/>
    <w:rsid w:val="001C43B0"/>
    <w:rsid w:val="001C4520"/>
    <w:rsid w:val="001C4663"/>
    <w:rsid w:val="001C4D67"/>
    <w:rsid w:val="001C4D94"/>
    <w:rsid w:val="001C4E7D"/>
    <w:rsid w:val="001C56C3"/>
    <w:rsid w:val="001C5896"/>
    <w:rsid w:val="001C5CF9"/>
    <w:rsid w:val="001C5FEA"/>
    <w:rsid w:val="001C63AB"/>
    <w:rsid w:val="001C63BB"/>
    <w:rsid w:val="001C63F0"/>
    <w:rsid w:val="001C64E6"/>
    <w:rsid w:val="001C65C4"/>
    <w:rsid w:val="001C6624"/>
    <w:rsid w:val="001C6719"/>
    <w:rsid w:val="001C67F7"/>
    <w:rsid w:val="001C6AD4"/>
    <w:rsid w:val="001C6B60"/>
    <w:rsid w:val="001C700A"/>
    <w:rsid w:val="001C727C"/>
    <w:rsid w:val="001C74D2"/>
    <w:rsid w:val="001C75CB"/>
    <w:rsid w:val="001C75F6"/>
    <w:rsid w:val="001C7AC3"/>
    <w:rsid w:val="001C7C1E"/>
    <w:rsid w:val="001D00C4"/>
    <w:rsid w:val="001D04ED"/>
    <w:rsid w:val="001D05BC"/>
    <w:rsid w:val="001D0BB9"/>
    <w:rsid w:val="001D10A4"/>
    <w:rsid w:val="001D11DB"/>
    <w:rsid w:val="001D14A2"/>
    <w:rsid w:val="001D15E3"/>
    <w:rsid w:val="001D1CE2"/>
    <w:rsid w:val="001D1DA0"/>
    <w:rsid w:val="001D1EB6"/>
    <w:rsid w:val="001D1EC5"/>
    <w:rsid w:val="001D1EF2"/>
    <w:rsid w:val="001D2050"/>
    <w:rsid w:val="001D22DC"/>
    <w:rsid w:val="001D2406"/>
    <w:rsid w:val="001D2418"/>
    <w:rsid w:val="001D25A7"/>
    <w:rsid w:val="001D2648"/>
    <w:rsid w:val="001D265B"/>
    <w:rsid w:val="001D2688"/>
    <w:rsid w:val="001D2955"/>
    <w:rsid w:val="001D2A51"/>
    <w:rsid w:val="001D30C6"/>
    <w:rsid w:val="001D310C"/>
    <w:rsid w:val="001D316F"/>
    <w:rsid w:val="001D3231"/>
    <w:rsid w:val="001D32AC"/>
    <w:rsid w:val="001D32DF"/>
    <w:rsid w:val="001D3308"/>
    <w:rsid w:val="001D34B2"/>
    <w:rsid w:val="001D35B8"/>
    <w:rsid w:val="001D3653"/>
    <w:rsid w:val="001D36A3"/>
    <w:rsid w:val="001D383D"/>
    <w:rsid w:val="001D38F0"/>
    <w:rsid w:val="001D3B69"/>
    <w:rsid w:val="001D409E"/>
    <w:rsid w:val="001D4D49"/>
    <w:rsid w:val="001D4FEA"/>
    <w:rsid w:val="001D52F5"/>
    <w:rsid w:val="001D539F"/>
    <w:rsid w:val="001D5550"/>
    <w:rsid w:val="001D567B"/>
    <w:rsid w:val="001D5A8B"/>
    <w:rsid w:val="001D5AD1"/>
    <w:rsid w:val="001D5D13"/>
    <w:rsid w:val="001D5FF7"/>
    <w:rsid w:val="001D62E3"/>
    <w:rsid w:val="001D639A"/>
    <w:rsid w:val="001D6559"/>
    <w:rsid w:val="001D68F6"/>
    <w:rsid w:val="001D6CE1"/>
    <w:rsid w:val="001D6E5A"/>
    <w:rsid w:val="001D74A0"/>
    <w:rsid w:val="001D797E"/>
    <w:rsid w:val="001D7A3E"/>
    <w:rsid w:val="001D7FCF"/>
    <w:rsid w:val="001E00B7"/>
    <w:rsid w:val="001E0159"/>
    <w:rsid w:val="001E01D3"/>
    <w:rsid w:val="001E0595"/>
    <w:rsid w:val="001E0973"/>
    <w:rsid w:val="001E09F4"/>
    <w:rsid w:val="001E0A8F"/>
    <w:rsid w:val="001E0C01"/>
    <w:rsid w:val="001E1B8E"/>
    <w:rsid w:val="001E1C06"/>
    <w:rsid w:val="001E1C7E"/>
    <w:rsid w:val="001E1FF4"/>
    <w:rsid w:val="001E21FE"/>
    <w:rsid w:val="001E2268"/>
    <w:rsid w:val="001E24F0"/>
    <w:rsid w:val="001E2A3F"/>
    <w:rsid w:val="001E2C8F"/>
    <w:rsid w:val="001E2C9A"/>
    <w:rsid w:val="001E2EB9"/>
    <w:rsid w:val="001E2F2C"/>
    <w:rsid w:val="001E32EB"/>
    <w:rsid w:val="001E3446"/>
    <w:rsid w:val="001E3455"/>
    <w:rsid w:val="001E349B"/>
    <w:rsid w:val="001E384E"/>
    <w:rsid w:val="001E4163"/>
    <w:rsid w:val="001E4738"/>
    <w:rsid w:val="001E47CA"/>
    <w:rsid w:val="001E4D0F"/>
    <w:rsid w:val="001E4D2A"/>
    <w:rsid w:val="001E4E57"/>
    <w:rsid w:val="001E4F62"/>
    <w:rsid w:val="001E5437"/>
    <w:rsid w:val="001E5639"/>
    <w:rsid w:val="001E5817"/>
    <w:rsid w:val="001E59F2"/>
    <w:rsid w:val="001E59F8"/>
    <w:rsid w:val="001E5AFF"/>
    <w:rsid w:val="001E5E0B"/>
    <w:rsid w:val="001E5F1A"/>
    <w:rsid w:val="001E63FB"/>
    <w:rsid w:val="001E6569"/>
    <w:rsid w:val="001E656B"/>
    <w:rsid w:val="001E666B"/>
    <w:rsid w:val="001E66D1"/>
    <w:rsid w:val="001E6991"/>
    <w:rsid w:val="001E6D62"/>
    <w:rsid w:val="001E70DB"/>
    <w:rsid w:val="001E714E"/>
    <w:rsid w:val="001E71B6"/>
    <w:rsid w:val="001E75B7"/>
    <w:rsid w:val="001E771E"/>
    <w:rsid w:val="001E7732"/>
    <w:rsid w:val="001E7764"/>
    <w:rsid w:val="001E788A"/>
    <w:rsid w:val="001E7E3D"/>
    <w:rsid w:val="001E7F35"/>
    <w:rsid w:val="001F0265"/>
    <w:rsid w:val="001F03F4"/>
    <w:rsid w:val="001F055B"/>
    <w:rsid w:val="001F0AD8"/>
    <w:rsid w:val="001F0B34"/>
    <w:rsid w:val="001F0BB8"/>
    <w:rsid w:val="001F0D72"/>
    <w:rsid w:val="001F0DBB"/>
    <w:rsid w:val="001F1252"/>
    <w:rsid w:val="001F153D"/>
    <w:rsid w:val="001F1547"/>
    <w:rsid w:val="001F16AA"/>
    <w:rsid w:val="001F16DD"/>
    <w:rsid w:val="001F1856"/>
    <w:rsid w:val="001F191F"/>
    <w:rsid w:val="001F1BB2"/>
    <w:rsid w:val="001F201B"/>
    <w:rsid w:val="001F2042"/>
    <w:rsid w:val="001F23DB"/>
    <w:rsid w:val="001F24E6"/>
    <w:rsid w:val="001F257E"/>
    <w:rsid w:val="001F2D96"/>
    <w:rsid w:val="001F2E86"/>
    <w:rsid w:val="001F2EAD"/>
    <w:rsid w:val="001F2F48"/>
    <w:rsid w:val="001F2F93"/>
    <w:rsid w:val="001F3249"/>
    <w:rsid w:val="001F34F8"/>
    <w:rsid w:val="001F35B5"/>
    <w:rsid w:val="001F3E3C"/>
    <w:rsid w:val="001F4006"/>
    <w:rsid w:val="001F4165"/>
    <w:rsid w:val="001F41EC"/>
    <w:rsid w:val="001F42AE"/>
    <w:rsid w:val="001F435A"/>
    <w:rsid w:val="001F44E0"/>
    <w:rsid w:val="001F4530"/>
    <w:rsid w:val="001F4555"/>
    <w:rsid w:val="001F48E5"/>
    <w:rsid w:val="001F4A16"/>
    <w:rsid w:val="001F4FEB"/>
    <w:rsid w:val="001F5BB7"/>
    <w:rsid w:val="001F5C15"/>
    <w:rsid w:val="001F5D20"/>
    <w:rsid w:val="001F60FF"/>
    <w:rsid w:val="001F6165"/>
    <w:rsid w:val="001F655D"/>
    <w:rsid w:val="001F65F8"/>
    <w:rsid w:val="001F66C5"/>
    <w:rsid w:val="001F66EB"/>
    <w:rsid w:val="001F687D"/>
    <w:rsid w:val="001F69D4"/>
    <w:rsid w:val="001F6AFA"/>
    <w:rsid w:val="001F6B01"/>
    <w:rsid w:val="001F6CAA"/>
    <w:rsid w:val="001F6F4E"/>
    <w:rsid w:val="001F7052"/>
    <w:rsid w:val="001F7269"/>
    <w:rsid w:val="001F73F9"/>
    <w:rsid w:val="001F75DB"/>
    <w:rsid w:val="001F7653"/>
    <w:rsid w:val="001F78E0"/>
    <w:rsid w:val="001F7B2A"/>
    <w:rsid w:val="001F7D82"/>
    <w:rsid w:val="001F7FE7"/>
    <w:rsid w:val="0020018E"/>
    <w:rsid w:val="0020020F"/>
    <w:rsid w:val="00200334"/>
    <w:rsid w:val="00200400"/>
    <w:rsid w:val="002004E8"/>
    <w:rsid w:val="00200679"/>
    <w:rsid w:val="00200A06"/>
    <w:rsid w:val="00200E70"/>
    <w:rsid w:val="0020111A"/>
    <w:rsid w:val="00201144"/>
    <w:rsid w:val="00201977"/>
    <w:rsid w:val="00201DC8"/>
    <w:rsid w:val="00201DC9"/>
    <w:rsid w:val="002020E3"/>
    <w:rsid w:val="0020215C"/>
    <w:rsid w:val="00202429"/>
    <w:rsid w:val="002024B3"/>
    <w:rsid w:val="00202A02"/>
    <w:rsid w:val="00202CAF"/>
    <w:rsid w:val="00202CF8"/>
    <w:rsid w:val="00202DBB"/>
    <w:rsid w:val="00203297"/>
    <w:rsid w:val="0020336B"/>
    <w:rsid w:val="00203455"/>
    <w:rsid w:val="002035B5"/>
    <w:rsid w:val="002036AB"/>
    <w:rsid w:val="00203ADB"/>
    <w:rsid w:val="0020410C"/>
    <w:rsid w:val="0020415E"/>
    <w:rsid w:val="0020453F"/>
    <w:rsid w:val="002047D9"/>
    <w:rsid w:val="00204808"/>
    <w:rsid w:val="00204903"/>
    <w:rsid w:val="00204B15"/>
    <w:rsid w:val="0020501A"/>
    <w:rsid w:val="00205045"/>
    <w:rsid w:val="00205053"/>
    <w:rsid w:val="00205364"/>
    <w:rsid w:val="00205624"/>
    <w:rsid w:val="00205653"/>
    <w:rsid w:val="00205859"/>
    <w:rsid w:val="002059E3"/>
    <w:rsid w:val="002059F9"/>
    <w:rsid w:val="00205B3C"/>
    <w:rsid w:val="00205CB4"/>
    <w:rsid w:val="00205F3A"/>
    <w:rsid w:val="00205FE1"/>
    <w:rsid w:val="0020608D"/>
    <w:rsid w:val="0020644A"/>
    <w:rsid w:val="002067B0"/>
    <w:rsid w:val="0020699C"/>
    <w:rsid w:val="00206C52"/>
    <w:rsid w:val="002075DA"/>
    <w:rsid w:val="0020788C"/>
    <w:rsid w:val="002078EA"/>
    <w:rsid w:val="00207E69"/>
    <w:rsid w:val="00207F6A"/>
    <w:rsid w:val="00210054"/>
    <w:rsid w:val="00210119"/>
    <w:rsid w:val="002101E6"/>
    <w:rsid w:val="0021066B"/>
    <w:rsid w:val="0021097A"/>
    <w:rsid w:val="00210A23"/>
    <w:rsid w:val="00210AF3"/>
    <w:rsid w:val="00210C62"/>
    <w:rsid w:val="00210DF6"/>
    <w:rsid w:val="00210E48"/>
    <w:rsid w:val="0021106B"/>
    <w:rsid w:val="002116C4"/>
    <w:rsid w:val="00211B15"/>
    <w:rsid w:val="00211BC4"/>
    <w:rsid w:val="00211D14"/>
    <w:rsid w:val="00211D40"/>
    <w:rsid w:val="00211FCB"/>
    <w:rsid w:val="0021206D"/>
    <w:rsid w:val="00212138"/>
    <w:rsid w:val="002121C8"/>
    <w:rsid w:val="002121CA"/>
    <w:rsid w:val="002121DB"/>
    <w:rsid w:val="00212266"/>
    <w:rsid w:val="002122E0"/>
    <w:rsid w:val="002128A7"/>
    <w:rsid w:val="00212936"/>
    <w:rsid w:val="00212A6F"/>
    <w:rsid w:val="00212CA2"/>
    <w:rsid w:val="00212DCC"/>
    <w:rsid w:val="00213318"/>
    <w:rsid w:val="00213528"/>
    <w:rsid w:val="002136CA"/>
    <w:rsid w:val="00213C3D"/>
    <w:rsid w:val="00213E4C"/>
    <w:rsid w:val="00213EE6"/>
    <w:rsid w:val="002141C8"/>
    <w:rsid w:val="00214387"/>
    <w:rsid w:val="002144FD"/>
    <w:rsid w:val="00214564"/>
    <w:rsid w:val="00214966"/>
    <w:rsid w:val="00214985"/>
    <w:rsid w:val="00214C68"/>
    <w:rsid w:val="00214E2E"/>
    <w:rsid w:val="00214F09"/>
    <w:rsid w:val="002150D0"/>
    <w:rsid w:val="00215294"/>
    <w:rsid w:val="00215405"/>
    <w:rsid w:val="002155BE"/>
    <w:rsid w:val="002157ED"/>
    <w:rsid w:val="00215966"/>
    <w:rsid w:val="00215F1F"/>
    <w:rsid w:val="00216105"/>
    <w:rsid w:val="002163C7"/>
    <w:rsid w:val="00216476"/>
    <w:rsid w:val="002164CD"/>
    <w:rsid w:val="0021695C"/>
    <w:rsid w:val="002169E7"/>
    <w:rsid w:val="00216CAB"/>
    <w:rsid w:val="00216DA7"/>
    <w:rsid w:val="0021715A"/>
    <w:rsid w:val="00217254"/>
    <w:rsid w:val="002176CD"/>
    <w:rsid w:val="002176F3"/>
    <w:rsid w:val="002177B6"/>
    <w:rsid w:val="00217887"/>
    <w:rsid w:val="00217A11"/>
    <w:rsid w:val="00217B1F"/>
    <w:rsid w:val="00217C90"/>
    <w:rsid w:val="00217D5D"/>
    <w:rsid w:val="00217DFE"/>
    <w:rsid w:val="00220343"/>
    <w:rsid w:val="00220473"/>
    <w:rsid w:val="002206A9"/>
    <w:rsid w:val="002208A5"/>
    <w:rsid w:val="00220E92"/>
    <w:rsid w:val="00221573"/>
    <w:rsid w:val="00221A5E"/>
    <w:rsid w:val="00221B17"/>
    <w:rsid w:val="00221B9A"/>
    <w:rsid w:val="0022208F"/>
    <w:rsid w:val="002220BA"/>
    <w:rsid w:val="002222C3"/>
    <w:rsid w:val="00222300"/>
    <w:rsid w:val="0022232B"/>
    <w:rsid w:val="00222473"/>
    <w:rsid w:val="00222633"/>
    <w:rsid w:val="00222B82"/>
    <w:rsid w:val="00222FB3"/>
    <w:rsid w:val="002232C0"/>
    <w:rsid w:val="00223439"/>
    <w:rsid w:val="002236AD"/>
    <w:rsid w:val="002238A3"/>
    <w:rsid w:val="00223BCC"/>
    <w:rsid w:val="00223E73"/>
    <w:rsid w:val="0022408A"/>
    <w:rsid w:val="002240E5"/>
    <w:rsid w:val="0022412A"/>
    <w:rsid w:val="002245AF"/>
    <w:rsid w:val="0022460E"/>
    <w:rsid w:val="002248E1"/>
    <w:rsid w:val="00224A65"/>
    <w:rsid w:val="00224BA1"/>
    <w:rsid w:val="00224D20"/>
    <w:rsid w:val="00224D4A"/>
    <w:rsid w:val="002250C4"/>
    <w:rsid w:val="00225247"/>
    <w:rsid w:val="00225350"/>
    <w:rsid w:val="0022580A"/>
    <w:rsid w:val="00225B15"/>
    <w:rsid w:val="00226010"/>
    <w:rsid w:val="002260DE"/>
    <w:rsid w:val="00226467"/>
    <w:rsid w:val="002264E8"/>
    <w:rsid w:val="00226691"/>
    <w:rsid w:val="002267D6"/>
    <w:rsid w:val="002268FB"/>
    <w:rsid w:val="002269EA"/>
    <w:rsid w:val="00226B65"/>
    <w:rsid w:val="00226C3C"/>
    <w:rsid w:val="00226D28"/>
    <w:rsid w:val="00226E5A"/>
    <w:rsid w:val="00226F33"/>
    <w:rsid w:val="00226FAC"/>
    <w:rsid w:val="00227336"/>
    <w:rsid w:val="002275EB"/>
    <w:rsid w:val="00227972"/>
    <w:rsid w:val="002279C6"/>
    <w:rsid w:val="00227D2C"/>
    <w:rsid w:val="00227E3A"/>
    <w:rsid w:val="00227E88"/>
    <w:rsid w:val="00230125"/>
    <w:rsid w:val="002307F0"/>
    <w:rsid w:val="00230AE7"/>
    <w:rsid w:val="00230B87"/>
    <w:rsid w:val="00230D71"/>
    <w:rsid w:val="00230D8F"/>
    <w:rsid w:val="00231E8C"/>
    <w:rsid w:val="002323FE"/>
    <w:rsid w:val="0023286B"/>
    <w:rsid w:val="002328A1"/>
    <w:rsid w:val="002328D0"/>
    <w:rsid w:val="00232CA2"/>
    <w:rsid w:val="00233092"/>
    <w:rsid w:val="0023323A"/>
    <w:rsid w:val="00233415"/>
    <w:rsid w:val="00233477"/>
    <w:rsid w:val="002334C4"/>
    <w:rsid w:val="00233613"/>
    <w:rsid w:val="00233639"/>
    <w:rsid w:val="00233668"/>
    <w:rsid w:val="0023369D"/>
    <w:rsid w:val="002337A9"/>
    <w:rsid w:val="00233816"/>
    <w:rsid w:val="00233C02"/>
    <w:rsid w:val="00233E2C"/>
    <w:rsid w:val="00233EAC"/>
    <w:rsid w:val="00233FFA"/>
    <w:rsid w:val="0023414C"/>
    <w:rsid w:val="00234224"/>
    <w:rsid w:val="0023447A"/>
    <w:rsid w:val="002344DE"/>
    <w:rsid w:val="002349F3"/>
    <w:rsid w:val="00234A37"/>
    <w:rsid w:val="00234ADD"/>
    <w:rsid w:val="00234D37"/>
    <w:rsid w:val="00235176"/>
    <w:rsid w:val="0023542D"/>
    <w:rsid w:val="00235699"/>
    <w:rsid w:val="002359B9"/>
    <w:rsid w:val="00235E53"/>
    <w:rsid w:val="00235E99"/>
    <w:rsid w:val="00235F3C"/>
    <w:rsid w:val="002365A6"/>
    <w:rsid w:val="002366DA"/>
    <w:rsid w:val="0023690A"/>
    <w:rsid w:val="002369FF"/>
    <w:rsid w:val="00236B25"/>
    <w:rsid w:val="00236B27"/>
    <w:rsid w:val="00236BA9"/>
    <w:rsid w:val="00236C18"/>
    <w:rsid w:val="00236D1E"/>
    <w:rsid w:val="00236DD1"/>
    <w:rsid w:val="0023707E"/>
    <w:rsid w:val="002371DC"/>
    <w:rsid w:val="00237205"/>
    <w:rsid w:val="00237359"/>
    <w:rsid w:val="0023735B"/>
    <w:rsid w:val="0023736D"/>
    <w:rsid w:val="002373C4"/>
    <w:rsid w:val="00237587"/>
    <w:rsid w:val="002376CE"/>
    <w:rsid w:val="002378AE"/>
    <w:rsid w:val="00237AB1"/>
    <w:rsid w:val="00237C84"/>
    <w:rsid w:val="00237F45"/>
    <w:rsid w:val="00237F83"/>
    <w:rsid w:val="00240250"/>
    <w:rsid w:val="00240430"/>
    <w:rsid w:val="002404A0"/>
    <w:rsid w:val="00240640"/>
    <w:rsid w:val="002406D6"/>
    <w:rsid w:val="002407FD"/>
    <w:rsid w:val="002408E9"/>
    <w:rsid w:val="00240927"/>
    <w:rsid w:val="002409E7"/>
    <w:rsid w:val="00240A65"/>
    <w:rsid w:val="00240DC9"/>
    <w:rsid w:val="00241087"/>
    <w:rsid w:val="002410FF"/>
    <w:rsid w:val="002412B6"/>
    <w:rsid w:val="0024183E"/>
    <w:rsid w:val="0024191C"/>
    <w:rsid w:val="00241947"/>
    <w:rsid w:val="00241970"/>
    <w:rsid w:val="00241D97"/>
    <w:rsid w:val="00242025"/>
    <w:rsid w:val="00242297"/>
    <w:rsid w:val="0024233C"/>
    <w:rsid w:val="00242391"/>
    <w:rsid w:val="002423BB"/>
    <w:rsid w:val="00242A4D"/>
    <w:rsid w:val="00242DB7"/>
    <w:rsid w:val="00242E68"/>
    <w:rsid w:val="0024302E"/>
    <w:rsid w:val="0024310A"/>
    <w:rsid w:val="0024340F"/>
    <w:rsid w:val="00243964"/>
    <w:rsid w:val="00243BD7"/>
    <w:rsid w:val="00243E1A"/>
    <w:rsid w:val="00243F9C"/>
    <w:rsid w:val="00243FD7"/>
    <w:rsid w:val="00243FFC"/>
    <w:rsid w:val="0024405C"/>
    <w:rsid w:val="00244420"/>
    <w:rsid w:val="00244435"/>
    <w:rsid w:val="002444E9"/>
    <w:rsid w:val="002446F1"/>
    <w:rsid w:val="0024488F"/>
    <w:rsid w:val="00244893"/>
    <w:rsid w:val="002448BE"/>
    <w:rsid w:val="00244AEE"/>
    <w:rsid w:val="002450D9"/>
    <w:rsid w:val="00245373"/>
    <w:rsid w:val="002455F7"/>
    <w:rsid w:val="002459C6"/>
    <w:rsid w:val="00245A2B"/>
    <w:rsid w:val="00245C15"/>
    <w:rsid w:val="00245CC2"/>
    <w:rsid w:val="00245DEC"/>
    <w:rsid w:val="00245F85"/>
    <w:rsid w:val="00246234"/>
    <w:rsid w:val="0024655E"/>
    <w:rsid w:val="002465DB"/>
    <w:rsid w:val="002466E3"/>
    <w:rsid w:val="0024692D"/>
    <w:rsid w:val="00246FC8"/>
    <w:rsid w:val="002472A1"/>
    <w:rsid w:val="002472A2"/>
    <w:rsid w:val="0024788C"/>
    <w:rsid w:val="002478DA"/>
    <w:rsid w:val="00247C82"/>
    <w:rsid w:val="00247F8F"/>
    <w:rsid w:val="00247FC0"/>
    <w:rsid w:val="00250219"/>
    <w:rsid w:val="0025038E"/>
    <w:rsid w:val="002503FD"/>
    <w:rsid w:val="00250609"/>
    <w:rsid w:val="002507B4"/>
    <w:rsid w:val="00250CC0"/>
    <w:rsid w:val="00251144"/>
    <w:rsid w:val="00251273"/>
    <w:rsid w:val="00251382"/>
    <w:rsid w:val="0025175D"/>
    <w:rsid w:val="0025189A"/>
    <w:rsid w:val="00251900"/>
    <w:rsid w:val="00251A5F"/>
    <w:rsid w:val="00251A8E"/>
    <w:rsid w:val="00251B47"/>
    <w:rsid w:val="00251D39"/>
    <w:rsid w:val="00251EA4"/>
    <w:rsid w:val="002521A5"/>
    <w:rsid w:val="00252B12"/>
    <w:rsid w:val="00252DF9"/>
    <w:rsid w:val="002536FE"/>
    <w:rsid w:val="0025370B"/>
    <w:rsid w:val="002538B5"/>
    <w:rsid w:val="00253CC4"/>
    <w:rsid w:val="00253CFE"/>
    <w:rsid w:val="00253D7B"/>
    <w:rsid w:val="00253DE8"/>
    <w:rsid w:val="00254103"/>
    <w:rsid w:val="002541A7"/>
    <w:rsid w:val="00254232"/>
    <w:rsid w:val="002543C8"/>
    <w:rsid w:val="00254717"/>
    <w:rsid w:val="00254755"/>
    <w:rsid w:val="002547A0"/>
    <w:rsid w:val="00254851"/>
    <w:rsid w:val="00254958"/>
    <w:rsid w:val="0025495A"/>
    <w:rsid w:val="002549EE"/>
    <w:rsid w:val="00254C53"/>
    <w:rsid w:val="0025507E"/>
    <w:rsid w:val="00255130"/>
    <w:rsid w:val="002555C2"/>
    <w:rsid w:val="00255700"/>
    <w:rsid w:val="0025597A"/>
    <w:rsid w:val="00255B8D"/>
    <w:rsid w:val="00255C67"/>
    <w:rsid w:val="00255CC1"/>
    <w:rsid w:val="00255DCB"/>
    <w:rsid w:val="00255E30"/>
    <w:rsid w:val="00255F21"/>
    <w:rsid w:val="00255FD0"/>
    <w:rsid w:val="00256088"/>
    <w:rsid w:val="002560BA"/>
    <w:rsid w:val="00256157"/>
    <w:rsid w:val="0025648E"/>
    <w:rsid w:val="002566A2"/>
    <w:rsid w:val="002566FE"/>
    <w:rsid w:val="002567BD"/>
    <w:rsid w:val="00257190"/>
    <w:rsid w:val="002572D5"/>
    <w:rsid w:val="00257355"/>
    <w:rsid w:val="002574B4"/>
    <w:rsid w:val="002575A6"/>
    <w:rsid w:val="00257D0F"/>
    <w:rsid w:val="00257DD5"/>
    <w:rsid w:val="00257DE5"/>
    <w:rsid w:val="00257E92"/>
    <w:rsid w:val="00260116"/>
    <w:rsid w:val="002604A2"/>
    <w:rsid w:val="00260529"/>
    <w:rsid w:val="002605BC"/>
    <w:rsid w:val="002609B5"/>
    <w:rsid w:val="00260A0D"/>
    <w:rsid w:val="00260B25"/>
    <w:rsid w:val="00260CBE"/>
    <w:rsid w:val="00260EF5"/>
    <w:rsid w:val="00260F57"/>
    <w:rsid w:val="002615B1"/>
    <w:rsid w:val="00261C1A"/>
    <w:rsid w:val="00261CF4"/>
    <w:rsid w:val="00261EEC"/>
    <w:rsid w:val="00261F6F"/>
    <w:rsid w:val="002623F0"/>
    <w:rsid w:val="002627DC"/>
    <w:rsid w:val="00262B23"/>
    <w:rsid w:val="00262F54"/>
    <w:rsid w:val="002630A1"/>
    <w:rsid w:val="00263262"/>
    <w:rsid w:val="002633AA"/>
    <w:rsid w:val="002634A3"/>
    <w:rsid w:val="00263885"/>
    <w:rsid w:val="00263979"/>
    <w:rsid w:val="00263E36"/>
    <w:rsid w:val="00263F0B"/>
    <w:rsid w:val="00263FFE"/>
    <w:rsid w:val="0026461E"/>
    <w:rsid w:val="0026463A"/>
    <w:rsid w:val="00264737"/>
    <w:rsid w:val="00264B10"/>
    <w:rsid w:val="00264C34"/>
    <w:rsid w:val="00264D52"/>
    <w:rsid w:val="00264EED"/>
    <w:rsid w:val="00265074"/>
    <w:rsid w:val="002655EF"/>
    <w:rsid w:val="0026566D"/>
    <w:rsid w:val="0026581C"/>
    <w:rsid w:val="00265846"/>
    <w:rsid w:val="00265BCB"/>
    <w:rsid w:val="00265C05"/>
    <w:rsid w:val="00265C3D"/>
    <w:rsid w:val="00265CE8"/>
    <w:rsid w:val="00265DD2"/>
    <w:rsid w:val="002660E7"/>
    <w:rsid w:val="0026615C"/>
    <w:rsid w:val="00266A6B"/>
    <w:rsid w:val="00266BB4"/>
    <w:rsid w:val="0026709B"/>
    <w:rsid w:val="00267264"/>
    <w:rsid w:val="0026735E"/>
    <w:rsid w:val="00267445"/>
    <w:rsid w:val="002676E7"/>
    <w:rsid w:val="002678D9"/>
    <w:rsid w:val="00267F37"/>
    <w:rsid w:val="00267F63"/>
    <w:rsid w:val="00270248"/>
    <w:rsid w:val="00270258"/>
    <w:rsid w:val="0027038F"/>
    <w:rsid w:val="00270423"/>
    <w:rsid w:val="002706C4"/>
    <w:rsid w:val="002708A6"/>
    <w:rsid w:val="002708D1"/>
    <w:rsid w:val="002709B1"/>
    <w:rsid w:val="00270A6D"/>
    <w:rsid w:val="00270B00"/>
    <w:rsid w:val="00270CAB"/>
    <w:rsid w:val="00270FD2"/>
    <w:rsid w:val="00271050"/>
    <w:rsid w:val="00271729"/>
    <w:rsid w:val="00271824"/>
    <w:rsid w:val="00271C43"/>
    <w:rsid w:val="00271D9B"/>
    <w:rsid w:val="00271DA4"/>
    <w:rsid w:val="00271EF5"/>
    <w:rsid w:val="002720BD"/>
    <w:rsid w:val="0027262F"/>
    <w:rsid w:val="0027274A"/>
    <w:rsid w:val="00272B96"/>
    <w:rsid w:val="00272F35"/>
    <w:rsid w:val="0027313B"/>
    <w:rsid w:val="00273222"/>
    <w:rsid w:val="00273236"/>
    <w:rsid w:val="00273250"/>
    <w:rsid w:val="002732E8"/>
    <w:rsid w:val="0027334E"/>
    <w:rsid w:val="00273423"/>
    <w:rsid w:val="002734FA"/>
    <w:rsid w:val="0027352F"/>
    <w:rsid w:val="00273538"/>
    <w:rsid w:val="00273593"/>
    <w:rsid w:val="0027359B"/>
    <w:rsid w:val="002736C7"/>
    <w:rsid w:val="00273BCE"/>
    <w:rsid w:val="00273D03"/>
    <w:rsid w:val="00273E68"/>
    <w:rsid w:val="00273E9E"/>
    <w:rsid w:val="00273FB5"/>
    <w:rsid w:val="00274078"/>
    <w:rsid w:val="0027429B"/>
    <w:rsid w:val="00274385"/>
    <w:rsid w:val="002744CF"/>
    <w:rsid w:val="002746B9"/>
    <w:rsid w:val="00274807"/>
    <w:rsid w:val="002748CA"/>
    <w:rsid w:val="00274C02"/>
    <w:rsid w:val="00274CD9"/>
    <w:rsid w:val="00275043"/>
    <w:rsid w:val="002750F4"/>
    <w:rsid w:val="002751A6"/>
    <w:rsid w:val="002751C1"/>
    <w:rsid w:val="0027525C"/>
    <w:rsid w:val="00275453"/>
    <w:rsid w:val="002755D4"/>
    <w:rsid w:val="002756C3"/>
    <w:rsid w:val="002757B2"/>
    <w:rsid w:val="00275BDD"/>
    <w:rsid w:val="00275EEB"/>
    <w:rsid w:val="00276014"/>
    <w:rsid w:val="00276354"/>
    <w:rsid w:val="00276367"/>
    <w:rsid w:val="0027640C"/>
    <w:rsid w:val="002765ED"/>
    <w:rsid w:val="00276C81"/>
    <w:rsid w:val="0027735F"/>
    <w:rsid w:val="00277626"/>
    <w:rsid w:val="00277745"/>
    <w:rsid w:val="00277797"/>
    <w:rsid w:val="002777C5"/>
    <w:rsid w:val="002779FC"/>
    <w:rsid w:val="00277A66"/>
    <w:rsid w:val="00277D03"/>
    <w:rsid w:val="00277D11"/>
    <w:rsid w:val="00277EDF"/>
    <w:rsid w:val="00280097"/>
    <w:rsid w:val="002802F4"/>
    <w:rsid w:val="0028055B"/>
    <w:rsid w:val="00280573"/>
    <w:rsid w:val="002805D6"/>
    <w:rsid w:val="00280640"/>
    <w:rsid w:val="002809C7"/>
    <w:rsid w:val="002809FC"/>
    <w:rsid w:val="00280B6D"/>
    <w:rsid w:val="00280D59"/>
    <w:rsid w:val="00280DBE"/>
    <w:rsid w:val="0028146C"/>
    <w:rsid w:val="002815C8"/>
    <w:rsid w:val="002815CD"/>
    <w:rsid w:val="0028171E"/>
    <w:rsid w:val="00281A5E"/>
    <w:rsid w:val="00281A87"/>
    <w:rsid w:val="00281AAC"/>
    <w:rsid w:val="00281BA1"/>
    <w:rsid w:val="00281E08"/>
    <w:rsid w:val="00281E73"/>
    <w:rsid w:val="00281EE5"/>
    <w:rsid w:val="00282049"/>
    <w:rsid w:val="002822AD"/>
    <w:rsid w:val="002824A1"/>
    <w:rsid w:val="00282676"/>
    <w:rsid w:val="002828C1"/>
    <w:rsid w:val="00282A47"/>
    <w:rsid w:val="00282AC7"/>
    <w:rsid w:val="00282C65"/>
    <w:rsid w:val="00282C7F"/>
    <w:rsid w:val="00282E5D"/>
    <w:rsid w:val="002830EA"/>
    <w:rsid w:val="002833B6"/>
    <w:rsid w:val="00283823"/>
    <w:rsid w:val="002839BA"/>
    <w:rsid w:val="00283B66"/>
    <w:rsid w:val="00284013"/>
    <w:rsid w:val="0028410A"/>
    <w:rsid w:val="0028429B"/>
    <w:rsid w:val="002845CD"/>
    <w:rsid w:val="00284606"/>
    <w:rsid w:val="00284973"/>
    <w:rsid w:val="00284AA1"/>
    <w:rsid w:val="00284B14"/>
    <w:rsid w:val="00284C15"/>
    <w:rsid w:val="00284CE2"/>
    <w:rsid w:val="00284F4E"/>
    <w:rsid w:val="00285069"/>
    <w:rsid w:val="00285100"/>
    <w:rsid w:val="0028562E"/>
    <w:rsid w:val="002856FB"/>
    <w:rsid w:val="00285A16"/>
    <w:rsid w:val="00285C05"/>
    <w:rsid w:val="00285D15"/>
    <w:rsid w:val="00285F29"/>
    <w:rsid w:val="00285FC0"/>
    <w:rsid w:val="00286019"/>
    <w:rsid w:val="00286451"/>
    <w:rsid w:val="0028656F"/>
    <w:rsid w:val="00286579"/>
    <w:rsid w:val="0028664A"/>
    <w:rsid w:val="002868C4"/>
    <w:rsid w:val="00286A6C"/>
    <w:rsid w:val="00286DE2"/>
    <w:rsid w:val="00286EAE"/>
    <w:rsid w:val="00286F52"/>
    <w:rsid w:val="00287055"/>
    <w:rsid w:val="002870D1"/>
    <w:rsid w:val="002872C7"/>
    <w:rsid w:val="002873CD"/>
    <w:rsid w:val="00287728"/>
    <w:rsid w:val="002878AC"/>
    <w:rsid w:val="00287C18"/>
    <w:rsid w:val="00287C56"/>
    <w:rsid w:val="00287CB5"/>
    <w:rsid w:val="00287EF7"/>
    <w:rsid w:val="00287FD5"/>
    <w:rsid w:val="00290677"/>
    <w:rsid w:val="00290943"/>
    <w:rsid w:val="00290F7D"/>
    <w:rsid w:val="00290F99"/>
    <w:rsid w:val="0029104A"/>
    <w:rsid w:val="002911E2"/>
    <w:rsid w:val="002914BA"/>
    <w:rsid w:val="00291A00"/>
    <w:rsid w:val="00291B72"/>
    <w:rsid w:val="00291BB3"/>
    <w:rsid w:val="00291CC0"/>
    <w:rsid w:val="00291DF7"/>
    <w:rsid w:val="002921D1"/>
    <w:rsid w:val="00292355"/>
    <w:rsid w:val="002925C6"/>
    <w:rsid w:val="002929AA"/>
    <w:rsid w:val="002929FD"/>
    <w:rsid w:val="00292B24"/>
    <w:rsid w:val="00292C31"/>
    <w:rsid w:val="00292C35"/>
    <w:rsid w:val="002932EF"/>
    <w:rsid w:val="002932FE"/>
    <w:rsid w:val="002934A6"/>
    <w:rsid w:val="002934D9"/>
    <w:rsid w:val="002936C7"/>
    <w:rsid w:val="00293A17"/>
    <w:rsid w:val="00293B29"/>
    <w:rsid w:val="0029446F"/>
    <w:rsid w:val="002944FA"/>
    <w:rsid w:val="00294543"/>
    <w:rsid w:val="002945D0"/>
    <w:rsid w:val="0029467C"/>
    <w:rsid w:val="0029471D"/>
    <w:rsid w:val="0029480A"/>
    <w:rsid w:val="002948B0"/>
    <w:rsid w:val="0029496D"/>
    <w:rsid w:val="00294999"/>
    <w:rsid w:val="00294AA0"/>
    <w:rsid w:val="00294ABE"/>
    <w:rsid w:val="00294CE6"/>
    <w:rsid w:val="00294D17"/>
    <w:rsid w:val="00294F71"/>
    <w:rsid w:val="00294FD6"/>
    <w:rsid w:val="002950B4"/>
    <w:rsid w:val="00295484"/>
    <w:rsid w:val="00295559"/>
    <w:rsid w:val="002959A1"/>
    <w:rsid w:val="00295B95"/>
    <w:rsid w:val="002962F6"/>
    <w:rsid w:val="00296B3C"/>
    <w:rsid w:val="00296C3B"/>
    <w:rsid w:val="00296E31"/>
    <w:rsid w:val="00296FF4"/>
    <w:rsid w:val="00297413"/>
    <w:rsid w:val="00297501"/>
    <w:rsid w:val="002975C2"/>
    <w:rsid w:val="00297657"/>
    <w:rsid w:val="00297877"/>
    <w:rsid w:val="00297ABE"/>
    <w:rsid w:val="00297B56"/>
    <w:rsid w:val="00297D13"/>
    <w:rsid w:val="00297DA1"/>
    <w:rsid w:val="00297E23"/>
    <w:rsid w:val="002A0053"/>
    <w:rsid w:val="002A0093"/>
    <w:rsid w:val="002A0223"/>
    <w:rsid w:val="002A0383"/>
    <w:rsid w:val="002A047E"/>
    <w:rsid w:val="002A0977"/>
    <w:rsid w:val="002A0ABE"/>
    <w:rsid w:val="002A0D70"/>
    <w:rsid w:val="002A0DB4"/>
    <w:rsid w:val="002A0E54"/>
    <w:rsid w:val="002A0E8E"/>
    <w:rsid w:val="002A0FD3"/>
    <w:rsid w:val="002A1426"/>
    <w:rsid w:val="002A158C"/>
    <w:rsid w:val="002A1821"/>
    <w:rsid w:val="002A188E"/>
    <w:rsid w:val="002A19F2"/>
    <w:rsid w:val="002A1A8A"/>
    <w:rsid w:val="002A1B3E"/>
    <w:rsid w:val="002A1CDF"/>
    <w:rsid w:val="002A1D6E"/>
    <w:rsid w:val="002A1F2D"/>
    <w:rsid w:val="002A21D7"/>
    <w:rsid w:val="002A29EF"/>
    <w:rsid w:val="002A2D6B"/>
    <w:rsid w:val="002A3051"/>
    <w:rsid w:val="002A30F7"/>
    <w:rsid w:val="002A34E6"/>
    <w:rsid w:val="002A361A"/>
    <w:rsid w:val="002A37CE"/>
    <w:rsid w:val="002A3A5F"/>
    <w:rsid w:val="002A3A66"/>
    <w:rsid w:val="002A3B11"/>
    <w:rsid w:val="002A3E5F"/>
    <w:rsid w:val="002A4626"/>
    <w:rsid w:val="002A47BB"/>
    <w:rsid w:val="002A4A10"/>
    <w:rsid w:val="002A4EA9"/>
    <w:rsid w:val="002A4EE0"/>
    <w:rsid w:val="002A502C"/>
    <w:rsid w:val="002A51C6"/>
    <w:rsid w:val="002A554D"/>
    <w:rsid w:val="002A581C"/>
    <w:rsid w:val="002A5824"/>
    <w:rsid w:val="002A5875"/>
    <w:rsid w:val="002A5FDD"/>
    <w:rsid w:val="002A6300"/>
    <w:rsid w:val="002A6348"/>
    <w:rsid w:val="002A63FD"/>
    <w:rsid w:val="002A64D8"/>
    <w:rsid w:val="002A6642"/>
    <w:rsid w:val="002A6696"/>
    <w:rsid w:val="002A67EA"/>
    <w:rsid w:val="002A6C48"/>
    <w:rsid w:val="002A6D93"/>
    <w:rsid w:val="002A6F53"/>
    <w:rsid w:val="002A70E5"/>
    <w:rsid w:val="002A7210"/>
    <w:rsid w:val="002A7243"/>
    <w:rsid w:val="002A7455"/>
    <w:rsid w:val="002A7562"/>
    <w:rsid w:val="002A7609"/>
    <w:rsid w:val="002A77EC"/>
    <w:rsid w:val="002A794A"/>
    <w:rsid w:val="002A7A07"/>
    <w:rsid w:val="002A7B8E"/>
    <w:rsid w:val="002A7D58"/>
    <w:rsid w:val="002A7D6A"/>
    <w:rsid w:val="002B0423"/>
    <w:rsid w:val="002B04B1"/>
    <w:rsid w:val="002B055C"/>
    <w:rsid w:val="002B05E2"/>
    <w:rsid w:val="002B063D"/>
    <w:rsid w:val="002B0808"/>
    <w:rsid w:val="002B084A"/>
    <w:rsid w:val="002B0964"/>
    <w:rsid w:val="002B0A08"/>
    <w:rsid w:val="002B0C08"/>
    <w:rsid w:val="002B0C34"/>
    <w:rsid w:val="002B0F6F"/>
    <w:rsid w:val="002B107A"/>
    <w:rsid w:val="002B13E2"/>
    <w:rsid w:val="002B15B6"/>
    <w:rsid w:val="002B160C"/>
    <w:rsid w:val="002B1C53"/>
    <w:rsid w:val="002B1E46"/>
    <w:rsid w:val="002B1F44"/>
    <w:rsid w:val="002B2062"/>
    <w:rsid w:val="002B2170"/>
    <w:rsid w:val="002B21CA"/>
    <w:rsid w:val="002B24B0"/>
    <w:rsid w:val="002B25A5"/>
    <w:rsid w:val="002B2635"/>
    <w:rsid w:val="002B2661"/>
    <w:rsid w:val="002B27C9"/>
    <w:rsid w:val="002B28A6"/>
    <w:rsid w:val="002B2B4F"/>
    <w:rsid w:val="002B2DD6"/>
    <w:rsid w:val="002B369D"/>
    <w:rsid w:val="002B3712"/>
    <w:rsid w:val="002B3745"/>
    <w:rsid w:val="002B3B08"/>
    <w:rsid w:val="002B3B12"/>
    <w:rsid w:val="002B3C8B"/>
    <w:rsid w:val="002B3F3C"/>
    <w:rsid w:val="002B42EE"/>
    <w:rsid w:val="002B4708"/>
    <w:rsid w:val="002B4B09"/>
    <w:rsid w:val="002B4C59"/>
    <w:rsid w:val="002B4C99"/>
    <w:rsid w:val="002B4F29"/>
    <w:rsid w:val="002B4F57"/>
    <w:rsid w:val="002B5222"/>
    <w:rsid w:val="002B53AF"/>
    <w:rsid w:val="002B54DB"/>
    <w:rsid w:val="002B5581"/>
    <w:rsid w:val="002B55DD"/>
    <w:rsid w:val="002B5620"/>
    <w:rsid w:val="002B5808"/>
    <w:rsid w:val="002B5B56"/>
    <w:rsid w:val="002B5BAC"/>
    <w:rsid w:val="002B5CCE"/>
    <w:rsid w:val="002B5D5C"/>
    <w:rsid w:val="002B5FBB"/>
    <w:rsid w:val="002B6036"/>
    <w:rsid w:val="002B60DF"/>
    <w:rsid w:val="002B6257"/>
    <w:rsid w:val="002B646D"/>
    <w:rsid w:val="002B6652"/>
    <w:rsid w:val="002B6655"/>
    <w:rsid w:val="002B6669"/>
    <w:rsid w:val="002B6951"/>
    <w:rsid w:val="002B7205"/>
    <w:rsid w:val="002B741A"/>
    <w:rsid w:val="002B7518"/>
    <w:rsid w:val="002B78AE"/>
    <w:rsid w:val="002B78BB"/>
    <w:rsid w:val="002B7936"/>
    <w:rsid w:val="002B7A39"/>
    <w:rsid w:val="002B7BD5"/>
    <w:rsid w:val="002B7C9C"/>
    <w:rsid w:val="002B7FEE"/>
    <w:rsid w:val="002C010D"/>
    <w:rsid w:val="002C0454"/>
    <w:rsid w:val="002C083A"/>
    <w:rsid w:val="002C0A60"/>
    <w:rsid w:val="002C1138"/>
    <w:rsid w:val="002C113F"/>
    <w:rsid w:val="002C14BD"/>
    <w:rsid w:val="002C14EC"/>
    <w:rsid w:val="002C1604"/>
    <w:rsid w:val="002C193F"/>
    <w:rsid w:val="002C1CE8"/>
    <w:rsid w:val="002C1D34"/>
    <w:rsid w:val="002C1D5B"/>
    <w:rsid w:val="002C1E3F"/>
    <w:rsid w:val="002C1EF7"/>
    <w:rsid w:val="002C2087"/>
    <w:rsid w:val="002C217A"/>
    <w:rsid w:val="002C22B6"/>
    <w:rsid w:val="002C2422"/>
    <w:rsid w:val="002C2423"/>
    <w:rsid w:val="002C2495"/>
    <w:rsid w:val="002C2777"/>
    <w:rsid w:val="002C27B8"/>
    <w:rsid w:val="002C2B3F"/>
    <w:rsid w:val="002C2D72"/>
    <w:rsid w:val="002C2EAF"/>
    <w:rsid w:val="002C2FB5"/>
    <w:rsid w:val="002C314C"/>
    <w:rsid w:val="002C3554"/>
    <w:rsid w:val="002C39F9"/>
    <w:rsid w:val="002C3B3C"/>
    <w:rsid w:val="002C3FF4"/>
    <w:rsid w:val="002C458F"/>
    <w:rsid w:val="002C45AC"/>
    <w:rsid w:val="002C48F1"/>
    <w:rsid w:val="002C48F8"/>
    <w:rsid w:val="002C4A19"/>
    <w:rsid w:val="002C4AFC"/>
    <w:rsid w:val="002C5226"/>
    <w:rsid w:val="002C52EF"/>
    <w:rsid w:val="002C5326"/>
    <w:rsid w:val="002C5339"/>
    <w:rsid w:val="002C585D"/>
    <w:rsid w:val="002C5A00"/>
    <w:rsid w:val="002C5CD5"/>
    <w:rsid w:val="002C5CF4"/>
    <w:rsid w:val="002C5F84"/>
    <w:rsid w:val="002C6202"/>
    <w:rsid w:val="002C63FB"/>
    <w:rsid w:val="002C6496"/>
    <w:rsid w:val="002C6BAC"/>
    <w:rsid w:val="002C6C51"/>
    <w:rsid w:val="002C71DF"/>
    <w:rsid w:val="002C7536"/>
    <w:rsid w:val="002C7757"/>
    <w:rsid w:val="002C7B8C"/>
    <w:rsid w:val="002C7DD5"/>
    <w:rsid w:val="002C7E65"/>
    <w:rsid w:val="002C7FBF"/>
    <w:rsid w:val="002D034C"/>
    <w:rsid w:val="002D075F"/>
    <w:rsid w:val="002D09E1"/>
    <w:rsid w:val="002D0C2A"/>
    <w:rsid w:val="002D0F5C"/>
    <w:rsid w:val="002D0F9F"/>
    <w:rsid w:val="002D0FA4"/>
    <w:rsid w:val="002D14DB"/>
    <w:rsid w:val="002D1572"/>
    <w:rsid w:val="002D1638"/>
    <w:rsid w:val="002D17EA"/>
    <w:rsid w:val="002D1802"/>
    <w:rsid w:val="002D18F1"/>
    <w:rsid w:val="002D191D"/>
    <w:rsid w:val="002D1ACF"/>
    <w:rsid w:val="002D1B32"/>
    <w:rsid w:val="002D1B3A"/>
    <w:rsid w:val="002D1B8F"/>
    <w:rsid w:val="002D1BBF"/>
    <w:rsid w:val="002D1FB8"/>
    <w:rsid w:val="002D22AE"/>
    <w:rsid w:val="002D2316"/>
    <w:rsid w:val="002D24E5"/>
    <w:rsid w:val="002D259F"/>
    <w:rsid w:val="002D28AE"/>
    <w:rsid w:val="002D2CE0"/>
    <w:rsid w:val="002D2F24"/>
    <w:rsid w:val="002D2FEF"/>
    <w:rsid w:val="002D35DD"/>
    <w:rsid w:val="002D384C"/>
    <w:rsid w:val="002D3A3D"/>
    <w:rsid w:val="002D3AC0"/>
    <w:rsid w:val="002D3AF6"/>
    <w:rsid w:val="002D3AFF"/>
    <w:rsid w:val="002D3BE3"/>
    <w:rsid w:val="002D3C1F"/>
    <w:rsid w:val="002D3C2C"/>
    <w:rsid w:val="002D3D6A"/>
    <w:rsid w:val="002D3FB3"/>
    <w:rsid w:val="002D4651"/>
    <w:rsid w:val="002D4865"/>
    <w:rsid w:val="002D4A7E"/>
    <w:rsid w:val="002D4AB4"/>
    <w:rsid w:val="002D4B7B"/>
    <w:rsid w:val="002D4B9F"/>
    <w:rsid w:val="002D4D1D"/>
    <w:rsid w:val="002D4D86"/>
    <w:rsid w:val="002D5257"/>
    <w:rsid w:val="002D5360"/>
    <w:rsid w:val="002D5376"/>
    <w:rsid w:val="002D544C"/>
    <w:rsid w:val="002D5756"/>
    <w:rsid w:val="002D576C"/>
    <w:rsid w:val="002D58CC"/>
    <w:rsid w:val="002D597E"/>
    <w:rsid w:val="002D5C96"/>
    <w:rsid w:val="002D5DF8"/>
    <w:rsid w:val="002D5E69"/>
    <w:rsid w:val="002D60BB"/>
    <w:rsid w:val="002D6190"/>
    <w:rsid w:val="002D6548"/>
    <w:rsid w:val="002D6588"/>
    <w:rsid w:val="002D67FB"/>
    <w:rsid w:val="002D68E1"/>
    <w:rsid w:val="002D6BEE"/>
    <w:rsid w:val="002D6D93"/>
    <w:rsid w:val="002D70E1"/>
    <w:rsid w:val="002D70E8"/>
    <w:rsid w:val="002D7106"/>
    <w:rsid w:val="002D7627"/>
    <w:rsid w:val="002D7695"/>
    <w:rsid w:val="002D76D6"/>
    <w:rsid w:val="002D76FC"/>
    <w:rsid w:val="002D7821"/>
    <w:rsid w:val="002D7B7E"/>
    <w:rsid w:val="002D7E2A"/>
    <w:rsid w:val="002D7EDA"/>
    <w:rsid w:val="002E013F"/>
    <w:rsid w:val="002E056A"/>
    <w:rsid w:val="002E0628"/>
    <w:rsid w:val="002E09E1"/>
    <w:rsid w:val="002E0A71"/>
    <w:rsid w:val="002E0C6A"/>
    <w:rsid w:val="002E0CAA"/>
    <w:rsid w:val="002E0DB8"/>
    <w:rsid w:val="002E0F22"/>
    <w:rsid w:val="002E12EF"/>
    <w:rsid w:val="002E151A"/>
    <w:rsid w:val="002E166C"/>
    <w:rsid w:val="002E16C5"/>
    <w:rsid w:val="002E1AC5"/>
    <w:rsid w:val="002E1B93"/>
    <w:rsid w:val="002E1BB0"/>
    <w:rsid w:val="002E1BBF"/>
    <w:rsid w:val="002E1D0D"/>
    <w:rsid w:val="002E2053"/>
    <w:rsid w:val="002E20BC"/>
    <w:rsid w:val="002E2160"/>
    <w:rsid w:val="002E2663"/>
    <w:rsid w:val="002E29D3"/>
    <w:rsid w:val="002E2B35"/>
    <w:rsid w:val="002E2B92"/>
    <w:rsid w:val="002E2E7F"/>
    <w:rsid w:val="002E2FBB"/>
    <w:rsid w:val="002E318A"/>
    <w:rsid w:val="002E355F"/>
    <w:rsid w:val="002E3693"/>
    <w:rsid w:val="002E37C0"/>
    <w:rsid w:val="002E3954"/>
    <w:rsid w:val="002E3A88"/>
    <w:rsid w:val="002E3B21"/>
    <w:rsid w:val="002E3F1B"/>
    <w:rsid w:val="002E4024"/>
    <w:rsid w:val="002E4260"/>
    <w:rsid w:val="002E4276"/>
    <w:rsid w:val="002E4B4A"/>
    <w:rsid w:val="002E4C32"/>
    <w:rsid w:val="002E4FF0"/>
    <w:rsid w:val="002E525B"/>
    <w:rsid w:val="002E52FB"/>
    <w:rsid w:val="002E53D7"/>
    <w:rsid w:val="002E5507"/>
    <w:rsid w:val="002E596A"/>
    <w:rsid w:val="002E59A0"/>
    <w:rsid w:val="002E5A42"/>
    <w:rsid w:val="002E5B3E"/>
    <w:rsid w:val="002E5D6D"/>
    <w:rsid w:val="002E604F"/>
    <w:rsid w:val="002E62E1"/>
    <w:rsid w:val="002E634B"/>
    <w:rsid w:val="002E63B2"/>
    <w:rsid w:val="002E6436"/>
    <w:rsid w:val="002E64CB"/>
    <w:rsid w:val="002E6514"/>
    <w:rsid w:val="002E66BD"/>
    <w:rsid w:val="002E6B5F"/>
    <w:rsid w:val="002E6C05"/>
    <w:rsid w:val="002E71F3"/>
    <w:rsid w:val="002E7367"/>
    <w:rsid w:val="002E7729"/>
    <w:rsid w:val="002E7D6F"/>
    <w:rsid w:val="002F0070"/>
    <w:rsid w:val="002F01DA"/>
    <w:rsid w:val="002F0450"/>
    <w:rsid w:val="002F060E"/>
    <w:rsid w:val="002F0613"/>
    <w:rsid w:val="002F084B"/>
    <w:rsid w:val="002F08F0"/>
    <w:rsid w:val="002F090C"/>
    <w:rsid w:val="002F091C"/>
    <w:rsid w:val="002F0A35"/>
    <w:rsid w:val="002F0A9C"/>
    <w:rsid w:val="002F0AA9"/>
    <w:rsid w:val="002F0C29"/>
    <w:rsid w:val="002F0FCC"/>
    <w:rsid w:val="002F1878"/>
    <w:rsid w:val="002F208C"/>
    <w:rsid w:val="002F2405"/>
    <w:rsid w:val="002F25AB"/>
    <w:rsid w:val="002F267F"/>
    <w:rsid w:val="002F280A"/>
    <w:rsid w:val="002F28A8"/>
    <w:rsid w:val="002F2CD5"/>
    <w:rsid w:val="002F2D0E"/>
    <w:rsid w:val="002F2E1E"/>
    <w:rsid w:val="002F30E6"/>
    <w:rsid w:val="002F31D7"/>
    <w:rsid w:val="002F33AF"/>
    <w:rsid w:val="002F33D3"/>
    <w:rsid w:val="002F378D"/>
    <w:rsid w:val="002F3C03"/>
    <w:rsid w:val="002F3CB4"/>
    <w:rsid w:val="002F3E73"/>
    <w:rsid w:val="002F3FD3"/>
    <w:rsid w:val="002F4011"/>
    <w:rsid w:val="002F40AB"/>
    <w:rsid w:val="002F42C7"/>
    <w:rsid w:val="002F466B"/>
    <w:rsid w:val="002F4B95"/>
    <w:rsid w:val="002F4DC9"/>
    <w:rsid w:val="002F4E09"/>
    <w:rsid w:val="002F4E58"/>
    <w:rsid w:val="002F5122"/>
    <w:rsid w:val="002F537D"/>
    <w:rsid w:val="002F55DA"/>
    <w:rsid w:val="002F57D9"/>
    <w:rsid w:val="002F5890"/>
    <w:rsid w:val="002F5BEA"/>
    <w:rsid w:val="002F5CAF"/>
    <w:rsid w:val="002F6241"/>
    <w:rsid w:val="002F65F0"/>
    <w:rsid w:val="002F6971"/>
    <w:rsid w:val="002F6AAA"/>
    <w:rsid w:val="002F6CF6"/>
    <w:rsid w:val="002F6EC9"/>
    <w:rsid w:val="002F6F79"/>
    <w:rsid w:val="002F707B"/>
    <w:rsid w:val="002F70C9"/>
    <w:rsid w:val="002F73EA"/>
    <w:rsid w:val="002F745E"/>
    <w:rsid w:val="002F76F9"/>
    <w:rsid w:val="002F7767"/>
    <w:rsid w:val="002F7821"/>
    <w:rsid w:val="002F7849"/>
    <w:rsid w:val="002F7921"/>
    <w:rsid w:val="002F79A5"/>
    <w:rsid w:val="002F7AC8"/>
    <w:rsid w:val="002F7CC7"/>
    <w:rsid w:val="002F7E2F"/>
    <w:rsid w:val="00300140"/>
    <w:rsid w:val="00300262"/>
    <w:rsid w:val="003003D3"/>
    <w:rsid w:val="003003EF"/>
    <w:rsid w:val="00300523"/>
    <w:rsid w:val="00300553"/>
    <w:rsid w:val="0030063A"/>
    <w:rsid w:val="003007A2"/>
    <w:rsid w:val="00300923"/>
    <w:rsid w:val="00300CF3"/>
    <w:rsid w:val="00300E01"/>
    <w:rsid w:val="00301067"/>
    <w:rsid w:val="00301642"/>
    <w:rsid w:val="003017E9"/>
    <w:rsid w:val="003018E4"/>
    <w:rsid w:val="003018E5"/>
    <w:rsid w:val="00301C03"/>
    <w:rsid w:val="00301F27"/>
    <w:rsid w:val="003020B3"/>
    <w:rsid w:val="00302454"/>
    <w:rsid w:val="00302775"/>
    <w:rsid w:val="003027B6"/>
    <w:rsid w:val="00302859"/>
    <w:rsid w:val="00302897"/>
    <w:rsid w:val="0030290E"/>
    <w:rsid w:val="00302A4E"/>
    <w:rsid w:val="00302AD0"/>
    <w:rsid w:val="00302AE9"/>
    <w:rsid w:val="00302B44"/>
    <w:rsid w:val="00302B85"/>
    <w:rsid w:val="00302E4B"/>
    <w:rsid w:val="00302F59"/>
    <w:rsid w:val="00302FE1"/>
    <w:rsid w:val="003032F4"/>
    <w:rsid w:val="00303309"/>
    <w:rsid w:val="003039AB"/>
    <w:rsid w:val="003039DB"/>
    <w:rsid w:val="00303C40"/>
    <w:rsid w:val="00303CD8"/>
    <w:rsid w:val="00304127"/>
    <w:rsid w:val="00304462"/>
    <w:rsid w:val="00304492"/>
    <w:rsid w:val="00304665"/>
    <w:rsid w:val="0030469A"/>
    <w:rsid w:val="0030472B"/>
    <w:rsid w:val="00304814"/>
    <w:rsid w:val="00304893"/>
    <w:rsid w:val="00304A79"/>
    <w:rsid w:val="00304AF7"/>
    <w:rsid w:val="00304BB2"/>
    <w:rsid w:val="00304FC6"/>
    <w:rsid w:val="0030506B"/>
    <w:rsid w:val="003050A7"/>
    <w:rsid w:val="003051BF"/>
    <w:rsid w:val="003053B5"/>
    <w:rsid w:val="003054DE"/>
    <w:rsid w:val="0030587D"/>
    <w:rsid w:val="0030595A"/>
    <w:rsid w:val="00305B96"/>
    <w:rsid w:val="00305BE3"/>
    <w:rsid w:val="00305C4A"/>
    <w:rsid w:val="00305C5A"/>
    <w:rsid w:val="0030618F"/>
    <w:rsid w:val="003062AB"/>
    <w:rsid w:val="00306564"/>
    <w:rsid w:val="00306790"/>
    <w:rsid w:val="00306884"/>
    <w:rsid w:val="00306908"/>
    <w:rsid w:val="0030723C"/>
    <w:rsid w:val="00307431"/>
    <w:rsid w:val="0030750F"/>
    <w:rsid w:val="00307572"/>
    <w:rsid w:val="0030783E"/>
    <w:rsid w:val="003078B1"/>
    <w:rsid w:val="003079B3"/>
    <w:rsid w:val="00307E4C"/>
    <w:rsid w:val="00307E6F"/>
    <w:rsid w:val="00310310"/>
    <w:rsid w:val="00310463"/>
    <w:rsid w:val="003104FC"/>
    <w:rsid w:val="00310942"/>
    <w:rsid w:val="00310A4F"/>
    <w:rsid w:val="00310A88"/>
    <w:rsid w:val="00310B32"/>
    <w:rsid w:val="00310B86"/>
    <w:rsid w:val="00310F50"/>
    <w:rsid w:val="003111F9"/>
    <w:rsid w:val="0031123E"/>
    <w:rsid w:val="0031131C"/>
    <w:rsid w:val="0031155F"/>
    <w:rsid w:val="0031168E"/>
    <w:rsid w:val="003117B7"/>
    <w:rsid w:val="00311912"/>
    <w:rsid w:val="00311A83"/>
    <w:rsid w:val="00311EB2"/>
    <w:rsid w:val="00311ECA"/>
    <w:rsid w:val="00311EE9"/>
    <w:rsid w:val="003121C1"/>
    <w:rsid w:val="003121F9"/>
    <w:rsid w:val="00312278"/>
    <w:rsid w:val="0031239B"/>
    <w:rsid w:val="003123E4"/>
    <w:rsid w:val="0031274F"/>
    <w:rsid w:val="00312A37"/>
    <w:rsid w:val="00312AFA"/>
    <w:rsid w:val="00312B3C"/>
    <w:rsid w:val="00312C7C"/>
    <w:rsid w:val="00312D63"/>
    <w:rsid w:val="00313383"/>
    <w:rsid w:val="00313568"/>
    <w:rsid w:val="003137D6"/>
    <w:rsid w:val="003139A7"/>
    <w:rsid w:val="003139B7"/>
    <w:rsid w:val="00313AB7"/>
    <w:rsid w:val="00313AD9"/>
    <w:rsid w:val="00313EDD"/>
    <w:rsid w:val="00313F13"/>
    <w:rsid w:val="003141CA"/>
    <w:rsid w:val="0031427E"/>
    <w:rsid w:val="0031475E"/>
    <w:rsid w:val="00314A18"/>
    <w:rsid w:val="00314BE0"/>
    <w:rsid w:val="00314D43"/>
    <w:rsid w:val="00314FA1"/>
    <w:rsid w:val="00315047"/>
    <w:rsid w:val="0031561D"/>
    <w:rsid w:val="00315697"/>
    <w:rsid w:val="00315A3B"/>
    <w:rsid w:val="00315EF3"/>
    <w:rsid w:val="00315F1E"/>
    <w:rsid w:val="0031607E"/>
    <w:rsid w:val="00316357"/>
    <w:rsid w:val="00316397"/>
    <w:rsid w:val="00316657"/>
    <w:rsid w:val="003168AC"/>
    <w:rsid w:val="003168B6"/>
    <w:rsid w:val="00316A87"/>
    <w:rsid w:val="00316ABB"/>
    <w:rsid w:val="00317239"/>
    <w:rsid w:val="00317364"/>
    <w:rsid w:val="0031748C"/>
    <w:rsid w:val="0031758D"/>
    <w:rsid w:val="003175D5"/>
    <w:rsid w:val="003176C2"/>
    <w:rsid w:val="00317921"/>
    <w:rsid w:val="00317D99"/>
    <w:rsid w:val="00317E87"/>
    <w:rsid w:val="00317EC2"/>
    <w:rsid w:val="00317F1C"/>
    <w:rsid w:val="0032010D"/>
    <w:rsid w:val="0032016F"/>
    <w:rsid w:val="0032035F"/>
    <w:rsid w:val="00320827"/>
    <w:rsid w:val="003209BA"/>
    <w:rsid w:val="00320A8C"/>
    <w:rsid w:val="00320CBD"/>
    <w:rsid w:val="00320DD9"/>
    <w:rsid w:val="00320DDD"/>
    <w:rsid w:val="00320E07"/>
    <w:rsid w:val="00320EEC"/>
    <w:rsid w:val="00321146"/>
    <w:rsid w:val="00321256"/>
    <w:rsid w:val="003212A6"/>
    <w:rsid w:val="0032146D"/>
    <w:rsid w:val="00321773"/>
    <w:rsid w:val="00321C29"/>
    <w:rsid w:val="00322058"/>
    <w:rsid w:val="0032213B"/>
    <w:rsid w:val="0032228D"/>
    <w:rsid w:val="00322493"/>
    <w:rsid w:val="003225CE"/>
    <w:rsid w:val="0032265F"/>
    <w:rsid w:val="003228CF"/>
    <w:rsid w:val="00322A20"/>
    <w:rsid w:val="00322A26"/>
    <w:rsid w:val="00322A29"/>
    <w:rsid w:val="00322C7B"/>
    <w:rsid w:val="00322D11"/>
    <w:rsid w:val="00322F4E"/>
    <w:rsid w:val="003232D4"/>
    <w:rsid w:val="003234E2"/>
    <w:rsid w:val="00323668"/>
    <w:rsid w:val="003236D4"/>
    <w:rsid w:val="00323710"/>
    <w:rsid w:val="00323CF5"/>
    <w:rsid w:val="00323D01"/>
    <w:rsid w:val="00323D68"/>
    <w:rsid w:val="00323DAB"/>
    <w:rsid w:val="00323DC5"/>
    <w:rsid w:val="00323DEF"/>
    <w:rsid w:val="00323E68"/>
    <w:rsid w:val="00323E79"/>
    <w:rsid w:val="00324070"/>
    <w:rsid w:val="003241FD"/>
    <w:rsid w:val="003243A8"/>
    <w:rsid w:val="00324421"/>
    <w:rsid w:val="00324BFD"/>
    <w:rsid w:val="00324D2D"/>
    <w:rsid w:val="00324F92"/>
    <w:rsid w:val="00325363"/>
    <w:rsid w:val="00325709"/>
    <w:rsid w:val="0032581B"/>
    <w:rsid w:val="0032582E"/>
    <w:rsid w:val="0032585B"/>
    <w:rsid w:val="00325AF5"/>
    <w:rsid w:val="00325E2C"/>
    <w:rsid w:val="00325E3A"/>
    <w:rsid w:val="0032647D"/>
    <w:rsid w:val="003264E0"/>
    <w:rsid w:val="00326546"/>
    <w:rsid w:val="003266B8"/>
    <w:rsid w:val="0032671A"/>
    <w:rsid w:val="00326ED5"/>
    <w:rsid w:val="00327069"/>
    <w:rsid w:val="00327513"/>
    <w:rsid w:val="00327A3F"/>
    <w:rsid w:val="00327BB6"/>
    <w:rsid w:val="00327CA8"/>
    <w:rsid w:val="00327D7B"/>
    <w:rsid w:val="00330061"/>
    <w:rsid w:val="003300AB"/>
    <w:rsid w:val="003301A2"/>
    <w:rsid w:val="00330766"/>
    <w:rsid w:val="00330776"/>
    <w:rsid w:val="0033079D"/>
    <w:rsid w:val="00330817"/>
    <w:rsid w:val="00330989"/>
    <w:rsid w:val="003309E2"/>
    <w:rsid w:val="00330A43"/>
    <w:rsid w:val="00331327"/>
    <w:rsid w:val="00331348"/>
    <w:rsid w:val="00331426"/>
    <w:rsid w:val="003317A0"/>
    <w:rsid w:val="003317A8"/>
    <w:rsid w:val="00331973"/>
    <w:rsid w:val="00331AF7"/>
    <w:rsid w:val="00331B33"/>
    <w:rsid w:val="00331C51"/>
    <w:rsid w:val="00331E49"/>
    <w:rsid w:val="003320E2"/>
    <w:rsid w:val="003322AA"/>
    <w:rsid w:val="003322EB"/>
    <w:rsid w:val="0033232B"/>
    <w:rsid w:val="003323C8"/>
    <w:rsid w:val="00332459"/>
    <w:rsid w:val="003324D4"/>
    <w:rsid w:val="00332919"/>
    <w:rsid w:val="003329F9"/>
    <w:rsid w:val="00332AF2"/>
    <w:rsid w:val="00332EAA"/>
    <w:rsid w:val="0033356A"/>
    <w:rsid w:val="00333651"/>
    <w:rsid w:val="00333AC5"/>
    <w:rsid w:val="00333C62"/>
    <w:rsid w:val="00334164"/>
    <w:rsid w:val="00334241"/>
    <w:rsid w:val="0033436E"/>
    <w:rsid w:val="003343BA"/>
    <w:rsid w:val="00334534"/>
    <w:rsid w:val="00334C7C"/>
    <w:rsid w:val="00334CD6"/>
    <w:rsid w:val="00334F4D"/>
    <w:rsid w:val="00334FD5"/>
    <w:rsid w:val="003350A0"/>
    <w:rsid w:val="003351D2"/>
    <w:rsid w:val="00335340"/>
    <w:rsid w:val="00335488"/>
    <w:rsid w:val="00335AFA"/>
    <w:rsid w:val="00335EC3"/>
    <w:rsid w:val="00336091"/>
    <w:rsid w:val="003361BB"/>
    <w:rsid w:val="00336298"/>
    <w:rsid w:val="0033695D"/>
    <w:rsid w:val="00336994"/>
    <w:rsid w:val="003369BD"/>
    <w:rsid w:val="00336C70"/>
    <w:rsid w:val="00336CF9"/>
    <w:rsid w:val="00336E5F"/>
    <w:rsid w:val="00336E79"/>
    <w:rsid w:val="003373CB"/>
    <w:rsid w:val="003374CA"/>
    <w:rsid w:val="00337684"/>
    <w:rsid w:val="003378D8"/>
    <w:rsid w:val="00337927"/>
    <w:rsid w:val="0033795F"/>
    <w:rsid w:val="00337DBA"/>
    <w:rsid w:val="0034013B"/>
    <w:rsid w:val="00340268"/>
    <w:rsid w:val="0034034A"/>
    <w:rsid w:val="003407E0"/>
    <w:rsid w:val="003408A2"/>
    <w:rsid w:val="00340ED9"/>
    <w:rsid w:val="00341078"/>
    <w:rsid w:val="00341152"/>
    <w:rsid w:val="00341192"/>
    <w:rsid w:val="00341390"/>
    <w:rsid w:val="00341544"/>
    <w:rsid w:val="00341A93"/>
    <w:rsid w:val="00341BFE"/>
    <w:rsid w:val="00341D24"/>
    <w:rsid w:val="00341E1A"/>
    <w:rsid w:val="00341E39"/>
    <w:rsid w:val="00341EA9"/>
    <w:rsid w:val="003420C7"/>
    <w:rsid w:val="0034222B"/>
    <w:rsid w:val="003422DC"/>
    <w:rsid w:val="003422F7"/>
    <w:rsid w:val="00342E85"/>
    <w:rsid w:val="00342EBC"/>
    <w:rsid w:val="003430EC"/>
    <w:rsid w:val="00343116"/>
    <w:rsid w:val="003432C9"/>
    <w:rsid w:val="0034344C"/>
    <w:rsid w:val="00343710"/>
    <w:rsid w:val="0034375D"/>
    <w:rsid w:val="003437E2"/>
    <w:rsid w:val="00343BF2"/>
    <w:rsid w:val="00343C37"/>
    <w:rsid w:val="00343E70"/>
    <w:rsid w:val="00343F4D"/>
    <w:rsid w:val="00343F9C"/>
    <w:rsid w:val="003440E6"/>
    <w:rsid w:val="00344216"/>
    <w:rsid w:val="00344549"/>
    <w:rsid w:val="00344755"/>
    <w:rsid w:val="003449A0"/>
    <w:rsid w:val="00344BF1"/>
    <w:rsid w:val="00344F7B"/>
    <w:rsid w:val="0034508F"/>
    <w:rsid w:val="00345151"/>
    <w:rsid w:val="00345227"/>
    <w:rsid w:val="0034532B"/>
    <w:rsid w:val="00345396"/>
    <w:rsid w:val="003453AD"/>
    <w:rsid w:val="0034560B"/>
    <w:rsid w:val="0034613D"/>
    <w:rsid w:val="00346217"/>
    <w:rsid w:val="003463AA"/>
    <w:rsid w:val="003464D9"/>
    <w:rsid w:val="00346581"/>
    <w:rsid w:val="003466D8"/>
    <w:rsid w:val="0034690D"/>
    <w:rsid w:val="003469B5"/>
    <w:rsid w:val="003469F6"/>
    <w:rsid w:val="00346B4A"/>
    <w:rsid w:val="00346C34"/>
    <w:rsid w:val="003470F8"/>
    <w:rsid w:val="00347128"/>
    <w:rsid w:val="003472D6"/>
    <w:rsid w:val="003473B6"/>
    <w:rsid w:val="0034758C"/>
    <w:rsid w:val="0034763F"/>
    <w:rsid w:val="0034770A"/>
    <w:rsid w:val="003478E8"/>
    <w:rsid w:val="00347938"/>
    <w:rsid w:val="00347A11"/>
    <w:rsid w:val="00347B21"/>
    <w:rsid w:val="00347E5E"/>
    <w:rsid w:val="00347FD8"/>
    <w:rsid w:val="0035010B"/>
    <w:rsid w:val="00350683"/>
    <w:rsid w:val="003506B6"/>
    <w:rsid w:val="00350912"/>
    <w:rsid w:val="00350999"/>
    <w:rsid w:val="00350A30"/>
    <w:rsid w:val="00350AF2"/>
    <w:rsid w:val="00350BD3"/>
    <w:rsid w:val="00350D9C"/>
    <w:rsid w:val="00350DF2"/>
    <w:rsid w:val="00350E05"/>
    <w:rsid w:val="00350F98"/>
    <w:rsid w:val="00350FFE"/>
    <w:rsid w:val="00351251"/>
    <w:rsid w:val="003517F4"/>
    <w:rsid w:val="00351806"/>
    <w:rsid w:val="00351A5E"/>
    <w:rsid w:val="00351AB8"/>
    <w:rsid w:val="00351BA7"/>
    <w:rsid w:val="00351C10"/>
    <w:rsid w:val="00351DDE"/>
    <w:rsid w:val="00352196"/>
    <w:rsid w:val="00352226"/>
    <w:rsid w:val="003524E5"/>
    <w:rsid w:val="00352711"/>
    <w:rsid w:val="003527F7"/>
    <w:rsid w:val="003529B7"/>
    <w:rsid w:val="00352A11"/>
    <w:rsid w:val="00352BA9"/>
    <w:rsid w:val="00352BEC"/>
    <w:rsid w:val="00352C89"/>
    <w:rsid w:val="00352C8D"/>
    <w:rsid w:val="00352CA2"/>
    <w:rsid w:val="00352D66"/>
    <w:rsid w:val="0035300F"/>
    <w:rsid w:val="00353278"/>
    <w:rsid w:val="003532F3"/>
    <w:rsid w:val="00353472"/>
    <w:rsid w:val="003538F9"/>
    <w:rsid w:val="00353BC8"/>
    <w:rsid w:val="00353EB2"/>
    <w:rsid w:val="00354087"/>
    <w:rsid w:val="003540A8"/>
    <w:rsid w:val="00354848"/>
    <w:rsid w:val="00354874"/>
    <w:rsid w:val="003549D5"/>
    <w:rsid w:val="00354B68"/>
    <w:rsid w:val="00354C06"/>
    <w:rsid w:val="00354CEA"/>
    <w:rsid w:val="00354F6E"/>
    <w:rsid w:val="00354FB8"/>
    <w:rsid w:val="00354FE1"/>
    <w:rsid w:val="00355678"/>
    <w:rsid w:val="003556A9"/>
    <w:rsid w:val="003556AF"/>
    <w:rsid w:val="003559AB"/>
    <w:rsid w:val="00355E58"/>
    <w:rsid w:val="00355FF2"/>
    <w:rsid w:val="0035620E"/>
    <w:rsid w:val="00356212"/>
    <w:rsid w:val="00356605"/>
    <w:rsid w:val="003566E1"/>
    <w:rsid w:val="003567AE"/>
    <w:rsid w:val="003567F0"/>
    <w:rsid w:val="00356884"/>
    <w:rsid w:val="00356929"/>
    <w:rsid w:val="00356B44"/>
    <w:rsid w:val="00356C99"/>
    <w:rsid w:val="00356CB8"/>
    <w:rsid w:val="00356CF4"/>
    <w:rsid w:val="00356E0D"/>
    <w:rsid w:val="00356E18"/>
    <w:rsid w:val="00356ECB"/>
    <w:rsid w:val="0035701C"/>
    <w:rsid w:val="003573D6"/>
    <w:rsid w:val="003573E3"/>
    <w:rsid w:val="003574FC"/>
    <w:rsid w:val="00357647"/>
    <w:rsid w:val="00357757"/>
    <w:rsid w:val="0035781A"/>
    <w:rsid w:val="00357AA7"/>
    <w:rsid w:val="00357C33"/>
    <w:rsid w:val="00357F36"/>
    <w:rsid w:val="0036011D"/>
    <w:rsid w:val="0036013B"/>
    <w:rsid w:val="00360286"/>
    <w:rsid w:val="00360661"/>
    <w:rsid w:val="0036066B"/>
    <w:rsid w:val="0036077B"/>
    <w:rsid w:val="003607C5"/>
    <w:rsid w:val="0036089F"/>
    <w:rsid w:val="003608D2"/>
    <w:rsid w:val="00360D34"/>
    <w:rsid w:val="00360D99"/>
    <w:rsid w:val="00360FB4"/>
    <w:rsid w:val="003612EB"/>
    <w:rsid w:val="00361758"/>
    <w:rsid w:val="0036180C"/>
    <w:rsid w:val="0036188B"/>
    <w:rsid w:val="00361A1A"/>
    <w:rsid w:val="00361B4A"/>
    <w:rsid w:val="00361EC1"/>
    <w:rsid w:val="00361F5E"/>
    <w:rsid w:val="00361FB3"/>
    <w:rsid w:val="003621CD"/>
    <w:rsid w:val="003625A7"/>
    <w:rsid w:val="003625B9"/>
    <w:rsid w:val="00362B60"/>
    <w:rsid w:val="00362C52"/>
    <w:rsid w:val="00362F87"/>
    <w:rsid w:val="00362FA9"/>
    <w:rsid w:val="003633A3"/>
    <w:rsid w:val="003633F5"/>
    <w:rsid w:val="0036398B"/>
    <w:rsid w:val="00363CB9"/>
    <w:rsid w:val="00363CBC"/>
    <w:rsid w:val="00364341"/>
    <w:rsid w:val="00364955"/>
    <w:rsid w:val="003649C0"/>
    <w:rsid w:val="00364A48"/>
    <w:rsid w:val="00364E9D"/>
    <w:rsid w:val="00365521"/>
    <w:rsid w:val="0036562D"/>
    <w:rsid w:val="00365697"/>
    <w:rsid w:val="003658FD"/>
    <w:rsid w:val="003659BF"/>
    <w:rsid w:val="00365EFD"/>
    <w:rsid w:val="003661FA"/>
    <w:rsid w:val="0036626A"/>
    <w:rsid w:val="003664DB"/>
    <w:rsid w:val="0036672B"/>
    <w:rsid w:val="00366B2E"/>
    <w:rsid w:val="00366D04"/>
    <w:rsid w:val="00367480"/>
    <w:rsid w:val="003674F3"/>
    <w:rsid w:val="003675F0"/>
    <w:rsid w:val="0036764F"/>
    <w:rsid w:val="0036767A"/>
    <w:rsid w:val="00367A6A"/>
    <w:rsid w:val="00367D42"/>
    <w:rsid w:val="00367E8C"/>
    <w:rsid w:val="00367FDB"/>
    <w:rsid w:val="003702D5"/>
    <w:rsid w:val="00370353"/>
    <w:rsid w:val="003704A0"/>
    <w:rsid w:val="0037077C"/>
    <w:rsid w:val="0037081C"/>
    <w:rsid w:val="00370C69"/>
    <w:rsid w:val="00370D4D"/>
    <w:rsid w:val="00370D5E"/>
    <w:rsid w:val="00370F81"/>
    <w:rsid w:val="0037115C"/>
    <w:rsid w:val="0037171D"/>
    <w:rsid w:val="003717EF"/>
    <w:rsid w:val="00371BE2"/>
    <w:rsid w:val="00371CC1"/>
    <w:rsid w:val="00371F25"/>
    <w:rsid w:val="0037247C"/>
    <w:rsid w:val="003724A2"/>
    <w:rsid w:val="00372A5B"/>
    <w:rsid w:val="00372C91"/>
    <w:rsid w:val="00373066"/>
    <w:rsid w:val="00373091"/>
    <w:rsid w:val="00373097"/>
    <w:rsid w:val="003735D0"/>
    <w:rsid w:val="00373696"/>
    <w:rsid w:val="003737FE"/>
    <w:rsid w:val="00373AD0"/>
    <w:rsid w:val="00373B12"/>
    <w:rsid w:val="00373B81"/>
    <w:rsid w:val="00373BAD"/>
    <w:rsid w:val="00373BCB"/>
    <w:rsid w:val="00373C8C"/>
    <w:rsid w:val="003740B4"/>
    <w:rsid w:val="00374224"/>
    <w:rsid w:val="00374469"/>
    <w:rsid w:val="003745A9"/>
    <w:rsid w:val="00374710"/>
    <w:rsid w:val="00374932"/>
    <w:rsid w:val="00374BCA"/>
    <w:rsid w:val="00374C9C"/>
    <w:rsid w:val="003751F1"/>
    <w:rsid w:val="00375330"/>
    <w:rsid w:val="00375372"/>
    <w:rsid w:val="003755B5"/>
    <w:rsid w:val="0037573E"/>
    <w:rsid w:val="00375796"/>
    <w:rsid w:val="003757E6"/>
    <w:rsid w:val="00375A31"/>
    <w:rsid w:val="00375FA7"/>
    <w:rsid w:val="0037604F"/>
    <w:rsid w:val="00376121"/>
    <w:rsid w:val="003763BC"/>
    <w:rsid w:val="003765A4"/>
    <w:rsid w:val="003769FC"/>
    <w:rsid w:val="00376EA0"/>
    <w:rsid w:val="00376FB9"/>
    <w:rsid w:val="003771D3"/>
    <w:rsid w:val="00377249"/>
    <w:rsid w:val="003776C1"/>
    <w:rsid w:val="0037788C"/>
    <w:rsid w:val="00377B28"/>
    <w:rsid w:val="00377CE7"/>
    <w:rsid w:val="00377D7B"/>
    <w:rsid w:val="00377E4B"/>
    <w:rsid w:val="003801EA"/>
    <w:rsid w:val="0038021F"/>
    <w:rsid w:val="003802C6"/>
    <w:rsid w:val="0038051E"/>
    <w:rsid w:val="003807D4"/>
    <w:rsid w:val="00380940"/>
    <w:rsid w:val="00380B00"/>
    <w:rsid w:val="00380B2F"/>
    <w:rsid w:val="00380F26"/>
    <w:rsid w:val="00380F68"/>
    <w:rsid w:val="00381024"/>
    <w:rsid w:val="003810B8"/>
    <w:rsid w:val="0038135D"/>
    <w:rsid w:val="0038169E"/>
    <w:rsid w:val="0038170A"/>
    <w:rsid w:val="00381869"/>
    <w:rsid w:val="0038198C"/>
    <w:rsid w:val="003819C7"/>
    <w:rsid w:val="00381AB2"/>
    <w:rsid w:val="00381CB6"/>
    <w:rsid w:val="00382221"/>
    <w:rsid w:val="003823FC"/>
    <w:rsid w:val="00382652"/>
    <w:rsid w:val="00382EDE"/>
    <w:rsid w:val="00383A74"/>
    <w:rsid w:val="00383EB1"/>
    <w:rsid w:val="00383ED9"/>
    <w:rsid w:val="00383FC9"/>
    <w:rsid w:val="00383FDC"/>
    <w:rsid w:val="0038429A"/>
    <w:rsid w:val="003842B0"/>
    <w:rsid w:val="003846E0"/>
    <w:rsid w:val="003847CA"/>
    <w:rsid w:val="00384922"/>
    <w:rsid w:val="00384A9E"/>
    <w:rsid w:val="00384B82"/>
    <w:rsid w:val="00384BFB"/>
    <w:rsid w:val="00384C67"/>
    <w:rsid w:val="00384D0F"/>
    <w:rsid w:val="00384E2D"/>
    <w:rsid w:val="00384FA8"/>
    <w:rsid w:val="003851FE"/>
    <w:rsid w:val="00385433"/>
    <w:rsid w:val="003857FD"/>
    <w:rsid w:val="0038588D"/>
    <w:rsid w:val="003859C8"/>
    <w:rsid w:val="00385B7E"/>
    <w:rsid w:val="00385BA9"/>
    <w:rsid w:val="00385D4D"/>
    <w:rsid w:val="00385E8A"/>
    <w:rsid w:val="003861A4"/>
    <w:rsid w:val="00386427"/>
    <w:rsid w:val="00386761"/>
    <w:rsid w:val="00386B99"/>
    <w:rsid w:val="00386C2F"/>
    <w:rsid w:val="00386E3B"/>
    <w:rsid w:val="00386ECD"/>
    <w:rsid w:val="00386FF7"/>
    <w:rsid w:val="00387167"/>
    <w:rsid w:val="00387580"/>
    <w:rsid w:val="003875E3"/>
    <w:rsid w:val="003878EF"/>
    <w:rsid w:val="00387A1E"/>
    <w:rsid w:val="00387A6A"/>
    <w:rsid w:val="00390236"/>
    <w:rsid w:val="00390430"/>
    <w:rsid w:val="00390477"/>
    <w:rsid w:val="00390824"/>
    <w:rsid w:val="00390A02"/>
    <w:rsid w:val="00390A62"/>
    <w:rsid w:val="00390B39"/>
    <w:rsid w:val="00390E2E"/>
    <w:rsid w:val="00391001"/>
    <w:rsid w:val="003911F1"/>
    <w:rsid w:val="003917A1"/>
    <w:rsid w:val="00391871"/>
    <w:rsid w:val="00391D30"/>
    <w:rsid w:val="00391E51"/>
    <w:rsid w:val="00391EAB"/>
    <w:rsid w:val="00391EC6"/>
    <w:rsid w:val="00391F9B"/>
    <w:rsid w:val="003924C2"/>
    <w:rsid w:val="003924C8"/>
    <w:rsid w:val="003929CC"/>
    <w:rsid w:val="00392A89"/>
    <w:rsid w:val="00392C56"/>
    <w:rsid w:val="0039329F"/>
    <w:rsid w:val="0039387D"/>
    <w:rsid w:val="003939C2"/>
    <w:rsid w:val="00393A7F"/>
    <w:rsid w:val="00393AE3"/>
    <w:rsid w:val="00393F7B"/>
    <w:rsid w:val="0039451F"/>
    <w:rsid w:val="003948CE"/>
    <w:rsid w:val="00394A38"/>
    <w:rsid w:val="00394C5E"/>
    <w:rsid w:val="00394C5F"/>
    <w:rsid w:val="00394F0B"/>
    <w:rsid w:val="00395500"/>
    <w:rsid w:val="0039568C"/>
    <w:rsid w:val="003956F1"/>
    <w:rsid w:val="00395A73"/>
    <w:rsid w:val="00395BBF"/>
    <w:rsid w:val="00395C47"/>
    <w:rsid w:val="00395C89"/>
    <w:rsid w:val="00395D64"/>
    <w:rsid w:val="00395FAE"/>
    <w:rsid w:val="00396147"/>
    <w:rsid w:val="00396437"/>
    <w:rsid w:val="00396479"/>
    <w:rsid w:val="00396597"/>
    <w:rsid w:val="0039661A"/>
    <w:rsid w:val="0039661C"/>
    <w:rsid w:val="00396819"/>
    <w:rsid w:val="003969B0"/>
    <w:rsid w:val="00396A41"/>
    <w:rsid w:val="00396AA5"/>
    <w:rsid w:val="00396CCE"/>
    <w:rsid w:val="00396D2B"/>
    <w:rsid w:val="00396D87"/>
    <w:rsid w:val="0039723A"/>
    <w:rsid w:val="003972B9"/>
    <w:rsid w:val="0039730E"/>
    <w:rsid w:val="003974F5"/>
    <w:rsid w:val="00397764"/>
    <w:rsid w:val="00397853"/>
    <w:rsid w:val="003A02EA"/>
    <w:rsid w:val="003A03B6"/>
    <w:rsid w:val="003A08DA"/>
    <w:rsid w:val="003A0913"/>
    <w:rsid w:val="003A0BF2"/>
    <w:rsid w:val="003A0D90"/>
    <w:rsid w:val="003A0EC6"/>
    <w:rsid w:val="003A1128"/>
    <w:rsid w:val="003A1342"/>
    <w:rsid w:val="003A1488"/>
    <w:rsid w:val="003A1503"/>
    <w:rsid w:val="003A1640"/>
    <w:rsid w:val="003A1745"/>
    <w:rsid w:val="003A1BD6"/>
    <w:rsid w:val="003A1EDF"/>
    <w:rsid w:val="003A204B"/>
    <w:rsid w:val="003A22CB"/>
    <w:rsid w:val="003A24C7"/>
    <w:rsid w:val="003A24F4"/>
    <w:rsid w:val="003A2A3E"/>
    <w:rsid w:val="003A2B0D"/>
    <w:rsid w:val="003A2CA4"/>
    <w:rsid w:val="003A312F"/>
    <w:rsid w:val="003A32CF"/>
    <w:rsid w:val="003A330F"/>
    <w:rsid w:val="003A3737"/>
    <w:rsid w:val="003A37C2"/>
    <w:rsid w:val="003A3888"/>
    <w:rsid w:val="003A3AB8"/>
    <w:rsid w:val="003A3B15"/>
    <w:rsid w:val="003A412F"/>
    <w:rsid w:val="003A425D"/>
    <w:rsid w:val="003A42BE"/>
    <w:rsid w:val="003A470A"/>
    <w:rsid w:val="003A49DB"/>
    <w:rsid w:val="003A49E9"/>
    <w:rsid w:val="003A4B13"/>
    <w:rsid w:val="003A4D39"/>
    <w:rsid w:val="003A4D6D"/>
    <w:rsid w:val="003A4F47"/>
    <w:rsid w:val="003A5059"/>
    <w:rsid w:val="003A50E2"/>
    <w:rsid w:val="003A522F"/>
    <w:rsid w:val="003A52F9"/>
    <w:rsid w:val="003A547F"/>
    <w:rsid w:val="003A5679"/>
    <w:rsid w:val="003A5745"/>
    <w:rsid w:val="003A5B51"/>
    <w:rsid w:val="003A5CCA"/>
    <w:rsid w:val="003A5D34"/>
    <w:rsid w:val="003A5D3A"/>
    <w:rsid w:val="003A5DBF"/>
    <w:rsid w:val="003A6069"/>
    <w:rsid w:val="003A6363"/>
    <w:rsid w:val="003A64E2"/>
    <w:rsid w:val="003A65E8"/>
    <w:rsid w:val="003A6742"/>
    <w:rsid w:val="003A6775"/>
    <w:rsid w:val="003A68F7"/>
    <w:rsid w:val="003A6AEF"/>
    <w:rsid w:val="003A6B3A"/>
    <w:rsid w:val="003A6B50"/>
    <w:rsid w:val="003A71C7"/>
    <w:rsid w:val="003A71FD"/>
    <w:rsid w:val="003A7398"/>
    <w:rsid w:val="003A785E"/>
    <w:rsid w:val="003A7AF5"/>
    <w:rsid w:val="003A7FFC"/>
    <w:rsid w:val="003B0097"/>
    <w:rsid w:val="003B00BB"/>
    <w:rsid w:val="003B02AF"/>
    <w:rsid w:val="003B047C"/>
    <w:rsid w:val="003B05FA"/>
    <w:rsid w:val="003B0C41"/>
    <w:rsid w:val="003B178C"/>
    <w:rsid w:val="003B19B6"/>
    <w:rsid w:val="003B1A97"/>
    <w:rsid w:val="003B2043"/>
    <w:rsid w:val="003B24BC"/>
    <w:rsid w:val="003B2558"/>
    <w:rsid w:val="003B268E"/>
    <w:rsid w:val="003B278A"/>
    <w:rsid w:val="003B27E9"/>
    <w:rsid w:val="003B2927"/>
    <w:rsid w:val="003B2981"/>
    <w:rsid w:val="003B2C76"/>
    <w:rsid w:val="003B2EDB"/>
    <w:rsid w:val="003B3152"/>
    <w:rsid w:val="003B3227"/>
    <w:rsid w:val="003B33BE"/>
    <w:rsid w:val="003B3861"/>
    <w:rsid w:val="003B3B3B"/>
    <w:rsid w:val="003B3E22"/>
    <w:rsid w:val="003B40B7"/>
    <w:rsid w:val="003B40EF"/>
    <w:rsid w:val="003B41C2"/>
    <w:rsid w:val="003B4720"/>
    <w:rsid w:val="003B4769"/>
    <w:rsid w:val="003B4817"/>
    <w:rsid w:val="003B48BD"/>
    <w:rsid w:val="003B4F6C"/>
    <w:rsid w:val="003B5074"/>
    <w:rsid w:val="003B50E4"/>
    <w:rsid w:val="003B5D8E"/>
    <w:rsid w:val="003B5E81"/>
    <w:rsid w:val="003B5E92"/>
    <w:rsid w:val="003B62B9"/>
    <w:rsid w:val="003B62C1"/>
    <w:rsid w:val="003B643B"/>
    <w:rsid w:val="003B67F1"/>
    <w:rsid w:val="003B69E2"/>
    <w:rsid w:val="003B6A6B"/>
    <w:rsid w:val="003B6ECF"/>
    <w:rsid w:val="003B7171"/>
    <w:rsid w:val="003B71EA"/>
    <w:rsid w:val="003B7305"/>
    <w:rsid w:val="003B7449"/>
    <w:rsid w:val="003B74DA"/>
    <w:rsid w:val="003B7AB5"/>
    <w:rsid w:val="003B7FE4"/>
    <w:rsid w:val="003C0070"/>
    <w:rsid w:val="003C016A"/>
    <w:rsid w:val="003C016C"/>
    <w:rsid w:val="003C02B3"/>
    <w:rsid w:val="003C04D6"/>
    <w:rsid w:val="003C04F4"/>
    <w:rsid w:val="003C04FA"/>
    <w:rsid w:val="003C0891"/>
    <w:rsid w:val="003C08AC"/>
    <w:rsid w:val="003C0AAC"/>
    <w:rsid w:val="003C0B24"/>
    <w:rsid w:val="003C0C72"/>
    <w:rsid w:val="003C0D95"/>
    <w:rsid w:val="003C10D2"/>
    <w:rsid w:val="003C1107"/>
    <w:rsid w:val="003C11EA"/>
    <w:rsid w:val="003C150D"/>
    <w:rsid w:val="003C1528"/>
    <w:rsid w:val="003C187D"/>
    <w:rsid w:val="003C188A"/>
    <w:rsid w:val="003C18FA"/>
    <w:rsid w:val="003C1AFC"/>
    <w:rsid w:val="003C1F3D"/>
    <w:rsid w:val="003C209E"/>
    <w:rsid w:val="003C266A"/>
    <w:rsid w:val="003C2837"/>
    <w:rsid w:val="003C2A04"/>
    <w:rsid w:val="003C2AB1"/>
    <w:rsid w:val="003C2EAF"/>
    <w:rsid w:val="003C314E"/>
    <w:rsid w:val="003C3211"/>
    <w:rsid w:val="003C3713"/>
    <w:rsid w:val="003C3CE0"/>
    <w:rsid w:val="003C3EEE"/>
    <w:rsid w:val="003C431C"/>
    <w:rsid w:val="003C444D"/>
    <w:rsid w:val="003C4512"/>
    <w:rsid w:val="003C480D"/>
    <w:rsid w:val="003C4919"/>
    <w:rsid w:val="003C4B63"/>
    <w:rsid w:val="003C4BCE"/>
    <w:rsid w:val="003C4BE8"/>
    <w:rsid w:val="003C4C35"/>
    <w:rsid w:val="003C4CE8"/>
    <w:rsid w:val="003C50C1"/>
    <w:rsid w:val="003C5327"/>
    <w:rsid w:val="003C536A"/>
    <w:rsid w:val="003C5377"/>
    <w:rsid w:val="003C56D8"/>
    <w:rsid w:val="003C58C6"/>
    <w:rsid w:val="003C597C"/>
    <w:rsid w:val="003C5B89"/>
    <w:rsid w:val="003C5D3F"/>
    <w:rsid w:val="003C6459"/>
    <w:rsid w:val="003C65BB"/>
    <w:rsid w:val="003C6852"/>
    <w:rsid w:val="003C68BB"/>
    <w:rsid w:val="003C68D8"/>
    <w:rsid w:val="003C68D9"/>
    <w:rsid w:val="003C6C01"/>
    <w:rsid w:val="003C702B"/>
    <w:rsid w:val="003C7118"/>
    <w:rsid w:val="003C71F1"/>
    <w:rsid w:val="003C73C3"/>
    <w:rsid w:val="003C7545"/>
    <w:rsid w:val="003C7722"/>
    <w:rsid w:val="003C7736"/>
    <w:rsid w:val="003C7AD0"/>
    <w:rsid w:val="003C7C8A"/>
    <w:rsid w:val="003C7E28"/>
    <w:rsid w:val="003C7E32"/>
    <w:rsid w:val="003C7F4E"/>
    <w:rsid w:val="003D040F"/>
    <w:rsid w:val="003D0468"/>
    <w:rsid w:val="003D060D"/>
    <w:rsid w:val="003D0648"/>
    <w:rsid w:val="003D0D05"/>
    <w:rsid w:val="003D121E"/>
    <w:rsid w:val="003D152B"/>
    <w:rsid w:val="003D174C"/>
    <w:rsid w:val="003D1758"/>
    <w:rsid w:val="003D19A4"/>
    <w:rsid w:val="003D1C00"/>
    <w:rsid w:val="003D1EEC"/>
    <w:rsid w:val="003D1FD2"/>
    <w:rsid w:val="003D2204"/>
    <w:rsid w:val="003D22A7"/>
    <w:rsid w:val="003D2529"/>
    <w:rsid w:val="003D26CE"/>
    <w:rsid w:val="003D2869"/>
    <w:rsid w:val="003D28F9"/>
    <w:rsid w:val="003D2C85"/>
    <w:rsid w:val="003D2E23"/>
    <w:rsid w:val="003D2E61"/>
    <w:rsid w:val="003D35C0"/>
    <w:rsid w:val="003D3836"/>
    <w:rsid w:val="003D389C"/>
    <w:rsid w:val="003D3B54"/>
    <w:rsid w:val="003D402A"/>
    <w:rsid w:val="003D4439"/>
    <w:rsid w:val="003D470F"/>
    <w:rsid w:val="003D4730"/>
    <w:rsid w:val="003D4920"/>
    <w:rsid w:val="003D4AE6"/>
    <w:rsid w:val="003D4AF9"/>
    <w:rsid w:val="003D4E4B"/>
    <w:rsid w:val="003D4E76"/>
    <w:rsid w:val="003D4EC9"/>
    <w:rsid w:val="003D5017"/>
    <w:rsid w:val="003D51DA"/>
    <w:rsid w:val="003D5274"/>
    <w:rsid w:val="003D534B"/>
    <w:rsid w:val="003D53BE"/>
    <w:rsid w:val="003D53C5"/>
    <w:rsid w:val="003D57D4"/>
    <w:rsid w:val="003D5918"/>
    <w:rsid w:val="003D593C"/>
    <w:rsid w:val="003D5ABB"/>
    <w:rsid w:val="003D5C10"/>
    <w:rsid w:val="003D5CD2"/>
    <w:rsid w:val="003D5E3D"/>
    <w:rsid w:val="003D5F85"/>
    <w:rsid w:val="003D6065"/>
    <w:rsid w:val="003D6267"/>
    <w:rsid w:val="003D62F1"/>
    <w:rsid w:val="003D6490"/>
    <w:rsid w:val="003D65D1"/>
    <w:rsid w:val="003D66FB"/>
    <w:rsid w:val="003D68EF"/>
    <w:rsid w:val="003D69E8"/>
    <w:rsid w:val="003D6A7A"/>
    <w:rsid w:val="003D6AE5"/>
    <w:rsid w:val="003D6E6D"/>
    <w:rsid w:val="003D6FAA"/>
    <w:rsid w:val="003D728B"/>
    <w:rsid w:val="003D72D0"/>
    <w:rsid w:val="003D7977"/>
    <w:rsid w:val="003D7CE8"/>
    <w:rsid w:val="003D7DB9"/>
    <w:rsid w:val="003D7E14"/>
    <w:rsid w:val="003D7EBC"/>
    <w:rsid w:val="003D7EF5"/>
    <w:rsid w:val="003D7F26"/>
    <w:rsid w:val="003D7F81"/>
    <w:rsid w:val="003E0274"/>
    <w:rsid w:val="003E0842"/>
    <w:rsid w:val="003E0925"/>
    <w:rsid w:val="003E0B35"/>
    <w:rsid w:val="003E11F1"/>
    <w:rsid w:val="003E1319"/>
    <w:rsid w:val="003E1764"/>
    <w:rsid w:val="003E1765"/>
    <w:rsid w:val="003E180B"/>
    <w:rsid w:val="003E1847"/>
    <w:rsid w:val="003E1AF3"/>
    <w:rsid w:val="003E1C51"/>
    <w:rsid w:val="003E1C80"/>
    <w:rsid w:val="003E201C"/>
    <w:rsid w:val="003E2047"/>
    <w:rsid w:val="003E209F"/>
    <w:rsid w:val="003E2483"/>
    <w:rsid w:val="003E26A2"/>
    <w:rsid w:val="003E2BE5"/>
    <w:rsid w:val="003E2CA2"/>
    <w:rsid w:val="003E30B9"/>
    <w:rsid w:val="003E3291"/>
    <w:rsid w:val="003E342A"/>
    <w:rsid w:val="003E36D2"/>
    <w:rsid w:val="003E3704"/>
    <w:rsid w:val="003E386F"/>
    <w:rsid w:val="003E38FD"/>
    <w:rsid w:val="003E392B"/>
    <w:rsid w:val="003E3944"/>
    <w:rsid w:val="003E3A3F"/>
    <w:rsid w:val="003E3C3B"/>
    <w:rsid w:val="003E4091"/>
    <w:rsid w:val="003E4361"/>
    <w:rsid w:val="003E43C0"/>
    <w:rsid w:val="003E43DD"/>
    <w:rsid w:val="003E4521"/>
    <w:rsid w:val="003E4D5B"/>
    <w:rsid w:val="003E4DE0"/>
    <w:rsid w:val="003E5002"/>
    <w:rsid w:val="003E532B"/>
    <w:rsid w:val="003E5362"/>
    <w:rsid w:val="003E536C"/>
    <w:rsid w:val="003E54FB"/>
    <w:rsid w:val="003E5702"/>
    <w:rsid w:val="003E5E7A"/>
    <w:rsid w:val="003E6169"/>
    <w:rsid w:val="003E620B"/>
    <w:rsid w:val="003E6634"/>
    <w:rsid w:val="003E6914"/>
    <w:rsid w:val="003E6E18"/>
    <w:rsid w:val="003E70D2"/>
    <w:rsid w:val="003E71B2"/>
    <w:rsid w:val="003E743C"/>
    <w:rsid w:val="003E74FE"/>
    <w:rsid w:val="003E76CB"/>
    <w:rsid w:val="003E779A"/>
    <w:rsid w:val="003E7929"/>
    <w:rsid w:val="003E7A6F"/>
    <w:rsid w:val="003E7B81"/>
    <w:rsid w:val="003E7CBD"/>
    <w:rsid w:val="003E7DFA"/>
    <w:rsid w:val="003E7F83"/>
    <w:rsid w:val="003F01C6"/>
    <w:rsid w:val="003F0551"/>
    <w:rsid w:val="003F0729"/>
    <w:rsid w:val="003F07B1"/>
    <w:rsid w:val="003F07D1"/>
    <w:rsid w:val="003F0930"/>
    <w:rsid w:val="003F0BF6"/>
    <w:rsid w:val="003F1504"/>
    <w:rsid w:val="003F1527"/>
    <w:rsid w:val="003F1592"/>
    <w:rsid w:val="003F175F"/>
    <w:rsid w:val="003F1B1D"/>
    <w:rsid w:val="003F1C61"/>
    <w:rsid w:val="003F1CE1"/>
    <w:rsid w:val="003F201B"/>
    <w:rsid w:val="003F21A6"/>
    <w:rsid w:val="003F21EA"/>
    <w:rsid w:val="003F25FA"/>
    <w:rsid w:val="003F2730"/>
    <w:rsid w:val="003F285E"/>
    <w:rsid w:val="003F289A"/>
    <w:rsid w:val="003F2C49"/>
    <w:rsid w:val="003F2C81"/>
    <w:rsid w:val="003F3522"/>
    <w:rsid w:val="003F3627"/>
    <w:rsid w:val="003F37D3"/>
    <w:rsid w:val="003F37E1"/>
    <w:rsid w:val="003F38B8"/>
    <w:rsid w:val="003F391E"/>
    <w:rsid w:val="003F3A7C"/>
    <w:rsid w:val="003F3BC6"/>
    <w:rsid w:val="003F3E8A"/>
    <w:rsid w:val="003F4141"/>
    <w:rsid w:val="003F4588"/>
    <w:rsid w:val="003F4794"/>
    <w:rsid w:val="003F4913"/>
    <w:rsid w:val="003F4AD0"/>
    <w:rsid w:val="003F4B37"/>
    <w:rsid w:val="003F4B3B"/>
    <w:rsid w:val="003F4EE1"/>
    <w:rsid w:val="003F5062"/>
    <w:rsid w:val="003F52F1"/>
    <w:rsid w:val="003F5391"/>
    <w:rsid w:val="003F55F1"/>
    <w:rsid w:val="003F5A4A"/>
    <w:rsid w:val="003F5AA8"/>
    <w:rsid w:val="003F5C6A"/>
    <w:rsid w:val="003F638D"/>
    <w:rsid w:val="003F6452"/>
    <w:rsid w:val="003F664A"/>
    <w:rsid w:val="003F66D9"/>
    <w:rsid w:val="003F6759"/>
    <w:rsid w:val="003F699C"/>
    <w:rsid w:val="003F69A0"/>
    <w:rsid w:val="003F6AA9"/>
    <w:rsid w:val="003F6AC9"/>
    <w:rsid w:val="003F6C84"/>
    <w:rsid w:val="003F7010"/>
    <w:rsid w:val="003F70FA"/>
    <w:rsid w:val="003F7153"/>
    <w:rsid w:val="003F71D2"/>
    <w:rsid w:val="003F7445"/>
    <w:rsid w:val="003F751F"/>
    <w:rsid w:val="003F763E"/>
    <w:rsid w:val="003F798C"/>
    <w:rsid w:val="00400055"/>
    <w:rsid w:val="0040011E"/>
    <w:rsid w:val="00400208"/>
    <w:rsid w:val="0040025B"/>
    <w:rsid w:val="00400315"/>
    <w:rsid w:val="00400455"/>
    <w:rsid w:val="00400470"/>
    <w:rsid w:val="0040055C"/>
    <w:rsid w:val="00400728"/>
    <w:rsid w:val="00400BC8"/>
    <w:rsid w:val="00400D26"/>
    <w:rsid w:val="00400FE5"/>
    <w:rsid w:val="004010F2"/>
    <w:rsid w:val="004012EB"/>
    <w:rsid w:val="00401326"/>
    <w:rsid w:val="004013B0"/>
    <w:rsid w:val="00401711"/>
    <w:rsid w:val="00401A39"/>
    <w:rsid w:val="00401E74"/>
    <w:rsid w:val="00401F1D"/>
    <w:rsid w:val="00402197"/>
    <w:rsid w:val="004021C0"/>
    <w:rsid w:val="00402486"/>
    <w:rsid w:val="00402516"/>
    <w:rsid w:val="0040266A"/>
    <w:rsid w:val="00402726"/>
    <w:rsid w:val="004027E6"/>
    <w:rsid w:val="00402838"/>
    <w:rsid w:val="004029AE"/>
    <w:rsid w:val="00402A14"/>
    <w:rsid w:val="00402A27"/>
    <w:rsid w:val="00402A5D"/>
    <w:rsid w:val="00402BA7"/>
    <w:rsid w:val="00402E9B"/>
    <w:rsid w:val="00403133"/>
    <w:rsid w:val="004031AC"/>
    <w:rsid w:val="00403370"/>
    <w:rsid w:val="00403806"/>
    <w:rsid w:val="004038CE"/>
    <w:rsid w:val="00403B10"/>
    <w:rsid w:val="00403BB4"/>
    <w:rsid w:val="00403BBF"/>
    <w:rsid w:val="00404156"/>
    <w:rsid w:val="00404172"/>
    <w:rsid w:val="00404A9D"/>
    <w:rsid w:val="00404B68"/>
    <w:rsid w:val="00404B8F"/>
    <w:rsid w:val="004053AC"/>
    <w:rsid w:val="004053AE"/>
    <w:rsid w:val="004053F7"/>
    <w:rsid w:val="00405880"/>
    <w:rsid w:val="0040594D"/>
    <w:rsid w:val="00405DA8"/>
    <w:rsid w:val="00405E91"/>
    <w:rsid w:val="00405E9C"/>
    <w:rsid w:val="00405E9E"/>
    <w:rsid w:val="00406034"/>
    <w:rsid w:val="00406091"/>
    <w:rsid w:val="004061B3"/>
    <w:rsid w:val="004062A0"/>
    <w:rsid w:val="004063DB"/>
    <w:rsid w:val="004064E0"/>
    <w:rsid w:val="00406691"/>
    <w:rsid w:val="004066F9"/>
    <w:rsid w:val="0040684B"/>
    <w:rsid w:val="004068F7"/>
    <w:rsid w:val="00406EFB"/>
    <w:rsid w:val="00406F6C"/>
    <w:rsid w:val="00407034"/>
    <w:rsid w:val="0040708B"/>
    <w:rsid w:val="00407098"/>
    <w:rsid w:val="004074BB"/>
    <w:rsid w:val="004076D9"/>
    <w:rsid w:val="00407A20"/>
    <w:rsid w:val="00407BC1"/>
    <w:rsid w:val="00407C52"/>
    <w:rsid w:val="00407EB2"/>
    <w:rsid w:val="004101FD"/>
    <w:rsid w:val="0041033B"/>
    <w:rsid w:val="004107D8"/>
    <w:rsid w:val="004107FD"/>
    <w:rsid w:val="00410923"/>
    <w:rsid w:val="00410B59"/>
    <w:rsid w:val="00410C79"/>
    <w:rsid w:val="00410CD9"/>
    <w:rsid w:val="00411131"/>
    <w:rsid w:val="00411324"/>
    <w:rsid w:val="004113FE"/>
    <w:rsid w:val="00411437"/>
    <w:rsid w:val="004115CE"/>
    <w:rsid w:val="00411727"/>
    <w:rsid w:val="00411776"/>
    <w:rsid w:val="00411784"/>
    <w:rsid w:val="00411795"/>
    <w:rsid w:val="00411A1C"/>
    <w:rsid w:val="00411B38"/>
    <w:rsid w:val="00411CE9"/>
    <w:rsid w:val="00411E56"/>
    <w:rsid w:val="00411E8A"/>
    <w:rsid w:val="004122F5"/>
    <w:rsid w:val="004122F6"/>
    <w:rsid w:val="00412544"/>
    <w:rsid w:val="004125A3"/>
    <w:rsid w:val="004126E4"/>
    <w:rsid w:val="00412748"/>
    <w:rsid w:val="004127E4"/>
    <w:rsid w:val="0041280D"/>
    <w:rsid w:val="004128E4"/>
    <w:rsid w:val="004129F2"/>
    <w:rsid w:val="00412C1D"/>
    <w:rsid w:val="00412CFE"/>
    <w:rsid w:val="00412D59"/>
    <w:rsid w:val="00413075"/>
    <w:rsid w:val="00413286"/>
    <w:rsid w:val="0041345B"/>
    <w:rsid w:val="00413496"/>
    <w:rsid w:val="0041361B"/>
    <w:rsid w:val="0041369E"/>
    <w:rsid w:val="004139E3"/>
    <w:rsid w:val="00413CF3"/>
    <w:rsid w:val="00414138"/>
    <w:rsid w:val="004141D5"/>
    <w:rsid w:val="00414295"/>
    <w:rsid w:val="00414377"/>
    <w:rsid w:val="004143F3"/>
    <w:rsid w:val="004144DB"/>
    <w:rsid w:val="004148A2"/>
    <w:rsid w:val="00414A10"/>
    <w:rsid w:val="00414A65"/>
    <w:rsid w:val="00414C74"/>
    <w:rsid w:val="00414DE0"/>
    <w:rsid w:val="00414E46"/>
    <w:rsid w:val="00414FA8"/>
    <w:rsid w:val="0041508C"/>
    <w:rsid w:val="004150DF"/>
    <w:rsid w:val="0041525B"/>
    <w:rsid w:val="00415562"/>
    <w:rsid w:val="004155AB"/>
    <w:rsid w:val="0041588F"/>
    <w:rsid w:val="00416048"/>
    <w:rsid w:val="004161DF"/>
    <w:rsid w:val="00416222"/>
    <w:rsid w:val="0041652D"/>
    <w:rsid w:val="00416642"/>
    <w:rsid w:val="004166D3"/>
    <w:rsid w:val="004168F8"/>
    <w:rsid w:val="00416ADE"/>
    <w:rsid w:val="00416B46"/>
    <w:rsid w:val="00416DF3"/>
    <w:rsid w:val="00416E90"/>
    <w:rsid w:val="00416FFC"/>
    <w:rsid w:val="00417172"/>
    <w:rsid w:val="004171F3"/>
    <w:rsid w:val="0041778C"/>
    <w:rsid w:val="00417A65"/>
    <w:rsid w:val="00417AFD"/>
    <w:rsid w:val="00417B0B"/>
    <w:rsid w:val="00417B5D"/>
    <w:rsid w:val="00417C7F"/>
    <w:rsid w:val="00417CA9"/>
    <w:rsid w:val="00417CD5"/>
    <w:rsid w:val="00417FC4"/>
    <w:rsid w:val="00420347"/>
    <w:rsid w:val="0042045A"/>
    <w:rsid w:val="00420461"/>
    <w:rsid w:val="00420540"/>
    <w:rsid w:val="004208FA"/>
    <w:rsid w:val="00420C91"/>
    <w:rsid w:val="00420CBB"/>
    <w:rsid w:val="00420D23"/>
    <w:rsid w:val="00420E44"/>
    <w:rsid w:val="004211E0"/>
    <w:rsid w:val="00421215"/>
    <w:rsid w:val="00421432"/>
    <w:rsid w:val="004216B4"/>
    <w:rsid w:val="00421745"/>
    <w:rsid w:val="00421910"/>
    <w:rsid w:val="00421DBE"/>
    <w:rsid w:val="00421F11"/>
    <w:rsid w:val="004220B4"/>
    <w:rsid w:val="0042215C"/>
    <w:rsid w:val="004224A0"/>
    <w:rsid w:val="0042256B"/>
    <w:rsid w:val="0042279A"/>
    <w:rsid w:val="004228C4"/>
    <w:rsid w:val="00422A88"/>
    <w:rsid w:val="00422C01"/>
    <w:rsid w:val="00422D4D"/>
    <w:rsid w:val="00422DE9"/>
    <w:rsid w:val="00422E16"/>
    <w:rsid w:val="00422EB6"/>
    <w:rsid w:val="00423417"/>
    <w:rsid w:val="004237B7"/>
    <w:rsid w:val="0042381C"/>
    <w:rsid w:val="004238A0"/>
    <w:rsid w:val="00423B8C"/>
    <w:rsid w:val="00423F27"/>
    <w:rsid w:val="004242AF"/>
    <w:rsid w:val="004242C3"/>
    <w:rsid w:val="00424483"/>
    <w:rsid w:val="00424527"/>
    <w:rsid w:val="0042493C"/>
    <w:rsid w:val="00424CCB"/>
    <w:rsid w:val="00424FAF"/>
    <w:rsid w:val="00425037"/>
    <w:rsid w:val="00425095"/>
    <w:rsid w:val="004250E5"/>
    <w:rsid w:val="0042517C"/>
    <w:rsid w:val="004253F6"/>
    <w:rsid w:val="00425670"/>
    <w:rsid w:val="004256F7"/>
    <w:rsid w:val="0042579E"/>
    <w:rsid w:val="00425B79"/>
    <w:rsid w:val="00425CF1"/>
    <w:rsid w:val="00425D6F"/>
    <w:rsid w:val="00425DE9"/>
    <w:rsid w:val="00425E16"/>
    <w:rsid w:val="0042642E"/>
    <w:rsid w:val="004264BE"/>
    <w:rsid w:val="00426C05"/>
    <w:rsid w:val="00426F5A"/>
    <w:rsid w:val="00426FF6"/>
    <w:rsid w:val="00427109"/>
    <w:rsid w:val="00427267"/>
    <w:rsid w:val="00427936"/>
    <w:rsid w:val="00427A16"/>
    <w:rsid w:val="00427D68"/>
    <w:rsid w:val="00427F76"/>
    <w:rsid w:val="004302A8"/>
    <w:rsid w:val="00430499"/>
    <w:rsid w:val="00430725"/>
    <w:rsid w:val="0043081A"/>
    <w:rsid w:val="0043089E"/>
    <w:rsid w:val="004309F9"/>
    <w:rsid w:val="00430B5A"/>
    <w:rsid w:val="00430BA9"/>
    <w:rsid w:val="00430BBB"/>
    <w:rsid w:val="00430CFC"/>
    <w:rsid w:val="00430D2D"/>
    <w:rsid w:val="00430E5B"/>
    <w:rsid w:val="0043105F"/>
    <w:rsid w:val="00431206"/>
    <w:rsid w:val="004313B0"/>
    <w:rsid w:val="0043175D"/>
    <w:rsid w:val="00431861"/>
    <w:rsid w:val="00431E31"/>
    <w:rsid w:val="00431FBF"/>
    <w:rsid w:val="00432066"/>
    <w:rsid w:val="0043225E"/>
    <w:rsid w:val="00432360"/>
    <w:rsid w:val="0043260A"/>
    <w:rsid w:val="0043261E"/>
    <w:rsid w:val="0043286C"/>
    <w:rsid w:val="00432BFD"/>
    <w:rsid w:val="00432E0D"/>
    <w:rsid w:val="00433124"/>
    <w:rsid w:val="004333A2"/>
    <w:rsid w:val="0043341F"/>
    <w:rsid w:val="00433426"/>
    <w:rsid w:val="004334A9"/>
    <w:rsid w:val="00433562"/>
    <w:rsid w:val="00433D3B"/>
    <w:rsid w:val="00433D40"/>
    <w:rsid w:val="00433EE7"/>
    <w:rsid w:val="00434135"/>
    <w:rsid w:val="00434480"/>
    <w:rsid w:val="00434535"/>
    <w:rsid w:val="004347F6"/>
    <w:rsid w:val="00434988"/>
    <w:rsid w:val="00434CAE"/>
    <w:rsid w:val="00434E5C"/>
    <w:rsid w:val="00434FE6"/>
    <w:rsid w:val="00435378"/>
    <w:rsid w:val="004354BC"/>
    <w:rsid w:val="00435556"/>
    <w:rsid w:val="00435598"/>
    <w:rsid w:val="00435604"/>
    <w:rsid w:val="00435644"/>
    <w:rsid w:val="004356FC"/>
    <w:rsid w:val="00435913"/>
    <w:rsid w:val="00435B28"/>
    <w:rsid w:val="00435B5C"/>
    <w:rsid w:val="00435BD7"/>
    <w:rsid w:val="00435C67"/>
    <w:rsid w:val="004361D7"/>
    <w:rsid w:val="004363EA"/>
    <w:rsid w:val="004364B8"/>
    <w:rsid w:val="00436842"/>
    <w:rsid w:val="004369C3"/>
    <w:rsid w:val="00436A80"/>
    <w:rsid w:val="00436C41"/>
    <w:rsid w:val="00436CB6"/>
    <w:rsid w:val="004373CB"/>
    <w:rsid w:val="00437550"/>
    <w:rsid w:val="00437797"/>
    <w:rsid w:val="00437AAA"/>
    <w:rsid w:val="00437B77"/>
    <w:rsid w:val="00437CA2"/>
    <w:rsid w:val="00437FC4"/>
    <w:rsid w:val="00437FDD"/>
    <w:rsid w:val="0044017B"/>
    <w:rsid w:val="004404B7"/>
    <w:rsid w:val="0044072E"/>
    <w:rsid w:val="00440B0B"/>
    <w:rsid w:val="00440DE6"/>
    <w:rsid w:val="00440F4D"/>
    <w:rsid w:val="00441022"/>
    <w:rsid w:val="004410A2"/>
    <w:rsid w:val="00441166"/>
    <w:rsid w:val="004411D9"/>
    <w:rsid w:val="004413A7"/>
    <w:rsid w:val="004413E1"/>
    <w:rsid w:val="0044147F"/>
    <w:rsid w:val="00441576"/>
    <w:rsid w:val="004417CE"/>
    <w:rsid w:val="00441BC4"/>
    <w:rsid w:val="00441CC3"/>
    <w:rsid w:val="00441D38"/>
    <w:rsid w:val="00442049"/>
    <w:rsid w:val="0044227B"/>
    <w:rsid w:val="00442AD1"/>
    <w:rsid w:val="00442B70"/>
    <w:rsid w:val="00442E43"/>
    <w:rsid w:val="00442E55"/>
    <w:rsid w:val="00442FF3"/>
    <w:rsid w:val="004431B4"/>
    <w:rsid w:val="004431F7"/>
    <w:rsid w:val="00443406"/>
    <w:rsid w:val="00443AFC"/>
    <w:rsid w:val="00443C7F"/>
    <w:rsid w:val="00443EA1"/>
    <w:rsid w:val="00443F98"/>
    <w:rsid w:val="004441F9"/>
    <w:rsid w:val="00444713"/>
    <w:rsid w:val="0044486C"/>
    <w:rsid w:val="00444D8D"/>
    <w:rsid w:val="00444F08"/>
    <w:rsid w:val="00445276"/>
    <w:rsid w:val="004452E4"/>
    <w:rsid w:val="004454B4"/>
    <w:rsid w:val="00445700"/>
    <w:rsid w:val="00445906"/>
    <w:rsid w:val="004459B0"/>
    <w:rsid w:val="00445C6A"/>
    <w:rsid w:val="00446492"/>
    <w:rsid w:val="0044664C"/>
    <w:rsid w:val="00446717"/>
    <w:rsid w:val="004467E7"/>
    <w:rsid w:val="00446C72"/>
    <w:rsid w:val="00446C92"/>
    <w:rsid w:val="00446F1C"/>
    <w:rsid w:val="004472E8"/>
    <w:rsid w:val="0044756B"/>
    <w:rsid w:val="004475BE"/>
    <w:rsid w:val="00447CAD"/>
    <w:rsid w:val="00447D92"/>
    <w:rsid w:val="00447E0A"/>
    <w:rsid w:val="004500C3"/>
    <w:rsid w:val="00450130"/>
    <w:rsid w:val="0045024C"/>
    <w:rsid w:val="004502D6"/>
    <w:rsid w:val="004503F6"/>
    <w:rsid w:val="0045067B"/>
    <w:rsid w:val="00450D22"/>
    <w:rsid w:val="00451010"/>
    <w:rsid w:val="004512A7"/>
    <w:rsid w:val="004512EC"/>
    <w:rsid w:val="004513FF"/>
    <w:rsid w:val="00451517"/>
    <w:rsid w:val="00451740"/>
    <w:rsid w:val="00451ADA"/>
    <w:rsid w:val="00451CC6"/>
    <w:rsid w:val="00451E42"/>
    <w:rsid w:val="0045206E"/>
    <w:rsid w:val="004526D1"/>
    <w:rsid w:val="004527B4"/>
    <w:rsid w:val="00452BC2"/>
    <w:rsid w:val="00452C1A"/>
    <w:rsid w:val="00452D94"/>
    <w:rsid w:val="00452DBE"/>
    <w:rsid w:val="00452E54"/>
    <w:rsid w:val="004531B0"/>
    <w:rsid w:val="004532DF"/>
    <w:rsid w:val="0045335E"/>
    <w:rsid w:val="00453616"/>
    <w:rsid w:val="00453700"/>
    <w:rsid w:val="00453A02"/>
    <w:rsid w:val="00453C57"/>
    <w:rsid w:val="00453FCB"/>
    <w:rsid w:val="0045431E"/>
    <w:rsid w:val="00454343"/>
    <w:rsid w:val="00454602"/>
    <w:rsid w:val="00454779"/>
    <w:rsid w:val="0045485E"/>
    <w:rsid w:val="00454A2C"/>
    <w:rsid w:val="00454DCF"/>
    <w:rsid w:val="00454FE1"/>
    <w:rsid w:val="00455209"/>
    <w:rsid w:val="00455780"/>
    <w:rsid w:val="0045598B"/>
    <w:rsid w:val="00455AE7"/>
    <w:rsid w:val="00455DFA"/>
    <w:rsid w:val="004560D1"/>
    <w:rsid w:val="004561BD"/>
    <w:rsid w:val="004561FB"/>
    <w:rsid w:val="00456247"/>
    <w:rsid w:val="0045676B"/>
    <w:rsid w:val="004569FA"/>
    <w:rsid w:val="00456B4E"/>
    <w:rsid w:val="00456DAA"/>
    <w:rsid w:val="00456F96"/>
    <w:rsid w:val="00457194"/>
    <w:rsid w:val="004571D6"/>
    <w:rsid w:val="0045773E"/>
    <w:rsid w:val="004579EE"/>
    <w:rsid w:val="00457A48"/>
    <w:rsid w:val="00457A9D"/>
    <w:rsid w:val="00457B10"/>
    <w:rsid w:val="00457B40"/>
    <w:rsid w:val="00457D6B"/>
    <w:rsid w:val="00460081"/>
    <w:rsid w:val="00460116"/>
    <w:rsid w:val="00460122"/>
    <w:rsid w:val="004603E7"/>
    <w:rsid w:val="0046060F"/>
    <w:rsid w:val="00460657"/>
    <w:rsid w:val="00460A46"/>
    <w:rsid w:val="00460A7D"/>
    <w:rsid w:val="00460D3E"/>
    <w:rsid w:val="004610B1"/>
    <w:rsid w:val="00461430"/>
    <w:rsid w:val="00461495"/>
    <w:rsid w:val="004614D1"/>
    <w:rsid w:val="0046158F"/>
    <w:rsid w:val="0046185F"/>
    <w:rsid w:val="004618CD"/>
    <w:rsid w:val="004619FC"/>
    <w:rsid w:val="00461C9B"/>
    <w:rsid w:val="00461DCA"/>
    <w:rsid w:val="00461E64"/>
    <w:rsid w:val="00462040"/>
    <w:rsid w:val="004626D1"/>
    <w:rsid w:val="004626D9"/>
    <w:rsid w:val="004626EF"/>
    <w:rsid w:val="004627FD"/>
    <w:rsid w:val="00462A87"/>
    <w:rsid w:val="00462B49"/>
    <w:rsid w:val="00462B5A"/>
    <w:rsid w:val="00462F65"/>
    <w:rsid w:val="004631EF"/>
    <w:rsid w:val="004632E6"/>
    <w:rsid w:val="0046348E"/>
    <w:rsid w:val="00463496"/>
    <w:rsid w:val="0046354F"/>
    <w:rsid w:val="004636A1"/>
    <w:rsid w:val="00463C5D"/>
    <w:rsid w:val="00463DF6"/>
    <w:rsid w:val="00463E4B"/>
    <w:rsid w:val="0046401E"/>
    <w:rsid w:val="0046444F"/>
    <w:rsid w:val="00464609"/>
    <w:rsid w:val="004647A0"/>
    <w:rsid w:val="00464890"/>
    <w:rsid w:val="00464BE4"/>
    <w:rsid w:val="00464CD6"/>
    <w:rsid w:val="00464FA2"/>
    <w:rsid w:val="00465337"/>
    <w:rsid w:val="004653A1"/>
    <w:rsid w:val="004655FD"/>
    <w:rsid w:val="00465B0D"/>
    <w:rsid w:val="00465CF6"/>
    <w:rsid w:val="00465DC6"/>
    <w:rsid w:val="00465E54"/>
    <w:rsid w:val="00466309"/>
    <w:rsid w:val="004664B8"/>
    <w:rsid w:val="0046692E"/>
    <w:rsid w:val="00466AA4"/>
    <w:rsid w:val="00466AC8"/>
    <w:rsid w:val="00466B4F"/>
    <w:rsid w:val="00466CA9"/>
    <w:rsid w:val="00466D38"/>
    <w:rsid w:val="00467B9F"/>
    <w:rsid w:val="00467EA0"/>
    <w:rsid w:val="0047039E"/>
    <w:rsid w:val="00470430"/>
    <w:rsid w:val="00470477"/>
    <w:rsid w:val="0047056F"/>
    <w:rsid w:val="004708AB"/>
    <w:rsid w:val="004708D1"/>
    <w:rsid w:val="004708DC"/>
    <w:rsid w:val="00470D44"/>
    <w:rsid w:val="00470DC7"/>
    <w:rsid w:val="00470E46"/>
    <w:rsid w:val="00470F49"/>
    <w:rsid w:val="004711BB"/>
    <w:rsid w:val="00471224"/>
    <w:rsid w:val="0047151C"/>
    <w:rsid w:val="004715BA"/>
    <w:rsid w:val="004717FB"/>
    <w:rsid w:val="00471956"/>
    <w:rsid w:val="00471E07"/>
    <w:rsid w:val="00471F74"/>
    <w:rsid w:val="004721E9"/>
    <w:rsid w:val="00472214"/>
    <w:rsid w:val="004727DD"/>
    <w:rsid w:val="00472860"/>
    <w:rsid w:val="0047297B"/>
    <w:rsid w:val="00472CE3"/>
    <w:rsid w:val="004731FD"/>
    <w:rsid w:val="00473270"/>
    <w:rsid w:val="004732F2"/>
    <w:rsid w:val="0047332A"/>
    <w:rsid w:val="004734DF"/>
    <w:rsid w:val="00473614"/>
    <w:rsid w:val="00473794"/>
    <w:rsid w:val="00473964"/>
    <w:rsid w:val="00473DD5"/>
    <w:rsid w:val="00474017"/>
    <w:rsid w:val="004740B0"/>
    <w:rsid w:val="004742D6"/>
    <w:rsid w:val="0047437E"/>
    <w:rsid w:val="0047442D"/>
    <w:rsid w:val="00474533"/>
    <w:rsid w:val="0047457E"/>
    <w:rsid w:val="00474B22"/>
    <w:rsid w:val="00474E51"/>
    <w:rsid w:val="00474FA4"/>
    <w:rsid w:val="00475020"/>
    <w:rsid w:val="004753C9"/>
    <w:rsid w:val="004756A9"/>
    <w:rsid w:val="00475871"/>
    <w:rsid w:val="00475B13"/>
    <w:rsid w:val="00475BE3"/>
    <w:rsid w:val="00475BF7"/>
    <w:rsid w:val="00475E5A"/>
    <w:rsid w:val="00475EFB"/>
    <w:rsid w:val="00475FBD"/>
    <w:rsid w:val="00476189"/>
    <w:rsid w:val="004768A0"/>
    <w:rsid w:val="0047697F"/>
    <w:rsid w:val="004769E3"/>
    <w:rsid w:val="00476A81"/>
    <w:rsid w:val="00476BCC"/>
    <w:rsid w:val="00476CFC"/>
    <w:rsid w:val="0047702B"/>
    <w:rsid w:val="00477378"/>
    <w:rsid w:val="00477699"/>
    <w:rsid w:val="0047775C"/>
    <w:rsid w:val="00477A1F"/>
    <w:rsid w:val="00477A21"/>
    <w:rsid w:val="00477B90"/>
    <w:rsid w:val="00477FF5"/>
    <w:rsid w:val="0048018A"/>
    <w:rsid w:val="00480197"/>
    <w:rsid w:val="004801DD"/>
    <w:rsid w:val="0048047F"/>
    <w:rsid w:val="00480970"/>
    <w:rsid w:val="004809AF"/>
    <w:rsid w:val="00480D4C"/>
    <w:rsid w:val="00480FAB"/>
    <w:rsid w:val="0048107C"/>
    <w:rsid w:val="00481677"/>
    <w:rsid w:val="00481852"/>
    <w:rsid w:val="00481A06"/>
    <w:rsid w:val="00481C0E"/>
    <w:rsid w:val="00481C76"/>
    <w:rsid w:val="00481D32"/>
    <w:rsid w:val="00481EB3"/>
    <w:rsid w:val="00481FB2"/>
    <w:rsid w:val="004820A2"/>
    <w:rsid w:val="00482305"/>
    <w:rsid w:val="00482684"/>
    <w:rsid w:val="00482725"/>
    <w:rsid w:val="00482793"/>
    <w:rsid w:val="004827D8"/>
    <w:rsid w:val="00482B38"/>
    <w:rsid w:val="00483029"/>
    <w:rsid w:val="00483177"/>
    <w:rsid w:val="004831E2"/>
    <w:rsid w:val="004832B7"/>
    <w:rsid w:val="0048342B"/>
    <w:rsid w:val="00483445"/>
    <w:rsid w:val="004834AC"/>
    <w:rsid w:val="0048389C"/>
    <w:rsid w:val="004839B1"/>
    <w:rsid w:val="00483AFA"/>
    <w:rsid w:val="00483DC3"/>
    <w:rsid w:val="00483E29"/>
    <w:rsid w:val="00483EAB"/>
    <w:rsid w:val="00483ECA"/>
    <w:rsid w:val="00483F12"/>
    <w:rsid w:val="0048431C"/>
    <w:rsid w:val="00484577"/>
    <w:rsid w:val="004848C2"/>
    <w:rsid w:val="00484937"/>
    <w:rsid w:val="00484A73"/>
    <w:rsid w:val="00484AD0"/>
    <w:rsid w:val="00485368"/>
    <w:rsid w:val="004853D2"/>
    <w:rsid w:val="0048544E"/>
    <w:rsid w:val="00485495"/>
    <w:rsid w:val="00485641"/>
    <w:rsid w:val="004856D4"/>
    <w:rsid w:val="0048588D"/>
    <w:rsid w:val="00485B18"/>
    <w:rsid w:val="00485B93"/>
    <w:rsid w:val="00485C6A"/>
    <w:rsid w:val="00485CF8"/>
    <w:rsid w:val="00485F1C"/>
    <w:rsid w:val="004862DC"/>
    <w:rsid w:val="0048663B"/>
    <w:rsid w:val="004866E4"/>
    <w:rsid w:val="00486A27"/>
    <w:rsid w:val="00486B84"/>
    <w:rsid w:val="00486CE1"/>
    <w:rsid w:val="00486E30"/>
    <w:rsid w:val="00486EAA"/>
    <w:rsid w:val="00486F6A"/>
    <w:rsid w:val="0048725A"/>
    <w:rsid w:val="004872D7"/>
    <w:rsid w:val="0048731C"/>
    <w:rsid w:val="0048746D"/>
    <w:rsid w:val="0048761C"/>
    <w:rsid w:val="004876C1"/>
    <w:rsid w:val="00487796"/>
    <w:rsid w:val="00487AB6"/>
    <w:rsid w:val="00487D84"/>
    <w:rsid w:val="0049044E"/>
    <w:rsid w:val="004905A3"/>
    <w:rsid w:val="00490AC6"/>
    <w:rsid w:val="00490B40"/>
    <w:rsid w:val="00490C41"/>
    <w:rsid w:val="00490C9A"/>
    <w:rsid w:val="00490D4B"/>
    <w:rsid w:val="00490FBF"/>
    <w:rsid w:val="0049161E"/>
    <w:rsid w:val="004917EA"/>
    <w:rsid w:val="0049188A"/>
    <w:rsid w:val="004919B5"/>
    <w:rsid w:val="00491EB9"/>
    <w:rsid w:val="00492241"/>
    <w:rsid w:val="00492333"/>
    <w:rsid w:val="00492362"/>
    <w:rsid w:val="004924A8"/>
    <w:rsid w:val="00492630"/>
    <w:rsid w:val="00492B5E"/>
    <w:rsid w:val="00492CB8"/>
    <w:rsid w:val="00492E58"/>
    <w:rsid w:val="00492ECB"/>
    <w:rsid w:val="0049342A"/>
    <w:rsid w:val="0049386F"/>
    <w:rsid w:val="00493931"/>
    <w:rsid w:val="00493962"/>
    <w:rsid w:val="00493A3A"/>
    <w:rsid w:val="00493A5E"/>
    <w:rsid w:val="00493B12"/>
    <w:rsid w:val="00493BD3"/>
    <w:rsid w:val="00493C22"/>
    <w:rsid w:val="00493C49"/>
    <w:rsid w:val="00493C86"/>
    <w:rsid w:val="00493E0D"/>
    <w:rsid w:val="00493EF3"/>
    <w:rsid w:val="004940B5"/>
    <w:rsid w:val="00494106"/>
    <w:rsid w:val="004941DB"/>
    <w:rsid w:val="004942C6"/>
    <w:rsid w:val="0049450C"/>
    <w:rsid w:val="00494691"/>
    <w:rsid w:val="00494962"/>
    <w:rsid w:val="004949D1"/>
    <w:rsid w:val="00494B9C"/>
    <w:rsid w:val="00494C7F"/>
    <w:rsid w:val="00494DEB"/>
    <w:rsid w:val="00494F3B"/>
    <w:rsid w:val="0049506E"/>
    <w:rsid w:val="00495291"/>
    <w:rsid w:val="00495501"/>
    <w:rsid w:val="0049566C"/>
    <w:rsid w:val="0049591A"/>
    <w:rsid w:val="0049593F"/>
    <w:rsid w:val="00495B6F"/>
    <w:rsid w:val="00495C6C"/>
    <w:rsid w:val="00495CE0"/>
    <w:rsid w:val="00496583"/>
    <w:rsid w:val="004965B3"/>
    <w:rsid w:val="0049695C"/>
    <w:rsid w:val="00496BD3"/>
    <w:rsid w:val="00496D2F"/>
    <w:rsid w:val="00496DF0"/>
    <w:rsid w:val="00496E37"/>
    <w:rsid w:val="00496E61"/>
    <w:rsid w:val="0049700F"/>
    <w:rsid w:val="0049701E"/>
    <w:rsid w:val="00497186"/>
    <w:rsid w:val="004974BD"/>
    <w:rsid w:val="004975B5"/>
    <w:rsid w:val="004978E7"/>
    <w:rsid w:val="00497AC3"/>
    <w:rsid w:val="00497DDD"/>
    <w:rsid w:val="004A0088"/>
    <w:rsid w:val="004A019D"/>
    <w:rsid w:val="004A0266"/>
    <w:rsid w:val="004A04A1"/>
    <w:rsid w:val="004A0AF1"/>
    <w:rsid w:val="004A0BD3"/>
    <w:rsid w:val="004A126A"/>
    <w:rsid w:val="004A128F"/>
    <w:rsid w:val="004A132A"/>
    <w:rsid w:val="004A13E9"/>
    <w:rsid w:val="004A142F"/>
    <w:rsid w:val="004A14F9"/>
    <w:rsid w:val="004A1648"/>
    <w:rsid w:val="004A1A9F"/>
    <w:rsid w:val="004A1B3E"/>
    <w:rsid w:val="004A1C8A"/>
    <w:rsid w:val="004A1CE9"/>
    <w:rsid w:val="004A1D92"/>
    <w:rsid w:val="004A1F66"/>
    <w:rsid w:val="004A208F"/>
    <w:rsid w:val="004A20FD"/>
    <w:rsid w:val="004A2271"/>
    <w:rsid w:val="004A2618"/>
    <w:rsid w:val="004A26E9"/>
    <w:rsid w:val="004A290C"/>
    <w:rsid w:val="004A2A97"/>
    <w:rsid w:val="004A2B72"/>
    <w:rsid w:val="004A328E"/>
    <w:rsid w:val="004A34D8"/>
    <w:rsid w:val="004A3990"/>
    <w:rsid w:val="004A3FA3"/>
    <w:rsid w:val="004A46B5"/>
    <w:rsid w:val="004A4BAD"/>
    <w:rsid w:val="004A5071"/>
    <w:rsid w:val="004A50C5"/>
    <w:rsid w:val="004A51FE"/>
    <w:rsid w:val="004A5276"/>
    <w:rsid w:val="004A5285"/>
    <w:rsid w:val="004A5389"/>
    <w:rsid w:val="004A53F2"/>
    <w:rsid w:val="004A58CD"/>
    <w:rsid w:val="004A59EE"/>
    <w:rsid w:val="004A5C7E"/>
    <w:rsid w:val="004A5CBF"/>
    <w:rsid w:val="004A5CF2"/>
    <w:rsid w:val="004A5F1B"/>
    <w:rsid w:val="004A5F9C"/>
    <w:rsid w:val="004A61FE"/>
    <w:rsid w:val="004A62A7"/>
    <w:rsid w:val="004A6445"/>
    <w:rsid w:val="004A6558"/>
    <w:rsid w:val="004A6622"/>
    <w:rsid w:val="004A69CD"/>
    <w:rsid w:val="004A6CB2"/>
    <w:rsid w:val="004A6D51"/>
    <w:rsid w:val="004A72B4"/>
    <w:rsid w:val="004A7789"/>
    <w:rsid w:val="004A7B3E"/>
    <w:rsid w:val="004A7F3E"/>
    <w:rsid w:val="004B009C"/>
    <w:rsid w:val="004B03DB"/>
    <w:rsid w:val="004B058A"/>
    <w:rsid w:val="004B05A3"/>
    <w:rsid w:val="004B068E"/>
    <w:rsid w:val="004B077A"/>
    <w:rsid w:val="004B08E0"/>
    <w:rsid w:val="004B09A5"/>
    <w:rsid w:val="004B0C90"/>
    <w:rsid w:val="004B0CB7"/>
    <w:rsid w:val="004B0FF0"/>
    <w:rsid w:val="004B1133"/>
    <w:rsid w:val="004B11F0"/>
    <w:rsid w:val="004B1247"/>
    <w:rsid w:val="004B1292"/>
    <w:rsid w:val="004B12B7"/>
    <w:rsid w:val="004B1549"/>
    <w:rsid w:val="004B16BB"/>
    <w:rsid w:val="004B1AD5"/>
    <w:rsid w:val="004B1E78"/>
    <w:rsid w:val="004B230D"/>
    <w:rsid w:val="004B2427"/>
    <w:rsid w:val="004B2461"/>
    <w:rsid w:val="004B272F"/>
    <w:rsid w:val="004B27A0"/>
    <w:rsid w:val="004B28B8"/>
    <w:rsid w:val="004B2A32"/>
    <w:rsid w:val="004B2CC0"/>
    <w:rsid w:val="004B2EBA"/>
    <w:rsid w:val="004B3063"/>
    <w:rsid w:val="004B316F"/>
    <w:rsid w:val="004B37B3"/>
    <w:rsid w:val="004B3CEC"/>
    <w:rsid w:val="004B3ED7"/>
    <w:rsid w:val="004B423E"/>
    <w:rsid w:val="004B4261"/>
    <w:rsid w:val="004B4277"/>
    <w:rsid w:val="004B4353"/>
    <w:rsid w:val="004B43DA"/>
    <w:rsid w:val="004B443D"/>
    <w:rsid w:val="004B455C"/>
    <w:rsid w:val="004B46AB"/>
    <w:rsid w:val="004B46D8"/>
    <w:rsid w:val="004B4800"/>
    <w:rsid w:val="004B4C4D"/>
    <w:rsid w:val="004B4E1F"/>
    <w:rsid w:val="004B4EB1"/>
    <w:rsid w:val="004B4EFA"/>
    <w:rsid w:val="004B4F69"/>
    <w:rsid w:val="004B503A"/>
    <w:rsid w:val="004B50DA"/>
    <w:rsid w:val="004B50DF"/>
    <w:rsid w:val="004B5139"/>
    <w:rsid w:val="004B5151"/>
    <w:rsid w:val="004B5174"/>
    <w:rsid w:val="004B5562"/>
    <w:rsid w:val="004B55FC"/>
    <w:rsid w:val="004B58A9"/>
    <w:rsid w:val="004B5964"/>
    <w:rsid w:val="004B5EBB"/>
    <w:rsid w:val="004B5FB7"/>
    <w:rsid w:val="004B603B"/>
    <w:rsid w:val="004B6092"/>
    <w:rsid w:val="004B611A"/>
    <w:rsid w:val="004B6263"/>
    <w:rsid w:val="004B6499"/>
    <w:rsid w:val="004B6710"/>
    <w:rsid w:val="004B677F"/>
    <w:rsid w:val="004B68F0"/>
    <w:rsid w:val="004B6965"/>
    <w:rsid w:val="004B69BC"/>
    <w:rsid w:val="004B6B54"/>
    <w:rsid w:val="004B6CD9"/>
    <w:rsid w:val="004B6F52"/>
    <w:rsid w:val="004B7115"/>
    <w:rsid w:val="004B71D6"/>
    <w:rsid w:val="004B726B"/>
    <w:rsid w:val="004B75FB"/>
    <w:rsid w:val="004B7861"/>
    <w:rsid w:val="004B78A8"/>
    <w:rsid w:val="004B79D2"/>
    <w:rsid w:val="004B7E54"/>
    <w:rsid w:val="004B7EB0"/>
    <w:rsid w:val="004B7EFB"/>
    <w:rsid w:val="004C007C"/>
    <w:rsid w:val="004C0163"/>
    <w:rsid w:val="004C0274"/>
    <w:rsid w:val="004C05D4"/>
    <w:rsid w:val="004C0682"/>
    <w:rsid w:val="004C06A4"/>
    <w:rsid w:val="004C0751"/>
    <w:rsid w:val="004C07F9"/>
    <w:rsid w:val="004C0913"/>
    <w:rsid w:val="004C0AB2"/>
    <w:rsid w:val="004C0AF1"/>
    <w:rsid w:val="004C0B19"/>
    <w:rsid w:val="004C0BA7"/>
    <w:rsid w:val="004C1334"/>
    <w:rsid w:val="004C13F5"/>
    <w:rsid w:val="004C15AA"/>
    <w:rsid w:val="004C1684"/>
    <w:rsid w:val="004C196D"/>
    <w:rsid w:val="004C1BD7"/>
    <w:rsid w:val="004C1DE3"/>
    <w:rsid w:val="004C1EA3"/>
    <w:rsid w:val="004C1F4C"/>
    <w:rsid w:val="004C202B"/>
    <w:rsid w:val="004C208C"/>
    <w:rsid w:val="004C2344"/>
    <w:rsid w:val="004C2408"/>
    <w:rsid w:val="004C24F5"/>
    <w:rsid w:val="004C25C5"/>
    <w:rsid w:val="004C27A4"/>
    <w:rsid w:val="004C2801"/>
    <w:rsid w:val="004C2990"/>
    <w:rsid w:val="004C2A87"/>
    <w:rsid w:val="004C2BF9"/>
    <w:rsid w:val="004C2C4D"/>
    <w:rsid w:val="004C2C8B"/>
    <w:rsid w:val="004C3285"/>
    <w:rsid w:val="004C3370"/>
    <w:rsid w:val="004C38D0"/>
    <w:rsid w:val="004C3ABA"/>
    <w:rsid w:val="004C3C29"/>
    <w:rsid w:val="004C3EA5"/>
    <w:rsid w:val="004C3F72"/>
    <w:rsid w:val="004C40A9"/>
    <w:rsid w:val="004C43E0"/>
    <w:rsid w:val="004C45F5"/>
    <w:rsid w:val="004C46CF"/>
    <w:rsid w:val="004C47B2"/>
    <w:rsid w:val="004C489F"/>
    <w:rsid w:val="004C48FC"/>
    <w:rsid w:val="004C499C"/>
    <w:rsid w:val="004C4DC3"/>
    <w:rsid w:val="004C4EE8"/>
    <w:rsid w:val="004C5265"/>
    <w:rsid w:val="004C534D"/>
    <w:rsid w:val="004C5367"/>
    <w:rsid w:val="004C5409"/>
    <w:rsid w:val="004C553B"/>
    <w:rsid w:val="004C57C1"/>
    <w:rsid w:val="004C5A41"/>
    <w:rsid w:val="004C5AC2"/>
    <w:rsid w:val="004C5E07"/>
    <w:rsid w:val="004C5E98"/>
    <w:rsid w:val="004C5F18"/>
    <w:rsid w:val="004C610A"/>
    <w:rsid w:val="004C62B4"/>
    <w:rsid w:val="004C62C9"/>
    <w:rsid w:val="004C655C"/>
    <w:rsid w:val="004C6925"/>
    <w:rsid w:val="004C6AF9"/>
    <w:rsid w:val="004C6D08"/>
    <w:rsid w:val="004C6E47"/>
    <w:rsid w:val="004C6E55"/>
    <w:rsid w:val="004C6E69"/>
    <w:rsid w:val="004C6F7F"/>
    <w:rsid w:val="004C6FF5"/>
    <w:rsid w:val="004C78AB"/>
    <w:rsid w:val="004C7A65"/>
    <w:rsid w:val="004C7E09"/>
    <w:rsid w:val="004C7F5B"/>
    <w:rsid w:val="004C7F77"/>
    <w:rsid w:val="004C7F98"/>
    <w:rsid w:val="004D015E"/>
    <w:rsid w:val="004D0508"/>
    <w:rsid w:val="004D0775"/>
    <w:rsid w:val="004D07FA"/>
    <w:rsid w:val="004D0A4F"/>
    <w:rsid w:val="004D0BDC"/>
    <w:rsid w:val="004D0CE5"/>
    <w:rsid w:val="004D0E00"/>
    <w:rsid w:val="004D10CE"/>
    <w:rsid w:val="004D1326"/>
    <w:rsid w:val="004D1406"/>
    <w:rsid w:val="004D1736"/>
    <w:rsid w:val="004D1A34"/>
    <w:rsid w:val="004D1C6D"/>
    <w:rsid w:val="004D1D23"/>
    <w:rsid w:val="004D218B"/>
    <w:rsid w:val="004D219E"/>
    <w:rsid w:val="004D21C9"/>
    <w:rsid w:val="004D2659"/>
    <w:rsid w:val="004D2956"/>
    <w:rsid w:val="004D29EB"/>
    <w:rsid w:val="004D2A6C"/>
    <w:rsid w:val="004D2B29"/>
    <w:rsid w:val="004D2BD2"/>
    <w:rsid w:val="004D2FA2"/>
    <w:rsid w:val="004D311D"/>
    <w:rsid w:val="004D39A6"/>
    <w:rsid w:val="004D3A02"/>
    <w:rsid w:val="004D4064"/>
    <w:rsid w:val="004D45F9"/>
    <w:rsid w:val="004D467B"/>
    <w:rsid w:val="004D474C"/>
    <w:rsid w:val="004D478C"/>
    <w:rsid w:val="004D4AB6"/>
    <w:rsid w:val="004D4B4E"/>
    <w:rsid w:val="004D4BB3"/>
    <w:rsid w:val="004D4BE6"/>
    <w:rsid w:val="004D4E93"/>
    <w:rsid w:val="004D4F12"/>
    <w:rsid w:val="004D51E2"/>
    <w:rsid w:val="004D544D"/>
    <w:rsid w:val="004D554F"/>
    <w:rsid w:val="004D57FE"/>
    <w:rsid w:val="004D58F7"/>
    <w:rsid w:val="004D5C92"/>
    <w:rsid w:val="004D5CD2"/>
    <w:rsid w:val="004D5D2B"/>
    <w:rsid w:val="004D5E96"/>
    <w:rsid w:val="004D5EFB"/>
    <w:rsid w:val="004D649B"/>
    <w:rsid w:val="004D65A9"/>
    <w:rsid w:val="004D6815"/>
    <w:rsid w:val="004D6B5A"/>
    <w:rsid w:val="004D6C15"/>
    <w:rsid w:val="004D6EAD"/>
    <w:rsid w:val="004D71D0"/>
    <w:rsid w:val="004D7748"/>
    <w:rsid w:val="004D7871"/>
    <w:rsid w:val="004D78D0"/>
    <w:rsid w:val="004D7A13"/>
    <w:rsid w:val="004D7BDC"/>
    <w:rsid w:val="004D7C4D"/>
    <w:rsid w:val="004D7D55"/>
    <w:rsid w:val="004D7E04"/>
    <w:rsid w:val="004E0395"/>
    <w:rsid w:val="004E03B0"/>
    <w:rsid w:val="004E0668"/>
    <w:rsid w:val="004E078D"/>
    <w:rsid w:val="004E0CB5"/>
    <w:rsid w:val="004E0E33"/>
    <w:rsid w:val="004E10A2"/>
    <w:rsid w:val="004E10C4"/>
    <w:rsid w:val="004E127A"/>
    <w:rsid w:val="004E13E1"/>
    <w:rsid w:val="004E13E8"/>
    <w:rsid w:val="004E1474"/>
    <w:rsid w:val="004E1491"/>
    <w:rsid w:val="004E1493"/>
    <w:rsid w:val="004E1704"/>
    <w:rsid w:val="004E173C"/>
    <w:rsid w:val="004E182C"/>
    <w:rsid w:val="004E184E"/>
    <w:rsid w:val="004E186B"/>
    <w:rsid w:val="004E1B1B"/>
    <w:rsid w:val="004E2033"/>
    <w:rsid w:val="004E2198"/>
    <w:rsid w:val="004E2443"/>
    <w:rsid w:val="004E2602"/>
    <w:rsid w:val="004E2836"/>
    <w:rsid w:val="004E2CE3"/>
    <w:rsid w:val="004E32B4"/>
    <w:rsid w:val="004E3431"/>
    <w:rsid w:val="004E36B7"/>
    <w:rsid w:val="004E36FE"/>
    <w:rsid w:val="004E3868"/>
    <w:rsid w:val="004E3C82"/>
    <w:rsid w:val="004E3DE8"/>
    <w:rsid w:val="004E3E3C"/>
    <w:rsid w:val="004E4174"/>
    <w:rsid w:val="004E4410"/>
    <w:rsid w:val="004E471D"/>
    <w:rsid w:val="004E479E"/>
    <w:rsid w:val="004E481A"/>
    <w:rsid w:val="004E4931"/>
    <w:rsid w:val="004E4A34"/>
    <w:rsid w:val="004E4B8B"/>
    <w:rsid w:val="004E4D6F"/>
    <w:rsid w:val="004E4E09"/>
    <w:rsid w:val="004E4F56"/>
    <w:rsid w:val="004E5673"/>
    <w:rsid w:val="004E567B"/>
    <w:rsid w:val="004E579B"/>
    <w:rsid w:val="004E587D"/>
    <w:rsid w:val="004E5984"/>
    <w:rsid w:val="004E5BFA"/>
    <w:rsid w:val="004E5C0A"/>
    <w:rsid w:val="004E5E0D"/>
    <w:rsid w:val="004E5E30"/>
    <w:rsid w:val="004E613D"/>
    <w:rsid w:val="004E614A"/>
    <w:rsid w:val="004E62D5"/>
    <w:rsid w:val="004E6335"/>
    <w:rsid w:val="004E641B"/>
    <w:rsid w:val="004E6528"/>
    <w:rsid w:val="004E67C6"/>
    <w:rsid w:val="004E69C0"/>
    <w:rsid w:val="004E6A54"/>
    <w:rsid w:val="004E6AD0"/>
    <w:rsid w:val="004E6CC7"/>
    <w:rsid w:val="004E6CED"/>
    <w:rsid w:val="004E6E8A"/>
    <w:rsid w:val="004E712C"/>
    <w:rsid w:val="004E7166"/>
    <w:rsid w:val="004E7252"/>
    <w:rsid w:val="004E737D"/>
    <w:rsid w:val="004E77F5"/>
    <w:rsid w:val="004E7904"/>
    <w:rsid w:val="004E7A5A"/>
    <w:rsid w:val="004E7C55"/>
    <w:rsid w:val="004E7C90"/>
    <w:rsid w:val="004E7D48"/>
    <w:rsid w:val="004E7D80"/>
    <w:rsid w:val="004E7E73"/>
    <w:rsid w:val="004E7EA2"/>
    <w:rsid w:val="004F0248"/>
    <w:rsid w:val="004F0397"/>
    <w:rsid w:val="004F04E7"/>
    <w:rsid w:val="004F05E5"/>
    <w:rsid w:val="004F0661"/>
    <w:rsid w:val="004F089D"/>
    <w:rsid w:val="004F0AD1"/>
    <w:rsid w:val="004F0AF0"/>
    <w:rsid w:val="004F0C8B"/>
    <w:rsid w:val="004F0DCB"/>
    <w:rsid w:val="004F0F73"/>
    <w:rsid w:val="004F100E"/>
    <w:rsid w:val="004F1154"/>
    <w:rsid w:val="004F13D9"/>
    <w:rsid w:val="004F149C"/>
    <w:rsid w:val="004F1513"/>
    <w:rsid w:val="004F1517"/>
    <w:rsid w:val="004F15D3"/>
    <w:rsid w:val="004F186B"/>
    <w:rsid w:val="004F19DC"/>
    <w:rsid w:val="004F1A68"/>
    <w:rsid w:val="004F1B2C"/>
    <w:rsid w:val="004F1B82"/>
    <w:rsid w:val="004F1CAD"/>
    <w:rsid w:val="004F1DEE"/>
    <w:rsid w:val="004F1EF4"/>
    <w:rsid w:val="004F222B"/>
    <w:rsid w:val="004F2364"/>
    <w:rsid w:val="004F246A"/>
    <w:rsid w:val="004F2575"/>
    <w:rsid w:val="004F2597"/>
    <w:rsid w:val="004F29C1"/>
    <w:rsid w:val="004F2A45"/>
    <w:rsid w:val="004F2A7E"/>
    <w:rsid w:val="004F2D1E"/>
    <w:rsid w:val="004F2EC8"/>
    <w:rsid w:val="004F33AE"/>
    <w:rsid w:val="004F34C9"/>
    <w:rsid w:val="004F3686"/>
    <w:rsid w:val="004F3787"/>
    <w:rsid w:val="004F3CFE"/>
    <w:rsid w:val="004F3D7B"/>
    <w:rsid w:val="004F3FD7"/>
    <w:rsid w:val="004F40D4"/>
    <w:rsid w:val="004F41DE"/>
    <w:rsid w:val="004F424D"/>
    <w:rsid w:val="004F4354"/>
    <w:rsid w:val="004F45D8"/>
    <w:rsid w:val="004F46FB"/>
    <w:rsid w:val="004F4A11"/>
    <w:rsid w:val="004F4A83"/>
    <w:rsid w:val="004F4C75"/>
    <w:rsid w:val="004F4EDE"/>
    <w:rsid w:val="004F530A"/>
    <w:rsid w:val="004F58FC"/>
    <w:rsid w:val="004F5D5A"/>
    <w:rsid w:val="004F5F7F"/>
    <w:rsid w:val="004F6097"/>
    <w:rsid w:val="004F612B"/>
    <w:rsid w:val="004F636C"/>
    <w:rsid w:val="004F6496"/>
    <w:rsid w:val="004F69C4"/>
    <w:rsid w:val="004F6A00"/>
    <w:rsid w:val="004F6AE5"/>
    <w:rsid w:val="004F6D4F"/>
    <w:rsid w:val="004F6E69"/>
    <w:rsid w:val="004F7197"/>
    <w:rsid w:val="004F7211"/>
    <w:rsid w:val="004F73AE"/>
    <w:rsid w:val="004F7528"/>
    <w:rsid w:val="004F770E"/>
    <w:rsid w:val="004F77FA"/>
    <w:rsid w:val="004F7850"/>
    <w:rsid w:val="004F7C40"/>
    <w:rsid w:val="004F7FDB"/>
    <w:rsid w:val="00500083"/>
    <w:rsid w:val="00500531"/>
    <w:rsid w:val="005007C3"/>
    <w:rsid w:val="005008A3"/>
    <w:rsid w:val="005008F5"/>
    <w:rsid w:val="00500DE5"/>
    <w:rsid w:val="00501124"/>
    <w:rsid w:val="005013FE"/>
    <w:rsid w:val="0050160E"/>
    <w:rsid w:val="005019E2"/>
    <w:rsid w:val="00501AD8"/>
    <w:rsid w:val="00501C00"/>
    <w:rsid w:val="00501E26"/>
    <w:rsid w:val="00501EC3"/>
    <w:rsid w:val="00501F90"/>
    <w:rsid w:val="00502647"/>
    <w:rsid w:val="005029CF"/>
    <w:rsid w:val="00502BE6"/>
    <w:rsid w:val="00502D4D"/>
    <w:rsid w:val="00502DD6"/>
    <w:rsid w:val="00503047"/>
    <w:rsid w:val="005035E6"/>
    <w:rsid w:val="005036F7"/>
    <w:rsid w:val="0050399A"/>
    <w:rsid w:val="005039B6"/>
    <w:rsid w:val="00503A6B"/>
    <w:rsid w:val="00503BB0"/>
    <w:rsid w:val="00503D7D"/>
    <w:rsid w:val="00503EB1"/>
    <w:rsid w:val="00503EFF"/>
    <w:rsid w:val="00504081"/>
    <w:rsid w:val="0050432B"/>
    <w:rsid w:val="0050433C"/>
    <w:rsid w:val="00504360"/>
    <w:rsid w:val="0050439F"/>
    <w:rsid w:val="005046E4"/>
    <w:rsid w:val="005048E8"/>
    <w:rsid w:val="00504947"/>
    <w:rsid w:val="00504D38"/>
    <w:rsid w:val="00504EDC"/>
    <w:rsid w:val="005050C6"/>
    <w:rsid w:val="005051F6"/>
    <w:rsid w:val="0050528E"/>
    <w:rsid w:val="0050529F"/>
    <w:rsid w:val="00505339"/>
    <w:rsid w:val="00505B2B"/>
    <w:rsid w:val="00505BDC"/>
    <w:rsid w:val="00505E6F"/>
    <w:rsid w:val="005062FD"/>
    <w:rsid w:val="0050633E"/>
    <w:rsid w:val="00506461"/>
    <w:rsid w:val="005064D0"/>
    <w:rsid w:val="005067FE"/>
    <w:rsid w:val="00506982"/>
    <w:rsid w:val="00506B5D"/>
    <w:rsid w:val="00506CFA"/>
    <w:rsid w:val="005071D6"/>
    <w:rsid w:val="00507280"/>
    <w:rsid w:val="0050728C"/>
    <w:rsid w:val="0050742A"/>
    <w:rsid w:val="00507536"/>
    <w:rsid w:val="005075F1"/>
    <w:rsid w:val="005077EA"/>
    <w:rsid w:val="005078A9"/>
    <w:rsid w:val="00507C71"/>
    <w:rsid w:val="00507E95"/>
    <w:rsid w:val="0051015B"/>
    <w:rsid w:val="0051034C"/>
    <w:rsid w:val="005104DC"/>
    <w:rsid w:val="005105DE"/>
    <w:rsid w:val="0051095D"/>
    <w:rsid w:val="00510CD6"/>
    <w:rsid w:val="00510EAA"/>
    <w:rsid w:val="00510FED"/>
    <w:rsid w:val="0051132C"/>
    <w:rsid w:val="0051136F"/>
    <w:rsid w:val="00511471"/>
    <w:rsid w:val="0051165E"/>
    <w:rsid w:val="00511691"/>
    <w:rsid w:val="005117AC"/>
    <w:rsid w:val="00511907"/>
    <w:rsid w:val="00511BA3"/>
    <w:rsid w:val="00511E10"/>
    <w:rsid w:val="00511FBF"/>
    <w:rsid w:val="005121E8"/>
    <w:rsid w:val="0051228E"/>
    <w:rsid w:val="005122DE"/>
    <w:rsid w:val="0051235F"/>
    <w:rsid w:val="0051261F"/>
    <w:rsid w:val="00512794"/>
    <w:rsid w:val="005127EB"/>
    <w:rsid w:val="00512857"/>
    <w:rsid w:val="00512A4B"/>
    <w:rsid w:val="00512AC5"/>
    <w:rsid w:val="00512B38"/>
    <w:rsid w:val="00512BEA"/>
    <w:rsid w:val="00512DB8"/>
    <w:rsid w:val="00512F7C"/>
    <w:rsid w:val="0051331D"/>
    <w:rsid w:val="005134E3"/>
    <w:rsid w:val="0051356B"/>
    <w:rsid w:val="00513783"/>
    <w:rsid w:val="00513827"/>
    <w:rsid w:val="00513839"/>
    <w:rsid w:val="005138BA"/>
    <w:rsid w:val="00513A5D"/>
    <w:rsid w:val="00513BA9"/>
    <w:rsid w:val="00513C03"/>
    <w:rsid w:val="00513C88"/>
    <w:rsid w:val="00513CEF"/>
    <w:rsid w:val="00514365"/>
    <w:rsid w:val="0051455D"/>
    <w:rsid w:val="005145C1"/>
    <w:rsid w:val="005146C3"/>
    <w:rsid w:val="00514736"/>
    <w:rsid w:val="00514858"/>
    <w:rsid w:val="00514DFC"/>
    <w:rsid w:val="00514E25"/>
    <w:rsid w:val="00514F28"/>
    <w:rsid w:val="00514F3A"/>
    <w:rsid w:val="0051509F"/>
    <w:rsid w:val="00515112"/>
    <w:rsid w:val="0051535C"/>
    <w:rsid w:val="005153AF"/>
    <w:rsid w:val="0051545A"/>
    <w:rsid w:val="005154E1"/>
    <w:rsid w:val="00515665"/>
    <w:rsid w:val="00515A6D"/>
    <w:rsid w:val="00515B53"/>
    <w:rsid w:val="00515CC9"/>
    <w:rsid w:val="00515E10"/>
    <w:rsid w:val="0051657B"/>
    <w:rsid w:val="0051698D"/>
    <w:rsid w:val="00516A59"/>
    <w:rsid w:val="00516D1E"/>
    <w:rsid w:val="00516F6E"/>
    <w:rsid w:val="005174DF"/>
    <w:rsid w:val="0051768E"/>
    <w:rsid w:val="00517713"/>
    <w:rsid w:val="00517A2B"/>
    <w:rsid w:val="00517B54"/>
    <w:rsid w:val="00517B76"/>
    <w:rsid w:val="00517B8D"/>
    <w:rsid w:val="00517C0A"/>
    <w:rsid w:val="00520761"/>
    <w:rsid w:val="00520C1B"/>
    <w:rsid w:val="00520C2D"/>
    <w:rsid w:val="00520D8C"/>
    <w:rsid w:val="00520E5B"/>
    <w:rsid w:val="00521003"/>
    <w:rsid w:val="0052107A"/>
    <w:rsid w:val="005215EC"/>
    <w:rsid w:val="00521C85"/>
    <w:rsid w:val="00521C88"/>
    <w:rsid w:val="00521CB6"/>
    <w:rsid w:val="00521D17"/>
    <w:rsid w:val="00522525"/>
    <w:rsid w:val="005226A4"/>
    <w:rsid w:val="00522862"/>
    <w:rsid w:val="00522C00"/>
    <w:rsid w:val="00522C52"/>
    <w:rsid w:val="005230C5"/>
    <w:rsid w:val="005233AD"/>
    <w:rsid w:val="005237D1"/>
    <w:rsid w:val="00523C8A"/>
    <w:rsid w:val="00523CEF"/>
    <w:rsid w:val="00523F2A"/>
    <w:rsid w:val="0052429B"/>
    <w:rsid w:val="005244D8"/>
    <w:rsid w:val="005244DE"/>
    <w:rsid w:val="00524A7D"/>
    <w:rsid w:val="00524ADC"/>
    <w:rsid w:val="00524C36"/>
    <w:rsid w:val="00524E17"/>
    <w:rsid w:val="00524EA9"/>
    <w:rsid w:val="00524EAA"/>
    <w:rsid w:val="00524FCA"/>
    <w:rsid w:val="00525258"/>
    <w:rsid w:val="00525347"/>
    <w:rsid w:val="00525560"/>
    <w:rsid w:val="005256E7"/>
    <w:rsid w:val="00525951"/>
    <w:rsid w:val="0052595B"/>
    <w:rsid w:val="00525A97"/>
    <w:rsid w:val="00525B5C"/>
    <w:rsid w:val="00525BDF"/>
    <w:rsid w:val="00525D65"/>
    <w:rsid w:val="00525E17"/>
    <w:rsid w:val="00525FEB"/>
    <w:rsid w:val="00526087"/>
    <w:rsid w:val="005265FF"/>
    <w:rsid w:val="00526713"/>
    <w:rsid w:val="00526875"/>
    <w:rsid w:val="0052691D"/>
    <w:rsid w:val="00526AA6"/>
    <w:rsid w:val="00526B0D"/>
    <w:rsid w:val="00526B5B"/>
    <w:rsid w:val="00527499"/>
    <w:rsid w:val="00527716"/>
    <w:rsid w:val="00527719"/>
    <w:rsid w:val="00527852"/>
    <w:rsid w:val="00527DE4"/>
    <w:rsid w:val="00527DFB"/>
    <w:rsid w:val="00527E4A"/>
    <w:rsid w:val="00527ECA"/>
    <w:rsid w:val="0053001B"/>
    <w:rsid w:val="0053008A"/>
    <w:rsid w:val="0053018A"/>
    <w:rsid w:val="00530270"/>
    <w:rsid w:val="00530703"/>
    <w:rsid w:val="005307E8"/>
    <w:rsid w:val="0053086C"/>
    <w:rsid w:val="0053091F"/>
    <w:rsid w:val="0053098B"/>
    <w:rsid w:val="00530A2A"/>
    <w:rsid w:val="00530A5B"/>
    <w:rsid w:val="00530AAF"/>
    <w:rsid w:val="00530AB8"/>
    <w:rsid w:val="00530C06"/>
    <w:rsid w:val="00531015"/>
    <w:rsid w:val="0053131F"/>
    <w:rsid w:val="00531C3F"/>
    <w:rsid w:val="00531DFE"/>
    <w:rsid w:val="00531FA8"/>
    <w:rsid w:val="00532251"/>
    <w:rsid w:val="00532440"/>
    <w:rsid w:val="00532500"/>
    <w:rsid w:val="0053286E"/>
    <w:rsid w:val="00532AE3"/>
    <w:rsid w:val="00533123"/>
    <w:rsid w:val="00533405"/>
    <w:rsid w:val="005335A4"/>
    <w:rsid w:val="00533727"/>
    <w:rsid w:val="005337B9"/>
    <w:rsid w:val="0053389F"/>
    <w:rsid w:val="005339FF"/>
    <w:rsid w:val="00533C3C"/>
    <w:rsid w:val="00534041"/>
    <w:rsid w:val="0053415A"/>
    <w:rsid w:val="005342A7"/>
    <w:rsid w:val="00534676"/>
    <w:rsid w:val="005347A5"/>
    <w:rsid w:val="00534A08"/>
    <w:rsid w:val="00534AD1"/>
    <w:rsid w:val="00534B0F"/>
    <w:rsid w:val="00534C8B"/>
    <w:rsid w:val="00534E48"/>
    <w:rsid w:val="005351AD"/>
    <w:rsid w:val="0053523C"/>
    <w:rsid w:val="00535276"/>
    <w:rsid w:val="00535287"/>
    <w:rsid w:val="005352C2"/>
    <w:rsid w:val="0053557E"/>
    <w:rsid w:val="0053583C"/>
    <w:rsid w:val="00535D09"/>
    <w:rsid w:val="00535DAF"/>
    <w:rsid w:val="00535DFB"/>
    <w:rsid w:val="00535EC2"/>
    <w:rsid w:val="00535F6C"/>
    <w:rsid w:val="0053608D"/>
    <w:rsid w:val="005360A0"/>
    <w:rsid w:val="0053633A"/>
    <w:rsid w:val="005363D9"/>
    <w:rsid w:val="00536DDE"/>
    <w:rsid w:val="00536F2F"/>
    <w:rsid w:val="00537184"/>
    <w:rsid w:val="005373E8"/>
    <w:rsid w:val="00537564"/>
    <w:rsid w:val="00537584"/>
    <w:rsid w:val="005377BE"/>
    <w:rsid w:val="00537CD2"/>
    <w:rsid w:val="00537D2F"/>
    <w:rsid w:val="00537E11"/>
    <w:rsid w:val="00537ED7"/>
    <w:rsid w:val="00537F8B"/>
    <w:rsid w:val="00540202"/>
    <w:rsid w:val="0054034F"/>
    <w:rsid w:val="0054059B"/>
    <w:rsid w:val="0054087A"/>
    <w:rsid w:val="00540AB5"/>
    <w:rsid w:val="00540B29"/>
    <w:rsid w:val="00540B98"/>
    <w:rsid w:val="00541160"/>
    <w:rsid w:val="00541651"/>
    <w:rsid w:val="005416CE"/>
    <w:rsid w:val="00541781"/>
    <w:rsid w:val="00541BBB"/>
    <w:rsid w:val="00542602"/>
    <w:rsid w:val="00542708"/>
    <w:rsid w:val="00542714"/>
    <w:rsid w:val="00542D6B"/>
    <w:rsid w:val="00542E61"/>
    <w:rsid w:val="00543058"/>
    <w:rsid w:val="00543143"/>
    <w:rsid w:val="005434DC"/>
    <w:rsid w:val="005434F9"/>
    <w:rsid w:val="0054384C"/>
    <w:rsid w:val="00543A6B"/>
    <w:rsid w:val="0054414B"/>
    <w:rsid w:val="005441B3"/>
    <w:rsid w:val="0054437D"/>
    <w:rsid w:val="005443F6"/>
    <w:rsid w:val="00544428"/>
    <w:rsid w:val="00544554"/>
    <w:rsid w:val="005447D1"/>
    <w:rsid w:val="005448D3"/>
    <w:rsid w:val="00544C45"/>
    <w:rsid w:val="00545324"/>
    <w:rsid w:val="00545492"/>
    <w:rsid w:val="0054553C"/>
    <w:rsid w:val="005455B5"/>
    <w:rsid w:val="00545875"/>
    <w:rsid w:val="0054587A"/>
    <w:rsid w:val="00545A2D"/>
    <w:rsid w:val="00545F0C"/>
    <w:rsid w:val="00546205"/>
    <w:rsid w:val="00546401"/>
    <w:rsid w:val="00546432"/>
    <w:rsid w:val="00546447"/>
    <w:rsid w:val="00546499"/>
    <w:rsid w:val="005464E0"/>
    <w:rsid w:val="00546590"/>
    <w:rsid w:val="00546708"/>
    <w:rsid w:val="005468ED"/>
    <w:rsid w:val="005469D5"/>
    <w:rsid w:val="00546B4C"/>
    <w:rsid w:val="00546C52"/>
    <w:rsid w:val="00546D77"/>
    <w:rsid w:val="00546FD0"/>
    <w:rsid w:val="00547200"/>
    <w:rsid w:val="005472F7"/>
    <w:rsid w:val="00547481"/>
    <w:rsid w:val="0054749B"/>
    <w:rsid w:val="0054770F"/>
    <w:rsid w:val="0054773D"/>
    <w:rsid w:val="00547836"/>
    <w:rsid w:val="00547A1E"/>
    <w:rsid w:val="00547A84"/>
    <w:rsid w:val="00547B58"/>
    <w:rsid w:val="00550257"/>
    <w:rsid w:val="0055047D"/>
    <w:rsid w:val="005504AF"/>
    <w:rsid w:val="00550A4D"/>
    <w:rsid w:val="00550BA1"/>
    <w:rsid w:val="00550D83"/>
    <w:rsid w:val="00550E92"/>
    <w:rsid w:val="00550FD0"/>
    <w:rsid w:val="00551061"/>
    <w:rsid w:val="00551075"/>
    <w:rsid w:val="00551181"/>
    <w:rsid w:val="00551463"/>
    <w:rsid w:val="0055154B"/>
    <w:rsid w:val="00551691"/>
    <w:rsid w:val="005517E6"/>
    <w:rsid w:val="00551823"/>
    <w:rsid w:val="00551D02"/>
    <w:rsid w:val="00552033"/>
    <w:rsid w:val="0055227B"/>
    <w:rsid w:val="00552433"/>
    <w:rsid w:val="00552505"/>
    <w:rsid w:val="00552807"/>
    <w:rsid w:val="00552DDF"/>
    <w:rsid w:val="00552F89"/>
    <w:rsid w:val="005530C6"/>
    <w:rsid w:val="005534A5"/>
    <w:rsid w:val="005534CA"/>
    <w:rsid w:val="005535BB"/>
    <w:rsid w:val="0055389F"/>
    <w:rsid w:val="00553AB7"/>
    <w:rsid w:val="00553B1C"/>
    <w:rsid w:val="00553BC8"/>
    <w:rsid w:val="00553D84"/>
    <w:rsid w:val="00553F31"/>
    <w:rsid w:val="00554212"/>
    <w:rsid w:val="00554517"/>
    <w:rsid w:val="0055458D"/>
    <w:rsid w:val="005545B0"/>
    <w:rsid w:val="005546E4"/>
    <w:rsid w:val="0055483A"/>
    <w:rsid w:val="00554FF4"/>
    <w:rsid w:val="0055510F"/>
    <w:rsid w:val="005554BE"/>
    <w:rsid w:val="005555A5"/>
    <w:rsid w:val="005557B7"/>
    <w:rsid w:val="005558AF"/>
    <w:rsid w:val="005559B3"/>
    <w:rsid w:val="005559E0"/>
    <w:rsid w:val="00555C5C"/>
    <w:rsid w:val="00555E78"/>
    <w:rsid w:val="00556226"/>
    <w:rsid w:val="005562DF"/>
    <w:rsid w:val="00556444"/>
    <w:rsid w:val="00556497"/>
    <w:rsid w:val="005567C1"/>
    <w:rsid w:val="00556900"/>
    <w:rsid w:val="00556996"/>
    <w:rsid w:val="00556C12"/>
    <w:rsid w:val="00556D0E"/>
    <w:rsid w:val="005573E6"/>
    <w:rsid w:val="0055748B"/>
    <w:rsid w:val="00557718"/>
    <w:rsid w:val="005577BB"/>
    <w:rsid w:val="005578CA"/>
    <w:rsid w:val="00557E24"/>
    <w:rsid w:val="005602A5"/>
    <w:rsid w:val="0056036C"/>
    <w:rsid w:val="00560440"/>
    <w:rsid w:val="00560510"/>
    <w:rsid w:val="005605F8"/>
    <w:rsid w:val="005605FA"/>
    <w:rsid w:val="005607D2"/>
    <w:rsid w:val="00560896"/>
    <w:rsid w:val="00560DD8"/>
    <w:rsid w:val="00560FC3"/>
    <w:rsid w:val="00561066"/>
    <w:rsid w:val="005610B7"/>
    <w:rsid w:val="00561100"/>
    <w:rsid w:val="0056110E"/>
    <w:rsid w:val="00561330"/>
    <w:rsid w:val="005614F0"/>
    <w:rsid w:val="00561667"/>
    <w:rsid w:val="00561803"/>
    <w:rsid w:val="005619BE"/>
    <w:rsid w:val="00561A1A"/>
    <w:rsid w:val="00561D61"/>
    <w:rsid w:val="00561D93"/>
    <w:rsid w:val="00561EBA"/>
    <w:rsid w:val="00561EFF"/>
    <w:rsid w:val="0056204E"/>
    <w:rsid w:val="0056205F"/>
    <w:rsid w:val="00562176"/>
    <w:rsid w:val="0056228A"/>
    <w:rsid w:val="005622B8"/>
    <w:rsid w:val="005622FA"/>
    <w:rsid w:val="005628AC"/>
    <w:rsid w:val="00562918"/>
    <w:rsid w:val="00562961"/>
    <w:rsid w:val="00562BB6"/>
    <w:rsid w:val="00562F93"/>
    <w:rsid w:val="0056313C"/>
    <w:rsid w:val="0056316C"/>
    <w:rsid w:val="00563264"/>
    <w:rsid w:val="00563358"/>
    <w:rsid w:val="0056361C"/>
    <w:rsid w:val="00563868"/>
    <w:rsid w:val="00563C26"/>
    <w:rsid w:val="00563C57"/>
    <w:rsid w:val="00563E01"/>
    <w:rsid w:val="005641C2"/>
    <w:rsid w:val="005644F8"/>
    <w:rsid w:val="005645FD"/>
    <w:rsid w:val="005649FE"/>
    <w:rsid w:val="00564C94"/>
    <w:rsid w:val="005651AF"/>
    <w:rsid w:val="005653F9"/>
    <w:rsid w:val="005654BB"/>
    <w:rsid w:val="00565528"/>
    <w:rsid w:val="005656A9"/>
    <w:rsid w:val="00565852"/>
    <w:rsid w:val="005658DE"/>
    <w:rsid w:val="00565A4F"/>
    <w:rsid w:val="00565C30"/>
    <w:rsid w:val="00565F27"/>
    <w:rsid w:val="00565F57"/>
    <w:rsid w:val="005661EF"/>
    <w:rsid w:val="00566260"/>
    <w:rsid w:val="00566280"/>
    <w:rsid w:val="0056659C"/>
    <w:rsid w:val="005667E5"/>
    <w:rsid w:val="0056680D"/>
    <w:rsid w:val="00566A17"/>
    <w:rsid w:val="00566BC8"/>
    <w:rsid w:val="00566C53"/>
    <w:rsid w:val="00567365"/>
    <w:rsid w:val="00567401"/>
    <w:rsid w:val="005675C6"/>
    <w:rsid w:val="005675EE"/>
    <w:rsid w:val="0056775A"/>
    <w:rsid w:val="005677DC"/>
    <w:rsid w:val="005678AD"/>
    <w:rsid w:val="00567919"/>
    <w:rsid w:val="00567B86"/>
    <w:rsid w:val="00567C74"/>
    <w:rsid w:val="00567D0C"/>
    <w:rsid w:val="005702FF"/>
    <w:rsid w:val="005705B1"/>
    <w:rsid w:val="005709EE"/>
    <w:rsid w:val="005711D6"/>
    <w:rsid w:val="005712A2"/>
    <w:rsid w:val="00571466"/>
    <w:rsid w:val="00571596"/>
    <w:rsid w:val="00571E51"/>
    <w:rsid w:val="00571E7E"/>
    <w:rsid w:val="005720B8"/>
    <w:rsid w:val="005720D2"/>
    <w:rsid w:val="00572AE8"/>
    <w:rsid w:val="00572AEC"/>
    <w:rsid w:val="00572B3F"/>
    <w:rsid w:val="00572D3B"/>
    <w:rsid w:val="005730B7"/>
    <w:rsid w:val="00573507"/>
    <w:rsid w:val="0057383D"/>
    <w:rsid w:val="005738C8"/>
    <w:rsid w:val="00573B0D"/>
    <w:rsid w:val="00573BF2"/>
    <w:rsid w:val="00573D65"/>
    <w:rsid w:val="00573EBB"/>
    <w:rsid w:val="00573FF1"/>
    <w:rsid w:val="0057413E"/>
    <w:rsid w:val="0057469F"/>
    <w:rsid w:val="00574711"/>
    <w:rsid w:val="00574DD8"/>
    <w:rsid w:val="00574F4B"/>
    <w:rsid w:val="00574F4C"/>
    <w:rsid w:val="0057512A"/>
    <w:rsid w:val="00575197"/>
    <w:rsid w:val="00575238"/>
    <w:rsid w:val="0057526B"/>
    <w:rsid w:val="005755C7"/>
    <w:rsid w:val="0057573D"/>
    <w:rsid w:val="00575AAE"/>
    <w:rsid w:val="00575B48"/>
    <w:rsid w:val="00575B5D"/>
    <w:rsid w:val="00575C6B"/>
    <w:rsid w:val="00575C9B"/>
    <w:rsid w:val="00575D25"/>
    <w:rsid w:val="0057619A"/>
    <w:rsid w:val="00576252"/>
    <w:rsid w:val="005765E4"/>
    <w:rsid w:val="005767A6"/>
    <w:rsid w:val="005768C8"/>
    <w:rsid w:val="005769A9"/>
    <w:rsid w:val="00576D66"/>
    <w:rsid w:val="00577086"/>
    <w:rsid w:val="0057708A"/>
    <w:rsid w:val="005770BD"/>
    <w:rsid w:val="0057715D"/>
    <w:rsid w:val="005773CF"/>
    <w:rsid w:val="00577554"/>
    <w:rsid w:val="00577AE7"/>
    <w:rsid w:val="00577B5F"/>
    <w:rsid w:val="00577BF3"/>
    <w:rsid w:val="00577CB3"/>
    <w:rsid w:val="00577D72"/>
    <w:rsid w:val="00577D85"/>
    <w:rsid w:val="005802B1"/>
    <w:rsid w:val="005804E0"/>
    <w:rsid w:val="00580663"/>
    <w:rsid w:val="00580673"/>
    <w:rsid w:val="0058067A"/>
    <w:rsid w:val="005809B5"/>
    <w:rsid w:val="00580FC3"/>
    <w:rsid w:val="00581284"/>
    <w:rsid w:val="0058140D"/>
    <w:rsid w:val="005814EB"/>
    <w:rsid w:val="00581B24"/>
    <w:rsid w:val="00581C7C"/>
    <w:rsid w:val="00582100"/>
    <w:rsid w:val="00582369"/>
    <w:rsid w:val="00582CF3"/>
    <w:rsid w:val="00582E32"/>
    <w:rsid w:val="00583248"/>
    <w:rsid w:val="00583583"/>
    <w:rsid w:val="0058359F"/>
    <w:rsid w:val="00583915"/>
    <w:rsid w:val="00583CF8"/>
    <w:rsid w:val="00583E56"/>
    <w:rsid w:val="00584196"/>
    <w:rsid w:val="00584222"/>
    <w:rsid w:val="00584229"/>
    <w:rsid w:val="005842C2"/>
    <w:rsid w:val="005844C1"/>
    <w:rsid w:val="0058453F"/>
    <w:rsid w:val="005847B3"/>
    <w:rsid w:val="005847CF"/>
    <w:rsid w:val="00584836"/>
    <w:rsid w:val="00584A32"/>
    <w:rsid w:val="00584ACE"/>
    <w:rsid w:val="00584BA8"/>
    <w:rsid w:val="00584C13"/>
    <w:rsid w:val="00584C91"/>
    <w:rsid w:val="00584D1E"/>
    <w:rsid w:val="00584D6F"/>
    <w:rsid w:val="00584FC3"/>
    <w:rsid w:val="005851D4"/>
    <w:rsid w:val="00585388"/>
    <w:rsid w:val="00585480"/>
    <w:rsid w:val="0058560D"/>
    <w:rsid w:val="00585C22"/>
    <w:rsid w:val="00585CA0"/>
    <w:rsid w:val="00585CE5"/>
    <w:rsid w:val="00585D6C"/>
    <w:rsid w:val="005861D2"/>
    <w:rsid w:val="0058625B"/>
    <w:rsid w:val="005862A9"/>
    <w:rsid w:val="005865A4"/>
    <w:rsid w:val="005868E7"/>
    <w:rsid w:val="00586A64"/>
    <w:rsid w:val="00586D8D"/>
    <w:rsid w:val="00586EE4"/>
    <w:rsid w:val="00586F8B"/>
    <w:rsid w:val="00587232"/>
    <w:rsid w:val="0058725B"/>
    <w:rsid w:val="00587367"/>
    <w:rsid w:val="00587778"/>
    <w:rsid w:val="00587B6E"/>
    <w:rsid w:val="00587E21"/>
    <w:rsid w:val="00587F3B"/>
    <w:rsid w:val="005902E7"/>
    <w:rsid w:val="005905CA"/>
    <w:rsid w:val="00590DC6"/>
    <w:rsid w:val="00590EC7"/>
    <w:rsid w:val="0059107E"/>
    <w:rsid w:val="005911A8"/>
    <w:rsid w:val="005911FB"/>
    <w:rsid w:val="0059137F"/>
    <w:rsid w:val="005913AD"/>
    <w:rsid w:val="005915E7"/>
    <w:rsid w:val="0059166C"/>
    <w:rsid w:val="00591897"/>
    <w:rsid w:val="005918B9"/>
    <w:rsid w:val="005918CD"/>
    <w:rsid w:val="00591C16"/>
    <w:rsid w:val="00591F15"/>
    <w:rsid w:val="00591FD6"/>
    <w:rsid w:val="0059239D"/>
    <w:rsid w:val="005923AE"/>
    <w:rsid w:val="0059248C"/>
    <w:rsid w:val="0059276F"/>
    <w:rsid w:val="00592856"/>
    <w:rsid w:val="00592879"/>
    <w:rsid w:val="00592880"/>
    <w:rsid w:val="00592947"/>
    <w:rsid w:val="00592B41"/>
    <w:rsid w:val="00592DE1"/>
    <w:rsid w:val="00592F91"/>
    <w:rsid w:val="005931BF"/>
    <w:rsid w:val="00593211"/>
    <w:rsid w:val="00593360"/>
    <w:rsid w:val="00593504"/>
    <w:rsid w:val="00593573"/>
    <w:rsid w:val="005935D6"/>
    <w:rsid w:val="005936AB"/>
    <w:rsid w:val="0059379B"/>
    <w:rsid w:val="00593889"/>
    <w:rsid w:val="00593C59"/>
    <w:rsid w:val="00593D04"/>
    <w:rsid w:val="00593DEB"/>
    <w:rsid w:val="00593F38"/>
    <w:rsid w:val="0059403C"/>
    <w:rsid w:val="0059427E"/>
    <w:rsid w:val="005943D6"/>
    <w:rsid w:val="00594570"/>
    <w:rsid w:val="00594597"/>
    <w:rsid w:val="005945D6"/>
    <w:rsid w:val="0059469F"/>
    <w:rsid w:val="0059494D"/>
    <w:rsid w:val="00594B41"/>
    <w:rsid w:val="00594EF9"/>
    <w:rsid w:val="00595598"/>
    <w:rsid w:val="00595798"/>
    <w:rsid w:val="00595B1C"/>
    <w:rsid w:val="00595C7F"/>
    <w:rsid w:val="00595DC0"/>
    <w:rsid w:val="00595E6A"/>
    <w:rsid w:val="00595F9D"/>
    <w:rsid w:val="00596169"/>
    <w:rsid w:val="0059616C"/>
    <w:rsid w:val="0059627E"/>
    <w:rsid w:val="005966AA"/>
    <w:rsid w:val="005967F0"/>
    <w:rsid w:val="00596888"/>
    <w:rsid w:val="00596931"/>
    <w:rsid w:val="005969B0"/>
    <w:rsid w:val="00596D78"/>
    <w:rsid w:val="00597115"/>
    <w:rsid w:val="005972AF"/>
    <w:rsid w:val="005975A0"/>
    <w:rsid w:val="005977C9"/>
    <w:rsid w:val="005977D9"/>
    <w:rsid w:val="0059783B"/>
    <w:rsid w:val="005978FE"/>
    <w:rsid w:val="0059795D"/>
    <w:rsid w:val="0059797A"/>
    <w:rsid w:val="005979C0"/>
    <w:rsid w:val="005979D4"/>
    <w:rsid w:val="00597BFC"/>
    <w:rsid w:val="00597DE8"/>
    <w:rsid w:val="005A02C1"/>
    <w:rsid w:val="005A0387"/>
    <w:rsid w:val="005A04A1"/>
    <w:rsid w:val="005A05A0"/>
    <w:rsid w:val="005A082A"/>
    <w:rsid w:val="005A088E"/>
    <w:rsid w:val="005A0970"/>
    <w:rsid w:val="005A0BBB"/>
    <w:rsid w:val="005A0C6B"/>
    <w:rsid w:val="005A0EEF"/>
    <w:rsid w:val="005A11FB"/>
    <w:rsid w:val="005A126A"/>
    <w:rsid w:val="005A126F"/>
    <w:rsid w:val="005A16EE"/>
    <w:rsid w:val="005A1741"/>
    <w:rsid w:val="005A202E"/>
    <w:rsid w:val="005A23AB"/>
    <w:rsid w:val="005A2540"/>
    <w:rsid w:val="005A2967"/>
    <w:rsid w:val="005A29E0"/>
    <w:rsid w:val="005A2DD8"/>
    <w:rsid w:val="005A2DE3"/>
    <w:rsid w:val="005A317D"/>
    <w:rsid w:val="005A3214"/>
    <w:rsid w:val="005A3562"/>
    <w:rsid w:val="005A36C7"/>
    <w:rsid w:val="005A3845"/>
    <w:rsid w:val="005A3870"/>
    <w:rsid w:val="005A3C23"/>
    <w:rsid w:val="005A3C55"/>
    <w:rsid w:val="005A3C6E"/>
    <w:rsid w:val="005A40AF"/>
    <w:rsid w:val="005A4238"/>
    <w:rsid w:val="005A429B"/>
    <w:rsid w:val="005A439C"/>
    <w:rsid w:val="005A43A1"/>
    <w:rsid w:val="005A450C"/>
    <w:rsid w:val="005A453F"/>
    <w:rsid w:val="005A45CD"/>
    <w:rsid w:val="005A47CD"/>
    <w:rsid w:val="005A4965"/>
    <w:rsid w:val="005A49B9"/>
    <w:rsid w:val="005A4D07"/>
    <w:rsid w:val="005A5112"/>
    <w:rsid w:val="005A5187"/>
    <w:rsid w:val="005A559A"/>
    <w:rsid w:val="005A592D"/>
    <w:rsid w:val="005A5954"/>
    <w:rsid w:val="005A5B78"/>
    <w:rsid w:val="005A5C3C"/>
    <w:rsid w:val="005A5D84"/>
    <w:rsid w:val="005A5E71"/>
    <w:rsid w:val="005A60DE"/>
    <w:rsid w:val="005A6184"/>
    <w:rsid w:val="005A6206"/>
    <w:rsid w:val="005A620F"/>
    <w:rsid w:val="005A63A6"/>
    <w:rsid w:val="005A63A9"/>
    <w:rsid w:val="005A64E5"/>
    <w:rsid w:val="005A6B72"/>
    <w:rsid w:val="005A6DE6"/>
    <w:rsid w:val="005A6E85"/>
    <w:rsid w:val="005A704F"/>
    <w:rsid w:val="005A70C7"/>
    <w:rsid w:val="005A71BF"/>
    <w:rsid w:val="005A7276"/>
    <w:rsid w:val="005A727D"/>
    <w:rsid w:val="005A728E"/>
    <w:rsid w:val="005A768D"/>
    <w:rsid w:val="005A7973"/>
    <w:rsid w:val="005A7A60"/>
    <w:rsid w:val="005A7A8E"/>
    <w:rsid w:val="005A7C28"/>
    <w:rsid w:val="005A7D23"/>
    <w:rsid w:val="005A7DE1"/>
    <w:rsid w:val="005A7F29"/>
    <w:rsid w:val="005B000A"/>
    <w:rsid w:val="005B0076"/>
    <w:rsid w:val="005B00FC"/>
    <w:rsid w:val="005B0100"/>
    <w:rsid w:val="005B0290"/>
    <w:rsid w:val="005B0614"/>
    <w:rsid w:val="005B0760"/>
    <w:rsid w:val="005B0761"/>
    <w:rsid w:val="005B07CD"/>
    <w:rsid w:val="005B095E"/>
    <w:rsid w:val="005B0A38"/>
    <w:rsid w:val="005B0B09"/>
    <w:rsid w:val="005B0D42"/>
    <w:rsid w:val="005B0EB7"/>
    <w:rsid w:val="005B12BB"/>
    <w:rsid w:val="005B131D"/>
    <w:rsid w:val="005B15CC"/>
    <w:rsid w:val="005B15FA"/>
    <w:rsid w:val="005B1811"/>
    <w:rsid w:val="005B1C36"/>
    <w:rsid w:val="005B1E97"/>
    <w:rsid w:val="005B1F91"/>
    <w:rsid w:val="005B20CF"/>
    <w:rsid w:val="005B2213"/>
    <w:rsid w:val="005B255D"/>
    <w:rsid w:val="005B2590"/>
    <w:rsid w:val="005B293D"/>
    <w:rsid w:val="005B2CE4"/>
    <w:rsid w:val="005B2E82"/>
    <w:rsid w:val="005B2E83"/>
    <w:rsid w:val="005B2EEF"/>
    <w:rsid w:val="005B2F74"/>
    <w:rsid w:val="005B3184"/>
    <w:rsid w:val="005B3811"/>
    <w:rsid w:val="005B38B1"/>
    <w:rsid w:val="005B3A84"/>
    <w:rsid w:val="005B3BB2"/>
    <w:rsid w:val="005B3D72"/>
    <w:rsid w:val="005B4075"/>
    <w:rsid w:val="005B4312"/>
    <w:rsid w:val="005B4404"/>
    <w:rsid w:val="005B47F9"/>
    <w:rsid w:val="005B4896"/>
    <w:rsid w:val="005B49DA"/>
    <w:rsid w:val="005B4EDF"/>
    <w:rsid w:val="005B5487"/>
    <w:rsid w:val="005B554A"/>
    <w:rsid w:val="005B5568"/>
    <w:rsid w:val="005B5764"/>
    <w:rsid w:val="005B590F"/>
    <w:rsid w:val="005B5978"/>
    <w:rsid w:val="005B597D"/>
    <w:rsid w:val="005B60C6"/>
    <w:rsid w:val="005B62F7"/>
    <w:rsid w:val="005B63EC"/>
    <w:rsid w:val="005B641B"/>
    <w:rsid w:val="005B643D"/>
    <w:rsid w:val="005B6588"/>
    <w:rsid w:val="005B6827"/>
    <w:rsid w:val="005B6887"/>
    <w:rsid w:val="005B7368"/>
    <w:rsid w:val="005B7A2C"/>
    <w:rsid w:val="005B7A33"/>
    <w:rsid w:val="005C01C5"/>
    <w:rsid w:val="005C01FA"/>
    <w:rsid w:val="005C0215"/>
    <w:rsid w:val="005C02C6"/>
    <w:rsid w:val="005C02EB"/>
    <w:rsid w:val="005C0309"/>
    <w:rsid w:val="005C062E"/>
    <w:rsid w:val="005C0F44"/>
    <w:rsid w:val="005C0F55"/>
    <w:rsid w:val="005C14D4"/>
    <w:rsid w:val="005C163D"/>
    <w:rsid w:val="005C167F"/>
    <w:rsid w:val="005C16D3"/>
    <w:rsid w:val="005C19EE"/>
    <w:rsid w:val="005C1F7D"/>
    <w:rsid w:val="005C2089"/>
    <w:rsid w:val="005C209F"/>
    <w:rsid w:val="005C20B5"/>
    <w:rsid w:val="005C22CE"/>
    <w:rsid w:val="005C241A"/>
    <w:rsid w:val="005C25A6"/>
    <w:rsid w:val="005C25C6"/>
    <w:rsid w:val="005C267E"/>
    <w:rsid w:val="005C2969"/>
    <w:rsid w:val="005C29BD"/>
    <w:rsid w:val="005C29C0"/>
    <w:rsid w:val="005C2C8D"/>
    <w:rsid w:val="005C2CB4"/>
    <w:rsid w:val="005C306F"/>
    <w:rsid w:val="005C30F4"/>
    <w:rsid w:val="005C3304"/>
    <w:rsid w:val="005C349F"/>
    <w:rsid w:val="005C34EF"/>
    <w:rsid w:val="005C3579"/>
    <w:rsid w:val="005C3602"/>
    <w:rsid w:val="005C360E"/>
    <w:rsid w:val="005C365D"/>
    <w:rsid w:val="005C36C6"/>
    <w:rsid w:val="005C395E"/>
    <w:rsid w:val="005C3C04"/>
    <w:rsid w:val="005C3CD7"/>
    <w:rsid w:val="005C3D26"/>
    <w:rsid w:val="005C4257"/>
    <w:rsid w:val="005C4312"/>
    <w:rsid w:val="005C438E"/>
    <w:rsid w:val="005C45AD"/>
    <w:rsid w:val="005C47B7"/>
    <w:rsid w:val="005C4C4C"/>
    <w:rsid w:val="005C4CA6"/>
    <w:rsid w:val="005C4DBF"/>
    <w:rsid w:val="005C4E57"/>
    <w:rsid w:val="005C4F91"/>
    <w:rsid w:val="005C533F"/>
    <w:rsid w:val="005C5361"/>
    <w:rsid w:val="005C539F"/>
    <w:rsid w:val="005C58CE"/>
    <w:rsid w:val="005C59DC"/>
    <w:rsid w:val="005C5B37"/>
    <w:rsid w:val="005C5C8C"/>
    <w:rsid w:val="005C5DE5"/>
    <w:rsid w:val="005C61C9"/>
    <w:rsid w:val="005C61DC"/>
    <w:rsid w:val="005C62D7"/>
    <w:rsid w:val="005C635E"/>
    <w:rsid w:val="005C6705"/>
    <w:rsid w:val="005C6774"/>
    <w:rsid w:val="005C688C"/>
    <w:rsid w:val="005C68E6"/>
    <w:rsid w:val="005C69AF"/>
    <w:rsid w:val="005C71DE"/>
    <w:rsid w:val="005C74C7"/>
    <w:rsid w:val="005C7548"/>
    <w:rsid w:val="005C77D1"/>
    <w:rsid w:val="005C7AD6"/>
    <w:rsid w:val="005C7D05"/>
    <w:rsid w:val="005C7D65"/>
    <w:rsid w:val="005C7F8C"/>
    <w:rsid w:val="005D0357"/>
    <w:rsid w:val="005D035F"/>
    <w:rsid w:val="005D0407"/>
    <w:rsid w:val="005D0458"/>
    <w:rsid w:val="005D053A"/>
    <w:rsid w:val="005D064A"/>
    <w:rsid w:val="005D06E9"/>
    <w:rsid w:val="005D075F"/>
    <w:rsid w:val="005D08E3"/>
    <w:rsid w:val="005D0E9B"/>
    <w:rsid w:val="005D0F95"/>
    <w:rsid w:val="005D0F9E"/>
    <w:rsid w:val="005D0FBB"/>
    <w:rsid w:val="005D0FDF"/>
    <w:rsid w:val="005D0FE9"/>
    <w:rsid w:val="005D10F4"/>
    <w:rsid w:val="005D125C"/>
    <w:rsid w:val="005D1334"/>
    <w:rsid w:val="005D1413"/>
    <w:rsid w:val="005D154D"/>
    <w:rsid w:val="005D15C0"/>
    <w:rsid w:val="005D17F5"/>
    <w:rsid w:val="005D17FD"/>
    <w:rsid w:val="005D1843"/>
    <w:rsid w:val="005D1A05"/>
    <w:rsid w:val="005D1C01"/>
    <w:rsid w:val="005D1F54"/>
    <w:rsid w:val="005D1F8D"/>
    <w:rsid w:val="005D211C"/>
    <w:rsid w:val="005D2262"/>
    <w:rsid w:val="005D22D4"/>
    <w:rsid w:val="005D258E"/>
    <w:rsid w:val="005D2649"/>
    <w:rsid w:val="005D2814"/>
    <w:rsid w:val="005D28FF"/>
    <w:rsid w:val="005D2B82"/>
    <w:rsid w:val="005D2BB2"/>
    <w:rsid w:val="005D2C6F"/>
    <w:rsid w:val="005D310F"/>
    <w:rsid w:val="005D338E"/>
    <w:rsid w:val="005D34F4"/>
    <w:rsid w:val="005D3637"/>
    <w:rsid w:val="005D36A1"/>
    <w:rsid w:val="005D36C1"/>
    <w:rsid w:val="005D3761"/>
    <w:rsid w:val="005D3938"/>
    <w:rsid w:val="005D3BBB"/>
    <w:rsid w:val="005D3F63"/>
    <w:rsid w:val="005D41F0"/>
    <w:rsid w:val="005D4772"/>
    <w:rsid w:val="005D4916"/>
    <w:rsid w:val="005D49E8"/>
    <w:rsid w:val="005D4A57"/>
    <w:rsid w:val="005D4AAB"/>
    <w:rsid w:val="005D5013"/>
    <w:rsid w:val="005D509B"/>
    <w:rsid w:val="005D5597"/>
    <w:rsid w:val="005D578C"/>
    <w:rsid w:val="005D5EEE"/>
    <w:rsid w:val="005D6180"/>
    <w:rsid w:val="005D618E"/>
    <w:rsid w:val="005D6406"/>
    <w:rsid w:val="005D6479"/>
    <w:rsid w:val="005D64B9"/>
    <w:rsid w:val="005D6649"/>
    <w:rsid w:val="005D699E"/>
    <w:rsid w:val="005D6DA3"/>
    <w:rsid w:val="005D6EF0"/>
    <w:rsid w:val="005D6F1F"/>
    <w:rsid w:val="005D7073"/>
    <w:rsid w:val="005D74DD"/>
    <w:rsid w:val="005D7930"/>
    <w:rsid w:val="005D7A87"/>
    <w:rsid w:val="005D7C06"/>
    <w:rsid w:val="005D7CE3"/>
    <w:rsid w:val="005D7DC7"/>
    <w:rsid w:val="005D7E48"/>
    <w:rsid w:val="005D7EEF"/>
    <w:rsid w:val="005D7F65"/>
    <w:rsid w:val="005E015E"/>
    <w:rsid w:val="005E0206"/>
    <w:rsid w:val="005E029E"/>
    <w:rsid w:val="005E0393"/>
    <w:rsid w:val="005E0450"/>
    <w:rsid w:val="005E04B6"/>
    <w:rsid w:val="005E0531"/>
    <w:rsid w:val="005E058E"/>
    <w:rsid w:val="005E071A"/>
    <w:rsid w:val="005E07F4"/>
    <w:rsid w:val="005E0A94"/>
    <w:rsid w:val="005E0B0F"/>
    <w:rsid w:val="005E0B7F"/>
    <w:rsid w:val="005E0BF6"/>
    <w:rsid w:val="005E0E21"/>
    <w:rsid w:val="005E1368"/>
    <w:rsid w:val="005E13ED"/>
    <w:rsid w:val="005E1748"/>
    <w:rsid w:val="005E1783"/>
    <w:rsid w:val="005E183D"/>
    <w:rsid w:val="005E18A9"/>
    <w:rsid w:val="005E1A12"/>
    <w:rsid w:val="005E1C29"/>
    <w:rsid w:val="005E1C2B"/>
    <w:rsid w:val="005E1C6A"/>
    <w:rsid w:val="005E1ED4"/>
    <w:rsid w:val="005E1F28"/>
    <w:rsid w:val="005E20B3"/>
    <w:rsid w:val="005E2135"/>
    <w:rsid w:val="005E22E9"/>
    <w:rsid w:val="005E271A"/>
    <w:rsid w:val="005E278D"/>
    <w:rsid w:val="005E27FF"/>
    <w:rsid w:val="005E2920"/>
    <w:rsid w:val="005E2B29"/>
    <w:rsid w:val="005E2CD5"/>
    <w:rsid w:val="005E2D0F"/>
    <w:rsid w:val="005E2DDB"/>
    <w:rsid w:val="005E2F7B"/>
    <w:rsid w:val="005E3022"/>
    <w:rsid w:val="005E3069"/>
    <w:rsid w:val="005E30E9"/>
    <w:rsid w:val="005E3715"/>
    <w:rsid w:val="005E37B0"/>
    <w:rsid w:val="005E388E"/>
    <w:rsid w:val="005E3EC9"/>
    <w:rsid w:val="005E3F53"/>
    <w:rsid w:val="005E405D"/>
    <w:rsid w:val="005E40B9"/>
    <w:rsid w:val="005E422E"/>
    <w:rsid w:val="005E4274"/>
    <w:rsid w:val="005E42C5"/>
    <w:rsid w:val="005E42EC"/>
    <w:rsid w:val="005E4425"/>
    <w:rsid w:val="005E445C"/>
    <w:rsid w:val="005E46FC"/>
    <w:rsid w:val="005E4720"/>
    <w:rsid w:val="005E489E"/>
    <w:rsid w:val="005E48F1"/>
    <w:rsid w:val="005E4C2E"/>
    <w:rsid w:val="005E5216"/>
    <w:rsid w:val="005E522C"/>
    <w:rsid w:val="005E5412"/>
    <w:rsid w:val="005E5754"/>
    <w:rsid w:val="005E5755"/>
    <w:rsid w:val="005E57AA"/>
    <w:rsid w:val="005E5BAE"/>
    <w:rsid w:val="005E5DCB"/>
    <w:rsid w:val="005E5E58"/>
    <w:rsid w:val="005E5EB7"/>
    <w:rsid w:val="005E5F26"/>
    <w:rsid w:val="005E6058"/>
    <w:rsid w:val="005E621C"/>
    <w:rsid w:val="005E62A6"/>
    <w:rsid w:val="005E677A"/>
    <w:rsid w:val="005E69DE"/>
    <w:rsid w:val="005E6B28"/>
    <w:rsid w:val="005E70B6"/>
    <w:rsid w:val="005E715F"/>
    <w:rsid w:val="005E726B"/>
    <w:rsid w:val="005E7285"/>
    <w:rsid w:val="005E729B"/>
    <w:rsid w:val="005E7477"/>
    <w:rsid w:val="005E76ED"/>
    <w:rsid w:val="005E7A41"/>
    <w:rsid w:val="005E7AC1"/>
    <w:rsid w:val="005E7C75"/>
    <w:rsid w:val="005E7E9E"/>
    <w:rsid w:val="005E7F2F"/>
    <w:rsid w:val="005E7F96"/>
    <w:rsid w:val="005F03B5"/>
    <w:rsid w:val="005F06A5"/>
    <w:rsid w:val="005F06C6"/>
    <w:rsid w:val="005F08F0"/>
    <w:rsid w:val="005F0C3F"/>
    <w:rsid w:val="005F0CB3"/>
    <w:rsid w:val="005F0DAA"/>
    <w:rsid w:val="005F0EB1"/>
    <w:rsid w:val="005F1238"/>
    <w:rsid w:val="005F13DD"/>
    <w:rsid w:val="005F1654"/>
    <w:rsid w:val="005F19CD"/>
    <w:rsid w:val="005F1CD4"/>
    <w:rsid w:val="005F1D9E"/>
    <w:rsid w:val="005F2414"/>
    <w:rsid w:val="005F25CB"/>
    <w:rsid w:val="005F28A1"/>
    <w:rsid w:val="005F2926"/>
    <w:rsid w:val="005F2AF1"/>
    <w:rsid w:val="005F2B4F"/>
    <w:rsid w:val="005F2C48"/>
    <w:rsid w:val="005F2E8C"/>
    <w:rsid w:val="005F2FE8"/>
    <w:rsid w:val="005F3063"/>
    <w:rsid w:val="005F315D"/>
    <w:rsid w:val="005F330D"/>
    <w:rsid w:val="005F33AB"/>
    <w:rsid w:val="005F33D5"/>
    <w:rsid w:val="005F397B"/>
    <w:rsid w:val="005F3C30"/>
    <w:rsid w:val="005F3D99"/>
    <w:rsid w:val="005F3EB4"/>
    <w:rsid w:val="005F4BFA"/>
    <w:rsid w:val="005F5321"/>
    <w:rsid w:val="005F544B"/>
    <w:rsid w:val="005F57C2"/>
    <w:rsid w:val="005F57E9"/>
    <w:rsid w:val="005F58D2"/>
    <w:rsid w:val="005F595C"/>
    <w:rsid w:val="005F5C64"/>
    <w:rsid w:val="005F5F32"/>
    <w:rsid w:val="005F5F3D"/>
    <w:rsid w:val="005F5F67"/>
    <w:rsid w:val="005F6698"/>
    <w:rsid w:val="005F6922"/>
    <w:rsid w:val="005F6C4F"/>
    <w:rsid w:val="005F6C7E"/>
    <w:rsid w:val="005F6CA2"/>
    <w:rsid w:val="005F6CA5"/>
    <w:rsid w:val="005F6DF1"/>
    <w:rsid w:val="005F6DFA"/>
    <w:rsid w:val="005F6E6A"/>
    <w:rsid w:val="005F71C2"/>
    <w:rsid w:val="005F7464"/>
    <w:rsid w:val="005F7608"/>
    <w:rsid w:val="005F7680"/>
    <w:rsid w:val="005F76C1"/>
    <w:rsid w:val="005F76DF"/>
    <w:rsid w:val="005F76FB"/>
    <w:rsid w:val="005F7725"/>
    <w:rsid w:val="005F774F"/>
    <w:rsid w:val="005F7C0A"/>
    <w:rsid w:val="005F7D21"/>
    <w:rsid w:val="005F7F8A"/>
    <w:rsid w:val="006000EF"/>
    <w:rsid w:val="006002A5"/>
    <w:rsid w:val="006002EA"/>
    <w:rsid w:val="00600310"/>
    <w:rsid w:val="006004A1"/>
    <w:rsid w:val="006004BE"/>
    <w:rsid w:val="006004C7"/>
    <w:rsid w:val="006005A2"/>
    <w:rsid w:val="006006C1"/>
    <w:rsid w:val="0060071E"/>
    <w:rsid w:val="00600852"/>
    <w:rsid w:val="00600975"/>
    <w:rsid w:val="00600AE2"/>
    <w:rsid w:val="00600C15"/>
    <w:rsid w:val="00600E05"/>
    <w:rsid w:val="0060108A"/>
    <w:rsid w:val="006011BC"/>
    <w:rsid w:val="006014A0"/>
    <w:rsid w:val="006014A3"/>
    <w:rsid w:val="0060152E"/>
    <w:rsid w:val="00601BD3"/>
    <w:rsid w:val="00601EE0"/>
    <w:rsid w:val="00601F60"/>
    <w:rsid w:val="0060225F"/>
    <w:rsid w:val="0060253F"/>
    <w:rsid w:val="006025C1"/>
    <w:rsid w:val="00602D3D"/>
    <w:rsid w:val="00602DFB"/>
    <w:rsid w:val="00602E65"/>
    <w:rsid w:val="00602F6F"/>
    <w:rsid w:val="006030A4"/>
    <w:rsid w:val="006032B3"/>
    <w:rsid w:val="0060373C"/>
    <w:rsid w:val="00603883"/>
    <w:rsid w:val="00603938"/>
    <w:rsid w:val="00603ADC"/>
    <w:rsid w:val="00603BFE"/>
    <w:rsid w:val="00603DFC"/>
    <w:rsid w:val="006042AF"/>
    <w:rsid w:val="00604429"/>
    <w:rsid w:val="00604494"/>
    <w:rsid w:val="006044D1"/>
    <w:rsid w:val="00604518"/>
    <w:rsid w:val="006045B8"/>
    <w:rsid w:val="0060464F"/>
    <w:rsid w:val="0060477F"/>
    <w:rsid w:val="00604A6A"/>
    <w:rsid w:val="00604AA1"/>
    <w:rsid w:val="00604BF4"/>
    <w:rsid w:val="00604CAE"/>
    <w:rsid w:val="00604D65"/>
    <w:rsid w:val="00604F5D"/>
    <w:rsid w:val="00604F9F"/>
    <w:rsid w:val="00604FBC"/>
    <w:rsid w:val="0060525E"/>
    <w:rsid w:val="006055BA"/>
    <w:rsid w:val="00605659"/>
    <w:rsid w:val="00605717"/>
    <w:rsid w:val="006057D7"/>
    <w:rsid w:val="006057F8"/>
    <w:rsid w:val="00605C42"/>
    <w:rsid w:val="00605C71"/>
    <w:rsid w:val="00605D01"/>
    <w:rsid w:val="00605D88"/>
    <w:rsid w:val="00605DD9"/>
    <w:rsid w:val="00605E3D"/>
    <w:rsid w:val="00605E83"/>
    <w:rsid w:val="0060607C"/>
    <w:rsid w:val="00606193"/>
    <w:rsid w:val="0060638F"/>
    <w:rsid w:val="00606558"/>
    <w:rsid w:val="0060694C"/>
    <w:rsid w:val="00606982"/>
    <w:rsid w:val="00606993"/>
    <w:rsid w:val="00606ACD"/>
    <w:rsid w:val="00606B23"/>
    <w:rsid w:val="00606BC1"/>
    <w:rsid w:val="00606CC5"/>
    <w:rsid w:val="00606D68"/>
    <w:rsid w:val="00606DC2"/>
    <w:rsid w:val="00606FFF"/>
    <w:rsid w:val="006071B2"/>
    <w:rsid w:val="0060723C"/>
    <w:rsid w:val="00607414"/>
    <w:rsid w:val="006074A3"/>
    <w:rsid w:val="006076E8"/>
    <w:rsid w:val="00607820"/>
    <w:rsid w:val="00607CA6"/>
    <w:rsid w:val="00607CBD"/>
    <w:rsid w:val="00607F1E"/>
    <w:rsid w:val="00607FE8"/>
    <w:rsid w:val="006101BA"/>
    <w:rsid w:val="006102E0"/>
    <w:rsid w:val="0061044C"/>
    <w:rsid w:val="00610615"/>
    <w:rsid w:val="00610664"/>
    <w:rsid w:val="0061066E"/>
    <w:rsid w:val="006106A9"/>
    <w:rsid w:val="006108DA"/>
    <w:rsid w:val="00610E9A"/>
    <w:rsid w:val="00610EF6"/>
    <w:rsid w:val="0061121A"/>
    <w:rsid w:val="006112A9"/>
    <w:rsid w:val="00611401"/>
    <w:rsid w:val="006115B1"/>
    <w:rsid w:val="00611650"/>
    <w:rsid w:val="00611780"/>
    <w:rsid w:val="006118C3"/>
    <w:rsid w:val="00612291"/>
    <w:rsid w:val="006126CD"/>
    <w:rsid w:val="006126D3"/>
    <w:rsid w:val="006128D5"/>
    <w:rsid w:val="00612A65"/>
    <w:rsid w:val="00612CFC"/>
    <w:rsid w:val="00612D46"/>
    <w:rsid w:val="00612E0F"/>
    <w:rsid w:val="00613158"/>
    <w:rsid w:val="00613362"/>
    <w:rsid w:val="00613441"/>
    <w:rsid w:val="0061354C"/>
    <w:rsid w:val="0061358A"/>
    <w:rsid w:val="006137CF"/>
    <w:rsid w:val="00613D04"/>
    <w:rsid w:val="00614258"/>
    <w:rsid w:val="006142D6"/>
    <w:rsid w:val="0061445A"/>
    <w:rsid w:val="0061448C"/>
    <w:rsid w:val="006144D5"/>
    <w:rsid w:val="006146D9"/>
    <w:rsid w:val="006146DB"/>
    <w:rsid w:val="006146E4"/>
    <w:rsid w:val="00614A15"/>
    <w:rsid w:val="00614A8D"/>
    <w:rsid w:val="00614AFC"/>
    <w:rsid w:val="00614B1B"/>
    <w:rsid w:val="00614B74"/>
    <w:rsid w:val="00614F68"/>
    <w:rsid w:val="006151BA"/>
    <w:rsid w:val="0061573D"/>
    <w:rsid w:val="00615760"/>
    <w:rsid w:val="006159E7"/>
    <w:rsid w:val="00615DF2"/>
    <w:rsid w:val="00615F78"/>
    <w:rsid w:val="0061611D"/>
    <w:rsid w:val="00616144"/>
    <w:rsid w:val="0061620B"/>
    <w:rsid w:val="0061630F"/>
    <w:rsid w:val="006163A6"/>
    <w:rsid w:val="00616B9B"/>
    <w:rsid w:val="00616E5F"/>
    <w:rsid w:val="00617087"/>
    <w:rsid w:val="0061729C"/>
    <w:rsid w:val="00617A80"/>
    <w:rsid w:val="00617DF3"/>
    <w:rsid w:val="006203C9"/>
    <w:rsid w:val="006204BB"/>
    <w:rsid w:val="00620562"/>
    <w:rsid w:val="00620CF8"/>
    <w:rsid w:val="00620D42"/>
    <w:rsid w:val="00620D64"/>
    <w:rsid w:val="00620F4B"/>
    <w:rsid w:val="00621074"/>
    <w:rsid w:val="006217C7"/>
    <w:rsid w:val="00621801"/>
    <w:rsid w:val="006219A4"/>
    <w:rsid w:val="006219D9"/>
    <w:rsid w:val="00621A87"/>
    <w:rsid w:val="006220E1"/>
    <w:rsid w:val="0062234B"/>
    <w:rsid w:val="006223DA"/>
    <w:rsid w:val="00622773"/>
    <w:rsid w:val="00622814"/>
    <w:rsid w:val="0062283A"/>
    <w:rsid w:val="00622DA8"/>
    <w:rsid w:val="00622ED2"/>
    <w:rsid w:val="006230C4"/>
    <w:rsid w:val="0062335F"/>
    <w:rsid w:val="006236B4"/>
    <w:rsid w:val="00623A9E"/>
    <w:rsid w:val="00623BE8"/>
    <w:rsid w:val="00623BEB"/>
    <w:rsid w:val="00623CC7"/>
    <w:rsid w:val="00623EC3"/>
    <w:rsid w:val="006240E5"/>
    <w:rsid w:val="0062426A"/>
    <w:rsid w:val="006242EC"/>
    <w:rsid w:val="0062452F"/>
    <w:rsid w:val="0062469A"/>
    <w:rsid w:val="00624737"/>
    <w:rsid w:val="0062481B"/>
    <w:rsid w:val="00624893"/>
    <w:rsid w:val="00624A00"/>
    <w:rsid w:val="00624A1A"/>
    <w:rsid w:val="00624B8A"/>
    <w:rsid w:val="00624C0F"/>
    <w:rsid w:val="00624D54"/>
    <w:rsid w:val="006254E6"/>
    <w:rsid w:val="00625555"/>
    <w:rsid w:val="006257B1"/>
    <w:rsid w:val="00625A16"/>
    <w:rsid w:val="00625C82"/>
    <w:rsid w:val="00625F47"/>
    <w:rsid w:val="0062619C"/>
    <w:rsid w:val="006261A6"/>
    <w:rsid w:val="00626560"/>
    <w:rsid w:val="0062680F"/>
    <w:rsid w:val="00626BB6"/>
    <w:rsid w:val="00626BB9"/>
    <w:rsid w:val="00626CBF"/>
    <w:rsid w:val="006270DF"/>
    <w:rsid w:val="00627328"/>
    <w:rsid w:val="0062737C"/>
    <w:rsid w:val="00627448"/>
    <w:rsid w:val="006274CB"/>
    <w:rsid w:val="00627986"/>
    <w:rsid w:val="00627A0C"/>
    <w:rsid w:val="00627A39"/>
    <w:rsid w:val="00627BD6"/>
    <w:rsid w:val="00630022"/>
    <w:rsid w:val="0063018E"/>
    <w:rsid w:val="00630243"/>
    <w:rsid w:val="00630275"/>
    <w:rsid w:val="00630447"/>
    <w:rsid w:val="00630526"/>
    <w:rsid w:val="0063058F"/>
    <w:rsid w:val="00630691"/>
    <w:rsid w:val="00630703"/>
    <w:rsid w:val="0063073E"/>
    <w:rsid w:val="00630820"/>
    <w:rsid w:val="00630868"/>
    <w:rsid w:val="006309B7"/>
    <w:rsid w:val="00630BBE"/>
    <w:rsid w:val="00631405"/>
    <w:rsid w:val="00631636"/>
    <w:rsid w:val="00631709"/>
    <w:rsid w:val="00631887"/>
    <w:rsid w:val="00631896"/>
    <w:rsid w:val="006318C2"/>
    <w:rsid w:val="006318F5"/>
    <w:rsid w:val="00631A27"/>
    <w:rsid w:val="00631AE2"/>
    <w:rsid w:val="00631BA1"/>
    <w:rsid w:val="00631D22"/>
    <w:rsid w:val="00631DD9"/>
    <w:rsid w:val="00631FB0"/>
    <w:rsid w:val="006320D2"/>
    <w:rsid w:val="006321D1"/>
    <w:rsid w:val="0063223E"/>
    <w:rsid w:val="006322CA"/>
    <w:rsid w:val="00632336"/>
    <w:rsid w:val="0063243C"/>
    <w:rsid w:val="00632644"/>
    <w:rsid w:val="0063275B"/>
    <w:rsid w:val="00632C26"/>
    <w:rsid w:val="00632D2A"/>
    <w:rsid w:val="00632D9C"/>
    <w:rsid w:val="00632E0C"/>
    <w:rsid w:val="0063303B"/>
    <w:rsid w:val="006330B5"/>
    <w:rsid w:val="006333DC"/>
    <w:rsid w:val="00633402"/>
    <w:rsid w:val="00633543"/>
    <w:rsid w:val="0063384A"/>
    <w:rsid w:val="00633907"/>
    <w:rsid w:val="00633B8A"/>
    <w:rsid w:val="00633C12"/>
    <w:rsid w:val="00633DC4"/>
    <w:rsid w:val="00633E00"/>
    <w:rsid w:val="00633F03"/>
    <w:rsid w:val="00634247"/>
    <w:rsid w:val="00634667"/>
    <w:rsid w:val="00634955"/>
    <w:rsid w:val="00634E66"/>
    <w:rsid w:val="00634FBF"/>
    <w:rsid w:val="006350CF"/>
    <w:rsid w:val="0063591F"/>
    <w:rsid w:val="0063595A"/>
    <w:rsid w:val="0063596F"/>
    <w:rsid w:val="00635D95"/>
    <w:rsid w:val="00635E2C"/>
    <w:rsid w:val="00635E73"/>
    <w:rsid w:val="006363C6"/>
    <w:rsid w:val="006364AC"/>
    <w:rsid w:val="006364BF"/>
    <w:rsid w:val="00636579"/>
    <w:rsid w:val="006366A8"/>
    <w:rsid w:val="006367B5"/>
    <w:rsid w:val="00636866"/>
    <w:rsid w:val="00637176"/>
    <w:rsid w:val="006371AF"/>
    <w:rsid w:val="0063722B"/>
    <w:rsid w:val="00637364"/>
    <w:rsid w:val="00637877"/>
    <w:rsid w:val="00637E9A"/>
    <w:rsid w:val="00640469"/>
    <w:rsid w:val="0064060A"/>
    <w:rsid w:val="00640AFB"/>
    <w:rsid w:val="00640E37"/>
    <w:rsid w:val="00640F70"/>
    <w:rsid w:val="006411F3"/>
    <w:rsid w:val="00641954"/>
    <w:rsid w:val="00641ABE"/>
    <w:rsid w:val="00641B56"/>
    <w:rsid w:val="00641D0E"/>
    <w:rsid w:val="00641D37"/>
    <w:rsid w:val="00641D72"/>
    <w:rsid w:val="00642084"/>
    <w:rsid w:val="006421CF"/>
    <w:rsid w:val="0064246E"/>
    <w:rsid w:val="0064279F"/>
    <w:rsid w:val="00642877"/>
    <w:rsid w:val="00642B50"/>
    <w:rsid w:val="00642BA0"/>
    <w:rsid w:val="00642FAC"/>
    <w:rsid w:val="0064382E"/>
    <w:rsid w:val="006439F2"/>
    <w:rsid w:val="00643FFE"/>
    <w:rsid w:val="006441F7"/>
    <w:rsid w:val="00644470"/>
    <w:rsid w:val="00644484"/>
    <w:rsid w:val="00644650"/>
    <w:rsid w:val="00644855"/>
    <w:rsid w:val="00644946"/>
    <w:rsid w:val="006449FC"/>
    <w:rsid w:val="00644BB3"/>
    <w:rsid w:val="00644E75"/>
    <w:rsid w:val="006451B3"/>
    <w:rsid w:val="006451C1"/>
    <w:rsid w:val="006454B6"/>
    <w:rsid w:val="006456A7"/>
    <w:rsid w:val="006456C2"/>
    <w:rsid w:val="00645701"/>
    <w:rsid w:val="006458F0"/>
    <w:rsid w:val="00645940"/>
    <w:rsid w:val="00645C02"/>
    <w:rsid w:val="00645E77"/>
    <w:rsid w:val="0064605F"/>
    <w:rsid w:val="00646292"/>
    <w:rsid w:val="00646507"/>
    <w:rsid w:val="0064670A"/>
    <w:rsid w:val="0064671B"/>
    <w:rsid w:val="00646889"/>
    <w:rsid w:val="00646B9D"/>
    <w:rsid w:val="00646C70"/>
    <w:rsid w:val="00646D9A"/>
    <w:rsid w:val="00646F86"/>
    <w:rsid w:val="0064729C"/>
    <w:rsid w:val="00647300"/>
    <w:rsid w:val="00647469"/>
    <w:rsid w:val="006474FD"/>
    <w:rsid w:val="0064769C"/>
    <w:rsid w:val="00647861"/>
    <w:rsid w:val="00647AB8"/>
    <w:rsid w:val="00647FD8"/>
    <w:rsid w:val="006503F1"/>
    <w:rsid w:val="00650501"/>
    <w:rsid w:val="006505E9"/>
    <w:rsid w:val="006507D1"/>
    <w:rsid w:val="00650B45"/>
    <w:rsid w:val="00650CC7"/>
    <w:rsid w:val="00650D7D"/>
    <w:rsid w:val="006517E0"/>
    <w:rsid w:val="006518F2"/>
    <w:rsid w:val="00651AD6"/>
    <w:rsid w:val="00652217"/>
    <w:rsid w:val="00652373"/>
    <w:rsid w:val="00652389"/>
    <w:rsid w:val="006524B7"/>
    <w:rsid w:val="006525FB"/>
    <w:rsid w:val="0065265E"/>
    <w:rsid w:val="006528A9"/>
    <w:rsid w:val="00652D47"/>
    <w:rsid w:val="00652DB6"/>
    <w:rsid w:val="00652EAC"/>
    <w:rsid w:val="006530A8"/>
    <w:rsid w:val="006535D0"/>
    <w:rsid w:val="006537E8"/>
    <w:rsid w:val="006538A8"/>
    <w:rsid w:val="00653A61"/>
    <w:rsid w:val="00653C46"/>
    <w:rsid w:val="00653EE8"/>
    <w:rsid w:val="006542A1"/>
    <w:rsid w:val="006542C8"/>
    <w:rsid w:val="006542D9"/>
    <w:rsid w:val="006544B1"/>
    <w:rsid w:val="006545DA"/>
    <w:rsid w:val="006546DE"/>
    <w:rsid w:val="0065499F"/>
    <w:rsid w:val="00654B0E"/>
    <w:rsid w:val="00654BB0"/>
    <w:rsid w:val="00655457"/>
    <w:rsid w:val="0065566F"/>
    <w:rsid w:val="00655774"/>
    <w:rsid w:val="006558E1"/>
    <w:rsid w:val="0065594F"/>
    <w:rsid w:val="00655A29"/>
    <w:rsid w:val="00655B8D"/>
    <w:rsid w:val="00655D58"/>
    <w:rsid w:val="00655DA1"/>
    <w:rsid w:val="00655EF2"/>
    <w:rsid w:val="00655FA3"/>
    <w:rsid w:val="006560BE"/>
    <w:rsid w:val="00656A2E"/>
    <w:rsid w:val="00656B21"/>
    <w:rsid w:val="00656C56"/>
    <w:rsid w:val="00656E2D"/>
    <w:rsid w:val="00656E32"/>
    <w:rsid w:val="00656E91"/>
    <w:rsid w:val="00656EA2"/>
    <w:rsid w:val="00657111"/>
    <w:rsid w:val="0065726B"/>
    <w:rsid w:val="00657297"/>
    <w:rsid w:val="00657585"/>
    <w:rsid w:val="006576EC"/>
    <w:rsid w:val="0065771B"/>
    <w:rsid w:val="00657E44"/>
    <w:rsid w:val="0066002C"/>
    <w:rsid w:val="006602D4"/>
    <w:rsid w:val="00660366"/>
    <w:rsid w:val="00660379"/>
    <w:rsid w:val="00660409"/>
    <w:rsid w:val="006605F4"/>
    <w:rsid w:val="00660616"/>
    <w:rsid w:val="006606EA"/>
    <w:rsid w:val="0066079E"/>
    <w:rsid w:val="00660961"/>
    <w:rsid w:val="00660ADA"/>
    <w:rsid w:val="00660B02"/>
    <w:rsid w:val="00660B3E"/>
    <w:rsid w:val="00660BB1"/>
    <w:rsid w:val="00660CD6"/>
    <w:rsid w:val="00660DB4"/>
    <w:rsid w:val="006610AE"/>
    <w:rsid w:val="0066112B"/>
    <w:rsid w:val="00661284"/>
    <w:rsid w:val="00661643"/>
    <w:rsid w:val="00661833"/>
    <w:rsid w:val="00661973"/>
    <w:rsid w:val="006619AB"/>
    <w:rsid w:val="00661A50"/>
    <w:rsid w:val="00661A9F"/>
    <w:rsid w:val="00661E90"/>
    <w:rsid w:val="00662218"/>
    <w:rsid w:val="0066233A"/>
    <w:rsid w:val="00662392"/>
    <w:rsid w:val="00662523"/>
    <w:rsid w:val="0066293B"/>
    <w:rsid w:val="00662B22"/>
    <w:rsid w:val="00662C9D"/>
    <w:rsid w:val="006630F0"/>
    <w:rsid w:val="00663321"/>
    <w:rsid w:val="006634E6"/>
    <w:rsid w:val="0066352E"/>
    <w:rsid w:val="0066373C"/>
    <w:rsid w:val="00663769"/>
    <w:rsid w:val="00663956"/>
    <w:rsid w:val="00663BF6"/>
    <w:rsid w:val="00663E1D"/>
    <w:rsid w:val="00664014"/>
    <w:rsid w:val="00664347"/>
    <w:rsid w:val="006644D3"/>
    <w:rsid w:val="006645F6"/>
    <w:rsid w:val="00664898"/>
    <w:rsid w:val="0066489E"/>
    <w:rsid w:val="006648A1"/>
    <w:rsid w:val="006649D7"/>
    <w:rsid w:val="00664A18"/>
    <w:rsid w:val="00664DFF"/>
    <w:rsid w:val="00664ED3"/>
    <w:rsid w:val="006650A0"/>
    <w:rsid w:val="00665453"/>
    <w:rsid w:val="006655E3"/>
    <w:rsid w:val="006655F8"/>
    <w:rsid w:val="006656F9"/>
    <w:rsid w:val="0066593C"/>
    <w:rsid w:val="006659D1"/>
    <w:rsid w:val="00665B5E"/>
    <w:rsid w:val="00665D69"/>
    <w:rsid w:val="00665F6E"/>
    <w:rsid w:val="00666460"/>
    <w:rsid w:val="00666591"/>
    <w:rsid w:val="00666A25"/>
    <w:rsid w:val="00666B8B"/>
    <w:rsid w:val="00666C30"/>
    <w:rsid w:val="00666E5A"/>
    <w:rsid w:val="00666E9F"/>
    <w:rsid w:val="00666EAA"/>
    <w:rsid w:val="006672D9"/>
    <w:rsid w:val="006676B6"/>
    <w:rsid w:val="0066785D"/>
    <w:rsid w:val="00667A15"/>
    <w:rsid w:val="00667A4D"/>
    <w:rsid w:val="00667C03"/>
    <w:rsid w:val="00667D88"/>
    <w:rsid w:val="00667D9A"/>
    <w:rsid w:val="00667F00"/>
    <w:rsid w:val="00667FA9"/>
    <w:rsid w:val="00670022"/>
    <w:rsid w:val="006700AD"/>
    <w:rsid w:val="00670117"/>
    <w:rsid w:val="006702F8"/>
    <w:rsid w:val="006703BC"/>
    <w:rsid w:val="00670425"/>
    <w:rsid w:val="0067064A"/>
    <w:rsid w:val="006709D3"/>
    <w:rsid w:val="00670A76"/>
    <w:rsid w:val="00670C76"/>
    <w:rsid w:val="00670CFD"/>
    <w:rsid w:val="00670D79"/>
    <w:rsid w:val="00670E7C"/>
    <w:rsid w:val="006710D8"/>
    <w:rsid w:val="006711F0"/>
    <w:rsid w:val="006712B8"/>
    <w:rsid w:val="006712BE"/>
    <w:rsid w:val="006712C6"/>
    <w:rsid w:val="006713C6"/>
    <w:rsid w:val="0067150B"/>
    <w:rsid w:val="00671966"/>
    <w:rsid w:val="00671969"/>
    <w:rsid w:val="006719B9"/>
    <w:rsid w:val="00671B06"/>
    <w:rsid w:val="00671BCE"/>
    <w:rsid w:val="00671C7F"/>
    <w:rsid w:val="00671CCE"/>
    <w:rsid w:val="00671D0D"/>
    <w:rsid w:val="0067209E"/>
    <w:rsid w:val="006725B4"/>
    <w:rsid w:val="00672780"/>
    <w:rsid w:val="00672970"/>
    <w:rsid w:val="00672B81"/>
    <w:rsid w:val="00672B8A"/>
    <w:rsid w:val="00672BDC"/>
    <w:rsid w:val="00672C64"/>
    <w:rsid w:val="00672E1D"/>
    <w:rsid w:val="00672F1E"/>
    <w:rsid w:val="00672FBE"/>
    <w:rsid w:val="006730B1"/>
    <w:rsid w:val="006736AC"/>
    <w:rsid w:val="0067392F"/>
    <w:rsid w:val="006739BA"/>
    <w:rsid w:val="00673C5E"/>
    <w:rsid w:val="00673E65"/>
    <w:rsid w:val="00673F78"/>
    <w:rsid w:val="006743F2"/>
    <w:rsid w:val="00674531"/>
    <w:rsid w:val="00674661"/>
    <w:rsid w:val="0067499F"/>
    <w:rsid w:val="00674B23"/>
    <w:rsid w:val="00674CFD"/>
    <w:rsid w:val="00674F41"/>
    <w:rsid w:val="00674FCB"/>
    <w:rsid w:val="00675224"/>
    <w:rsid w:val="006753C1"/>
    <w:rsid w:val="006753DB"/>
    <w:rsid w:val="0067556D"/>
    <w:rsid w:val="0067560F"/>
    <w:rsid w:val="006758A2"/>
    <w:rsid w:val="006758EC"/>
    <w:rsid w:val="006759A8"/>
    <w:rsid w:val="00675A5A"/>
    <w:rsid w:val="00675AD7"/>
    <w:rsid w:val="00675D17"/>
    <w:rsid w:val="00675D40"/>
    <w:rsid w:val="00675F43"/>
    <w:rsid w:val="006763F5"/>
    <w:rsid w:val="0067648E"/>
    <w:rsid w:val="006764FC"/>
    <w:rsid w:val="00676612"/>
    <w:rsid w:val="006766AD"/>
    <w:rsid w:val="006766E2"/>
    <w:rsid w:val="0067692E"/>
    <w:rsid w:val="006769EF"/>
    <w:rsid w:val="00676D32"/>
    <w:rsid w:val="00676D98"/>
    <w:rsid w:val="00676F38"/>
    <w:rsid w:val="00677488"/>
    <w:rsid w:val="006774B6"/>
    <w:rsid w:val="006775FE"/>
    <w:rsid w:val="00677601"/>
    <w:rsid w:val="00677747"/>
    <w:rsid w:val="006778EE"/>
    <w:rsid w:val="006779D8"/>
    <w:rsid w:val="006779EB"/>
    <w:rsid w:val="00677D3A"/>
    <w:rsid w:val="00677E29"/>
    <w:rsid w:val="00677EAB"/>
    <w:rsid w:val="00680021"/>
    <w:rsid w:val="006800FF"/>
    <w:rsid w:val="0068019F"/>
    <w:rsid w:val="006807A3"/>
    <w:rsid w:val="00680B07"/>
    <w:rsid w:val="00680D97"/>
    <w:rsid w:val="00681290"/>
    <w:rsid w:val="0068143A"/>
    <w:rsid w:val="0068146F"/>
    <w:rsid w:val="0068147B"/>
    <w:rsid w:val="006816CB"/>
    <w:rsid w:val="00681AB4"/>
    <w:rsid w:val="00682573"/>
    <w:rsid w:val="0068269A"/>
    <w:rsid w:val="00682F69"/>
    <w:rsid w:val="00683195"/>
    <w:rsid w:val="00683239"/>
    <w:rsid w:val="00683359"/>
    <w:rsid w:val="006834AD"/>
    <w:rsid w:val="00683520"/>
    <w:rsid w:val="00683538"/>
    <w:rsid w:val="00683630"/>
    <w:rsid w:val="006837F3"/>
    <w:rsid w:val="00683893"/>
    <w:rsid w:val="00683A17"/>
    <w:rsid w:val="00683AA5"/>
    <w:rsid w:val="00683B48"/>
    <w:rsid w:val="00683C58"/>
    <w:rsid w:val="00683CCC"/>
    <w:rsid w:val="00683CE4"/>
    <w:rsid w:val="00683DCF"/>
    <w:rsid w:val="00684056"/>
    <w:rsid w:val="006848CB"/>
    <w:rsid w:val="00684975"/>
    <w:rsid w:val="00684D41"/>
    <w:rsid w:val="00684D52"/>
    <w:rsid w:val="006850A0"/>
    <w:rsid w:val="006853BD"/>
    <w:rsid w:val="00685628"/>
    <w:rsid w:val="006856F6"/>
    <w:rsid w:val="0068575A"/>
    <w:rsid w:val="0068575D"/>
    <w:rsid w:val="00685793"/>
    <w:rsid w:val="006857B6"/>
    <w:rsid w:val="00685832"/>
    <w:rsid w:val="00685B81"/>
    <w:rsid w:val="00685D35"/>
    <w:rsid w:val="00685DB2"/>
    <w:rsid w:val="00685FC3"/>
    <w:rsid w:val="006860AB"/>
    <w:rsid w:val="00686195"/>
    <w:rsid w:val="00686369"/>
    <w:rsid w:val="006863E0"/>
    <w:rsid w:val="0068652E"/>
    <w:rsid w:val="00686578"/>
    <w:rsid w:val="00686962"/>
    <w:rsid w:val="006869AA"/>
    <w:rsid w:val="006869EB"/>
    <w:rsid w:val="00686F47"/>
    <w:rsid w:val="0068725A"/>
    <w:rsid w:val="006872D8"/>
    <w:rsid w:val="006874F2"/>
    <w:rsid w:val="006876BA"/>
    <w:rsid w:val="00687B18"/>
    <w:rsid w:val="006900AD"/>
    <w:rsid w:val="00690126"/>
    <w:rsid w:val="006906E7"/>
    <w:rsid w:val="006908AC"/>
    <w:rsid w:val="006909EA"/>
    <w:rsid w:val="00690B2A"/>
    <w:rsid w:val="00690C9F"/>
    <w:rsid w:val="00690D24"/>
    <w:rsid w:val="00690EDA"/>
    <w:rsid w:val="00690F3D"/>
    <w:rsid w:val="00691042"/>
    <w:rsid w:val="0069121E"/>
    <w:rsid w:val="006912DD"/>
    <w:rsid w:val="0069132A"/>
    <w:rsid w:val="006914DC"/>
    <w:rsid w:val="006918FF"/>
    <w:rsid w:val="00691920"/>
    <w:rsid w:val="00691CC2"/>
    <w:rsid w:val="00691CD2"/>
    <w:rsid w:val="00691DAA"/>
    <w:rsid w:val="00691E94"/>
    <w:rsid w:val="00692355"/>
    <w:rsid w:val="006926A4"/>
    <w:rsid w:val="0069270A"/>
    <w:rsid w:val="00692734"/>
    <w:rsid w:val="00692AEF"/>
    <w:rsid w:val="00692D2B"/>
    <w:rsid w:val="00692FBD"/>
    <w:rsid w:val="006932EB"/>
    <w:rsid w:val="0069335C"/>
    <w:rsid w:val="006933DE"/>
    <w:rsid w:val="00693472"/>
    <w:rsid w:val="006939FB"/>
    <w:rsid w:val="00693B38"/>
    <w:rsid w:val="00693F9E"/>
    <w:rsid w:val="00694048"/>
    <w:rsid w:val="006943C5"/>
    <w:rsid w:val="00694A20"/>
    <w:rsid w:val="00694AA6"/>
    <w:rsid w:val="00694B64"/>
    <w:rsid w:val="00694D70"/>
    <w:rsid w:val="00694E44"/>
    <w:rsid w:val="00694E47"/>
    <w:rsid w:val="00694EC5"/>
    <w:rsid w:val="00695067"/>
    <w:rsid w:val="0069525D"/>
    <w:rsid w:val="006954CD"/>
    <w:rsid w:val="00695537"/>
    <w:rsid w:val="006957B0"/>
    <w:rsid w:val="006958F6"/>
    <w:rsid w:val="00695B67"/>
    <w:rsid w:val="00695CE9"/>
    <w:rsid w:val="00695D24"/>
    <w:rsid w:val="00695EFE"/>
    <w:rsid w:val="0069602F"/>
    <w:rsid w:val="00696374"/>
    <w:rsid w:val="006965F7"/>
    <w:rsid w:val="00696639"/>
    <w:rsid w:val="006966E4"/>
    <w:rsid w:val="00696709"/>
    <w:rsid w:val="006967C5"/>
    <w:rsid w:val="0069683A"/>
    <w:rsid w:val="006968C1"/>
    <w:rsid w:val="00696B04"/>
    <w:rsid w:val="00696B4E"/>
    <w:rsid w:val="00697029"/>
    <w:rsid w:val="00697598"/>
    <w:rsid w:val="006975A9"/>
    <w:rsid w:val="006975FD"/>
    <w:rsid w:val="006976DD"/>
    <w:rsid w:val="00697C70"/>
    <w:rsid w:val="00697D1A"/>
    <w:rsid w:val="00697DD2"/>
    <w:rsid w:val="006A0105"/>
    <w:rsid w:val="006A0582"/>
    <w:rsid w:val="006A077E"/>
    <w:rsid w:val="006A0791"/>
    <w:rsid w:val="006A08D0"/>
    <w:rsid w:val="006A0A36"/>
    <w:rsid w:val="006A0BC3"/>
    <w:rsid w:val="006A0D95"/>
    <w:rsid w:val="006A0DA4"/>
    <w:rsid w:val="006A0DDF"/>
    <w:rsid w:val="006A0E94"/>
    <w:rsid w:val="006A0F76"/>
    <w:rsid w:val="006A0FDB"/>
    <w:rsid w:val="006A1093"/>
    <w:rsid w:val="006A1218"/>
    <w:rsid w:val="006A1226"/>
    <w:rsid w:val="006A1735"/>
    <w:rsid w:val="006A17CE"/>
    <w:rsid w:val="006A1948"/>
    <w:rsid w:val="006A1F70"/>
    <w:rsid w:val="006A22FF"/>
    <w:rsid w:val="006A24B0"/>
    <w:rsid w:val="006A28F5"/>
    <w:rsid w:val="006A292D"/>
    <w:rsid w:val="006A2B3E"/>
    <w:rsid w:val="006A2B78"/>
    <w:rsid w:val="006A2E54"/>
    <w:rsid w:val="006A2F60"/>
    <w:rsid w:val="006A31F3"/>
    <w:rsid w:val="006A3501"/>
    <w:rsid w:val="006A37B1"/>
    <w:rsid w:val="006A3953"/>
    <w:rsid w:val="006A3ADC"/>
    <w:rsid w:val="006A3DBD"/>
    <w:rsid w:val="006A3E38"/>
    <w:rsid w:val="006A3F30"/>
    <w:rsid w:val="006A46A9"/>
    <w:rsid w:val="006A4765"/>
    <w:rsid w:val="006A4B88"/>
    <w:rsid w:val="006A4C66"/>
    <w:rsid w:val="006A4DBD"/>
    <w:rsid w:val="006A4DD7"/>
    <w:rsid w:val="006A51C2"/>
    <w:rsid w:val="006A52D2"/>
    <w:rsid w:val="006A53FD"/>
    <w:rsid w:val="006A55C6"/>
    <w:rsid w:val="006A58E3"/>
    <w:rsid w:val="006A59E1"/>
    <w:rsid w:val="006A5A79"/>
    <w:rsid w:val="006A5C7F"/>
    <w:rsid w:val="006A6151"/>
    <w:rsid w:val="006A6304"/>
    <w:rsid w:val="006A66B9"/>
    <w:rsid w:val="006A66DE"/>
    <w:rsid w:val="006A69DD"/>
    <w:rsid w:val="006A6A5C"/>
    <w:rsid w:val="006A6C1F"/>
    <w:rsid w:val="006A6CAE"/>
    <w:rsid w:val="006A6DD8"/>
    <w:rsid w:val="006A6E11"/>
    <w:rsid w:val="006A6FEC"/>
    <w:rsid w:val="006A7003"/>
    <w:rsid w:val="006A706F"/>
    <w:rsid w:val="006A7264"/>
    <w:rsid w:val="006A7421"/>
    <w:rsid w:val="006A754C"/>
    <w:rsid w:val="006A770A"/>
    <w:rsid w:val="006A7B1F"/>
    <w:rsid w:val="006A7E3E"/>
    <w:rsid w:val="006B000E"/>
    <w:rsid w:val="006B0038"/>
    <w:rsid w:val="006B0051"/>
    <w:rsid w:val="006B007D"/>
    <w:rsid w:val="006B01B2"/>
    <w:rsid w:val="006B0528"/>
    <w:rsid w:val="006B084D"/>
    <w:rsid w:val="006B08D1"/>
    <w:rsid w:val="006B0AC3"/>
    <w:rsid w:val="006B0BCD"/>
    <w:rsid w:val="006B0E52"/>
    <w:rsid w:val="006B0E99"/>
    <w:rsid w:val="006B0F3D"/>
    <w:rsid w:val="006B1333"/>
    <w:rsid w:val="006B1720"/>
    <w:rsid w:val="006B1FC1"/>
    <w:rsid w:val="006B2056"/>
    <w:rsid w:val="006B2083"/>
    <w:rsid w:val="006B216F"/>
    <w:rsid w:val="006B22EF"/>
    <w:rsid w:val="006B26D5"/>
    <w:rsid w:val="006B2728"/>
    <w:rsid w:val="006B2775"/>
    <w:rsid w:val="006B29DE"/>
    <w:rsid w:val="006B2A22"/>
    <w:rsid w:val="006B2C57"/>
    <w:rsid w:val="006B2D09"/>
    <w:rsid w:val="006B2D2B"/>
    <w:rsid w:val="006B2F83"/>
    <w:rsid w:val="006B2FB7"/>
    <w:rsid w:val="006B325F"/>
    <w:rsid w:val="006B328F"/>
    <w:rsid w:val="006B35A7"/>
    <w:rsid w:val="006B3C18"/>
    <w:rsid w:val="006B428E"/>
    <w:rsid w:val="006B42E2"/>
    <w:rsid w:val="006B43D5"/>
    <w:rsid w:val="006B49C0"/>
    <w:rsid w:val="006B4B21"/>
    <w:rsid w:val="006B4B73"/>
    <w:rsid w:val="006B4D24"/>
    <w:rsid w:val="006B4DA4"/>
    <w:rsid w:val="006B4EA9"/>
    <w:rsid w:val="006B4FFA"/>
    <w:rsid w:val="006B5223"/>
    <w:rsid w:val="006B5281"/>
    <w:rsid w:val="006B530D"/>
    <w:rsid w:val="006B54C5"/>
    <w:rsid w:val="006B569F"/>
    <w:rsid w:val="006B572B"/>
    <w:rsid w:val="006B5793"/>
    <w:rsid w:val="006B5843"/>
    <w:rsid w:val="006B5A34"/>
    <w:rsid w:val="006B5AE2"/>
    <w:rsid w:val="006B5BC0"/>
    <w:rsid w:val="006B5BD6"/>
    <w:rsid w:val="006B5C49"/>
    <w:rsid w:val="006B5C87"/>
    <w:rsid w:val="006B6030"/>
    <w:rsid w:val="006B6364"/>
    <w:rsid w:val="006B638F"/>
    <w:rsid w:val="006B6558"/>
    <w:rsid w:val="006B65AB"/>
    <w:rsid w:val="006B6656"/>
    <w:rsid w:val="006B6818"/>
    <w:rsid w:val="006B6AF7"/>
    <w:rsid w:val="006B6B00"/>
    <w:rsid w:val="006B6CC5"/>
    <w:rsid w:val="006B6EB3"/>
    <w:rsid w:val="006B6F28"/>
    <w:rsid w:val="006B6FDF"/>
    <w:rsid w:val="006B7A81"/>
    <w:rsid w:val="006B7C0E"/>
    <w:rsid w:val="006B7F48"/>
    <w:rsid w:val="006B7FB0"/>
    <w:rsid w:val="006C019E"/>
    <w:rsid w:val="006C0341"/>
    <w:rsid w:val="006C041A"/>
    <w:rsid w:val="006C0844"/>
    <w:rsid w:val="006C090C"/>
    <w:rsid w:val="006C098F"/>
    <w:rsid w:val="006C0A35"/>
    <w:rsid w:val="006C0CE1"/>
    <w:rsid w:val="006C0EA4"/>
    <w:rsid w:val="006C1160"/>
    <w:rsid w:val="006C1583"/>
    <w:rsid w:val="006C1A1F"/>
    <w:rsid w:val="006C1B28"/>
    <w:rsid w:val="006C1C14"/>
    <w:rsid w:val="006C1D1A"/>
    <w:rsid w:val="006C2290"/>
    <w:rsid w:val="006C22C7"/>
    <w:rsid w:val="006C23FA"/>
    <w:rsid w:val="006C25E2"/>
    <w:rsid w:val="006C273E"/>
    <w:rsid w:val="006C2897"/>
    <w:rsid w:val="006C28D8"/>
    <w:rsid w:val="006C290F"/>
    <w:rsid w:val="006C2A97"/>
    <w:rsid w:val="006C2C97"/>
    <w:rsid w:val="006C2D5F"/>
    <w:rsid w:val="006C2E30"/>
    <w:rsid w:val="006C2FBB"/>
    <w:rsid w:val="006C2FCC"/>
    <w:rsid w:val="006C315E"/>
    <w:rsid w:val="006C355C"/>
    <w:rsid w:val="006C35FA"/>
    <w:rsid w:val="006C3ABD"/>
    <w:rsid w:val="006C3D0B"/>
    <w:rsid w:val="006C3F10"/>
    <w:rsid w:val="006C46B5"/>
    <w:rsid w:val="006C495B"/>
    <w:rsid w:val="006C4F2C"/>
    <w:rsid w:val="006C4FB4"/>
    <w:rsid w:val="006C5060"/>
    <w:rsid w:val="006C5071"/>
    <w:rsid w:val="006C5280"/>
    <w:rsid w:val="006C5340"/>
    <w:rsid w:val="006C5855"/>
    <w:rsid w:val="006C5AEE"/>
    <w:rsid w:val="006C5AEF"/>
    <w:rsid w:val="006C5BA2"/>
    <w:rsid w:val="006C5C6D"/>
    <w:rsid w:val="006C5D0B"/>
    <w:rsid w:val="006C5DF9"/>
    <w:rsid w:val="006C5E6B"/>
    <w:rsid w:val="006C611A"/>
    <w:rsid w:val="006C6453"/>
    <w:rsid w:val="006C6675"/>
    <w:rsid w:val="006C67DC"/>
    <w:rsid w:val="006C6A4F"/>
    <w:rsid w:val="006C6A65"/>
    <w:rsid w:val="006C6CFD"/>
    <w:rsid w:val="006C6E61"/>
    <w:rsid w:val="006C70A1"/>
    <w:rsid w:val="006C710F"/>
    <w:rsid w:val="006C72A7"/>
    <w:rsid w:val="006C7376"/>
    <w:rsid w:val="006C753E"/>
    <w:rsid w:val="006C776A"/>
    <w:rsid w:val="006C7937"/>
    <w:rsid w:val="006C7996"/>
    <w:rsid w:val="006C79D3"/>
    <w:rsid w:val="006C7E2A"/>
    <w:rsid w:val="006C7F0B"/>
    <w:rsid w:val="006C7F5F"/>
    <w:rsid w:val="006D0054"/>
    <w:rsid w:val="006D0330"/>
    <w:rsid w:val="006D0611"/>
    <w:rsid w:val="006D09AF"/>
    <w:rsid w:val="006D0D2A"/>
    <w:rsid w:val="006D0DDF"/>
    <w:rsid w:val="006D0F57"/>
    <w:rsid w:val="006D0FEA"/>
    <w:rsid w:val="006D1203"/>
    <w:rsid w:val="006D1442"/>
    <w:rsid w:val="006D14E5"/>
    <w:rsid w:val="006D1575"/>
    <w:rsid w:val="006D19CC"/>
    <w:rsid w:val="006D1FD2"/>
    <w:rsid w:val="006D21B9"/>
    <w:rsid w:val="006D227C"/>
    <w:rsid w:val="006D24F9"/>
    <w:rsid w:val="006D2546"/>
    <w:rsid w:val="006D25F8"/>
    <w:rsid w:val="006D27D5"/>
    <w:rsid w:val="006D27FD"/>
    <w:rsid w:val="006D2A88"/>
    <w:rsid w:val="006D3286"/>
    <w:rsid w:val="006D344D"/>
    <w:rsid w:val="006D359E"/>
    <w:rsid w:val="006D396E"/>
    <w:rsid w:val="006D3E99"/>
    <w:rsid w:val="006D4303"/>
    <w:rsid w:val="006D432A"/>
    <w:rsid w:val="006D4958"/>
    <w:rsid w:val="006D4986"/>
    <w:rsid w:val="006D4CDD"/>
    <w:rsid w:val="006D4E10"/>
    <w:rsid w:val="006D501B"/>
    <w:rsid w:val="006D5295"/>
    <w:rsid w:val="006D5339"/>
    <w:rsid w:val="006D586F"/>
    <w:rsid w:val="006D58FF"/>
    <w:rsid w:val="006D5A2A"/>
    <w:rsid w:val="006D5F99"/>
    <w:rsid w:val="006D6415"/>
    <w:rsid w:val="006D65F0"/>
    <w:rsid w:val="006D6692"/>
    <w:rsid w:val="006D67D8"/>
    <w:rsid w:val="006D6844"/>
    <w:rsid w:val="006D6937"/>
    <w:rsid w:val="006D69CE"/>
    <w:rsid w:val="006D6A8E"/>
    <w:rsid w:val="006D6D6D"/>
    <w:rsid w:val="006D6E6A"/>
    <w:rsid w:val="006D704D"/>
    <w:rsid w:val="006D71A7"/>
    <w:rsid w:val="006D7749"/>
    <w:rsid w:val="006D7CDF"/>
    <w:rsid w:val="006D7D29"/>
    <w:rsid w:val="006E029F"/>
    <w:rsid w:val="006E0405"/>
    <w:rsid w:val="006E042D"/>
    <w:rsid w:val="006E061B"/>
    <w:rsid w:val="006E06CF"/>
    <w:rsid w:val="006E07D9"/>
    <w:rsid w:val="006E0877"/>
    <w:rsid w:val="006E0A13"/>
    <w:rsid w:val="006E0B99"/>
    <w:rsid w:val="006E0BF5"/>
    <w:rsid w:val="006E0C52"/>
    <w:rsid w:val="006E0E20"/>
    <w:rsid w:val="006E0FD5"/>
    <w:rsid w:val="006E10B4"/>
    <w:rsid w:val="006E1593"/>
    <w:rsid w:val="006E16CF"/>
    <w:rsid w:val="006E186C"/>
    <w:rsid w:val="006E1ADD"/>
    <w:rsid w:val="006E1C3F"/>
    <w:rsid w:val="006E1FEB"/>
    <w:rsid w:val="006E21BE"/>
    <w:rsid w:val="006E2290"/>
    <w:rsid w:val="006E2B49"/>
    <w:rsid w:val="006E2F0B"/>
    <w:rsid w:val="006E3009"/>
    <w:rsid w:val="006E3081"/>
    <w:rsid w:val="006E310F"/>
    <w:rsid w:val="006E312F"/>
    <w:rsid w:val="006E33BA"/>
    <w:rsid w:val="006E370E"/>
    <w:rsid w:val="006E3787"/>
    <w:rsid w:val="006E390C"/>
    <w:rsid w:val="006E39D5"/>
    <w:rsid w:val="006E39F0"/>
    <w:rsid w:val="006E3BC1"/>
    <w:rsid w:val="006E3E92"/>
    <w:rsid w:val="006E3EF6"/>
    <w:rsid w:val="006E414C"/>
    <w:rsid w:val="006E420D"/>
    <w:rsid w:val="006E4237"/>
    <w:rsid w:val="006E43A9"/>
    <w:rsid w:val="006E491B"/>
    <w:rsid w:val="006E4B54"/>
    <w:rsid w:val="006E503A"/>
    <w:rsid w:val="006E50C1"/>
    <w:rsid w:val="006E5110"/>
    <w:rsid w:val="006E53D8"/>
    <w:rsid w:val="006E5677"/>
    <w:rsid w:val="006E56F3"/>
    <w:rsid w:val="006E58FE"/>
    <w:rsid w:val="006E59DF"/>
    <w:rsid w:val="006E5AC7"/>
    <w:rsid w:val="006E5BCC"/>
    <w:rsid w:val="006E5E90"/>
    <w:rsid w:val="006E5FBF"/>
    <w:rsid w:val="006E62E6"/>
    <w:rsid w:val="006E6560"/>
    <w:rsid w:val="006E6B7A"/>
    <w:rsid w:val="006E6FF4"/>
    <w:rsid w:val="006E7047"/>
    <w:rsid w:val="006E71E3"/>
    <w:rsid w:val="006E73FA"/>
    <w:rsid w:val="006E7565"/>
    <w:rsid w:val="006E7751"/>
    <w:rsid w:val="006E7993"/>
    <w:rsid w:val="006E79AA"/>
    <w:rsid w:val="006E7B84"/>
    <w:rsid w:val="006E7C42"/>
    <w:rsid w:val="006E7C45"/>
    <w:rsid w:val="006F0455"/>
    <w:rsid w:val="006F0620"/>
    <w:rsid w:val="006F06F1"/>
    <w:rsid w:val="006F07D3"/>
    <w:rsid w:val="006F0800"/>
    <w:rsid w:val="006F08FF"/>
    <w:rsid w:val="006F0A9B"/>
    <w:rsid w:val="006F1152"/>
    <w:rsid w:val="006F1218"/>
    <w:rsid w:val="006F162A"/>
    <w:rsid w:val="006F182C"/>
    <w:rsid w:val="006F188E"/>
    <w:rsid w:val="006F190A"/>
    <w:rsid w:val="006F1B0E"/>
    <w:rsid w:val="006F1CDA"/>
    <w:rsid w:val="006F1DE0"/>
    <w:rsid w:val="006F1F79"/>
    <w:rsid w:val="006F1FBB"/>
    <w:rsid w:val="006F226E"/>
    <w:rsid w:val="006F22F2"/>
    <w:rsid w:val="006F23CC"/>
    <w:rsid w:val="006F23EB"/>
    <w:rsid w:val="006F2701"/>
    <w:rsid w:val="006F2784"/>
    <w:rsid w:val="006F2AC0"/>
    <w:rsid w:val="006F2B54"/>
    <w:rsid w:val="006F2E1B"/>
    <w:rsid w:val="006F3201"/>
    <w:rsid w:val="006F375B"/>
    <w:rsid w:val="006F37F7"/>
    <w:rsid w:val="006F3A80"/>
    <w:rsid w:val="006F3BEC"/>
    <w:rsid w:val="006F3C25"/>
    <w:rsid w:val="006F3DBA"/>
    <w:rsid w:val="006F3DC6"/>
    <w:rsid w:val="006F3EFE"/>
    <w:rsid w:val="006F40F9"/>
    <w:rsid w:val="006F45E1"/>
    <w:rsid w:val="006F4642"/>
    <w:rsid w:val="006F46AB"/>
    <w:rsid w:val="006F4CDD"/>
    <w:rsid w:val="006F4E18"/>
    <w:rsid w:val="006F4E7F"/>
    <w:rsid w:val="006F5054"/>
    <w:rsid w:val="006F5358"/>
    <w:rsid w:val="006F558E"/>
    <w:rsid w:val="006F5610"/>
    <w:rsid w:val="006F5658"/>
    <w:rsid w:val="006F568D"/>
    <w:rsid w:val="006F586E"/>
    <w:rsid w:val="006F58D1"/>
    <w:rsid w:val="006F5933"/>
    <w:rsid w:val="006F5B11"/>
    <w:rsid w:val="006F5B2F"/>
    <w:rsid w:val="006F5EE2"/>
    <w:rsid w:val="006F5EF8"/>
    <w:rsid w:val="006F604C"/>
    <w:rsid w:val="006F6253"/>
    <w:rsid w:val="006F6293"/>
    <w:rsid w:val="006F62FF"/>
    <w:rsid w:val="006F65C2"/>
    <w:rsid w:val="006F6636"/>
    <w:rsid w:val="006F680C"/>
    <w:rsid w:val="006F68E9"/>
    <w:rsid w:val="006F6982"/>
    <w:rsid w:val="006F6EAC"/>
    <w:rsid w:val="006F6FA1"/>
    <w:rsid w:val="006F7331"/>
    <w:rsid w:val="006F76FF"/>
    <w:rsid w:val="006F7C1D"/>
    <w:rsid w:val="006F7D10"/>
    <w:rsid w:val="006F7D82"/>
    <w:rsid w:val="006F7DDE"/>
    <w:rsid w:val="006F7EC0"/>
    <w:rsid w:val="006F7F9C"/>
    <w:rsid w:val="00700084"/>
    <w:rsid w:val="00700168"/>
    <w:rsid w:val="0070023D"/>
    <w:rsid w:val="00700258"/>
    <w:rsid w:val="00700391"/>
    <w:rsid w:val="00700B5D"/>
    <w:rsid w:val="00700F3A"/>
    <w:rsid w:val="00700F85"/>
    <w:rsid w:val="007013FA"/>
    <w:rsid w:val="007014FA"/>
    <w:rsid w:val="007016B0"/>
    <w:rsid w:val="007018FB"/>
    <w:rsid w:val="00701D8F"/>
    <w:rsid w:val="00701DEE"/>
    <w:rsid w:val="00701E5F"/>
    <w:rsid w:val="007020C2"/>
    <w:rsid w:val="0070211E"/>
    <w:rsid w:val="00702324"/>
    <w:rsid w:val="00702537"/>
    <w:rsid w:val="0070292C"/>
    <w:rsid w:val="00702AE8"/>
    <w:rsid w:val="00702C38"/>
    <w:rsid w:val="00702FD9"/>
    <w:rsid w:val="00703121"/>
    <w:rsid w:val="00703374"/>
    <w:rsid w:val="007035BF"/>
    <w:rsid w:val="00703699"/>
    <w:rsid w:val="00703782"/>
    <w:rsid w:val="00703B50"/>
    <w:rsid w:val="00703CB8"/>
    <w:rsid w:val="00703E37"/>
    <w:rsid w:val="0070407E"/>
    <w:rsid w:val="00704085"/>
    <w:rsid w:val="0070409A"/>
    <w:rsid w:val="007043E4"/>
    <w:rsid w:val="007043FE"/>
    <w:rsid w:val="00704469"/>
    <w:rsid w:val="00704506"/>
    <w:rsid w:val="00704532"/>
    <w:rsid w:val="00704930"/>
    <w:rsid w:val="0070497B"/>
    <w:rsid w:val="00704BFE"/>
    <w:rsid w:val="00704C5A"/>
    <w:rsid w:val="00704F80"/>
    <w:rsid w:val="00705253"/>
    <w:rsid w:val="00705589"/>
    <w:rsid w:val="007057AC"/>
    <w:rsid w:val="00705AE1"/>
    <w:rsid w:val="00705B27"/>
    <w:rsid w:val="00705E28"/>
    <w:rsid w:val="0070665E"/>
    <w:rsid w:val="00706915"/>
    <w:rsid w:val="0070693F"/>
    <w:rsid w:val="00706A6A"/>
    <w:rsid w:val="00706A6C"/>
    <w:rsid w:val="00706DE5"/>
    <w:rsid w:val="00707008"/>
    <w:rsid w:val="007073CF"/>
    <w:rsid w:val="007076D5"/>
    <w:rsid w:val="00707847"/>
    <w:rsid w:val="00707A79"/>
    <w:rsid w:val="00707D44"/>
    <w:rsid w:val="00707F17"/>
    <w:rsid w:val="00707FFA"/>
    <w:rsid w:val="0071091F"/>
    <w:rsid w:val="00710A25"/>
    <w:rsid w:val="00710B7A"/>
    <w:rsid w:val="00710CE8"/>
    <w:rsid w:val="00710D0A"/>
    <w:rsid w:val="00710F40"/>
    <w:rsid w:val="0071100E"/>
    <w:rsid w:val="00711031"/>
    <w:rsid w:val="0071127D"/>
    <w:rsid w:val="007112A8"/>
    <w:rsid w:val="007112CF"/>
    <w:rsid w:val="00711407"/>
    <w:rsid w:val="007114A3"/>
    <w:rsid w:val="007117F3"/>
    <w:rsid w:val="00711A3F"/>
    <w:rsid w:val="00711C24"/>
    <w:rsid w:val="00711E76"/>
    <w:rsid w:val="00711E88"/>
    <w:rsid w:val="0071225C"/>
    <w:rsid w:val="00712263"/>
    <w:rsid w:val="007123BC"/>
    <w:rsid w:val="0071260F"/>
    <w:rsid w:val="00712674"/>
    <w:rsid w:val="00712678"/>
    <w:rsid w:val="0071295C"/>
    <w:rsid w:val="00712C1B"/>
    <w:rsid w:val="00712DB1"/>
    <w:rsid w:val="00712E5A"/>
    <w:rsid w:val="00712E70"/>
    <w:rsid w:val="00712FC4"/>
    <w:rsid w:val="00713035"/>
    <w:rsid w:val="0071307F"/>
    <w:rsid w:val="007132EB"/>
    <w:rsid w:val="00713379"/>
    <w:rsid w:val="0071350B"/>
    <w:rsid w:val="007138B8"/>
    <w:rsid w:val="00713911"/>
    <w:rsid w:val="00713BAA"/>
    <w:rsid w:val="007141FF"/>
    <w:rsid w:val="0071439E"/>
    <w:rsid w:val="007143B9"/>
    <w:rsid w:val="00714A85"/>
    <w:rsid w:val="00714AFB"/>
    <w:rsid w:val="00714B44"/>
    <w:rsid w:val="00714B4E"/>
    <w:rsid w:val="00714FF4"/>
    <w:rsid w:val="00715158"/>
    <w:rsid w:val="00715343"/>
    <w:rsid w:val="0071534A"/>
    <w:rsid w:val="007158BB"/>
    <w:rsid w:val="00716011"/>
    <w:rsid w:val="00716414"/>
    <w:rsid w:val="007167DB"/>
    <w:rsid w:val="00716885"/>
    <w:rsid w:val="00716B14"/>
    <w:rsid w:val="00716B3F"/>
    <w:rsid w:val="00716EEB"/>
    <w:rsid w:val="00716F22"/>
    <w:rsid w:val="0071702C"/>
    <w:rsid w:val="007174C6"/>
    <w:rsid w:val="0071758A"/>
    <w:rsid w:val="007177EE"/>
    <w:rsid w:val="00717AB6"/>
    <w:rsid w:val="00717B55"/>
    <w:rsid w:val="00717C4E"/>
    <w:rsid w:val="00717E97"/>
    <w:rsid w:val="00717F9E"/>
    <w:rsid w:val="00720088"/>
    <w:rsid w:val="0072013B"/>
    <w:rsid w:val="0072017A"/>
    <w:rsid w:val="00720551"/>
    <w:rsid w:val="007205EA"/>
    <w:rsid w:val="0072085B"/>
    <w:rsid w:val="00720902"/>
    <w:rsid w:val="00720A27"/>
    <w:rsid w:val="00720BB1"/>
    <w:rsid w:val="00720BEA"/>
    <w:rsid w:val="00720EB3"/>
    <w:rsid w:val="00720FCD"/>
    <w:rsid w:val="007211BF"/>
    <w:rsid w:val="007211FE"/>
    <w:rsid w:val="00721273"/>
    <w:rsid w:val="007212BD"/>
    <w:rsid w:val="0072190C"/>
    <w:rsid w:val="00721994"/>
    <w:rsid w:val="00721A57"/>
    <w:rsid w:val="00721C9C"/>
    <w:rsid w:val="00721CE2"/>
    <w:rsid w:val="00721DBC"/>
    <w:rsid w:val="00721DDC"/>
    <w:rsid w:val="00721FBA"/>
    <w:rsid w:val="007220DF"/>
    <w:rsid w:val="007224F6"/>
    <w:rsid w:val="0072267E"/>
    <w:rsid w:val="00722956"/>
    <w:rsid w:val="00722A6E"/>
    <w:rsid w:val="00722B6E"/>
    <w:rsid w:val="00722FCA"/>
    <w:rsid w:val="00723062"/>
    <w:rsid w:val="00723195"/>
    <w:rsid w:val="00723418"/>
    <w:rsid w:val="0072366E"/>
    <w:rsid w:val="00724241"/>
    <w:rsid w:val="007242C5"/>
    <w:rsid w:val="007242D3"/>
    <w:rsid w:val="007247DF"/>
    <w:rsid w:val="007247FC"/>
    <w:rsid w:val="00724890"/>
    <w:rsid w:val="007248AC"/>
    <w:rsid w:val="00724D8A"/>
    <w:rsid w:val="0072506D"/>
    <w:rsid w:val="0072512D"/>
    <w:rsid w:val="0072517F"/>
    <w:rsid w:val="007252BD"/>
    <w:rsid w:val="00725610"/>
    <w:rsid w:val="007257DE"/>
    <w:rsid w:val="0072580B"/>
    <w:rsid w:val="0072593C"/>
    <w:rsid w:val="0072595E"/>
    <w:rsid w:val="00725992"/>
    <w:rsid w:val="00725A31"/>
    <w:rsid w:val="00725B6D"/>
    <w:rsid w:val="007262E6"/>
    <w:rsid w:val="00726762"/>
    <w:rsid w:val="007267F9"/>
    <w:rsid w:val="007269AC"/>
    <w:rsid w:val="00726C2C"/>
    <w:rsid w:val="00726DFA"/>
    <w:rsid w:val="00727B00"/>
    <w:rsid w:val="00727B94"/>
    <w:rsid w:val="00727C16"/>
    <w:rsid w:val="00727DFE"/>
    <w:rsid w:val="00730018"/>
    <w:rsid w:val="00730346"/>
    <w:rsid w:val="00730423"/>
    <w:rsid w:val="0073082D"/>
    <w:rsid w:val="00730A10"/>
    <w:rsid w:val="00730BC4"/>
    <w:rsid w:val="0073103D"/>
    <w:rsid w:val="007313E9"/>
    <w:rsid w:val="00731629"/>
    <w:rsid w:val="00731AA8"/>
    <w:rsid w:val="00731C50"/>
    <w:rsid w:val="00731DF0"/>
    <w:rsid w:val="007320FD"/>
    <w:rsid w:val="00732733"/>
    <w:rsid w:val="007327BE"/>
    <w:rsid w:val="00732847"/>
    <w:rsid w:val="007328FF"/>
    <w:rsid w:val="00733050"/>
    <w:rsid w:val="007330EB"/>
    <w:rsid w:val="00733391"/>
    <w:rsid w:val="0073348A"/>
    <w:rsid w:val="007336C9"/>
    <w:rsid w:val="00733738"/>
    <w:rsid w:val="00733CE6"/>
    <w:rsid w:val="00733E23"/>
    <w:rsid w:val="00733EF4"/>
    <w:rsid w:val="0073410C"/>
    <w:rsid w:val="00734183"/>
    <w:rsid w:val="00734430"/>
    <w:rsid w:val="007344D8"/>
    <w:rsid w:val="0073450E"/>
    <w:rsid w:val="00734648"/>
    <w:rsid w:val="00734952"/>
    <w:rsid w:val="00734B01"/>
    <w:rsid w:val="00734C02"/>
    <w:rsid w:val="00734CA6"/>
    <w:rsid w:val="00734CB9"/>
    <w:rsid w:val="00734DE2"/>
    <w:rsid w:val="00734EAC"/>
    <w:rsid w:val="007352F5"/>
    <w:rsid w:val="00735314"/>
    <w:rsid w:val="00735388"/>
    <w:rsid w:val="00735547"/>
    <w:rsid w:val="0073568C"/>
    <w:rsid w:val="00735970"/>
    <w:rsid w:val="00735B15"/>
    <w:rsid w:val="00735BF1"/>
    <w:rsid w:val="00735F5A"/>
    <w:rsid w:val="00736020"/>
    <w:rsid w:val="0073621D"/>
    <w:rsid w:val="007367F6"/>
    <w:rsid w:val="00736830"/>
    <w:rsid w:val="0073693F"/>
    <w:rsid w:val="00736D1D"/>
    <w:rsid w:val="00736D1F"/>
    <w:rsid w:val="00736E01"/>
    <w:rsid w:val="00736EAF"/>
    <w:rsid w:val="00736EEC"/>
    <w:rsid w:val="00736F8A"/>
    <w:rsid w:val="00736FCA"/>
    <w:rsid w:val="0073709D"/>
    <w:rsid w:val="007370DD"/>
    <w:rsid w:val="00737240"/>
    <w:rsid w:val="0073726C"/>
    <w:rsid w:val="007378F4"/>
    <w:rsid w:val="00737990"/>
    <w:rsid w:val="007379F4"/>
    <w:rsid w:val="00737C65"/>
    <w:rsid w:val="00737F0F"/>
    <w:rsid w:val="00737FDA"/>
    <w:rsid w:val="00740309"/>
    <w:rsid w:val="00740520"/>
    <w:rsid w:val="00740558"/>
    <w:rsid w:val="00740566"/>
    <w:rsid w:val="00740573"/>
    <w:rsid w:val="007405CB"/>
    <w:rsid w:val="00740844"/>
    <w:rsid w:val="007409D1"/>
    <w:rsid w:val="00740C65"/>
    <w:rsid w:val="00740E75"/>
    <w:rsid w:val="00740EC1"/>
    <w:rsid w:val="00740FA2"/>
    <w:rsid w:val="00740FDF"/>
    <w:rsid w:val="00741A7D"/>
    <w:rsid w:val="00741AB8"/>
    <w:rsid w:val="00741B35"/>
    <w:rsid w:val="00741D2B"/>
    <w:rsid w:val="00741DE1"/>
    <w:rsid w:val="007420DC"/>
    <w:rsid w:val="00742983"/>
    <w:rsid w:val="00742BB4"/>
    <w:rsid w:val="00742C03"/>
    <w:rsid w:val="00742C12"/>
    <w:rsid w:val="00742CBF"/>
    <w:rsid w:val="00742D5F"/>
    <w:rsid w:val="007430B7"/>
    <w:rsid w:val="0074311E"/>
    <w:rsid w:val="0074385A"/>
    <w:rsid w:val="007438D5"/>
    <w:rsid w:val="00743900"/>
    <w:rsid w:val="0074391B"/>
    <w:rsid w:val="00743A98"/>
    <w:rsid w:val="00743E28"/>
    <w:rsid w:val="0074418F"/>
    <w:rsid w:val="00744795"/>
    <w:rsid w:val="007448C4"/>
    <w:rsid w:val="007448E9"/>
    <w:rsid w:val="00744AE1"/>
    <w:rsid w:val="00744B4C"/>
    <w:rsid w:val="00744B69"/>
    <w:rsid w:val="00744C78"/>
    <w:rsid w:val="00744D4B"/>
    <w:rsid w:val="00744F7D"/>
    <w:rsid w:val="00744FB4"/>
    <w:rsid w:val="007450C7"/>
    <w:rsid w:val="007451A4"/>
    <w:rsid w:val="007451EA"/>
    <w:rsid w:val="007453DA"/>
    <w:rsid w:val="00745448"/>
    <w:rsid w:val="007457B3"/>
    <w:rsid w:val="00745878"/>
    <w:rsid w:val="0074594E"/>
    <w:rsid w:val="00745A89"/>
    <w:rsid w:val="00745C5B"/>
    <w:rsid w:val="00745F39"/>
    <w:rsid w:val="00745FE7"/>
    <w:rsid w:val="007460C6"/>
    <w:rsid w:val="007461DB"/>
    <w:rsid w:val="00746265"/>
    <w:rsid w:val="007463C6"/>
    <w:rsid w:val="007464D6"/>
    <w:rsid w:val="00746555"/>
    <w:rsid w:val="007468B7"/>
    <w:rsid w:val="007468D3"/>
    <w:rsid w:val="00746ABA"/>
    <w:rsid w:val="00746BE6"/>
    <w:rsid w:val="00746DA5"/>
    <w:rsid w:val="00746DBE"/>
    <w:rsid w:val="00747068"/>
    <w:rsid w:val="0074718A"/>
    <w:rsid w:val="0074741C"/>
    <w:rsid w:val="007501A7"/>
    <w:rsid w:val="007502DB"/>
    <w:rsid w:val="0075031B"/>
    <w:rsid w:val="007504D4"/>
    <w:rsid w:val="007504F9"/>
    <w:rsid w:val="007505FA"/>
    <w:rsid w:val="0075082E"/>
    <w:rsid w:val="0075084C"/>
    <w:rsid w:val="0075084E"/>
    <w:rsid w:val="00750888"/>
    <w:rsid w:val="00750AFD"/>
    <w:rsid w:val="00750C98"/>
    <w:rsid w:val="00751003"/>
    <w:rsid w:val="0075129F"/>
    <w:rsid w:val="007512BA"/>
    <w:rsid w:val="00751591"/>
    <w:rsid w:val="007516C2"/>
    <w:rsid w:val="007516DC"/>
    <w:rsid w:val="00751941"/>
    <w:rsid w:val="00751949"/>
    <w:rsid w:val="00751CB6"/>
    <w:rsid w:val="00751D29"/>
    <w:rsid w:val="00751D2B"/>
    <w:rsid w:val="00751DDF"/>
    <w:rsid w:val="00752198"/>
    <w:rsid w:val="0075230E"/>
    <w:rsid w:val="007525B5"/>
    <w:rsid w:val="00752676"/>
    <w:rsid w:val="00752981"/>
    <w:rsid w:val="007529CE"/>
    <w:rsid w:val="00752A20"/>
    <w:rsid w:val="00752C02"/>
    <w:rsid w:val="007530A4"/>
    <w:rsid w:val="0075315A"/>
    <w:rsid w:val="00753195"/>
    <w:rsid w:val="0075360D"/>
    <w:rsid w:val="0075361D"/>
    <w:rsid w:val="00753772"/>
    <w:rsid w:val="00753927"/>
    <w:rsid w:val="00753B2D"/>
    <w:rsid w:val="00753C4D"/>
    <w:rsid w:val="00753C6D"/>
    <w:rsid w:val="00753D39"/>
    <w:rsid w:val="00753D46"/>
    <w:rsid w:val="00753DBB"/>
    <w:rsid w:val="0075410C"/>
    <w:rsid w:val="007545ED"/>
    <w:rsid w:val="007548D4"/>
    <w:rsid w:val="00754A78"/>
    <w:rsid w:val="00754BCD"/>
    <w:rsid w:val="00754CCE"/>
    <w:rsid w:val="00754F94"/>
    <w:rsid w:val="007551CD"/>
    <w:rsid w:val="00755215"/>
    <w:rsid w:val="00755291"/>
    <w:rsid w:val="007557B6"/>
    <w:rsid w:val="00755AF9"/>
    <w:rsid w:val="00755D2C"/>
    <w:rsid w:val="00755D5E"/>
    <w:rsid w:val="00755DDA"/>
    <w:rsid w:val="00755E2E"/>
    <w:rsid w:val="00755E3A"/>
    <w:rsid w:val="007561F8"/>
    <w:rsid w:val="00756279"/>
    <w:rsid w:val="007563A7"/>
    <w:rsid w:val="007565EA"/>
    <w:rsid w:val="0075665A"/>
    <w:rsid w:val="0075665D"/>
    <w:rsid w:val="007566BE"/>
    <w:rsid w:val="0075673B"/>
    <w:rsid w:val="007567A8"/>
    <w:rsid w:val="00756857"/>
    <w:rsid w:val="00756A90"/>
    <w:rsid w:val="00756B2C"/>
    <w:rsid w:val="00756C07"/>
    <w:rsid w:val="00756DF7"/>
    <w:rsid w:val="00756E3B"/>
    <w:rsid w:val="00756F47"/>
    <w:rsid w:val="0075718F"/>
    <w:rsid w:val="0075736D"/>
    <w:rsid w:val="00757418"/>
    <w:rsid w:val="007574C2"/>
    <w:rsid w:val="007574CE"/>
    <w:rsid w:val="007575F9"/>
    <w:rsid w:val="00757ADE"/>
    <w:rsid w:val="00757D30"/>
    <w:rsid w:val="00757D4E"/>
    <w:rsid w:val="007603F3"/>
    <w:rsid w:val="00760A35"/>
    <w:rsid w:val="00760ADD"/>
    <w:rsid w:val="00760AFB"/>
    <w:rsid w:val="00761198"/>
    <w:rsid w:val="0076119D"/>
    <w:rsid w:val="0076137D"/>
    <w:rsid w:val="00761514"/>
    <w:rsid w:val="007615EA"/>
    <w:rsid w:val="007619EE"/>
    <w:rsid w:val="00761A27"/>
    <w:rsid w:val="00761B65"/>
    <w:rsid w:val="00761D6F"/>
    <w:rsid w:val="00761E23"/>
    <w:rsid w:val="00761F7F"/>
    <w:rsid w:val="0076202F"/>
    <w:rsid w:val="007621EC"/>
    <w:rsid w:val="0076243B"/>
    <w:rsid w:val="007625AA"/>
    <w:rsid w:val="00762662"/>
    <w:rsid w:val="0076281B"/>
    <w:rsid w:val="007629A7"/>
    <w:rsid w:val="00762B63"/>
    <w:rsid w:val="00762BA7"/>
    <w:rsid w:val="00762C7B"/>
    <w:rsid w:val="00762D60"/>
    <w:rsid w:val="00762E48"/>
    <w:rsid w:val="00762F11"/>
    <w:rsid w:val="00763002"/>
    <w:rsid w:val="0076340F"/>
    <w:rsid w:val="007634DA"/>
    <w:rsid w:val="007637A3"/>
    <w:rsid w:val="00763850"/>
    <w:rsid w:val="00763956"/>
    <w:rsid w:val="0076399F"/>
    <w:rsid w:val="007639AB"/>
    <w:rsid w:val="00763ABB"/>
    <w:rsid w:val="00763B11"/>
    <w:rsid w:val="00763BC0"/>
    <w:rsid w:val="00763CB0"/>
    <w:rsid w:val="00763E45"/>
    <w:rsid w:val="00764032"/>
    <w:rsid w:val="007640FA"/>
    <w:rsid w:val="00764220"/>
    <w:rsid w:val="00764B8F"/>
    <w:rsid w:val="00764DAB"/>
    <w:rsid w:val="00764EB9"/>
    <w:rsid w:val="0076505C"/>
    <w:rsid w:val="007653B0"/>
    <w:rsid w:val="007653EA"/>
    <w:rsid w:val="007654E3"/>
    <w:rsid w:val="0076566C"/>
    <w:rsid w:val="00765873"/>
    <w:rsid w:val="007659A1"/>
    <w:rsid w:val="00765C90"/>
    <w:rsid w:val="00765DD5"/>
    <w:rsid w:val="00765DF2"/>
    <w:rsid w:val="00765F6C"/>
    <w:rsid w:val="007660B0"/>
    <w:rsid w:val="007662AF"/>
    <w:rsid w:val="00766432"/>
    <w:rsid w:val="00766551"/>
    <w:rsid w:val="007665E2"/>
    <w:rsid w:val="00766727"/>
    <w:rsid w:val="00766847"/>
    <w:rsid w:val="00766A39"/>
    <w:rsid w:val="00766A5D"/>
    <w:rsid w:val="00766AA5"/>
    <w:rsid w:val="00766B94"/>
    <w:rsid w:val="00766C84"/>
    <w:rsid w:val="00766D12"/>
    <w:rsid w:val="00766D73"/>
    <w:rsid w:val="00766F80"/>
    <w:rsid w:val="00767172"/>
    <w:rsid w:val="00767196"/>
    <w:rsid w:val="00767A3A"/>
    <w:rsid w:val="00767A5A"/>
    <w:rsid w:val="00767B12"/>
    <w:rsid w:val="00767BC5"/>
    <w:rsid w:val="00767BEE"/>
    <w:rsid w:val="00767C92"/>
    <w:rsid w:val="0077006E"/>
    <w:rsid w:val="007704A0"/>
    <w:rsid w:val="007707FF"/>
    <w:rsid w:val="007708E7"/>
    <w:rsid w:val="0077094D"/>
    <w:rsid w:val="00770A62"/>
    <w:rsid w:val="00770A90"/>
    <w:rsid w:val="00770A9C"/>
    <w:rsid w:val="00770B89"/>
    <w:rsid w:val="00770CE0"/>
    <w:rsid w:val="0077111B"/>
    <w:rsid w:val="0077142B"/>
    <w:rsid w:val="00771466"/>
    <w:rsid w:val="0077157F"/>
    <w:rsid w:val="0077171B"/>
    <w:rsid w:val="007719F5"/>
    <w:rsid w:val="00771B23"/>
    <w:rsid w:val="0077201F"/>
    <w:rsid w:val="0077227D"/>
    <w:rsid w:val="007723DB"/>
    <w:rsid w:val="00772591"/>
    <w:rsid w:val="007726F6"/>
    <w:rsid w:val="007727B0"/>
    <w:rsid w:val="00772C31"/>
    <w:rsid w:val="00772CF7"/>
    <w:rsid w:val="00772E37"/>
    <w:rsid w:val="00772ED6"/>
    <w:rsid w:val="007730B8"/>
    <w:rsid w:val="007730CF"/>
    <w:rsid w:val="00773150"/>
    <w:rsid w:val="007731BB"/>
    <w:rsid w:val="007731D0"/>
    <w:rsid w:val="0077330B"/>
    <w:rsid w:val="007734AD"/>
    <w:rsid w:val="007734B0"/>
    <w:rsid w:val="00773676"/>
    <w:rsid w:val="007736E0"/>
    <w:rsid w:val="007738B1"/>
    <w:rsid w:val="00773AE5"/>
    <w:rsid w:val="00773C0F"/>
    <w:rsid w:val="00773D8A"/>
    <w:rsid w:val="00773F5B"/>
    <w:rsid w:val="00774178"/>
    <w:rsid w:val="0077426A"/>
    <w:rsid w:val="00774296"/>
    <w:rsid w:val="007743CD"/>
    <w:rsid w:val="007743EB"/>
    <w:rsid w:val="007744CF"/>
    <w:rsid w:val="0077476E"/>
    <w:rsid w:val="00774778"/>
    <w:rsid w:val="0077502D"/>
    <w:rsid w:val="007755C9"/>
    <w:rsid w:val="00775629"/>
    <w:rsid w:val="007756EA"/>
    <w:rsid w:val="0077577D"/>
    <w:rsid w:val="00775A31"/>
    <w:rsid w:val="00775B2A"/>
    <w:rsid w:val="00775C91"/>
    <w:rsid w:val="00775D2B"/>
    <w:rsid w:val="00775F2D"/>
    <w:rsid w:val="0077604E"/>
    <w:rsid w:val="007760C0"/>
    <w:rsid w:val="0077617B"/>
    <w:rsid w:val="00776295"/>
    <w:rsid w:val="0077678E"/>
    <w:rsid w:val="00776C26"/>
    <w:rsid w:val="00776CBF"/>
    <w:rsid w:val="0077718F"/>
    <w:rsid w:val="007771BE"/>
    <w:rsid w:val="007772DB"/>
    <w:rsid w:val="00777796"/>
    <w:rsid w:val="00777B8D"/>
    <w:rsid w:val="007800A0"/>
    <w:rsid w:val="007800FA"/>
    <w:rsid w:val="00780273"/>
    <w:rsid w:val="00780299"/>
    <w:rsid w:val="00780408"/>
    <w:rsid w:val="007805B1"/>
    <w:rsid w:val="00780734"/>
    <w:rsid w:val="00780758"/>
    <w:rsid w:val="00780783"/>
    <w:rsid w:val="00780786"/>
    <w:rsid w:val="007807B5"/>
    <w:rsid w:val="00780E1C"/>
    <w:rsid w:val="00780E27"/>
    <w:rsid w:val="00780E7E"/>
    <w:rsid w:val="00780F21"/>
    <w:rsid w:val="00781094"/>
    <w:rsid w:val="007813E3"/>
    <w:rsid w:val="00781752"/>
    <w:rsid w:val="0078180D"/>
    <w:rsid w:val="00781848"/>
    <w:rsid w:val="00781865"/>
    <w:rsid w:val="00781F47"/>
    <w:rsid w:val="00782013"/>
    <w:rsid w:val="007824C0"/>
    <w:rsid w:val="007826E3"/>
    <w:rsid w:val="007826FF"/>
    <w:rsid w:val="00782A0B"/>
    <w:rsid w:val="00782B14"/>
    <w:rsid w:val="00782C46"/>
    <w:rsid w:val="00782D19"/>
    <w:rsid w:val="00782DC6"/>
    <w:rsid w:val="00782DCA"/>
    <w:rsid w:val="007835FA"/>
    <w:rsid w:val="0078376B"/>
    <w:rsid w:val="007838FB"/>
    <w:rsid w:val="00783D15"/>
    <w:rsid w:val="00783ED8"/>
    <w:rsid w:val="00783F13"/>
    <w:rsid w:val="00784242"/>
    <w:rsid w:val="00784B01"/>
    <w:rsid w:val="00784D3E"/>
    <w:rsid w:val="00784FE7"/>
    <w:rsid w:val="007850A6"/>
    <w:rsid w:val="0078554F"/>
    <w:rsid w:val="0078592D"/>
    <w:rsid w:val="00785B2C"/>
    <w:rsid w:val="00785DB6"/>
    <w:rsid w:val="00785DFA"/>
    <w:rsid w:val="007860CC"/>
    <w:rsid w:val="00786336"/>
    <w:rsid w:val="00786337"/>
    <w:rsid w:val="00786341"/>
    <w:rsid w:val="007863D3"/>
    <w:rsid w:val="007865A6"/>
    <w:rsid w:val="00786729"/>
    <w:rsid w:val="00786839"/>
    <w:rsid w:val="007869A8"/>
    <w:rsid w:val="00786B27"/>
    <w:rsid w:val="00786B4C"/>
    <w:rsid w:val="00786C5F"/>
    <w:rsid w:val="00786D73"/>
    <w:rsid w:val="00786DAB"/>
    <w:rsid w:val="00786FF8"/>
    <w:rsid w:val="00787041"/>
    <w:rsid w:val="00787266"/>
    <w:rsid w:val="007873BB"/>
    <w:rsid w:val="007874B4"/>
    <w:rsid w:val="007875ED"/>
    <w:rsid w:val="0078763B"/>
    <w:rsid w:val="00787854"/>
    <w:rsid w:val="00787868"/>
    <w:rsid w:val="00787B31"/>
    <w:rsid w:val="00787E5D"/>
    <w:rsid w:val="00790088"/>
    <w:rsid w:val="00790184"/>
    <w:rsid w:val="00790331"/>
    <w:rsid w:val="0079064A"/>
    <w:rsid w:val="0079079F"/>
    <w:rsid w:val="00790974"/>
    <w:rsid w:val="00790EFE"/>
    <w:rsid w:val="00791417"/>
    <w:rsid w:val="007914E0"/>
    <w:rsid w:val="00791587"/>
    <w:rsid w:val="007916AC"/>
    <w:rsid w:val="00791820"/>
    <w:rsid w:val="00791C76"/>
    <w:rsid w:val="00791E02"/>
    <w:rsid w:val="00791E1C"/>
    <w:rsid w:val="00791E1F"/>
    <w:rsid w:val="0079214B"/>
    <w:rsid w:val="00792185"/>
    <w:rsid w:val="007924EC"/>
    <w:rsid w:val="00792899"/>
    <w:rsid w:val="007928AB"/>
    <w:rsid w:val="00792DD3"/>
    <w:rsid w:val="0079312D"/>
    <w:rsid w:val="00793163"/>
    <w:rsid w:val="007931BF"/>
    <w:rsid w:val="0079320D"/>
    <w:rsid w:val="00793558"/>
    <w:rsid w:val="007935FA"/>
    <w:rsid w:val="00793656"/>
    <w:rsid w:val="0079366C"/>
    <w:rsid w:val="007939AD"/>
    <w:rsid w:val="00793B59"/>
    <w:rsid w:val="00793D60"/>
    <w:rsid w:val="00793E7A"/>
    <w:rsid w:val="00793F21"/>
    <w:rsid w:val="00793F86"/>
    <w:rsid w:val="00793F92"/>
    <w:rsid w:val="007943F3"/>
    <w:rsid w:val="00794510"/>
    <w:rsid w:val="00794554"/>
    <w:rsid w:val="0079458A"/>
    <w:rsid w:val="00794683"/>
    <w:rsid w:val="00794A12"/>
    <w:rsid w:val="00794CB7"/>
    <w:rsid w:val="00795092"/>
    <w:rsid w:val="007954DE"/>
    <w:rsid w:val="0079554A"/>
    <w:rsid w:val="007957DD"/>
    <w:rsid w:val="00795970"/>
    <w:rsid w:val="00795A6A"/>
    <w:rsid w:val="00795FB8"/>
    <w:rsid w:val="0079621A"/>
    <w:rsid w:val="00796414"/>
    <w:rsid w:val="00796496"/>
    <w:rsid w:val="00796634"/>
    <w:rsid w:val="00796645"/>
    <w:rsid w:val="007966F3"/>
    <w:rsid w:val="0079676C"/>
    <w:rsid w:val="00796889"/>
    <w:rsid w:val="0079696A"/>
    <w:rsid w:val="00796CA0"/>
    <w:rsid w:val="00796E0D"/>
    <w:rsid w:val="00796F3A"/>
    <w:rsid w:val="00797044"/>
    <w:rsid w:val="00797652"/>
    <w:rsid w:val="007976B9"/>
    <w:rsid w:val="00797813"/>
    <w:rsid w:val="00797C42"/>
    <w:rsid w:val="00797D04"/>
    <w:rsid w:val="00797FB4"/>
    <w:rsid w:val="007A002E"/>
    <w:rsid w:val="007A02D2"/>
    <w:rsid w:val="007A048F"/>
    <w:rsid w:val="007A05CF"/>
    <w:rsid w:val="007A05F6"/>
    <w:rsid w:val="007A0956"/>
    <w:rsid w:val="007A0B71"/>
    <w:rsid w:val="007A0BE7"/>
    <w:rsid w:val="007A0E0D"/>
    <w:rsid w:val="007A0E55"/>
    <w:rsid w:val="007A0F8E"/>
    <w:rsid w:val="007A0FA0"/>
    <w:rsid w:val="007A101B"/>
    <w:rsid w:val="007A110E"/>
    <w:rsid w:val="007A11BD"/>
    <w:rsid w:val="007A1308"/>
    <w:rsid w:val="007A1385"/>
    <w:rsid w:val="007A1467"/>
    <w:rsid w:val="007A156D"/>
    <w:rsid w:val="007A2003"/>
    <w:rsid w:val="007A21D6"/>
    <w:rsid w:val="007A2443"/>
    <w:rsid w:val="007A27EC"/>
    <w:rsid w:val="007A282D"/>
    <w:rsid w:val="007A2A4F"/>
    <w:rsid w:val="007A2AC7"/>
    <w:rsid w:val="007A2AF9"/>
    <w:rsid w:val="007A2BC3"/>
    <w:rsid w:val="007A2C08"/>
    <w:rsid w:val="007A3023"/>
    <w:rsid w:val="007A303C"/>
    <w:rsid w:val="007A314B"/>
    <w:rsid w:val="007A3229"/>
    <w:rsid w:val="007A3278"/>
    <w:rsid w:val="007A3303"/>
    <w:rsid w:val="007A3473"/>
    <w:rsid w:val="007A3A31"/>
    <w:rsid w:val="007A3B13"/>
    <w:rsid w:val="007A3D2C"/>
    <w:rsid w:val="007A3D7D"/>
    <w:rsid w:val="007A44C8"/>
    <w:rsid w:val="007A4548"/>
    <w:rsid w:val="007A4655"/>
    <w:rsid w:val="007A4950"/>
    <w:rsid w:val="007A5045"/>
    <w:rsid w:val="007A5141"/>
    <w:rsid w:val="007A5244"/>
    <w:rsid w:val="007A52E2"/>
    <w:rsid w:val="007A53BB"/>
    <w:rsid w:val="007A5735"/>
    <w:rsid w:val="007A5A44"/>
    <w:rsid w:val="007A5ADC"/>
    <w:rsid w:val="007A5B2A"/>
    <w:rsid w:val="007A5B83"/>
    <w:rsid w:val="007A6399"/>
    <w:rsid w:val="007A63E9"/>
    <w:rsid w:val="007A66AC"/>
    <w:rsid w:val="007A6883"/>
    <w:rsid w:val="007A693D"/>
    <w:rsid w:val="007A6944"/>
    <w:rsid w:val="007A69A8"/>
    <w:rsid w:val="007A69B5"/>
    <w:rsid w:val="007A723B"/>
    <w:rsid w:val="007A7480"/>
    <w:rsid w:val="007A7493"/>
    <w:rsid w:val="007A7630"/>
    <w:rsid w:val="007A76DD"/>
    <w:rsid w:val="007A7708"/>
    <w:rsid w:val="007A772F"/>
    <w:rsid w:val="007A7B71"/>
    <w:rsid w:val="007A7CAE"/>
    <w:rsid w:val="007A7D0C"/>
    <w:rsid w:val="007A7EE4"/>
    <w:rsid w:val="007B00FE"/>
    <w:rsid w:val="007B01B5"/>
    <w:rsid w:val="007B0206"/>
    <w:rsid w:val="007B07DF"/>
    <w:rsid w:val="007B0AE6"/>
    <w:rsid w:val="007B0C34"/>
    <w:rsid w:val="007B0C99"/>
    <w:rsid w:val="007B0EB4"/>
    <w:rsid w:val="007B0EC3"/>
    <w:rsid w:val="007B0EE6"/>
    <w:rsid w:val="007B0F21"/>
    <w:rsid w:val="007B1134"/>
    <w:rsid w:val="007B12F0"/>
    <w:rsid w:val="007B137B"/>
    <w:rsid w:val="007B14DC"/>
    <w:rsid w:val="007B14EB"/>
    <w:rsid w:val="007B1A9C"/>
    <w:rsid w:val="007B1B1F"/>
    <w:rsid w:val="007B1D50"/>
    <w:rsid w:val="007B1D81"/>
    <w:rsid w:val="007B1FCA"/>
    <w:rsid w:val="007B2054"/>
    <w:rsid w:val="007B2C74"/>
    <w:rsid w:val="007B2D95"/>
    <w:rsid w:val="007B2EB0"/>
    <w:rsid w:val="007B3062"/>
    <w:rsid w:val="007B3063"/>
    <w:rsid w:val="007B3114"/>
    <w:rsid w:val="007B4165"/>
    <w:rsid w:val="007B43AD"/>
    <w:rsid w:val="007B43BC"/>
    <w:rsid w:val="007B43E3"/>
    <w:rsid w:val="007B461D"/>
    <w:rsid w:val="007B46DF"/>
    <w:rsid w:val="007B48AF"/>
    <w:rsid w:val="007B48ED"/>
    <w:rsid w:val="007B496F"/>
    <w:rsid w:val="007B4DBF"/>
    <w:rsid w:val="007B4E92"/>
    <w:rsid w:val="007B4F86"/>
    <w:rsid w:val="007B543F"/>
    <w:rsid w:val="007B546C"/>
    <w:rsid w:val="007B5510"/>
    <w:rsid w:val="007B5641"/>
    <w:rsid w:val="007B5ABE"/>
    <w:rsid w:val="007B5DB6"/>
    <w:rsid w:val="007B60DB"/>
    <w:rsid w:val="007B64ED"/>
    <w:rsid w:val="007B669F"/>
    <w:rsid w:val="007B683E"/>
    <w:rsid w:val="007B68CA"/>
    <w:rsid w:val="007B68DE"/>
    <w:rsid w:val="007B6B8C"/>
    <w:rsid w:val="007B6CED"/>
    <w:rsid w:val="007B6E0E"/>
    <w:rsid w:val="007B719E"/>
    <w:rsid w:val="007B7448"/>
    <w:rsid w:val="007B7733"/>
    <w:rsid w:val="007B794A"/>
    <w:rsid w:val="007B7A6A"/>
    <w:rsid w:val="007B7E4D"/>
    <w:rsid w:val="007B7E7E"/>
    <w:rsid w:val="007B7E9B"/>
    <w:rsid w:val="007C029D"/>
    <w:rsid w:val="007C02CB"/>
    <w:rsid w:val="007C0598"/>
    <w:rsid w:val="007C0829"/>
    <w:rsid w:val="007C08AA"/>
    <w:rsid w:val="007C099F"/>
    <w:rsid w:val="007C0AFA"/>
    <w:rsid w:val="007C0B7D"/>
    <w:rsid w:val="007C0B8E"/>
    <w:rsid w:val="007C0F74"/>
    <w:rsid w:val="007C0FB9"/>
    <w:rsid w:val="007C0FD9"/>
    <w:rsid w:val="007C1227"/>
    <w:rsid w:val="007C135D"/>
    <w:rsid w:val="007C148B"/>
    <w:rsid w:val="007C155E"/>
    <w:rsid w:val="007C186E"/>
    <w:rsid w:val="007C1AA9"/>
    <w:rsid w:val="007C1C47"/>
    <w:rsid w:val="007C1C66"/>
    <w:rsid w:val="007C1CD6"/>
    <w:rsid w:val="007C1D68"/>
    <w:rsid w:val="007C1F0A"/>
    <w:rsid w:val="007C20CA"/>
    <w:rsid w:val="007C23D2"/>
    <w:rsid w:val="007C2836"/>
    <w:rsid w:val="007C284C"/>
    <w:rsid w:val="007C2C70"/>
    <w:rsid w:val="007C2CF8"/>
    <w:rsid w:val="007C2EF6"/>
    <w:rsid w:val="007C322D"/>
    <w:rsid w:val="007C364F"/>
    <w:rsid w:val="007C3720"/>
    <w:rsid w:val="007C39B9"/>
    <w:rsid w:val="007C3A66"/>
    <w:rsid w:val="007C3C31"/>
    <w:rsid w:val="007C3CD4"/>
    <w:rsid w:val="007C3D85"/>
    <w:rsid w:val="007C3DBE"/>
    <w:rsid w:val="007C3E5B"/>
    <w:rsid w:val="007C3E63"/>
    <w:rsid w:val="007C4066"/>
    <w:rsid w:val="007C40BB"/>
    <w:rsid w:val="007C4228"/>
    <w:rsid w:val="007C441E"/>
    <w:rsid w:val="007C46AD"/>
    <w:rsid w:val="007C470A"/>
    <w:rsid w:val="007C4AF9"/>
    <w:rsid w:val="007C4F02"/>
    <w:rsid w:val="007C4F15"/>
    <w:rsid w:val="007C5080"/>
    <w:rsid w:val="007C51A4"/>
    <w:rsid w:val="007C5207"/>
    <w:rsid w:val="007C5292"/>
    <w:rsid w:val="007C54E3"/>
    <w:rsid w:val="007C54E4"/>
    <w:rsid w:val="007C5A6B"/>
    <w:rsid w:val="007C5C0C"/>
    <w:rsid w:val="007C5D33"/>
    <w:rsid w:val="007C5E9F"/>
    <w:rsid w:val="007C6404"/>
    <w:rsid w:val="007C6493"/>
    <w:rsid w:val="007C66B0"/>
    <w:rsid w:val="007C6856"/>
    <w:rsid w:val="007C68D2"/>
    <w:rsid w:val="007C6BFA"/>
    <w:rsid w:val="007C6D24"/>
    <w:rsid w:val="007C71EF"/>
    <w:rsid w:val="007C7466"/>
    <w:rsid w:val="007C762F"/>
    <w:rsid w:val="007C786B"/>
    <w:rsid w:val="007C78D8"/>
    <w:rsid w:val="007C797A"/>
    <w:rsid w:val="007C7A9E"/>
    <w:rsid w:val="007C7B5E"/>
    <w:rsid w:val="007C7EFF"/>
    <w:rsid w:val="007C7F6A"/>
    <w:rsid w:val="007D0006"/>
    <w:rsid w:val="007D0047"/>
    <w:rsid w:val="007D0131"/>
    <w:rsid w:val="007D0211"/>
    <w:rsid w:val="007D057D"/>
    <w:rsid w:val="007D0778"/>
    <w:rsid w:val="007D0C86"/>
    <w:rsid w:val="007D0F04"/>
    <w:rsid w:val="007D104D"/>
    <w:rsid w:val="007D1570"/>
    <w:rsid w:val="007D1701"/>
    <w:rsid w:val="007D1BA7"/>
    <w:rsid w:val="007D1C04"/>
    <w:rsid w:val="007D1C2A"/>
    <w:rsid w:val="007D1C47"/>
    <w:rsid w:val="007D1DE2"/>
    <w:rsid w:val="007D1EAA"/>
    <w:rsid w:val="007D2030"/>
    <w:rsid w:val="007D24B2"/>
    <w:rsid w:val="007D24F1"/>
    <w:rsid w:val="007D29AC"/>
    <w:rsid w:val="007D2A1C"/>
    <w:rsid w:val="007D2BE7"/>
    <w:rsid w:val="007D2D2E"/>
    <w:rsid w:val="007D2EFB"/>
    <w:rsid w:val="007D2FAE"/>
    <w:rsid w:val="007D2FD5"/>
    <w:rsid w:val="007D30A4"/>
    <w:rsid w:val="007D32DC"/>
    <w:rsid w:val="007D3354"/>
    <w:rsid w:val="007D3385"/>
    <w:rsid w:val="007D3595"/>
    <w:rsid w:val="007D369F"/>
    <w:rsid w:val="007D3743"/>
    <w:rsid w:val="007D389C"/>
    <w:rsid w:val="007D39B8"/>
    <w:rsid w:val="007D3C82"/>
    <w:rsid w:val="007D3D7D"/>
    <w:rsid w:val="007D3DB3"/>
    <w:rsid w:val="007D3DBB"/>
    <w:rsid w:val="007D3E45"/>
    <w:rsid w:val="007D4301"/>
    <w:rsid w:val="007D4358"/>
    <w:rsid w:val="007D43D5"/>
    <w:rsid w:val="007D457D"/>
    <w:rsid w:val="007D49E0"/>
    <w:rsid w:val="007D4B15"/>
    <w:rsid w:val="007D4C12"/>
    <w:rsid w:val="007D4EEA"/>
    <w:rsid w:val="007D4F75"/>
    <w:rsid w:val="007D5130"/>
    <w:rsid w:val="007D5209"/>
    <w:rsid w:val="007D52D8"/>
    <w:rsid w:val="007D548C"/>
    <w:rsid w:val="007D5518"/>
    <w:rsid w:val="007D5568"/>
    <w:rsid w:val="007D5865"/>
    <w:rsid w:val="007D58C6"/>
    <w:rsid w:val="007D5EBC"/>
    <w:rsid w:val="007D663A"/>
    <w:rsid w:val="007D6675"/>
    <w:rsid w:val="007D66C1"/>
    <w:rsid w:val="007D6D9C"/>
    <w:rsid w:val="007D6DBF"/>
    <w:rsid w:val="007D6EF8"/>
    <w:rsid w:val="007D7134"/>
    <w:rsid w:val="007D7B7B"/>
    <w:rsid w:val="007D7EC6"/>
    <w:rsid w:val="007E01DD"/>
    <w:rsid w:val="007E0289"/>
    <w:rsid w:val="007E04A2"/>
    <w:rsid w:val="007E05F9"/>
    <w:rsid w:val="007E0773"/>
    <w:rsid w:val="007E0991"/>
    <w:rsid w:val="007E09B1"/>
    <w:rsid w:val="007E09D2"/>
    <w:rsid w:val="007E1073"/>
    <w:rsid w:val="007E1163"/>
    <w:rsid w:val="007E1214"/>
    <w:rsid w:val="007E12D9"/>
    <w:rsid w:val="007E1481"/>
    <w:rsid w:val="007E16F4"/>
    <w:rsid w:val="007E1BDB"/>
    <w:rsid w:val="007E1C69"/>
    <w:rsid w:val="007E1D1C"/>
    <w:rsid w:val="007E1D38"/>
    <w:rsid w:val="007E1E68"/>
    <w:rsid w:val="007E1FE7"/>
    <w:rsid w:val="007E2160"/>
    <w:rsid w:val="007E21C7"/>
    <w:rsid w:val="007E2236"/>
    <w:rsid w:val="007E22F4"/>
    <w:rsid w:val="007E25CF"/>
    <w:rsid w:val="007E27BA"/>
    <w:rsid w:val="007E2917"/>
    <w:rsid w:val="007E2947"/>
    <w:rsid w:val="007E2A46"/>
    <w:rsid w:val="007E2B3B"/>
    <w:rsid w:val="007E2BE4"/>
    <w:rsid w:val="007E2BF9"/>
    <w:rsid w:val="007E2D97"/>
    <w:rsid w:val="007E305F"/>
    <w:rsid w:val="007E31DD"/>
    <w:rsid w:val="007E31E4"/>
    <w:rsid w:val="007E3492"/>
    <w:rsid w:val="007E36D2"/>
    <w:rsid w:val="007E38E2"/>
    <w:rsid w:val="007E431A"/>
    <w:rsid w:val="007E43B8"/>
    <w:rsid w:val="007E453D"/>
    <w:rsid w:val="007E4750"/>
    <w:rsid w:val="007E49B0"/>
    <w:rsid w:val="007E4A5E"/>
    <w:rsid w:val="007E4A6A"/>
    <w:rsid w:val="007E4BEE"/>
    <w:rsid w:val="007E4EA2"/>
    <w:rsid w:val="007E4EF2"/>
    <w:rsid w:val="007E508A"/>
    <w:rsid w:val="007E510B"/>
    <w:rsid w:val="007E521E"/>
    <w:rsid w:val="007E52CE"/>
    <w:rsid w:val="007E530E"/>
    <w:rsid w:val="007E55B2"/>
    <w:rsid w:val="007E5684"/>
    <w:rsid w:val="007E5923"/>
    <w:rsid w:val="007E59D4"/>
    <w:rsid w:val="007E5BDD"/>
    <w:rsid w:val="007E5FFC"/>
    <w:rsid w:val="007E6024"/>
    <w:rsid w:val="007E65A1"/>
    <w:rsid w:val="007E6B6D"/>
    <w:rsid w:val="007E6C64"/>
    <w:rsid w:val="007E6C80"/>
    <w:rsid w:val="007E6CD9"/>
    <w:rsid w:val="007E6D87"/>
    <w:rsid w:val="007E6E5D"/>
    <w:rsid w:val="007E6EC6"/>
    <w:rsid w:val="007E6EF5"/>
    <w:rsid w:val="007E6EFD"/>
    <w:rsid w:val="007E6FD9"/>
    <w:rsid w:val="007E73AD"/>
    <w:rsid w:val="007E745A"/>
    <w:rsid w:val="007E7835"/>
    <w:rsid w:val="007E794B"/>
    <w:rsid w:val="007E79F3"/>
    <w:rsid w:val="007E7D9D"/>
    <w:rsid w:val="007E7F5D"/>
    <w:rsid w:val="007F0100"/>
    <w:rsid w:val="007F0569"/>
    <w:rsid w:val="007F05CF"/>
    <w:rsid w:val="007F068B"/>
    <w:rsid w:val="007F089C"/>
    <w:rsid w:val="007F0C96"/>
    <w:rsid w:val="007F10BB"/>
    <w:rsid w:val="007F13E9"/>
    <w:rsid w:val="007F1610"/>
    <w:rsid w:val="007F1719"/>
    <w:rsid w:val="007F1A08"/>
    <w:rsid w:val="007F1C9F"/>
    <w:rsid w:val="007F1D05"/>
    <w:rsid w:val="007F1D98"/>
    <w:rsid w:val="007F1EA2"/>
    <w:rsid w:val="007F218E"/>
    <w:rsid w:val="007F243E"/>
    <w:rsid w:val="007F274D"/>
    <w:rsid w:val="007F2A94"/>
    <w:rsid w:val="007F2C2C"/>
    <w:rsid w:val="007F2C46"/>
    <w:rsid w:val="007F33D5"/>
    <w:rsid w:val="007F36BF"/>
    <w:rsid w:val="007F3714"/>
    <w:rsid w:val="007F3CE8"/>
    <w:rsid w:val="007F3E55"/>
    <w:rsid w:val="007F3EED"/>
    <w:rsid w:val="007F470C"/>
    <w:rsid w:val="007F476D"/>
    <w:rsid w:val="007F498C"/>
    <w:rsid w:val="007F49F6"/>
    <w:rsid w:val="007F4B96"/>
    <w:rsid w:val="007F4C6B"/>
    <w:rsid w:val="007F4CED"/>
    <w:rsid w:val="007F4D37"/>
    <w:rsid w:val="007F4F9B"/>
    <w:rsid w:val="007F51C9"/>
    <w:rsid w:val="007F5601"/>
    <w:rsid w:val="007F56D9"/>
    <w:rsid w:val="007F56DA"/>
    <w:rsid w:val="007F5910"/>
    <w:rsid w:val="007F59ED"/>
    <w:rsid w:val="007F5E61"/>
    <w:rsid w:val="007F5EF0"/>
    <w:rsid w:val="007F60C9"/>
    <w:rsid w:val="007F61CE"/>
    <w:rsid w:val="007F62CE"/>
    <w:rsid w:val="007F649E"/>
    <w:rsid w:val="007F6947"/>
    <w:rsid w:val="007F6A6C"/>
    <w:rsid w:val="007F6ACC"/>
    <w:rsid w:val="007F6C91"/>
    <w:rsid w:val="007F6D11"/>
    <w:rsid w:val="007F6DD5"/>
    <w:rsid w:val="007F6E02"/>
    <w:rsid w:val="007F7087"/>
    <w:rsid w:val="007F7212"/>
    <w:rsid w:val="007F7397"/>
    <w:rsid w:val="007F74BA"/>
    <w:rsid w:val="007F77D1"/>
    <w:rsid w:val="007F7865"/>
    <w:rsid w:val="007F7AD6"/>
    <w:rsid w:val="007F7FD6"/>
    <w:rsid w:val="00800175"/>
    <w:rsid w:val="008004FC"/>
    <w:rsid w:val="0080056F"/>
    <w:rsid w:val="008005BC"/>
    <w:rsid w:val="008007AA"/>
    <w:rsid w:val="008007DF"/>
    <w:rsid w:val="00800AD4"/>
    <w:rsid w:val="00800C2A"/>
    <w:rsid w:val="00800D98"/>
    <w:rsid w:val="00800F5C"/>
    <w:rsid w:val="008011F0"/>
    <w:rsid w:val="00801300"/>
    <w:rsid w:val="0080161F"/>
    <w:rsid w:val="0080164F"/>
    <w:rsid w:val="008016D1"/>
    <w:rsid w:val="008018EC"/>
    <w:rsid w:val="00801D83"/>
    <w:rsid w:val="00801E6B"/>
    <w:rsid w:val="0080234F"/>
    <w:rsid w:val="00802C77"/>
    <w:rsid w:val="00802CCF"/>
    <w:rsid w:val="00802F7D"/>
    <w:rsid w:val="008030D0"/>
    <w:rsid w:val="0080313B"/>
    <w:rsid w:val="00803510"/>
    <w:rsid w:val="00803641"/>
    <w:rsid w:val="008037B3"/>
    <w:rsid w:val="00803A91"/>
    <w:rsid w:val="00803D9D"/>
    <w:rsid w:val="00803DF8"/>
    <w:rsid w:val="00803F63"/>
    <w:rsid w:val="00803F76"/>
    <w:rsid w:val="00803FB7"/>
    <w:rsid w:val="00804261"/>
    <w:rsid w:val="008046CF"/>
    <w:rsid w:val="008047F8"/>
    <w:rsid w:val="00804910"/>
    <w:rsid w:val="0080496A"/>
    <w:rsid w:val="008049CD"/>
    <w:rsid w:val="008049DA"/>
    <w:rsid w:val="00804B2D"/>
    <w:rsid w:val="00804D25"/>
    <w:rsid w:val="00804FCD"/>
    <w:rsid w:val="00805006"/>
    <w:rsid w:val="008051EA"/>
    <w:rsid w:val="008057AD"/>
    <w:rsid w:val="00805988"/>
    <w:rsid w:val="00805A43"/>
    <w:rsid w:val="00805AE5"/>
    <w:rsid w:val="00805B0F"/>
    <w:rsid w:val="00805FD7"/>
    <w:rsid w:val="00805FF3"/>
    <w:rsid w:val="00806168"/>
    <w:rsid w:val="00806320"/>
    <w:rsid w:val="008066C8"/>
    <w:rsid w:val="00806FF5"/>
    <w:rsid w:val="008071D5"/>
    <w:rsid w:val="0080724D"/>
    <w:rsid w:val="008074D5"/>
    <w:rsid w:val="008074F3"/>
    <w:rsid w:val="0080750D"/>
    <w:rsid w:val="00807719"/>
    <w:rsid w:val="008077E1"/>
    <w:rsid w:val="00807854"/>
    <w:rsid w:val="008078F6"/>
    <w:rsid w:val="0080795F"/>
    <w:rsid w:val="00807AEA"/>
    <w:rsid w:val="00807B13"/>
    <w:rsid w:val="00807BE5"/>
    <w:rsid w:val="00807E1E"/>
    <w:rsid w:val="00807EA6"/>
    <w:rsid w:val="00810140"/>
    <w:rsid w:val="00810171"/>
    <w:rsid w:val="0081017C"/>
    <w:rsid w:val="008101BD"/>
    <w:rsid w:val="008101CF"/>
    <w:rsid w:val="0081027A"/>
    <w:rsid w:val="008102B4"/>
    <w:rsid w:val="0081038C"/>
    <w:rsid w:val="00810542"/>
    <w:rsid w:val="008105B3"/>
    <w:rsid w:val="0081066A"/>
    <w:rsid w:val="0081082B"/>
    <w:rsid w:val="00810999"/>
    <w:rsid w:val="00810A9E"/>
    <w:rsid w:val="008110AA"/>
    <w:rsid w:val="00811361"/>
    <w:rsid w:val="00811685"/>
    <w:rsid w:val="00811736"/>
    <w:rsid w:val="008118A6"/>
    <w:rsid w:val="008118EA"/>
    <w:rsid w:val="00811B75"/>
    <w:rsid w:val="00811DB4"/>
    <w:rsid w:val="00811EE4"/>
    <w:rsid w:val="00811F64"/>
    <w:rsid w:val="0081230E"/>
    <w:rsid w:val="008126CC"/>
    <w:rsid w:val="00812ACC"/>
    <w:rsid w:val="00812BD6"/>
    <w:rsid w:val="00812DEE"/>
    <w:rsid w:val="00812EC9"/>
    <w:rsid w:val="0081321E"/>
    <w:rsid w:val="00813226"/>
    <w:rsid w:val="00813265"/>
    <w:rsid w:val="00813479"/>
    <w:rsid w:val="008136E8"/>
    <w:rsid w:val="008137BB"/>
    <w:rsid w:val="0081380D"/>
    <w:rsid w:val="0081387C"/>
    <w:rsid w:val="00813A26"/>
    <w:rsid w:val="00813D5C"/>
    <w:rsid w:val="00813DDD"/>
    <w:rsid w:val="00813F34"/>
    <w:rsid w:val="0081462B"/>
    <w:rsid w:val="008147CE"/>
    <w:rsid w:val="0081482A"/>
    <w:rsid w:val="008148B8"/>
    <w:rsid w:val="00814CB6"/>
    <w:rsid w:val="00814F8A"/>
    <w:rsid w:val="00815110"/>
    <w:rsid w:val="008151E5"/>
    <w:rsid w:val="00815312"/>
    <w:rsid w:val="008154BD"/>
    <w:rsid w:val="008154DF"/>
    <w:rsid w:val="00815558"/>
    <w:rsid w:val="008155B7"/>
    <w:rsid w:val="0081565E"/>
    <w:rsid w:val="008157F2"/>
    <w:rsid w:val="00815A10"/>
    <w:rsid w:val="00815BE6"/>
    <w:rsid w:val="00815CA5"/>
    <w:rsid w:val="00815CD9"/>
    <w:rsid w:val="00816185"/>
    <w:rsid w:val="008161D3"/>
    <w:rsid w:val="008162A3"/>
    <w:rsid w:val="008162BD"/>
    <w:rsid w:val="00816362"/>
    <w:rsid w:val="0081647B"/>
    <w:rsid w:val="00816609"/>
    <w:rsid w:val="00816654"/>
    <w:rsid w:val="00816D15"/>
    <w:rsid w:val="00816F5F"/>
    <w:rsid w:val="0081705C"/>
    <w:rsid w:val="008172B3"/>
    <w:rsid w:val="00817484"/>
    <w:rsid w:val="008177BD"/>
    <w:rsid w:val="008178C6"/>
    <w:rsid w:val="00817A97"/>
    <w:rsid w:val="00817CE3"/>
    <w:rsid w:val="00817E37"/>
    <w:rsid w:val="00817EAD"/>
    <w:rsid w:val="0082057F"/>
    <w:rsid w:val="008206D7"/>
    <w:rsid w:val="00820744"/>
    <w:rsid w:val="008208CE"/>
    <w:rsid w:val="0082098A"/>
    <w:rsid w:val="00820A67"/>
    <w:rsid w:val="00820ACB"/>
    <w:rsid w:val="00820B45"/>
    <w:rsid w:val="00820CBE"/>
    <w:rsid w:val="00820E1B"/>
    <w:rsid w:val="008210E9"/>
    <w:rsid w:val="00821391"/>
    <w:rsid w:val="008215BB"/>
    <w:rsid w:val="008216C9"/>
    <w:rsid w:val="008217E2"/>
    <w:rsid w:val="008217EB"/>
    <w:rsid w:val="00821A6D"/>
    <w:rsid w:val="00821C31"/>
    <w:rsid w:val="00821D70"/>
    <w:rsid w:val="00822181"/>
    <w:rsid w:val="00822191"/>
    <w:rsid w:val="00822361"/>
    <w:rsid w:val="0082240F"/>
    <w:rsid w:val="0082258F"/>
    <w:rsid w:val="0082263D"/>
    <w:rsid w:val="0082281B"/>
    <w:rsid w:val="008228E5"/>
    <w:rsid w:val="008228F4"/>
    <w:rsid w:val="00822B84"/>
    <w:rsid w:val="008232AD"/>
    <w:rsid w:val="008236E5"/>
    <w:rsid w:val="0082379E"/>
    <w:rsid w:val="008237BE"/>
    <w:rsid w:val="00823860"/>
    <w:rsid w:val="00823C83"/>
    <w:rsid w:val="00823CF0"/>
    <w:rsid w:val="00823E3B"/>
    <w:rsid w:val="00823F43"/>
    <w:rsid w:val="0082456E"/>
    <w:rsid w:val="008246F5"/>
    <w:rsid w:val="00824804"/>
    <w:rsid w:val="00824BB3"/>
    <w:rsid w:val="00824E21"/>
    <w:rsid w:val="00824FDA"/>
    <w:rsid w:val="0082528B"/>
    <w:rsid w:val="008252AC"/>
    <w:rsid w:val="0082541A"/>
    <w:rsid w:val="008254D8"/>
    <w:rsid w:val="00825696"/>
    <w:rsid w:val="0082580E"/>
    <w:rsid w:val="008258A4"/>
    <w:rsid w:val="00825C27"/>
    <w:rsid w:val="0082600C"/>
    <w:rsid w:val="0082619F"/>
    <w:rsid w:val="0082624E"/>
    <w:rsid w:val="008263B9"/>
    <w:rsid w:val="008266C0"/>
    <w:rsid w:val="008267E2"/>
    <w:rsid w:val="00826B4E"/>
    <w:rsid w:val="00826C09"/>
    <w:rsid w:val="00826EA5"/>
    <w:rsid w:val="00826F97"/>
    <w:rsid w:val="00827045"/>
    <w:rsid w:val="008270EA"/>
    <w:rsid w:val="008274B3"/>
    <w:rsid w:val="00827754"/>
    <w:rsid w:val="0082775B"/>
    <w:rsid w:val="0082792A"/>
    <w:rsid w:val="00827991"/>
    <w:rsid w:val="00827BE9"/>
    <w:rsid w:val="00827D86"/>
    <w:rsid w:val="00827E70"/>
    <w:rsid w:val="00830060"/>
    <w:rsid w:val="0083034D"/>
    <w:rsid w:val="0083040E"/>
    <w:rsid w:val="0083051A"/>
    <w:rsid w:val="0083052C"/>
    <w:rsid w:val="0083055E"/>
    <w:rsid w:val="008305A6"/>
    <w:rsid w:val="00830A03"/>
    <w:rsid w:val="00830B89"/>
    <w:rsid w:val="00830BFC"/>
    <w:rsid w:val="00830D8C"/>
    <w:rsid w:val="00830DAD"/>
    <w:rsid w:val="00830E45"/>
    <w:rsid w:val="00830EAB"/>
    <w:rsid w:val="0083104E"/>
    <w:rsid w:val="008312C1"/>
    <w:rsid w:val="008318C0"/>
    <w:rsid w:val="00831975"/>
    <w:rsid w:val="0083198F"/>
    <w:rsid w:val="00831A99"/>
    <w:rsid w:val="00831C3D"/>
    <w:rsid w:val="00831E2B"/>
    <w:rsid w:val="008321B7"/>
    <w:rsid w:val="00832363"/>
    <w:rsid w:val="00832371"/>
    <w:rsid w:val="00832766"/>
    <w:rsid w:val="008329D7"/>
    <w:rsid w:val="00832E4D"/>
    <w:rsid w:val="00833107"/>
    <w:rsid w:val="00833245"/>
    <w:rsid w:val="00833289"/>
    <w:rsid w:val="0083338D"/>
    <w:rsid w:val="008333AB"/>
    <w:rsid w:val="008334D2"/>
    <w:rsid w:val="008335BC"/>
    <w:rsid w:val="00833A71"/>
    <w:rsid w:val="00833AB0"/>
    <w:rsid w:val="00833CB6"/>
    <w:rsid w:val="00833F10"/>
    <w:rsid w:val="0083410C"/>
    <w:rsid w:val="00834389"/>
    <w:rsid w:val="00834599"/>
    <w:rsid w:val="00834918"/>
    <w:rsid w:val="008349AD"/>
    <w:rsid w:val="00834A1A"/>
    <w:rsid w:val="00834BB1"/>
    <w:rsid w:val="00834ECE"/>
    <w:rsid w:val="00834F32"/>
    <w:rsid w:val="0083517D"/>
    <w:rsid w:val="008351AB"/>
    <w:rsid w:val="00835540"/>
    <w:rsid w:val="0083566C"/>
    <w:rsid w:val="0083594E"/>
    <w:rsid w:val="008359EC"/>
    <w:rsid w:val="00835B32"/>
    <w:rsid w:val="00835E76"/>
    <w:rsid w:val="00836175"/>
    <w:rsid w:val="008362AA"/>
    <w:rsid w:val="008363E4"/>
    <w:rsid w:val="008363E9"/>
    <w:rsid w:val="00836670"/>
    <w:rsid w:val="00836702"/>
    <w:rsid w:val="00836745"/>
    <w:rsid w:val="00836799"/>
    <w:rsid w:val="00836B08"/>
    <w:rsid w:val="00836C08"/>
    <w:rsid w:val="00836CBC"/>
    <w:rsid w:val="00836E28"/>
    <w:rsid w:val="008370C5"/>
    <w:rsid w:val="00837520"/>
    <w:rsid w:val="0083775C"/>
    <w:rsid w:val="0083781A"/>
    <w:rsid w:val="008378E3"/>
    <w:rsid w:val="008379CB"/>
    <w:rsid w:val="008379EC"/>
    <w:rsid w:val="00837C9F"/>
    <w:rsid w:val="00837D72"/>
    <w:rsid w:val="00840056"/>
    <w:rsid w:val="008401B0"/>
    <w:rsid w:val="008401DF"/>
    <w:rsid w:val="008401F5"/>
    <w:rsid w:val="00840382"/>
    <w:rsid w:val="0084040F"/>
    <w:rsid w:val="0084053B"/>
    <w:rsid w:val="0084061E"/>
    <w:rsid w:val="0084096F"/>
    <w:rsid w:val="00840A1A"/>
    <w:rsid w:val="00841117"/>
    <w:rsid w:val="008411DC"/>
    <w:rsid w:val="0084127F"/>
    <w:rsid w:val="008413A1"/>
    <w:rsid w:val="0084148C"/>
    <w:rsid w:val="008414EA"/>
    <w:rsid w:val="00841611"/>
    <w:rsid w:val="00841718"/>
    <w:rsid w:val="00841C56"/>
    <w:rsid w:val="00841D13"/>
    <w:rsid w:val="00841EA8"/>
    <w:rsid w:val="00841F8E"/>
    <w:rsid w:val="00841FCB"/>
    <w:rsid w:val="00842886"/>
    <w:rsid w:val="00842904"/>
    <w:rsid w:val="00842B0E"/>
    <w:rsid w:val="00842B37"/>
    <w:rsid w:val="00843007"/>
    <w:rsid w:val="008434AD"/>
    <w:rsid w:val="00843507"/>
    <w:rsid w:val="0084391A"/>
    <w:rsid w:val="00843BEF"/>
    <w:rsid w:val="00843E8C"/>
    <w:rsid w:val="0084402A"/>
    <w:rsid w:val="0084434D"/>
    <w:rsid w:val="008443C9"/>
    <w:rsid w:val="008443F5"/>
    <w:rsid w:val="0084450D"/>
    <w:rsid w:val="00844680"/>
    <w:rsid w:val="00844B22"/>
    <w:rsid w:val="00844CB7"/>
    <w:rsid w:val="00844CF9"/>
    <w:rsid w:val="00844E1A"/>
    <w:rsid w:val="008452E5"/>
    <w:rsid w:val="00845432"/>
    <w:rsid w:val="008455AD"/>
    <w:rsid w:val="008458E3"/>
    <w:rsid w:val="00845A1F"/>
    <w:rsid w:val="00845A33"/>
    <w:rsid w:val="00845ABE"/>
    <w:rsid w:val="00845CFE"/>
    <w:rsid w:val="00845E73"/>
    <w:rsid w:val="008463D7"/>
    <w:rsid w:val="00846485"/>
    <w:rsid w:val="008466E0"/>
    <w:rsid w:val="00846B15"/>
    <w:rsid w:val="00846B76"/>
    <w:rsid w:val="00846C07"/>
    <w:rsid w:val="00846C80"/>
    <w:rsid w:val="00847100"/>
    <w:rsid w:val="008474D7"/>
    <w:rsid w:val="00847503"/>
    <w:rsid w:val="0084755A"/>
    <w:rsid w:val="008476FF"/>
    <w:rsid w:val="00847716"/>
    <w:rsid w:val="00847739"/>
    <w:rsid w:val="008477D6"/>
    <w:rsid w:val="0084785F"/>
    <w:rsid w:val="00847C6E"/>
    <w:rsid w:val="00847CF9"/>
    <w:rsid w:val="00847E53"/>
    <w:rsid w:val="00847F86"/>
    <w:rsid w:val="00850051"/>
    <w:rsid w:val="00850230"/>
    <w:rsid w:val="00850881"/>
    <w:rsid w:val="00850FF3"/>
    <w:rsid w:val="008512B3"/>
    <w:rsid w:val="008514CA"/>
    <w:rsid w:val="00851842"/>
    <w:rsid w:val="0085191A"/>
    <w:rsid w:val="00851E77"/>
    <w:rsid w:val="0085204D"/>
    <w:rsid w:val="0085222F"/>
    <w:rsid w:val="00852381"/>
    <w:rsid w:val="008524B7"/>
    <w:rsid w:val="0085293B"/>
    <w:rsid w:val="0085299D"/>
    <w:rsid w:val="00852C02"/>
    <w:rsid w:val="00852DCE"/>
    <w:rsid w:val="00852F89"/>
    <w:rsid w:val="008531CB"/>
    <w:rsid w:val="008533EA"/>
    <w:rsid w:val="008535A1"/>
    <w:rsid w:val="00853C15"/>
    <w:rsid w:val="00853F84"/>
    <w:rsid w:val="00853FB6"/>
    <w:rsid w:val="00854206"/>
    <w:rsid w:val="00854217"/>
    <w:rsid w:val="00854371"/>
    <w:rsid w:val="00854390"/>
    <w:rsid w:val="008543FD"/>
    <w:rsid w:val="00854426"/>
    <w:rsid w:val="0085456B"/>
    <w:rsid w:val="00854572"/>
    <w:rsid w:val="008545CF"/>
    <w:rsid w:val="00854699"/>
    <w:rsid w:val="008547E1"/>
    <w:rsid w:val="0085484F"/>
    <w:rsid w:val="00854C36"/>
    <w:rsid w:val="00854C46"/>
    <w:rsid w:val="00854EAC"/>
    <w:rsid w:val="0085527F"/>
    <w:rsid w:val="008554AB"/>
    <w:rsid w:val="00855636"/>
    <w:rsid w:val="0085570C"/>
    <w:rsid w:val="00855767"/>
    <w:rsid w:val="00855B52"/>
    <w:rsid w:val="00855BA5"/>
    <w:rsid w:val="00855D85"/>
    <w:rsid w:val="008560C2"/>
    <w:rsid w:val="00856118"/>
    <w:rsid w:val="00856167"/>
    <w:rsid w:val="00856193"/>
    <w:rsid w:val="00856203"/>
    <w:rsid w:val="008562D5"/>
    <w:rsid w:val="00856374"/>
    <w:rsid w:val="00856433"/>
    <w:rsid w:val="0085655C"/>
    <w:rsid w:val="00856583"/>
    <w:rsid w:val="008567C6"/>
    <w:rsid w:val="00856886"/>
    <w:rsid w:val="00856A18"/>
    <w:rsid w:val="00856C85"/>
    <w:rsid w:val="00856E7E"/>
    <w:rsid w:val="008570C9"/>
    <w:rsid w:val="0085712A"/>
    <w:rsid w:val="00857272"/>
    <w:rsid w:val="008575CE"/>
    <w:rsid w:val="00857A15"/>
    <w:rsid w:val="00857B44"/>
    <w:rsid w:val="00860058"/>
    <w:rsid w:val="00860212"/>
    <w:rsid w:val="0086068C"/>
    <w:rsid w:val="008606B9"/>
    <w:rsid w:val="008606C7"/>
    <w:rsid w:val="00860B74"/>
    <w:rsid w:val="00860B8A"/>
    <w:rsid w:val="00860C13"/>
    <w:rsid w:val="00860C2E"/>
    <w:rsid w:val="00860DBE"/>
    <w:rsid w:val="00860EEE"/>
    <w:rsid w:val="0086100E"/>
    <w:rsid w:val="0086142E"/>
    <w:rsid w:val="008615D5"/>
    <w:rsid w:val="00861670"/>
    <w:rsid w:val="0086167A"/>
    <w:rsid w:val="00861860"/>
    <w:rsid w:val="008618E5"/>
    <w:rsid w:val="00861949"/>
    <w:rsid w:val="00861C1A"/>
    <w:rsid w:val="00862110"/>
    <w:rsid w:val="00862114"/>
    <w:rsid w:val="00862189"/>
    <w:rsid w:val="008622DD"/>
    <w:rsid w:val="0086276A"/>
    <w:rsid w:val="00862784"/>
    <w:rsid w:val="0086279E"/>
    <w:rsid w:val="00862B1D"/>
    <w:rsid w:val="00862B3C"/>
    <w:rsid w:val="00862C3D"/>
    <w:rsid w:val="00862C45"/>
    <w:rsid w:val="00862D7C"/>
    <w:rsid w:val="00862DD5"/>
    <w:rsid w:val="008630FC"/>
    <w:rsid w:val="00863764"/>
    <w:rsid w:val="008637CB"/>
    <w:rsid w:val="0086399C"/>
    <w:rsid w:val="00863B07"/>
    <w:rsid w:val="00863B98"/>
    <w:rsid w:val="00863CD8"/>
    <w:rsid w:val="0086400E"/>
    <w:rsid w:val="008640E5"/>
    <w:rsid w:val="008641A6"/>
    <w:rsid w:val="00864456"/>
    <w:rsid w:val="008646AD"/>
    <w:rsid w:val="008646C0"/>
    <w:rsid w:val="008646F5"/>
    <w:rsid w:val="00864874"/>
    <w:rsid w:val="00864A37"/>
    <w:rsid w:val="00864A50"/>
    <w:rsid w:val="00864B23"/>
    <w:rsid w:val="00864B8F"/>
    <w:rsid w:val="00864F35"/>
    <w:rsid w:val="0086505E"/>
    <w:rsid w:val="008650C9"/>
    <w:rsid w:val="00865140"/>
    <w:rsid w:val="00865345"/>
    <w:rsid w:val="008658F7"/>
    <w:rsid w:val="00865D70"/>
    <w:rsid w:val="008661B4"/>
    <w:rsid w:val="00866253"/>
    <w:rsid w:val="008663D3"/>
    <w:rsid w:val="008663FA"/>
    <w:rsid w:val="00866689"/>
    <w:rsid w:val="0086695D"/>
    <w:rsid w:val="00866AD6"/>
    <w:rsid w:val="00866BB3"/>
    <w:rsid w:val="00866CA0"/>
    <w:rsid w:val="00866CA4"/>
    <w:rsid w:val="00866D3A"/>
    <w:rsid w:val="00867141"/>
    <w:rsid w:val="00867702"/>
    <w:rsid w:val="008677EF"/>
    <w:rsid w:val="00867B5F"/>
    <w:rsid w:val="00867ED5"/>
    <w:rsid w:val="008700B9"/>
    <w:rsid w:val="00870247"/>
    <w:rsid w:val="008704A8"/>
    <w:rsid w:val="008704CC"/>
    <w:rsid w:val="008705A3"/>
    <w:rsid w:val="0087065A"/>
    <w:rsid w:val="00870834"/>
    <w:rsid w:val="008708AC"/>
    <w:rsid w:val="008708F3"/>
    <w:rsid w:val="0087099B"/>
    <w:rsid w:val="00870A0D"/>
    <w:rsid w:val="00870ADE"/>
    <w:rsid w:val="00870D2F"/>
    <w:rsid w:val="00871012"/>
    <w:rsid w:val="00871102"/>
    <w:rsid w:val="00871134"/>
    <w:rsid w:val="00871251"/>
    <w:rsid w:val="008716A4"/>
    <w:rsid w:val="00871712"/>
    <w:rsid w:val="00871E51"/>
    <w:rsid w:val="0087227A"/>
    <w:rsid w:val="00872402"/>
    <w:rsid w:val="00872926"/>
    <w:rsid w:val="008729B5"/>
    <w:rsid w:val="00872B23"/>
    <w:rsid w:val="00872CA3"/>
    <w:rsid w:val="00872CBA"/>
    <w:rsid w:val="00872D12"/>
    <w:rsid w:val="00872D69"/>
    <w:rsid w:val="00872DDC"/>
    <w:rsid w:val="00872FFE"/>
    <w:rsid w:val="00873258"/>
    <w:rsid w:val="008733A1"/>
    <w:rsid w:val="008734CE"/>
    <w:rsid w:val="0087357E"/>
    <w:rsid w:val="0087382A"/>
    <w:rsid w:val="00873841"/>
    <w:rsid w:val="008738E8"/>
    <w:rsid w:val="008739CB"/>
    <w:rsid w:val="00873F92"/>
    <w:rsid w:val="008740C8"/>
    <w:rsid w:val="008740C9"/>
    <w:rsid w:val="00874486"/>
    <w:rsid w:val="0087455E"/>
    <w:rsid w:val="008746E1"/>
    <w:rsid w:val="008748B8"/>
    <w:rsid w:val="00874AF3"/>
    <w:rsid w:val="00874CF8"/>
    <w:rsid w:val="0087508F"/>
    <w:rsid w:val="0087527C"/>
    <w:rsid w:val="00875369"/>
    <w:rsid w:val="008754B1"/>
    <w:rsid w:val="008756B0"/>
    <w:rsid w:val="008758D3"/>
    <w:rsid w:val="00875BF8"/>
    <w:rsid w:val="00875D96"/>
    <w:rsid w:val="00875DC8"/>
    <w:rsid w:val="00875ECC"/>
    <w:rsid w:val="0087636C"/>
    <w:rsid w:val="008763A7"/>
    <w:rsid w:val="00876507"/>
    <w:rsid w:val="00876713"/>
    <w:rsid w:val="00876941"/>
    <w:rsid w:val="00876A40"/>
    <w:rsid w:val="00876A45"/>
    <w:rsid w:val="00876C0B"/>
    <w:rsid w:val="00876C55"/>
    <w:rsid w:val="00876F67"/>
    <w:rsid w:val="00877132"/>
    <w:rsid w:val="008772BE"/>
    <w:rsid w:val="008772F1"/>
    <w:rsid w:val="00877337"/>
    <w:rsid w:val="00877443"/>
    <w:rsid w:val="00877569"/>
    <w:rsid w:val="008775B0"/>
    <w:rsid w:val="00877943"/>
    <w:rsid w:val="00877FA9"/>
    <w:rsid w:val="0088003B"/>
    <w:rsid w:val="00880053"/>
    <w:rsid w:val="0088024C"/>
    <w:rsid w:val="00880274"/>
    <w:rsid w:val="0088036B"/>
    <w:rsid w:val="00880392"/>
    <w:rsid w:val="008805E5"/>
    <w:rsid w:val="0088083D"/>
    <w:rsid w:val="0088092F"/>
    <w:rsid w:val="008809EE"/>
    <w:rsid w:val="008809F9"/>
    <w:rsid w:val="00880BEF"/>
    <w:rsid w:val="00880C81"/>
    <w:rsid w:val="00880CB0"/>
    <w:rsid w:val="00880DA9"/>
    <w:rsid w:val="0088102E"/>
    <w:rsid w:val="00881163"/>
    <w:rsid w:val="00881172"/>
    <w:rsid w:val="008811B9"/>
    <w:rsid w:val="008811DF"/>
    <w:rsid w:val="00881319"/>
    <w:rsid w:val="00881438"/>
    <w:rsid w:val="008819DE"/>
    <w:rsid w:val="00881EAF"/>
    <w:rsid w:val="00881EE6"/>
    <w:rsid w:val="00881F6A"/>
    <w:rsid w:val="00881F70"/>
    <w:rsid w:val="0088212E"/>
    <w:rsid w:val="00882184"/>
    <w:rsid w:val="0088222F"/>
    <w:rsid w:val="0088225F"/>
    <w:rsid w:val="008822EE"/>
    <w:rsid w:val="008829A6"/>
    <w:rsid w:val="00882AFD"/>
    <w:rsid w:val="00882D15"/>
    <w:rsid w:val="0088302A"/>
    <w:rsid w:val="00883091"/>
    <w:rsid w:val="00883217"/>
    <w:rsid w:val="00883318"/>
    <w:rsid w:val="00883544"/>
    <w:rsid w:val="008839B5"/>
    <w:rsid w:val="00883FAA"/>
    <w:rsid w:val="008840E6"/>
    <w:rsid w:val="00884993"/>
    <w:rsid w:val="00884B44"/>
    <w:rsid w:val="00884D79"/>
    <w:rsid w:val="00884FF5"/>
    <w:rsid w:val="0088501B"/>
    <w:rsid w:val="0088503D"/>
    <w:rsid w:val="008850A1"/>
    <w:rsid w:val="0088517D"/>
    <w:rsid w:val="008851C6"/>
    <w:rsid w:val="00885552"/>
    <w:rsid w:val="008855B3"/>
    <w:rsid w:val="008857B3"/>
    <w:rsid w:val="008858B5"/>
    <w:rsid w:val="00885A1F"/>
    <w:rsid w:val="00885E43"/>
    <w:rsid w:val="00885E7C"/>
    <w:rsid w:val="00885F6C"/>
    <w:rsid w:val="0088626E"/>
    <w:rsid w:val="00886393"/>
    <w:rsid w:val="008867D4"/>
    <w:rsid w:val="008869EF"/>
    <w:rsid w:val="00886B07"/>
    <w:rsid w:val="00886DF0"/>
    <w:rsid w:val="0088722E"/>
    <w:rsid w:val="008872A6"/>
    <w:rsid w:val="0088757B"/>
    <w:rsid w:val="008875CF"/>
    <w:rsid w:val="0088764A"/>
    <w:rsid w:val="00887858"/>
    <w:rsid w:val="00887872"/>
    <w:rsid w:val="00887A51"/>
    <w:rsid w:val="00887C99"/>
    <w:rsid w:val="00887CB3"/>
    <w:rsid w:val="00887E97"/>
    <w:rsid w:val="00887ED8"/>
    <w:rsid w:val="00887F92"/>
    <w:rsid w:val="008908A8"/>
    <w:rsid w:val="00890AC9"/>
    <w:rsid w:val="008910FE"/>
    <w:rsid w:val="008912FB"/>
    <w:rsid w:val="0089132B"/>
    <w:rsid w:val="008913DA"/>
    <w:rsid w:val="00891427"/>
    <w:rsid w:val="008916EA"/>
    <w:rsid w:val="00891C61"/>
    <w:rsid w:val="00891EF3"/>
    <w:rsid w:val="00892045"/>
    <w:rsid w:val="008921CB"/>
    <w:rsid w:val="00892335"/>
    <w:rsid w:val="0089237D"/>
    <w:rsid w:val="00892615"/>
    <w:rsid w:val="00892661"/>
    <w:rsid w:val="00892707"/>
    <w:rsid w:val="0089276E"/>
    <w:rsid w:val="0089285B"/>
    <w:rsid w:val="0089292F"/>
    <w:rsid w:val="00892E01"/>
    <w:rsid w:val="00892E94"/>
    <w:rsid w:val="00893429"/>
    <w:rsid w:val="00893741"/>
    <w:rsid w:val="00893835"/>
    <w:rsid w:val="00893A07"/>
    <w:rsid w:val="00893AD3"/>
    <w:rsid w:val="00894546"/>
    <w:rsid w:val="008946F5"/>
    <w:rsid w:val="00894887"/>
    <w:rsid w:val="00894A58"/>
    <w:rsid w:val="00894E13"/>
    <w:rsid w:val="0089510F"/>
    <w:rsid w:val="0089528A"/>
    <w:rsid w:val="008952EA"/>
    <w:rsid w:val="00895897"/>
    <w:rsid w:val="008959B9"/>
    <w:rsid w:val="00895C20"/>
    <w:rsid w:val="00895F50"/>
    <w:rsid w:val="00896113"/>
    <w:rsid w:val="0089623B"/>
    <w:rsid w:val="00896254"/>
    <w:rsid w:val="008963DB"/>
    <w:rsid w:val="0089654A"/>
    <w:rsid w:val="00896978"/>
    <w:rsid w:val="00896C67"/>
    <w:rsid w:val="00896DA1"/>
    <w:rsid w:val="00897094"/>
    <w:rsid w:val="00897108"/>
    <w:rsid w:val="008971A8"/>
    <w:rsid w:val="0089722C"/>
    <w:rsid w:val="008972FF"/>
    <w:rsid w:val="008974FA"/>
    <w:rsid w:val="00897556"/>
    <w:rsid w:val="0089793E"/>
    <w:rsid w:val="008979DE"/>
    <w:rsid w:val="00897A73"/>
    <w:rsid w:val="00897AA1"/>
    <w:rsid w:val="00897C45"/>
    <w:rsid w:val="00897CB1"/>
    <w:rsid w:val="00897CCF"/>
    <w:rsid w:val="00897CFE"/>
    <w:rsid w:val="008A00B0"/>
    <w:rsid w:val="008A0411"/>
    <w:rsid w:val="008A0473"/>
    <w:rsid w:val="008A0509"/>
    <w:rsid w:val="008A086D"/>
    <w:rsid w:val="008A0E69"/>
    <w:rsid w:val="008A100A"/>
    <w:rsid w:val="008A132A"/>
    <w:rsid w:val="008A1917"/>
    <w:rsid w:val="008A1944"/>
    <w:rsid w:val="008A1D22"/>
    <w:rsid w:val="008A1E1F"/>
    <w:rsid w:val="008A1EAA"/>
    <w:rsid w:val="008A20E3"/>
    <w:rsid w:val="008A21AC"/>
    <w:rsid w:val="008A2601"/>
    <w:rsid w:val="008A28FE"/>
    <w:rsid w:val="008A2A5B"/>
    <w:rsid w:val="008A2CC4"/>
    <w:rsid w:val="008A2D16"/>
    <w:rsid w:val="008A2DA6"/>
    <w:rsid w:val="008A2F8B"/>
    <w:rsid w:val="008A30F4"/>
    <w:rsid w:val="008A3669"/>
    <w:rsid w:val="008A3FF0"/>
    <w:rsid w:val="008A4167"/>
    <w:rsid w:val="008A4187"/>
    <w:rsid w:val="008A41C1"/>
    <w:rsid w:val="008A4257"/>
    <w:rsid w:val="008A44F6"/>
    <w:rsid w:val="008A4517"/>
    <w:rsid w:val="008A4A31"/>
    <w:rsid w:val="008A4CAE"/>
    <w:rsid w:val="008A4D77"/>
    <w:rsid w:val="008A4F3A"/>
    <w:rsid w:val="008A530A"/>
    <w:rsid w:val="008A53C1"/>
    <w:rsid w:val="008A548C"/>
    <w:rsid w:val="008A54E5"/>
    <w:rsid w:val="008A552D"/>
    <w:rsid w:val="008A58ED"/>
    <w:rsid w:val="008A58F7"/>
    <w:rsid w:val="008A5968"/>
    <w:rsid w:val="008A59A5"/>
    <w:rsid w:val="008A5A06"/>
    <w:rsid w:val="008A5B0B"/>
    <w:rsid w:val="008A5D2A"/>
    <w:rsid w:val="008A5FB0"/>
    <w:rsid w:val="008A6096"/>
    <w:rsid w:val="008A60E9"/>
    <w:rsid w:val="008A6215"/>
    <w:rsid w:val="008A6235"/>
    <w:rsid w:val="008A6410"/>
    <w:rsid w:val="008A653A"/>
    <w:rsid w:val="008A654B"/>
    <w:rsid w:val="008A6598"/>
    <w:rsid w:val="008A668F"/>
    <w:rsid w:val="008A66CA"/>
    <w:rsid w:val="008A675A"/>
    <w:rsid w:val="008A6C5B"/>
    <w:rsid w:val="008A6CC9"/>
    <w:rsid w:val="008A6E94"/>
    <w:rsid w:val="008A6EE9"/>
    <w:rsid w:val="008A7078"/>
    <w:rsid w:val="008A713B"/>
    <w:rsid w:val="008A713D"/>
    <w:rsid w:val="008A7449"/>
    <w:rsid w:val="008A766A"/>
    <w:rsid w:val="008A7723"/>
    <w:rsid w:val="008A7986"/>
    <w:rsid w:val="008A7B44"/>
    <w:rsid w:val="008A7D97"/>
    <w:rsid w:val="008B06C0"/>
    <w:rsid w:val="008B0787"/>
    <w:rsid w:val="008B0844"/>
    <w:rsid w:val="008B089E"/>
    <w:rsid w:val="008B08C3"/>
    <w:rsid w:val="008B0A03"/>
    <w:rsid w:val="008B0CC4"/>
    <w:rsid w:val="008B0CC8"/>
    <w:rsid w:val="008B0D38"/>
    <w:rsid w:val="008B0E1C"/>
    <w:rsid w:val="008B0EA5"/>
    <w:rsid w:val="008B1030"/>
    <w:rsid w:val="008B136E"/>
    <w:rsid w:val="008B15DA"/>
    <w:rsid w:val="008B1690"/>
    <w:rsid w:val="008B19D7"/>
    <w:rsid w:val="008B1A0E"/>
    <w:rsid w:val="008B1A89"/>
    <w:rsid w:val="008B1DDA"/>
    <w:rsid w:val="008B2107"/>
    <w:rsid w:val="008B2131"/>
    <w:rsid w:val="008B21D7"/>
    <w:rsid w:val="008B248A"/>
    <w:rsid w:val="008B2767"/>
    <w:rsid w:val="008B2798"/>
    <w:rsid w:val="008B2A93"/>
    <w:rsid w:val="008B2B5A"/>
    <w:rsid w:val="008B2BA7"/>
    <w:rsid w:val="008B2D79"/>
    <w:rsid w:val="008B2E39"/>
    <w:rsid w:val="008B2FDD"/>
    <w:rsid w:val="008B310A"/>
    <w:rsid w:val="008B31B9"/>
    <w:rsid w:val="008B31D9"/>
    <w:rsid w:val="008B3475"/>
    <w:rsid w:val="008B354B"/>
    <w:rsid w:val="008B35A5"/>
    <w:rsid w:val="008B35DB"/>
    <w:rsid w:val="008B3ABB"/>
    <w:rsid w:val="008B3B51"/>
    <w:rsid w:val="008B3BB4"/>
    <w:rsid w:val="008B3DBF"/>
    <w:rsid w:val="008B413A"/>
    <w:rsid w:val="008B4144"/>
    <w:rsid w:val="008B4229"/>
    <w:rsid w:val="008B42E5"/>
    <w:rsid w:val="008B450F"/>
    <w:rsid w:val="008B4687"/>
    <w:rsid w:val="008B47D8"/>
    <w:rsid w:val="008B4871"/>
    <w:rsid w:val="008B48D6"/>
    <w:rsid w:val="008B49E9"/>
    <w:rsid w:val="008B49F5"/>
    <w:rsid w:val="008B4B30"/>
    <w:rsid w:val="008B5005"/>
    <w:rsid w:val="008B538F"/>
    <w:rsid w:val="008B5766"/>
    <w:rsid w:val="008B57A1"/>
    <w:rsid w:val="008B57C1"/>
    <w:rsid w:val="008B59A4"/>
    <w:rsid w:val="008B59B3"/>
    <w:rsid w:val="008B5A57"/>
    <w:rsid w:val="008B5B90"/>
    <w:rsid w:val="008B6092"/>
    <w:rsid w:val="008B618B"/>
    <w:rsid w:val="008B61B3"/>
    <w:rsid w:val="008B641E"/>
    <w:rsid w:val="008B657C"/>
    <w:rsid w:val="008B65DB"/>
    <w:rsid w:val="008B67DE"/>
    <w:rsid w:val="008B6EF0"/>
    <w:rsid w:val="008B6F2C"/>
    <w:rsid w:val="008B6F6C"/>
    <w:rsid w:val="008B70B1"/>
    <w:rsid w:val="008B73A2"/>
    <w:rsid w:val="008B741C"/>
    <w:rsid w:val="008B7763"/>
    <w:rsid w:val="008B7B00"/>
    <w:rsid w:val="008B7B58"/>
    <w:rsid w:val="008B7DBE"/>
    <w:rsid w:val="008B7FA2"/>
    <w:rsid w:val="008B7FCC"/>
    <w:rsid w:val="008C00C8"/>
    <w:rsid w:val="008C02B9"/>
    <w:rsid w:val="008C05EE"/>
    <w:rsid w:val="008C0714"/>
    <w:rsid w:val="008C073E"/>
    <w:rsid w:val="008C0765"/>
    <w:rsid w:val="008C0831"/>
    <w:rsid w:val="008C08E6"/>
    <w:rsid w:val="008C0A54"/>
    <w:rsid w:val="008C0AA4"/>
    <w:rsid w:val="008C0AAC"/>
    <w:rsid w:val="008C0B9F"/>
    <w:rsid w:val="008C0C94"/>
    <w:rsid w:val="008C0F8F"/>
    <w:rsid w:val="008C11C6"/>
    <w:rsid w:val="008C1407"/>
    <w:rsid w:val="008C154D"/>
    <w:rsid w:val="008C1940"/>
    <w:rsid w:val="008C2100"/>
    <w:rsid w:val="008C217C"/>
    <w:rsid w:val="008C241C"/>
    <w:rsid w:val="008C2907"/>
    <w:rsid w:val="008C2AB5"/>
    <w:rsid w:val="008C2C35"/>
    <w:rsid w:val="008C2DD2"/>
    <w:rsid w:val="008C2EFC"/>
    <w:rsid w:val="008C2FA4"/>
    <w:rsid w:val="008C2FF8"/>
    <w:rsid w:val="008C31E6"/>
    <w:rsid w:val="008C32DB"/>
    <w:rsid w:val="008C350F"/>
    <w:rsid w:val="008C3584"/>
    <w:rsid w:val="008C3639"/>
    <w:rsid w:val="008C3855"/>
    <w:rsid w:val="008C3879"/>
    <w:rsid w:val="008C38C0"/>
    <w:rsid w:val="008C3B1B"/>
    <w:rsid w:val="008C4190"/>
    <w:rsid w:val="008C42CC"/>
    <w:rsid w:val="008C43D2"/>
    <w:rsid w:val="008C4465"/>
    <w:rsid w:val="008C4584"/>
    <w:rsid w:val="008C467C"/>
    <w:rsid w:val="008C47A1"/>
    <w:rsid w:val="008C4A2B"/>
    <w:rsid w:val="008C4A6D"/>
    <w:rsid w:val="008C4AFA"/>
    <w:rsid w:val="008C4C0A"/>
    <w:rsid w:val="008C4CE1"/>
    <w:rsid w:val="008C5158"/>
    <w:rsid w:val="008C522E"/>
    <w:rsid w:val="008C5617"/>
    <w:rsid w:val="008C57F6"/>
    <w:rsid w:val="008C586C"/>
    <w:rsid w:val="008C592D"/>
    <w:rsid w:val="008C594D"/>
    <w:rsid w:val="008C5A03"/>
    <w:rsid w:val="008C5FF2"/>
    <w:rsid w:val="008C6131"/>
    <w:rsid w:val="008C63A0"/>
    <w:rsid w:val="008C63A5"/>
    <w:rsid w:val="008C6411"/>
    <w:rsid w:val="008C6801"/>
    <w:rsid w:val="008C68CB"/>
    <w:rsid w:val="008C6C01"/>
    <w:rsid w:val="008C6F71"/>
    <w:rsid w:val="008C6FD2"/>
    <w:rsid w:val="008C700A"/>
    <w:rsid w:val="008C72F3"/>
    <w:rsid w:val="008C76C4"/>
    <w:rsid w:val="008C76E1"/>
    <w:rsid w:val="008C78B5"/>
    <w:rsid w:val="008C79C0"/>
    <w:rsid w:val="008C7A3D"/>
    <w:rsid w:val="008C7DE9"/>
    <w:rsid w:val="008C7E37"/>
    <w:rsid w:val="008D02B1"/>
    <w:rsid w:val="008D0324"/>
    <w:rsid w:val="008D0426"/>
    <w:rsid w:val="008D05C3"/>
    <w:rsid w:val="008D05D6"/>
    <w:rsid w:val="008D06F6"/>
    <w:rsid w:val="008D075B"/>
    <w:rsid w:val="008D1247"/>
    <w:rsid w:val="008D12A7"/>
    <w:rsid w:val="008D13AA"/>
    <w:rsid w:val="008D15E0"/>
    <w:rsid w:val="008D1724"/>
    <w:rsid w:val="008D17C1"/>
    <w:rsid w:val="008D19B2"/>
    <w:rsid w:val="008D19E1"/>
    <w:rsid w:val="008D1C6C"/>
    <w:rsid w:val="008D20B1"/>
    <w:rsid w:val="008D2342"/>
    <w:rsid w:val="008D2A05"/>
    <w:rsid w:val="008D2ABD"/>
    <w:rsid w:val="008D2B74"/>
    <w:rsid w:val="008D2B99"/>
    <w:rsid w:val="008D3423"/>
    <w:rsid w:val="008D366A"/>
    <w:rsid w:val="008D370F"/>
    <w:rsid w:val="008D37D8"/>
    <w:rsid w:val="008D3A13"/>
    <w:rsid w:val="008D3A4C"/>
    <w:rsid w:val="008D3B1F"/>
    <w:rsid w:val="008D3C99"/>
    <w:rsid w:val="008D3D27"/>
    <w:rsid w:val="008D3FD5"/>
    <w:rsid w:val="008D4139"/>
    <w:rsid w:val="008D4207"/>
    <w:rsid w:val="008D4374"/>
    <w:rsid w:val="008D44F0"/>
    <w:rsid w:val="008D4530"/>
    <w:rsid w:val="008D4963"/>
    <w:rsid w:val="008D4D8C"/>
    <w:rsid w:val="008D51A1"/>
    <w:rsid w:val="008D5B52"/>
    <w:rsid w:val="008D5D33"/>
    <w:rsid w:val="008D60ED"/>
    <w:rsid w:val="008D618D"/>
    <w:rsid w:val="008D62A0"/>
    <w:rsid w:val="008D62E7"/>
    <w:rsid w:val="008D64F6"/>
    <w:rsid w:val="008D65AC"/>
    <w:rsid w:val="008D6624"/>
    <w:rsid w:val="008D67E6"/>
    <w:rsid w:val="008D688C"/>
    <w:rsid w:val="008D68F0"/>
    <w:rsid w:val="008D6B1A"/>
    <w:rsid w:val="008D6C50"/>
    <w:rsid w:val="008D6C7F"/>
    <w:rsid w:val="008D6E5A"/>
    <w:rsid w:val="008D71FB"/>
    <w:rsid w:val="008D7450"/>
    <w:rsid w:val="008D747F"/>
    <w:rsid w:val="008D7795"/>
    <w:rsid w:val="008D7971"/>
    <w:rsid w:val="008D7ADE"/>
    <w:rsid w:val="008D7B02"/>
    <w:rsid w:val="008D7C57"/>
    <w:rsid w:val="008D7DAD"/>
    <w:rsid w:val="008D7E51"/>
    <w:rsid w:val="008E0182"/>
    <w:rsid w:val="008E04C5"/>
    <w:rsid w:val="008E04DD"/>
    <w:rsid w:val="008E0881"/>
    <w:rsid w:val="008E08C8"/>
    <w:rsid w:val="008E0B20"/>
    <w:rsid w:val="008E0BA8"/>
    <w:rsid w:val="008E0D54"/>
    <w:rsid w:val="008E1080"/>
    <w:rsid w:val="008E13C4"/>
    <w:rsid w:val="008E16C0"/>
    <w:rsid w:val="008E188E"/>
    <w:rsid w:val="008E19D0"/>
    <w:rsid w:val="008E1A06"/>
    <w:rsid w:val="008E1B63"/>
    <w:rsid w:val="008E1C21"/>
    <w:rsid w:val="008E1C66"/>
    <w:rsid w:val="008E1CCF"/>
    <w:rsid w:val="008E1ED9"/>
    <w:rsid w:val="008E1F0C"/>
    <w:rsid w:val="008E23CF"/>
    <w:rsid w:val="008E281E"/>
    <w:rsid w:val="008E2AE7"/>
    <w:rsid w:val="008E2BAB"/>
    <w:rsid w:val="008E2E03"/>
    <w:rsid w:val="008E2E1D"/>
    <w:rsid w:val="008E3242"/>
    <w:rsid w:val="008E3412"/>
    <w:rsid w:val="008E3D61"/>
    <w:rsid w:val="008E3F17"/>
    <w:rsid w:val="008E405F"/>
    <w:rsid w:val="008E406F"/>
    <w:rsid w:val="008E41A5"/>
    <w:rsid w:val="008E41ED"/>
    <w:rsid w:val="008E4242"/>
    <w:rsid w:val="008E4288"/>
    <w:rsid w:val="008E42BE"/>
    <w:rsid w:val="008E491E"/>
    <w:rsid w:val="008E503B"/>
    <w:rsid w:val="008E536A"/>
    <w:rsid w:val="008E56C7"/>
    <w:rsid w:val="008E58DD"/>
    <w:rsid w:val="008E590F"/>
    <w:rsid w:val="008E5B7C"/>
    <w:rsid w:val="008E5BD7"/>
    <w:rsid w:val="008E5F62"/>
    <w:rsid w:val="008E5FAB"/>
    <w:rsid w:val="008E6030"/>
    <w:rsid w:val="008E6150"/>
    <w:rsid w:val="008E6202"/>
    <w:rsid w:val="008E643E"/>
    <w:rsid w:val="008E6744"/>
    <w:rsid w:val="008E6A73"/>
    <w:rsid w:val="008E6D71"/>
    <w:rsid w:val="008E6DBA"/>
    <w:rsid w:val="008E6E58"/>
    <w:rsid w:val="008E6E68"/>
    <w:rsid w:val="008E6F5E"/>
    <w:rsid w:val="008E70BC"/>
    <w:rsid w:val="008E728C"/>
    <w:rsid w:val="008E7679"/>
    <w:rsid w:val="008E77E5"/>
    <w:rsid w:val="008E7BE8"/>
    <w:rsid w:val="008F0096"/>
    <w:rsid w:val="008F00C1"/>
    <w:rsid w:val="008F03A0"/>
    <w:rsid w:val="008F0485"/>
    <w:rsid w:val="008F07CF"/>
    <w:rsid w:val="008F0984"/>
    <w:rsid w:val="008F0A73"/>
    <w:rsid w:val="008F0D20"/>
    <w:rsid w:val="008F0DFD"/>
    <w:rsid w:val="008F1118"/>
    <w:rsid w:val="008F1173"/>
    <w:rsid w:val="008F1195"/>
    <w:rsid w:val="008F12A6"/>
    <w:rsid w:val="008F16B9"/>
    <w:rsid w:val="008F1A66"/>
    <w:rsid w:val="008F1ABF"/>
    <w:rsid w:val="008F2390"/>
    <w:rsid w:val="008F2554"/>
    <w:rsid w:val="008F2735"/>
    <w:rsid w:val="008F27F5"/>
    <w:rsid w:val="008F2C0C"/>
    <w:rsid w:val="008F2C53"/>
    <w:rsid w:val="008F2CC4"/>
    <w:rsid w:val="008F2D91"/>
    <w:rsid w:val="008F2F53"/>
    <w:rsid w:val="008F30B0"/>
    <w:rsid w:val="008F30B8"/>
    <w:rsid w:val="008F3569"/>
    <w:rsid w:val="008F3607"/>
    <w:rsid w:val="008F3C9A"/>
    <w:rsid w:val="008F3CF5"/>
    <w:rsid w:val="008F3D9F"/>
    <w:rsid w:val="008F4305"/>
    <w:rsid w:val="008F4444"/>
    <w:rsid w:val="008F449C"/>
    <w:rsid w:val="008F4633"/>
    <w:rsid w:val="008F474A"/>
    <w:rsid w:val="008F4A6F"/>
    <w:rsid w:val="008F4B46"/>
    <w:rsid w:val="008F4EC2"/>
    <w:rsid w:val="008F5091"/>
    <w:rsid w:val="008F50FD"/>
    <w:rsid w:val="008F52E4"/>
    <w:rsid w:val="008F52E6"/>
    <w:rsid w:val="008F53DE"/>
    <w:rsid w:val="008F5B62"/>
    <w:rsid w:val="008F5BAC"/>
    <w:rsid w:val="008F5E96"/>
    <w:rsid w:val="008F6181"/>
    <w:rsid w:val="008F61AF"/>
    <w:rsid w:val="008F61DB"/>
    <w:rsid w:val="008F6299"/>
    <w:rsid w:val="008F62EA"/>
    <w:rsid w:val="008F666F"/>
    <w:rsid w:val="008F6708"/>
    <w:rsid w:val="008F6A96"/>
    <w:rsid w:val="008F6C0E"/>
    <w:rsid w:val="008F73A6"/>
    <w:rsid w:val="008F78EE"/>
    <w:rsid w:val="008F7933"/>
    <w:rsid w:val="008F7D30"/>
    <w:rsid w:val="008F7E9F"/>
    <w:rsid w:val="00900037"/>
    <w:rsid w:val="00900094"/>
    <w:rsid w:val="00900210"/>
    <w:rsid w:val="0090026F"/>
    <w:rsid w:val="00900501"/>
    <w:rsid w:val="00900973"/>
    <w:rsid w:val="00900992"/>
    <w:rsid w:val="00900EA0"/>
    <w:rsid w:val="00900EA4"/>
    <w:rsid w:val="009012A2"/>
    <w:rsid w:val="00901449"/>
    <w:rsid w:val="009015BB"/>
    <w:rsid w:val="00901694"/>
    <w:rsid w:val="0090186D"/>
    <w:rsid w:val="0090190D"/>
    <w:rsid w:val="009019A8"/>
    <w:rsid w:val="00901BE7"/>
    <w:rsid w:val="00901D09"/>
    <w:rsid w:val="009023BD"/>
    <w:rsid w:val="0090260A"/>
    <w:rsid w:val="009026A5"/>
    <w:rsid w:val="00902E40"/>
    <w:rsid w:val="00902E6F"/>
    <w:rsid w:val="00903126"/>
    <w:rsid w:val="009031C6"/>
    <w:rsid w:val="009031D9"/>
    <w:rsid w:val="0090328C"/>
    <w:rsid w:val="00903415"/>
    <w:rsid w:val="00903496"/>
    <w:rsid w:val="009037C3"/>
    <w:rsid w:val="00903887"/>
    <w:rsid w:val="0090398D"/>
    <w:rsid w:val="00903A08"/>
    <w:rsid w:val="00903A7B"/>
    <w:rsid w:val="00903BB4"/>
    <w:rsid w:val="0090411E"/>
    <w:rsid w:val="009042BF"/>
    <w:rsid w:val="00904589"/>
    <w:rsid w:val="0090475A"/>
    <w:rsid w:val="009049C2"/>
    <w:rsid w:val="00904E38"/>
    <w:rsid w:val="009052ED"/>
    <w:rsid w:val="00905542"/>
    <w:rsid w:val="00905545"/>
    <w:rsid w:val="0090579C"/>
    <w:rsid w:val="009058A9"/>
    <w:rsid w:val="00905A8C"/>
    <w:rsid w:val="00905BB5"/>
    <w:rsid w:val="00905CE5"/>
    <w:rsid w:val="00905E21"/>
    <w:rsid w:val="00905E48"/>
    <w:rsid w:val="00905E49"/>
    <w:rsid w:val="00905F33"/>
    <w:rsid w:val="0090607D"/>
    <w:rsid w:val="009061B8"/>
    <w:rsid w:val="009061EA"/>
    <w:rsid w:val="00906293"/>
    <w:rsid w:val="009065A4"/>
    <w:rsid w:val="00906B0A"/>
    <w:rsid w:val="00906DF5"/>
    <w:rsid w:val="00907262"/>
    <w:rsid w:val="009073E1"/>
    <w:rsid w:val="009079CA"/>
    <w:rsid w:val="00907A1C"/>
    <w:rsid w:val="00907A20"/>
    <w:rsid w:val="009101F9"/>
    <w:rsid w:val="00910389"/>
    <w:rsid w:val="009103A3"/>
    <w:rsid w:val="009106E1"/>
    <w:rsid w:val="0091080F"/>
    <w:rsid w:val="00910967"/>
    <w:rsid w:val="00910B7B"/>
    <w:rsid w:val="009110A7"/>
    <w:rsid w:val="00911106"/>
    <w:rsid w:val="00911294"/>
    <w:rsid w:val="0091144D"/>
    <w:rsid w:val="0091170F"/>
    <w:rsid w:val="00911AC8"/>
    <w:rsid w:val="00911E3D"/>
    <w:rsid w:val="00911FD2"/>
    <w:rsid w:val="00912207"/>
    <w:rsid w:val="00912484"/>
    <w:rsid w:val="00912557"/>
    <w:rsid w:val="00912650"/>
    <w:rsid w:val="00912652"/>
    <w:rsid w:val="0091267C"/>
    <w:rsid w:val="009128F5"/>
    <w:rsid w:val="00912D0D"/>
    <w:rsid w:val="00912D30"/>
    <w:rsid w:val="00912DAD"/>
    <w:rsid w:val="00912F39"/>
    <w:rsid w:val="009132EA"/>
    <w:rsid w:val="00913372"/>
    <w:rsid w:val="00913667"/>
    <w:rsid w:val="00913968"/>
    <w:rsid w:val="009139A0"/>
    <w:rsid w:val="00913BD7"/>
    <w:rsid w:val="00913C53"/>
    <w:rsid w:val="00913D5C"/>
    <w:rsid w:val="00913EE4"/>
    <w:rsid w:val="00914027"/>
    <w:rsid w:val="0091423B"/>
    <w:rsid w:val="0091434F"/>
    <w:rsid w:val="0091458E"/>
    <w:rsid w:val="0091466C"/>
    <w:rsid w:val="00914714"/>
    <w:rsid w:val="00914A09"/>
    <w:rsid w:val="00914DE7"/>
    <w:rsid w:val="00914EEC"/>
    <w:rsid w:val="009150CB"/>
    <w:rsid w:val="00915219"/>
    <w:rsid w:val="009152FF"/>
    <w:rsid w:val="009155E4"/>
    <w:rsid w:val="00915708"/>
    <w:rsid w:val="00915764"/>
    <w:rsid w:val="009158B7"/>
    <w:rsid w:val="009159B4"/>
    <w:rsid w:val="009159C9"/>
    <w:rsid w:val="00915CD3"/>
    <w:rsid w:val="009161E1"/>
    <w:rsid w:val="009161EF"/>
    <w:rsid w:val="0091627F"/>
    <w:rsid w:val="00916486"/>
    <w:rsid w:val="00916552"/>
    <w:rsid w:val="009167B5"/>
    <w:rsid w:val="0091685B"/>
    <w:rsid w:val="009169F8"/>
    <w:rsid w:val="00916C6A"/>
    <w:rsid w:val="00916CAA"/>
    <w:rsid w:val="00916D3A"/>
    <w:rsid w:val="00916EA9"/>
    <w:rsid w:val="00917944"/>
    <w:rsid w:val="00917AB4"/>
    <w:rsid w:val="00917B2B"/>
    <w:rsid w:val="00917C40"/>
    <w:rsid w:val="00917DC8"/>
    <w:rsid w:val="0092011A"/>
    <w:rsid w:val="00920134"/>
    <w:rsid w:val="0092015D"/>
    <w:rsid w:val="00920343"/>
    <w:rsid w:val="00920495"/>
    <w:rsid w:val="00920A25"/>
    <w:rsid w:val="00920B35"/>
    <w:rsid w:val="00920BEF"/>
    <w:rsid w:val="00920C63"/>
    <w:rsid w:val="00920EB8"/>
    <w:rsid w:val="00920F71"/>
    <w:rsid w:val="00920FDA"/>
    <w:rsid w:val="00921148"/>
    <w:rsid w:val="0092128B"/>
    <w:rsid w:val="0092145E"/>
    <w:rsid w:val="00921813"/>
    <w:rsid w:val="0092190B"/>
    <w:rsid w:val="00921986"/>
    <w:rsid w:val="009220A9"/>
    <w:rsid w:val="009222CC"/>
    <w:rsid w:val="00922449"/>
    <w:rsid w:val="00922485"/>
    <w:rsid w:val="009224B4"/>
    <w:rsid w:val="0092259F"/>
    <w:rsid w:val="009228FA"/>
    <w:rsid w:val="00922985"/>
    <w:rsid w:val="009229CD"/>
    <w:rsid w:val="00922A33"/>
    <w:rsid w:val="00922AD2"/>
    <w:rsid w:val="00922D9D"/>
    <w:rsid w:val="00922EAA"/>
    <w:rsid w:val="00922F89"/>
    <w:rsid w:val="00922FB2"/>
    <w:rsid w:val="00923321"/>
    <w:rsid w:val="00923A2C"/>
    <w:rsid w:val="00923DBC"/>
    <w:rsid w:val="00923E62"/>
    <w:rsid w:val="00923FA2"/>
    <w:rsid w:val="0092443D"/>
    <w:rsid w:val="00924576"/>
    <w:rsid w:val="009245E8"/>
    <w:rsid w:val="00924763"/>
    <w:rsid w:val="009247FB"/>
    <w:rsid w:val="00924908"/>
    <w:rsid w:val="00924C11"/>
    <w:rsid w:val="00924CDD"/>
    <w:rsid w:val="00924EA8"/>
    <w:rsid w:val="00924EED"/>
    <w:rsid w:val="0092515B"/>
    <w:rsid w:val="0092539E"/>
    <w:rsid w:val="00925434"/>
    <w:rsid w:val="009255B1"/>
    <w:rsid w:val="0092591C"/>
    <w:rsid w:val="0092593C"/>
    <w:rsid w:val="00925C8B"/>
    <w:rsid w:val="00925D12"/>
    <w:rsid w:val="00925DD5"/>
    <w:rsid w:val="00925DF5"/>
    <w:rsid w:val="00925EDF"/>
    <w:rsid w:val="00925FA4"/>
    <w:rsid w:val="00926086"/>
    <w:rsid w:val="00926742"/>
    <w:rsid w:val="00926AB9"/>
    <w:rsid w:val="00926BB7"/>
    <w:rsid w:val="00927100"/>
    <w:rsid w:val="0092721A"/>
    <w:rsid w:val="0092788B"/>
    <w:rsid w:val="009278AC"/>
    <w:rsid w:val="00927909"/>
    <w:rsid w:val="00927954"/>
    <w:rsid w:val="00927999"/>
    <w:rsid w:val="00927A76"/>
    <w:rsid w:val="00927BA1"/>
    <w:rsid w:val="00927FBC"/>
    <w:rsid w:val="0093002C"/>
    <w:rsid w:val="009303DD"/>
    <w:rsid w:val="00930543"/>
    <w:rsid w:val="009309C5"/>
    <w:rsid w:val="00930BEB"/>
    <w:rsid w:val="00930CC5"/>
    <w:rsid w:val="00930E30"/>
    <w:rsid w:val="00930E65"/>
    <w:rsid w:val="00930ECA"/>
    <w:rsid w:val="00930F64"/>
    <w:rsid w:val="00931184"/>
    <w:rsid w:val="0093137B"/>
    <w:rsid w:val="009313E7"/>
    <w:rsid w:val="009315E4"/>
    <w:rsid w:val="009317F4"/>
    <w:rsid w:val="0093193A"/>
    <w:rsid w:val="00931D5B"/>
    <w:rsid w:val="00931F6C"/>
    <w:rsid w:val="00932016"/>
    <w:rsid w:val="00932339"/>
    <w:rsid w:val="00932363"/>
    <w:rsid w:val="009323C1"/>
    <w:rsid w:val="009323C9"/>
    <w:rsid w:val="009324E0"/>
    <w:rsid w:val="009324F5"/>
    <w:rsid w:val="009326D1"/>
    <w:rsid w:val="00932776"/>
    <w:rsid w:val="009328AE"/>
    <w:rsid w:val="009329BB"/>
    <w:rsid w:val="00932C25"/>
    <w:rsid w:val="00932D9C"/>
    <w:rsid w:val="00932DF5"/>
    <w:rsid w:val="00933098"/>
    <w:rsid w:val="0093317B"/>
    <w:rsid w:val="0093317F"/>
    <w:rsid w:val="0093332D"/>
    <w:rsid w:val="0093343F"/>
    <w:rsid w:val="00933599"/>
    <w:rsid w:val="00933667"/>
    <w:rsid w:val="009337D5"/>
    <w:rsid w:val="009338AE"/>
    <w:rsid w:val="0093393D"/>
    <w:rsid w:val="009339E2"/>
    <w:rsid w:val="00933AF8"/>
    <w:rsid w:val="00933CA6"/>
    <w:rsid w:val="00933D60"/>
    <w:rsid w:val="009341B6"/>
    <w:rsid w:val="0093420D"/>
    <w:rsid w:val="009346E9"/>
    <w:rsid w:val="00934DE3"/>
    <w:rsid w:val="00935039"/>
    <w:rsid w:val="00935163"/>
    <w:rsid w:val="0093534F"/>
    <w:rsid w:val="0093568F"/>
    <w:rsid w:val="009357E2"/>
    <w:rsid w:val="00935A12"/>
    <w:rsid w:val="00935B63"/>
    <w:rsid w:val="0093652C"/>
    <w:rsid w:val="00936648"/>
    <w:rsid w:val="0093693E"/>
    <w:rsid w:val="00936BB9"/>
    <w:rsid w:val="00936E81"/>
    <w:rsid w:val="009370FA"/>
    <w:rsid w:val="009371E1"/>
    <w:rsid w:val="00937267"/>
    <w:rsid w:val="00937335"/>
    <w:rsid w:val="0093737F"/>
    <w:rsid w:val="00937653"/>
    <w:rsid w:val="0093779D"/>
    <w:rsid w:val="009378A1"/>
    <w:rsid w:val="00937F38"/>
    <w:rsid w:val="00940280"/>
    <w:rsid w:val="00940469"/>
    <w:rsid w:val="00940510"/>
    <w:rsid w:val="00940598"/>
    <w:rsid w:val="00940680"/>
    <w:rsid w:val="0094093A"/>
    <w:rsid w:val="0094094B"/>
    <w:rsid w:val="00940CE1"/>
    <w:rsid w:val="0094130B"/>
    <w:rsid w:val="0094167C"/>
    <w:rsid w:val="009418B3"/>
    <w:rsid w:val="00941D17"/>
    <w:rsid w:val="00941F17"/>
    <w:rsid w:val="0094200C"/>
    <w:rsid w:val="00942094"/>
    <w:rsid w:val="009421CA"/>
    <w:rsid w:val="009424DB"/>
    <w:rsid w:val="009424F1"/>
    <w:rsid w:val="00942662"/>
    <w:rsid w:val="0094288B"/>
    <w:rsid w:val="00942985"/>
    <w:rsid w:val="00942B2C"/>
    <w:rsid w:val="00942E73"/>
    <w:rsid w:val="00942EF0"/>
    <w:rsid w:val="00942FFE"/>
    <w:rsid w:val="00943A14"/>
    <w:rsid w:val="00943A22"/>
    <w:rsid w:val="00943D23"/>
    <w:rsid w:val="00943E1E"/>
    <w:rsid w:val="0094446E"/>
    <w:rsid w:val="0094457C"/>
    <w:rsid w:val="009445C6"/>
    <w:rsid w:val="009445D6"/>
    <w:rsid w:val="009447C2"/>
    <w:rsid w:val="00944AA1"/>
    <w:rsid w:val="00945002"/>
    <w:rsid w:val="009452BC"/>
    <w:rsid w:val="0094558B"/>
    <w:rsid w:val="009456D7"/>
    <w:rsid w:val="00945B4D"/>
    <w:rsid w:val="00945C2D"/>
    <w:rsid w:val="00945CD6"/>
    <w:rsid w:val="00945E3A"/>
    <w:rsid w:val="00945EA5"/>
    <w:rsid w:val="00945EAD"/>
    <w:rsid w:val="00945F0F"/>
    <w:rsid w:val="00945F79"/>
    <w:rsid w:val="0094607F"/>
    <w:rsid w:val="009463E9"/>
    <w:rsid w:val="009464C7"/>
    <w:rsid w:val="009464EC"/>
    <w:rsid w:val="009466F4"/>
    <w:rsid w:val="00946A6D"/>
    <w:rsid w:val="00946AED"/>
    <w:rsid w:val="009470C3"/>
    <w:rsid w:val="0094735A"/>
    <w:rsid w:val="0094743F"/>
    <w:rsid w:val="0094761A"/>
    <w:rsid w:val="00947A84"/>
    <w:rsid w:val="00947C9B"/>
    <w:rsid w:val="00947CB0"/>
    <w:rsid w:val="00947DA8"/>
    <w:rsid w:val="00950003"/>
    <w:rsid w:val="009500AA"/>
    <w:rsid w:val="009505AB"/>
    <w:rsid w:val="00950B13"/>
    <w:rsid w:val="00950CEB"/>
    <w:rsid w:val="00950E34"/>
    <w:rsid w:val="00950F62"/>
    <w:rsid w:val="0095120F"/>
    <w:rsid w:val="00951490"/>
    <w:rsid w:val="009514D4"/>
    <w:rsid w:val="0095177D"/>
    <w:rsid w:val="00951B8F"/>
    <w:rsid w:val="00951C13"/>
    <w:rsid w:val="00951C57"/>
    <w:rsid w:val="00951C6A"/>
    <w:rsid w:val="00951C78"/>
    <w:rsid w:val="00951E1B"/>
    <w:rsid w:val="009520BD"/>
    <w:rsid w:val="0095224D"/>
    <w:rsid w:val="00952711"/>
    <w:rsid w:val="0095291A"/>
    <w:rsid w:val="00952BA0"/>
    <w:rsid w:val="00952D94"/>
    <w:rsid w:val="00952E89"/>
    <w:rsid w:val="009531DD"/>
    <w:rsid w:val="0095326D"/>
    <w:rsid w:val="009532EC"/>
    <w:rsid w:val="009534BB"/>
    <w:rsid w:val="00953604"/>
    <w:rsid w:val="00953675"/>
    <w:rsid w:val="00953B57"/>
    <w:rsid w:val="00953DDC"/>
    <w:rsid w:val="00953E05"/>
    <w:rsid w:val="00954009"/>
    <w:rsid w:val="00954021"/>
    <w:rsid w:val="0095404E"/>
    <w:rsid w:val="00954053"/>
    <w:rsid w:val="009542ED"/>
    <w:rsid w:val="0095437F"/>
    <w:rsid w:val="00954508"/>
    <w:rsid w:val="00954C67"/>
    <w:rsid w:val="00954CBE"/>
    <w:rsid w:val="00954CC9"/>
    <w:rsid w:val="00954D9C"/>
    <w:rsid w:val="00954DD6"/>
    <w:rsid w:val="00954EC8"/>
    <w:rsid w:val="00954FDD"/>
    <w:rsid w:val="0095503C"/>
    <w:rsid w:val="0095506C"/>
    <w:rsid w:val="00955343"/>
    <w:rsid w:val="009553D7"/>
    <w:rsid w:val="00955447"/>
    <w:rsid w:val="00955476"/>
    <w:rsid w:val="009554DD"/>
    <w:rsid w:val="0095571F"/>
    <w:rsid w:val="00955865"/>
    <w:rsid w:val="00955BC1"/>
    <w:rsid w:val="00955CFB"/>
    <w:rsid w:val="00956100"/>
    <w:rsid w:val="009561C2"/>
    <w:rsid w:val="00956A58"/>
    <w:rsid w:val="00956B13"/>
    <w:rsid w:val="00956BAD"/>
    <w:rsid w:val="00956C74"/>
    <w:rsid w:val="00957263"/>
    <w:rsid w:val="00957384"/>
    <w:rsid w:val="00957415"/>
    <w:rsid w:val="00957516"/>
    <w:rsid w:val="00957647"/>
    <w:rsid w:val="00957837"/>
    <w:rsid w:val="00957A47"/>
    <w:rsid w:val="00957D63"/>
    <w:rsid w:val="00957DE7"/>
    <w:rsid w:val="00957E06"/>
    <w:rsid w:val="00957E35"/>
    <w:rsid w:val="00957EBF"/>
    <w:rsid w:val="009600E7"/>
    <w:rsid w:val="0096046B"/>
    <w:rsid w:val="009605AA"/>
    <w:rsid w:val="0096060E"/>
    <w:rsid w:val="009607F4"/>
    <w:rsid w:val="00960B1F"/>
    <w:rsid w:val="00960C5D"/>
    <w:rsid w:val="00960E0D"/>
    <w:rsid w:val="00960EE1"/>
    <w:rsid w:val="009610F8"/>
    <w:rsid w:val="00961614"/>
    <w:rsid w:val="009616E2"/>
    <w:rsid w:val="00961ADB"/>
    <w:rsid w:val="00961EB1"/>
    <w:rsid w:val="00961F32"/>
    <w:rsid w:val="009620D8"/>
    <w:rsid w:val="0096240D"/>
    <w:rsid w:val="0096252B"/>
    <w:rsid w:val="009626C7"/>
    <w:rsid w:val="009627D3"/>
    <w:rsid w:val="00962B95"/>
    <w:rsid w:val="00962E88"/>
    <w:rsid w:val="00962EB2"/>
    <w:rsid w:val="00962EED"/>
    <w:rsid w:val="00962F88"/>
    <w:rsid w:val="00963053"/>
    <w:rsid w:val="0096314B"/>
    <w:rsid w:val="009635FB"/>
    <w:rsid w:val="009637A0"/>
    <w:rsid w:val="0096404D"/>
    <w:rsid w:val="009640AF"/>
    <w:rsid w:val="009641D3"/>
    <w:rsid w:val="009646A9"/>
    <w:rsid w:val="009648E2"/>
    <w:rsid w:val="00964A63"/>
    <w:rsid w:val="00964B57"/>
    <w:rsid w:val="00965022"/>
    <w:rsid w:val="009653B7"/>
    <w:rsid w:val="00965479"/>
    <w:rsid w:val="009654E9"/>
    <w:rsid w:val="009654F0"/>
    <w:rsid w:val="00965558"/>
    <w:rsid w:val="0096558A"/>
    <w:rsid w:val="009656C0"/>
    <w:rsid w:val="00965AB9"/>
    <w:rsid w:val="00965AE7"/>
    <w:rsid w:val="00965C16"/>
    <w:rsid w:val="00965C69"/>
    <w:rsid w:val="00965D2C"/>
    <w:rsid w:val="0096628C"/>
    <w:rsid w:val="00966FF0"/>
    <w:rsid w:val="009674B0"/>
    <w:rsid w:val="009674CA"/>
    <w:rsid w:val="009674D8"/>
    <w:rsid w:val="009676FD"/>
    <w:rsid w:val="00967847"/>
    <w:rsid w:val="009679AF"/>
    <w:rsid w:val="00967B44"/>
    <w:rsid w:val="00967BBC"/>
    <w:rsid w:val="00967E77"/>
    <w:rsid w:val="009700AE"/>
    <w:rsid w:val="0097025A"/>
    <w:rsid w:val="00970298"/>
    <w:rsid w:val="0097034E"/>
    <w:rsid w:val="00970A10"/>
    <w:rsid w:val="00970A79"/>
    <w:rsid w:val="00970B37"/>
    <w:rsid w:val="00970EFB"/>
    <w:rsid w:val="00970F1C"/>
    <w:rsid w:val="009714D3"/>
    <w:rsid w:val="00971816"/>
    <w:rsid w:val="00971A83"/>
    <w:rsid w:val="00971D04"/>
    <w:rsid w:val="0097204A"/>
    <w:rsid w:val="0097219B"/>
    <w:rsid w:val="00972390"/>
    <w:rsid w:val="009725EC"/>
    <w:rsid w:val="009726BF"/>
    <w:rsid w:val="0097271A"/>
    <w:rsid w:val="00972842"/>
    <w:rsid w:val="009729BF"/>
    <w:rsid w:val="00972B52"/>
    <w:rsid w:val="00972CFA"/>
    <w:rsid w:val="00972D8F"/>
    <w:rsid w:val="00972E9F"/>
    <w:rsid w:val="0097306E"/>
    <w:rsid w:val="00973166"/>
    <w:rsid w:val="009736EE"/>
    <w:rsid w:val="00973782"/>
    <w:rsid w:val="00973AE4"/>
    <w:rsid w:val="00973EB3"/>
    <w:rsid w:val="00974043"/>
    <w:rsid w:val="009740DE"/>
    <w:rsid w:val="00974227"/>
    <w:rsid w:val="00974428"/>
    <w:rsid w:val="0097446A"/>
    <w:rsid w:val="00974750"/>
    <w:rsid w:val="00974CD0"/>
    <w:rsid w:val="00974E48"/>
    <w:rsid w:val="00974E57"/>
    <w:rsid w:val="00975217"/>
    <w:rsid w:val="009754C1"/>
    <w:rsid w:val="009754D0"/>
    <w:rsid w:val="00975543"/>
    <w:rsid w:val="0097560C"/>
    <w:rsid w:val="009756FA"/>
    <w:rsid w:val="00975986"/>
    <w:rsid w:val="009759F0"/>
    <w:rsid w:val="00975A94"/>
    <w:rsid w:val="00975B2B"/>
    <w:rsid w:val="00975BA1"/>
    <w:rsid w:val="00975EC0"/>
    <w:rsid w:val="0097618F"/>
    <w:rsid w:val="0097635B"/>
    <w:rsid w:val="009763DB"/>
    <w:rsid w:val="009764C0"/>
    <w:rsid w:val="009764C4"/>
    <w:rsid w:val="009766EE"/>
    <w:rsid w:val="0097675F"/>
    <w:rsid w:val="00976E85"/>
    <w:rsid w:val="00977094"/>
    <w:rsid w:val="00977401"/>
    <w:rsid w:val="00977A00"/>
    <w:rsid w:val="00977B24"/>
    <w:rsid w:val="00977ED6"/>
    <w:rsid w:val="00977EE2"/>
    <w:rsid w:val="00980092"/>
    <w:rsid w:val="0098015B"/>
    <w:rsid w:val="009808D0"/>
    <w:rsid w:val="00980998"/>
    <w:rsid w:val="00980A0C"/>
    <w:rsid w:val="00980B2A"/>
    <w:rsid w:val="00980F7E"/>
    <w:rsid w:val="00980FA9"/>
    <w:rsid w:val="009810F7"/>
    <w:rsid w:val="0098131C"/>
    <w:rsid w:val="009814EA"/>
    <w:rsid w:val="00981A04"/>
    <w:rsid w:val="00981A9A"/>
    <w:rsid w:val="00981BC0"/>
    <w:rsid w:val="00981C32"/>
    <w:rsid w:val="00981DCE"/>
    <w:rsid w:val="00981DCF"/>
    <w:rsid w:val="00981EEC"/>
    <w:rsid w:val="009823C3"/>
    <w:rsid w:val="0098249F"/>
    <w:rsid w:val="00982581"/>
    <w:rsid w:val="009827D5"/>
    <w:rsid w:val="00982AF4"/>
    <w:rsid w:val="00982F53"/>
    <w:rsid w:val="00982FEF"/>
    <w:rsid w:val="009833F2"/>
    <w:rsid w:val="00983501"/>
    <w:rsid w:val="009835CB"/>
    <w:rsid w:val="0098362D"/>
    <w:rsid w:val="009836F2"/>
    <w:rsid w:val="0098372F"/>
    <w:rsid w:val="00983EBB"/>
    <w:rsid w:val="00983F18"/>
    <w:rsid w:val="00983F51"/>
    <w:rsid w:val="00983F59"/>
    <w:rsid w:val="00983F88"/>
    <w:rsid w:val="00984116"/>
    <w:rsid w:val="00984149"/>
    <w:rsid w:val="00984229"/>
    <w:rsid w:val="00984429"/>
    <w:rsid w:val="0098453B"/>
    <w:rsid w:val="009847ED"/>
    <w:rsid w:val="0098495A"/>
    <w:rsid w:val="00984B69"/>
    <w:rsid w:val="00984CB8"/>
    <w:rsid w:val="0098528E"/>
    <w:rsid w:val="009852C8"/>
    <w:rsid w:val="0098535A"/>
    <w:rsid w:val="00985478"/>
    <w:rsid w:val="009854FF"/>
    <w:rsid w:val="0098569F"/>
    <w:rsid w:val="0098578D"/>
    <w:rsid w:val="00985A1E"/>
    <w:rsid w:val="00985BC9"/>
    <w:rsid w:val="00986092"/>
    <w:rsid w:val="0098613E"/>
    <w:rsid w:val="00986250"/>
    <w:rsid w:val="0098648F"/>
    <w:rsid w:val="00986650"/>
    <w:rsid w:val="009866FC"/>
    <w:rsid w:val="00986795"/>
    <w:rsid w:val="00986859"/>
    <w:rsid w:val="00986869"/>
    <w:rsid w:val="00986B90"/>
    <w:rsid w:val="00986BCC"/>
    <w:rsid w:val="00986E3C"/>
    <w:rsid w:val="00986F73"/>
    <w:rsid w:val="009870F5"/>
    <w:rsid w:val="0098725B"/>
    <w:rsid w:val="009877D1"/>
    <w:rsid w:val="00987A9E"/>
    <w:rsid w:val="00987AB7"/>
    <w:rsid w:val="00987BD8"/>
    <w:rsid w:val="00987F61"/>
    <w:rsid w:val="00990012"/>
    <w:rsid w:val="00990238"/>
    <w:rsid w:val="0099054E"/>
    <w:rsid w:val="009905A4"/>
    <w:rsid w:val="00990E9B"/>
    <w:rsid w:val="009913D5"/>
    <w:rsid w:val="00991559"/>
    <w:rsid w:val="0099174A"/>
    <w:rsid w:val="0099194C"/>
    <w:rsid w:val="00991CDB"/>
    <w:rsid w:val="00992111"/>
    <w:rsid w:val="0099230B"/>
    <w:rsid w:val="0099232A"/>
    <w:rsid w:val="00992601"/>
    <w:rsid w:val="00992628"/>
    <w:rsid w:val="00992B2F"/>
    <w:rsid w:val="00992B5F"/>
    <w:rsid w:val="00992C9E"/>
    <w:rsid w:val="0099338C"/>
    <w:rsid w:val="009933CA"/>
    <w:rsid w:val="009933E1"/>
    <w:rsid w:val="0099360E"/>
    <w:rsid w:val="0099392E"/>
    <w:rsid w:val="0099399C"/>
    <w:rsid w:val="00993B4C"/>
    <w:rsid w:val="00993D5C"/>
    <w:rsid w:val="00993DA4"/>
    <w:rsid w:val="00993DA6"/>
    <w:rsid w:val="00993EF2"/>
    <w:rsid w:val="00993F41"/>
    <w:rsid w:val="00994383"/>
    <w:rsid w:val="00994459"/>
    <w:rsid w:val="0099447B"/>
    <w:rsid w:val="009944F1"/>
    <w:rsid w:val="00994941"/>
    <w:rsid w:val="00994A80"/>
    <w:rsid w:val="00994CF5"/>
    <w:rsid w:val="00994F8F"/>
    <w:rsid w:val="0099503E"/>
    <w:rsid w:val="009953B8"/>
    <w:rsid w:val="00995462"/>
    <w:rsid w:val="009954F7"/>
    <w:rsid w:val="0099563A"/>
    <w:rsid w:val="009956D0"/>
    <w:rsid w:val="0099579D"/>
    <w:rsid w:val="00995DAF"/>
    <w:rsid w:val="00995EBD"/>
    <w:rsid w:val="00995FFC"/>
    <w:rsid w:val="0099613C"/>
    <w:rsid w:val="00996B1F"/>
    <w:rsid w:val="0099730D"/>
    <w:rsid w:val="0099743F"/>
    <w:rsid w:val="00997547"/>
    <w:rsid w:val="00997616"/>
    <w:rsid w:val="009976F5"/>
    <w:rsid w:val="00997B97"/>
    <w:rsid w:val="00997BD4"/>
    <w:rsid w:val="00997F0C"/>
    <w:rsid w:val="00997FA5"/>
    <w:rsid w:val="009A0145"/>
    <w:rsid w:val="009A0250"/>
    <w:rsid w:val="009A0468"/>
    <w:rsid w:val="009A04F9"/>
    <w:rsid w:val="009A05E8"/>
    <w:rsid w:val="009A08CB"/>
    <w:rsid w:val="009A0F35"/>
    <w:rsid w:val="009A1221"/>
    <w:rsid w:val="009A18C8"/>
    <w:rsid w:val="009A18F0"/>
    <w:rsid w:val="009A1A3F"/>
    <w:rsid w:val="009A1C51"/>
    <w:rsid w:val="009A1CA3"/>
    <w:rsid w:val="009A1E25"/>
    <w:rsid w:val="009A21A0"/>
    <w:rsid w:val="009A21DB"/>
    <w:rsid w:val="009A23A5"/>
    <w:rsid w:val="009A24A3"/>
    <w:rsid w:val="009A2664"/>
    <w:rsid w:val="009A267B"/>
    <w:rsid w:val="009A26FC"/>
    <w:rsid w:val="009A276F"/>
    <w:rsid w:val="009A2A81"/>
    <w:rsid w:val="009A319F"/>
    <w:rsid w:val="009A323B"/>
    <w:rsid w:val="009A32F9"/>
    <w:rsid w:val="009A332B"/>
    <w:rsid w:val="009A381B"/>
    <w:rsid w:val="009A3DD1"/>
    <w:rsid w:val="009A3E26"/>
    <w:rsid w:val="009A3F61"/>
    <w:rsid w:val="009A3FEE"/>
    <w:rsid w:val="009A40FA"/>
    <w:rsid w:val="009A41F9"/>
    <w:rsid w:val="009A420F"/>
    <w:rsid w:val="009A4619"/>
    <w:rsid w:val="009A49B7"/>
    <w:rsid w:val="009A4A7A"/>
    <w:rsid w:val="009A4B1B"/>
    <w:rsid w:val="009A4C60"/>
    <w:rsid w:val="009A4E33"/>
    <w:rsid w:val="009A4E39"/>
    <w:rsid w:val="009A50DD"/>
    <w:rsid w:val="009A512D"/>
    <w:rsid w:val="009A5846"/>
    <w:rsid w:val="009A5981"/>
    <w:rsid w:val="009A5D0C"/>
    <w:rsid w:val="009A5F26"/>
    <w:rsid w:val="009A63FD"/>
    <w:rsid w:val="009A647E"/>
    <w:rsid w:val="009A652F"/>
    <w:rsid w:val="009A6530"/>
    <w:rsid w:val="009A67DB"/>
    <w:rsid w:val="009A6848"/>
    <w:rsid w:val="009A6E22"/>
    <w:rsid w:val="009A6EB7"/>
    <w:rsid w:val="009A6FD9"/>
    <w:rsid w:val="009A78BE"/>
    <w:rsid w:val="009A7C28"/>
    <w:rsid w:val="009A7F21"/>
    <w:rsid w:val="009B1028"/>
    <w:rsid w:val="009B1256"/>
    <w:rsid w:val="009B1435"/>
    <w:rsid w:val="009B1779"/>
    <w:rsid w:val="009B1926"/>
    <w:rsid w:val="009B1BC2"/>
    <w:rsid w:val="009B1D11"/>
    <w:rsid w:val="009B1D12"/>
    <w:rsid w:val="009B1DB4"/>
    <w:rsid w:val="009B20FC"/>
    <w:rsid w:val="009B2143"/>
    <w:rsid w:val="009B2553"/>
    <w:rsid w:val="009B26C7"/>
    <w:rsid w:val="009B275F"/>
    <w:rsid w:val="009B29F7"/>
    <w:rsid w:val="009B2A04"/>
    <w:rsid w:val="009B2A9C"/>
    <w:rsid w:val="009B2B8F"/>
    <w:rsid w:val="009B2BB1"/>
    <w:rsid w:val="009B2E94"/>
    <w:rsid w:val="009B2EF1"/>
    <w:rsid w:val="009B344F"/>
    <w:rsid w:val="009B360A"/>
    <w:rsid w:val="009B3626"/>
    <w:rsid w:val="009B382C"/>
    <w:rsid w:val="009B393A"/>
    <w:rsid w:val="009B3A4F"/>
    <w:rsid w:val="009B4022"/>
    <w:rsid w:val="009B42D0"/>
    <w:rsid w:val="009B4576"/>
    <w:rsid w:val="009B4656"/>
    <w:rsid w:val="009B498E"/>
    <w:rsid w:val="009B4D5B"/>
    <w:rsid w:val="009B4F9B"/>
    <w:rsid w:val="009B5257"/>
    <w:rsid w:val="009B55E5"/>
    <w:rsid w:val="009B5740"/>
    <w:rsid w:val="009B593D"/>
    <w:rsid w:val="009B5956"/>
    <w:rsid w:val="009B5B74"/>
    <w:rsid w:val="009B5DE0"/>
    <w:rsid w:val="009B5E39"/>
    <w:rsid w:val="009B5E70"/>
    <w:rsid w:val="009B5F7B"/>
    <w:rsid w:val="009B5FED"/>
    <w:rsid w:val="009B6005"/>
    <w:rsid w:val="009B6221"/>
    <w:rsid w:val="009B6404"/>
    <w:rsid w:val="009B66BB"/>
    <w:rsid w:val="009B67C9"/>
    <w:rsid w:val="009B6A21"/>
    <w:rsid w:val="009B6DDB"/>
    <w:rsid w:val="009B7147"/>
    <w:rsid w:val="009B75AF"/>
    <w:rsid w:val="009B767C"/>
    <w:rsid w:val="009B7932"/>
    <w:rsid w:val="009B793F"/>
    <w:rsid w:val="009B79C1"/>
    <w:rsid w:val="009B7A6B"/>
    <w:rsid w:val="009B7EA6"/>
    <w:rsid w:val="009B7EEA"/>
    <w:rsid w:val="009B7F8D"/>
    <w:rsid w:val="009C006F"/>
    <w:rsid w:val="009C0223"/>
    <w:rsid w:val="009C02CC"/>
    <w:rsid w:val="009C0490"/>
    <w:rsid w:val="009C074A"/>
    <w:rsid w:val="009C0836"/>
    <w:rsid w:val="009C08B9"/>
    <w:rsid w:val="009C09B4"/>
    <w:rsid w:val="009C0A58"/>
    <w:rsid w:val="009C0B74"/>
    <w:rsid w:val="009C0CD9"/>
    <w:rsid w:val="009C0D26"/>
    <w:rsid w:val="009C1120"/>
    <w:rsid w:val="009C14AA"/>
    <w:rsid w:val="009C1599"/>
    <w:rsid w:val="009C19A2"/>
    <w:rsid w:val="009C1CEA"/>
    <w:rsid w:val="009C211A"/>
    <w:rsid w:val="009C21DB"/>
    <w:rsid w:val="009C2977"/>
    <w:rsid w:val="009C2A6E"/>
    <w:rsid w:val="009C2B8B"/>
    <w:rsid w:val="009C2C0A"/>
    <w:rsid w:val="009C2FDB"/>
    <w:rsid w:val="009C302A"/>
    <w:rsid w:val="009C329D"/>
    <w:rsid w:val="009C3316"/>
    <w:rsid w:val="009C359F"/>
    <w:rsid w:val="009C36BA"/>
    <w:rsid w:val="009C3A3A"/>
    <w:rsid w:val="009C3D8B"/>
    <w:rsid w:val="009C401E"/>
    <w:rsid w:val="009C4170"/>
    <w:rsid w:val="009C4319"/>
    <w:rsid w:val="009C44E3"/>
    <w:rsid w:val="009C4519"/>
    <w:rsid w:val="009C490F"/>
    <w:rsid w:val="009C49B2"/>
    <w:rsid w:val="009C4A13"/>
    <w:rsid w:val="009C4A9F"/>
    <w:rsid w:val="009C4AF8"/>
    <w:rsid w:val="009C4B8A"/>
    <w:rsid w:val="009C4DDB"/>
    <w:rsid w:val="009C4F76"/>
    <w:rsid w:val="009C4FC9"/>
    <w:rsid w:val="009C5077"/>
    <w:rsid w:val="009C5080"/>
    <w:rsid w:val="009C517E"/>
    <w:rsid w:val="009C51D9"/>
    <w:rsid w:val="009C52AD"/>
    <w:rsid w:val="009C52B6"/>
    <w:rsid w:val="009C5351"/>
    <w:rsid w:val="009C563D"/>
    <w:rsid w:val="009C5861"/>
    <w:rsid w:val="009C58BB"/>
    <w:rsid w:val="009C5AB9"/>
    <w:rsid w:val="009C5ACF"/>
    <w:rsid w:val="009C5ADE"/>
    <w:rsid w:val="009C5AFD"/>
    <w:rsid w:val="009C5F64"/>
    <w:rsid w:val="009C607E"/>
    <w:rsid w:val="009C6113"/>
    <w:rsid w:val="009C639D"/>
    <w:rsid w:val="009C63D0"/>
    <w:rsid w:val="009C649A"/>
    <w:rsid w:val="009C6696"/>
    <w:rsid w:val="009C680F"/>
    <w:rsid w:val="009C6AF9"/>
    <w:rsid w:val="009C6B40"/>
    <w:rsid w:val="009C6D73"/>
    <w:rsid w:val="009C7246"/>
    <w:rsid w:val="009C75C9"/>
    <w:rsid w:val="009C7768"/>
    <w:rsid w:val="009C79D6"/>
    <w:rsid w:val="009C7A7B"/>
    <w:rsid w:val="009C7D03"/>
    <w:rsid w:val="009C7F6F"/>
    <w:rsid w:val="009D0098"/>
    <w:rsid w:val="009D01BE"/>
    <w:rsid w:val="009D03DE"/>
    <w:rsid w:val="009D0472"/>
    <w:rsid w:val="009D0578"/>
    <w:rsid w:val="009D06DF"/>
    <w:rsid w:val="009D07B7"/>
    <w:rsid w:val="009D0B13"/>
    <w:rsid w:val="009D0B42"/>
    <w:rsid w:val="009D0DD7"/>
    <w:rsid w:val="009D0EA5"/>
    <w:rsid w:val="009D109D"/>
    <w:rsid w:val="009D155B"/>
    <w:rsid w:val="009D1582"/>
    <w:rsid w:val="009D1609"/>
    <w:rsid w:val="009D187E"/>
    <w:rsid w:val="009D1894"/>
    <w:rsid w:val="009D1AAB"/>
    <w:rsid w:val="009D1CCE"/>
    <w:rsid w:val="009D1D6A"/>
    <w:rsid w:val="009D1E35"/>
    <w:rsid w:val="009D1FC1"/>
    <w:rsid w:val="009D2166"/>
    <w:rsid w:val="009D246C"/>
    <w:rsid w:val="009D24E7"/>
    <w:rsid w:val="009D2973"/>
    <w:rsid w:val="009D2A3D"/>
    <w:rsid w:val="009D2C04"/>
    <w:rsid w:val="009D305F"/>
    <w:rsid w:val="009D3149"/>
    <w:rsid w:val="009D3335"/>
    <w:rsid w:val="009D3354"/>
    <w:rsid w:val="009D3963"/>
    <w:rsid w:val="009D3BE1"/>
    <w:rsid w:val="009D3E64"/>
    <w:rsid w:val="009D4017"/>
    <w:rsid w:val="009D4065"/>
    <w:rsid w:val="009D47FB"/>
    <w:rsid w:val="009D4986"/>
    <w:rsid w:val="009D4A07"/>
    <w:rsid w:val="009D4ABB"/>
    <w:rsid w:val="009D4B48"/>
    <w:rsid w:val="009D4B5F"/>
    <w:rsid w:val="009D4CE6"/>
    <w:rsid w:val="009D4E2F"/>
    <w:rsid w:val="009D52FD"/>
    <w:rsid w:val="009D5517"/>
    <w:rsid w:val="009D5531"/>
    <w:rsid w:val="009D5670"/>
    <w:rsid w:val="009D57AF"/>
    <w:rsid w:val="009D5809"/>
    <w:rsid w:val="009D581B"/>
    <w:rsid w:val="009D5B6F"/>
    <w:rsid w:val="009D5B82"/>
    <w:rsid w:val="009D64B5"/>
    <w:rsid w:val="009D6937"/>
    <w:rsid w:val="009D6AA5"/>
    <w:rsid w:val="009D6C0F"/>
    <w:rsid w:val="009D6DCF"/>
    <w:rsid w:val="009D6EB1"/>
    <w:rsid w:val="009D71CD"/>
    <w:rsid w:val="009D744A"/>
    <w:rsid w:val="009D766A"/>
    <w:rsid w:val="009D77B9"/>
    <w:rsid w:val="009D77DD"/>
    <w:rsid w:val="009D7CE5"/>
    <w:rsid w:val="009D7DFC"/>
    <w:rsid w:val="009E0125"/>
    <w:rsid w:val="009E0128"/>
    <w:rsid w:val="009E0559"/>
    <w:rsid w:val="009E05B4"/>
    <w:rsid w:val="009E087C"/>
    <w:rsid w:val="009E097A"/>
    <w:rsid w:val="009E0AA3"/>
    <w:rsid w:val="009E0B20"/>
    <w:rsid w:val="009E0C1D"/>
    <w:rsid w:val="009E0EF3"/>
    <w:rsid w:val="009E0F4D"/>
    <w:rsid w:val="009E129F"/>
    <w:rsid w:val="009E135A"/>
    <w:rsid w:val="009E154A"/>
    <w:rsid w:val="009E1825"/>
    <w:rsid w:val="009E191C"/>
    <w:rsid w:val="009E1BB9"/>
    <w:rsid w:val="009E1C35"/>
    <w:rsid w:val="009E1C39"/>
    <w:rsid w:val="009E1D38"/>
    <w:rsid w:val="009E2155"/>
    <w:rsid w:val="009E2330"/>
    <w:rsid w:val="009E24A4"/>
    <w:rsid w:val="009E2538"/>
    <w:rsid w:val="009E25BC"/>
    <w:rsid w:val="009E272B"/>
    <w:rsid w:val="009E2936"/>
    <w:rsid w:val="009E2B2C"/>
    <w:rsid w:val="009E2FA3"/>
    <w:rsid w:val="009E2FA5"/>
    <w:rsid w:val="009E303C"/>
    <w:rsid w:val="009E30AF"/>
    <w:rsid w:val="009E315E"/>
    <w:rsid w:val="009E3331"/>
    <w:rsid w:val="009E34A7"/>
    <w:rsid w:val="009E34D9"/>
    <w:rsid w:val="009E3516"/>
    <w:rsid w:val="009E370D"/>
    <w:rsid w:val="009E3797"/>
    <w:rsid w:val="009E3E7B"/>
    <w:rsid w:val="009E3EFA"/>
    <w:rsid w:val="009E41A7"/>
    <w:rsid w:val="009E45D1"/>
    <w:rsid w:val="009E4644"/>
    <w:rsid w:val="009E46F3"/>
    <w:rsid w:val="009E496F"/>
    <w:rsid w:val="009E4B16"/>
    <w:rsid w:val="009E4EA1"/>
    <w:rsid w:val="009E501D"/>
    <w:rsid w:val="009E51EC"/>
    <w:rsid w:val="009E5318"/>
    <w:rsid w:val="009E5461"/>
    <w:rsid w:val="009E573B"/>
    <w:rsid w:val="009E57A4"/>
    <w:rsid w:val="009E5955"/>
    <w:rsid w:val="009E5AF1"/>
    <w:rsid w:val="009E62CA"/>
    <w:rsid w:val="009E6390"/>
    <w:rsid w:val="009E63D6"/>
    <w:rsid w:val="009E63E6"/>
    <w:rsid w:val="009E652A"/>
    <w:rsid w:val="009E6AA4"/>
    <w:rsid w:val="009E6BD6"/>
    <w:rsid w:val="009E6C9A"/>
    <w:rsid w:val="009E6CFC"/>
    <w:rsid w:val="009E6D3E"/>
    <w:rsid w:val="009E6D4C"/>
    <w:rsid w:val="009E6EB4"/>
    <w:rsid w:val="009E7022"/>
    <w:rsid w:val="009E7096"/>
    <w:rsid w:val="009E7593"/>
    <w:rsid w:val="009E775D"/>
    <w:rsid w:val="009E7DB4"/>
    <w:rsid w:val="009E7E6A"/>
    <w:rsid w:val="009E7E81"/>
    <w:rsid w:val="009F0042"/>
    <w:rsid w:val="009F039A"/>
    <w:rsid w:val="009F0534"/>
    <w:rsid w:val="009F0569"/>
    <w:rsid w:val="009F0A67"/>
    <w:rsid w:val="009F0D78"/>
    <w:rsid w:val="009F0F95"/>
    <w:rsid w:val="009F139B"/>
    <w:rsid w:val="009F146B"/>
    <w:rsid w:val="009F17E7"/>
    <w:rsid w:val="009F19F0"/>
    <w:rsid w:val="009F1C40"/>
    <w:rsid w:val="009F1E7D"/>
    <w:rsid w:val="009F1F61"/>
    <w:rsid w:val="009F2171"/>
    <w:rsid w:val="009F2615"/>
    <w:rsid w:val="009F29F3"/>
    <w:rsid w:val="009F2C02"/>
    <w:rsid w:val="009F2D4E"/>
    <w:rsid w:val="009F2EBB"/>
    <w:rsid w:val="009F3072"/>
    <w:rsid w:val="009F3758"/>
    <w:rsid w:val="009F38CD"/>
    <w:rsid w:val="009F3B89"/>
    <w:rsid w:val="009F3D8A"/>
    <w:rsid w:val="009F3F9B"/>
    <w:rsid w:val="009F4227"/>
    <w:rsid w:val="009F42E4"/>
    <w:rsid w:val="009F43C8"/>
    <w:rsid w:val="009F43E8"/>
    <w:rsid w:val="009F45B0"/>
    <w:rsid w:val="009F4790"/>
    <w:rsid w:val="009F47E6"/>
    <w:rsid w:val="009F48E8"/>
    <w:rsid w:val="009F494C"/>
    <w:rsid w:val="009F4ABC"/>
    <w:rsid w:val="009F4B82"/>
    <w:rsid w:val="009F4C18"/>
    <w:rsid w:val="009F4DD6"/>
    <w:rsid w:val="009F50F2"/>
    <w:rsid w:val="009F541E"/>
    <w:rsid w:val="009F55E0"/>
    <w:rsid w:val="009F56A2"/>
    <w:rsid w:val="009F5A59"/>
    <w:rsid w:val="009F5BEA"/>
    <w:rsid w:val="009F5C88"/>
    <w:rsid w:val="009F5DE8"/>
    <w:rsid w:val="009F5E53"/>
    <w:rsid w:val="009F5F37"/>
    <w:rsid w:val="009F612E"/>
    <w:rsid w:val="009F63D1"/>
    <w:rsid w:val="009F63F4"/>
    <w:rsid w:val="009F6C17"/>
    <w:rsid w:val="009F6DA5"/>
    <w:rsid w:val="009F702F"/>
    <w:rsid w:val="009F7067"/>
    <w:rsid w:val="009F759E"/>
    <w:rsid w:val="009F75B0"/>
    <w:rsid w:val="009F7782"/>
    <w:rsid w:val="009F77E0"/>
    <w:rsid w:val="009F7A40"/>
    <w:rsid w:val="009F7B1E"/>
    <w:rsid w:val="009F7C47"/>
    <w:rsid w:val="009F7F8A"/>
    <w:rsid w:val="009F7F90"/>
    <w:rsid w:val="009F7FB2"/>
    <w:rsid w:val="00A0013D"/>
    <w:rsid w:val="00A003BD"/>
    <w:rsid w:val="00A005B2"/>
    <w:rsid w:val="00A00798"/>
    <w:rsid w:val="00A007A5"/>
    <w:rsid w:val="00A0087A"/>
    <w:rsid w:val="00A0093F"/>
    <w:rsid w:val="00A00CE7"/>
    <w:rsid w:val="00A00D9F"/>
    <w:rsid w:val="00A00E5A"/>
    <w:rsid w:val="00A00FEB"/>
    <w:rsid w:val="00A0102F"/>
    <w:rsid w:val="00A01407"/>
    <w:rsid w:val="00A01498"/>
    <w:rsid w:val="00A0172D"/>
    <w:rsid w:val="00A018ED"/>
    <w:rsid w:val="00A01905"/>
    <w:rsid w:val="00A0193D"/>
    <w:rsid w:val="00A01A8E"/>
    <w:rsid w:val="00A01C15"/>
    <w:rsid w:val="00A01F1F"/>
    <w:rsid w:val="00A0237E"/>
    <w:rsid w:val="00A023D8"/>
    <w:rsid w:val="00A02429"/>
    <w:rsid w:val="00A02A6A"/>
    <w:rsid w:val="00A02AB0"/>
    <w:rsid w:val="00A030CF"/>
    <w:rsid w:val="00A03176"/>
    <w:rsid w:val="00A032CE"/>
    <w:rsid w:val="00A032E1"/>
    <w:rsid w:val="00A03458"/>
    <w:rsid w:val="00A034D6"/>
    <w:rsid w:val="00A0360E"/>
    <w:rsid w:val="00A03650"/>
    <w:rsid w:val="00A03742"/>
    <w:rsid w:val="00A03CDB"/>
    <w:rsid w:val="00A03EA6"/>
    <w:rsid w:val="00A03F87"/>
    <w:rsid w:val="00A03FC8"/>
    <w:rsid w:val="00A040CB"/>
    <w:rsid w:val="00A046EB"/>
    <w:rsid w:val="00A0472B"/>
    <w:rsid w:val="00A0480A"/>
    <w:rsid w:val="00A049DF"/>
    <w:rsid w:val="00A04A0E"/>
    <w:rsid w:val="00A04B6C"/>
    <w:rsid w:val="00A04F3F"/>
    <w:rsid w:val="00A05100"/>
    <w:rsid w:val="00A05140"/>
    <w:rsid w:val="00A05380"/>
    <w:rsid w:val="00A05B1A"/>
    <w:rsid w:val="00A05D26"/>
    <w:rsid w:val="00A05E5E"/>
    <w:rsid w:val="00A05EBC"/>
    <w:rsid w:val="00A06054"/>
    <w:rsid w:val="00A06136"/>
    <w:rsid w:val="00A06239"/>
    <w:rsid w:val="00A062FA"/>
    <w:rsid w:val="00A063F4"/>
    <w:rsid w:val="00A064F1"/>
    <w:rsid w:val="00A065DC"/>
    <w:rsid w:val="00A065E3"/>
    <w:rsid w:val="00A06714"/>
    <w:rsid w:val="00A068E3"/>
    <w:rsid w:val="00A06914"/>
    <w:rsid w:val="00A06AA1"/>
    <w:rsid w:val="00A06AB6"/>
    <w:rsid w:val="00A06E05"/>
    <w:rsid w:val="00A071FE"/>
    <w:rsid w:val="00A0722E"/>
    <w:rsid w:val="00A073AF"/>
    <w:rsid w:val="00A07518"/>
    <w:rsid w:val="00A07682"/>
    <w:rsid w:val="00A078B9"/>
    <w:rsid w:val="00A07AAD"/>
    <w:rsid w:val="00A07B48"/>
    <w:rsid w:val="00A07FA4"/>
    <w:rsid w:val="00A1005F"/>
    <w:rsid w:val="00A10115"/>
    <w:rsid w:val="00A1023D"/>
    <w:rsid w:val="00A102CC"/>
    <w:rsid w:val="00A10424"/>
    <w:rsid w:val="00A108F4"/>
    <w:rsid w:val="00A10A6F"/>
    <w:rsid w:val="00A10AF0"/>
    <w:rsid w:val="00A10B24"/>
    <w:rsid w:val="00A10BEB"/>
    <w:rsid w:val="00A10BF9"/>
    <w:rsid w:val="00A10DCC"/>
    <w:rsid w:val="00A10DEE"/>
    <w:rsid w:val="00A10FBF"/>
    <w:rsid w:val="00A110BE"/>
    <w:rsid w:val="00A111F5"/>
    <w:rsid w:val="00A11250"/>
    <w:rsid w:val="00A1127A"/>
    <w:rsid w:val="00A112DC"/>
    <w:rsid w:val="00A112FC"/>
    <w:rsid w:val="00A1189A"/>
    <w:rsid w:val="00A11984"/>
    <w:rsid w:val="00A11BAE"/>
    <w:rsid w:val="00A11EDC"/>
    <w:rsid w:val="00A12174"/>
    <w:rsid w:val="00A12265"/>
    <w:rsid w:val="00A1245B"/>
    <w:rsid w:val="00A1259C"/>
    <w:rsid w:val="00A1262A"/>
    <w:rsid w:val="00A12843"/>
    <w:rsid w:val="00A12870"/>
    <w:rsid w:val="00A128D7"/>
    <w:rsid w:val="00A129B2"/>
    <w:rsid w:val="00A129E8"/>
    <w:rsid w:val="00A12AAF"/>
    <w:rsid w:val="00A12E93"/>
    <w:rsid w:val="00A12E9B"/>
    <w:rsid w:val="00A12FE6"/>
    <w:rsid w:val="00A13015"/>
    <w:rsid w:val="00A1328D"/>
    <w:rsid w:val="00A13338"/>
    <w:rsid w:val="00A13BCA"/>
    <w:rsid w:val="00A13D05"/>
    <w:rsid w:val="00A13FF1"/>
    <w:rsid w:val="00A14177"/>
    <w:rsid w:val="00A141CC"/>
    <w:rsid w:val="00A14297"/>
    <w:rsid w:val="00A14455"/>
    <w:rsid w:val="00A145DE"/>
    <w:rsid w:val="00A14697"/>
    <w:rsid w:val="00A1469F"/>
    <w:rsid w:val="00A1471F"/>
    <w:rsid w:val="00A14880"/>
    <w:rsid w:val="00A149CD"/>
    <w:rsid w:val="00A14A4D"/>
    <w:rsid w:val="00A14AB2"/>
    <w:rsid w:val="00A14ACE"/>
    <w:rsid w:val="00A14B13"/>
    <w:rsid w:val="00A14BB2"/>
    <w:rsid w:val="00A14BB4"/>
    <w:rsid w:val="00A14C99"/>
    <w:rsid w:val="00A14D73"/>
    <w:rsid w:val="00A14DEE"/>
    <w:rsid w:val="00A150D6"/>
    <w:rsid w:val="00A15194"/>
    <w:rsid w:val="00A1553A"/>
    <w:rsid w:val="00A15577"/>
    <w:rsid w:val="00A1561E"/>
    <w:rsid w:val="00A1566D"/>
    <w:rsid w:val="00A15AFC"/>
    <w:rsid w:val="00A15CF1"/>
    <w:rsid w:val="00A15EF8"/>
    <w:rsid w:val="00A15FC1"/>
    <w:rsid w:val="00A16027"/>
    <w:rsid w:val="00A16326"/>
    <w:rsid w:val="00A168EF"/>
    <w:rsid w:val="00A16B5E"/>
    <w:rsid w:val="00A16EBC"/>
    <w:rsid w:val="00A16F46"/>
    <w:rsid w:val="00A170E4"/>
    <w:rsid w:val="00A17477"/>
    <w:rsid w:val="00A17C62"/>
    <w:rsid w:val="00A17C95"/>
    <w:rsid w:val="00A17E5C"/>
    <w:rsid w:val="00A17F6F"/>
    <w:rsid w:val="00A17FC4"/>
    <w:rsid w:val="00A20259"/>
    <w:rsid w:val="00A203B3"/>
    <w:rsid w:val="00A2076A"/>
    <w:rsid w:val="00A207D4"/>
    <w:rsid w:val="00A20906"/>
    <w:rsid w:val="00A20CD7"/>
    <w:rsid w:val="00A20D29"/>
    <w:rsid w:val="00A20D65"/>
    <w:rsid w:val="00A21087"/>
    <w:rsid w:val="00A21121"/>
    <w:rsid w:val="00A215CE"/>
    <w:rsid w:val="00A21710"/>
    <w:rsid w:val="00A218D0"/>
    <w:rsid w:val="00A219A3"/>
    <w:rsid w:val="00A21A80"/>
    <w:rsid w:val="00A21C87"/>
    <w:rsid w:val="00A21D7A"/>
    <w:rsid w:val="00A21EAF"/>
    <w:rsid w:val="00A21FE0"/>
    <w:rsid w:val="00A22006"/>
    <w:rsid w:val="00A223AE"/>
    <w:rsid w:val="00A225CE"/>
    <w:rsid w:val="00A225EC"/>
    <w:rsid w:val="00A22826"/>
    <w:rsid w:val="00A22AB8"/>
    <w:rsid w:val="00A23597"/>
    <w:rsid w:val="00A23629"/>
    <w:rsid w:val="00A23808"/>
    <w:rsid w:val="00A23D5E"/>
    <w:rsid w:val="00A23EA3"/>
    <w:rsid w:val="00A2416F"/>
    <w:rsid w:val="00A242D2"/>
    <w:rsid w:val="00A242DD"/>
    <w:rsid w:val="00A24317"/>
    <w:rsid w:val="00A24361"/>
    <w:rsid w:val="00A24372"/>
    <w:rsid w:val="00A244B2"/>
    <w:rsid w:val="00A24527"/>
    <w:rsid w:val="00A246AB"/>
    <w:rsid w:val="00A247D4"/>
    <w:rsid w:val="00A248D4"/>
    <w:rsid w:val="00A24A79"/>
    <w:rsid w:val="00A24AFB"/>
    <w:rsid w:val="00A24B75"/>
    <w:rsid w:val="00A24C5C"/>
    <w:rsid w:val="00A24E30"/>
    <w:rsid w:val="00A2502E"/>
    <w:rsid w:val="00A25093"/>
    <w:rsid w:val="00A250AD"/>
    <w:rsid w:val="00A252A7"/>
    <w:rsid w:val="00A25333"/>
    <w:rsid w:val="00A253AB"/>
    <w:rsid w:val="00A25483"/>
    <w:rsid w:val="00A256B9"/>
    <w:rsid w:val="00A259BB"/>
    <w:rsid w:val="00A25F91"/>
    <w:rsid w:val="00A262ED"/>
    <w:rsid w:val="00A263ED"/>
    <w:rsid w:val="00A26509"/>
    <w:rsid w:val="00A2664E"/>
    <w:rsid w:val="00A26AC2"/>
    <w:rsid w:val="00A26B5F"/>
    <w:rsid w:val="00A26CD1"/>
    <w:rsid w:val="00A26E1E"/>
    <w:rsid w:val="00A26E9A"/>
    <w:rsid w:val="00A27042"/>
    <w:rsid w:val="00A27105"/>
    <w:rsid w:val="00A27155"/>
    <w:rsid w:val="00A27268"/>
    <w:rsid w:val="00A273FF"/>
    <w:rsid w:val="00A27599"/>
    <w:rsid w:val="00A275BD"/>
    <w:rsid w:val="00A2766A"/>
    <w:rsid w:val="00A27797"/>
    <w:rsid w:val="00A279F0"/>
    <w:rsid w:val="00A27B86"/>
    <w:rsid w:val="00A3065C"/>
    <w:rsid w:val="00A306C4"/>
    <w:rsid w:val="00A307BE"/>
    <w:rsid w:val="00A3087D"/>
    <w:rsid w:val="00A308A0"/>
    <w:rsid w:val="00A3096E"/>
    <w:rsid w:val="00A30A4C"/>
    <w:rsid w:val="00A30B6E"/>
    <w:rsid w:val="00A30BA5"/>
    <w:rsid w:val="00A30FB2"/>
    <w:rsid w:val="00A3108A"/>
    <w:rsid w:val="00A310B5"/>
    <w:rsid w:val="00A31192"/>
    <w:rsid w:val="00A313E8"/>
    <w:rsid w:val="00A31593"/>
    <w:rsid w:val="00A3184E"/>
    <w:rsid w:val="00A318A7"/>
    <w:rsid w:val="00A31CA5"/>
    <w:rsid w:val="00A31FBD"/>
    <w:rsid w:val="00A32357"/>
    <w:rsid w:val="00A3239A"/>
    <w:rsid w:val="00A3244A"/>
    <w:rsid w:val="00A325F5"/>
    <w:rsid w:val="00A32619"/>
    <w:rsid w:val="00A326B2"/>
    <w:rsid w:val="00A3274F"/>
    <w:rsid w:val="00A32916"/>
    <w:rsid w:val="00A32A37"/>
    <w:rsid w:val="00A32C80"/>
    <w:rsid w:val="00A32CD4"/>
    <w:rsid w:val="00A32D72"/>
    <w:rsid w:val="00A333FE"/>
    <w:rsid w:val="00A3381B"/>
    <w:rsid w:val="00A33BB2"/>
    <w:rsid w:val="00A33C4A"/>
    <w:rsid w:val="00A33D0D"/>
    <w:rsid w:val="00A33DF1"/>
    <w:rsid w:val="00A340C0"/>
    <w:rsid w:val="00A34155"/>
    <w:rsid w:val="00A3416B"/>
    <w:rsid w:val="00A34371"/>
    <w:rsid w:val="00A34538"/>
    <w:rsid w:val="00A345F2"/>
    <w:rsid w:val="00A34D6C"/>
    <w:rsid w:val="00A34FA9"/>
    <w:rsid w:val="00A355D1"/>
    <w:rsid w:val="00A3570D"/>
    <w:rsid w:val="00A35D82"/>
    <w:rsid w:val="00A36064"/>
    <w:rsid w:val="00A3617E"/>
    <w:rsid w:val="00A36203"/>
    <w:rsid w:val="00A362C7"/>
    <w:rsid w:val="00A3649C"/>
    <w:rsid w:val="00A3650B"/>
    <w:rsid w:val="00A368F9"/>
    <w:rsid w:val="00A368FE"/>
    <w:rsid w:val="00A36AB9"/>
    <w:rsid w:val="00A36CBB"/>
    <w:rsid w:val="00A36CC0"/>
    <w:rsid w:val="00A36FA6"/>
    <w:rsid w:val="00A36FCF"/>
    <w:rsid w:val="00A371D5"/>
    <w:rsid w:val="00A37272"/>
    <w:rsid w:val="00A372C7"/>
    <w:rsid w:val="00A3760B"/>
    <w:rsid w:val="00A37785"/>
    <w:rsid w:val="00A37A25"/>
    <w:rsid w:val="00A37B20"/>
    <w:rsid w:val="00A37D8A"/>
    <w:rsid w:val="00A37EDA"/>
    <w:rsid w:val="00A37FCA"/>
    <w:rsid w:val="00A40036"/>
    <w:rsid w:val="00A401F4"/>
    <w:rsid w:val="00A40413"/>
    <w:rsid w:val="00A4041A"/>
    <w:rsid w:val="00A40532"/>
    <w:rsid w:val="00A4074D"/>
    <w:rsid w:val="00A40C25"/>
    <w:rsid w:val="00A40DEA"/>
    <w:rsid w:val="00A41042"/>
    <w:rsid w:val="00A410A1"/>
    <w:rsid w:val="00A4110C"/>
    <w:rsid w:val="00A41395"/>
    <w:rsid w:val="00A4141B"/>
    <w:rsid w:val="00A41473"/>
    <w:rsid w:val="00A41820"/>
    <w:rsid w:val="00A41AD7"/>
    <w:rsid w:val="00A41B9D"/>
    <w:rsid w:val="00A41BCF"/>
    <w:rsid w:val="00A41BDC"/>
    <w:rsid w:val="00A41BFB"/>
    <w:rsid w:val="00A41D36"/>
    <w:rsid w:val="00A41E41"/>
    <w:rsid w:val="00A420AD"/>
    <w:rsid w:val="00A4215F"/>
    <w:rsid w:val="00A42446"/>
    <w:rsid w:val="00A425C8"/>
    <w:rsid w:val="00A427BC"/>
    <w:rsid w:val="00A42818"/>
    <w:rsid w:val="00A42988"/>
    <w:rsid w:val="00A429F9"/>
    <w:rsid w:val="00A42A5D"/>
    <w:rsid w:val="00A42C53"/>
    <w:rsid w:val="00A42EA5"/>
    <w:rsid w:val="00A42F2B"/>
    <w:rsid w:val="00A430E1"/>
    <w:rsid w:val="00A4311B"/>
    <w:rsid w:val="00A434DE"/>
    <w:rsid w:val="00A434DF"/>
    <w:rsid w:val="00A43940"/>
    <w:rsid w:val="00A439BC"/>
    <w:rsid w:val="00A43A8B"/>
    <w:rsid w:val="00A43F60"/>
    <w:rsid w:val="00A43F67"/>
    <w:rsid w:val="00A44004"/>
    <w:rsid w:val="00A44159"/>
    <w:rsid w:val="00A441FE"/>
    <w:rsid w:val="00A44AD7"/>
    <w:rsid w:val="00A44C18"/>
    <w:rsid w:val="00A44CEC"/>
    <w:rsid w:val="00A450D2"/>
    <w:rsid w:val="00A450F9"/>
    <w:rsid w:val="00A45248"/>
    <w:rsid w:val="00A45252"/>
    <w:rsid w:val="00A453E1"/>
    <w:rsid w:val="00A4562C"/>
    <w:rsid w:val="00A4588D"/>
    <w:rsid w:val="00A458CF"/>
    <w:rsid w:val="00A4637F"/>
    <w:rsid w:val="00A46526"/>
    <w:rsid w:val="00A4664F"/>
    <w:rsid w:val="00A467AB"/>
    <w:rsid w:val="00A46962"/>
    <w:rsid w:val="00A46999"/>
    <w:rsid w:val="00A46AAD"/>
    <w:rsid w:val="00A46C7E"/>
    <w:rsid w:val="00A46CA4"/>
    <w:rsid w:val="00A46CED"/>
    <w:rsid w:val="00A46E70"/>
    <w:rsid w:val="00A46F7B"/>
    <w:rsid w:val="00A47336"/>
    <w:rsid w:val="00A47572"/>
    <w:rsid w:val="00A47738"/>
    <w:rsid w:val="00A47CEF"/>
    <w:rsid w:val="00A47D0C"/>
    <w:rsid w:val="00A47D29"/>
    <w:rsid w:val="00A47F58"/>
    <w:rsid w:val="00A47FEE"/>
    <w:rsid w:val="00A5047D"/>
    <w:rsid w:val="00A504A2"/>
    <w:rsid w:val="00A504F5"/>
    <w:rsid w:val="00A50536"/>
    <w:rsid w:val="00A505FB"/>
    <w:rsid w:val="00A50651"/>
    <w:rsid w:val="00A50746"/>
    <w:rsid w:val="00A507F8"/>
    <w:rsid w:val="00A50D89"/>
    <w:rsid w:val="00A50DB7"/>
    <w:rsid w:val="00A50E3C"/>
    <w:rsid w:val="00A50F2B"/>
    <w:rsid w:val="00A51047"/>
    <w:rsid w:val="00A516E2"/>
    <w:rsid w:val="00A51AB7"/>
    <w:rsid w:val="00A51B82"/>
    <w:rsid w:val="00A51B84"/>
    <w:rsid w:val="00A51FDE"/>
    <w:rsid w:val="00A524D0"/>
    <w:rsid w:val="00A524DA"/>
    <w:rsid w:val="00A52518"/>
    <w:rsid w:val="00A52940"/>
    <w:rsid w:val="00A529BF"/>
    <w:rsid w:val="00A52AA6"/>
    <w:rsid w:val="00A52D56"/>
    <w:rsid w:val="00A52DA8"/>
    <w:rsid w:val="00A53215"/>
    <w:rsid w:val="00A53343"/>
    <w:rsid w:val="00A53617"/>
    <w:rsid w:val="00A5365B"/>
    <w:rsid w:val="00A538C0"/>
    <w:rsid w:val="00A53B0A"/>
    <w:rsid w:val="00A53D23"/>
    <w:rsid w:val="00A540B1"/>
    <w:rsid w:val="00A540B3"/>
    <w:rsid w:val="00A54133"/>
    <w:rsid w:val="00A541A7"/>
    <w:rsid w:val="00A54325"/>
    <w:rsid w:val="00A5432F"/>
    <w:rsid w:val="00A54446"/>
    <w:rsid w:val="00A544EE"/>
    <w:rsid w:val="00A5478B"/>
    <w:rsid w:val="00A549BE"/>
    <w:rsid w:val="00A54B71"/>
    <w:rsid w:val="00A554FA"/>
    <w:rsid w:val="00A5567B"/>
    <w:rsid w:val="00A558A3"/>
    <w:rsid w:val="00A55BE6"/>
    <w:rsid w:val="00A55D08"/>
    <w:rsid w:val="00A55DF5"/>
    <w:rsid w:val="00A55EB2"/>
    <w:rsid w:val="00A561AF"/>
    <w:rsid w:val="00A56338"/>
    <w:rsid w:val="00A5637F"/>
    <w:rsid w:val="00A563F3"/>
    <w:rsid w:val="00A56777"/>
    <w:rsid w:val="00A568D9"/>
    <w:rsid w:val="00A56904"/>
    <w:rsid w:val="00A56A43"/>
    <w:rsid w:val="00A56CB0"/>
    <w:rsid w:val="00A56E38"/>
    <w:rsid w:val="00A56F67"/>
    <w:rsid w:val="00A57052"/>
    <w:rsid w:val="00A575BB"/>
    <w:rsid w:val="00A5760A"/>
    <w:rsid w:val="00A57642"/>
    <w:rsid w:val="00A5769C"/>
    <w:rsid w:val="00A57BCE"/>
    <w:rsid w:val="00A57D22"/>
    <w:rsid w:val="00A57DCA"/>
    <w:rsid w:val="00A57EEE"/>
    <w:rsid w:val="00A601F6"/>
    <w:rsid w:val="00A602A4"/>
    <w:rsid w:val="00A602D9"/>
    <w:rsid w:val="00A605E1"/>
    <w:rsid w:val="00A607B8"/>
    <w:rsid w:val="00A60911"/>
    <w:rsid w:val="00A60ADA"/>
    <w:rsid w:val="00A60BA0"/>
    <w:rsid w:val="00A60E2F"/>
    <w:rsid w:val="00A60FB7"/>
    <w:rsid w:val="00A613B2"/>
    <w:rsid w:val="00A614EB"/>
    <w:rsid w:val="00A6155F"/>
    <w:rsid w:val="00A615A3"/>
    <w:rsid w:val="00A61679"/>
    <w:rsid w:val="00A61793"/>
    <w:rsid w:val="00A619C7"/>
    <w:rsid w:val="00A61DCB"/>
    <w:rsid w:val="00A61F75"/>
    <w:rsid w:val="00A61FCB"/>
    <w:rsid w:val="00A62535"/>
    <w:rsid w:val="00A62642"/>
    <w:rsid w:val="00A6265C"/>
    <w:rsid w:val="00A627E4"/>
    <w:rsid w:val="00A62CCF"/>
    <w:rsid w:val="00A62E0C"/>
    <w:rsid w:val="00A62FE8"/>
    <w:rsid w:val="00A632AF"/>
    <w:rsid w:val="00A634FA"/>
    <w:rsid w:val="00A635CF"/>
    <w:rsid w:val="00A6390F"/>
    <w:rsid w:val="00A64038"/>
    <w:rsid w:val="00A6440C"/>
    <w:rsid w:val="00A648EB"/>
    <w:rsid w:val="00A64B02"/>
    <w:rsid w:val="00A64CD6"/>
    <w:rsid w:val="00A64DD4"/>
    <w:rsid w:val="00A64DE5"/>
    <w:rsid w:val="00A64ECE"/>
    <w:rsid w:val="00A65279"/>
    <w:rsid w:val="00A65324"/>
    <w:rsid w:val="00A6553F"/>
    <w:rsid w:val="00A655AC"/>
    <w:rsid w:val="00A65691"/>
    <w:rsid w:val="00A656B3"/>
    <w:rsid w:val="00A6580E"/>
    <w:rsid w:val="00A65919"/>
    <w:rsid w:val="00A65B45"/>
    <w:rsid w:val="00A65B9C"/>
    <w:rsid w:val="00A66056"/>
    <w:rsid w:val="00A66472"/>
    <w:rsid w:val="00A665F6"/>
    <w:rsid w:val="00A667A1"/>
    <w:rsid w:val="00A66AAA"/>
    <w:rsid w:val="00A66E6B"/>
    <w:rsid w:val="00A672E8"/>
    <w:rsid w:val="00A675D9"/>
    <w:rsid w:val="00A67AA0"/>
    <w:rsid w:val="00A67BC3"/>
    <w:rsid w:val="00A67C0E"/>
    <w:rsid w:val="00A70243"/>
    <w:rsid w:val="00A70362"/>
    <w:rsid w:val="00A70420"/>
    <w:rsid w:val="00A7067D"/>
    <w:rsid w:val="00A706DE"/>
    <w:rsid w:val="00A7076A"/>
    <w:rsid w:val="00A7086B"/>
    <w:rsid w:val="00A70937"/>
    <w:rsid w:val="00A70AC3"/>
    <w:rsid w:val="00A70CA3"/>
    <w:rsid w:val="00A70E16"/>
    <w:rsid w:val="00A711DC"/>
    <w:rsid w:val="00A71223"/>
    <w:rsid w:val="00A715CC"/>
    <w:rsid w:val="00A7170D"/>
    <w:rsid w:val="00A7187A"/>
    <w:rsid w:val="00A718E6"/>
    <w:rsid w:val="00A71911"/>
    <w:rsid w:val="00A72154"/>
    <w:rsid w:val="00A72357"/>
    <w:rsid w:val="00A7278B"/>
    <w:rsid w:val="00A7289E"/>
    <w:rsid w:val="00A729E3"/>
    <w:rsid w:val="00A72A69"/>
    <w:rsid w:val="00A72B27"/>
    <w:rsid w:val="00A72C02"/>
    <w:rsid w:val="00A72F10"/>
    <w:rsid w:val="00A7302A"/>
    <w:rsid w:val="00A73169"/>
    <w:rsid w:val="00A731FB"/>
    <w:rsid w:val="00A7321B"/>
    <w:rsid w:val="00A73401"/>
    <w:rsid w:val="00A7342F"/>
    <w:rsid w:val="00A73756"/>
    <w:rsid w:val="00A738FE"/>
    <w:rsid w:val="00A73B71"/>
    <w:rsid w:val="00A73E65"/>
    <w:rsid w:val="00A73F11"/>
    <w:rsid w:val="00A7441C"/>
    <w:rsid w:val="00A74496"/>
    <w:rsid w:val="00A74560"/>
    <w:rsid w:val="00A745CA"/>
    <w:rsid w:val="00A74888"/>
    <w:rsid w:val="00A74B0F"/>
    <w:rsid w:val="00A75024"/>
    <w:rsid w:val="00A75058"/>
    <w:rsid w:val="00A75186"/>
    <w:rsid w:val="00A752BB"/>
    <w:rsid w:val="00A75447"/>
    <w:rsid w:val="00A755A9"/>
    <w:rsid w:val="00A7569A"/>
    <w:rsid w:val="00A756C1"/>
    <w:rsid w:val="00A757D8"/>
    <w:rsid w:val="00A75CB2"/>
    <w:rsid w:val="00A75D0A"/>
    <w:rsid w:val="00A75F48"/>
    <w:rsid w:val="00A76022"/>
    <w:rsid w:val="00A762A3"/>
    <w:rsid w:val="00A762D2"/>
    <w:rsid w:val="00A7632F"/>
    <w:rsid w:val="00A765EA"/>
    <w:rsid w:val="00A76621"/>
    <w:rsid w:val="00A76731"/>
    <w:rsid w:val="00A76896"/>
    <w:rsid w:val="00A768E2"/>
    <w:rsid w:val="00A76934"/>
    <w:rsid w:val="00A76A4D"/>
    <w:rsid w:val="00A76A63"/>
    <w:rsid w:val="00A76CEB"/>
    <w:rsid w:val="00A77058"/>
    <w:rsid w:val="00A7734B"/>
    <w:rsid w:val="00A77893"/>
    <w:rsid w:val="00A77AF0"/>
    <w:rsid w:val="00A80111"/>
    <w:rsid w:val="00A80315"/>
    <w:rsid w:val="00A80323"/>
    <w:rsid w:val="00A8056D"/>
    <w:rsid w:val="00A80588"/>
    <w:rsid w:val="00A805E5"/>
    <w:rsid w:val="00A80826"/>
    <w:rsid w:val="00A80BC5"/>
    <w:rsid w:val="00A80C82"/>
    <w:rsid w:val="00A80EE2"/>
    <w:rsid w:val="00A80F23"/>
    <w:rsid w:val="00A80F2A"/>
    <w:rsid w:val="00A80FCD"/>
    <w:rsid w:val="00A81079"/>
    <w:rsid w:val="00A812DF"/>
    <w:rsid w:val="00A813D6"/>
    <w:rsid w:val="00A81ABF"/>
    <w:rsid w:val="00A81D08"/>
    <w:rsid w:val="00A81D12"/>
    <w:rsid w:val="00A81FA4"/>
    <w:rsid w:val="00A82568"/>
    <w:rsid w:val="00A826C1"/>
    <w:rsid w:val="00A82C4A"/>
    <w:rsid w:val="00A82C73"/>
    <w:rsid w:val="00A82DCC"/>
    <w:rsid w:val="00A82EB7"/>
    <w:rsid w:val="00A82ECC"/>
    <w:rsid w:val="00A82FB9"/>
    <w:rsid w:val="00A83239"/>
    <w:rsid w:val="00A83254"/>
    <w:rsid w:val="00A83661"/>
    <w:rsid w:val="00A836AD"/>
    <w:rsid w:val="00A838E2"/>
    <w:rsid w:val="00A8393F"/>
    <w:rsid w:val="00A83C7F"/>
    <w:rsid w:val="00A83F65"/>
    <w:rsid w:val="00A84321"/>
    <w:rsid w:val="00A843CD"/>
    <w:rsid w:val="00A8453A"/>
    <w:rsid w:val="00A84674"/>
    <w:rsid w:val="00A8484F"/>
    <w:rsid w:val="00A84998"/>
    <w:rsid w:val="00A85028"/>
    <w:rsid w:val="00A85066"/>
    <w:rsid w:val="00A852B0"/>
    <w:rsid w:val="00A852BF"/>
    <w:rsid w:val="00A8582B"/>
    <w:rsid w:val="00A85B60"/>
    <w:rsid w:val="00A85C09"/>
    <w:rsid w:val="00A85CEE"/>
    <w:rsid w:val="00A85D6B"/>
    <w:rsid w:val="00A85D97"/>
    <w:rsid w:val="00A85E39"/>
    <w:rsid w:val="00A85F1C"/>
    <w:rsid w:val="00A85F30"/>
    <w:rsid w:val="00A86549"/>
    <w:rsid w:val="00A86589"/>
    <w:rsid w:val="00A8668C"/>
    <w:rsid w:val="00A8670D"/>
    <w:rsid w:val="00A86A34"/>
    <w:rsid w:val="00A86FC6"/>
    <w:rsid w:val="00A87126"/>
    <w:rsid w:val="00A87293"/>
    <w:rsid w:val="00A876CD"/>
    <w:rsid w:val="00A876DD"/>
    <w:rsid w:val="00A87773"/>
    <w:rsid w:val="00A90260"/>
    <w:rsid w:val="00A902C8"/>
    <w:rsid w:val="00A903C5"/>
    <w:rsid w:val="00A9094A"/>
    <w:rsid w:val="00A909E5"/>
    <w:rsid w:val="00A913C0"/>
    <w:rsid w:val="00A91676"/>
    <w:rsid w:val="00A918C4"/>
    <w:rsid w:val="00A91AC0"/>
    <w:rsid w:val="00A91BC0"/>
    <w:rsid w:val="00A91D06"/>
    <w:rsid w:val="00A91F24"/>
    <w:rsid w:val="00A91F5E"/>
    <w:rsid w:val="00A92048"/>
    <w:rsid w:val="00A920C7"/>
    <w:rsid w:val="00A92132"/>
    <w:rsid w:val="00A9227E"/>
    <w:rsid w:val="00A929F8"/>
    <w:rsid w:val="00A92CD9"/>
    <w:rsid w:val="00A92DB8"/>
    <w:rsid w:val="00A92F07"/>
    <w:rsid w:val="00A92F6F"/>
    <w:rsid w:val="00A9316B"/>
    <w:rsid w:val="00A932BB"/>
    <w:rsid w:val="00A932FA"/>
    <w:rsid w:val="00A93356"/>
    <w:rsid w:val="00A933A1"/>
    <w:rsid w:val="00A9393E"/>
    <w:rsid w:val="00A93D7E"/>
    <w:rsid w:val="00A9415E"/>
    <w:rsid w:val="00A9419F"/>
    <w:rsid w:val="00A943BD"/>
    <w:rsid w:val="00A94426"/>
    <w:rsid w:val="00A9447A"/>
    <w:rsid w:val="00A9489E"/>
    <w:rsid w:val="00A94A95"/>
    <w:rsid w:val="00A94DA3"/>
    <w:rsid w:val="00A94DA9"/>
    <w:rsid w:val="00A9500F"/>
    <w:rsid w:val="00A95091"/>
    <w:rsid w:val="00A951BF"/>
    <w:rsid w:val="00A9525B"/>
    <w:rsid w:val="00A95904"/>
    <w:rsid w:val="00A959C9"/>
    <w:rsid w:val="00A95A33"/>
    <w:rsid w:val="00A95BB1"/>
    <w:rsid w:val="00A95D1F"/>
    <w:rsid w:val="00A95E31"/>
    <w:rsid w:val="00A95F06"/>
    <w:rsid w:val="00A95F3B"/>
    <w:rsid w:val="00A95F3C"/>
    <w:rsid w:val="00A960B2"/>
    <w:rsid w:val="00A9626C"/>
    <w:rsid w:val="00A96468"/>
    <w:rsid w:val="00A96484"/>
    <w:rsid w:val="00A96515"/>
    <w:rsid w:val="00A966B4"/>
    <w:rsid w:val="00A96703"/>
    <w:rsid w:val="00A9675E"/>
    <w:rsid w:val="00A96B9A"/>
    <w:rsid w:val="00A96CED"/>
    <w:rsid w:val="00A96D95"/>
    <w:rsid w:val="00A96E80"/>
    <w:rsid w:val="00A96FD8"/>
    <w:rsid w:val="00A9712F"/>
    <w:rsid w:val="00A971BF"/>
    <w:rsid w:val="00A9732B"/>
    <w:rsid w:val="00A973C8"/>
    <w:rsid w:val="00A97BA5"/>
    <w:rsid w:val="00AA0150"/>
    <w:rsid w:val="00AA01F9"/>
    <w:rsid w:val="00AA082F"/>
    <w:rsid w:val="00AA08C1"/>
    <w:rsid w:val="00AA0A4D"/>
    <w:rsid w:val="00AA0A58"/>
    <w:rsid w:val="00AA0B09"/>
    <w:rsid w:val="00AA0B14"/>
    <w:rsid w:val="00AA0C88"/>
    <w:rsid w:val="00AA0E31"/>
    <w:rsid w:val="00AA110B"/>
    <w:rsid w:val="00AA115A"/>
    <w:rsid w:val="00AA1177"/>
    <w:rsid w:val="00AA117A"/>
    <w:rsid w:val="00AA13A7"/>
    <w:rsid w:val="00AA14C3"/>
    <w:rsid w:val="00AA176A"/>
    <w:rsid w:val="00AA17B6"/>
    <w:rsid w:val="00AA18A0"/>
    <w:rsid w:val="00AA1913"/>
    <w:rsid w:val="00AA1CA2"/>
    <w:rsid w:val="00AA1F34"/>
    <w:rsid w:val="00AA2012"/>
    <w:rsid w:val="00AA2574"/>
    <w:rsid w:val="00AA2955"/>
    <w:rsid w:val="00AA2FE8"/>
    <w:rsid w:val="00AA32F6"/>
    <w:rsid w:val="00AA3388"/>
    <w:rsid w:val="00AA3450"/>
    <w:rsid w:val="00AA3497"/>
    <w:rsid w:val="00AA34CE"/>
    <w:rsid w:val="00AA34D8"/>
    <w:rsid w:val="00AA36EB"/>
    <w:rsid w:val="00AA3738"/>
    <w:rsid w:val="00AA3755"/>
    <w:rsid w:val="00AA39F1"/>
    <w:rsid w:val="00AA3C6E"/>
    <w:rsid w:val="00AA3DC3"/>
    <w:rsid w:val="00AA3F32"/>
    <w:rsid w:val="00AA409E"/>
    <w:rsid w:val="00AA4130"/>
    <w:rsid w:val="00AA4186"/>
    <w:rsid w:val="00AA41E5"/>
    <w:rsid w:val="00AA43DD"/>
    <w:rsid w:val="00AA45EC"/>
    <w:rsid w:val="00AA4779"/>
    <w:rsid w:val="00AA4C41"/>
    <w:rsid w:val="00AA4E04"/>
    <w:rsid w:val="00AA502C"/>
    <w:rsid w:val="00AA5077"/>
    <w:rsid w:val="00AA50D0"/>
    <w:rsid w:val="00AA5138"/>
    <w:rsid w:val="00AA537F"/>
    <w:rsid w:val="00AA5678"/>
    <w:rsid w:val="00AA5794"/>
    <w:rsid w:val="00AA58AD"/>
    <w:rsid w:val="00AA5B54"/>
    <w:rsid w:val="00AA5D46"/>
    <w:rsid w:val="00AA5F2B"/>
    <w:rsid w:val="00AA606C"/>
    <w:rsid w:val="00AA6298"/>
    <w:rsid w:val="00AA62B3"/>
    <w:rsid w:val="00AA6331"/>
    <w:rsid w:val="00AA64DD"/>
    <w:rsid w:val="00AA67F7"/>
    <w:rsid w:val="00AA689D"/>
    <w:rsid w:val="00AA68CE"/>
    <w:rsid w:val="00AA6AEA"/>
    <w:rsid w:val="00AA6BD9"/>
    <w:rsid w:val="00AA6C15"/>
    <w:rsid w:val="00AA6F94"/>
    <w:rsid w:val="00AA7078"/>
    <w:rsid w:val="00AA715E"/>
    <w:rsid w:val="00AA73E6"/>
    <w:rsid w:val="00AA756B"/>
    <w:rsid w:val="00AA7781"/>
    <w:rsid w:val="00AA77B2"/>
    <w:rsid w:val="00AA7D41"/>
    <w:rsid w:val="00AA7E19"/>
    <w:rsid w:val="00AA7EA8"/>
    <w:rsid w:val="00AA7EDF"/>
    <w:rsid w:val="00AA7F5F"/>
    <w:rsid w:val="00AB00CC"/>
    <w:rsid w:val="00AB0126"/>
    <w:rsid w:val="00AB0288"/>
    <w:rsid w:val="00AB0430"/>
    <w:rsid w:val="00AB08EC"/>
    <w:rsid w:val="00AB08F7"/>
    <w:rsid w:val="00AB0A7F"/>
    <w:rsid w:val="00AB0AE2"/>
    <w:rsid w:val="00AB0C49"/>
    <w:rsid w:val="00AB0DA8"/>
    <w:rsid w:val="00AB0FF1"/>
    <w:rsid w:val="00AB1156"/>
    <w:rsid w:val="00AB1469"/>
    <w:rsid w:val="00AB1A3B"/>
    <w:rsid w:val="00AB1C04"/>
    <w:rsid w:val="00AB209C"/>
    <w:rsid w:val="00AB20B4"/>
    <w:rsid w:val="00AB23C9"/>
    <w:rsid w:val="00AB24A2"/>
    <w:rsid w:val="00AB2662"/>
    <w:rsid w:val="00AB26F9"/>
    <w:rsid w:val="00AB28F9"/>
    <w:rsid w:val="00AB29E5"/>
    <w:rsid w:val="00AB2E0E"/>
    <w:rsid w:val="00AB2E41"/>
    <w:rsid w:val="00AB2E7C"/>
    <w:rsid w:val="00AB2F6E"/>
    <w:rsid w:val="00AB308B"/>
    <w:rsid w:val="00AB3243"/>
    <w:rsid w:val="00AB33BF"/>
    <w:rsid w:val="00AB33F1"/>
    <w:rsid w:val="00AB3780"/>
    <w:rsid w:val="00AB3DD5"/>
    <w:rsid w:val="00AB3E97"/>
    <w:rsid w:val="00AB4188"/>
    <w:rsid w:val="00AB418B"/>
    <w:rsid w:val="00AB4634"/>
    <w:rsid w:val="00AB4910"/>
    <w:rsid w:val="00AB4BCF"/>
    <w:rsid w:val="00AB4C3A"/>
    <w:rsid w:val="00AB4CEF"/>
    <w:rsid w:val="00AB4D90"/>
    <w:rsid w:val="00AB511D"/>
    <w:rsid w:val="00AB56E1"/>
    <w:rsid w:val="00AB5881"/>
    <w:rsid w:val="00AB5A88"/>
    <w:rsid w:val="00AB5AB7"/>
    <w:rsid w:val="00AB5C4A"/>
    <w:rsid w:val="00AB5F1D"/>
    <w:rsid w:val="00AB5FE9"/>
    <w:rsid w:val="00AB6A2B"/>
    <w:rsid w:val="00AB6EB6"/>
    <w:rsid w:val="00AB7393"/>
    <w:rsid w:val="00AB74F8"/>
    <w:rsid w:val="00AB757B"/>
    <w:rsid w:val="00AB770A"/>
    <w:rsid w:val="00AB775A"/>
    <w:rsid w:val="00AB7791"/>
    <w:rsid w:val="00AB7866"/>
    <w:rsid w:val="00AB7A2F"/>
    <w:rsid w:val="00AB7B22"/>
    <w:rsid w:val="00AB7E1A"/>
    <w:rsid w:val="00AC008A"/>
    <w:rsid w:val="00AC0489"/>
    <w:rsid w:val="00AC0603"/>
    <w:rsid w:val="00AC0702"/>
    <w:rsid w:val="00AC07E7"/>
    <w:rsid w:val="00AC09A2"/>
    <w:rsid w:val="00AC0A51"/>
    <w:rsid w:val="00AC0A58"/>
    <w:rsid w:val="00AC1052"/>
    <w:rsid w:val="00AC118D"/>
    <w:rsid w:val="00AC12DA"/>
    <w:rsid w:val="00AC146B"/>
    <w:rsid w:val="00AC17D8"/>
    <w:rsid w:val="00AC18AF"/>
    <w:rsid w:val="00AC19A1"/>
    <w:rsid w:val="00AC1BD5"/>
    <w:rsid w:val="00AC1C0F"/>
    <w:rsid w:val="00AC1DD7"/>
    <w:rsid w:val="00AC1DFA"/>
    <w:rsid w:val="00AC1ECA"/>
    <w:rsid w:val="00AC1FE1"/>
    <w:rsid w:val="00AC262E"/>
    <w:rsid w:val="00AC26C8"/>
    <w:rsid w:val="00AC2B5C"/>
    <w:rsid w:val="00AC2C7A"/>
    <w:rsid w:val="00AC2DBA"/>
    <w:rsid w:val="00AC2E58"/>
    <w:rsid w:val="00AC2FA3"/>
    <w:rsid w:val="00AC2FFC"/>
    <w:rsid w:val="00AC31A5"/>
    <w:rsid w:val="00AC3213"/>
    <w:rsid w:val="00AC3317"/>
    <w:rsid w:val="00AC3480"/>
    <w:rsid w:val="00AC35A5"/>
    <w:rsid w:val="00AC363F"/>
    <w:rsid w:val="00AC38C3"/>
    <w:rsid w:val="00AC3A3D"/>
    <w:rsid w:val="00AC3E84"/>
    <w:rsid w:val="00AC4432"/>
    <w:rsid w:val="00AC444F"/>
    <w:rsid w:val="00AC47E9"/>
    <w:rsid w:val="00AC4A92"/>
    <w:rsid w:val="00AC4CB9"/>
    <w:rsid w:val="00AC52B5"/>
    <w:rsid w:val="00AC53FC"/>
    <w:rsid w:val="00AC5449"/>
    <w:rsid w:val="00AC5467"/>
    <w:rsid w:val="00AC5494"/>
    <w:rsid w:val="00AC57E9"/>
    <w:rsid w:val="00AC57FA"/>
    <w:rsid w:val="00AC5A5D"/>
    <w:rsid w:val="00AC5D81"/>
    <w:rsid w:val="00AC614B"/>
    <w:rsid w:val="00AC621A"/>
    <w:rsid w:val="00AC6349"/>
    <w:rsid w:val="00AC65E8"/>
    <w:rsid w:val="00AC6643"/>
    <w:rsid w:val="00AC669E"/>
    <w:rsid w:val="00AC66D5"/>
    <w:rsid w:val="00AC6BFD"/>
    <w:rsid w:val="00AC6C31"/>
    <w:rsid w:val="00AC6DB5"/>
    <w:rsid w:val="00AC73F5"/>
    <w:rsid w:val="00AC7717"/>
    <w:rsid w:val="00AC7773"/>
    <w:rsid w:val="00AC7B51"/>
    <w:rsid w:val="00AC7BC2"/>
    <w:rsid w:val="00AC7E6E"/>
    <w:rsid w:val="00AC7F6B"/>
    <w:rsid w:val="00AC7FB3"/>
    <w:rsid w:val="00AD02ED"/>
    <w:rsid w:val="00AD030A"/>
    <w:rsid w:val="00AD03A6"/>
    <w:rsid w:val="00AD0414"/>
    <w:rsid w:val="00AD08EE"/>
    <w:rsid w:val="00AD09EA"/>
    <w:rsid w:val="00AD0A30"/>
    <w:rsid w:val="00AD0B37"/>
    <w:rsid w:val="00AD0CDC"/>
    <w:rsid w:val="00AD0DCA"/>
    <w:rsid w:val="00AD0E18"/>
    <w:rsid w:val="00AD0EB1"/>
    <w:rsid w:val="00AD10B6"/>
    <w:rsid w:val="00AD10F5"/>
    <w:rsid w:val="00AD129B"/>
    <w:rsid w:val="00AD1438"/>
    <w:rsid w:val="00AD1588"/>
    <w:rsid w:val="00AD15C0"/>
    <w:rsid w:val="00AD17F1"/>
    <w:rsid w:val="00AD1AB0"/>
    <w:rsid w:val="00AD1CD5"/>
    <w:rsid w:val="00AD1CF3"/>
    <w:rsid w:val="00AD1E7F"/>
    <w:rsid w:val="00AD1F10"/>
    <w:rsid w:val="00AD1F65"/>
    <w:rsid w:val="00AD2012"/>
    <w:rsid w:val="00AD2267"/>
    <w:rsid w:val="00AD2714"/>
    <w:rsid w:val="00AD27CD"/>
    <w:rsid w:val="00AD289B"/>
    <w:rsid w:val="00AD2CBF"/>
    <w:rsid w:val="00AD303D"/>
    <w:rsid w:val="00AD3206"/>
    <w:rsid w:val="00AD330B"/>
    <w:rsid w:val="00AD3A43"/>
    <w:rsid w:val="00AD3A57"/>
    <w:rsid w:val="00AD3CC5"/>
    <w:rsid w:val="00AD3CF6"/>
    <w:rsid w:val="00AD3D2A"/>
    <w:rsid w:val="00AD4202"/>
    <w:rsid w:val="00AD475A"/>
    <w:rsid w:val="00AD4AEC"/>
    <w:rsid w:val="00AD4E9A"/>
    <w:rsid w:val="00AD52E4"/>
    <w:rsid w:val="00AD541C"/>
    <w:rsid w:val="00AD5745"/>
    <w:rsid w:val="00AD5C9C"/>
    <w:rsid w:val="00AD5D62"/>
    <w:rsid w:val="00AD6056"/>
    <w:rsid w:val="00AD610F"/>
    <w:rsid w:val="00AD634E"/>
    <w:rsid w:val="00AD65D0"/>
    <w:rsid w:val="00AD66D7"/>
    <w:rsid w:val="00AD6793"/>
    <w:rsid w:val="00AD6799"/>
    <w:rsid w:val="00AD690C"/>
    <w:rsid w:val="00AD6F66"/>
    <w:rsid w:val="00AD6FB2"/>
    <w:rsid w:val="00AD6FF2"/>
    <w:rsid w:val="00AD7374"/>
    <w:rsid w:val="00AD74D8"/>
    <w:rsid w:val="00AD75D1"/>
    <w:rsid w:val="00AD7BF5"/>
    <w:rsid w:val="00AD7F31"/>
    <w:rsid w:val="00AE001B"/>
    <w:rsid w:val="00AE08A4"/>
    <w:rsid w:val="00AE09E4"/>
    <w:rsid w:val="00AE0AB7"/>
    <w:rsid w:val="00AE0C86"/>
    <w:rsid w:val="00AE0DB4"/>
    <w:rsid w:val="00AE0E8E"/>
    <w:rsid w:val="00AE14C6"/>
    <w:rsid w:val="00AE1595"/>
    <w:rsid w:val="00AE1654"/>
    <w:rsid w:val="00AE1804"/>
    <w:rsid w:val="00AE18DA"/>
    <w:rsid w:val="00AE1B85"/>
    <w:rsid w:val="00AE1CDE"/>
    <w:rsid w:val="00AE1E77"/>
    <w:rsid w:val="00AE1F86"/>
    <w:rsid w:val="00AE20C8"/>
    <w:rsid w:val="00AE2144"/>
    <w:rsid w:val="00AE220F"/>
    <w:rsid w:val="00AE24FE"/>
    <w:rsid w:val="00AE255E"/>
    <w:rsid w:val="00AE2A11"/>
    <w:rsid w:val="00AE2C22"/>
    <w:rsid w:val="00AE2CD3"/>
    <w:rsid w:val="00AE2D84"/>
    <w:rsid w:val="00AE3058"/>
    <w:rsid w:val="00AE31E4"/>
    <w:rsid w:val="00AE36E3"/>
    <w:rsid w:val="00AE381A"/>
    <w:rsid w:val="00AE397A"/>
    <w:rsid w:val="00AE3A44"/>
    <w:rsid w:val="00AE3B23"/>
    <w:rsid w:val="00AE3C37"/>
    <w:rsid w:val="00AE3D32"/>
    <w:rsid w:val="00AE3E59"/>
    <w:rsid w:val="00AE3EB2"/>
    <w:rsid w:val="00AE3F15"/>
    <w:rsid w:val="00AE43B7"/>
    <w:rsid w:val="00AE4870"/>
    <w:rsid w:val="00AE4D7D"/>
    <w:rsid w:val="00AE4E7A"/>
    <w:rsid w:val="00AE4E92"/>
    <w:rsid w:val="00AE4F7B"/>
    <w:rsid w:val="00AE541A"/>
    <w:rsid w:val="00AE549C"/>
    <w:rsid w:val="00AE5C52"/>
    <w:rsid w:val="00AE5E63"/>
    <w:rsid w:val="00AE60BF"/>
    <w:rsid w:val="00AE618A"/>
    <w:rsid w:val="00AE6592"/>
    <w:rsid w:val="00AE65CC"/>
    <w:rsid w:val="00AE661A"/>
    <w:rsid w:val="00AE6C43"/>
    <w:rsid w:val="00AE6CE4"/>
    <w:rsid w:val="00AE6D53"/>
    <w:rsid w:val="00AE6E04"/>
    <w:rsid w:val="00AE6E1E"/>
    <w:rsid w:val="00AE6F95"/>
    <w:rsid w:val="00AE7059"/>
    <w:rsid w:val="00AE7243"/>
    <w:rsid w:val="00AE77C6"/>
    <w:rsid w:val="00AE78BF"/>
    <w:rsid w:val="00AE7B90"/>
    <w:rsid w:val="00AE7BD5"/>
    <w:rsid w:val="00AE7D69"/>
    <w:rsid w:val="00AE7F03"/>
    <w:rsid w:val="00AE7FD6"/>
    <w:rsid w:val="00AF040D"/>
    <w:rsid w:val="00AF0525"/>
    <w:rsid w:val="00AF05A8"/>
    <w:rsid w:val="00AF0656"/>
    <w:rsid w:val="00AF076D"/>
    <w:rsid w:val="00AF0796"/>
    <w:rsid w:val="00AF0FD4"/>
    <w:rsid w:val="00AF18F1"/>
    <w:rsid w:val="00AF1961"/>
    <w:rsid w:val="00AF1CB8"/>
    <w:rsid w:val="00AF2295"/>
    <w:rsid w:val="00AF2338"/>
    <w:rsid w:val="00AF23A3"/>
    <w:rsid w:val="00AF23BE"/>
    <w:rsid w:val="00AF251D"/>
    <w:rsid w:val="00AF27B4"/>
    <w:rsid w:val="00AF295F"/>
    <w:rsid w:val="00AF2A5F"/>
    <w:rsid w:val="00AF2BC5"/>
    <w:rsid w:val="00AF2C25"/>
    <w:rsid w:val="00AF2CA0"/>
    <w:rsid w:val="00AF2E52"/>
    <w:rsid w:val="00AF30CD"/>
    <w:rsid w:val="00AF339E"/>
    <w:rsid w:val="00AF35EB"/>
    <w:rsid w:val="00AF37E8"/>
    <w:rsid w:val="00AF3A48"/>
    <w:rsid w:val="00AF3BFF"/>
    <w:rsid w:val="00AF3DA7"/>
    <w:rsid w:val="00AF3E12"/>
    <w:rsid w:val="00AF4055"/>
    <w:rsid w:val="00AF4062"/>
    <w:rsid w:val="00AF44BA"/>
    <w:rsid w:val="00AF46D8"/>
    <w:rsid w:val="00AF4764"/>
    <w:rsid w:val="00AF47A1"/>
    <w:rsid w:val="00AF493E"/>
    <w:rsid w:val="00AF4C4D"/>
    <w:rsid w:val="00AF4C7C"/>
    <w:rsid w:val="00AF504E"/>
    <w:rsid w:val="00AF55C7"/>
    <w:rsid w:val="00AF5696"/>
    <w:rsid w:val="00AF59F8"/>
    <w:rsid w:val="00AF6213"/>
    <w:rsid w:val="00AF6899"/>
    <w:rsid w:val="00AF6BD9"/>
    <w:rsid w:val="00AF6E10"/>
    <w:rsid w:val="00AF6E56"/>
    <w:rsid w:val="00AF7082"/>
    <w:rsid w:val="00AF77AA"/>
    <w:rsid w:val="00AF79D6"/>
    <w:rsid w:val="00AF7AB8"/>
    <w:rsid w:val="00AF7C00"/>
    <w:rsid w:val="00AF7C07"/>
    <w:rsid w:val="00B00544"/>
    <w:rsid w:val="00B0071D"/>
    <w:rsid w:val="00B007E6"/>
    <w:rsid w:val="00B00F8C"/>
    <w:rsid w:val="00B01037"/>
    <w:rsid w:val="00B01099"/>
    <w:rsid w:val="00B01214"/>
    <w:rsid w:val="00B0141F"/>
    <w:rsid w:val="00B01429"/>
    <w:rsid w:val="00B0146D"/>
    <w:rsid w:val="00B0165E"/>
    <w:rsid w:val="00B017FD"/>
    <w:rsid w:val="00B01BE7"/>
    <w:rsid w:val="00B02243"/>
    <w:rsid w:val="00B02C6E"/>
    <w:rsid w:val="00B02EEA"/>
    <w:rsid w:val="00B02F06"/>
    <w:rsid w:val="00B03668"/>
    <w:rsid w:val="00B03698"/>
    <w:rsid w:val="00B036D4"/>
    <w:rsid w:val="00B03770"/>
    <w:rsid w:val="00B039E0"/>
    <w:rsid w:val="00B03BD3"/>
    <w:rsid w:val="00B03BFC"/>
    <w:rsid w:val="00B03EA2"/>
    <w:rsid w:val="00B0422A"/>
    <w:rsid w:val="00B043EB"/>
    <w:rsid w:val="00B04486"/>
    <w:rsid w:val="00B044E6"/>
    <w:rsid w:val="00B04BF0"/>
    <w:rsid w:val="00B04D15"/>
    <w:rsid w:val="00B04E7D"/>
    <w:rsid w:val="00B05258"/>
    <w:rsid w:val="00B05404"/>
    <w:rsid w:val="00B054EC"/>
    <w:rsid w:val="00B0560C"/>
    <w:rsid w:val="00B0588C"/>
    <w:rsid w:val="00B05B6E"/>
    <w:rsid w:val="00B05E4A"/>
    <w:rsid w:val="00B06397"/>
    <w:rsid w:val="00B06876"/>
    <w:rsid w:val="00B068BE"/>
    <w:rsid w:val="00B06A61"/>
    <w:rsid w:val="00B06C82"/>
    <w:rsid w:val="00B06D64"/>
    <w:rsid w:val="00B06DFC"/>
    <w:rsid w:val="00B06EC0"/>
    <w:rsid w:val="00B06F50"/>
    <w:rsid w:val="00B07155"/>
    <w:rsid w:val="00B0733A"/>
    <w:rsid w:val="00B073FE"/>
    <w:rsid w:val="00B07690"/>
    <w:rsid w:val="00B07758"/>
    <w:rsid w:val="00B0782B"/>
    <w:rsid w:val="00B078A9"/>
    <w:rsid w:val="00B1019F"/>
    <w:rsid w:val="00B101C0"/>
    <w:rsid w:val="00B101D0"/>
    <w:rsid w:val="00B103F1"/>
    <w:rsid w:val="00B1058A"/>
    <w:rsid w:val="00B105E4"/>
    <w:rsid w:val="00B1087D"/>
    <w:rsid w:val="00B10A4A"/>
    <w:rsid w:val="00B10B93"/>
    <w:rsid w:val="00B10BE6"/>
    <w:rsid w:val="00B10D94"/>
    <w:rsid w:val="00B10EA9"/>
    <w:rsid w:val="00B10ED4"/>
    <w:rsid w:val="00B11094"/>
    <w:rsid w:val="00B1110F"/>
    <w:rsid w:val="00B111EA"/>
    <w:rsid w:val="00B1142F"/>
    <w:rsid w:val="00B114C2"/>
    <w:rsid w:val="00B115E0"/>
    <w:rsid w:val="00B116E0"/>
    <w:rsid w:val="00B11746"/>
    <w:rsid w:val="00B118B4"/>
    <w:rsid w:val="00B118E3"/>
    <w:rsid w:val="00B11A82"/>
    <w:rsid w:val="00B11F89"/>
    <w:rsid w:val="00B123C3"/>
    <w:rsid w:val="00B1240F"/>
    <w:rsid w:val="00B12452"/>
    <w:rsid w:val="00B12518"/>
    <w:rsid w:val="00B1252B"/>
    <w:rsid w:val="00B12629"/>
    <w:rsid w:val="00B12745"/>
    <w:rsid w:val="00B129B2"/>
    <w:rsid w:val="00B12A1E"/>
    <w:rsid w:val="00B12A9D"/>
    <w:rsid w:val="00B12AAE"/>
    <w:rsid w:val="00B12ECA"/>
    <w:rsid w:val="00B12F2D"/>
    <w:rsid w:val="00B1305C"/>
    <w:rsid w:val="00B130C0"/>
    <w:rsid w:val="00B13352"/>
    <w:rsid w:val="00B134B7"/>
    <w:rsid w:val="00B1356B"/>
    <w:rsid w:val="00B136DD"/>
    <w:rsid w:val="00B1390F"/>
    <w:rsid w:val="00B13C31"/>
    <w:rsid w:val="00B142D3"/>
    <w:rsid w:val="00B1430E"/>
    <w:rsid w:val="00B1447C"/>
    <w:rsid w:val="00B145DB"/>
    <w:rsid w:val="00B149FC"/>
    <w:rsid w:val="00B14BDB"/>
    <w:rsid w:val="00B14D95"/>
    <w:rsid w:val="00B14FF9"/>
    <w:rsid w:val="00B15067"/>
    <w:rsid w:val="00B1509F"/>
    <w:rsid w:val="00B15492"/>
    <w:rsid w:val="00B157AB"/>
    <w:rsid w:val="00B15965"/>
    <w:rsid w:val="00B159AF"/>
    <w:rsid w:val="00B15BF5"/>
    <w:rsid w:val="00B15CF1"/>
    <w:rsid w:val="00B1614D"/>
    <w:rsid w:val="00B1629E"/>
    <w:rsid w:val="00B16353"/>
    <w:rsid w:val="00B16445"/>
    <w:rsid w:val="00B1684C"/>
    <w:rsid w:val="00B16945"/>
    <w:rsid w:val="00B1699F"/>
    <w:rsid w:val="00B169A9"/>
    <w:rsid w:val="00B16AC8"/>
    <w:rsid w:val="00B16AD2"/>
    <w:rsid w:val="00B16B47"/>
    <w:rsid w:val="00B16B7D"/>
    <w:rsid w:val="00B16B87"/>
    <w:rsid w:val="00B16BBD"/>
    <w:rsid w:val="00B16BD8"/>
    <w:rsid w:val="00B16E6B"/>
    <w:rsid w:val="00B16F41"/>
    <w:rsid w:val="00B1718B"/>
    <w:rsid w:val="00B17594"/>
    <w:rsid w:val="00B1780E"/>
    <w:rsid w:val="00B178E0"/>
    <w:rsid w:val="00B1795B"/>
    <w:rsid w:val="00B17AD7"/>
    <w:rsid w:val="00B17C09"/>
    <w:rsid w:val="00B17F9F"/>
    <w:rsid w:val="00B2008A"/>
    <w:rsid w:val="00B200FC"/>
    <w:rsid w:val="00B202FF"/>
    <w:rsid w:val="00B203EE"/>
    <w:rsid w:val="00B205BA"/>
    <w:rsid w:val="00B205ED"/>
    <w:rsid w:val="00B206D2"/>
    <w:rsid w:val="00B207A9"/>
    <w:rsid w:val="00B20BB6"/>
    <w:rsid w:val="00B20CF1"/>
    <w:rsid w:val="00B20FFC"/>
    <w:rsid w:val="00B2134A"/>
    <w:rsid w:val="00B21742"/>
    <w:rsid w:val="00B21A8F"/>
    <w:rsid w:val="00B21C57"/>
    <w:rsid w:val="00B21C8F"/>
    <w:rsid w:val="00B21D89"/>
    <w:rsid w:val="00B21DE7"/>
    <w:rsid w:val="00B21ECB"/>
    <w:rsid w:val="00B21F04"/>
    <w:rsid w:val="00B221B4"/>
    <w:rsid w:val="00B2275B"/>
    <w:rsid w:val="00B2285C"/>
    <w:rsid w:val="00B228FC"/>
    <w:rsid w:val="00B22926"/>
    <w:rsid w:val="00B22C21"/>
    <w:rsid w:val="00B22DE1"/>
    <w:rsid w:val="00B2301D"/>
    <w:rsid w:val="00B232B8"/>
    <w:rsid w:val="00B23469"/>
    <w:rsid w:val="00B23523"/>
    <w:rsid w:val="00B2397D"/>
    <w:rsid w:val="00B23A2D"/>
    <w:rsid w:val="00B23AD9"/>
    <w:rsid w:val="00B23C25"/>
    <w:rsid w:val="00B23ECC"/>
    <w:rsid w:val="00B23F61"/>
    <w:rsid w:val="00B24052"/>
    <w:rsid w:val="00B241C7"/>
    <w:rsid w:val="00B244A7"/>
    <w:rsid w:val="00B2474E"/>
    <w:rsid w:val="00B2475E"/>
    <w:rsid w:val="00B24A0F"/>
    <w:rsid w:val="00B24EBA"/>
    <w:rsid w:val="00B25008"/>
    <w:rsid w:val="00B2506E"/>
    <w:rsid w:val="00B255D0"/>
    <w:rsid w:val="00B2577A"/>
    <w:rsid w:val="00B25842"/>
    <w:rsid w:val="00B25C0E"/>
    <w:rsid w:val="00B25D2C"/>
    <w:rsid w:val="00B25E5C"/>
    <w:rsid w:val="00B260CE"/>
    <w:rsid w:val="00B261EF"/>
    <w:rsid w:val="00B26263"/>
    <w:rsid w:val="00B2638A"/>
    <w:rsid w:val="00B2683C"/>
    <w:rsid w:val="00B2690B"/>
    <w:rsid w:val="00B26CAD"/>
    <w:rsid w:val="00B26D72"/>
    <w:rsid w:val="00B26D79"/>
    <w:rsid w:val="00B27181"/>
    <w:rsid w:val="00B273AF"/>
    <w:rsid w:val="00B27675"/>
    <w:rsid w:val="00B27925"/>
    <w:rsid w:val="00B27AB6"/>
    <w:rsid w:val="00B27BB7"/>
    <w:rsid w:val="00B27D6D"/>
    <w:rsid w:val="00B3044F"/>
    <w:rsid w:val="00B3048A"/>
    <w:rsid w:val="00B30579"/>
    <w:rsid w:val="00B3078B"/>
    <w:rsid w:val="00B30858"/>
    <w:rsid w:val="00B30A0F"/>
    <w:rsid w:val="00B30E0C"/>
    <w:rsid w:val="00B30F5F"/>
    <w:rsid w:val="00B30FD7"/>
    <w:rsid w:val="00B31197"/>
    <w:rsid w:val="00B311FB"/>
    <w:rsid w:val="00B314D9"/>
    <w:rsid w:val="00B31590"/>
    <w:rsid w:val="00B315CE"/>
    <w:rsid w:val="00B31758"/>
    <w:rsid w:val="00B317C6"/>
    <w:rsid w:val="00B318EF"/>
    <w:rsid w:val="00B31956"/>
    <w:rsid w:val="00B31B42"/>
    <w:rsid w:val="00B31CB1"/>
    <w:rsid w:val="00B32201"/>
    <w:rsid w:val="00B324FD"/>
    <w:rsid w:val="00B32553"/>
    <w:rsid w:val="00B32A8B"/>
    <w:rsid w:val="00B32B26"/>
    <w:rsid w:val="00B32C8F"/>
    <w:rsid w:val="00B32E9A"/>
    <w:rsid w:val="00B33046"/>
    <w:rsid w:val="00B331E6"/>
    <w:rsid w:val="00B33530"/>
    <w:rsid w:val="00B335C3"/>
    <w:rsid w:val="00B3376A"/>
    <w:rsid w:val="00B3382C"/>
    <w:rsid w:val="00B33B19"/>
    <w:rsid w:val="00B33E67"/>
    <w:rsid w:val="00B34082"/>
    <w:rsid w:val="00B3433D"/>
    <w:rsid w:val="00B34777"/>
    <w:rsid w:val="00B348D8"/>
    <w:rsid w:val="00B34F04"/>
    <w:rsid w:val="00B356C2"/>
    <w:rsid w:val="00B357DC"/>
    <w:rsid w:val="00B35926"/>
    <w:rsid w:val="00B35A44"/>
    <w:rsid w:val="00B35A62"/>
    <w:rsid w:val="00B35D1D"/>
    <w:rsid w:val="00B36006"/>
    <w:rsid w:val="00B361AF"/>
    <w:rsid w:val="00B36492"/>
    <w:rsid w:val="00B36917"/>
    <w:rsid w:val="00B36931"/>
    <w:rsid w:val="00B36BA3"/>
    <w:rsid w:val="00B36CCB"/>
    <w:rsid w:val="00B37478"/>
    <w:rsid w:val="00B37869"/>
    <w:rsid w:val="00B37FF6"/>
    <w:rsid w:val="00B40113"/>
    <w:rsid w:val="00B4014E"/>
    <w:rsid w:val="00B4023F"/>
    <w:rsid w:val="00B40365"/>
    <w:rsid w:val="00B40468"/>
    <w:rsid w:val="00B405E7"/>
    <w:rsid w:val="00B406E7"/>
    <w:rsid w:val="00B40846"/>
    <w:rsid w:val="00B40A51"/>
    <w:rsid w:val="00B40B5A"/>
    <w:rsid w:val="00B40C25"/>
    <w:rsid w:val="00B40D07"/>
    <w:rsid w:val="00B40DC9"/>
    <w:rsid w:val="00B40EB5"/>
    <w:rsid w:val="00B40F5D"/>
    <w:rsid w:val="00B415C4"/>
    <w:rsid w:val="00B4167B"/>
    <w:rsid w:val="00B416EA"/>
    <w:rsid w:val="00B4171C"/>
    <w:rsid w:val="00B417EC"/>
    <w:rsid w:val="00B418A1"/>
    <w:rsid w:val="00B4194D"/>
    <w:rsid w:val="00B41966"/>
    <w:rsid w:val="00B41D40"/>
    <w:rsid w:val="00B41E6B"/>
    <w:rsid w:val="00B41F13"/>
    <w:rsid w:val="00B42233"/>
    <w:rsid w:val="00B42A68"/>
    <w:rsid w:val="00B433B3"/>
    <w:rsid w:val="00B43892"/>
    <w:rsid w:val="00B43D6C"/>
    <w:rsid w:val="00B43EDA"/>
    <w:rsid w:val="00B4403E"/>
    <w:rsid w:val="00B44205"/>
    <w:rsid w:val="00B44290"/>
    <w:rsid w:val="00B44666"/>
    <w:rsid w:val="00B446A1"/>
    <w:rsid w:val="00B446D1"/>
    <w:rsid w:val="00B44C79"/>
    <w:rsid w:val="00B44D5C"/>
    <w:rsid w:val="00B44EC8"/>
    <w:rsid w:val="00B4516C"/>
    <w:rsid w:val="00B4581D"/>
    <w:rsid w:val="00B45C5A"/>
    <w:rsid w:val="00B45C71"/>
    <w:rsid w:val="00B45E93"/>
    <w:rsid w:val="00B4682A"/>
    <w:rsid w:val="00B46A8A"/>
    <w:rsid w:val="00B46C57"/>
    <w:rsid w:val="00B46CAC"/>
    <w:rsid w:val="00B46D34"/>
    <w:rsid w:val="00B47413"/>
    <w:rsid w:val="00B4764F"/>
    <w:rsid w:val="00B477F4"/>
    <w:rsid w:val="00B47CB1"/>
    <w:rsid w:val="00B47D8D"/>
    <w:rsid w:val="00B5009C"/>
    <w:rsid w:val="00B50132"/>
    <w:rsid w:val="00B50191"/>
    <w:rsid w:val="00B502AB"/>
    <w:rsid w:val="00B5034E"/>
    <w:rsid w:val="00B504D5"/>
    <w:rsid w:val="00B504F3"/>
    <w:rsid w:val="00B50A04"/>
    <w:rsid w:val="00B50A8B"/>
    <w:rsid w:val="00B50F14"/>
    <w:rsid w:val="00B510E8"/>
    <w:rsid w:val="00B51188"/>
    <w:rsid w:val="00B5120B"/>
    <w:rsid w:val="00B51495"/>
    <w:rsid w:val="00B516C0"/>
    <w:rsid w:val="00B516C5"/>
    <w:rsid w:val="00B5175D"/>
    <w:rsid w:val="00B5192A"/>
    <w:rsid w:val="00B519D0"/>
    <w:rsid w:val="00B521C2"/>
    <w:rsid w:val="00B5224E"/>
    <w:rsid w:val="00B522B9"/>
    <w:rsid w:val="00B522EE"/>
    <w:rsid w:val="00B528B4"/>
    <w:rsid w:val="00B52D91"/>
    <w:rsid w:val="00B52F71"/>
    <w:rsid w:val="00B53396"/>
    <w:rsid w:val="00B53881"/>
    <w:rsid w:val="00B5399B"/>
    <w:rsid w:val="00B53F62"/>
    <w:rsid w:val="00B54042"/>
    <w:rsid w:val="00B540F0"/>
    <w:rsid w:val="00B542A2"/>
    <w:rsid w:val="00B54358"/>
    <w:rsid w:val="00B5474C"/>
    <w:rsid w:val="00B54807"/>
    <w:rsid w:val="00B54A9E"/>
    <w:rsid w:val="00B54ACA"/>
    <w:rsid w:val="00B54B1E"/>
    <w:rsid w:val="00B54CD4"/>
    <w:rsid w:val="00B54D84"/>
    <w:rsid w:val="00B54E27"/>
    <w:rsid w:val="00B55054"/>
    <w:rsid w:val="00B55237"/>
    <w:rsid w:val="00B55490"/>
    <w:rsid w:val="00B555E3"/>
    <w:rsid w:val="00B558AD"/>
    <w:rsid w:val="00B559EF"/>
    <w:rsid w:val="00B55AC5"/>
    <w:rsid w:val="00B56207"/>
    <w:rsid w:val="00B5629D"/>
    <w:rsid w:val="00B565EA"/>
    <w:rsid w:val="00B56BDF"/>
    <w:rsid w:val="00B56D2A"/>
    <w:rsid w:val="00B56E48"/>
    <w:rsid w:val="00B56EF7"/>
    <w:rsid w:val="00B575F9"/>
    <w:rsid w:val="00B579BC"/>
    <w:rsid w:val="00B579BF"/>
    <w:rsid w:val="00B57FB8"/>
    <w:rsid w:val="00B60168"/>
    <w:rsid w:val="00B6018C"/>
    <w:rsid w:val="00B606B9"/>
    <w:rsid w:val="00B60812"/>
    <w:rsid w:val="00B60A62"/>
    <w:rsid w:val="00B60BD4"/>
    <w:rsid w:val="00B60E22"/>
    <w:rsid w:val="00B60FB1"/>
    <w:rsid w:val="00B6102D"/>
    <w:rsid w:val="00B61326"/>
    <w:rsid w:val="00B614F0"/>
    <w:rsid w:val="00B61514"/>
    <w:rsid w:val="00B6157F"/>
    <w:rsid w:val="00B615DB"/>
    <w:rsid w:val="00B61A10"/>
    <w:rsid w:val="00B61FA6"/>
    <w:rsid w:val="00B61FC2"/>
    <w:rsid w:val="00B62156"/>
    <w:rsid w:val="00B6223B"/>
    <w:rsid w:val="00B62314"/>
    <w:rsid w:val="00B626C4"/>
    <w:rsid w:val="00B6280E"/>
    <w:rsid w:val="00B629DF"/>
    <w:rsid w:val="00B63050"/>
    <w:rsid w:val="00B63270"/>
    <w:rsid w:val="00B635A7"/>
    <w:rsid w:val="00B6396E"/>
    <w:rsid w:val="00B63ADD"/>
    <w:rsid w:val="00B63BF7"/>
    <w:rsid w:val="00B63CC1"/>
    <w:rsid w:val="00B63D3D"/>
    <w:rsid w:val="00B6414A"/>
    <w:rsid w:val="00B64217"/>
    <w:rsid w:val="00B64452"/>
    <w:rsid w:val="00B64653"/>
    <w:rsid w:val="00B64AE4"/>
    <w:rsid w:val="00B64DFF"/>
    <w:rsid w:val="00B64E40"/>
    <w:rsid w:val="00B6513B"/>
    <w:rsid w:val="00B65228"/>
    <w:rsid w:val="00B6555D"/>
    <w:rsid w:val="00B655A8"/>
    <w:rsid w:val="00B656B0"/>
    <w:rsid w:val="00B65B08"/>
    <w:rsid w:val="00B65B34"/>
    <w:rsid w:val="00B65BBE"/>
    <w:rsid w:val="00B65CC6"/>
    <w:rsid w:val="00B65EF9"/>
    <w:rsid w:val="00B65FA0"/>
    <w:rsid w:val="00B66161"/>
    <w:rsid w:val="00B6626F"/>
    <w:rsid w:val="00B66344"/>
    <w:rsid w:val="00B66788"/>
    <w:rsid w:val="00B668AF"/>
    <w:rsid w:val="00B669C3"/>
    <w:rsid w:val="00B66BD7"/>
    <w:rsid w:val="00B66CB0"/>
    <w:rsid w:val="00B66EE5"/>
    <w:rsid w:val="00B66FD9"/>
    <w:rsid w:val="00B671BE"/>
    <w:rsid w:val="00B672D5"/>
    <w:rsid w:val="00B67A26"/>
    <w:rsid w:val="00B67BA3"/>
    <w:rsid w:val="00B67CDB"/>
    <w:rsid w:val="00B67DAE"/>
    <w:rsid w:val="00B67E8C"/>
    <w:rsid w:val="00B67FF5"/>
    <w:rsid w:val="00B70248"/>
    <w:rsid w:val="00B70256"/>
    <w:rsid w:val="00B7035F"/>
    <w:rsid w:val="00B703B3"/>
    <w:rsid w:val="00B70429"/>
    <w:rsid w:val="00B70539"/>
    <w:rsid w:val="00B70800"/>
    <w:rsid w:val="00B70AF9"/>
    <w:rsid w:val="00B70B41"/>
    <w:rsid w:val="00B70DEE"/>
    <w:rsid w:val="00B70E47"/>
    <w:rsid w:val="00B70E48"/>
    <w:rsid w:val="00B710C8"/>
    <w:rsid w:val="00B7133A"/>
    <w:rsid w:val="00B71410"/>
    <w:rsid w:val="00B7165A"/>
    <w:rsid w:val="00B71BD0"/>
    <w:rsid w:val="00B71C03"/>
    <w:rsid w:val="00B71CD0"/>
    <w:rsid w:val="00B71CEC"/>
    <w:rsid w:val="00B71D76"/>
    <w:rsid w:val="00B72038"/>
    <w:rsid w:val="00B720FC"/>
    <w:rsid w:val="00B721D6"/>
    <w:rsid w:val="00B721DB"/>
    <w:rsid w:val="00B72259"/>
    <w:rsid w:val="00B72456"/>
    <w:rsid w:val="00B72490"/>
    <w:rsid w:val="00B724F7"/>
    <w:rsid w:val="00B725B1"/>
    <w:rsid w:val="00B725F8"/>
    <w:rsid w:val="00B726EE"/>
    <w:rsid w:val="00B727EE"/>
    <w:rsid w:val="00B729BB"/>
    <w:rsid w:val="00B72A26"/>
    <w:rsid w:val="00B72B47"/>
    <w:rsid w:val="00B72C23"/>
    <w:rsid w:val="00B72D81"/>
    <w:rsid w:val="00B72FBC"/>
    <w:rsid w:val="00B730EC"/>
    <w:rsid w:val="00B73113"/>
    <w:rsid w:val="00B73275"/>
    <w:rsid w:val="00B73322"/>
    <w:rsid w:val="00B73328"/>
    <w:rsid w:val="00B7369A"/>
    <w:rsid w:val="00B736B3"/>
    <w:rsid w:val="00B738ED"/>
    <w:rsid w:val="00B739E1"/>
    <w:rsid w:val="00B73A79"/>
    <w:rsid w:val="00B73A95"/>
    <w:rsid w:val="00B73AAF"/>
    <w:rsid w:val="00B73E47"/>
    <w:rsid w:val="00B73FDF"/>
    <w:rsid w:val="00B740D4"/>
    <w:rsid w:val="00B740E7"/>
    <w:rsid w:val="00B7438B"/>
    <w:rsid w:val="00B74951"/>
    <w:rsid w:val="00B7504C"/>
    <w:rsid w:val="00B752B5"/>
    <w:rsid w:val="00B75395"/>
    <w:rsid w:val="00B753E8"/>
    <w:rsid w:val="00B75482"/>
    <w:rsid w:val="00B757DF"/>
    <w:rsid w:val="00B75826"/>
    <w:rsid w:val="00B75908"/>
    <w:rsid w:val="00B75CD8"/>
    <w:rsid w:val="00B7609D"/>
    <w:rsid w:val="00B76489"/>
    <w:rsid w:val="00B76634"/>
    <w:rsid w:val="00B766F4"/>
    <w:rsid w:val="00B76745"/>
    <w:rsid w:val="00B76797"/>
    <w:rsid w:val="00B768CB"/>
    <w:rsid w:val="00B76924"/>
    <w:rsid w:val="00B769A1"/>
    <w:rsid w:val="00B769AC"/>
    <w:rsid w:val="00B769CF"/>
    <w:rsid w:val="00B76CCF"/>
    <w:rsid w:val="00B77071"/>
    <w:rsid w:val="00B772BA"/>
    <w:rsid w:val="00B77465"/>
    <w:rsid w:val="00B77482"/>
    <w:rsid w:val="00B774ED"/>
    <w:rsid w:val="00B77540"/>
    <w:rsid w:val="00B77727"/>
    <w:rsid w:val="00B77744"/>
    <w:rsid w:val="00B77BBD"/>
    <w:rsid w:val="00B77EEB"/>
    <w:rsid w:val="00B80121"/>
    <w:rsid w:val="00B80167"/>
    <w:rsid w:val="00B80924"/>
    <w:rsid w:val="00B80F0C"/>
    <w:rsid w:val="00B80F96"/>
    <w:rsid w:val="00B8112E"/>
    <w:rsid w:val="00B813BB"/>
    <w:rsid w:val="00B8155A"/>
    <w:rsid w:val="00B81857"/>
    <w:rsid w:val="00B818D3"/>
    <w:rsid w:val="00B8199C"/>
    <w:rsid w:val="00B81A61"/>
    <w:rsid w:val="00B81B05"/>
    <w:rsid w:val="00B81CEE"/>
    <w:rsid w:val="00B81F08"/>
    <w:rsid w:val="00B81FBC"/>
    <w:rsid w:val="00B8235E"/>
    <w:rsid w:val="00B825B3"/>
    <w:rsid w:val="00B82AE6"/>
    <w:rsid w:val="00B82B06"/>
    <w:rsid w:val="00B82C40"/>
    <w:rsid w:val="00B82E16"/>
    <w:rsid w:val="00B82F34"/>
    <w:rsid w:val="00B830C8"/>
    <w:rsid w:val="00B83190"/>
    <w:rsid w:val="00B83478"/>
    <w:rsid w:val="00B83CD2"/>
    <w:rsid w:val="00B843F9"/>
    <w:rsid w:val="00B84481"/>
    <w:rsid w:val="00B8453F"/>
    <w:rsid w:val="00B846F8"/>
    <w:rsid w:val="00B849F3"/>
    <w:rsid w:val="00B84F4F"/>
    <w:rsid w:val="00B853F7"/>
    <w:rsid w:val="00B8541D"/>
    <w:rsid w:val="00B85773"/>
    <w:rsid w:val="00B85C16"/>
    <w:rsid w:val="00B85F01"/>
    <w:rsid w:val="00B86208"/>
    <w:rsid w:val="00B869BF"/>
    <w:rsid w:val="00B86A5B"/>
    <w:rsid w:val="00B86C48"/>
    <w:rsid w:val="00B86D91"/>
    <w:rsid w:val="00B86E35"/>
    <w:rsid w:val="00B86EE2"/>
    <w:rsid w:val="00B870D5"/>
    <w:rsid w:val="00B8753A"/>
    <w:rsid w:val="00B8755A"/>
    <w:rsid w:val="00B876BB"/>
    <w:rsid w:val="00B878C1"/>
    <w:rsid w:val="00B87981"/>
    <w:rsid w:val="00B87B6F"/>
    <w:rsid w:val="00B87C89"/>
    <w:rsid w:val="00B87CE8"/>
    <w:rsid w:val="00B87E9C"/>
    <w:rsid w:val="00B87F6D"/>
    <w:rsid w:val="00B90041"/>
    <w:rsid w:val="00B900DF"/>
    <w:rsid w:val="00B904D8"/>
    <w:rsid w:val="00B907CB"/>
    <w:rsid w:val="00B90E2C"/>
    <w:rsid w:val="00B90F3A"/>
    <w:rsid w:val="00B90FD6"/>
    <w:rsid w:val="00B910E1"/>
    <w:rsid w:val="00B9114B"/>
    <w:rsid w:val="00B9130D"/>
    <w:rsid w:val="00B91324"/>
    <w:rsid w:val="00B9145B"/>
    <w:rsid w:val="00B914BD"/>
    <w:rsid w:val="00B9171C"/>
    <w:rsid w:val="00B917E8"/>
    <w:rsid w:val="00B91869"/>
    <w:rsid w:val="00B91DC7"/>
    <w:rsid w:val="00B91DEC"/>
    <w:rsid w:val="00B91F3D"/>
    <w:rsid w:val="00B91F3F"/>
    <w:rsid w:val="00B91FA3"/>
    <w:rsid w:val="00B9227F"/>
    <w:rsid w:val="00B924E0"/>
    <w:rsid w:val="00B926E0"/>
    <w:rsid w:val="00B928F1"/>
    <w:rsid w:val="00B92A0A"/>
    <w:rsid w:val="00B92B90"/>
    <w:rsid w:val="00B92D00"/>
    <w:rsid w:val="00B92F78"/>
    <w:rsid w:val="00B93017"/>
    <w:rsid w:val="00B93141"/>
    <w:rsid w:val="00B9327A"/>
    <w:rsid w:val="00B9380B"/>
    <w:rsid w:val="00B93AD9"/>
    <w:rsid w:val="00B93B7A"/>
    <w:rsid w:val="00B93F0C"/>
    <w:rsid w:val="00B93F76"/>
    <w:rsid w:val="00B940D8"/>
    <w:rsid w:val="00B94161"/>
    <w:rsid w:val="00B942D3"/>
    <w:rsid w:val="00B94543"/>
    <w:rsid w:val="00B946B2"/>
    <w:rsid w:val="00B948CE"/>
    <w:rsid w:val="00B94ABB"/>
    <w:rsid w:val="00B94DA3"/>
    <w:rsid w:val="00B9529C"/>
    <w:rsid w:val="00B9532A"/>
    <w:rsid w:val="00B955EF"/>
    <w:rsid w:val="00B95698"/>
    <w:rsid w:val="00B957A9"/>
    <w:rsid w:val="00B958FE"/>
    <w:rsid w:val="00B95AAE"/>
    <w:rsid w:val="00B95C4F"/>
    <w:rsid w:val="00B95D69"/>
    <w:rsid w:val="00B95E1F"/>
    <w:rsid w:val="00B95E33"/>
    <w:rsid w:val="00B961C8"/>
    <w:rsid w:val="00B96866"/>
    <w:rsid w:val="00B96C4C"/>
    <w:rsid w:val="00B96D0B"/>
    <w:rsid w:val="00B96E06"/>
    <w:rsid w:val="00B9709A"/>
    <w:rsid w:val="00B973C7"/>
    <w:rsid w:val="00B97436"/>
    <w:rsid w:val="00B9753A"/>
    <w:rsid w:val="00B97651"/>
    <w:rsid w:val="00B97786"/>
    <w:rsid w:val="00B978AC"/>
    <w:rsid w:val="00B97BA3"/>
    <w:rsid w:val="00B97DB5"/>
    <w:rsid w:val="00BA0247"/>
    <w:rsid w:val="00BA03C4"/>
    <w:rsid w:val="00BA0564"/>
    <w:rsid w:val="00BA09E0"/>
    <w:rsid w:val="00BA0B9C"/>
    <w:rsid w:val="00BA0CA4"/>
    <w:rsid w:val="00BA0D6A"/>
    <w:rsid w:val="00BA0DB4"/>
    <w:rsid w:val="00BA0E30"/>
    <w:rsid w:val="00BA126E"/>
    <w:rsid w:val="00BA1281"/>
    <w:rsid w:val="00BA1342"/>
    <w:rsid w:val="00BA193E"/>
    <w:rsid w:val="00BA193F"/>
    <w:rsid w:val="00BA1975"/>
    <w:rsid w:val="00BA1B8B"/>
    <w:rsid w:val="00BA1F67"/>
    <w:rsid w:val="00BA1FB4"/>
    <w:rsid w:val="00BA2001"/>
    <w:rsid w:val="00BA209C"/>
    <w:rsid w:val="00BA24CE"/>
    <w:rsid w:val="00BA2712"/>
    <w:rsid w:val="00BA2775"/>
    <w:rsid w:val="00BA292C"/>
    <w:rsid w:val="00BA293E"/>
    <w:rsid w:val="00BA298F"/>
    <w:rsid w:val="00BA2AE2"/>
    <w:rsid w:val="00BA2C1E"/>
    <w:rsid w:val="00BA2C3C"/>
    <w:rsid w:val="00BA2C5E"/>
    <w:rsid w:val="00BA2EB3"/>
    <w:rsid w:val="00BA2F24"/>
    <w:rsid w:val="00BA32E9"/>
    <w:rsid w:val="00BA361D"/>
    <w:rsid w:val="00BA36DB"/>
    <w:rsid w:val="00BA36E7"/>
    <w:rsid w:val="00BA38B5"/>
    <w:rsid w:val="00BA3A75"/>
    <w:rsid w:val="00BA3BFA"/>
    <w:rsid w:val="00BA3C35"/>
    <w:rsid w:val="00BA4354"/>
    <w:rsid w:val="00BA4B9F"/>
    <w:rsid w:val="00BA5036"/>
    <w:rsid w:val="00BA50A0"/>
    <w:rsid w:val="00BA5672"/>
    <w:rsid w:val="00BA5869"/>
    <w:rsid w:val="00BA58C6"/>
    <w:rsid w:val="00BA598B"/>
    <w:rsid w:val="00BA6182"/>
    <w:rsid w:val="00BA6190"/>
    <w:rsid w:val="00BA634B"/>
    <w:rsid w:val="00BA658E"/>
    <w:rsid w:val="00BA6611"/>
    <w:rsid w:val="00BA6A4E"/>
    <w:rsid w:val="00BA6C5F"/>
    <w:rsid w:val="00BA7015"/>
    <w:rsid w:val="00BA71BB"/>
    <w:rsid w:val="00BA736F"/>
    <w:rsid w:val="00BA76B2"/>
    <w:rsid w:val="00BA78FD"/>
    <w:rsid w:val="00BA7903"/>
    <w:rsid w:val="00BA7A51"/>
    <w:rsid w:val="00BA7CA8"/>
    <w:rsid w:val="00BA7F37"/>
    <w:rsid w:val="00BA7FA7"/>
    <w:rsid w:val="00BB0013"/>
    <w:rsid w:val="00BB03B7"/>
    <w:rsid w:val="00BB061A"/>
    <w:rsid w:val="00BB06AE"/>
    <w:rsid w:val="00BB0B7D"/>
    <w:rsid w:val="00BB0EA9"/>
    <w:rsid w:val="00BB0F00"/>
    <w:rsid w:val="00BB0F94"/>
    <w:rsid w:val="00BB0FE3"/>
    <w:rsid w:val="00BB12BC"/>
    <w:rsid w:val="00BB1614"/>
    <w:rsid w:val="00BB179E"/>
    <w:rsid w:val="00BB1840"/>
    <w:rsid w:val="00BB1D36"/>
    <w:rsid w:val="00BB1F3A"/>
    <w:rsid w:val="00BB20D8"/>
    <w:rsid w:val="00BB22FA"/>
    <w:rsid w:val="00BB249C"/>
    <w:rsid w:val="00BB2673"/>
    <w:rsid w:val="00BB290A"/>
    <w:rsid w:val="00BB2ADF"/>
    <w:rsid w:val="00BB2C48"/>
    <w:rsid w:val="00BB3250"/>
    <w:rsid w:val="00BB34B7"/>
    <w:rsid w:val="00BB353E"/>
    <w:rsid w:val="00BB36B3"/>
    <w:rsid w:val="00BB3BA3"/>
    <w:rsid w:val="00BB3CED"/>
    <w:rsid w:val="00BB3EA7"/>
    <w:rsid w:val="00BB3F1B"/>
    <w:rsid w:val="00BB440B"/>
    <w:rsid w:val="00BB4769"/>
    <w:rsid w:val="00BB476E"/>
    <w:rsid w:val="00BB483C"/>
    <w:rsid w:val="00BB4A4A"/>
    <w:rsid w:val="00BB4C46"/>
    <w:rsid w:val="00BB4D16"/>
    <w:rsid w:val="00BB4E49"/>
    <w:rsid w:val="00BB516D"/>
    <w:rsid w:val="00BB52B0"/>
    <w:rsid w:val="00BB564D"/>
    <w:rsid w:val="00BB5695"/>
    <w:rsid w:val="00BB581B"/>
    <w:rsid w:val="00BB5A36"/>
    <w:rsid w:val="00BB5C55"/>
    <w:rsid w:val="00BB5C7B"/>
    <w:rsid w:val="00BB5DE6"/>
    <w:rsid w:val="00BB617E"/>
    <w:rsid w:val="00BB62F8"/>
    <w:rsid w:val="00BB643F"/>
    <w:rsid w:val="00BB6C80"/>
    <w:rsid w:val="00BB6D3D"/>
    <w:rsid w:val="00BB6E3D"/>
    <w:rsid w:val="00BB7404"/>
    <w:rsid w:val="00BB7802"/>
    <w:rsid w:val="00BB7B61"/>
    <w:rsid w:val="00BB7CD4"/>
    <w:rsid w:val="00BB7E4D"/>
    <w:rsid w:val="00BB7E84"/>
    <w:rsid w:val="00BB7ED4"/>
    <w:rsid w:val="00BC008E"/>
    <w:rsid w:val="00BC0669"/>
    <w:rsid w:val="00BC07B8"/>
    <w:rsid w:val="00BC0A1A"/>
    <w:rsid w:val="00BC0CA9"/>
    <w:rsid w:val="00BC0CF2"/>
    <w:rsid w:val="00BC0E88"/>
    <w:rsid w:val="00BC0EF9"/>
    <w:rsid w:val="00BC11EB"/>
    <w:rsid w:val="00BC138C"/>
    <w:rsid w:val="00BC1BC5"/>
    <w:rsid w:val="00BC1C5D"/>
    <w:rsid w:val="00BC1CE2"/>
    <w:rsid w:val="00BC1CED"/>
    <w:rsid w:val="00BC1E01"/>
    <w:rsid w:val="00BC1F9C"/>
    <w:rsid w:val="00BC1FA1"/>
    <w:rsid w:val="00BC23F7"/>
    <w:rsid w:val="00BC2639"/>
    <w:rsid w:val="00BC2640"/>
    <w:rsid w:val="00BC26B5"/>
    <w:rsid w:val="00BC26EE"/>
    <w:rsid w:val="00BC2713"/>
    <w:rsid w:val="00BC27E1"/>
    <w:rsid w:val="00BC2C26"/>
    <w:rsid w:val="00BC2C5D"/>
    <w:rsid w:val="00BC2CB2"/>
    <w:rsid w:val="00BC318A"/>
    <w:rsid w:val="00BC31C4"/>
    <w:rsid w:val="00BC36C6"/>
    <w:rsid w:val="00BC377A"/>
    <w:rsid w:val="00BC3C00"/>
    <w:rsid w:val="00BC3C3B"/>
    <w:rsid w:val="00BC3D82"/>
    <w:rsid w:val="00BC3DFB"/>
    <w:rsid w:val="00BC3F2B"/>
    <w:rsid w:val="00BC40E8"/>
    <w:rsid w:val="00BC414C"/>
    <w:rsid w:val="00BC4378"/>
    <w:rsid w:val="00BC4434"/>
    <w:rsid w:val="00BC446F"/>
    <w:rsid w:val="00BC50F9"/>
    <w:rsid w:val="00BC532C"/>
    <w:rsid w:val="00BC5381"/>
    <w:rsid w:val="00BC5714"/>
    <w:rsid w:val="00BC57EF"/>
    <w:rsid w:val="00BC58DC"/>
    <w:rsid w:val="00BC58F2"/>
    <w:rsid w:val="00BC5960"/>
    <w:rsid w:val="00BC5B37"/>
    <w:rsid w:val="00BC60F7"/>
    <w:rsid w:val="00BC6305"/>
    <w:rsid w:val="00BC63F5"/>
    <w:rsid w:val="00BC65B7"/>
    <w:rsid w:val="00BC6B13"/>
    <w:rsid w:val="00BC6C6B"/>
    <w:rsid w:val="00BC6CAA"/>
    <w:rsid w:val="00BC6F8B"/>
    <w:rsid w:val="00BC788C"/>
    <w:rsid w:val="00BC790A"/>
    <w:rsid w:val="00BC7ADC"/>
    <w:rsid w:val="00BC7B8F"/>
    <w:rsid w:val="00BC7E03"/>
    <w:rsid w:val="00BC7E85"/>
    <w:rsid w:val="00BC7FB8"/>
    <w:rsid w:val="00BD0046"/>
    <w:rsid w:val="00BD07D3"/>
    <w:rsid w:val="00BD0AB2"/>
    <w:rsid w:val="00BD0B0E"/>
    <w:rsid w:val="00BD0B66"/>
    <w:rsid w:val="00BD0FBA"/>
    <w:rsid w:val="00BD1423"/>
    <w:rsid w:val="00BD15FD"/>
    <w:rsid w:val="00BD1607"/>
    <w:rsid w:val="00BD1640"/>
    <w:rsid w:val="00BD16F4"/>
    <w:rsid w:val="00BD1712"/>
    <w:rsid w:val="00BD1D1D"/>
    <w:rsid w:val="00BD1D6F"/>
    <w:rsid w:val="00BD1DEF"/>
    <w:rsid w:val="00BD1EFC"/>
    <w:rsid w:val="00BD22F2"/>
    <w:rsid w:val="00BD2400"/>
    <w:rsid w:val="00BD24D7"/>
    <w:rsid w:val="00BD2606"/>
    <w:rsid w:val="00BD27B1"/>
    <w:rsid w:val="00BD29AA"/>
    <w:rsid w:val="00BD2AE5"/>
    <w:rsid w:val="00BD317F"/>
    <w:rsid w:val="00BD31D9"/>
    <w:rsid w:val="00BD3774"/>
    <w:rsid w:val="00BD380A"/>
    <w:rsid w:val="00BD395E"/>
    <w:rsid w:val="00BD3BB2"/>
    <w:rsid w:val="00BD3C3E"/>
    <w:rsid w:val="00BD3F9E"/>
    <w:rsid w:val="00BD423C"/>
    <w:rsid w:val="00BD427C"/>
    <w:rsid w:val="00BD447E"/>
    <w:rsid w:val="00BD47A4"/>
    <w:rsid w:val="00BD4830"/>
    <w:rsid w:val="00BD4884"/>
    <w:rsid w:val="00BD4960"/>
    <w:rsid w:val="00BD4C19"/>
    <w:rsid w:val="00BD4D1F"/>
    <w:rsid w:val="00BD5002"/>
    <w:rsid w:val="00BD5152"/>
    <w:rsid w:val="00BD568A"/>
    <w:rsid w:val="00BD5718"/>
    <w:rsid w:val="00BD58E2"/>
    <w:rsid w:val="00BD5A95"/>
    <w:rsid w:val="00BD5C10"/>
    <w:rsid w:val="00BD5FB7"/>
    <w:rsid w:val="00BD6288"/>
    <w:rsid w:val="00BD66A7"/>
    <w:rsid w:val="00BD6B67"/>
    <w:rsid w:val="00BD6D3A"/>
    <w:rsid w:val="00BD6E33"/>
    <w:rsid w:val="00BD6E8F"/>
    <w:rsid w:val="00BD713E"/>
    <w:rsid w:val="00BD73C8"/>
    <w:rsid w:val="00BD796A"/>
    <w:rsid w:val="00BD7A00"/>
    <w:rsid w:val="00BD7AF3"/>
    <w:rsid w:val="00BD7B1E"/>
    <w:rsid w:val="00BD7E29"/>
    <w:rsid w:val="00BD7E94"/>
    <w:rsid w:val="00BD7F1D"/>
    <w:rsid w:val="00BD7FBD"/>
    <w:rsid w:val="00BE0367"/>
    <w:rsid w:val="00BE04AD"/>
    <w:rsid w:val="00BE07F4"/>
    <w:rsid w:val="00BE0CAA"/>
    <w:rsid w:val="00BE0FAA"/>
    <w:rsid w:val="00BE11C5"/>
    <w:rsid w:val="00BE192F"/>
    <w:rsid w:val="00BE1B5E"/>
    <w:rsid w:val="00BE1FB7"/>
    <w:rsid w:val="00BE2D0B"/>
    <w:rsid w:val="00BE2FC3"/>
    <w:rsid w:val="00BE35CF"/>
    <w:rsid w:val="00BE3653"/>
    <w:rsid w:val="00BE3687"/>
    <w:rsid w:val="00BE38AB"/>
    <w:rsid w:val="00BE396A"/>
    <w:rsid w:val="00BE3B89"/>
    <w:rsid w:val="00BE3DFE"/>
    <w:rsid w:val="00BE3E06"/>
    <w:rsid w:val="00BE3E59"/>
    <w:rsid w:val="00BE3E6D"/>
    <w:rsid w:val="00BE3EE4"/>
    <w:rsid w:val="00BE44AA"/>
    <w:rsid w:val="00BE44B3"/>
    <w:rsid w:val="00BE4505"/>
    <w:rsid w:val="00BE4558"/>
    <w:rsid w:val="00BE45B6"/>
    <w:rsid w:val="00BE473F"/>
    <w:rsid w:val="00BE4A78"/>
    <w:rsid w:val="00BE4B79"/>
    <w:rsid w:val="00BE4B82"/>
    <w:rsid w:val="00BE4DF2"/>
    <w:rsid w:val="00BE5037"/>
    <w:rsid w:val="00BE50D2"/>
    <w:rsid w:val="00BE531E"/>
    <w:rsid w:val="00BE549F"/>
    <w:rsid w:val="00BE54A3"/>
    <w:rsid w:val="00BE5591"/>
    <w:rsid w:val="00BE5719"/>
    <w:rsid w:val="00BE5AAB"/>
    <w:rsid w:val="00BE5AC7"/>
    <w:rsid w:val="00BE5C47"/>
    <w:rsid w:val="00BE5F7D"/>
    <w:rsid w:val="00BE5F7F"/>
    <w:rsid w:val="00BE6037"/>
    <w:rsid w:val="00BE6474"/>
    <w:rsid w:val="00BE6693"/>
    <w:rsid w:val="00BE6852"/>
    <w:rsid w:val="00BE68BE"/>
    <w:rsid w:val="00BE6BD3"/>
    <w:rsid w:val="00BE6BE8"/>
    <w:rsid w:val="00BE6C3A"/>
    <w:rsid w:val="00BE6C68"/>
    <w:rsid w:val="00BE6E22"/>
    <w:rsid w:val="00BE6E62"/>
    <w:rsid w:val="00BE7187"/>
    <w:rsid w:val="00BE71B8"/>
    <w:rsid w:val="00BE72AF"/>
    <w:rsid w:val="00BE7327"/>
    <w:rsid w:val="00BE7405"/>
    <w:rsid w:val="00BE7B32"/>
    <w:rsid w:val="00BE7D0F"/>
    <w:rsid w:val="00BE7DAF"/>
    <w:rsid w:val="00BE7E1E"/>
    <w:rsid w:val="00BE7EC7"/>
    <w:rsid w:val="00BE7F68"/>
    <w:rsid w:val="00BF0333"/>
    <w:rsid w:val="00BF053B"/>
    <w:rsid w:val="00BF0816"/>
    <w:rsid w:val="00BF08AE"/>
    <w:rsid w:val="00BF08C6"/>
    <w:rsid w:val="00BF099E"/>
    <w:rsid w:val="00BF0E63"/>
    <w:rsid w:val="00BF0FB5"/>
    <w:rsid w:val="00BF11F8"/>
    <w:rsid w:val="00BF12EA"/>
    <w:rsid w:val="00BF1350"/>
    <w:rsid w:val="00BF1564"/>
    <w:rsid w:val="00BF1622"/>
    <w:rsid w:val="00BF1639"/>
    <w:rsid w:val="00BF163F"/>
    <w:rsid w:val="00BF18B5"/>
    <w:rsid w:val="00BF18ED"/>
    <w:rsid w:val="00BF1926"/>
    <w:rsid w:val="00BF19BD"/>
    <w:rsid w:val="00BF1A50"/>
    <w:rsid w:val="00BF1D28"/>
    <w:rsid w:val="00BF2067"/>
    <w:rsid w:val="00BF212A"/>
    <w:rsid w:val="00BF2132"/>
    <w:rsid w:val="00BF23F0"/>
    <w:rsid w:val="00BF2648"/>
    <w:rsid w:val="00BF28BD"/>
    <w:rsid w:val="00BF28C5"/>
    <w:rsid w:val="00BF2946"/>
    <w:rsid w:val="00BF294D"/>
    <w:rsid w:val="00BF2ADB"/>
    <w:rsid w:val="00BF2E8D"/>
    <w:rsid w:val="00BF304F"/>
    <w:rsid w:val="00BF3226"/>
    <w:rsid w:val="00BF3250"/>
    <w:rsid w:val="00BF390E"/>
    <w:rsid w:val="00BF3C4E"/>
    <w:rsid w:val="00BF3D5C"/>
    <w:rsid w:val="00BF3EB8"/>
    <w:rsid w:val="00BF3FFE"/>
    <w:rsid w:val="00BF4436"/>
    <w:rsid w:val="00BF4659"/>
    <w:rsid w:val="00BF4702"/>
    <w:rsid w:val="00BF477A"/>
    <w:rsid w:val="00BF48D6"/>
    <w:rsid w:val="00BF48F4"/>
    <w:rsid w:val="00BF49C3"/>
    <w:rsid w:val="00BF4B55"/>
    <w:rsid w:val="00BF4BEF"/>
    <w:rsid w:val="00BF4E87"/>
    <w:rsid w:val="00BF5567"/>
    <w:rsid w:val="00BF560D"/>
    <w:rsid w:val="00BF57D0"/>
    <w:rsid w:val="00BF57EF"/>
    <w:rsid w:val="00BF582C"/>
    <w:rsid w:val="00BF596F"/>
    <w:rsid w:val="00BF599E"/>
    <w:rsid w:val="00BF5A33"/>
    <w:rsid w:val="00BF5A37"/>
    <w:rsid w:val="00BF5A97"/>
    <w:rsid w:val="00BF5E55"/>
    <w:rsid w:val="00BF61C1"/>
    <w:rsid w:val="00BF65D7"/>
    <w:rsid w:val="00BF6665"/>
    <w:rsid w:val="00BF6974"/>
    <w:rsid w:val="00BF6A8D"/>
    <w:rsid w:val="00BF6BC0"/>
    <w:rsid w:val="00BF6C07"/>
    <w:rsid w:val="00BF6ECB"/>
    <w:rsid w:val="00BF73B5"/>
    <w:rsid w:val="00BF75D3"/>
    <w:rsid w:val="00BF79D0"/>
    <w:rsid w:val="00BF7CB6"/>
    <w:rsid w:val="00BF7D82"/>
    <w:rsid w:val="00BF7DAE"/>
    <w:rsid w:val="00BF7FFA"/>
    <w:rsid w:val="00C0031A"/>
    <w:rsid w:val="00C008B0"/>
    <w:rsid w:val="00C00AB7"/>
    <w:rsid w:val="00C00C3C"/>
    <w:rsid w:val="00C00F9F"/>
    <w:rsid w:val="00C00FCF"/>
    <w:rsid w:val="00C012EB"/>
    <w:rsid w:val="00C01380"/>
    <w:rsid w:val="00C013A0"/>
    <w:rsid w:val="00C0141A"/>
    <w:rsid w:val="00C0148A"/>
    <w:rsid w:val="00C015BF"/>
    <w:rsid w:val="00C01687"/>
    <w:rsid w:val="00C017A9"/>
    <w:rsid w:val="00C01A73"/>
    <w:rsid w:val="00C01B78"/>
    <w:rsid w:val="00C01E5D"/>
    <w:rsid w:val="00C01EC0"/>
    <w:rsid w:val="00C02177"/>
    <w:rsid w:val="00C02509"/>
    <w:rsid w:val="00C02A43"/>
    <w:rsid w:val="00C02C01"/>
    <w:rsid w:val="00C02E65"/>
    <w:rsid w:val="00C03081"/>
    <w:rsid w:val="00C0315D"/>
    <w:rsid w:val="00C03278"/>
    <w:rsid w:val="00C032DC"/>
    <w:rsid w:val="00C0345D"/>
    <w:rsid w:val="00C03647"/>
    <w:rsid w:val="00C036AB"/>
    <w:rsid w:val="00C03797"/>
    <w:rsid w:val="00C03843"/>
    <w:rsid w:val="00C03848"/>
    <w:rsid w:val="00C0384A"/>
    <w:rsid w:val="00C038F3"/>
    <w:rsid w:val="00C03A44"/>
    <w:rsid w:val="00C03B27"/>
    <w:rsid w:val="00C03BE1"/>
    <w:rsid w:val="00C041F1"/>
    <w:rsid w:val="00C04209"/>
    <w:rsid w:val="00C042A6"/>
    <w:rsid w:val="00C04663"/>
    <w:rsid w:val="00C0473D"/>
    <w:rsid w:val="00C048F3"/>
    <w:rsid w:val="00C04DAF"/>
    <w:rsid w:val="00C04F21"/>
    <w:rsid w:val="00C052E5"/>
    <w:rsid w:val="00C0538D"/>
    <w:rsid w:val="00C053B6"/>
    <w:rsid w:val="00C0542F"/>
    <w:rsid w:val="00C054D3"/>
    <w:rsid w:val="00C059F0"/>
    <w:rsid w:val="00C05D35"/>
    <w:rsid w:val="00C05E33"/>
    <w:rsid w:val="00C05F1B"/>
    <w:rsid w:val="00C060C3"/>
    <w:rsid w:val="00C06323"/>
    <w:rsid w:val="00C065CC"/>
    <w:rsid w:val="00C067F5"/>
    <w:rsid w:val="00C06A66"/>
    <w:rsid w:val="00C06D77"/>
    <w:rsid w:val="00C06E52"/>
    <w:rsid w:val="00C06FD2"/>
    <w:rsid w:val="00C07269"/>
    <w:rsid w:val="00C073D1"/>
    <w:rsid w:val="00C0742D"/>
    <w:rsid w:val="00C075A7"/>
    <w:rsid w:val="00C07D6A"/>
    <w:rsid w:val="00C07F6F"/>
    <w:rsid w:val="00C10183"/>
    <w:rsid w:val="00C101B7"/>
    <w:rsid w:val="00C103E8"/>
    <w:rsid w:val="00C10591"/>
    <w:rsid w:val="00C1093D"/>
    <w:rsid w:val="00C112B8"/>
    <w:rsid w:val="00C11305"/>
    <w:rsid w:val="00C1192F"/>
    <w:rsid w:val="00C119A5"/>
    <w:rsid w:val="00C11B1D"/>
    <w:rsid w:val="00C11C18"/>
    <w:rsid w:val="00C120AD"/>
    <w:rsid w:val="00C12223"/>
    <w:rsid w:val="00C12282"/>
    <w:rsid w:val="00C126F1"/>
    <w:rsid w:val="00C1287C"/>
    <w:rsid w:val="00C12E6F"/>
    <w:rsid w:val="00C12EC0"/>
    <w:rsid w:val="00C1305F"/>
    <w:rsid w:val="00C13517"/>
    <w:rsid w:val="00C13958"/>
    <w:rsid w:val="00C13F8A"/>
    <w:rsid w:val="00C141F4"/>
    <w:rsid w:val="00C14298"/>
    <w:rsid w:val="00C14ACD"/>
    <w:rsid w:val="00C14C85"/>
    <w:rsid w:val="00C14D00"/>
    <w:rsid w:val="00C14DFE"/>
    <w:rsid w:val="00C14FC9"/>
    <w:rsid w:val="00C150F2"/>
    <w:rsid w:val="00C1555A"/>
    <w:rsid w:val="00C15841"/>
    <w:rsid w:val="00C15AAF"/>
    <w:rsid w:val="00C15ADA"/>
    <w:rsid w:val="00C15AF0"/>
    <w:rsid w:val="00C15B84"/>
    <w:rsid w:val="00C15BF7"/>
    <w:rsid w:val="00C15C71"/>
    <w:rsid w:val="00C15CD2"/>
    <w:rsid w:val="00C15D60"/>
    <w:rsid w:val="00C15ECB"/>
    <w:rsid w:val="00C15EEB"/>
    <w:rsid w:val="00C1624F"/>
    <w:rsid w:val="00C163AD"/>
    <w:rsid w:val="00C167D5"/>
    <w:rsid w:val="00C16933"/>
    <w:rsid w:val="00C16D1C"/>
    <w:rsid w:val="00C16EDC"/>
    <w:rsid w:val="00C1724C"/>
    <w:rsid w:val="00C173A2"/>
    <w:rsid w:val="00C173CC"/>
    <w:rsid w:val="00C175C1"/>
    <w:rsid w:val="00C175E8"/>
    <w:rsid w:val="00C1762A"/>
    <w:rsid w:val="00C17693"/>
    <w:rsid w:val="00C17742"/>
    <w:rsid w:val="00C177CF"/>
    <w:rsid w:val="00C17F0D"/>
    <w:rsid w:val="00C20134"/>
    <w:rsid w:val="00C2015A"/>
    <w:rsid w:val="00C202DC"/>
    <w:rsid w:val="00C20365"/>
    <w:rsid w:val="00C204AD"/>
    <w:rsid w:val="00C20623"/>
    <w:rsid w:val="00C2072D"/>
    <w:rsid w:val="00C20743"/>
    <w:rsid w:val="00C207D6"/>
    <w:rsid w:val="00C20A81"/>
    <w:rsid w:val="00C20A85"/>
    <w:rsid w:val="00C20D57"/>
    <w:rsid w:val="00C20E95"/>
    <w:rsid w:val="00C20FCA"/>
    <w:rsid w:val="00C212CB"/>
    <w:rsid w:val="00C2165D"/>
    <w:rsid w:val="00C218E8"/>
    <w:rsid w:val="00C219DD"/>
    <w:rsid w:val="00C21C4A"/>
    <w:rsid w:val="00C22389"/>
    <w:rsid w:val="00C225AE"/>
    <w:rsid w:val="00C225BB"/>
    <w:rsid w:val="00C22B48"/>
    <w:rsid w:val="00C22B75"/>
    <w:rsid w:val="00C22C8E"/>
    <w:rsid w:val="00C22D29"/>
    <w:rsid w:val="00C22ECF"/>
    <w:rsid w:val="00C22F96"/>
    <w:rsid w:val="00C230CE"/>
    <w:rsid w:val="00C232B8"/>
    <w:rsid w:val="00C23471"/>
    <w:rsid w:val="00C23658"/>
    <w:rsid w:val="00C2372B"/>
    <w:rsid w:val="00C238C8"/>
    <w:rsid w:val="00C2398C"/>
    <w:rsid w:val="00C23D17"/>
    <w:rsid w:val="00C23D4B"/>
    <w:rsid w:val="00C23DC5"/>
    <w:rsid w:val="00C23E70"/>
    <w:rsid w:val="00C23F14"/>
    <w:rsid w:val="00C24BF9"/>
    <w:rsid w:val="00C24C6E"/>
    <w:rsid w:val="00C24CC3"/>
    <w:rsid w:val="00C2508F"/>
    <w:rsid w:val="00C250C5"/>
    <w:rsid w:val="00C25193"/>
    <w:rsid w:val="00C254F7"/>
    <w:rsid w:val="00C25500"/>
    <w:rsid w:val="00C25781"/>
    <w:rsid w:val="00C25C22"/>
    <w:rsid w:val="00C25C49"/>
    <w:rsid w:val="00C2644D"/>
    <w:rsid w:val="00C264C5"/>
    <w:rsid w:val="00C265BD"/>
    <w:rsid w:val="00C26837"/>
    <w:rsid w:val="00C26846"/>
    <w:rsid w:val="00C26B61"/>
    <w:rsid w:val="00C26F80"/>
    <w:rsid w:val="00C27071"/>
    <w:rsid w:val="00C27310"/>
    <w:rsid w:val="00C27379"/>
    <w:rsid w:val="00C27409"/>
    <w:rsid w:val="00C276DA"/>
    <w:rsid w:val="00C2784F"/>
    <w:rsid w:val="00C27A3A"/>
    <w:rsid w:val="00C27AB0"/>
    <w:rsid w:val="00C27B07"/>
    <w:rsid w:val="00C27B08"/>
    <w:rsid w:val="00C27E78"/>
    <w:rsid w:val="00C30791"/>
    <w:rsid w:val="00C30BBE"/>
    <w:rsid w:val="00C30CCF"/>
    <w:rsid w:val="00C30DBC"/>
    <w:rsid w:val="00C30E9C"/>
    <w:rsid w:val="00C311ED"/>
    <w:rsid w:val="00C31236"/>
    <w:rsid w:val="00C313D5"/>
    <w:rsid w:val="00C314B4"/>
    <w:rsid w:val="00C3153E"/>
    <w:rsid w:val="00C315BE"/>
    <w:rsid w:val="00C315C1"/>
    <w:rsid w:val="00C3161A"/>
    <w:rsid w:val="00C3173F"/>
    <w:rsid w:val="00C31778"/>
    <w:rsid w:val="00C31875"/>
    <w:rsid w:val="00C31BDC"/>
    <w:rsid w:val="00C31F42"/>
    <w:rsid w:val="00C31FEB"/>
    <w:rsid w:val="00C321AC"/>
    <w:rsid w:val="00C32214"/>
    <w:rsid w:val="00C3253A"/>
    <w:rsid w:val="00C327C3"/>
    <w:rsid w:val="00C32801"/>
    <w:rsid w:val="00C32B80"/>
    <w:rsid w:val="00C32FB8"/>
    <w:rsid w:val="00C33067"/>
    <w:rsid w:val="00C3312C"/>
    <w:rsid w:val="00C33211"/>
    <w:rsid w:val="00C33230"/>
    <w:rsid w:val="00C33251"/>
    <w:rsid w:val="00C33428"/>
    <w:rsid w:val="00C335F0"/>
    <w:rsid w:val="00C3377A"/>
    <w:rsid w:val="00C33CAB"/>
    <w:rsid w:val="00C33DD8"/>
    <w:rsid w:val="00C33F40"/>
    <w:rsid w:val="00C340FC"/>
    <w:rsid w:val="00C343B0"/>
    <w:rsid w:val="00C344FB"/>
    <w:rsid w:val="00C345C0"/>
    <w:rsid w:val="00C346DE"/>
    <w:rsid w:val="00C349D6"/>
    <w:rsid w:val="00C34DE4"/>
    <w:rsid w:val="00C34E6C"/>
    <w:rsid w:val="00C35088"/>
    <w:rsid w:val="00C35112"/>
    <w:rsid w:val="00C35290"/>
    <w:rsid w:val="00C35391"/>
    <w:rsid w:val="00C3544C"/>
    <w:rsid w:val="00C35738"/>
    <w:rsid w:val="00C358B8"/>
    <w:rsid w:val="00C35A1E"/>
    <w:rsid w:val="00C35B04"/>
    <w:rsid w:val="00C35EDE"/>
    <w:rsid w:val="00C35F36"/>
    <w:rsid w:val="00C36152"/>
    <w:rsid w:val="00C36487"/>
    <w:rsid w:val="00C365DD"/>
    <w:rsid w:val="00C36661"/>
    <w:rsid w:val="00C367C4"/>
    <w:rsid w:val="00C367DC"/>
    <w:rsid w:val="00C368BF"/>
    <w:rsid w:val="00C36B90"/>
    <w:rsid w:val="00C36E27"/>
    <w:rsid w:val="00C370C3"/>
    <w:rsid w:val="00C37617"/>
    <w:rsid w:val="00C376DF"/>
    <w:rsid w:val="00C37791"/>
    <w:rsid w:val="00C379A2"/>
    <w:rsid w:val="00C37A1E"/>
    <w:rsid w:val="00C37AE6"/>
    <w:rsid w:val="00C37C95"/>
    <w:rsid w:val="00C37CB8"/>
    <w:rsid w:val="00C4000E"/>
    <w:rsid w:val="00C40176"/>
    <w:rsid w:val="00C401D4"/>
    <w:rsid w:val="00C40226"/>
    <w:rsid w:val="00C40621"/>
    <w:rsid w:val="00C4062E"/>
    <w:rsid w:val="00C4082A"/>
    <w:rsid w:val="00C4088A"/>
    <w:rsid w:val="00C40BC2"/>
    <w:rsid w:val="00C4147B"/>
    <w:rsid w:val="00C4156C"/>
    <w:rsid w:val="00C41B17"/>
    <w:rsid w:val="00C41DCA"/>
    <w:rsid w:val="00C41FBF"/>
    <w:rsid w:val="00C4203E"/>
    <w:rsid w:val="00C42467"/>
    <w:rsid w:val="00C42686"/>
    <w:rsid w:val="00C426E5"/>
    <w:rsid w:val="00C42745"/>
    <w:rsid w:val="00C42774"/>
    <w:rsid w:val="00C42791"/>
    <w:rsid w:val="00C42A80"/>
    <w:rsid w:val="00C42B9C"/>
    <w:rsid w:val="00C42BF1"/>
    <w:rsid w:val="00C42C19"/>
    <w:rsid w:val="00C42E02"/>
    <w:rsid w:val="00C42FA9"/>
    <w:rsid w:val="00C4320D"/>
    <w:rsid w:val="00C4329E"/>
    <w:rsid w:val="00C432DD"/>
    <w:rsid w:val="00C4394A"/>
    <w:rsid w:val="00C43987"/>
    <w:rsid w:val="00C43C6F"/>
    <w:rsid w:val="00C43C9D"/>
    <w:rsid w:val="00C43D38"/>
    <w:rsid w:val="00C43F7F"/>
    <w:rsid w:val="00C44358"/>
    <w:rsid w:val="00C446C5"/>
    <w:rsid w:val="00C44841"/>
    <w:rsid w:val="00C448D2"/>
    <w:rsid w:val="00C44911"/>
    <w:rsid w:val="00C44A80"/>
    <w:rsid w:val="00C44C8F"/>
    <w:rsid w:val="00C45146"/>
    <w:rsid w:val="00C452A4"/>
    <w:rsid w:val="00C456B7"/>
    <w:rsid w:val="00C457EB"/>
    <w:rsid w:val="00C45840"/>
    <w:rsid w:val="00C45959"/>
    <w:rsid w:val="00C45AA8"/>
    <w:rsid w:val="00C45D9C"/>
    <w:rsid w:val="00C45F66"/>
    <w:rsid w:val="00C460C3"/>
    <w:rsid w:val="00C46123"/>
    <w:rsid w:val="00C46191"/>
    <w:rsid w:val="00C4636A"/>
    <w:rsid w:val="00C46556"/>
    <w:rsid w:val="00C465AF"/>
    <w:rsid w:val="00C46BC1"/>
    <w:rsid w:val="00C46FAC"/>
    <w:rsid w:val="00C47002"/>
    <w:rsid w:val="00C47149"/>
    <w:rsid w:val="00C47362"/>
    <w:rsid w:val="00C473DE"/>
    <w:rsid w:val="00C473F2"/>
    <w:rsid w:val="00C474FD"/>
    <w:rsid w:val="00C47586"/>
    <w:rsid w:val="00C4793F"/>
    <w:rsid w:val="00C479D9"/>
    <w:rsid w:val="00C47DE5"/>
    <w:rsid w:val="00C502BD"/>
    <w:rsid w:val="00C50305"/>
    <w:rsid w:val="00C506FD"/>
    <w:rsid w:val="00C50754"/>
    <w:rsid w:val="00C5084F"/>
    <w:rsid w:val="00C50918"/>
    <w:rsid w:val="00C509DC"/>
    <w:rsid w:val="00C50C22"/>
    <w:rsid w:val="00C50D7A"/>
    <w:rsid w:val="00C50F49"/>
    <w:rsid w:val="00C50FCF"/>
    <w:rsid w:val="00C51073"/>
    <w:rsid w:val="00C51087"/>
    <w:rsid w:val="00C51096"/>
    <w:rsid w:val="00C511D3"/>
    <w:rsid w:val="00C51212"/>
    <w:rsid w:val="00C51383"/>
    <w:rsid w:val="00C5145F"/>
    <w:rsid w:val="00C5166D"/>
    <w:rsid w:val="00C518E8"/>
    <w:rsid w:val="00C518F1"/>
    <w:rsid w:val="00C519FC"/>
    <w:rsid w:val="00C51A15"/>
    <w:rsid w:val="00C51A16"/>
    <w:rsid w:val="00C51D64"/>
    <w:rsid w:val="00C51F43"/>
    <w:rsid w:val="00C52146"/>
    <w:rsid w:val="00C5220C"/>
    <w:rsid w:val="00C5222F"/>
    <w:rsid w:val="00C522C1"/>
    <w:rsid w:val="00C527A8"/>
    <w:rsid w:val="00C52B88"/>
    <w:rsid w:val="00C52BD0"/>
    <w:rsid w:val="00C52E21"/>
    <w:rsid w:val="00C52E6C"/>
    <w:rsid w:val="00C52F60"/>
    <w:rsid w:val="00C52F77"/>
    <w:rsid w:val="00C530FA"/>
    <w:rsid w:val="00C53429"/>
    <w:rsid w:val="00C53592"/>
    <w:rsid w:val="00C536A4"/>
    <w:rsid w:val="00C5376B"/>
    <w:rsid w:val="00C53F74"/>
    <w:rsid w:val="00C5416B"/>
    <w:rsid w:val="00C5437C"/>
    <w:rsid w:val="00C54416"/>
    <w:rsid w:val="00C5462F"/>
    <w:rsid w:val="00C5478E"/>
    <w:rsid w:val="00C547E9"/>
    <w:rsid w:val="00C54900"/>
    <w:rsid w:val="00C54966"/>
    <w:rsid w:val="00C54DDF"/>
    <w:rsid w:val="00C5502E"/>
    <w:rsid w:val="00C5507C"/>
    <w:rsid w:val="00C551F8"/>
    <w:rsid w:val="00C5571A"/>
    <w:rsid w:val="00C55876"/>
    <w:rsid w:val="00C55B63"/>
    <w:rsid w:val="00C55BDD"/>
    <w:rsid w:val="00C55CED"/>
    <w:rsid w:val="00C55F12"/>
    <w:rsid w:val="00C55F36"/>
    <w:rsid w:val="00C56179"/>
    <w:rsid w:val="00C56218"/>
    <w:rsid w:val="00C5654A"/>
    <w:rsid w:val="00C565F0"/>
    <w:rsid w:val="00C566CE"/>
    <w:rsid w:val="00C566FA"/>
    <w:rsid w:val="00C5691B"/>
    <w:rsid w:val="00C56921"/>
    <w:rsid w:val="00C56AF1"/>
    <w:rsid w:val="00C56E16"/>
    <w:rsid w:val="00C56EC4"/>
    <w:rsid w:val="00C56EFF"/>
    <w:rsid w:val="00C57490"/>
    <w:rsid w:val="00C57570"/>
    <w:rsid w:val="00C57801"/>
    <w:rsid w:val="00C57A4E"/>
    <w:rsid w:val="00C57B11"/>
    <w:rsid w:val="00C57B32"/>
    <w:rsid w:val="00C57C3B"/>
    <w:rsid w:val="00C57D21"/>
    <w:rsid w:val="00C57D81"/>
    <w:rsid w:val="00C57F20"/>
    <w:rsid w:val="00C6020C"/>
    <w:rsid w:val="00C60371"/>
    <w:rsid w:val="00C603A9"/>
    <w:rsid w:val="00C6044D"/>
    <w:rsid w:val="00C604EF"/>
    <w:rsid w:val="00C6052F"/>
    <w:rsid w:val="00C60691"/>
    <w:rsid w:val="00C607AF"/>
    <w:rsid w:val="00C610DF"/>
    <w:rsid w:val="00C61167"/>
    <w:rsid w:val="00C61202"/>
    <w:rsid w:val="00C61285"/>
    <w:rsid w:val="00C61456"/>
    <w:rsid w:val="00C6145D"/>
    <w:rsid w:val="00C61778"/>
    <w:rsid w:val="00C6196E"/>
    <w:rsid w:val="00C6203B"/>
    <w:rsid w:val="00C62091"/>
    <w:rsid w:val="00C62298"/>
    <w:rsid w:val="00C62412"/>
    <w:rsid w:val="00C6249D"/>
    <w:rsid w:val="00C624D5"/>
    <w:rsid w:val="00C6253B"/>
    <w:rsid w:val="00C62743"/>
    <w:rsid w:val="00C629BA"/>
    <w:rsid w:val="00C62A0E"/>
    <w:rsid w:val="00C62B59"/>
    <w:rsid w:val="00C62C14"/>
    <w:rsid w:val="00C62EDD"/>
    <w:rsid w:val="00C62F79"/>
    <w:rsid w:val="00C63180"/>
    <w:rsid w:val="00C63217"/>
    <w:rsid w:val="00C632CD"/>
    <w:rsid w:val="00C63530"/>
    <w:rsid w:val="00C63598"/>
    <w:rsid w:val="00C63671"/>
    <w:rsid w:val="00C636C8"/>
    <w:rsid w:val="00C63753"/>
    <w:rsid w:val="00C63B14"/>
    <w:rsid w:val="00C63BD2"/>
    <w:rsid w:val="00C642C9"/>
    <w:rsid w:val="00C64320"/>
    <w:rsid w:val="00C6442A"/>
    <w:rsid w:val="00C644F1"/>
    <w:rsid w:val="00C64552"/>
    <w:rsid w:val="00C64787"/>
    <w:rsid w:val="00C6486F"/>
    <w:rsid w:val="00C64BCD"/>
    <w:rsid w:val="00C64CB6"/>
    <w:rsid w:val="00C64D01"/>
    <w:rsid w:val="00C64D33"/>
    <w:rsid w:val="00C64E2A"/>
    <w:rsid w:val="00C651AB"/>
    <w:rsid w:val="00C65372"/>
    <w:rsid w:val="00C6538C"/>
    <w:rsid w:val="00C65442"/>
    <w:rsid w:val="00C654EE"/>
    <w:rsid w:val="00C655B4"/>
    <w:rsid w:val="00C656A6"/>
    <w:rsid w:val="00C65A29"/>
    <w:rsid w:val="00C65B32"/>
    <w:rsid w:val="00C65B7E"/>
    <w:rsid w:val="00C65F97"/>
    <w:rsid w:val="00C66386"/>
    <w:rsid w:val="00C66923"/>
    <w:rsid w:val="00C669C1"/>
    <w:rsid w:val="00C66DC6"/>
    <w:rsid w:val="00C66E9F"/>
    <w:rsid w:val="00C66FEE"/>
    <w:rsid w:val="00C670F3"/>
    <w:rsid w:val="00C6738E"/>
    <w:rsid w:val="00C676E5"/>
    <w:rsid w:val="00C678D4"/>
    <w:rsid w:val="00C6790C"/>
    <w:rsid w:val="00C67914"/>
    <w:rsid w:val="00C67E53"/>
    <w:rsid w:val="00C67EBE"/>
    <w:rsid w:val="00C700EC"/>
    <w:rsid w:val="00C703CE"/>
    <w:rsid w:val="00C704EA"/>
    <w:rsid w:val="00C706AD"/>
    <w:rsid w:val="00C70710"/>
    <w:rsid w:val="00C70974"/>
    <w:rsid w:val="00C70A2D"/>
    <w:rsid w:val="00C70AAF"/>
    <w:rsid w:val="00C70C90"/>
    <w:rsid w:val="00C71020"/>
    <w:rsid w:val="00C71085"/>
    <w:rsid w:val="00C71090"/>
    <w:rsid w:val="00C71138"/>
    <w:rsid w:val="00C71240"/>
    <w:rsid w:val="00C71254"/>
    <w:rsid w:val="00C7128D"/>
    <w:rsid w:val="00C71364"/>
    <w:rsid w:val="00C713B3"/>
    <w:rsid w:val="00C716C3"/>
    <w:rsid w:val="00C71926"/>
    <w:rsid w:val="00C71944"/>
    <w:rsid w:val="00C7198C"/>
    <w:rsid w:val="00C71C6B"/>
    <w:rsid w:val="00C71CEB"/>
    <w:rsid w:val="00C71DB1"/>
    <w:rsid w:val="00C72035"/>
    <w:rsid w:val="00C721D5"/>
    <w:rsid w:val="00C72225"/>
    <w:rsid w:val="00C726A8"/>
    <w:rsid w:val="00C726E5"/>
    <w:rsid w:val="00C726F7"/>
    <w:rsid w:val="00C72831"/>
    <w:rsid w:val="00C729D9"/>
    <w:rsid w:val="00C72A0C"/>
    <w:rsid w:val="00C72A1C"/>
    <w:rsid w:val="00C72D51"/>
    <w:rsid w:val="00C72D55"/>
    <w:rsid w:val="00C72E32"/>
    <w:rsid w:val="00C72E60"/>
    <w:rsid w:val="00C73445"/>
    <w:rsid w:val="00C73591"/>
    <w:rsid w:val="00C7395A"/>
    <w:rsid w:val="00C73C09"/>
    <w:rsid w:val="00C73DBE"/>
    <w:rsid w:val="00C73E3B"/>
    <w:rsid w:val="00C7404C"/>
    <w:rsid w:val="00C74069"/>
    <w:rsid w:val="00C74091"/>
    <w:rsid w:val="00C74213"/>
    <w:rsid w:val="00C745A1"/>
    <w:rsid w:val="00C746B3"/>
    <w:rsid w:val="00C7481C"/>
    <w:rsid w:val="00C748A3"/>
    <w:rsid w:val="00C748DA"/>
    <w:rsid w:val="00C748DD"/>
    <w:rsid w:val="00C74ACA"/>
    <w:rsid w:val="00C74B48"/>
    <w:rsid w:val="00C74BF5"/>
    <w:rsid w:val="00C74C43"/>
    <w:rsid w:val="00C74C71"/>
    <w:rsid w:val="00C74DE1"/>
    <w:rsid w:val="00C74EA3"/>
    <w:rsid w:val="00C74EDC"/>
    <w:rsid w:val="00C74FEF"/>
    <w:rsid w:val="00C75276"/>
    <w:rsid w:val="00C7530F"/>
    <w:rsid w:val="00C75448"/>
    <w:rsid w:val="00C755B0"/>
    <w:rsid w:val="00C7574F"/>
    <w:rsid w:val="00C75B2D"/>
    <w:rsid w:val="00C75F25"/>
    <w:rsid w:val="00C765EA"/>
    <w:rsid w:val="00C766DB"/>
    <w:rsid w:val="00C76D62"/>
    <w:rsid w:val="00C76D70"/>
    <w:rsid w:val="00C77173"/>
    <w:rsid w:val="00C774D0"/>
    <w:rsid w:val="00C7774D"/>
    <w:rsid w:val="00C77C99"/>
    <w:rsid w:val="00C77F2E"/>
    <w:rsid w:val="00C80006"/>
    <w:rsid w:val="00C800E0"/>
    <w:rsid w:val="00C80153"/>
    <w:rsid w:val="00C802F8"/>
    <w:rsid w:val="00C8050B"/>
    <w:rsid w:val="00C80970"/>
    <w:rsid w:val="00C80C4C"/>
    <w:rsid w:val="00C80EA5"/>
    <w:rsid w:val="00C81050"/>
    <w:rsid w:val="00C8108E"/>
    <w:rsid w:val="00C810DA"/>
    <w:rsid w:val="00C812C1"/>
    <w:rsid w:val="00C814FA"/>
    <w:rsid w:val="00C8155D"/>
    <w:rsid w:val="00C81790"/>
    <w:rsid w:val="00C818DC"/>
    <w:rsid w:val="00C81AFA"/>
    <w:rsid w:val="00C81B35"/>
    <w:rsid w:val="00C81DF1"/>
    <w:rsid w:val="00C81F3B"/>
    <w:rsid w:val="00C81FCD"/>
    <w:rsid w:val="00C82012"/>
    <w:rsid w:val="00C82028"/>
    <w:rsid w:val="00C8226E"/>
    <w:rsid w:val="00C822A5"/>
    <w:rsid w:val="00C82364"/>
    <w:rsid w:val="00C82A18"/>
    <w:rsid w:val="00C82CCC"/>
    <w:rsid w:val="00C82EBA"/>
    <w:rsid w:val="00C82EC7"/>
    <w:rsid w:val="00C82FC6"/>
    <w:rsid w:val="00C832E4"/>
    <w:rsid w:val="00C8349E"/>
    <w:rsid w:val="00C8349F"/>
    <w:rsid w:val="00C83753"/>
    <w:rsid w:val="00C83AF9"/>
    <w:rsid w:val="00C83EB2"/>
    <w:rsid w:val="00C83F40"/>
    <w:rsid w:val="00C840E7"/>
    <w:rsid w:val="00C8458A"/>
    <w:rsid w:val="00C84698"/>
    <w:rsid w:val="00C84B27"/>
    <w:rsid w:val="00C84C59"/>
    <w:rsid w:val="00C84CEF"/>
    <w:rsid w:val="00C84E0D"/>
    <w:rsid w:val="00C85246"/>
    <w:rsid w:val="00C852CA"/>
    <w:rsid w:val="00C85381"/>
    <w:rsid w:val="00C853DF"/>
    <w:rsid w:val="00C85534"/>
    <w:rsid w:val="00C8561F"/>
    <w:rsid w:val="00C857B0"/>
    <w:rsid w:val="00C8596E"/>
    <w:rsid w:val="00C85A36"/>
    <w:rsid w:val="00C85F8B"/>
    <w:rsid w:val="00C86018"/>
    <w:rsid w:val="00C8608B"/>
    <w:rsid w:val="00C860D5"/>
    <w:rsid w:val="00C86459"/>
    <w:rsid w:val="00C8645C"/>
    <w:rsid w:val="00C86675"/>
    <w:rsid w:val="00C870EA"/>
    <w:rsid w:val="00C872F0"/>
    <w:rsid w:val="00C87394"/>
    <w:rsid w:val="00C87419"/>
    <w:rsid w:val="00C874BD"/>
    <w:rsid w:val="00C87580"/>
    <w:rsid w:val="00C8778F"/>
    <w:rsid w:val="00C8785C"/>
    <w:rsid w:val="00C878EE"/>
    <w:rsid w:val="00C87C42"/>
    <w:rsid w:val="00C87C99"/>
    <w:rsid w:val="00C87E8A"/>
    <w:rsid w:val="00C900BF"/>
    <w:rsid w:val="00C9015B"/>
    <w:rsid w:val="00C901F4"/>
    <w:rsid w:val="00C902F1"/>
    <w:rsid w:val="00C90328"/>
    <w:rsid w:val="00C90338"/>
    <w:rsid w:val="00C908CB"/>
    <w:rsid w:val="00C90E22"/>
    <w:rsid w:val="00C90E6C"/>
    <w:rsid w:val="00C913CB"/>
    <w:rsid w:val="00C914F6"/>
    <w:rsid w:val="00C915F8"/>
    <w:rsid w:val="00C91869"/>
    <w:rsid w:val="00C91990"/>
    <w:rsid w:val="00C9199C"/>
    <w:rsid w:val="00C922AF"/>
    <w:rsid w:val="00C9245D"/>
    <w:rsid w:val="00C9261E"/>
    <w:rsid w:val="00C92655"/>
    <w:rsid w:val="00C92729"/>
    <w:rsid w:val="00C927D1"/>
    <w:rsid w:val="00C928CA"/>
    <w:rsid w:val="00C92D4E"/>
    <w:rsid w:val="00C92E65"/>
    <w:rsid w:val="00C9324E"/>
    <w:rsid w:val="00C93413"/>
    <w:rsid w:val="00C93586"/>
    <w:rsid w:val="00C938B8"/>
    <w:rsid w:val="00C93B63"/>
    <w:rsid w:val="00C93E80"/>
    <w:rsid w:val="00C9422A"/>
    <w:rsid w:val="00C942E7"/>
    <w:rsid w:val="00C943BD"/>
    <w:rsid w:val="00C943E8"/>
    <w:rsid w:val="00C94816"/>
    <w:rsid w:val="00C94859"/>
    <w:rsid w:val="00C94BCA"/>
    <w:rsid w:val="00C94C12"/>
    <w:rsid w:val="00C94D11"/>
    <w:rsid w:val="00C94D22"/>
    <w:rsid w:val="00C94E8B"/>
    <w:rsid w:val="00C94EA9"/>
    <w:rsid w:val="00C95030"/>
    <w:rsid w:val="00C950F5"/>
    <w:rsid w:val="00C95264"/>
    <w:rsid w:val="00C952E8"/>
    <w:rsid w:val="00C9588A"/>
    <w:rsid w:val="00C95944"/>
    <w:rsid w:val="00C95C6C"/>
    <w:rsid w:val="00C95CA4"/>
    <w:rsid w:val="00C95D0C"/>
    <w:rsid w:val="00C95DC8"/>
    <w:rsid w:val="00C95E55"/>
    <w:rsid w:val="00C95E83"/>
    <w:rsid w:val="00C95E8A"/>
    <w:rsid w:val="00C96327"/>
    <w:rsid w:val="00C96344"/>
    <w:rsid w:val="00C965C9"/>
    <w:rsid w:val="00C9696D"/>
    <w:rsid w:val="00C96B34"/>
    <w:rsid w:val="00C96BAD"/>
    <w:rsid w:val="00C96E5E"/>
    <w:rsid w:val="00C9737B"/>
    <w:rsid w:val="00C974CA"/>
    <w:rsid w:val="00C97640"/>
    <w:rsid w:val="00C978BF"/>
    <w:rsid w:val="00C979C5"/>
    <w:rsid w:val="00C97BE0"/>
    <w:rsid w:val="00C97EB4"/>
    <w:rsid w:val="00CA0258"/>
    <w:rsid w:val="00CA0644"/>
    <w:rsid w:val="00CA0654"/>
    <w:rsid w:val="00CA0B6F"/>
    <w:rsid w:val="00CA0BF9"/>
    <w:rsid w:val="00CA0D3A"/>
    <w:rsid w:val="00CA0D82"/>
    <w:rsid w:val="00CA0F9E"/>
    <w:rsid w:val="00CA101A"/>
    <w:rsid w:val="00CA1093"/>
    <w:rsid w:val="00CA1167"/>
    <w:rsid w:val="00CA11A0"/>
    <w:rsid w:val="00CA12D0"/>
    <w:rsid w:val="00CA146F"/>
    <w:rsid w:val="00CA1807"/>
    <w:rsid w:val="00CA18A7"/>
    <w:rsid w:val="00CA1C15"/>
    <w:rsid w:val="00CA2028"/>
    <w:rsid w:val="00CA2034"/>
    <w:rsid w:val="00CA230A"/>
    <w:rsid w:val="00CA25C6"/>
    <w:rsid w:val="00CA283F"/>
    <w:rsid w:val="00CA28EB"/>
    <w:rsid w:val="00CA2E37"/>
    <w:rsid w:val="00CA2F07"/>
    <w:rsid w:val="00CA2F96"/>
    <w:rsid w:val="00CA3362"/>
    <w:rsid w:val="00CA357A"/>
    <w:rsid w:val="00CA35D6"/>
    <w:rsid w:val="00CA3A03"/>
    <w:rsid w:val="00CA3A3B"/>
    <w:rsid w:val="00CA3F5C"/>
    <w:rsid w:val="00CA4852"/>
    <w:rsid w:val="00CA4ADE"/>
    <w:rsid w:val="00CA4CC4"/>
    <w:rsid w:val="00CA4DC6"/>
    <w:rsid w:val="00CA4F52"/>
    <w:rsid w:val="00CA4F61"/>
    <w:rsid w:val="00CA4F77"/>
    <w:rsid w:val="00CA5233"/>
    <w:rsid w:val="00CA53EA"/>
    <w:rsid w:val="00CA5604"/>
    <w:rsid w:val="00CA5825"/>
    <w:rsid w:val="00CA5C4E"/>
    <w:rsid w:val="00CA5DB8"/>
    <w:rsid w:val="00CA5FA4"/>
    <w:rsid w:val="00CA603B"/>
    <w:rsid w:val="00CA6582"/>
    <w:rsid w:val="00CA65B3"/>
    <w:rsid w:val="00CA661D"/>
    <w:rsid w:val="00CA66BF"/>
    <w:rsid w:val="00CA66E3"/>
    <w:rsid w:val="00CA675F"/>
    <w:rsid w:val="00CA6778"/>
    <w:rsid w:val="00CA692D"/>
    <w:rsid w:val="00CA6A50"/>
    <w:rsid w:val="00CA6B72"/>
    <w:rsid w:val="00CA72D9"/>
    <w:rsid w:val="00CA739E"/>
    <w:rsid w:val="00CA73A5"/>
    <w:rsid w:val="00CA73FD"/>
    <w:rsid w:val="00CA764D"/>
    <w:rsid w:val="00CA7D8F"/>
    <w:rsid w:val="00CA7E1A"/>
    <w:rsid w:val="00CA7F72"/>
    <w:rsid w:val="00CB0483"/>
    <w:rsid w:val="00CB0625"/>
    <w:rsid w:val="00CB0632"/>
    <w:rsid w:val="00CB0655"/>
    <w:rsid w:val="00CB0A53"/>
    <w:rsid w:val="00CB0AE2"/>
    <w:rsid w:val="00CB10FB"/>
    <w:rsid w:val="00CB1122"/>
    <w:rsid w:val="00CB117C"/>
    <w:rsid w:val="00CB1239"/>
    <w:rsid w:val="00CB128E"/>
    <w:rsid w:val="00CB12FB"/>
    <w:rsid w:val="00CB1384"/>
    <w:rsid w:val="00CB140E"/>
    <w:rsid w:val="00CB18C4"/>
    <w:rsid w:val="00CB1CEE"/>
    <w:rsid w:val="00CB1D3E"/>
    <w:rsid w:val="00CB1DCA"/>
    <w:rsid w:val="00CB1F17"/>
    <w:rsid w:val="00CB201D"/>
    <w:rsid w:val="00CB212B"/>
    <w:rsid w:val="00CB2877"/>
    <w:rsid w:val="00CB28ED"/>
    <w:rsid w:val="00CB2B38"/>
    <w:rsid w:val="00CB2D63"/>
    <w:rsid w:val="00CB30B1"/>
    <w:rsid w:val="00CB30F4"/>
    <w:rsid w:val="00CB31F2"/>
    <w:rsid w:val="00CB33A7"/>
    <w:rsid w:val="00CB344A"/>
    <w:rsid w:val="00CB3510"/>
    <w:rsid w:val="00CB3557"/>
    <w:rsid w:val="00CB3760"/>
    <w:rsid w:val="00CB376B"/>
    <w:rsid w:val="00CB3FB1"/>
    <w:rsid w:val="00CB40B2"/>
    <w:rsid w:val="00CB4251"/>
    <w:rsid w:val="00CB43AA"/>
    <w:rsid w:val="00CB481A"/>
    <w:rsid w:val="00CB4928"/>
    <w:rsid w:val="00CB4A6F"/>
    <w:rsid w:val="00CB4DCA"/>
    <w:rsid w:val="00CB5177"/>
    <w:rsid w:val="00CB53F1"/>
    <w:rsid w:val="00CB5586"/>
    <w:rsid w:val="00CB55CE"/>
    <w:rsid w:val="00CB56C6"/>
    <w:rsid w:val="00CB58DB"/>
    <w:rsid w:val="00CB5B52"/>
    <w:rsid w:val="00CB5C1F"/>
    <w:rsid w:val="00CB5CDC"/>
    <w:rsid w:val="00CB67FC"/>
    <w:rsid w:val="00CB6B5B"/>
    <w:rsid w:val="00CB6B96"/>
    <w:rsid w:val="00CB6C38"/>
    <w:rsid w:val="00CB6CA6"/>
    <w:rsid w:val="00CB70F4"/>
    <w:rsid w:val="00CB7211"/>
    <w:rsid w:val="00CB724C"/>
    <w:rsid w:val="00CB742A"/>
    <w:rsid w:val="00CB7482"/>
    <w:rsid w:val="00CB7A8C"/>
    <w:rsid w:val="00CB7EE5"/>
    <w:rsid w:val="00CC00B1"/>
    <w:rsid w:val="00CC0178"/>
    <w:rsid w:val="00CC0350"/>
    <w:rsid w:val="00CC086C"/>
    <w:rsid w:val="00CC0B83"/>
    <w:rsid w:val="00CC0E54"/>
    <w:rsid w:val="00CC100C"/>
    <w:rsid w:val="00CC10E8"/>
    <w:rsid w:val="00CC123D"/>
    <w:rsid w:val="00CC12B5"/>
    <w:rsid w:val="00CC1364"/>
    <w:rsid w:val="00CC1493"/>
    <w:rsid w:val="00CC14B5"/>
    <w:rsid w:val="00CC15A5"/>
    <w:rsid w:val="00CC15B3"/>
    <w:rsid w:val="00CC15D1"/>
    <w:rsid w:val="00CC1BE1"/>
    <w:rsid w:val="00CC1F56"/>
    <w:rsid w:val="00CC1F93"/>
    <w:rsid w:val="00CC244D"/>
    <w:rsid w:val="00CC24DF"/>
    <w:rsid w:val="00CC254C"/>
    <w:rsid w:val="00CC2724"/>
    <w:rsid w:val="00CC27F8"/>
    <w:rsid w:val="00CC2970"/>
    <w:rsid w:val="00CC2B00"/>
    <w:rsid w:val="00CC2C03"/>
    <w:rsid w:val="00CC2C25"/>
    <w:rsid w:val="00CC2C8F"/>
    <w:rsid w:val="00CC3208"/>
    <w:rsid w:val="00CC347B"/>
    <w:rsid w:val="00CC363C"/>
    <w:rsid w:val="00CC3845"/>
    <w:rsid w:val="00CC387E"/>
    <w:rsid w:val="00CC3C15"/>
    <w:rsid w:val="00CC4029"/>
    <w:rsid w:val="00CC424A"/>
    <w:rsid w:val="00CC45F4"/>
    <w:rsid w:val="00CC47A9"/>
    <w:rsid w:val="00CC47FF"/>
    <w:rsid w:val="00CC493A"/>
    <w:rsid w:val="00CC4BEE"/>
    <w:rsid w:val="00CC4DF0"/>
    <w:rsid w:val="00CC4E60"/>
    <w:rsid w:val="00CC5254"/>
    <w:rsid w:val="00CC54D1"/>
    <w:rsid w:val="00CC5B0C"/>
    <w:rsid w:val="00CC5C17"/>
    <w:rsid w:val="00CC5DB8"/>
    <w:rsid w:val="00CC5DC8"/>
    <w:rsid w:val="00CC5FB6"/>
    <w:rsid w:val="00CC5FE8"/>
    <w:rsid w:val="00CC64AE"/>
    <w:rsid w:val="00CC688C"/>
    <w:rsid w:val="00CC68A9"/>
    <w:rsid w:val="00CC6B7A"/>
    <w:rsid w:val="00CC6E50"/>
    <w:rsid w:val="00CC6F69"/>
    <w:rsid w:val="00CC70D7"/>
    <w:rsid w:val="00CC713B"/>
    <w:rsid w:val="00CC7341"/>
    <w:rsid w:val="00CC76B2"/>
    <w:rsid w:val="00CC776B"/>
    <w:rsid w:val="00CC78CD"/>
    <w:rsid w:val="00CC793E"/>
    <w:rsid w:val="00CC7C26"/>
    <w:rsid w:val="00CC7F48"/>
    <w:rsid w:val="00CC7F5E"/>
    <w:rsid w:val="00CD004E"/>
    <w:rsid w:val="00CD00AA"/>
    <w:rsid w:val="00CD04E5"/>
    <w:rsid w:val="00CD04EE"/>
    <w:rsid w:val="00CD072F"/>
    <w:rsid w:val="00CD085A"/>
    <w:rsid w:val="00CD0912"/>
    <w:rsid w:val="00CD0A5A"/>
    <w:rsid w:val="00CD0B20"/>
    <w:rsid w:val="00CD0B8F"/>
    <w:rsid w:val="00CD0C1E"/>
    <w:rsid w:val="00CD0EC7"/>
    <w:rsid w:val="00CD0EF3"/>
    <w:rsid w:val="00CD0EF6"/>
    <w:rsid w:val="00CD0F28"/>
    <w:rsid w:val="00CD13F3"/>
    <w:rsid w:val="00CD1428"/>
    <w:rsid w:val="00CD145E"/>
    <w:rsid w:val="00CD14E3"/>
    <w:rsid w:val="00CD15E4"/>
    <w:rsid w:val="00CD18A0"/>
    <w:rsid w:val="00CD1BCF"/>
    <w:rsid w:val="00CD1BD9"/>
    <w:rsid w:val="00CD1E00"/>
    <w:rsid w:val="00CD22AA"/>
    <w:rsid w:val="00CD2942"/>
    <w:rsid w:val="00CD29CB"/>
    <w:rsid w:val="00CD2B19"/>
    <w:rsid w:val="00CD2BD8"/>
    <w:rsid w:val="00CD2E78"/>
    <w:rsid w:val="00CD31CA"/>
    <w:rsid w:val="00CD3313"/>
    <w:rsid w:val="00CD3452"/>
    <w:rsid w:val="00CD3642"/>
    <w:rsid w:val="00CD36E2"/>
    <w:rsid w:val="00CD3717"/>
    <w:rsid w:val="00CD399A"/>
    <w:rsid w:val="00CD3B77"/>
    <w:rsid w:val="00CD40C0"/>
    <w:rsid w:val="00CD4258"/>
    <w:rsid w:val="00CD44BB"/>
    <w:rsid w:val="00CD4582"/>
    <w:rsid w:val="00CD4E12"/>
    <w:rsid w:val="00CD4FA5"/>
    <w:rsid w:val="00CD4FCC"/>
    <w:rsid w:val="00CD52DD"/>
    <w:rsid w:val="00CD52E4"/>
    <w:rsid w:val="00CD5320"/>
    <w:rsid w:val="00CD552C"/>
    <w:rsid w:val="00CD5866"/>
    <w:rsid w:val="00CD5905"/>
    <w:rsid w:val="00CD5961"/>
    <w:rsid w:val="00CD5C5B"/>
    <w:rsid w:val="00CD5F57"/>
    <w:rsid w:val="00CD62F0"/>
    <w:rsid w:val="00CD646C"/>
    <w:rsid w:val="00CD6494"/>
    <w:rsid w:val="00CD6527"/>
    <w:rsid w:val="00CD66ED"/>
    <w:rsid w:val="00CD6838"/>
    <w:rsid w:val="00CD6866"/>
    <w:rsid w:val="00CD691F"/>
    <w:rsid w:val="00CD69A2"/>
    <w:rsid w:val="00CD6B94"/>
    <w:rsid w:val="00CD6EB4"/>
    <w:rsid w:val="00CD6F3A"/>
    <w:rsid w:val="00CD7014"/>
    <w:rsid w:val="00CD7075"/>
    <w:rsid w:val="00CD728F"/>
    <w:rsid w:val="00CD73E4"/>
    <w:rsid w:val="00CD75FB"/>
    <w:rsid w:val="00CD772A"/>
    <w:rsid w:val="00CD77D4"/>
    <w:rsid w:val="00CD78D4"/>
    <w:rsid w:val="00CD797C"/>
    <w:rsid w:val="00CD7996"/>
    <w:rsid w:val="00CD79D0"/>
    <w:rsid w:val="00CD7A0A"/>
    <w:rsid w:val="00CD7B59"/>
    <w:rsid w:val="00CD7DCE"/>
    <w:rsid w:val="00CD7DE5"/>
    <w:rsid w:val="00CD7E36"/>
    <w:rsid w:val="00CD7EBE"/>
    <w:rsid w:val="00CE012E"/>
    <w:rsid w:val="00CE01F0"/>
    <w:rsid w:val="00CE0327"/>
    <w:rsid w:val="00CE0820"/>
    <w:rsid w:val="00CE0950"/>
    <w:rsid w:val="00CE09F7"/>
    <w:rsid w:val="00CE0C0E"/>
    <w:rsid w:val="00CE0CEB"/>
    <w:rsid w:val="00CE0D3C"/>
    <w:rsid w:val="00CE0E57"/>
    <w:rsid w:val="00CE0F58"/>
    <w:rsid w:val="00CE1294"/>
    <w:rsid w:val="00CE179E"/>
    <w:rsid w:val="00CE19A3"/>
    <w:rsid w:val="00CE1A9C"/>
    <w:rsid w:val="00CE1BC2"/>
    <w:rsid w:val="00CE1ECF"/>
    <w:rsid w:val="00CE226A"/>
    <w:rsid w:val="00CE2293"/>
    <w:rsid w:val="00CE2479"/>
    <w:rsid w:val="00CE2502"/>
    <w:rsid w:val="00CE264B"/>
    <w:rsid w:val="00CE2694"/>
    <w:rsid w:val="00CE27A4"/>
    <w:rsid w:val="00CE295C"/>
    <w:rsid w:val="00CE2A75"/>
    <w:rsid w:val="00CE2B7B"/>
    <w:rsid w:val="00CE2CB5"/>
    <w:rsid w:val="00CE2D22"/>
    <w:rsid w:val="00CE2D65"/>
    <w:rsid w:val="00CE2E9D"/>
    <w:rsid w:val="00CE32A0"/>
    <w:rsid w:val="00CE3311"/>
    <w:rsid w:val="00CE34E9"/>
    <w:rsid w:val="00CE377C"/>
    <w:rsid w:val="00CE37DB"/>
    <w:rsid w:val="00CE37E4"/>
    <w:rsid w:val="00CE3934"/>
    <w:rsid w:val="00CE40E7"/>
    <w:rsid w:val="00CE42AA"/>
    <w:rsid w:val="00CE43E7"/>
    <w:rsid w:val="00CE4695"/>
    <w:rsid w:val="00CE46A8"/>
    <w:rsid w:val="00CE496F"/>
    <w:rsid w:val="00CE49AD"/>
    <w:rsid w:val="00CE4FF8"/>
    <w:rsid w:val="00CE51D1"/>
    <w:rsid w:val="00CE5245"/>
    <w:rsid w:val="00CE525A"/>
    <w:rsid w:val="00CE5343"/>
    <w:rsid w:val="00CE57DE"/>
    <w:rsid w:val="00CE5828"/>
    <w:rsid w:val="00CE5A2E"/>
    <w:rsid w:val="00CE5C01"/>
    <w:rsid w:val="00CE5C84"/>
    <w:rsid w:val="00CE5CB8"/>
    <w:rsid w:val="00CE6003"/>
    <w:rsid w:val="00CE6519"/>
    <w:rsid w:val="00CE682D"/>
    <w:rsid w:val="00CE6B35"/>
    <w:rsid w:val="00CE6DCD"/>
    <w:rsid w:val="00CE6E33"/>
    <w:rsid w:val="00CE6EFB"/>
    <w:rsid w:val="00CE6F8C"/>
    <w:rsid w:val="00CE7264"/>
    <w:rsid w:val="00CE7265"/>
    <w:rsid w:val="00CE72C1"/>
    <w:rsid w:val="00CE7442"/>
    <w:rsid w:val="00CE7481"/>
    <w:rsid w:val="00CE7616"/>
    <w:rsid w:val="00CE76F2"/>
    <w:rsid w:val="00CE7718"/>
    <w:rsid w:val="00CE77EC"/>
    <w:rsid w:val="00CE798D"/>
    <w:rsid w:val="00CE79E8"/>
    <w:rsid w:val="00CE7AD7"/>
    <w:rsid w:val="00CE7C24"/>
    <w:rsid w:val="00CF0093"/>
    <w:rsid w:val="00CF00ED"/>
    <w:rsid w:val="00CF0208"/>
    <w:rsid w:val="00CF0271"/>
    <w:rsid w:val="00CF0384"/>
    <w:rsid w:val="00CF03E4"/>
    <w:rsid w:val="00CF09C7"/>
    <w:rsid w:val="00CF0A8B"/>
    <w:rsid w:val="00CF0C44"/>
    <w:rsid w:val="00CF0F50"/>
    <w:rsid w:val="00CF107B"/>
    <w:rsid w:val="00CF1084"/>
    <w:rsid w:val="00CF1184"/>
    <w:rsid w:val="00CF11F5"/>
    <w:rsid w:val="00CF134A"/>
    <w:rsid w:val="00CF150D"/>
    <w:rsid w:val="00CF1795"/>
    <w:rsid w:val="00CF17CD"/>
    <w:rsid w:val="00CF182A"/>
    <w:rsid w:val="00CF1835"/>
    <w:rsid w:val="00CF1B74"/>
    <w:rsid w:val="00CF1C07"/>
    <w:rsid w:val="00CF1E06"/>
    <w:rsid w:val="00CF1FE7"/>
    <w:rsid w:val="00CF2180"/>
    <w:rsid w:val="00CF2440"/>
    <w:rsid w:val="00CF24C4"/>
    <w:rsid w:val="00CF266F"/>
    <w:rsid w:val="00CF2897"/>
    <w:rsid w:val="00CF2904"/>
    <w:rsid w:val="00CF296A"/>
    <w:rsid w:val="00CF2C33"/>
    <w:rsid w:val="00CF2C6A"/>
    <w:rsid w:val="00CF2C6B"/>
    <w:rsid w:val="00CF3138"/>
    <w:rsid w:val="00CF3343"/>
    <w:rsid w:val="00CF34A0"/>
    <w:rsid w:val="00CF351D"/>
    <w:rsid w:val="00CF3529"/>
    <w:rsid w:val="00CF385E"/>
    <w:rsid w:val="00CF3920"/>
    <w:rsid w:val="00CF397E"/>
    <w:rsid w:val="00CF398F"/>
    <w:rsid w:val="00CF3B53"/>
    <w:rsid w:val="00CF3C13"/>
    <w:rsid w:val="00CF3CF1"/>
    <w:rsid w:val="00CF3F4C"/>
    <w:rsid w:val="00CF44DC"/>
    <w:rsid w:val="00CF477E"/>
    <w:rsid w:val="00CF4A79"/>
    <w:rsid w:val="00CF4B6C"/>
    <w:rsid w:val="00CF4BFB"/>
    <w:rsid w:val="00CF4C9B"/>
    <w:rsid w:val="00CF509D"/>
    <w:rsid w:val="00CF50A1"/>
    <w:rsid w:val="00CF576B"/>
    <w:rsid w:val="00CF58F0"/>
    <w:rsid w:val="00CF5A15"/>
    <w:rsid w:val="00CF5BD0"/>
    <w:rsid w:val="00CF5E1B"/>
    <w:rsid w:val="00CF5F9B"/>
    <w:rsid w:val="00CF5FC8"/>
    <w:rsid w:val="00CF622F"/>
    <w:rsid w:val="00CF6489"/>
    <w:rsid w:val="00CF653E"/>
    <w:rsid w:val="00CF655A"/>
    <w:rsid w:val="00CF66FA"/>
    <w:rsid w:val="00CF67F8"/>
    <w:rsid w:val="00CF69E0"/>
    <w:rsid w:val="00CF6A34"/>
    <w:rsid w:val="00CF6B24"/>
    <w:rsid w:val="00CF6E51"/>
    <w:rsid w:val="00CF768B"/>
    <w:rsid w:val="00CF7740"/>
    <w:rsid w:val="00CF79B0"/>
    <w:rsid w:val="00CF7D62"/>
    <w:rsid w:val="00CF7E45"/>
    <w:rsid w:val="00CF7E8B"/>
    <w:rsid w:val="00CF7F7A"/>
    <w:rsid w:val="00D00450"/>
    <w:rsid w:val="00D00877"/>
    <w:rsid w:val="00D008BA"/>
    <w:rsid w:val="00D0093F"/>
    <w:rsid w:val="00D009EF"/>
    <w:rsid w:val="00D014F4"/>
    <w:rsid w:val="00D015A3"/>
    <w:rsid w:val="00D01686"/>
    <w:rsid w:val="00D017C0"/>
    <w:rsid w:val="00D01D84"/>
    <w:rsid w:val="00D01DAE"/>
    <w:rsid w:val="00D0218E"/>
    <w:rsid w:val="00D02237"/>
    <w:rsid w:val="00D0225A"/>
    <w:rsid w:val="00D02900"/>
    <w:rsid w:val="00D02938"/>
    <w:rsid w:val="00D02A5C"/>
    <w:rsid w:val="00D02B21"/>
    <w:rsid w:val="00D02B4D"/>
    <w:rsid w:val="00D02C3E"/>
    <w:rsid w:val="00D02D6A"/>
    <w:rsid w:val="00D02DF5"/>
    <w:rsid w:val="00D02F1F"/>
    <w:rsid w:val="00D02F80"/>
    <w:rsid w:val="00D030A5"/>
    <w:rsid w:val="00D036D0"/>
    <w:rsid w:val="00D03798"/>
    <w:rsid w:val="00D03856"/>
    <w:rsid w:val="00D0386F"/>
    <w:rsid w:val="00D03D19"/>
    <w:rsid w:val="00D03E56"/>
    <w:rsid w:val="00D03F3B"/>
    <w:rsid w:val="00D03FD7"/>
    <w:rsid w:val="00D0414F"/>
    <w:rsid w:val="00D044A5"/>
    <w:rsid w:val="00D044CF"/>
    <w:rsid w:val="00D045DF"/>
    <w:rsid w:val="00D045F9"/>
    <w:rsid w:val="00D04BB3"/>
    <w:rsid w:val="00D04D1B"/>
    <w:rsid w:val="00D04ED6"/>
    <w:rsid w:val="00D04FA2"/>
    <w:rsid w:val="00D05073"/>
    <w:rsid w:val="00D053E7"/>
    <w:rsid w:val="00D053EA"/>
    <w:rsid w:val="00D05772"/>
    <w:rsid w:val="00D05E0E"/>
    <w:rsid w:val="00D05E46"/>
    <w:rsid w:val="00D05F31"/>
    <w:rsid w:val="00D0609A"/>
    <w:rsid w:val="00D0624F"/>
    <w:rsid w:val="00D06298"/>
    <w:rsid w:val="00D062D6"/>
    <w:rsid w:val="00D06666"/>
    <w:rsid w:val="00D06818"/>
    <w:rsid w:val="00D069AD"/>
    <w:rsid w:val="00D069DE"/>
    <w:rsid w:val="00D06A1C"/>
    <w:rsid w:val="00D06DBD"/>
    <w:rsid w:val="00D07098"/>
    <w:rsid w:val="00D070FC"/>
    <w:rsid w:val="00D07172"/>
    <w:rsid w:val="00D07220"/>
    <w:rsid w:val="00D073DB"/>
    <w:rsid w:val="00D075F3"/>
    <w:rsid w:val="00D07919"/>
    <w:rsid w:val="00D07947"/>
    <w:rsid w:val="00D07E1D"/>
    <w:rsid w:val="00D109B8"/>
    <w:rsid w:val="00D10A42"/>
    <w:rsid w:val="00D10C0F"/>
    <w:rsid w:val="00D10F17"/>
    <w:rsid w:val="00D11036"/>
    <w:rsid w:val="00D11108"/>
    <w:rsid w:val="00D1118C"/>
    <w:rsid w:val="00D115DF"/>
    <w:rsid w:val="00D117A9"/>
    <w:rsid w:val="00D118BB"/>
    <w:rsid w:val="00D119D6"/>
    <w:rsid w:val="00D11BE4"/>
    <w:rsid w:val="00D11CB6"/>
    <w:rsid w:val="00D11FF3"/>
    <w:rsid w:val="00D12193"/>
    <w:rsid w:val="00D12499"/>
    <w:rsid w:val="00D1271C"/>
    <w:rsid w:val="00D12A66"/>
    <w:rsid w:val="00D12BFC"/>
    <w:rsid w:val="00D12C6F"/>
    <w:rsid w:val="00D12D32"/>
    <w:rsid w:val="00D12F4E"/>
    <w:rsid w:val="00D13110"/>
    <w:rsid w:val="00D13307"/>
    <w:rsid w:val="00D13BC1"/>
    <w:rsid w:val="00D13CA6"/>
    <w:rsid w:val="00D13D3F"/>
    <w:rsid w:val="00D13DDF"/>
    <w:rsid w:val="00D13DE9"/>
    <w:rsid w:val="00D1407D"/>
    <w:rsid w:val="00D14179"/>
    <w:rsid w:val="00D141D9"/>
    <w:rsid w:val="00D144AA"/>
    <w:rsid w:val="00D14885"/>
    <w:rsid w:val="00D148EA"/>
    <w:rsid w:val="00D1495C"/>
    <w:rsid w:val="00D14AC2"/>
    <w:rsid w:val="00D14FD9"/>
    <w:rsid w:val="00D15486"/>
    <w:rsid w:val="00D155E8"/>
    <w:rsid w:val="00D15668"/>
    <w:rsid w:val="00D15733"/>
    <w:rsid w:val="00D1574B"/>
    <w:rsid w:val="00D1591A"/>
    <w:rsid w:val="00D15A5E"/>
    <w:rsid w:val="00D15B5A"/>
    <w:rsid w:val="00D15DF3"/>
    <w:rsid w:val="00D15E1F"/>
    <w:rsid w:val="00D1608C"/>
    <w:rsid w:val="00D16264"/>
    <w:rsid w:val="00D1657C"/>
    <w:rsid w:val="00D16700"/>
    <w:rsid w:val="00D16743"/>
    <w:rsid w:val="00D16B97"/>
    <w:rsid w:val="00D16BA6"/>
    <w:rsid w:val="00D16F36"/>
    <w:rsid w:val="00D172F8"/>
    <w:rsid w:val="00D175F5"/>
    <w:rsid w:val="00D177E9"/>
    <w:rsid w:val="00D17C11"/>
    <w:rsid w:val="00D17DCC"/>
    <w:rsid w:val="00D17FAF"/>
    <w:rsid w:val="00D2030D"/>
    <w:rsid w:val="00D20573"/>
    <w:rsid w:val="00D20690"/>
    <w:rsid w:val="00D20BB6"/>
    <w:rsid w:val="00D20FB5"/>
    <w:rsid w:val="00D21155"/>
    <w:rsid w:val="00D2120A"/>
    <w:rsid w:val="00D212F4"/>
    <w:rsid w:val="00D21452"/>
    <w:rsid w:val="00D2166A"/>
    <w:rsid w:val="00D2167D"/>
    <w:rsid w:val="00D216BE"/>
    <w:rsid w:val="00D217BB"/>
    <w:rsid w:val="00D217E0"/>
    <w:rsid w:val="00D2191E"/>
    <w:rsid w:val="00D21992"/>
    <w:rsid w:val="00D21A28"/>
    <w:rsid w:val="00D21B6B"/>
    <w:rsid w:val="00D21BF9"/>
    <w:rsid w:val="00D21DA5"/>
    <w:rsid w:val="00D2216F"/>
    <w:rsid w:val="00D22259"/>
    <w:rsid w:val="00D222C4"/>
    <w:rsid w:val="00D22481"/>
    <w:rsid w:val="00D226BA"/>
    <w:rsid w:val="00D22976"/>
    <w:rsid w:val="00D22A50"/>
    <w:rsid w:val="00D22B03"/>
    <w:rsid w:val="00D22C24"/>
    <w:rsid w:val="00D22C38"/>
    <w:rsid w:val="00D22E75"/>
    <w:rsid w:val="00D23799"/>
    <w:rsid w:val="00D23BAC"/>
    <w:rsid w:val="00D23C3F"/>
    <w:rsid w:val="00D23C63"/>
    <w:rsid w:val="00D24176"/>
    <w:rsid w:val="00D242C6"/>
    <w:rsid w:val="00D244CA"/>
    <w:rsid w:val="00D24880"/>
    <w:rsid w:val="00D2492C"/>
    <w:rsid w:val="00D24955"/>
    <w:rsid w:val="00D24B06"/>
    <w:rsid w:val="00D24B7C"/>
    <w:rsid w:val="00D24CB4"/>
    <w:rsid w:val="00D24CC6"/>
    <w:rsid w:val="00D2509D"/>
    <w:rsid w:val="00D25174"/>
    <w:rsid w:val="00D25274"/>
    <w:rsid w:val="00D255E0"/>
    <w:rsid w:val="00D2592F"/>
    <w:rsid w:val="00D25A92"/>
    <w:rsid w:val="00D25AAF"/>
    <w:rsid w:val="00D25CC9"/>
    <w:rsid w:val="00D25DC7"/>
    <w:rsid w:val="00D25E28"/>
    <w:rsid w:val="00D2603B"/>
    <w:rsid w:val="00D26211"/>
    <w:rsid w:val="00D266F4"/>
    <w:rsid w:val="00D2713F"/>
    <w:rsid w:val="00D27181"/>
    <w:rsid w:val="00D271D9"/>
    <w:rsid w:val="00D27221"/>
    <w:rsid w:val="00D2728C"/>
    <w:rsid w:val="00D27596"/>
    <w:rsid w:val="00D27620"/>
    <w:rsid w:val="00D2779D"/>
    <w:rsid w:val="00D278DC"/>
    <w:rsid w:val="00D27F0E"/>
    <w:rsid w:val="00D300B4"/>
    <w:rsid w:val="00D3028D"/>
    <w:rsid w:val="00D30730"/>
    <w:rsid w:val="00D30ACF"/>
    <w:rsid w:val="00D30C42"/>
    <w:rsid w:val="00D30ECE"/>
    <w:rsid w:val="00D30EEA"/>
    <w:rsid w:val="00D30F9E"/>
    <w:rsid w:val="00D30FA6"/>
    <w:rsid w:val="00D3106F"/>
    <w:rsid w:val="00D3122E"/>
    <w:rsid w:val="00D31356"/>
    <w:rsid w:val="00D31449"/>
    <w:rsid w:val="00D316DE"/>
    <w:rsid w:val="00D3186F"/>
    <w:rsid w:val="00D32004"/>
    <w:rsid w:val="00D32161"/>
    <w:rsid w:val="00D32402"/>
    <w:rsid w:val="00D32411"/>
    <w:rsid w:val="00D32453"/>
    <w:rsid w:val="00D327AF"/>
    <w:rsid w:val="00D3292A"/>
    <w:rsid w:val="00D329C4"/>
    <w:rsid w:val="00D32A28"/>
    <w:rsid w:val="00D32B45"/>
    <w:rsid w:val="00D32C8B"/>
    <w:rsid w:val="00D32FEF"/>
    <w:rsid w:val="00D3304A"/>
    <w:rsid w:val="00D33239"/>
    <w:rsid w:val="00D33B41"/>
    <w:rsid w:val="00D33C8F"/>
    <w:rsid w:val="00D33CB5"/>
    <w:rsid w:val="00D33CC9"/>
    <w:rsid w:val="00D33F3B"/>
    <w:rsid w:val="00D34108"/>
    <w:rsid w:val="00D341C5"/>
    <w:rsid w:val="00D34251"/>
    <w:rsid w:val="00D347CA"/>
    <w:rsid w:val="00D34991"/>
    <w:rsid w:val="00D34A50"/>
    <w:rsid w:val="00D34AF4"/>
    <w:rsid w:val="00D34E7F"/>
    <w:rsid w:val="00D34F4F"/>
    <w:rsid w:val="00D35167"/>
    <w:rsid w:val="00D35380"/>
    <w:rsid w:val="00D35446"/>
    <w:rsid w:val="00D358AB"/>
    <w:rsid w:val="00D358E0"/>
    <w:rsid w:val="00D3598C"/>
    <w:rsid w:val="00D35B9B"/>
    <w:rsid w:val="00D35C36"/>
    <w:rsid w:val="00D35F44"/>
    <w:rsid w:val="00D363E5"/>
    <w:rsid w:val="00D364BD"/>
    <w:rsid w:val="00D368EA"/>
    <w:rsid w:val="00D368F7"/>
    <w:rsid w:val="00D369F6"/>
    <w:rsid w:val="00D36A7E"/>
    <w:rsid w:val="00D36A8C"/>
    <w:rsid w:val="00D36E35"/>
    <w:rsid w:val="00D37208"/>
    <w:rsid w:val="00D372D4"/>
    <w:rsid w:val="00D3735A"/>
    <w:rsid w:val="00D37680"/>
    <w:rsid w:val="00D37C3E"/>
    <w:rsid w:val="00D37FCF"/>
    <w:rsid w:val="00D401A6"/>
    <w:rsid w:val="00D40470"/>
    <w:rsid w:val="00D40971"/>
    <w:rsid w:val="00D409DD"/>
    <w:rsid w:val="00D40F2A"/>
    <w:rsid w:val="00D4102C"/>
    <w:rsid w:val="00D410B5"/>
    <w:rsid w:val="00D410DB"/>
    <w:rsid w:val="00D4147E"/>
    <w:rsid w:val="00D41618"/>
    <w:rsid w:val="00D4179F"/>
    <w:rsid w:val="00D4189A"/>
    <w:rsid w:val="00D4199E"/>
    <w:rsid w:val="00D41B1B"/>
    <w:rsid w:val="00D41CA1"/>
    <w:rsid w:val="00D423B2"/>
    <w:rsid w:val="00D4277E"/>
    <w:rsid w:val="00D4286E"/>
    <w:rsid w:val="00D42965"/>
    <w:rsid w:val="00D42990"/>
    <w:rsid w:val="00D42B24"/>
    <w:rsid w:val="00D42EA0"/>
    <w:rsid w:val="00D42F4E"/>
    <w:rsid w:val="00D4333F"/>
    <w:rsid w:val="00D43696"/>
    <w:rsid w:val="00D43764"/>
    <w:rsid w:val="00D437EC"/>
    <w:rsid w:val="00D43846"/>
    <w:rsid w:val="00D43B6C"/>
    <w:rsid w:val="00D43C37"/>
    <w:rsid w:val="00D4407B"/>
    <w:rsid w:val="00D4409D"/>
    <w:rsid w:val="00D4435F"/>
    <w:rsid w:val="00D443CB"/>
    <w:rsid w:val="00D446D7"/>
    <w:rsid w:val="00D44BBE"/>
    <w:rsid w:val="00D44C67"/>
    <w:rsid w:val="00D44D63"/>
    <w:rsid w:val="00D44D6A"/>
    <w:rsid w:val="00D44DFE"/>
    <w:rsid w:val="00D44F15"/>
    <w:rsid w:val="00D44F1C"/>
    <w:rsid w:val="00D45039"/>
    <w:rsid w:val="00D45371"/>
    <w:rsid w:val="00D45389"/>
    <w:rsid w:val="00D45440"/>
    <w:rsid w:val="00D4569F"/>
    <w:rsid w:val="00D457BE"/>
    <w:rsid w:val="00D458F5"/>
    <w:rsid w:val="00D459B0"/>
    <w:rsid w:val="00D45A40"/>
    <w:rsid w:val="00D45B29"/>
    <w:rsid w:val="00D45DD1"/>
    <w:rsid w:val="00D46170"/>
    <w:rsid w:val="00D462F5"/>
    <w:rsid w:val="00D46415"/>
    <w:rsid w:val="00D4676F"/>
    <w:rsid w:val="00D46850"/>
    <w:rsid w:val="00D469E4"/>
    <w:rsid w:val="00D46AEA"/>
    <w:rsid w:val="00D46B89"/>
    <w:rsid w:val="00D46ECF"/>
    <w:rsid w:val="00D470BB"/>
    <w:rsid w:val="00D47285"/>
    <w:rsid w:val="00D473EA"/>
    <w:rsid w:val="00D4756C"/>
    <w:rsid w:val="00D4764C"/>
    <w:rsid w:val="00D4782B"/>
    <w:rsid w:val="00D478BC"/>
    <w:rsid w:val="00D47ADF"/>
    <w:rsid w:val="00D47F5E"/>
    <w:rsid w:val="00D500C5"/>
    <w:rsid w:val="00D5019D"/>
    <w:rsid w:val="00D50368"/>
    <w:rsid w:val="00D505A5"/>
    <w:rsid w:val="00D505F2"/>
    <w:rsid w:val="00D506E0"/>
    <w:rsid w:val="00D50925"/>
    <w:rsid w:val="00D50998"/>
    <w:rsid w:val="00D50AEE"/>
    <w:rsid w:val="00D50DCB"/>
    <w:rsid w:val="00D511C9"/>
    <w:rsid w:val="00D512DA"/>
    <w:rsid w:val="00D514C4"/>
    <w:rsid w:val="00D51567"/>
    <w:rsid w:val="00D517A9"/>
    <w:rsid w:val="00D5186C"/>
    <w:rsid w:val="00D5189B"/>
    <w:rsid w:val="00D51A77"/>
    <w:rsid w:val="00D51AFF"/>
    <w:rsid w:val="00D51B2C"/>
    <w:rsid w:val="00D51E4A"/>
    <w:rsid w:val="00D52145"/>
    <w:rsid w:val="00D523B5"/>
    <w:rsid w:val="00D523D8"/>
    <w:rsid w:val="00D52589"/>
    <w:rsid w:val="00D525C9"/>
    <w:rsid w:val="00D528BE"/>
    <w:rsid w:val="00D528F1"/>
    <w:rsid w:val="00D52B1F"/>
    <w:rsid w:val="00D52BA6"/>
    <w:rsid w:val="00D52BD8"/>
    <w:rsid w:val="00D52D4C"/>
    <w:rsid w:val="00D52D92"/>
    <w:rsid w:val="00D52F2C"/>
    <w:rsid w:val="00D52FA7"/>
    <w:rsid w:val="00D52FE3"/>
    <w:rsid w:val="00D53041"/>
    <w:rsid w:val="00D5305E"/>
    <w:rsid w:val="00D53206"/>
    <w:rsid w:val="00D5331C"/>
    <w:rsid w:val="00D53391"/>
    <w:rsid w:val="00D5357D"/>
    <w:rsid w:val="00D535B4"/>
    <w:rsid w:val="00D53637"/>
    <w:rsid w:val="00D53BEF"/>
    <w:rsid w:val="00D53CB5"/>
    <w:rsid w:val="00D5404F"/>
    <w:rsid w:val="00D540A3"/>
    <w:rsid w:val="00D54429"/>
    <w:rsid w:val="00D54432"/>
    <w:rsid w:val="00D5443D"/>
    <w:rsid w:val="00D544BC"/>
    <w:rsid w:val="00D54650"/>
    <w:rsid w:val="00D546CC"/>
    <w:rsid w:val="00D54879"/>
    <w:rsid w:val="00D54A0C"/>
    <w:rsid w:val="00D54B5A"/>
    <w:rsid w:val="00D54CBB"/>
    <w:rsid w:val="00D54DBF"/>
    <w:rsid w:val="00D54F0A"/>
    <w:rsid w:val="00D5500E"/>
    <w:rsid w:val="00D550B1"/>
    <w:rsid w:val="00D554EB"/>
    <w:rsid w:val="00D554F4"/>
    <w:rsid w:val="00D5554F"/>
    <w:rsid w:val="00D55553"/>
    <w:rsid w:val="00D556D1"/>
    <w:rsid w:val="00D55869"/>
    <w:rsid w:val="00D55EE9"/>
    <w:rsid w:val="00D55F6E"/>
    <w:rsid w:val="00D55FD2"/>
    <w:rsid w:val="00D564D4"/>
    <w:rsid w:val="00D56766"/>
    <w:rsid w:val="00D56A1B"/>
    <w:rsid w:val="00D56CEB"/>
    <w:rsid w:val="00D56DEA"/>
    <w:rsid w:val="00D56E08"/>
    <w:rsid w:val="00D56E5A"/>
    <w:rsid w:val="00D57002"/>
    <w:rsid w:val="00D57262"/>
    <w:rsid w:val="00D57745"/>
    <w:rsid w:val="00D577C9"/>
    <w:rsid w:val="00D5788D"/>
    <w:rsid w:val="00D5795F"/>
    <w:rsid w:val="00D57A1D"/>
    <w:rsid w:val="00D57E13"/>
    <w:rsid w:val="00D6016A"/>
    <w:rsid w:val="00D601C0"/>
    <w:rsid w:val="00D60273"/>
    <w:rsid w:val="00D60461"/>
    <w:rsid w:val="00D605A2"/>
    <w:rsid w:val="00D60977"/>
    <w:rsid w:val="00D60A2E"/>
    <w:rsid w:val="00D60C59"/>
    <w:rsid w:val="00D60D02"/>
    <w:rsid w:val="00D60D5E"/>
    <w:rsid w:val="00D60E95"/>
    <w:rsid w:val="00D610C6"/>
    <w:rsid w:val="00D610E3"/>
    <w:rsid w:val="00D611C5"/>
    <w:rsid w:val="00D61275"/>
    <w:rsid w:val="00D6136E"/>
    <w:rsid w:val="00D613BA"/>
    <w:rsid w:val="00D615DF"/>
    <w:rsid w:val="00D61631"/>
    <w:rsid w:val="00D61790"/>
    <w:rsid w:val="00D617E8"/>
    <w:rsid w:val="00D61980"/>
    <w:rsid w:val="00D61AFD"/>
    <w:rsid w:val="00D61BBC"/>
    <w:rsid w:val="00D61EBB"/>
    <w:rsid w:val="00D61ED3"/>
    <w:rsid w:val="00D622FB"/>
    <w:rsid w:val="00D6234B"/>
    <w:rsid w:val="00D624A2"/>
    <w:rsid w:val="00D625F2"/>
    <w:rsid w:val="00D62718"/>
    <w:rsid w:val="00D62AFA"/>
    <w:rsid w:val="00D62B80"/>
    <w:rsid w:val="00D62FA9"/>
    <w:rsid w:val="00D631FE"/>
    <w:rsid w:val="00D632AD"/>
    <w:rsid w:val="00D632E0"/>
    <w:rsid w:val="00D6330F"/>
    <w:rsid w:val="00D633B3"/>
    <w:rsid w:val="00D63456"/>
    <w:rsid w:val="00D63463"/>
    <w:rsid w:val="00D6366F"/>
    <w:rsid w:val="00D636B8"/>
    <w:rsid w:val="00D63A4C"/>
    <w:rsid w:val="00D63C05"/>
    <w:rsid w:val="00D641BB"/>
    <w:rsid w:val="00D644AF"/>
    <w:rsid w:val="00D645D9"/>
    <w:rsid w:val="00D64716"/>
    <w:rsid w:val="00D647E0"/>
    <w:rsid w:val="00D64DEA"/>
    <w:rsid w:val="00D64E5A"/>
    <w:rsid w:val="00D64F13"/>
    <w:rsid w:val="00D65215"/>
    <w:rsid w:val="00D65322"/>
    <w:rsid w:val="00D655BB"/>
    <w:rsid w:val="00D6580C"/>
    <w:rsid w:val="00D660D4"/>
    <w:rsid w:val="00D66185"/>
    <w:rsid w:val="00D6647F"/>
    <w:rsid w:val="00D66675"/>
    <w:rsid w:val="00D66B4D"/>
    <w:rsid w:val="00D66D2D"/>
    <w:rsid w:val="00D670A4"/>
    <w:rsid w:val="00D671A3"/>
    <w:rsid w:val="00D67264"/>
    <w:rsid w:val="00D6742F"/>
    <w:rsid w:val="00D67AE2"/>
    <w:rsid w:val="00D67C2C"/>
    <w:rsid w:val="00D67C95"/>
    <w:rsid w:val="00D67E70"/>
    <w:rsid w:val="00D67F3C"/>
    <w:rsid w:val="00D67F3D"/>
    <w:rsid w:val="00D67FA8"/>
    <w:rsid w:val="00D702F0"/>
    <w:rsid w:val="00D703A2"/>
    <w:rsid w:val="00D703B5"/>
    <w:rsid w:val="00D70721"/>
    <w:rsid w:val="00D707C3"/>
    <w:rsid w:val="00D70A3B"/>
    <w:rsid w:val="00D70A96"/>
    <w:rsid w:val="00D70CA2"/>
    <w:rsid w:val="00D70D59"/>
    <w:rsid w:val="00D70FE0"/>
    <w:rsid w:val="00D711A2"/>
    <w:rsid w:val="00D71200"/>
    <w:rsid w:val="00D71290"/>
    <w:rsid w:val="00D715CE"/>
    <w:rsid w:val="00D7160C"/>
    <w:rsid w:val="00D7186E"/>
    <w:rsid w:val="00D71A3C"/>
    <w:rsid w:val="00D71D00"/>
    <w:rsid w:val="00D71E30"/>
    <w:rsid w:val="00D71EF8"/>
    <w:rsid w:val="00D72038"/>
    <w:rsid w:val="00D726F1"/>
    <w:rsid w:val="00D72731"/>
    <w:rsid w:val="00D729C1"/>
    <w:rsid w:val="00D72AB1"/>
    <w:rsid w:val="00D72B1A"/>
    <w:rsid w:val="00D72CFE"/>
    <w:rsid w:val="00D72D0A"/>
    <w:rsid w:val="00D72E78"/>
    <w:rsid w:val="00D72F25"/>
    <w:rsid w:val="00D730A5"/>
    <w:rsid w:val="00D734C3"/>
    <w:rsid w:val="00D73603"/>
    <w:rsid w:val="00D73B00"/>
    <w:rsid w:val="00D73D33"/>
    <w:rsid w:val="00D73EE7"/>
    <w:rsid w:val="00D73F35"/>
    <w:rsid w:val="00D741E3"/>
    <w:rsid w:val="00D741EB"/>
    <w:rsid w:val="00D74642"/>
    <w:rsid w:val="00D748F8"/>
    <w:rsid w:val="00D74D57"/>
    <w:rsid w:val="00D74F18"/>
    <w:rsid w:val="00D74F50"/>
    <w:rsid w:val="00D75006"/>
    <w:rsid w:val="00D75045"/>
    <w:rsid w:val="00D75498"/>
    <w:rsid w:val="00D755EE"/>
    <w:rsid w:val="00D75647"/>
    <w:rsid w:val="00D7565F"/>
    <w:rsid w:val="00D758D1"/>
    <w:rsid w:val="00D758D2"/>
    <w:rsid w:val="00D75C7A"/>
    <w:rsid w:val="00D75DA1"/>
    <w:rsid w:val="00D76030"/>
    <w:rsid w:val="00D7615A"/>
    <w:rsid w:val="00D763A1"/>
    <w:rsid w:val="00D76B4F"/>
    <w:rsid w:val="00D76C8A"/>
    <w:rsid w:val="00D76D6C"/>
    <w:rsid w:val="00D76D7E"/>
    <w:rsid w:val="00D76EDB"/>
    <w:rsid w:val="00D76FAA"/>
    <w:rsid w:val="00D76FCB"/>
    <w:rsid w:val="00D77056"/>
    <w:rsid w:val="00D770E9"/>
    <w:rsid w:val="00D77298"/>
    <w:rsid w:val="00D77450"/>
    <w:rsid w:val="00D776AB"/>
    <w:rsid w:val="00D77954"/>
    <w:rsid w:val="00D77B4C"/>
    <w:rsid w:val="00D77C33"/>
    <w:rsid w:val="00D77C79"/>
    <w:rsid w:val="00D77E38"/>
    <w:rsid w:val="00D80043"/>
    <w:rsid w:val="00D80082"/>
    <w:rsid w:val="00D802EF"/>
    <w:rsid w:val="00D803B6"/>
    <w:rsid w:val="00D805D6"/>
    <w:rsid w:val="00D8088C"/>
    <w:rsid w:val="00D808C5"/>
    <w:rsid w:val="00D809C3"/>
    <w:rsid w:val="00D80B4C"/>
    <w:rsid w:val="00D80B84"/>
    <w:rsid w:val="00D80BDB"/>
    <w:rsid w:val="00D80EFB"/>
    <w:rsid w:val="00D81168"/>
    <w:rsid w:val="00D811A8"/>
    <w:rsid w:val="00D81475"/>
    <w:rsid w:val="00D817FA"/>
    <w:rsid w:val="00D81ED8"/>
    <w:rsid w:val="00D82463"/>
    <w:rsid w:val="00D8259D"/>
    <w:rsid w:val="00D8261D"/>
    <w:rsid w:val="00D82AFC"/>
    <w:rsid w:val="00D82BEC"/>
    <w:rsid w:val="00D82C22"/>
    <w:rsid w:val="00D82D44"/>
    <w:rsid w:val="00D82F12"/>
    <w:rsid w:val="00D82F28"/>
    <w:rsid w:val="00D8334A"/>
    <w:rsid w:val="00D834D5"/>
    <w:rsid w:val="00D83659"/>
    <w:rsid w:val="00D8377F"/>
    <w:rsid w:val="00D8389E"/>
    <w:rsid w:val="00D83901"/>
    <w:rsid w:val="00D83AC3"/>
    <w:rsid w:val="00D83BBF"/>
    <w:rsid w:val="00D83F81"/>
    <w:rsid w:val="00D840DE"/>
    <w:rsid w:val="00D841BA"/>
    <w:rsid w:val="00D844DD"/>
    <w:rsid w:val="00D84558"/>
    <w:rsid w:val="00D845E4"/>
    <w:rsid w:val="00D848EA"/>
    <w:rsid w:val="00D84916"/>
    <w:rsid w:val="00D8497C"/>
    <w:rsid w:val="00D8497D"/>
    <w:rsid w:val="00D84EBC"/>
    <w:rsid w:val="00D85243"/>
    <w:rsid w:val="00D8553F"/>
    <w:rsid w:val="00D85AC2"/>
    <w:rsid w:val="00D85DDC"/>
    <w:rsid w:val="00D85F24"/>
    <w:rsid w:val="00D85F59"/>
    <w:rsid w:val="00D860CF"/>
    <w:rsid w:val="00D86134"/>
    <w:rsid w:val="00D8626A"/>
    <w:rsid w:val="00D863FB"/>
    <w:rsid w:val="00D8665E"/>
    <w:rsid w:val="00D866A2"/>
    <w:rsid w:val="00D8679F"/>
    <w:rsid w:val="00D86911"/>
    <w:rsid w:val="00D86C5D"/>
    <w:rsid w:val="00D8702F"/>
    <w:rsid w:val="00D8719A"/>
    <w:rsid w:val="00D8739C"/>
    <w:rsid w:val="00D87512"/>
    <w:rsid w:val="00D8783D"/>
    <w:rsid w:val="00D878AF"/>
    <w:rsid w:val="00D87951"/>
    <w:rsid w:val="00D87AF4"/>
    <w:rsid w:val="00D87B74"/>
    <w:rsid w:val="00D87CA8"/>
    <w:rsid w:val="00D87CD2"/>
    <w:rsid w:val="00D9020E"/>
    <w:rsid w:val="00D902A6"/>
    <w:rsid w:val="00D904F3"/>
    <w:rsid w:val="00D909D7"/>
    <w:rsid w:val="00D90E6F"/>
    <w:rsid w:val="00D91343"/>
    <w:rsid w:val="00D9140B"/>
    <w:rsid w:val="00D915EB"/>
    <w:rsid w:val="00D9181F"/>
    <w:rsid w:val="00D918CC"/>
    <w:rsid w:val="00D91922"/>
    <w:rsid w:val="00D91968"/>
    <w:rsid w:val="00D91BF7"/>
    <w:rsid w:val="00D91C41"/>
    <w:rsid w:val="00D91DCF"/>
    <w:rsid w:val="00D91DF3"/>
    <w:rsid w:val="00D91F51"/>
    <w:rsid w:val="00D920FA"/>
    <w:rsid w:val="00D92470"/>
    <w:rsid w:val="00D92758"/>
    <w:rsid w:val="00D9279D"/>
    <w:rsid w:val="00D92828"/>
    <w:rsid w:val="00D92C61"/>
    <w:rsid w:val="00D92EB8"/>
    <w:rsid w:val="00D931EC"/>
    <w:rsid w:val="00D935F0"/>
    <w:rsid w:val="00D93856"/>
    <w:rsid w:val="00D939DA"/>
    <w:rsid w:val="00D9407F"/>
    <w:rsid w:val="00D943C2"/>
    <w:rsid w:val="00D9469D"/>
    <w:rsid w:val="00D94F7A"/>
    <w:rsid w:val="00D95370"/>
    <w:rsid w:val="00D959A1"/>
    <w:rsid w:val="00D95C9A"/>
    <w:rsid w:val="00D95D26"/>
    <w:rsid w:val="00D95DAC"/>
    <w:rsid w:val="00D95EB3"/>
    <w:rsid w:val="00D95F0D"/>
    <w:rsid w:val="00D95FB7"/>
    <w:rsid w:val="00D961F0"/>
    <w:rsid w:val="00D9653E"/>
    <w:rsid w:val="00D96E95"/>
    <w:rsid w:val="00D96FE1"/>
    <w:rsid w:val="00D9700C"/>
    <w:rsid w:val="00D9702D"/>
    <w:rsid w:val="00D9714C"/>
    <w:rsid w:val="00D97350"/>
    <w:rsid w:val="00D97763"/>
    <w:rsid w:val="00D977DE"/>
    <w:rsid w:val="00D97AD5"/>
    <w:rsid w:val="00D97C54"/>
    <w:rsid w:val="00D97F58"/>
    <w:rsid w:val="00DA0440"/>
    <w:rsid w:val="00DA091C"/>
    <w:rsid w:val="00DA0C83"/>
    <w:rsid w:val="00DA11C8"/>
    <w:rsid w:val="00DA11EF"/>
    <w:rsid w:val="00DA12AF"/>
    <w:rsid w:val="00DA1305"/>
    <w:rsid w:val="00DA13A8"/>
    <w:rsid w:val="00DA1404"/>
    <w:rsid w:val="00DA158C"/>
    <w:rsid w:val="00DA168E"/>
    <w:rsid w:val="00DA1804"/>
    <w:rsid w:val="00DA1ACE"/>
    <w:rsid w:val="00DA1C88"/>
    <w:rsid w:val="00DA1D08"/>
    <w:rsid w:val="00DA1D9B"/>
    <w:rsid w:val="00DA2178"/>
    <w:rsid w:val="00DA22CD"/>
    <w:rsid w:val="00DA24B1"/>
    <w:rsid w:val="00DA2B2B"/>
    <w:rsid w:val="00DA2B54"/>
    <w:rsid w:val="00DA2DC4"/>
    <w:rsid w:val="00DA2E4A"/>
    <w:rsid w:val="00DA2E54"/>
    <w:rsid w:val="00DA2F14"/>
    <w:rsid w:val="00DA2FB6"/>
    <w:rsid w:val="00DA31BD"/>
    <w:rsid w:val="00DA31C0"/>
    <w:rsid w:val="00DA3428"/>
    <w:rsid w:val="00DA34EC"/>
    <w:rsid w:val="00DA351B"/>
    <w:rsid w:val="00DA367F"/>
    <w:rsid w:val="00DA3770"/>
    <w:rsid w:val="00DA377E"/>
    <w:rsid w:val="00DA38BF"/>
    <w:rsid w:val="00DA38EC"/>
    <w:rsid w:val="00DA3A98"/>
    <w:rsid w:val="00DA3BAC"/>
    <w:rsid w:val="00DA3E36"/>
    <w:rsid w:val="00DA4006"/>
    <w:rsid w:val="00DA41D1"/>
    <w:rsid w:val="00DA44E2"/>
    <w:rsid w:val="00DA44E8"/>
    <w:rsid w:val="00DA45C3"/>
    <w:rsid w:val="00DA4608"/>
    <w:rsid w:val="00DA4622"/>
    <w:rsid w:val="00DA470C"/>
    <w:rsid w:val="00DA4801"/>
    <w:rsid w:val="00DA48E7"/>
    <w:rsid w:val="00DA4B53"/>
    <w:rsid w:val="00DA4DB0"/>
    <w:rsid w:val="00DA4DE2"/>
    <w:rsid w:val="00DA4ED3"/>
    <w:rsid w:val="00DA553C"/>
    <w:rsid w:val="00DA56D7"/>
    <w:rsid w:val="00DA57D4"/>
    <w:rsid w:val="00DA5E35"/>
    <w:rsid w:val="00DA5E39"/>
    <w:rsid w:val="00DA5EE2"/>
    <w:rsid w:val="00DA6085"/>
    <w:rsid w:val="00DA61B0"/>
    <w:rsid w:val="00DA6226"/>
    <w:rsid w:val="00DA6365"/>
    <w:rsid w:val="00DA68A5"/>
    <w:rsid w:val="00DA6BA2"/>
    <w:rsid w:val="00DA6BE0"/>
    <w:rsid w:val="00DA6DC5"/>
    <w:rsid w:val="00DA7138"/>
    <w:rsid w:val="00DA71B1"/>
    <w:rsid w:val="00DA74AB"/>
    <w:rsid w:val="00DA74BC"/>
    <w:rsid w:val="00DA7728"/>
    <w:rsid w:val="00DA77BA"/>
    <w:rsid w:val="00DA7899"/>
    <w:rsid w:val="00DA78A3"/>
    <w:rsid w:val="00DA7996"/>
    <w:rsid w:val="00DA7FF2"/>
    <w:rsid w:val="00DB0139"/>
    <w:rsid w:val="00DB0205"/>
    <w:rsid w:val="00DB02B5"/>
    <w:rsid w:val="00DB03B3"/>
    <w:rsid w:val="00DB04A8"/>
    <w:rsid w:val="00DB07BF"/>
    <w:rsid w:val="00DB0A4C"/>
    <w:rsid w:val="00DB0AEE"/>
    <w:rsid w:val="00DB0E9B"/>
    <w:rsid w:val="00DB1306"/>
    <w:rsid w:val="00DB15B2"/>
    <w:rsid w:val="00DB160D"/>
    <w:rsid w:val="00DB1714"/>
    <w:rsid w:val="00DB1A3D"/>
    <w:rsid w:val="00DB1BB8"/>
    <w:rsid w:val="00DB1DBC"/>
    <w:rsid w:val="00DB21BF"/>
    <w:rsid w:val="00DB225B"/>
    <w:rsid w:val="00DB2533"/>
    <w:rsid w:val="00DB253E"/>
    <w:rsid w:val="00DB25D0"/>
    <w:rsid w:val="00DB25E7"/>
    <w:rsid w:val="00DB26AF"/>
    <w:rsid w:val="00DB26C1"/>
    <w:rsid w:val="00DB2710"/>
    <w:rsid w:val="00DB27C5"/>
    <w:rsid w:val="00DB28D8"/>
    <w:rsid w:val="00DB299A"/>
    <w:rsid w:val="00DB2B54"/>
    <w:rsid w:val="00DB2BA5"/>
    <w:rsid w:val="00DB2BE0"/>
    <w:rsid w:val="00DB2C5B"/>
    <w:rsid w:val="00DB2CB1"/>
    <w:rsid w:val="00DB2D15"/>
    <w:rsid w:val="00DB31F1"/>
    <w:rsid w:val="00DB338B"/>
    <w:rsid w:val="00DB3707"/>
    <w:rsid w:val="00DB3724"/>
    <w:rsid w:val="00DB3770"/>
    <w:rsid w:val="00DB381F"/>
    <w:rsid w:val="00DB39D3"/>
    <w:rsid w:val="00DB3AD9"/>
    <w:rsid w:val="00DB409E"/>
    <w:rsid w:val="00DB41A3"/>
    <w:rsid w:val="00DB43B1"/>
    <w:rsid w:val="00DB43E4"/>
    <w:rsid w:val="00DB43EB"/>
    <w:rsid w:val="00DB4BA2"/>
    <w:rsid w:val="00DB4E8E"/>
    <w:rsid w:val="00DB513A"/>
    <w:rsid w:val="00DB51E2"/>
    <w:rsid w:val="00DB51EA"/>
    <w:rsid w:val="00DB5469"/>
    <w:rsid w:val="00DB5574"/>
    <w:rsid w:val="00DB56CA"/>
    <w:rsid w:val="00DB58FC"/>
    <w:rsid w:val="00DB591A"/>
    <w:rsid w:val="00DB5B35"/>
    <w:rsid w:val="00DB607C"/>
    <w:rsid w:val="00DB60B5"/>
    <w:rsid w:val="00DB625B"/>
    <w:rsid w:val="00DB6422"/>
    <w:rsid w:val="00DB6480"/>
    <w:rsid w:val="00DB6504"/>
    <w:rsid w:val="00DB655A"/>
    <w:rsid w:val="00DB675D"/>
    <w:rsid w:val="00DB694B"/>
    <w:rsid w:val="00DB6A21"/>
    <w:rsid w:val="00DB6AB0"/>
    <w:rsid w:val="00DB6D1C"/>
    <w:rsid w:val="00DB6D58"/>
    <w:rsid w:val="00DB6FF0"/>
    <w:rsid w:val="00DB7033"/>
    <w:rsid w:val="00DB7396"/>
    <w:rsid w:val="00DB753E"/>
    <w:rsid w:val="00DB7694"/>
    <w:rsid w:val="00DB788A"/>
    <w:rsid w:val="00DB7A1A"/>
    <w:rsid w:val="00DB7E7B"/>
    <w:rsid w:val="00DC00CC"/>
    <w:rsid w:val="00DC0947"/>
    <w:rsid w:val="00DC0B06"/>
    <w:rsid w:val="00DC0B86"/>
    <w:rsid w:val="00DC0BD8"/>
    <w:rsid w:val="00DC0C6D"/>
    <w:rsid w:val="00DC0F8C"/>
    <w:rsid w:val="00DC108E"/>
    <w:rsid w:val="00DC115A"/>
    <w:rsid w:val="00DC1485"/>
    <w:rsid w:val="00DC1905"/>
    <w:rsid w:val="00DC19FD"/>
    <w:rsid w:val="00DC1B5A"/>
    <w:rsid w:val="00DC1CDD"/>
    <w:rsid w:val="00DC1D50"/>
    <w:rsid w:val="00DC215E"/>
    <w:rsid w:val="00DC2278"/>
    <w:rsid w:val="00DC29B5"/>
    <w:rsid w:val="00DC2BCA"/>
    <w:rsid w:val="00DC2DBF"/>
    <w:rsid w:val="00DC302B"/>
    <w:rsid w:val="00DC303C"/>
    <w:rsid w:val="00DC327B"/>
    <w:rsid w:val="00DC3376"/>
    <w:rsid w:val="00DC3417"/>
    <w:rsid w:val="00DC3AA6"/>
    <w:rsid w:val="00DC3B1A"/>
    <w:rsid w:val="00DC3D59"/>
    <w:rsid w:val="00DC3EE4"/>
    <w:rsid w:val="00DC4184"/>
    <w:rsid w:val="00DC440D"/>
    <w:rsid w:val="00DC4739"/>
    <w:rsid w:val="00DC4854"/>
    <w:rsid w:val="00DC4904"/>
    <w:rsid w:val="00DC4A35"/>
    <w:rsid w:val="00DC4AFD"/>
    <w:rsid w:val="00DC4D5F"/>
    <w:rsid w:val="00DC4D6D"/>
    <w:rsid w:val="00DC5145"/>
    <w:rsid w:val="00DC53C9"/>
    <w:rsid w:val="00DC5438"/>
    <w:rsid w:val="00DC55EB"/>
    <w:rsid w:val="00DC5792"/>
    <w:rsid w:val="00DC5861"/>
    <w:rsid w:val="00DC586D"/>
    <w:rsid w:val="00DC597D"/>
    <w:rsid w:val="00DC5D96"/>
    <w:rsid w:val="00DC5E74"/>
    <w:rsid w:val="00DC633D"/>
    <w:rsid w:val="00DC6356"/>
    <w:rsid w:val="00DC6838"/>
    <w:rsid w:val="00DC69B0"/>
    <w:rsid w:val="00DC6ADC"/>
    <w:rsid w:val="00DC6C80"/>
    <w:rsid w:val="00DC6D14"/>
    <w:rsid w:val="00DC6E54"/>
    <w:rsid w:val="00DC7463"/>
    <w:rsid w:val="00DC74FC"/>
    <w:rsid w:val="00DC76C6"/>
    <w:rsid w:val="00DC77ED"/>
    <w:rsid w:val="00DC788D"/>
    <w:rsid w:val="00DC78AA"/>
    <w:rsid w:val="00DC7B37"/>
    <w:rsid w:val="00DC7C55"/>
    <w:rsid w:val="00DC7C5D"/>
    <w:rsid w:val="00DC7EE5"/>
    <w:rsid w:val="00DC7F51"/>
    <w:rsid w:val="00DD0112"/>
    <w:rsid w:val="00DD0289"/>
    <w:rsid w:val="00DD042F"/>
    <w:rsid w:val="00DD04A9"/>
    <w:rsid w:val="00DD04C0"/>
    <w:rsid w:val="00DD0635"/>
    <w:rsid w:val="00DD09DD"/>
    <w:rsid w:val="00DD0CA5"/>
    <w:rsid w:val="00DD0D5B"/>
    <w:rsid w:val="00DD0EDD"/>
    <w:rsid w:val="00DD1021"/>
    <w:rsid w:val="00DD1116"/>
    <w:rsid w:val="00DD147F"/>
    <w:rsid w:val="00DD1498"/>
    <w:rsid w:val="00DD15BB"/>
    <w:rsid w:val="00DD15D9"/>
    <w:rsid w:val="00DD18CF"/>
    <w:rsid w:val="00DD19AC"/>
    <w:rsid w:val="00DD1AC9"/>
    <w:rsid w:val="00DD1B0A"/>
    <w:rsid w:val="00DD1CC0"/>
    <w:rsid w:val="00DD1D37"/>
    <w:rsid w:val="00DD1FD1"/>
    <w:rsid w:val="00DD1FEA"/>
    <w:rsid w:val="00DD2006"/>
    <w:rsid w:val="00DD2040"/>
    <w:rsid w:val="00DD206E"/>
    <w:rsid w:val="00DD214E"/>
    <w:rsid w:val="00DD2228"/>
    <w:rsid w:val="00DD23CD"/>
    <w:rsid w:val="00DD2466"/>
    <w:rsid w:val="00DD246A"/>
    <w:rsid w:val="00DD2557"/>
    <w:rsid w:val="00DD263A"/>
    <w:rsid w:val="00DD29F0"/>
    <w:rsid w:val="00DD2DD2"/>
    <w:rsid w:val="00DD2E67"/>
    <w:rsid w:val="00DD2FCE"/>
    <w:rsid w:val="00DD329F"/>
    <w:rsid w:val="00DD33D4"/>
    <w:rsid w:val="00DD3479"/>
    <w:rsid w:val="00DD35A0"/>
    <w:rsid w:val="00DD384D"/>
    <w:rsid w:val="00DD38BD"/>
    <w:rsid w:val="00DD3DFF"/>
    <w:rsid w:val="00DD3E4B"/>
    <w:rsid w:val="00DD3F6C"/>
    <w:rsid w:val="00DD41EB"/>
    <w:rsid w:val="00DD4276"/>
    <w:rsid w:val="00DD44B5"/>
    <w:rsid w:val="00DD4839"/>
    <w:rsid w:val="00DD4984"/>
    <w:rsid w:val="00DD498F"/>
    <w:rsid w:val="00DD4AAB"/>
    <w:rsid w:val="00DD4AE7"/>
    <w:rsid w:val="00DD5008"/>
    <w:rsid w:val="00DD509D"/>
    <w:rsid w:val="00DD544A"/>
    <w:rsid w:val="00DD5741"/>
    <w:rsid w:val="00DD5964"/>
    <w:rsid w:val="00DD6079"/>
    <w:rsid w:val="00DD6328"/>
    <w:rsid w:val="00DD659F"/>
    <w:rsid w:val="00DD65AC"/>
    <w:rsid w:val="00DD682A"/>
    <w:rsid w:val="00DD6B54"/>
    <w:rsid w:val="00DD6C3E"/>
    <w:rsid w:val="00DD7035"/>
    <w:rsid w:val="00DD70C2"/>
    <w:rsid w:val="00DD7467"/>
    <w:rsid w:val="00DD74D9"/>
    <w:rsid w:val="00DD7548"/>
    <w:rsid w:val="00DD76E1"/>
    <w:rsid w:val="00DD7980"/>
    <w:rsid w:val="00DD79AB"/>
    <w:rsid w:val="00DD7E91"/>
    <w:rsid w:val="00DE007B"/>
    <w:rsid w:val="00DE04E3"/>
    <w:rsid w:val="00DE07BB"/>
    <w:rsid w:val="00DE0818"/>
    <w:rsid w:val="00DE0966"/>
    <w:rsid w:val="00DE0A4C"/>
    <w:rsid w:val="00DE0A6B"/>
    <w:rsid w:val="00DE0BB5"/>
    <w:rsid w:val="00DE11DC"/>
    <w:rsid w:val="00DE1596"/>
    <w:rsid w:val="00DE1B3C"/>
    <w:rsid w:val="00DE1C83"/>
    <w:rsid w:val="00DE1F0D"/>
    <w:rsid w:val="00DE21F3"/>
    <w:rsid w:val="00DE25B1"/>
    <w:rsid w:val="00DE25DF"/>
    <w:rsid w:val="00DE2602"/>
    <w:rsid w:val="00DE26CD"/>
    <w:rsid w:val="00DE2785"/>
    <w:rsid w:val="00DE286A"/>
    <w:rsid w:val="00DE2A5F"/>
    <w:rsid w:val="00DE2A83"/>
    <w:rsid w:val="00DE2CFE"/>
    <w:rsid w:val="00DE304A"/>
    <w:rsid w:val="00DE3B86"/>
    <w:rsid w:val="00DE3BC0"/>
    <w:rsid w:val="00DE3BDE"/>
    <w:rsid w:val="00DE3D33"/>
    <w:rsid w:val="00DE4014"/>
    <w:rsid w:val="00DE405E"/>
    <w:rsid w:val="00DE417E"/>
    <w:rsid w:val="00DE41A8"/>
    <w:rsid w:val="00DE4297"/>
    <w:rsid w:val="00DE46CF"/>
    <w:rsid w:val="00DE4754"/>
    <w:rsid w:val="00DE4859"/>
    <w:rsid w:val="00DE4882"/>
    <w:rsid w:val="00DE4892"/>
    <w:rsid w:val="00DE494C"/>
    <w:rsid w:val="00DE4C08"/>
    <w:rsid w:val="00DE5021"/>
    <w:rsid w:val="00DE50B3"/>
    <w:rsid w:val="00DE50B8"/>
    <w:rsid w:val="00DE5241"/>
    <w:rsid w:val="00DE5273"/>
    <w:rsid w:val="00DE52A0"/>
    <w:rsid w:val="00DE582E"/>
    <w:rsid w:val="00DE59C6"/>
    <w:rsid w:val="00DE5A45"/>
    <w:rsid w:val="00DE5C8B"/>
    <w:rsid w:val="00DE5CD3"/>
    <w:rsid w:val="00DE5FBA"/>
    <w:rsid w:val="00DE62D8"/>
    <w:rsid w:val="00DE667D"/>
    <w:rsid w:val="00DE6ACD"/>
    <w:rsid w:val="00DE6AD3"/>
    <w:rsid w:val="00DE6BA8"/>
    <w:rsid w:val="00DE6F9E"/>
    <w:rsid w:val="00DE700A"/>
    <w:rsid w:val="00DE7026"/>
    <w:rsid w:val="00DE7119"/>
    <w:rsid w:val="00DE7304"/>
    <w:rsid w:val="00DE7365"/>
    <w:rsid w:val="00DE747C"/>
    <w:rsid w:val="00DE7793"/>
    <w:rsid w:val="00DE77F2"/>
    <w:rsid w:val="00DE789C"/>
    <w:rsid w:val="00DE7923"/>
    <w:rsid w:val="00DE7CBC"/>
    <w:rsid w:val="00DE7CFD"/>
    <w:rsid w:val="00DE7D1E"/>
    <w:rsid w:val="00DF0107"/>
    <w:rsid w:val="00DF0644"/>
    <w:rsid w:val="00DF07E9"/>
    <w:rsid w:val="00DF09DA"/>
    <w:rsid w:val="00DF0F21"/>
    <w:rsid w:val="00DF1270"/>
    <w:rsid w:val="00DF12DB"/>
    <w:rsid w:val="00DF16D2"/>
    <w:rsid w:val="00DF1DC4"/>
    <w:rsid w:val="00DF2017"/>
    <w:rsid w:val="00DF2485"/>
    <w:rsid w:val="00DF24E2"/>
    <w:rsid w:val="00DF252C"/>
    <w:rsid w:val="00DF278D"/>
    <w:rsid w:val="00DF280E"/>
    <w:rsid w:val="00DF2C04"/>
    <w:rsid w:val="00DF2C0C"/>
    <w:rsid w:val="00DF2D0A"/>
    <w:rsid w:val="00DF2EFC"/>
    <w:rsid w:val="00DF2FD5"/>
    <w:rsid w:val="00DF305E"/>
    <w:rsid w:val="00DF3235"/>
    <w:rsid w:val="00DF331B"/>
    <w:rsid w:val="00DF3444"/>
    <w:rsid w:val="00DF36CE"/>
    <w:rsid w:val="00DF3943"/>
    <w:rsid w:val="00DF3945"/>
    <w:rsid w:val="00DF3B4E"/>
    <w:rsid w:val="00DF3C8D"/>
    <w:rsid w:val="00DF3CAF"/>
    <w:rsid w:val="00DF3D56"/>
    <w:rsid w:val="00DF3D9B"/>
    <w:rsid w:val="00DF3EC5"/>
    <w:rsid w:val="00DF3F54"/>
    <w:rsid w:val="00DF4436"/>
    <w:rsid w:val="00DF44BB"/>
    <w:rsid w:val="00DF4500"/>
    <w:rsid w:val="00DF46B0"/>
    <w:rsid w:val="00DF46B1"/>
    <w:rsid w:val="00DF4A6A"/>
    <w:rsid w:val="00DF501B"/>
    <w:rsid w:val="00DF56C5"/>
    <w:rsid w:val="00DF57AB"/>
    <w:rsid w:val="00DF5A78"/>
    <w:rsid w:val="00DF5A82"/>
    <w:rsid w:val="00DF5B67"/>
    <w:rsid w:val="00DF5B70"/>
    <w:rsid w:val="00DF5B7F"/>
    <w:rsid w:val="00DF5BFB"/>
    <w:rsid w:val="00DF5C27"/>
    <w:rsid w:val="00DF6023"/>
    <w:rsid w:val="00DF69BE"/>
    <w:rsid w:val="00DF6CCC"/>
    <w:rsid w:val="00DF6CDE"/>
    <w:rsid w:val="00DF6DA7"/>
    <w:rsid w:val="00DF6DE0"/>
    <w:rsid w:val="00DF6F0B"/>
    <w:rsid w:val="00DF6F36"/>
    <w:rsid w:val="00DF73F9"/>
    <w:rsid w:val="00DF741D"/>
    <w:rsid w:val="00DF76DC"/>
    <w:rsid w:val="00DF7A33"/>
    <w:rsid w:val="00DF7B9E"/>
    <w:rsid w:val="00DF7BDE"/>
    <w:rsid w:val="00DF7CE4"/>
    <w:rsid w:val="00DF7E11"/>
    <w:rsid w:val="00E00037"/>
    <w:rsid w:val="00E000CB"/>
    <w:rsid w:val="00E00580"/>
    <w:rsid w:val="00E00802"/>
    <w:rsid w:val="00E00D9F"/>
    <w:rsid w:val="00E01001"/>
    <w:rsid w:val="00E0101C"/>
    <w:rsid w:val="00E01105"/>
    <w:rsid w:val="00E01640"/>
    <w:rsid w:val="00E019D9"/>
    <w:rsid w:val="00E01B9B"/>
    <w:rsid w:val="00E01C22"/>
    <w:rsid w:val="00E01EDA"/>
    <w:rsid w:val="00E01F4A"/>
    <w:rsid w:val="00E01F4E"/>
    <w:rsid w:val="00E01F8D"/>
    <w:rsid w:val="00E020E2"/>
    <w:rsid w:val="00E024D5"/>
    <w:rsid w:val="00E025EF"/>
    <w:rsid w:val="00E02645"/>
    <w:rsid w:val="00E02C23"/>
    <w:rsid w:val="00E0303B"/>
    <w:rsid w:val="00E034CA"/>
    <w:rsid w:val="00E03613"/>
    <w:rsid w:val="00E0366B"/>
    <w:rsid w:val="00E036FC"/>
    <w:rsid w:val="00E03A7C"/>
    <w:rsid w:val="00E03CB0"/>
    <w:rsid w:val="00E03EFB"/>
    <w:rsid w:val="00E03F3E"/>
    <w:rsid w:val="00E03FDC"/>
    <w:rsid w:val="00E040B0"/>
    <w:rsid w:val="00E04125"/>
    <w:rsid w:val="00E043E3"/>
    <w:rsid w:val="00E04911"/>
    <w:rsid w:val="00E04AC1"/>
    <w:rsid w:val="00E04E39"/>
    <w:rsid w:val="00E04E4D"/>
    <w:rsid w:val="00E05297"/>
    <w:rsid w:val="00E05631"/>
    <w:rsid w:val="00E057D9"/>
    <w:rsid w:val="00E059F7"/>
    <w:rsid w:val="00E05CC1"/>
    <w:rsid w:val="00E05CC2"/>
    <w:rsid w:val="00E05F81"/>
    <w:rsid w:val="00E061D8"/>
    <w:rsid w:val="00E0632E"/>
    <w:rsid w:val="00E06405"/>
    <w:rsid w:val="00E06AAE"/>
    <w:rsid w:val="00E06BB2"/>
    <w:rsid w:val="00E06CE6"/>
    <w:rsid w:val="00E06E5C"/>
    <w:rsid w:val="00E070DA"/>
    <w:rsid w:val="00E071A9"/>
    <w:rsid w:val="00E07260"/>
    <w:rsid w:val="00E07553"/>
    <w:rsid w:val="00E07565"/>
    <w:rsid w:val="00E07604"/>
    <w:rsid w:val="00E07758"/>
    <w:rsid w:val="00E07894"/>
    <w:rsid w:val="00E07AFE"/>
    <w:rsid w:val="00E07BF7"/>
    <w:rsid w:val="00E100D1"/>
    <w:rsid w:val="00E103E5"/>
    <w:rsid w:val="00E1041B"/>
    <w:rsid w:val="00E104AD"/>
    <w:rsid w:val="00E10522"/>
    <w:rsid w:val="00E1098F"/>
    <w:rsid w:val="00E10F88"/>
    <w:rsid w:val="00E11A94"/>
    <w:rsid w:val="00E11D56"/>
    <w:rsid w:val="00E11DBE"/>
    <w:rsid w:val="00E11F88"/>
    <w:rsid w:val="00E124B1"/>
    <w:rsid w:val="00E1250F"/>
    <w:rsid w:val="00E12517"/>
    <w:rsid w:val="00E12538"/>
    <w:rsid w:val="00E126B0"/>
    <w:rsid w:val="00E1270E"/>
    <w:rsid w:val="00E1271C"/>
    <w:rsid w:val="00E12A02"/>
    <w:rsid w:val="00E12DBD"/>
    <w:rsid w:val="00E12F80"/>
    <w:rsid w:val="00E1315B"/>
    <w:rsid w:val="00E13485"/>
    <w:rsid w:val="00E134D6"/>
    <w:rsid w:val="00E13581"/>
    <w:rsid w:val="00E13C3D"/>
    <w:rsid w:val="00E1424F"/>
    <w:rsid w:val="00E144A2"/>
    <w:rsid w:val="00E1489F"/>
    <w:rsid w:val="00E14A42"/>
    <w:rsid w:val="00E14EB9"/>
    <w:rsid w:val="00E1520B"/>
    <w:rsid w:val="00E15343"/>
    <w:rsid w:val="00E1546D"/>
    <w:rsid w:val="00E15491"/>
    <w:rsid w:val="00E15510"/>
    <w:rsid w:val="00E158E2"/>
    <w:rsid w:val="00E15AF0"/>
    <w:rsid w:val="00E15DFB"/>
    <w:rsid w:val="00E15F80"/>
    <w:rsid w:val="00E15F9B"/>
    <w:rsid w:val="00E164B8"/>
    <w:rsid w:val="00E16529"/>
    <w:rsid w:val="00E16CDC"/>
    <w:rsid w:val="00E170A3"/>
    <w:rsid w:val="00E1731D"/>
    <w:rsid w:val="00E175F7"/>
    <w:rsid w:val="00E1776D"/>
    <w:rsid w:val="00E17969"/>
    <w:rsid w:val="00E179B4"/>
    <w:rsid w:val="00E17C51"/>
    <w:rsid w:val="00E17F64"/>
    <w:rsid w:val="00E2007F"/>
    <w:rsid w:val="00E200E4"/>
    <w:rsid w:val="00E20112"/>
    <w:rsid w:val="00E2040B"/>
    <w:rsid w:val="00E2075A"/>
    <w:rsid w:val="00E20775"/>
    <w:rsid w:val="00E20A48"/>
    <w:rsid w:val="00E20C7B"/>
    <w:rsid w:val="00E20EFF"/>
    <w:rsid w:val="00E20F25"/>
    <w:rsid w:val="00E2114D"/>
    <w:rsid w:val="00E212CA"/>
    <w:rsid w:val="00E21630"/>
    <w:rsid w:val="00E21670"/>
    <w:rsid w:val="00E216A7"/>
    <w:rsid w:val="00E21A09"/>
    <w:rsid w:val="00E21A92"/>
    <w:rsid w:val="00E21BAE"/>
    <w:rsid w:val="00E220E0"/>
    <w:rsid w:val="00E2247D"/>
    <w:rsid w:val="00E22579"/>
    <w:rsid w:val="00E22629"/>
    <w:rsid w:val="00E22783"/>
    <w:rsid w:val="00E227A6"/>
    <w:rsid w:val="00E227BA"/>
    <w:rsid w:val="00E2283D"/>
    <w:rsid w:val="00E2284B"/>
    <w:rsid w:val="00E2291A"/>
    <w:rsid w:val="00E22C5B"/>
    <w:rsid w:val="00E22F0B"/>
    <w:rsid w:val="00E22F4E"/>
    <w:rsid w:val="00E232D5"/>
    <w:rsid w:val="00E235D1"/>
    <w:rsid w:val="00E2378D"/>
    <w:rsid w:val="00E2399B"/>
    <w:rsid w:val="00E23A5B"/>
    <w:rsid w:val="00E23D9D"/>
    <w:rsid w:val="00E240AF"/>
    <w:rsid w:val="00E241B4"/>
    <w:rsid w:val="00E241B6"/>
    <w:rsid w:val="00E241BA"/>
    <w:rsid w:val="00E24206"/>
    <w:rsid w:val="00E2436F"/>
    <w:rsid w:val="00E245AE"/>
    <w:rsid w:val="00E247E2"/>
    <w:rsid w:val="00E2484E"/>
    <w:rsid w:val="00E24AAD"/>
    <w:rsid w:val="00E24E53"/>
    <w:rsid w:val="00E24E69"/>
    <w:rsid w:val="00E2521B"/>
    <w:rsid w:val="00E2563B"/>
    <w:rsid w:val="00E2583E"/>
    <w:rsid w:val="00E258C1"/>
    <w:rsid w:val="00E25A09"/>
    <w:rsid w:val="00E25F5E"/>
    <w:rsid w:val="00E26025"/>
    <w:rsid w:val="00E26269"/>
    <w:rsid w:val="00E262E7"/>
    <w:rsid w:val="00E263AE"/>
    <w:rsid w:val="00E2657A"/>
    <w:rsid w:val="00E26594"/>
    <w:rsid w:val="00E265AA"/>
    <w:rsid w:val="00E265B7"/>
    <w:rsid w:val="00E265F7"/>
    <w:rsid w:val="00E268B8"/>
    <w:rsid w:val="00E26A89"/>
    <w:rsid w:val="00E26D11"/>
    <w:rsid w:val="00E26DAC"/>
    <w:rsid w:val="00E26F46"/>
    <w:rsid w:val="00E27426"/>
    <w:rsid w:val="00E27498"/>
    <w:rsid w:val="00E274B8"/>
    <w:rsid w:val="00E2750A"/>
    <w:rsid w:val="00E275C5"/>
    <w:rsid w:val="00E27911"/>
    <w:rsid w:val="00E27CFE"/>
    <w:rsid w:val="00E300D1"/>
    <w:rsid w:val="00E301E8"/>
    <w:rsid w:val="00E30237"/>
    <w:rsid w:val="00E303F6"/>
    <w:rsid w:val="00E305AB"/>
    <w:rsid w:val="00E307F7"/>
    <w:rsid w:val="00E30A19"/>
    <w:rsid w:val="00E30A5F"/>
    <w:rsid w:val="00E30C13"/>
    <w:rsid w:val="00E30C31"/>
    <w:rsid w:val="00E30CE2"/>
    <w:rsid w:val="00E30DE5"/>
    <w:rsid w:val="00E31083"/>
    <w:rsid w:val="00E3129D"/>
    <w:rsid w:val="00E3130C"/>
    <w:rsid w:val="00E31329"/>
    <w:rsid w:val="00E313A8"/>
    <w:rsid w:val="00E313C2"/>
    <w:rsid w:val="00E31525"/>
    <w:rsid w:val="00E31AC8"/>
    <w:rsid w:val="00E31BC3"/>
    <w:rsid w:val="00E31BD5"/>
    <w:rsid w:val="00E31C9B"/>
    <w:rsid w:val="00E31D9D"/>
    <w:rsid w:val="00E31DE6"/>
    <w:rsid w:val="00E31DFC"/>
    <w:rsid w:val="00E32142"/>
    <w:rsid w:val="00E32203"/>
    <w:rsid w:val="00E3285C"/>
    <w:rsid w:val="00E328F0"/>
    <w:rsid w:val="00E32A4C"/>
    <w:rsid w:val="00E32DC2"/>
    <w:rsid w:val="00E33449"/>
    <w:rsid w:val="00E339AD"/>
    <w:rsid w:val="00E33E63"/>
    <w:rsid w:val="00E34093"/>
    <w:rsid w:val="00E3413F"/>
    <w:rsid w:val="00E341AF"/>
    <w:rsid w:val="00E34282"/>
    <w:rsid w:val="00E3437C"/>
    <w:rsid w:val="00E344CD"/>
    <w:rsid w:val="00E34522"/>
    <w:rsid w:val="00E34F20"/>
    <w:rsid w:val="00E350C8"/>
    <w:rsid w:val="00E3557A"/>
    <w:rsid w:val="00E35675"/>
    <w:rsid w:val="00E358C5"/>
    <w:rsid w:val="00E35AFC"/>
    <w:rsid w:val="00E35B3C"/>
    <w:rsid w:val="00E35B49"/>
    <w:rsid w:val="00E360D3"/>
    <w:rsid w:val="00E3623B"/>
    <w:rsid w:val="00E362C2"/>
    <w:rsid w:val="00E3638A"/>
    <w:rsid w:val="00E3648B"/>
    <w:rsid w:val="00E364B4"/>
    <w:rsid w:val="00E3652A"/>
    <w:rsid w:val="00E36927"/>
    <w:rsid w:val="00E36AA7"/>
    <w:rsid w:val="00E36D8A"/>
    <w:rsid w:val="00E36FA2"/>
    <w:rsid w:val="00E37024"/>
    <w:rsid w:val="00E370AE"/>
    <w:rsid w:val="00E3715F"/>
    <w:rsid w:val="00E37C7C"/>
    <w:rsid w:val="00E37E96"/>
    <w:rsid w:val="00E40177"/>
    <w:rsid w:val="00E4019E"/>
    <w:rsid w:val="00E403AF"/>
    <w:rsid w:val="00E405C3"/>
    <w:rsid w:val="00E406C8"/>
    <w:rsid w:val="00E40A01"/>
    <w:rsid w:val="00E40B50"/>
    <w:rsid w:val="00E40DDB"/>
    <w:rsid w:val="00E40E69"/>
    <w:rsid w:val="00E40F1D"/>
    <w:rsid w:val="00E41253"/>
    <w:rsid w:val="00E41267"/>
    <w:rsid w:val="00E413A6"/>
    <w:rsid w:val="00E414BC"/>
    <w:rsid w:val="00E417A5"/>
    <w:rsid w:val="00E41996"/>
    <w:rsid w:val="00E419B7"/>
    <w:rsid w:val="00E41A9E"/>
    <w:rsid w:val="00E41B55"/>
    <w:rsid w:val="00E41CFF"/>
    <w:rsid w:val="00E41D11"/>
    <w:rsid w:val="00E420F6"/>
    <w:rsid w:val="00E42146"/>
    <w:rsid w:val="00E42176"/>
    <w:rsid w:val="00E425DC"/>
    <w:rsid w:val="00E4277E"/>
    <w:rsid w:val="00E4287E"/>
    <w:rsid w:val="00E4291B"/>
    <w:rsid w:val="00E42B10"/>
    <w:rsid w:val="00E42C64"/>
    <w:rsid w:val="00E42C67"/>
    <w:rsid w:val="00E42E67"/>
    <w:rsid w:val="00E42EBB"/>
    <w:rsid w:val="00E42FC2"/>
    <w:rsid w:val="00E4303F"/>
    <w:rsid w:val="00E43511"/>
    <w:rsid w:val="00E43516"/>
    <w:rsid w:val="00E43599"/>
    <w:rsid w:val="00E435E1"/>
    <w:rsid w:val="00E436AD"/>
    <w:rsid w:val="00E43DA1"/>
    <w:rsid w:val="00E43E59"/>
    <w:rsid w:val="00E44109"/>
    <w:rsid w:val="00E4422E"/>
    <w:rsid w:val="00E4430A"/>
    <w:rsid w:val="00E4447B"/>
    <w:rsid w:val="00E44595"/>
    <w:rsid w:val="00E44AEA"/>
    <w:rsid w:val="00E44AFE"/>
    <w:rsid w:val="00E44BB0"/>
    <w:rsid w:val="00E44DA7"/>
    <w:rsid w:val="00E44EBF"/>
    <w:rsid w:val="00E451E6"/>
    <w:rsid w:val="00E45245"/>
    <w:rsid w:val="00E454D7"/>
    <w:rsid w:val="00E456A9"/>
    <w:rsid w:val="00E45B05"/>
    <w:rsid w:val="00E45BF8"/>
    <w:rsid w:val="00E45D18"/>
    <w:rsid w:val="00E45D8D"/>
    <w:rsid w:val="00E46145"/>
    <w:rsid w:val="00E463D0"/>
    <w:rsid w:val="00E4641F"/>
    <w:rsid w:val="00E46470"/>
    <w:rsid w:val="00E467B1"/>
    <w:rsid w:val="00E468AD"/>
    <w:rsid w:val="00E46AAE"/>
    <w:rsid w:val="00E46E65"/>
    <w:rsid w:val="00E46F27"/>
    <w:rsid w:val="00E47328"/>
    <w:rsid w:val="00E47759"/>
    <w:rsid w:val="00E47B97"/>
    <w:rsid w:val="00E47C15"/>
    <w:rsid w:val="00E47D1B"/>
    <w:rsid w:val="00E47F37"/>
    <w:rsid w:val="00E5001E"/>
    <w:rsid w:val="00E5044E"/>
    <w:rsid w:val="00E5052F"/>
    <w:rsid w:val="00E50626"/>
    <w:rsid w:val="00E506C6"/>
    <w:rsid w:val="00E507C5"/>
    <w:rsid w:val="00E51086"/>
    <w:rsid w:val="00E513D7"/>
    <w:rsid w:val="00E51456"/>
    <w:rsid w:val="00E518FE"/>
    <w:rsid w:val="00E51984"/>
    <w:rsid w:val="00E51E62"/>
    <w:rsid w:val="00E51E8E"/>
    <w:rsid w:val="00E52031"/>
    <w:rsid w:val="00E520F8"/>
    <w:rsid w:val="00E52316"/>
    <w:rsid w:val="00E52408"/>
    <w:rsid w:val="00E527A5"/>
    <w:rsid w:val="00E52AB7"/>
    <w:rsid w:val="00E52CCA"/>
    <w:rsid w:val="00E53235"/>
    <w:rsid w:val="00E532BE"/>
    <w:rsid w:val="00E53438"/>
    <w:rsid w:val="00E53446"/>
    <w:rsid w:val="00E535BC"/>
    <w:rsid w:val="00E535F3"/>
    <w:rsid w:val="00E5363F"/>
    <w:rsid w:val="00E53743"/>
    <w:rsid w:val="00E53831"/>
    <w:rsid w:val="00E538DA"/>
    <w:rsid w:val="00E53A08"/>
    <w:rsid w:val="00E53A0B"/>
    <w:rsid w:val="00E53BE0"/>
    <w:rsid w:val="00E53CA4"/>
    <w:rsid w:val="00E53D2A"/>
    <w:rsid w:val="00E53E68"/>
    <w:rsid w:val="00E53EFE"/>
    <w:rsid w:val="00E544EA"/>
    <w:rsid w:val="00E545C7"/>
    <w:rsid w:val="00E5468A"/>
    <w:rsid w:val="00E54752"/>
    <w:rsid w:val="00E548E0"/>
    <w:rsid w:val="00E54A72"/>
    <w:rsid w:val="00E54A91"/>
    <w:rsid w:val="00E54AB2"/>
    <w:rsid w:val="00E54DE6"/>
    <w:rsid w:val="00E54FCC"/>
    <w:rsid w:val="00E55020"/>
    <w:rsid w:val="00E5513F"/>
    <w:rsid w:val="00E5555C"/>
    <w:rsid w:val="00E55736"/>
    <w:rsid w:val="00E55945"/>
    <w:rsid w:val="00E5597C"/>
    <w:rsid w:val="00E55DA4"/>
    <w:rsid w:val="00E565D4"/>
    <w:rsid w:val="00E565E3"/>
    <w:rsid w:val="00E566C4"/>
    <w:rsid w:val="00E56A45"/>
    <w:rsid w:val="00E56C39"/>
    <w:rsid w:val="00E56D06"/>
    <w:rsid w:val="00E56DA4"/>
    <w:rsid w:val="00E56FC7"/>
    <w:rsid w:val="00E5725B"/>
    <w:rsid w:val="00E572C3"/>
    <w:rsid w:val="00E574CB"/>
    <w:rsid w:val="00E574CD"/>
    <w:rsid w:val="00E575AB"/>
    <w:rsid w:val="00E5764C"/>
    <w:rsid w:val="00E57888"/>
    <w:rsid w:val="00E578C5"/>
    <w:rsid w:val="00E57EFB"/>
    <w:rsid w:val="00E60035"/>
    <w:rsid w:val="00E6051E"/>
    <w:rsid w:val="00E609B1"/>
    <w:rsid w:val="00E60E32"/>
    <w:rsid w:val="00E60E9E"/>
    <w:rsid w:val="00E60FF7"/>
    <w:rsid w:val="00E61067"/>
    <w:rsid w:val="00E6132B"/>
    <w:rsid w:val="00E61435"/>
    <w:rsid w:val="00E6149A"/>
    <w:rsid w:val="00E6179E"/>
    <w:rsid w:val="00E618B9"/>
    <w:rsid w:val="00E618E7"/>
    <w:rsid w:val="00E619B7"/>
    <w:rsid w:val="00E61DAD"/>
    <w:rsid w:val="00E61DEE"/>
    <w:rsid w:val="00E61F1A"/>
    <w:rsid w:val="00E61F85"/>
    <w:rsid w:val="00E624D6"/>
    <w:rsid w:val="00E625E5"/>
    <w:rsid w:val="00E62C39"/>
    <w:rsid w:val="00E62C99"/>
    <w:rsid w:val="00E62E89"/>
    <w:rsid w:val="00E62EDE"/>
    <w:rsid w:val="00E62F5D"/>
    <w:rsid w:val="00E633B2"/>
    <w:rsid w:val="00E637E3"/>
    <w:rsid w:val="00E638E0"/>
    <w:rsid w:val="00E63E04"/>
    <w:rsid w:val="00E63F2A"/>
    <w:rsid w:val="00E63FC4"/>
    <w:rsid w:val="00E64098"/>
    <w:rsid w:val="00E641D7"/>
    <w:rsid w:val="00E6422C"/>
    <w:rsid w:val="00E64994"/>
    <w:rsid w:val="00E64B8E"/>
    <w:rsid w:val="00E64C00"/>
    <w:rsid w:val="00E64DAE"/>
    <w:rsid w:val="00E64F39"/>
    <w:rsid w:val="00E650C7"/>
    <w:rsid w:val="00E65180"/>
    <w:rsid w:val="00E6534D"/>
    <w:rsid w:val="00E654DA"/>
    <w:rsid w:val="00E65614"/>
    <w:rsid w:val="00E65876"/>
    <w:rsid w:val="00E65966"/>
    <w:rsid w:val="00E659E0"/>
    <w:rsid w:val="00E65A90"/>
    <w:rsid w:val="00E65A99"/>
    <w:rsid w:val="00E65AEC"/>
    <w:rsid w:val="00E65B61"/>
    <w:rsid w:val="00E65BBE"/>
    <w:rsid w:val="00E65D4A"/>
    <w:rsid w:val="00E65E54"/>
    <w:rsid w:val="00E65E57"/>
    <w:rsid w:val="00E65ED2"/>
    <w:rsid w:val="00E65EF6"/>
    <w:rsid w:val="00E65F52"/>
    <w:rsid w:val="00E6602E"/>
    <w:rsid w:val="00E66056"/>
    <w:rsid w:val="00E66082"/>
    <w:rsid w:val="00E66333"/>
    <w:rsid w:val="00E663F5"/>
    <w:rsid w:val="00E666B4"/>
    <w:rsid w:val="00E666F9"/>
    <w:rsid w:val="00E6690B"/>
    <w:rsid w:val="00E669CD"/>
    <w:rsid w:val="00E66A2E"/>
    <w:rsid w:val="00E66A84"/>
    <w:rsid w:val="00E66ADF"/>
    <w:rsid w:val="00E66FD4"/>
    <w:rsid w:val="00E67251"/>
    <w:rsid w:val="00E672B6"/>
    <w:rsid w:val="00E67433"/>
    <w:rsid w:val="00E674A7"/>
    <w:rsid w:val="00E6765C"/>
    <w:rsid w:val="00E67708"/>
    <w:rsid w:val="00E677CF"/>
    <w:rsid w:val="00E67994"/>
    <w:rsid w:val="00E679B9"/>
    <w:rsid w:val="00E67B7E"/>
    <w:rsid w:val="00E67BBC"/>
    <w:rsid w:val="00E67C67"/>
    <w:rsid w:val="00E67E92"/>
    <w:rsid w:val="00E70320"/>
    <w:rsid w:val="00E70615"/>
    <w:rsid w:val="00E70887"/>
    <w:rsid w:val="00E70E44"/>
    <w:rsid w:val="00E70EE0"/>
    <w:rsid w:val="00E70F07"/>
    <w:rsid w:val="00E710D0"/>
    <w:rsid w:val="00E711B7"/>
    <w:rsid w:val="00E71366"/>
    <w:rsid w:val="00E716F2"/>
    <w:rsid w:val="00E71871"/>
    <w:rsid w:val="00E719EA"/>
    <w:rsid w:val="00E71A0B"/>
    <w:rsid w:val="00E71DB5"/>
    <w:rsid w:val="00E72373"/>
    <w:rsid w:val="00E724BF"/>
    <w:rsid w:val="00E72859"/>
    <w:rsid w:val="00E7286C"/>
    <w:rsid w:val="00E72A93"/>
    <w:rsid w:val="00E72FD5"/>
    <w:rsid w:val="00E732D6"/>
    <w:rsid w:val="00E73531"/>
    <w:rsid w:val="00E73687"/>
    <w:rsid w:val="00E736B6"/>
    <w:rsid w:val="00E736BB"/>
    <w:rsid w:val="00E737E7"/>
    <w:rsid w:val="00E73846"/>
    <w:rsid w:val="00E7397F"/>
    <w:rsid w:val="00E73A2D"/>
    <w:rsid w:val="00E73F16"/>
    <w:rsid w:val="00E73F3D"/>
    <w:rsid w:val="00E744F9"/>
    <w:rsid w:val="00E7453A"/>
    <w:rsid w:val="00E74898"/>
    <w:rsid w:val="00E74B40"/>
    <w:rsid w:val="00E74D2C"/>
    <w:rsid w:val="00E74E3B"/>
    <w:rsid w:val="00E74F41"/>
    <w:rsid w:val="00E7535B"/>
    <w:rsid w:val="00E7545A"/>
    <w:rsid w:val="00E7564D"/>
    <w:rsid w:val="00E75A03"/>
    <w:rsid w:val="00E75ABB"/>
    <w:rsid w:val="00E75AE8"/>
    <w:rsid w:val="00E75DC6"/>
    <w:rsid w:val="00E7603E"/>
    <w:rsid w:val="00E760DC"/>
    <w:rsid w:val="00E761F4"/>
    <w:rsid w:val="00E76345"/>
    <w:rsid w:val="00E764C0"/>
    <w:rsid w:val="00E766E2"/>
    <w:rsid w:val="00E76B39"/>
    <w:rsid w:val="00E76D54"/>
    <w:rsid w:val="00E77123"/>
    <w:rsid w:val="00E77130"/>
    <w:rsid w:val="00E772A9"/>
    <w:rsid w:val="00E77332"/>
    <w:rsid w:val="00E776B7"/>
    <w:rsid w:val="00E778DB"/>
    <w:rsid w:val="00E7790B"/>
    <w:rsid w:val="00E77B26"/>
    <w:rsid w:val="00E77CA4"/>
    <w:rsid w:val="00E80359"/>
    <w:rsid w:val="00E80389"/>
    <w:rsid w:val="00E8059F"/>
    <w:rsid w:val="00E80819"/>
    <w:rsid w:val="00E80D3C"/>
    <w:rsid w:val="00E80D40"/>
    <w:rsid w:val="00E80DAC"/>
    <w:rsid w:val="00E80F06"/>
    <w:rsid w:val="00E80FD5"/>
    <w:rsid w:val="00E810E5"/>
    <w:rsid w:val="00E811BC"/>
    <w:rsid w:val="00E815D9"/>
    <w:rsid w:val="00E8168E"/>
    <w:rsid w:val="00E81826"/>
    <w:rsid w:val="00E818AC"/>
    <w:rsid w:val="00E818C4"/>
    <w:rsid w:val="00E818FF"/>
    <w:rsid w:val="00E81C28"/>
    <w:rsid w:val="00E8209B"/>
    <w:rsid w:val="00E82213"/>
    <w:rsid w:val="00E824F0"/>
    <w:rsid w:val="00E824FD"/>
    <w:rsid w:val="00E8274D"/>
    <w:rsid w:val="00E8281E"/>
    <w:rsid w:val="00E82BE2"/>
    <w:rsid w:val="00E82D66"/>
    <w:rsid w:val="00E831CB"/>
    <w:rsid w:val="00E831E6"/>
    <w:rsid w:val="00E833E5"/>
    <w:rsid w:val="00E837A3"/>
    <w:rsid w:val="00E83A26"/>
    <w:rsid w:val="00E83AEA"/>
    <w:rsid w:val="00E83C49"/>
    <w:rsid w:val="00E83C87"/>
    <w:rsid w:val="00E83CBE"/>
    <w:rsid w:val="00E83DDB"/>
    <w:rsid w:val="00E83FA7"/>
    <w:rsid w:val="00E84161"/>
    <w:rsid w:val="00E84323"/>
    <w:rsid w:val="00E844C9"/>
    <w:rsid w:val="00E8466D"/>
    <w:rsid w:val="00E8475D"/>
    <w:rsid w:val="00E84944"/>
    <w:rsid w:val="00E84998"/>
    <w:rsid w:val="00E84A5C"/>
    <w:rsid w:val="00E84BB1"/>
    <w:rsid w:val="00E84BD1"/>
    <w:rsid w:val="00E84CA4"/>
    <w:rsid w:val="00E84DDD"/>
    <w:rsid w:val="00E84F3F"/>
    <w:rsid w:val="00E84FB6"/>
    <w:rsid w:val="00E84FBB"/>
    <w:rsid w:val="00E84FE4"/>
    <w:rsid w:val="00E8525C"/>
    <w:rsid w:val="00E852A6"/>
    <w:rsid w:val="00E8533B"/>
    <w:rsid w:val="00E85442"/>
    <w:rsid w:val="00E854FC"/>
    <w:rsid w:val="00E85747"/>
    <w:rsid w:val="00E857ED"/>
    <w:rsid w:val="00E86173"/>
    <w:rsid w:val="00E863FF"/>
    <w:rsid w:val="00E866EA"/>
    <w:rsid w:val="00E86752"/>
    <w:rsid w:val="00E86948"/>
    <w:rsid w:val="00E869D8"/>
    <w:rsid w:val="00E86AE7"/>
    <w:rsid w:val="00E86B3D"/>
    <w:rsid w:val="00E87165"/>
    <w:rsid w:val="00E875D5"/>
    <w:rsid w:val="00E877AB"/>
    <w:rsid w:val="00E877BA"/>
    <w:rsid w:val="00E8795D"/>
    <w:rsid w:val="00E87AAD"/>
    <w:rsid w:val="00E87C17"/>
    <w:rsid w:val="00E9034B"/>
    <w:rsid w:val="00E90407"/>
    <w:rsid w:val="00E90463"/>
    <w:rsid w:val="00E90575"/>
    <w:rsid w:val="00E905C9"/>
    <w:rsid w:val="00E909D9"/>
    <w:rsid w:val="00E90C3E"/>
    <w:rsid w:val="00E90C60"/>
    <w:rsid w:val="00E90CAB"/>
    <w:rsid w:val="00E90CE6"/>
    <w:rsid w:val="00E90D36"/>
    <w:rsid w:val="00E90F42"/>
    <w:rsid w:val="00E911A3"/>
    <w:rsid w:val="00E91337"/>
    <w:rsid w:val="00E9146D"/>
    <w:rsid w:val="00E91682"/>
    <w:rsid w:val="00E916BC"/>
    <w:rsid w:val="00E9173F"/>
    <w:rsid w:val="00E91D34"/>
    <w:rsid w:val="00E91DAD"/>
    <w:rsid w:val="00E91ED1"/>
    <w:rsid w:val="00E9203F"/>
    <w:rsid w:val="00E9226C"/>
    <w:rsid w:val="00E92270"/>
    <w:rsid w:val="00E922A7"/>
    <w:rsid w:val="00E92680"/>
    <w:rsid w:val="00E9275C"/>
    <w:rsid w:val="00E92C0B"/>
    <w:rsid w:val="00E92D03"/>
    <w:rsid w:val="00E92D6F"/>
    <w:rsid w:val="00E92EC8"/>
    <w:rsid w:val="00E93287"/>
    <w:rsid w:val="00E9328B"/>
    <w:rsid w:val="00E9351C"/>
    <w:rsid w:val="00E93756"/>
    <w:rsid w:val="00E938CD"/>
    <w:rsid w:val="00E938F2"/>
    <w:rsid w:val="00E93C81"/>
    <w:rsid w:val="00E93DA8"/>
    <w:rsid w:val="00E940B4"/>
    <w:rsid w:val="00E943E7"/>
    <w:rsid w:val="00E9449A"/>
    <w:rsid w:val="00E944A3"/>
    <w:rsid w:val="00E94523"/>
    <w:rsid w:val="00E9457F"/>
    <w:rsid w:val="00E94614"/>
    <w:rsid w:val="00E9468A"/>
    <w:rsid w:val="00E94A7F"/>
    <w:rsid w:val="00E94A9B"/>
    <w:rsid w:val="00E94CD4"/>
    <w:rsid w:val="00E94EC0"/>
    <w:rsid w:val="00E94F28"/>
    <w:rsid w:val="00E94F3F"/>
    <w:rsid w:val="00E94F8E"/>
    <w:rsid w:val="00E95073"/>
    <w:rsid w:val="00E9558F"/>
    <w:rsid w:val="00E955FD"/>
    <w:rsid w:val="00E9573B"/>
    <w:rsid w:val="00E95F84"/>
    <w:rsid w:val="00E96669"/>
    <w:rsid w:val="00E967F7"/>
    <w:rsid w:val="00E96CC9"/>
    <w:rsid w:val="00E96D74"/>
    <w:rsid w:val="00E96D83"/>
    <w:rsid w:val="00E9715B"/>
    <w:rsid w:val="00E971F5"/>
    <w:rsid w:val="00E97245"/>
    <w:rsid w:val="00E9725A"/>
    <w:rsid w:val="00E974C2"/>
    <w:rsid w:val="00E97542"/>
    <w:rsid w:val="00E97741"/>
    <w:rsid w:val="00E97ACF"/>
    <w:rsid w:val="00E97CAC"/>
    <w:rsid w:val="00E97D46"/>
    <w:rsid w:val="00E97DDB"/>
    <w:rsid w:val="00E97FFA"/>
    <w:rsid w:val="00E97FFC"/>
    <w:rsid w:val="00EA00AE"/>
    <w:rsid w:val="00EA0695"/>
    <w:rsid w:val="00EA0802"/>
    <w:rsid w:val="00EA0B10"/>
    <w:rsid w:val="00EA1028"/>
    <w:rsid w:val="00EA13B2"/>
    <w:rsid w:val="00EA1463"/>
    <w:rsid w:val="00EA169C"/>
    <w:rsid w:val="00EA1753"/>
    <w:rsid w:val="00EA17D7"/>
    <w:rsid w:val="00EA1831"/>
    <w:rsid w:val="00EA196B"/>
    <w:rsid w:val="00EA1C64"/>
    <w:rsid w:val="00EA2031"/>
    <w:rsid w:val="00EA2611"/>
    <w:rsid w:val="00EA2738"/>
    <w:rsid w:val="00EA275A"/>
    <w:rsid w:val="00EA28EA"/>
    <w:rsid w:val="00EA2C33"/>
    <w:rsid w:val="00EA3008"/>
    <w:rsid w:val="00EA326B"/>
    <w:rsid w:val="00EA3386"/>
    <w:rsid w:val="00EA33D8"/>
    <w:rsid w:val="00EA388F"/>
    <w:rsid w:val="00EA3A87"/>
    <w:rsid w:val="00EA3BAA"/>
    <w:rsid w:val="00EA3C83"/>
    <w:rsid w:val="00EA3D3C"/>
    <w:rsid w:val="00EA3D7D"/>
    <w:rsid w:val="00EA3E5C"/>
    <w:rsid w:val="00EA4011"/>
    <w:rsid w:val="00EA4031"/>
    <w:rsid w:val="00EA4462"/>
    <w:rsid w:val="00EA4552"/>
    <w:rsid w:val="00EA46DE"/>
    <w:rsid w:val="00EA4A96"/>
    <w:rsid w:val="00EA4BEC"/>
    <w:rsid w:val="00EA4C57"/>
    <w:rsid w:val="00EA4CE5"/>
    <w:rsid w:val="00EA503D"/>
    <w:rsid w:val="00EA508E"/>
    <w:rsid w:val="00EA52EE"/>
    <w:rsid w:val="00EA530B"/>
    <w:rsid w:val="00EA54D9"/>
    <w:rsid w:val="00EA56FC"/>
    <w:rsid w:val="00EA5816"/>
    <w:rsid w:val="00EA59B7"/>
    <w:rsid w:val="00EA5A9C"/>
    <w:rsid w:val="00EA5BDD"/>
    <w:rsid w:val="00EA5C01"/>
    <w:rsid w:val="00EA5E7C"/>
    <w:rsid w:val="00EA5EB0"/>
    <w:rsid w:val="00EA6072"/>
    <w:rsid w:val="00EA62D3"/>
    <w:rsid w:val="00EA6701"/>
    <w:rsid w:val="00EA67B3"/>
    <w:rsid w:val="00EA6A73"/>
    <w:rsid w:val="00EA6D30"/>
    <w:rsid w:val="00EA6F75"/>
    <w:rsid w:val="00EA6FB5"/>
    <w:rsid w:val="00EA6FC6"/>
    <w:rsid w:val="00EA712D"/>
    <w:rsid w:val="00EA720C"/>
    <w:rsid w:val="00EA732B"/>
    <w:rsid w:val="00EA7361"/>
    <w:rsid w:val="00EA74E7"/>
    <w:rsid w:val="00EA75FE"/>
    <w:rsid w:val="00EA76D5"/>
    <w:rsid w:val="00EA780F"/>
    <w:rsid w:val="00EA7A50"/>
    <w:rsid w:val="00EA7B2A"/>
    <w:rsid w:val="00EA7CB6"/>
    <w:rsid w:val="00EA7DD5"/>
    <w:rsid w:val="00EA7FBE"/>
    <w:rsid w:val="00EB0140"/>
    <w:rsid w:val="00EB0348"/>
    <w:rsid w:val="00EB04FA"/>
    <w:rsid w:val="00EB0526"/>
    <w:rsid w:val="00EB078E"/>
    <w:rsid w:val="00EB0A53"/>
    <w:rsid w:val="00EB0AA9"/>
    <w:rsid w:val="00EB0C59"/>
    <w:rsid w:val="00EB0D94"/>
    <w:rsid w:val="00EB0DAA"/>
    <w:rsid w:val="00EB0F6E"/>
    <w:rsid w:val="00EB0FDC"/>
    <w:rsid w:val="00EB1044"/>
    <w:rsid w:val="00EB10F4"/>
    <w:rsid w:val="00EB1146"/>
    <w:rsid w:val="00EB1328"/>
    <w:rsid w:val="00EB1701"/>
    <w:rsid w:val="00EB1CCA"/>
    <w:rsid w:val="00EB2078"/>
    <w:rsid w:val="00EB21BE"/>
    <w:rsid w:val="00EB22CA"/>
    <w:rsid w:val="00EB2464"/>
    <w:rsid w:val="00EB2777"/>
    <w:rsid w:val="00EB280A"/>
    <w:rsid w:val="00EB2F7E"/>
    <w:rsid w:val="00EB30E3"/>
    <w:rsid w:val="00EB311F"/>
    <w:rsid w:val="00EB326E"/>
    <w:rsid w:val="00EB392C"/>
    <w:rsid w:val="00EB3A4D"/>
    <w:rsid w:val="00EB3DA8"/>
    <w:rsid w:val="00EB3DC7"/>
    <w:rsid w:val="00EB3FB7"/>
    <w:rsid w:val="00EB401D"/>
    <w:rsid w:val="00EB418D"/>
    <w:rsid w:val="00EB43A8"/>
    <w:rsid w:val="00EB44FE"/>
    <w:rsid w:val="00EB4678"/>
    <w:rsid w:val="00EB4882"/>
    <w:rsid w:val="00EB4B90"/>
    <w:rsid w:val="00EB4C30"/>
    <w:rsid w:val="00EB4F10"/>
    <w:rsid w:val="00EB502A"/>
    <w:rsid w:val="00EB518A"/>
    <w:rsid w:val="00EB5259"/>
    <w:rsid w:val="00EB5288"/>
    <w:rsid w:val="00EB528C"/>
    <w:rsid w:val="00EB53D9"/>
    <w:rsid w:val="00EB54B8"/>
    <w:rsid w:val="00EB54BF"/>
    <w:rsid w:val="00EB54E6"/>
    <w:rsid w:val="00EB5560"/>
    <w:rsid w:val="00EB561A"/>
    <w:rsid w:val="00EB5A3F"/>
    <w:rsid w:val="00EB6046"/>
    <w:rsid w:val="00EB6449"/>
    <w:rsid w:val="00EB6946"/>
    <w:rsid w:val="00EB6CCF"/>
    <w:rsid w:val="00EB6CFE"/>
    <w:rsid w:val="00EB6EB6"/>
    <w:rsid w:val="00EB70AD"/>
    <w:rsid w:val="00EB710C"/>
    <w:rsid w:val="00EB7127"/>
    <w:rsid w:val="00EB738E"/>
    <w:rsid w:val="00EB73D5"/>
    <w:rsid w:val="00EB76FD"/>
    <w:rsid w:val="00EB799A"/>
    <w:rsid w:val="00EB7A03"/>
    <w:rsid w:val="00EB7B89"/>
    <w:rsid w:val="00EB7C84"/>
    <w:rsid w:val="00EB7CB4"/>
    <w:rsid w:val="00EB7CEF"/>
    <w:rsid w:val="00EB7E97"/>
    <w:rsid w:val="00EB7ECD"/>
    <w:rsid w:val="00EC0237"/>
    <w:rsid w:val="00EC0599"/>
    <w:rsid w:val="00EC059B"/>
    <w:rsid w:val="00EC09B3"/>
    <w:rsid w:val="00EC0CEB"/>
    <w:rsid w:val="00EC13E1"/>
    <w:rsid w:val="00EC1441"/>
    <w:rsid w:val="00EC1472"/>
    <w:rsid w:val="00EC14C1"/>
    <w:rsid w:val="00EC14C6"/>
    <w:rsid w:val="00EC152D"/>
    <w:rsid w:val="00EC1546"/>
    <w:rsid w:val="00EC15BE"/>
    <w:rsid w:val="00EC1651"/>
    <w:rsid w:val="00EC16E4"/>
    <w:rsid w:val="00EC16EF"/>
    <w:rsid w:val="00EC1736"/>
    <w:rsid w:val="00EC1978"/>
    <w:rsid w:val="00EC1A80"/>
    <w:rsid w:val="00EC1C36"/>
    <w:rsid w:val="00EC1CCB"/>
    <w:rsid w:val="00EC1FD8"/>
    <w:rsid w:val="00EC20C1"/>
    <w:rsid w:val="00EC20EE"/>
    <w:rsid w:val="00EC22CB"/>
    <w:rsid w:val="00EC23B3"/>
    <w:rsid w:val="00EC23B9"/>
    <w:rsid w:val="00EC2A32"/>
    <w:rsid w:val="00EC2B27"/>
    <w:rsid w:val="00EC2B31"/>
    <w:rsid w:val="00EC2D95"/>
    <w:rsid w:val="00EC2EA4"/>
    <w:rsid w:val="00EC310F"/>
    <w:rsid w:val="00EC3333"/>
    <w:rsid w:val="00EC33B8"/>
    <w:rsid w:val="00EC343B"/>
    <w:rsid w:val="00EC368C"/>
    <w:rsid w:val="00EC3709"/>
    <w:rsid w:val="00EC385C"/>
    <w:rsid w:val="00EC39AD"/>
    <w:rsid w:val="00EC3C3E"/>
    <w:rsid w:val="00EC3C9B"/>
    <w:rsid w:val="00EC3E31"/>
    <w:rsid w:val="00EC3F74"/>
    <w:rsid w:val="00EC3F8F"/>
    <w:rsid w:val="00EC41D2"/>
    <w:rsid w:val="00EC432E"/>
    <w:rsid w:val="00EC4421"/>
    <w:rsid w:val="00EC464B"/>
    <w:rsid w:val="00EC46BC"/>
    <w:rsid w:val="00EC48D8"/>
    <w:rsid w:val="00EC4AA6"/>
    <w:rsid w:val="00EC4D56"/>
    <w:rsid w:val="00EC4DCE"/>
    <w:rsid w:val="00EC51C8"/>
    <w:rsid w:val="00EC52D5"/>
    <w:rsid w:val="00EC5416"/>
    <w:rsid w:val="00EC55B8"/>
    <w:rsid w:val="00EC5605"/>
    <w:rsid w:val="00EC56A6"/>
    <w:rsid w:val="00EC5E05"/>
    <w:rsid w:val="00EC5EA3"/>
    <w:rsid w:val="00EC671E"/>
    <w:rsid w:val="00EC6AB5"/>
    <w:rsid w:val="00EC6E0E"/>
    <w:rsid w:val="00EC72B8"/>
    <w:rsid w:val="00EC72D1"/>
    <w:rsid w:val="00EC72F4"/>
    <w:rsid w:val="00EC7429"/>
    <w:rsid w:val="00EC7723"/>
    <w:rsid w:val="00EC7780"/>
    <w:rsid w:val="00EC7AA5"/>
    <w:rsid w:val="00EC7E9B"/>
    <w:rsid w:val="00ED01C2"/>
    <w:rsid w:val="00ED02EB"/>
    <w:rsid w:val="00ED0558"/>
    <w:rsid w:val="00ED06A3"/>
    <w:rsid w:val="00ED07C3"/>
    <w:rsid w:val="00ED07F5"/>
    <w:rsid w:val="00ED082E"/>
    <w:rsid w:val="00ED0836"/>
    <w:rsid w:val="00ED08CF"/>
    <w:rsid w:val="00ED0920"/>
    <w:rsid w:val="00ED0A64"/>
    <w:rsid w:val="00ED0B52"/>
    <w:rsid w:val="00ED0F4E"/>
    <w:rsid w:val="00ED1115"/>
    <w:rsid w:val="00ED114E"/>
    <w:rsid w:val="00ED1210"/>
    <w:rsid w:val="00ED1214"/>
    <w:rsid w:val="00ED1269"/>
    <w:rsid w:val="00ED17DE"/>
    <w:rsid w:val="00ED197E"/>
    <w:rsid w:val="00ED1982"/>
    <w:rsid w:val="00ED19B1"/>
    <w:rsid w:val="00ED1AD1"/>
    <w:rsid w:val="00ED1B2B"/>
    <w:rsid w:val="00ED1DD5"/>
    <w:rsid w:val="00ED2172"/>
    <w:rsid w:val="00ED2445"/>
    <w:rsid w:val="00ED2505"/>
    <w:rsid w:val="00ED260B"/>
    <w:rsid w:val="00ED2646"/>
    <w:rsid w:val="00ED26A1"/>
    <w:rsid w:val="00ED28D3"/>
    <w:rsid w:val="00ED2965"/>
    <w:rsid w:val="00ED297E"/>
    <w:rsid w:val="00ED2B05"/>
    <w:rsid w:val="00ED2C16"/>
    <w:rsid w:val="00ED2D81"/>
    <w:rsid w:val="00ED2EAC"/>
    <w:rsid w:val="00ED306B"/>
    <w:rsid w:val="00ED35D7"/>
    <w:rsid w:val="00ED35DB"/>
    <w:rsid w:val="00ED3729"/>
    <w:rsid w:val="00ED3BD4"/>
    <w:rsid w:val="00ED4044"/>
    <w:rsid w:val="00ED412E"/>
    <w:rsid w:val="00ED4E78"/>
    <w:rsid w:val="00ED4EB6"/>
    <w:rsid w:val="00ED4F2E"/>
    <w:rsid w:val="00ED508C"/>
    <w:rsid w:val="00ED50E2"/>
    <w:rsid w:val="00ED5242"/>
    <w:rsid w:val="00ED5621"/>
    <w:rsid w:val="00ED5AAF"/>
    <w:rsid w:val="00ED5AE3"/>
    <w:rsid w:val="00ED5AEC"/>
    <w:rsid w:val="00ED5D25"/>
    <w:rsid w:val="00ED63AC"/>
    <w:rsid w:val="00ED648B"/>
    <w:rsid w:val="00ED6586"/>
    <w:rsid w:val="00ED660B"/>
    <w:rsid w:val="00ED67B6"/>
    <w:rsid w:val="00ED6A77"/>
    <w:rsid w:val="00ED6B37"/>
    <w:rsid w:val="00ED6C08"/>
    <w:rsid w:val="00ED6C58"/>
    <w:rsid w:val="00ED6DAC"/>
    <w:rsid w:val="00ED6E24"/>
    <w:rsid w:val="00ED6E83"/>
    <w:rsid w:val="00ED6F9C"/>
    <w:rsid w:val="00ED77CB"/>
    <w:rsid w:val="00ED78AB"/>
    <w:rsid w:val="00ED7A5A"/>
    <w:rsid w:val="00ED7B0B"/>
    <w:rsid w:val="00ED7D36"/>
    <w:rsid w:val="00ED7DB8"/>
    <w:rsid w:val="00ED7EDA"/>
    <w:rsid w:val="00EE00E9"/>
    <w:rsid w:val="00EE02C1"/>
    <w:rsid w:val="00EE047C"/>
    <w:rsid w:val="00EE05EA"/>
    <w:rsid w:val="00EE070F"/>
    <w:rsid w:val="00EE072F"/>
    <w:rsid w:val="00EE0984"/>
    <w:rsid w:val="00EE09CF"/>
    <w:rsid w:val="00EE09FA"/>
    <w:rsid w:val="00EE0DBC"/>
    <w:rsid w:val="00EE0F4B"/>
    <w:rsid w:val="00EE10C9"/>
    <w:rsid w:val="00EE124E"/>
    <w:rsid w:val="00EE1346"/>
    <w:rsid w:val="00EE1352"/>
    <w:rsid w:val="00EE1670"/>
    <w:rsid w:val="00EE17FC"/>
    <w:rsid w:val="00EE1962"/>
    <w:rsid w:val="00EE1972"/>
    <w:rsid w:val="00EE19D9"/>
    <w:rsid w:val="00EE19E2"/>
    <w:rsid w:val="00EE1A4F"/>
    <w:rsid w:val="00EE1C35"/>
    <w:rsid w:val="00EE1CE3"/>
    <w:rsid w:val="00EE1D9D"/>
    <w:rsid w:val="00EE1F0D"/>
    <w:rsid w:val="00EE23B9"/>
    <w:rsid w:val="00EE267B"/>
    <w:rsid w:val="00EE273A"/>
    <w:rsid w:val="00EE27B3"/>
    <w:rsid w:val="00EE2A33"/>
    <w:rsid w:val="00EE33BD"/>
    <w:rsid w:val="00EE3454"/>
    <w:rsid w:val="00EE3682"/>
    <w:rsid w:val="00EE37C3"/>
    <w:rsid w:val="00EE3BD8"/>
    <w:rsid w:val="00EE3EE6"/>
    <w:rsid w:val="00EE418B"/>
    <w:rsid w:val="00EE4545"/>
    <w:rsid w:val="00EE46FF"/>
    <w:rsid w:val="00EE4E18"/>
    <w:rsid w:val="00EE4F69"/>
    <w:rsid w:val="00EE5133"/>
    <w:rsid w:val="00EE522E"/>
    <w:rsid w:val="00EE533E"/>
    <w:rsid w:val="00EE5538"/>
    <w:rsid w:val="00EE56DA"/>
    <w:rsid w:val="00EE589D"/>
    <w:rsid w:val="00EE5C80"/>
    <w:rsid w:val="00EE6017"/>
    <w:rsid w:val="00EE667C"/>
    <w:rsid w:val="00EE67A3"/>
    <w:rsid w:val="00EE688A"/>
    <w:rsid w:val="00EE6A73"/>
    <w:rsid w:val="00EE6AED"/>
    <w:rsid w:val="00EE6BDB"/>
    <w:rsid w:val="00EE6C44"/>
    <w:rsid w:val="00EE6D54"/>
    <w:rsid w:val="00EE7187"/>
    <w:rsid w:val="00EE739F"/>
    <w:rsid w:val="00EE7484"/>
    <w:rsid w:val="00EE7493"/>
    <w:rsid w:val="00EE7A6A"/>
    <w:rsid w:val="00EE7BC3"/>
    <w:rsid w:val="00EE7D25"/>
    <w:rsid w:val="00EE7F05"/>
    <w:rsid w:val="00EF0001"/>
    <w:rsid w:val="00EF041C"/>
    <w:rsid w:val="00EF046C"/>
    <w:rsid w:val="00EF0570"/>
    <w:rsid w:val="00EF07F0"/>
    <w:rsid w:val="00EF08E8"/>
    <w:rsid w:val="00EF08F7"/>
    <w:rsid w:val="00EF09C3"/>
    <w:rsid w:val="00EF0A23"/>
    <w:rsid w:val="00EF0A33"/>
    <w:rsid w:val="00EF0AB6"/>
    <w:rsid w:val="00EF0B3B"/>
    <w:rsid w:val="00EF0BC4"/>
    <w:rsid w:val="00EF0C07"/>
    <w:rsid w:val="00EF0D0C"/>
    <w:rsid w:val="00EF0FA4"/>
    <w:rsid w:val="00EF105F"/>
    <w:rsid w:val="00EF1063"/>
    <w:rsid w:val="00EF106E"/>
    <w:rsid w:val="00EF1242"/>
    <w:rsid w:val="00EF1273"/>
    <w:rsid w:val="00EF194F"/>
    <w:rsid w:val="00EF19F8"/>
    <w:rsid w:val="00EF1AF9"/>
    <w:rsid w:val="00EF1B0E"/>
    <w:rsid w:val="00EF1D6B"/>
    <w:rsid w:val="00EF1FA1"/>
    <w:rsid w:val="00EF20F0"/>
    <w:rsid w:val="00EF2366"/>
    <w:rsid w:val="00EF24BE"/>
    <w:rsid w:val="00EF2971"/>
    <w:rsid w:val="00EF2A4C"/>
    <w:rsid w:val="00EF2A59"/>
    <w:rsid w:val="00EF2B37"/>
    <w:rsid w:val="00EF2B41"/>
    <w:rsid w:val="00EF3071"/>
    <w:rsid w:val="00EF30E9"/>
    <w:rsid w:val="00EF31B8"/>
    <w:rsid w:val="00EF324C"/>
    <w:rsid w:val="00EF33E3"/>
    <w:rsid w:val="00EF357E"/>
    <w:rsid w:val="00EF3646"/>
    <w:rsid w:val="00EF3664"/>
    <w:rsid w:val="00EF3684"/>
    <w:rsid w:val="00EF36F2"/>
    <w:rsid w:val="00EF379B"/>
    <w:rsid w:val="00EF37DC"/>
    <w:rsid w:val="00EF3856"/>
    <w:rsid w:val="00EF3B8A"/>
    <w:rsid w:val="00EF3D5B"/>
    <w:rsid w:val="00EF415B"/>
    <w:rsid w:val="00EF437F"/>
    <w:rsid w:val="00EF443B"/>
    <w:rsid w:val="00EF45D6"/>
    <w:rsid w:val="00EF4DA2"/>
    <w:rsid w:val="00EF4F58"/>
    <w:rsid w:val="00EF4F64"/>
    <w:rsid w:val="00EF5369"/>
    <w:rsid w:val="00EF539A"/>
    <w:rsid w:val="00EF53EB"/>
    <w:rsid w:val="00EF5572"/>
    <w:rsid w:val="00EF5666"/>
    <w:rsid w:val="00EF56C2"/>
    <w:rsid w:val="00EF572E"/>
    <w:rsid w:val="00EF5928"/>
    <w:rsid w:val="00EF59AA"/>
    <w:rsid w:val="00EF5A59"/>
    <w:rsid w:val="00EF5FDB"/>
    <w:rsid w:val="00EF60B4"/>
    <w:rsid w:val="00EF650B"/>
    <w:rsid w:val="00EF6793"/>
    <w:rsid w:val="00EF6845"/>
    <w:rsid w:val="00EF6AE4"/>
    <w:rsid w:val="00EF6B19"/>
    <w:rsid w:val="00EF6D0B"/>
    <w:rsid w:val="00EF6D25"/>
    <w:rsid w:val="00EF6DF3"/>
    <w:rsid w:val="00EF71B9"/>
    <w:rsid w:val="00EF72B8"/>
    <w:rsid w:val="00EF74E2"/>
    <w:rsid w:val="00EF752F"/>
    <w:rsid w:val="00EF7816"/>
    <w:rsid w:val="00EF7A9B"/>
    <w:rsid w:val="00EF7CC5"/>
    <w:rsid w:val="00F00118"/>
    <w:rsid w:val="00F00235"/>
    <w:rsid w:val="00F003D1"/>
    <w:rsid w:val="00F00743"/>
    <w:rsid w:val="00F00BF9"/>
    <w:rsid w:val="00F01279"/>
    <w:rsid w:val="00F01336"/>
    <w:rsid w:val="00F015EE"/>
    <w:rsid w:val="00F016D2"/>
    <w:rsid w:val="00F01735"/>
    <w:rsid w:val="00F017C7"/>
    <w:rsid w:val="00F018C1"/>
    <w:rsid w:val="00F01914"/>
    <w:rsid w:val="00F01F89"/>
    <w:rsid w:val="00F02083"/>
    <w:rsid w:val="00F02167"/>
    <w:rsid w:val="00F021EC"/>
    <w:rsid w:val="00F0227A"/>
    <w:rsid w:val="00F024A2"/>
    <w:rsid w:val="00F0256C"/>
    <w:rsid w:val="00F02644"/>
    <w:rsid w:val="00F02724"/>
    <w:rsid w:val="00F0294F"/>
    <w:rsid w:val="00F029B0"/>
    <w:rsid w:val="00F02A0D"/>
    <w:rsid w:val="00F02AD5"/>
    <w:rsid w:val="00F02AF6"/>
    <w:rsid w:val="00F02B98"/>
    <w:rsid w:val="00F02E8F"/>
    <w:rsid w:val="00F03252"/>
    <w:rsid w:val="00F0326B"/>
    <w:rsid w:val="00F0349F"/>
    <w:rsid w:val="00F0354E"/>
    <w:rsid w:val="00F035FD"/>
    <w:rsid w:val="00F037F1"/>
    <w:rsid w:val="00F03B07"/>
    <w:rsid w:val="00F04202"/>
    <w:rsid w:val="00F04707"/>
    <w:rsid w:val="00F0479C"/>
    <w:rsid w:val="00F049A2"/>
    <w:rsid w:val="00F04DF1"/>
    <w:rsid w:val="00F04F2B"/>
    <w:rsid w:val="00F04F91"/>
    <w:rsid w:val="00F052C0"/>
    <w:rsid w:val="00F055AB"/>
    <w:rsid w:val="00F055E2"/>
    <w:rsid w:val="00F058BE"/>
    <w:rsid w:val="00F05949"/>
    <w:rsid w:val="00F05BA4"/>
    <w:rsid w:val="00F05CC2"/>
    <w:rsid w:val="00F061C5"/>
    <w:rsid w:val="00F062D1"/>
    <w:rsid w:val="00F0633D"/>
    <w:rsid w:val="00F06495"/>
    <w:rsid w:val="00F06749"/>
    <w:rsid w:val="00F068AB"/>
    <w:rsid w:val="00F06ACA"/>
    <w:rsid w:val="00F06AE3"/>
    <w:rsid w:val="00F06C8C"/>
    <w:rsid w:val="00F06E05"/>
    <w:rsid w:val="00F06EBB"/>
    <w:rsid w:val="00F06F4B"/>
    <w:rsid w:val="00F06F96"/>
    <w:rsid w:val="00F070BF"/>
    <w:rsid w:val="00F070E4"/>
    <w:rsid w:val="00F07120"/>
    <w:rsid w:val="00F07255"/>
    <w:rsid w:val="00F07303"/>
    <w:rsid w:val="00F074FA"/>
    <w:rsid w:val="00F07834"/>
    <w:rsid w:val="00F07E79"/>
    <w:rsid w:val="00F07FC2"/>
    <w:rsid w:val="00F1009D"/>
    <w:rsid w:val="00F106B3"/>
    <w:rsid w:val="00F10BEA"/>
    <w:rsid w:val="00F10C22"/>
    <w:rsid w:val="00F10DE3"/>
    <w:rsid w:val="00F10F69"/>
    <w:rsid w:val="00F10FC0"/>
    <w:rsid w:val="00F111A4"/>
    <w:rsid w:val="00F11315"/>
    <w:rsid w:val="00F1132E"/>
    <w:rsid w:val="00F11BF4"/>
    <w:rsid w:val="00F11E1C"/>
    <w:rsid w:val="00F120C2"/>
    <w:rsid w:val="00F12377"/>
    <w:rsid w:val="00F123D2"/>
    <w:rsid w:val="00F1252A"/>
    <w:rsid w:val="00F12626"/>
    <w:rsid w:val="00F12A63"/>
    <w:rsid w:val="00F12B0F"/>
    <w:rsid w:val="00F12C72"/>
    <w:rsid w:val="00F12DAA"/>
    <w:rsid w:val="00F13270"/>
    <w:rsid w:val="00F13956"/>
    <w:rsid w:val="00F13ED5"/>
    <w:rsid w:val="00F13FF1"/>
    <w:rsid w:val="00F1425C"/>
    <w:rsid w:val="00F1446D"/>
    <w:rsid w:val="00F14539"/>
    <w:rsid w:val="00F1459C"/>
    <w:rsid w:val="00F146BA"/>
    <w:rsid w:val="00F147CC"/>
    <w:rsid w:val="00F148B0"/>
    <w:rsid w:val="00F15056"/>
    <w:rsid w:val="00F1537E"/>
    <w:rsid w:val="00F1592C"/>
    <w:rsid w:val="00F15959"/>
    <w:rsid w:val="00F15A7E"/>
    <w:rsid w:val="00F15A83"/>
    <w:rsid w:val="00F15B73"/>
    <w:rsid w:val="00F15BD4"/>
    <w:rsid w:val="00F15C75"/>
    <w:rsid w:val="00F15E38"/>
    <w:rsid w:val="00F15E40"/>
    <w:rsid w:val="00F15FF0"/>
    <w:rsid w:val="00F16000"/>
    <w:rsid w:val="00F161CE"/>
    <w:rsid w:val="00F16794"/>
    <w:rsid w:val="00F1690F"/>
    <w:rsid w:val="00F169B5"/>
    <w:rsid w:val="00F169FB"/>
    <w:rsid w:val="00F16C2F"/>
    <w:rsid w:val="00F16DC2"/>
    <w:rsid w:val="00F16E73"/>
    <w:rsid w:val="00F16E90"/>
    <w:rsid w:val="00F16F10"/>
    <w:rsid w:val="00F171E7"/>
    <w:rsid w:val="00F17248"/>
    <w:rsid w:val="00F172D6"/>
    <w:rsid w:val="00F17415"/>
    <w:rsid w:val="00F175B6"/>
    <w:rsid w:val="00F175F1"/>
    <w:rsid w:val="00F17610"/>
    <w:rsid w:val="00F17724"/>
    <w:rsid w:val="00F17A1A"/>
    <w:rsid w:val="00F17A76"/>
    <w:rsid w:val="00F17B00"/>
    <w:rsid w:val="00F17B2E"/>
    <w:rsid w:val="00F17CE1"/>
    <w:rsid w:val="00F17E09"/>
    <w:rsid w:val="00F20239"/>
    <w:rsid w:val="00F20348"/>
    <w:rsid w:val="00F20425"/>
    <w:rsid w:val="00F2061F"/>
    <w:rsid w:val="00F20709"/>
    <w:rsid w:val="00F209D7"/>
    <w:rsid w:val="00F20A3E"/>
    <w:rsid w:val="00F20AD8"/>
    <w:rsid w:val="00F20C37"/>
    <w:rsid w:val="00F20E4F"/>
    <w:rsid w:val="00F20FF7"/>
    <w:rsid w:val="00F21308"/>
    <w:rsid w:val="00F215F1"/>
    <w:rsid w:val="00F21775"/>
    <w:rsid w:val="00F2193B"/>
    <w:rsid w:val="00F21A0C"/>
    <w:rsid w:val="00F21AC4"/>
    <w:rsid w:val="00F21B62"/>
    <w:rsid w:val="00F21B71"/>
    <w:rsid w:val="00F21CD6"/>
    <w:rsid w:val="00F223E4"/>
    <w:rsid w:val="00F22A3A"/>
    <w:rsid w:val="00F22B87"/>
    <w:rsid w:val="00F22CD0"/>
    <w:rsid w:val="00F22E35"/>
    <w:rsid w:val="00F22E47"/>
    <w:rsid w:val="00F22F1A"/>
    <w:rsid w:val="00F22F9B"/>
    <w:rsid w:val="00F22FD6"/>
    <w:rsid w:val="00F2309E"/>
    <w:rsid w:val="00F2316E"/>
    <w:rsid w:val="00F231A8"/>
    <w:rsid w:val="00F231BA"/>
    <w:rsid w:val="00F232EC"/>
    <w:rsid w:val="00F233AF"/>
    <w:rsid w:val="00F23661"/>
    <w:rsid w:val="00F23B51"/>
    <w:rsid w:val="00F23BC3"/>
    <w:rsid w:val="00F23CE1"/>
    <w:rsid w:val="00F23D5A"/>
    <w:rsid w:val="00F24059"/>
    <w:rsid w:val="00F241B4"/>
    <w:rsid w:val="00F2432D"/>
    <w:rsid w:val="00F24446"/>
    <w:rsid w:val="00F24690"/>
    <w:rsid w:val="00F24767"/>
    <w:rsid w:val="00F2488D"/>
    <w:rsid w:val="00F24AF9"/>
    <w:rsid w:val="00F24B08"/>
    <w:rsid w:val="00F24BE7"/>
    <w:rsid w:val="00F24DEE"/>
    <w:rsid w:val="00F24DF6"/>
    <w:rsid w:val="00F24E20"/>
    <w:rsid w:val="00F24F79"/>
    <w:rsid w:val="00F2503B"/>
    <w:rsid w:val="00F25525"/>
    <w:rsid w:val="00F255E3"/>
    <w:rsid w:val="00F257B3"/>
    <w:rsid w:val="00F25CAD"/>
    <w:rsid w:val="00F260B0"/>
    <w:rsid w:val="00F2619D"/>
    <w:rsid w:val="00F26314"/>
    <w:rsid w:val="00F26475"/>
    <w:rsid w:val="00F26BC0"/>
    <w:rsid w:val="00F26FE3"/>
    <w:rsid w:val="00F27033"/>
    <w:rsid w:val="00F27225"/>
    <w:rsid w:val="00F27353"/>
    <w:rsid w:val="00F274EE"/>
    <w:rsid w:val="00F275B6"/>
    <w:rsid w:val="00F278A7"/>
    <w:rsid w:val="00F27B64"/>
    <w:rsid w:val="00F27BF1"/>
    <w:rsid w:val="00F27E2B"/>
    <w:rsid w:val="00F27F5C"/>
    <w:rsid w:val="00F303F0"/>
    <w:rsid w:val="00F305AB"/>
    <w:rsid w:val="00F305F2"/>
    <w:rsid w:val="00F306BC"/>
    <w:rsid w:val="00F30856"/>
    <w:rsid w:val="00F3093F"/>
    <w:rsid w:val="00F30966"/>
    <w:rsid w:val="00F309A5"/>
    <w:rsid w:val="00F30CA9"/>
    <w:rsid w:val="00F30CB0"/>
    <w:rsid w:val="00F30CFB"/>
    <w:rsid w:val="00F30E31"/>
    <w:rsid w:val="00F30E43"/>
    <w:rsid w:val="00F311AB"/>
    <w:rsid w:val="00F313F4"/>
    <w:rsid w:val="00F31472"/>
    <w:rsid w:val="00F3154C"/>
    <w:rsid w:val="00F3170E"/>
    <w:rsid w:val="00F31ADC"/>
    <w:rsid w:val="00F31EAA"/>
    <w:rsid w:val="00F3247E"/>
    <w:rsid w:val="00F3264F"/>
    <w:rsid w:val="00F3265D"/>
    <w:rsid w:val="00F32698"/>
    <w:rsid w:val="00F32846"/>
    <w:rsid w:val="00F3297E"/>
    <w:rsid w:val="00F32993"/>
    <w:rsid w:val="00F32A72"/>
    <w:rsid w:val="00F32C5E"/>
    <w:rsid w:val="00F32C6E"/>
    <w:rsid w:val="00F330A2"/>
    <w:rsid w:val="00F332BF"/>
    <w:rsid w:val="00F3330A"/>
    <w:rsid w:val="00F33352"/>
    <w:rsid w:val="00F3359A"/>
    <w:rsid w:val="00F339CF"/>
    <w:rsid w:val="00F33CAF"/>
    <w:rsid w:val="00F33D38"/>
    <w:rsid w:val="00F33D61"/>
    <w:rsid w:val="00F33E5D"/>
    <w:rsid w:val="00F33FF1"/>
    <w:rsid w:val="00F34002"/>
    <w:rsid w:val="00F3407B"/>
    <w:rsid w:val="00F34627"/>
    <w:rsid w:val="00F346C2"/>
    <w:rsid w:val="00F34802"/>
    <w:rsid w:val="00F34924"/>
    <w:rsid w:val="00F349FA"/>
    <w:rsid w:val="00F34BE9"/>
    <w:rsid w:val="00F34C42"/>
    <w:rsid w:val="00F34D77"/>
    <w:rsid w:val="00F34E49"/>
    <w:rsid w:val="00F34EF0"/>
    <w:rsid w:val="00F3508B"/>
    <w:rsid w:val="00F3589E"/>
    <w:rsid w:val="00F358EE"/>
    <w:rsid w:val="00F36671"/>
    <w:rsid w:val="00F36D9D"/>
    <w:rsid w:val="00F36E46"/>
    <w:rsid w:val="00F372E7"/>
    <w:rsid w:val="00F375D2"/>
    <w:rsid w:val="00F37604"/>
    <w:rsid w:val="00F377C3"/>
    <w:rsid w:val="00F37A46"/>
    <w:rsid w:val="00F37B73"/>
    <w:rsid w:val="00F37B76"/>
    <w:rsid w:val="00F37BA1"/>
    <w:rsid w:val="00F40075"/>
    <w:rsid w:val="00F404CD"/>
    <w:rsid w:val="00F4059C"/>
    <w:rsid w:val="00F406CA"/>
    <w:rsid w:val="00F408D8"/>
    <w:rsid w:val="00F40A77"/>
    <w:rsid w:val="00F40DB9"/>
    <w:rsid w:val="00F40FC1"/>
    <w:rsid w:val="00F417B3"/>
    <w:rsid w:val="00F417FA"/>
    <w:rsid w:val="00F41A83"/>
    <w:rsid w:val="00F41AEC"/>
    <w:rsid w:val="00F41CFA"/>
    <w:rsid w:val="00F4209B"/>
    <w:rsid w:val="00F420EA"/>
    <w:rsid w:val="00F423BE"/>
    <w:rsid w:val="00F42413"/>
    <w:rsid w:val="00F4243F"/>
    <w:rsid w:val="00F42890"/>
    <w:rsid w:val="00F429CE"/>
    <w:rsid w:val="00F42C53"/>
    <w:rsid w:val="00F42CE9"/>
    <w:rsid w:val="00F43793"/>
    <w:rsid w:val="00F43828"/>
    <w:rsid w:val="00F43B1B"/>
    <w:rsid w:val="00F43BC3"/>
    <w:rsid w:val="00F43DA7"/>
    <w:rsid w:val="00F43DDD"/>
    <w:rsid w:val="00F43ED5"/>
    <w:rsid w:val="00F43FD8"/>
    <w:rsid w:val="00F44150"/>
    <w:rsid w:val="00F44424"/>
    <w:rsid w:val="00F44585"/>
    <w:rsid w:val="00F4458C"/>
    <w:rsid w:val="00F44609"/>
    <w:rsid w:val="00F44B20"/>
    <w:rsid w:val="00F45128"/>
    <w:rsid w:val="00F45353"/>
    <w:rsid w:val="00F45359"/>
    <w:rsid w:val="00F45711"/>
    <w:rsid w:val="00F457BC"/>
    <w:rsid w:val="00F458F2"/>
    <w:rsid w:val="00F45A02"/>
    <w:rsid w:val="00F45AA8"/>
    <w:rsid w:val="00F45B7B"/>
    <w:rsid w:val="00F45D13"/>
    <w:rsid w:val="00F45D4D"/>
    <w:rsid w:val="00F46272"/>
    <w:rsid w:val="00F464BA"/>
    <w:rsid w:val="00F4666D"/>
    <w:rsid w:val="00F4695B"/>
    <w:rsid w:val="00F46BC0"/>
    <w:rsid w:val="00F46D4D"/>
    <w:rsid w:val="00F46D9D"/>
    <w:rsid w:val="00F46E9B"/>
    <w:rsid w:val="00F46F56"/>
    <w:rsid w:val="00F4719E"/>
    <w:rsid w:val="00F471B2"/>
    <w:rsid w:val="00F471BA"/>
    <w:rsid w:val="00F47473"/>
    <w:rsid w:val="00F47A25"/>
    <w:rsid w:val="00F47A98"/>
    <w:rsid w:val="00F47B1C"/>
    <w:rsid w:val="00F47BC7"/>
    <w:rsid w:val="00F47D1B"/>
    <w:rsid w:val="00F47E1F"/>
    <w:rsid w:val="00F47FB6"/>
    <w:rsid w:val="00F500CF"/>
    <w:rsid w:val="00F500EC"/>
    <w:rsid w:val="00F50157"/>
    <w:rsid w:val="00F501E6"/>
    <w:rsid w:val="00F50244"/>
    <w:rsid w:val="00F505AB"/>
    <w:rsid w:val="00F50652"/>
    <w:rsid w:val="00F50859"/>
    <w:rsid w:val="00F50F80"/>
    <w:rsid w:val="00F5103D"/>
    <w:rsid w:val="00F51041"/>
    <w:rsid w:val="00F51059"/>
    <w:rsid w:val="00F51089"/>
    <w:rsid w:val="00F5131D"/>
    <w:rsid w:val="00F514A9"/>
    <w:rsid w:val="00F51601"/>
    <w:rsid w:val="00F51B28"/>
    <w:rsid w:val="00F51BD7"/>
    <w:rsid w:val="00F51C12"/>
    <w:rsid w:val="00F51C8B"/>
    <w:rsid w:val="00F51D5D"/>
    <w:rsid w:val="00F52609"/>
    <w:rsid w:val="00F52B07"/>
    <w:rsid w:val="00F52C2B"/>
    <w:rsid w:val="00F52E7C"/>
    <w:rsid w:val="00F53049"/>
    <w:rsid w:val="00F53485"/>
    <w:rsid w:val="00F5387C"/>
    <w:rsid w:val="00F538BC"/>
    <w:rsid w:val="00F53B08"/>
    <w:rsid w:val="00F53DAC"/>
    <w:rsid w:val="00F53DD5"/>
    <w:rsid w:val="00F53DFA"/>
    <w:rsid w:val="00F54163"/>
    <w:rsid w:val="00F5460F"/>
    <w:rsid w:val="00F54653"/>
    <w:rsid w:val="00F546BA"/>
    <w:rsid w:val="00F548CC"/>
    <w:rsid w:val="00F54911"/>
    <w:rsid w:val="00F549C6"/>
    <w:rsid w:val="00F54F8C"/>
    <w:rsid w:val="00F55367"/>
    <w:rsid w:val="00F5587F"/>
    <w:rsid w:val="00F558AC"/>
    <w:rsid w:val="00F558EF"/>
    <w:rsid w:val="00F55A06"/>
    <w:rsid w:val="00F55A68"/>
    <w:rsid w:val="00F55CF8"/>
    <w:rsid w:val="00F55FCE"/>
    <w:rsid w:val="00F5608A"/>
    <w:rsid w:val="00F5623D"/>
    <w:rsid w:val="00F56655"/>
    <w:rsid w:val="00F5684E"/>
    <w:rsid w:val="00F56B94"/>
    <w:rsid w:val="00F56D35"/>
    <w:rsid w:val="00F56F3A"/>
    <w:rsid w:val="00F56F9D"/>
    <w:rsid w:val="00F57077"/>
    <w:rsid w:val="00F575A7"/>
    <w:rsid w:val="00F57686"/>
    <w:rsid w:val="00F5768A"/>
    <w:rsid w:val="00F576A4"/>
    <w:rsid w:val="00F576FB"/>
    <w:rsid w:val="00F57D02"/>
    <w:rsid w:val="00F57D89"/>
    <w:rsid w:val="00F57DD4"/>
    <w:rsid w:val="00F57E89"/>
    <w:rsid w:val="00F57EF6"/>
    <w:rsid w:val="00F57F9D"/>
    <w:rsid w:val="00F57FFE"/>
    <w:rsid w:val="00F60044"/>
    <w:rsid w:val="00F6017A"/>
    <w:rsid w:val="00F601BA"/>
    <w:rsid w:val="00F603FB"/>
    <w:rsid w:val="00F60542"/>
    <w:rsid w:val="00F605E1"/>
    <w:rsid w:val="00F607EF"/>
    <w:rsid w:val="00F609E0"/>
    <w:rsid w:val="00F60A12"/>
    <w:rsid w:val="00F60AB2"/>
    <w:rsid w:val="00F60B2B"/>
    <w:rsid w:val="00F60D05"/>
    <w:rsid w:val="00F60DB3"/>
    <w:rsid w:val="00F60E7D"/>
    <w:rsid w:val="00F60EA8"/>
    <w:rsid w:val="00F60F2D"/>
    <w:rsid w:val="00F60F5B"/>
    <w:rsid w:val="00F6100A"/>
    <w:rsid w:val="00F61155"/>
    <w:rsid w:val="00F619EF"/>
    <w:rsid w:val="00F61B60"/>
    <w:rsid w:val="00F61FDF"/>
    <w:rsid w:val="00F620C1"/>
    <w:rsid w:val="00F621EF"/>
    <w:rsid w:val="00F622FF"/>
    <w:rsid w:val="00F62345"/>
    <w:rsid w:val="00F6248F"/>
    <w:rsid w:val="00F62BDE"/>
    <w:rsid w:val="00F62BF4"/>
    <w:rsid w:val="00F62CA8"/>
    <w:rsid w:val="00F62CCC"/>
    <w:rsid w:val="00F62D50"/>
    <w:rsid w:val="00F62D6A"/>
    <w:rsid w:val="00F63192"/>
    <w:rsid w:val="00F6354A"/>
    <w:rsid w:val="00F636D4"/>
    <w:rsid w:val="00F63737"/>
    <w:rsid w:val="00F63B8B"/>
    <w:rsid w:val="00F63FFD"/>
    <w:rsid w:val="00F641E3"/>
    <w:rsid w:val="00F642E0"/>
    <w:rsid w:val="00F64529"/>
    <w:rsid w:val="00F64699"/>
    <w:rsid w:val="00F64714"/>
    <w:rsid w:val="00F647EA"/>
    <w:rsid w:val="00F64B95"/>
    <w:rsid w:val="00F64B9A"/>
    <w:rsid w:val="00F64C82"/>
    <w:rsid w:val="00F64D02"/>
    <w:rsid w:val="00F64D32"/>
    <w:rsid w:val="00F64EAC"/>
    <w:rsid w:val="00F64F4A"/>
    <w:rsid w:val="00F657FF"/>
    <w:rsid w:val="00F65AD9"/>
    <w:rsid w:val="00F65B2D"/>
    <w:rsid w:val="00F65CE6"/>
    <w:rsid w:val="00F65FFD"/>
    <w:rsid w:val="00F6615A"/>
    <w:rsid w:val="00F661AA"/>
    <w:rsid w:val="00F662A4"/>
    <w:rsid w:val="00F66445"/>
    <w:rsid w:val="00F666AA"/>
    <w:rsid w:val="00F669FB"/>
    <w:rsid w:val="00F669FE"/>
    <w:rsid w:val="00F66E36"/>
    <w:rsid w:val="00F66F32"/>
    <w:rsid w:val="00F67080"/>
    <w:rsid w:val="00F67225"/>
    <w:rsid w:val="00F6722F"/>
    <w:rsid w:val="00F678EA"/>
    <w:rsid w:val="00F67904"/>
    <w:rsid w:val="00F67B7C"/>
    <w:rsid w:val="00F67FFA"/>
    <w:rsid w:val="00F701A8"/>
    <w:rsid w:val="00F701A9"/>
    <w:rsid w:val="00F7030B"/>
    <w:rsid w:val="00F703C8"/>
    <w:rsid w:val="00F703DD"/>
    <w:rsid w:val="00F70427"/>
    <w:rsid w:val="00F70493"/>
    <w:rsid w:val="00F704E1"/>
    <w:rsid w:val="00F706D7"/>
    <w:rsid w:val="00F7073E"/>
    <w:rsid w:val="00F70A29"/>
    <w:rsid w:val="00F70DAE"/>
    <w:rsid w:val="00F71178"/>
    <w:rsid w:val="00F71276"/>
    <w:rsid w:val="00F712C3"/>
    <w:rsid w:val="00F714CB"/>
    <w:rsid w:val="00F716D4"/>
    <w:rsid w:val="00F7181C"/>
    <w:rsid w:val="00F71B47"/>
    <w:rsid w:val="00F71BE3"/>
    <w:rsid w:val="00F71FCC"/>
    <w:rsid w:val="00F724F0"/>
    <w:rsid w:val="00F72592"/>
    <w:rsid w:val="00F72831"/>
    <w:rsid w:val="00F72979"/>
    <w:rsid w:val="00F72FE1"/>
    <w:rsid w:val="00F73039"/>
    <w:rsid w:val="00F7329C"/>
    <w:rsid w:val="00F73646"/>
    <w:rsid w:val="00F73AC3"/>
    <w:rsid w:val="00F73C36"/>
    <w:rsid w:val="00F73D80"/>
    <w:rsid w:val="00F73EB4"/>
    <w:rsid w:val="00F73ED9"/>
    <w:rsid w:val="00F73F06"/>
    <w:rsid w:val="00F73F98"/>
    <w:rsid w:val="00F7407B"/>
    <w:rsid w:val="00F74319"/>
    <w:rsid w:val="00F74438"/>
    <w:rsid w:val="00F7462A"/>
    <w:rsid w:val="00F74649"/>
    <w:rsid w:val="00F74796"/>
    <w:rsid w:val="00F74C6C"/>
    <w:rsid w:val="00F750EF"/>
    <w:rsid w:val="00F751CA"/>
    <w:rsid w:val="00F7546E"/>
    <w:rsid w:val="00F75B0C"/>
    <w:rsid w:val="00F75BA9"/>
    <w:rsid w:val="00F75CB7"/>
    <w:rsid w:val="00F75DB2"/>
    <w:rsid w:val="00F75DCA"/>
    <w:rsid w:val="00F7638F"/>
    <w:rsid w:val="00F766C5"/>
    <w:rsid w:val="00F76C4D"/>
    <w:rsid w:val="00F76E0D"/>
    <w:rsid w:val="00F76EA1"/>
    <w:rsid w:val="00F770A6"/>
    <w:rsid w:val="00F77284"/>
    <w:rsid w:val="00F77292"/>
    <w:rsid w:val="00F77760"/>
    <w:rsid w:val="00F77889"/>
    <w:rsid w:val="00F77967"/>
    <w:rsid w:val="00F77AB5"/>
    <w:rsid w:val="00F77D0B"/>
    <w:rsid w:val="00F77D4C"/>
    <w:rsid w:val="00F80570"/>
    <w:rsid w:val="00F806CD"/>
    <w:rsid w:val="00F80967"/>
    <w:rsid w:val="00F80FC4"/>
    <w:rsid w:val="00F810F1"/>
    <w:rsid w:val="00F812A5"/>
    <w:rsid w:val="00F813CE"/>
    <w:rsid w:val="00F81462"/>
    <w:rsid w:val="00F814DE"/>
    <w:rsid w:val="00F816E5"/>
    <w:rsid w:val="00F81983"/>
    <w:rsid w:val="00F81994"/>
    <w:rsid w:val="00F819BA"/>
    <w:rsid w:val="00F81AA7"/>
    <w:rsid w:val="00F81BE8"/>
    <w:rsid w:val="00F81CDC"/>
    <w:rsid w:val="00F81D2D"/>
    <w:rsid w:val="00F8205F"/>
    <w:rsid w:val="00F82149"/>
    <w:rsid w:val="00F82468"/>
    <w:rsid w:val="00F8273A"/>
    <w:rsid w:val="00F8278D"/>
    <w:rsid w:val="00F827D0"/>
    <w:rsid w:val="00F82833"/>
    <w:rsid w:val="00F82E58"/>
    <w:rsid w:val="00F82E78"/>
    <w:rsid w:val="00F82ED8"/>
    <w:rsid w:val="00F82F56"/>
    <w:rsid w:val="00F83081"/>
    <w:rsid w:val="00F832E3"/>
    <w:rsid w:val="00F83344"/>
    <w:rsid w:val="00F83835"/>
    <w:rsid w:val="00F83B66"/>
    <w:rsid w:val="00F83C10"/>
    <w:rsid w:val="00F83D68"/>
    <w:rsid w:val="00F83F74"/>
    <w:rsid w:val="00F8402A"/>
    <w:rsid w:val="00F8402E"/>
    <w:rsid w:val="00F8419F"/>
    <w:rsid w:val="00F84242"/>
    <w:rsid w:val="00F843CB"/>
    <w:rsid w:val="00F846BF"/>
    <w:rsid w:val="00F84823"/>
    <w:rsid w:val="00F848C2"/>
    <w:rsid w:val="00F8499C"/>
    <w:rsid w:val="00F84A34"/>
    <w:rsid w:val="00F84F10"/>
    <w:rsid w:val="00F8511D"/>
    <w:rsid w:val="00F8594A"/>
    <w:rsid w:val="00F8597F"/>
    <w:rsid w:val="00F85A72"/>
    <w:rsid w:val="00F85ADF"/>
    <w:rsid w:val="00F86158"/>
    <w:rsid w:val="00F8650D"/>
    <w:rsid w:val="00F86543"/>
    <w:rsid w:val="00F8656E"/>
    <w:rsid w:val="00F86825"/>
    <w:rsid w:val="00F86AF3"/>
    <w:rsid w:val="00F86CF7"/>
    <w:rsid w:val="00F8711C"/>
    <w:rsid w:val="00F871E1"/>
    <w:rsid w:val="00F8727D"/>
    <w:rsid w:val="00F87523"/>
    <w:rsid w:val="00F8758B"/>
    <w:rsid w:val="00F877D2"/>
    <w:rsid w:val="00F87AED"/>
    <w:rsid w:val="00F87B8A"/>
    <w:rsid w:val="00F87CC5"/>
    <w:rsid w:val="00F87CD3"/>
    <w:rsid w:val="00F87D51"/>
    <w:rsid w:val="00F87F7E"/>
    <w:rsid w:val="00F87FED"/>
    <w:rsid w:val="00F90079"/>
    <w:rsid w:val="00F9024E"/>
    <w:rsid w:val="00F9063A"/>
    <w:rsid w:val="00F906AD"/>
    <w:rsid w:val="00F9090B"/>
    <w:rsid w:val="00F9099E"/>
    <w:rsid w:val="00F90AA3"/>
    <w:rsid w:val="00F90E94"/>
    <w:rsid w:val="00F911D7"/>
    <w:rsid w:val="00F9121F"/>
    <w:rsid w:val="00F9122F"/>
    <w:rsid w:val="00F91446"/>
    <w:rsid w:val="00F91482"/>
    <w:rsid w:val="00F9158A"/>
    <w:rsid w:val="00F9170C"/>
    <w:rsid w:val="00F917EB"/>
    <w:rsid w:val="00F91847"/>
    <w:rsid w:val="00F920A6"/>
    <w:rsid w:val="00F9212F"/>
    <w:rsid w:val="00F92246"/>
    <w:rsid w:val="00F92265"/>
    <w:rsid w:val="00F92389"/>
    <w:rsid w:val="00F929FA"/>
    <w:rsid w:val="00F92AA4"/>
    <w:rsid w:val="00F92DE6"/>
    <w:rsid w:val="00F93078"/>
    <w:rsid w:val="00F9318A"/>
    <w:rsid w:val="00F93402"/>
    <w:rsid w:val="00F93440"/>
    <w:rsid w:val="00F93731"/>
    <w:rsid w:val="00F93813"/>
    <w:rsid w:val="00F9397C"/>
    <w:rsid w:val="00F93B90"/>
    <w:rsid w:val="00F93BC7"/>
    <w:rsid w:val="00F93C99"/>
    <w:rsid w:val="00F93D55"/>
    <w:rsid w:val="00F93ED3"/>
    <w:rsid w:val="00F93F0B"/>
    <w:rsid w:val="00F940C0"/>
    <w:rsid w:val="00F94228"/>
    <w:rsid w:val="00F94351"/>
    <w:rsid w:val="00F946D2"/>
    <w:rsid w:val="00F946E0"/>
    <w:rsid w:val="00F94C47"/>
    <w:rsid w:val="00F94E81"/>
    <w:rsid w:val="00F94EA9"/>
    <w:rsid w:val="00F94F6A"/>
    <w:rsid w:val="00F95056"/>
    <w:rsid w:val="00F951EC"/>
    <w:rsid w:val="00F9520A"/>
    <w:rsid w:val="00F95506"/>
    <w:rsid w:val="00F95921"/>
    <w:rsid w:val="00F9596E"/>
    <w:rsid w:val="00F959EE"/>
    <w:rsid w:val="00F95D79"/>
    <w:rsid w:val="00F96129"/>
    <w:rsid w:val="00F9649A"/>
    <w:rsid w:val="00F96592"/>
    <w:rsid w:val="00F966B6"/>
    <w:rsid w:val="00F966E3"/>
    <w:rsid w:val="00F96902"/>
    <w:rsid w:val="00F96A62"/>
    <w:rsid w:val="00F96B0F"/>
    <w:rsid w:val="00F96BA2"/>
    <w:rsid w:val="00F96BBF"/>
    <w:rsid w:val="00F96CE0"/>
    <w:rsid w:val="00F96D23"/>
    <w:rsid w:val="00F9700B"/>
    <w:rsid w:val="00F97141"/>
    <w:rsid w:val="00F973AB"/>
    <w:rsid w:val="00F9747F"/>
    <w:rsid w:val="00F97815"/>
    <w:rsid w:val="00F978F8"/>
    <w:rsid w:val="00F97914"/>
    <w:rsid w:val="00F97A02"/>
    <w:rsid w:val="00F97B27"/>
    <w:rsid w:val="00F97B78"/>
    <w:rsid w:val="00F97C9B"/>
    <w:rsid w:val="00FA0121"/>
    <w:rsid w:val="00FA015A"/>
    <w:rsid w:val="00FA062D"/>
    <w:rsid w:val="00FA06DF"/>
    <w:rsid w:val="00FA0783"/>
    <w:rsid w:val="00FA0888"/>
    <w:rsid w:val="00FA0926"/>
    <w:rsid w:val="00FA0990"/>
    <w:rsid w:val="00FA0A68"/>
    <w:rsid w:val="00FA0AF5"/>
    <w:rsid w:val="00FA0C10"/>
    <w:rsid w:val="00FA0D86"/>
    <w:rsid w:val="00FA0F09"/>
    <w:rsid w:val="00FA1ADF"/>
    <w:rsid w:val="00FA1C08"/>
    <w:rsid w:val="00FA24A6"/>
    <w:rsid w:val="00FA256A"/>
    <w:rsid w:val="00FA260E"/>
    <w:rsid w:val="00FA2932"/>
    <w:rsid w:val="00FA2C1D"/>
    <w:rsid w:val="00FA2D18"/>
    <w:rsid w:val="00FA2D19"/>
    <w:rsid w:val="00FA2DF4"/>
    <w:rsid w:val="00FA2ECF"/>
    <w:rsid w:val="00FA2F18"/>
    <w:rsid w:val="00FA311F"/>
    <w:rsid w:val="00FA3323"/>
    <w:rsid w:val="00FA33E9"/>
    <w:rsid w:val="00FA3424"/>
    <w:rsid w:val="00FA3711"/>
    <w:rsid w:val="00FA3792"/>
    <w:rsid w:val="00FA4199"/>
    <w:rsid w:val="00FA44E4"/>
    <w:rsid w:val="00FA47B4"/>
    <w:rsid w:val="00FA47D9"/>
    <w:rsid w:val="00FA488B"/>
    <w:rsid w:val="00FA4A40"/>
    <w:rsid w:val="00FA4DDB"/>
    <w:rsid w:val="00FA4F21"/>
    <w:rsid w:val="00FA53D9"/>
    <w:rsid w:val="00FA554A"/>
    <w:rsid w:val="00FA5655"/>
    <w:rsid w:val="00FA56AE"/>
    <w:rsid w:val="00FA570B"/>
    <w:rsid w:val="00FA5DD7"/>
    <w:rsid w:val="00FA60D0"/>
    <w:rsid w:val="00FA6103"/>
    <w:rsid w:val="00FA640D"/>
    <w:rsid w:val="00FA6608"/>
    <w:rsid w:val="00FA67DF"/>
    <w:rsid w:val="00FA6C46"/>
    <w:rsid w:val="00FA6CA0"/>
    <w:rsid w:val="00FA6F15"/>
    <w:rsid w:val="00FA714C"/>
    <w:rsid w:val="00FA7226"/>
    <w:rsid w:val="00FA7528"/>
    <w:rsid w:val="00FA7845"/>
    <w:rsid w:val="00FA7876"/>
    <w:rsid w:val="00FA7DDE"/>
    <w:rsid w:val="00FA7DEA"/>
    <w:rsid w:val="00FB0085"/>
    <w:rsid w:val="00FB017B"/>
    <w:rsid w:val="00FB01F7"/>
    <w:rsid w:val="00FB020A"/>
    <w:rsid w:val="00FB0392"/>
    <w:rsid w:val="00FB043D"/>
    <w:rsid w:val="00FB05AD"/>
    <w:rsid w:val="00FB077E"/>
    <w:rsid w:val="00FB0787"/>
    <w:rsid w:val="00FB08C7"/>
    <w:rsid w:val="00FB0972"/>
    <w:rsid w:val="00FB0AF1"/>
    <w:rsid w:val="00FB0C24"/>
    <w:rsid w:val="00FB0CE3"/>
    <w:rsid w:val="00FB0D53"/>
    <w:rsid w:val="00FB0DCB"/>
    <w:rsid w:val="00FB0DDE"/>
    <w:rsid w:val="00FB0EE9"/>
    <w:rsid w:val="00FB134D"/>
    <w:rsid w:val="00FB13DF"/>
    <w:rsid w:val="00FB15E2"/>
    <w:rsid w:val="00FB1640"/>
    <w:rsid w:val="00FB17AC"/>
    <w:rsid w:val="00FB17E3"/>
    <w:rsid w:val="00FB1AF7"/>
    <w:rsid w:val="00FB1D1E"/>
    <w:rsid w:val="00FB21B8"/>
    <w:rsid w:val="00FB26D8"/>
    <w:rsid w:val="00FB271E"/>
    <w:rsid w:val="00FB2CA9"/>
    <w:rsid w:val="00FB3120"/>
    <w:rsid w:val="00FB31E7"/>
    <w:rsid w:val="00FB320D"/>
    <w:rsid w:val="00FB3262"/>
    <w:rsid w:val="00FB3539"/>
    <w:rsid w:val="00FB3762"/>
    <w:rsid w:val="00FB379F"/>
    <w:rsid w:val="00FB41E6"/>
    <w:rsid w:val="00FB4213"/>
    <w:rsid w:val="00FB42B4"/>
    <w:rsid w:val="00FB43DC"/>
    <w:rsid w:val="00FB4673"/>
    <w:rsid w:val="00FB46CB"/>
    <w:rsid w:val="00FB4759"/>
    <w:rsid w:val="00FB4820"/>
    <w:rsid w:val="00FB4A19"/>
    <w:rsid w:val="00FB4C44"/>
    <w:rsid w:val="00FB4D2D"/>
    <w:rsid w:val="00FB4E77"/>
    <w:rsid w:val="00FB4EB1"/>
    <w:rsid w:val="00FB4ECB"/>
    <w:rsid w:val="00FB4F77"/>
    <w:rsid w:val="00FB5274"/>
    <w:rsid w:val="00FB5400"/>
    <w:rsid w:val="00FB5520"/>
    <w:rsid w:val="00FB5921"/>
    <w:rsid w:val="00FB5A07"/>
    <w:rsid w:val="00FB5F28"/>
    <w:rsid w:val="00FB61C0"/>
    <w:rsid w:val="00FB62E1"/>
    <w:rsid w:val="00FB6701"/>
    <w:rsid w:val="00FB6B32"/>
    <w:rsid w:val="00FB6BE3"/>
    <w:rsid w:val="00FB6C6F"/>
    <w:rsid w:val="00FB6CCC"/>
    <w:rsid w:val="00FB7041"/>
    <w:rsid w:val="00FB7088"/>
    <w:rsid w:val="00FB7109"/>
    <w:rsid w:val="00FB74E0"/>
    <w:rsid w:val="00FB75CC"/>
    <w:rsid w:val="00FB764D"/>
    <w:rsid w:val="00FB78FD"/>
    <w:rsid w:val="00FB79D9"/>
    <w:rsid w:val="00FB7A02"/>
    <w:rsid w:val="00FB7AA0"/>
    <w:rsid w:val="00FB7AFC"/>
    <w:rsid w:val="00FB7BC5"/>
    <w:rsid w:val="00FB7D50"/>
    <w:rsid w:val="00FC008A"/>
    <w:rsid w:val="00FC01DC"/>
    <w:rsid w:val="00FC026E"/>
    <w:rsid w:val="00FC03C2"/>
    <w:rsid w:val="00FC06AA"/>
    <w:rsid w:val="00FC074A"/>
    <w:rsid w:val="00FC090C"/>
    <w:rsid w:val="00FC0B40"/>
    <w:rsid w:val="00FC0E55"/>
    <w:rsid w:val="00FC1051"/>
    <w:rsid w:val="00FC10AA"/>
    <w:rsid w:val="00FC115F"/>
    <w:rsid w:val="00FC12C3"/>
    <w:rsid w:val="00FC1319"/>
    <w:rsid w:val="00FC1466"/>
    <w:rsid w:val="00FC166C"/>
    <w:rsid w:val="00FC1AB7"/>
    <w:rsid w:val="00FC1B2F"/>
    <w:rsid w:val="00FC1B6A"/>
    <w:rsid w:val="00FC1E64"/>
    <w:rsid w:val="00FC1EDB"/>
    <w:rsid w:val="00FC20E1"/>
    <w:rsid w:val="00FC22E9"/>
    <w:rsid w:val="00FC23C6"/>
    <w:rsid w:val="00FC2552"/>
    <w:rsid w:val="00FC28EB"/>
    <w:rsid w:val="00FC2DA7"/>
    <w:rsid w:val="00FC3096"/>
    <w:rsid w:val="00FC3155"/>
    <w:rsid w:val="00FC3221"/>
    <w:rsid w:val="00FC324C"/>
    <w:rsid w:val="00FC32B5"/>
    <w:rsid w:val="00FC3B68"/>
    <w:rsid w:val="00FC3E45"/>
    <w:rsid w:val="00FC3E9D"/>
    <w:rsid w:val="00FC3F30"/>
    <w:rsid w:val="00FC4A27"/>
    <w:rsid w:val="00FC4BD1"/>
    <w:rsid w:val="00FC4D29"/>
    <w:rsid w:val="00FC4E6E"/>
    <w:rsid w:val="00FC4E8A"/>
    <w:rsid w:val="00FC51D2"/>
    <w:rsid w:val="00FC51F9"/>
    <w:rsid w:val="00FC5237"/>
    <w:rsid w:val="00FC52B2"/>
    <w:rsid w:val="00FC542A"/>
    <w:rsid w:val="00FC546B"/>
    <w:rsid w:val="00FC591A"/>
    <w:rsid w:val="00FC59E1"/>
    <w:rsid w:val="00FC5DDF"/>
    <w:rsid w:val="00FC605D"/>
    <w:rsid w:val="00FC614D"/>
    <w:rsid w:val="00FC62DD"/>
    <w:rsid w:val="00FC64D7"/>
    <w:rsid w:val="00FC64F6"/>
    <w:rsid w:val="00FC6575"/>
    <w:rsid w:val="00FC65C8"/>
    <w:rsid w:val="00FC67D9"/>
    <w:rsid w:val="00FC6AEB"/>
    <w:rsid w:val="00FC6B38"/>
    <w:rsid w:val="00FC6D52"/>
    <w:rsid w:val="00FC723F"/>
    <w:rsid w:val="00FC7405"/>
    <w:rsid w:val="00FC7542"/>
    <w:rsid w:val="00FC762F"/>
    <w:rsid w:val="00FC76B8"/>
    <w:rsid w:val="00FC788D"/>
    <w:rsid w:val="00FC78DA"/>
    <w:rsid w:val="00FC7A05"/>
    <w:rsid w:val="00FC7A12"/>
    <w:rsid w:val="00FC7C3B"/>
    <w:rsid w:val="00FC7D84"/>
    <w:rsid w:val="00FC7D89"/>
    <w:rsid w:val="00FC7F2E"/>
    <w:rsid w:val="00FD02BA"/>
    <w:rsid w:val="00FD03B3"/>
    <w:rsid w:val="00FD082A"/>
    <w:rsid w:val="00FD0B65"/>
    <w:rsid w:val="00FD0DF9"/>
    <w:rsid w:val="00FD0E47"/>
    <w:rsid w:val="00FD139C"/>
    <w:rsid w:val="00FD17C5"/>
    <w:rsid w:val="00FD17E7"/>
    <w:rsid w:val="00FD1806"/>
    <w:rsid w:val="00FD191E"/>
    <w:rsid w:val="00FD19B4"/>
    <w:rsid w:val="00FD1C11"/>
    <w:rsid w:val="00FD1CA2"/>
    <w:rsid w:val="00FD1F4F"/>
    <w:rsid w:val="00FD234E"/>
    <w:rsid w:val="00FD27E7"/>
    <w:rsid w:val="00FD29C9"/>
    <w:rsid w:val="00FD2A11"/>
    <w:rsid w:val="00FD2F5A"/>
    <w:rsid w:val="00FD3412"/>
    <w:rsid w:val="00FD36AF"/>
    <w:rsid w:val="00FD39B8"/>
    <w:rsid w:val="00FD39F1"/>
    <w:rsid w:val="00FD3CC6"/>
    <w:rsid w:val="00FD3D02"/>
    <w:rsid w:val="00FD3D56"/>
    <w:rsid w:val="00FD3F94"/>
    <w:rsid w:val="00FD40B9"/>
    <w:rsid w:val="00FD44A5"/>
    <w:rsid w:val="00FD4562"/>
    <w:rsid w:val="00FD457D"/>
    <w:rsid w:val="00FD4752"/>
    <w:rsid w:val="00FD4AF8"/>
    <w:rsid w:val="00FD4D58"/>
    <w:rsid w:val="00FD4DF9"/>
    <w:rsid w:val="00FD4FC4"/>
    <w:rsid w:val="00FD515E"/>
    <w:rsid w:val="00FD52E3"/>
    <w:rsid w:val="00FD5A1A"/>
    <w:rsid w:val="00FD5A43"/>
    <w:rsid w:val="00FD5AA1"/>
    <w:rsid w:val="00FD5AB3"/>
    <w:rsid w:val="00FD5B97"/>
    <w:rsid w:val="00FD5CBF"/>
    <w:rsid w:val="00FD5EB3"/>
    <w:rsid w:val="00FD619F"/>
    <w:rsid w:val="00FD644C"/>
    <w:rsid w:val="00FD66EB"/>
    <w:rsid w:val="00FD69EC"/>
    <w:rsid w:val="00FD6B4D"/>
    <w:rsid w:val="00FD702C"/>
    <w:rsid w:val="00FD711B"/>
    <w:rsid w:val="00FD7411"/>
    <w:rsid w:val="00FD7492"/>
    <w:rsid w:val="00FD74E9"/>
    <w:rsid w:val="00FD75BC"/>
    <w:rsid w:val="00FD7730"/>
    <w:rsid w:val="00FD77CD"/>
    <w:rsid w:val="00FD7C41"/>
    <w:rsid w:val="00FD7F85"/>
    <w:rsid w:val="00FE0076"/>
    <w:rsid w:val="00FE0240"/>
    <w:rsid w:val="00FE0557"/>
    <w:rsid w:val="00FE06FE"/>
    <w:rsid w:val="00FE0823"/>
    <w:rsid w:val="00FE096B"/>
    <w:rsid w:val="00FE09FD"/>
    <w:rsid w:val="00FE0C5B"/>
    <w:rsid w:val="00FE0CC5"/>
    <w:rsid w:val="00FE0FDD"/>
    <w:rsid w:val="00FE116D"/>
    <w:rsid w:val="00FE1468"/>
    <w:rsid w:val="00FE150C"/>
    <w:rsid w:val="00FE1543"/>
    <w:rsid w:val="00FE1ABB"/>
    <w:rsid w:val="00FE1ADA"/>
    <w:rsid w:val="00FE1B4B"/>
    <w:rsid w:val="00FE1B97"/>
    <w:rsid w:val="00FE1C3A"/>
    <w:rsid w:val="00FE1DF5"/>
    <w:rsid w:val="00FE1F69"/>
    <w:rsid w:val="00FE20DD"/>
    <w:rsid w:val="00FE23D0"/>
    <w:rsid w:val="00FE255A"/>
    <w:rsid w:val="00FE2581"/>
    <w:rsid w:val="00FE2A70"/>
    <w:rsid w:val="00FE2A8A"/>
    <w:rsid w:val="00FE2C26"/>
    <w:rsid w:val="00FE2F24"/>
    <w:rsid w:val="00FE3120"/>
    <w:rsid w:val="00FE3146"/>
    <w:rsid w:val="00FE3174"/>
    <w:rsid w:val="00FE336E"/>
    <w:rsid w:val="00FE3C19"/>
    <w:rsid w:val="00FE3FDC"/>
    <w:rsid w:val="00FE407F"/>
    <w:rsid w:val="00FE46E8"/>
    <w:rsid w:val="00FE49C5"/>
    <w:rsid w:val="00FE4E41"/>
    <w:rsid w:val="00FE4F7E"/>
    <w:rsid w:val="00FE5267"/>
    <w:rsid w:val="00FE53B5"/>
    <w:rsid w:val="00FE5409"/>
    <w:rsid w:val="00FE5446"/>
    <w:rsid w:val="00FE54D9"/>
    <w:rsid w:val="00FE583D"/>
    <w:rsid w:val="00FE5B42"/>
    <w:rsid w:val="00FE5BA9"/>
    <w:rsid w:val="00FE5CC2"/>
    <w:rsid w:val="00FE5D7C"/>
    <w:rsid w:val="00FE5EF5"/>
    <w:rsid w:val="00FE5EF9"/>
    <w:rsid w:val="00FE6075"/>
    <w:rsid w:val="00FE616D"/>
    <w:rsid w:val="00FE6448"/>
    <w:rsid w:val="00FE6692"/>
    <w:rsid w:val="00FE671E"/>
    <w:rsid w:val="00FE683B"/>
    <w:rsid w:val="00FE68E3"/>
    <w:rsid w:val="00FE695C"/>
    <w:rsid w:val="00FE7382"/>
    <w:rsid w:val="00FE7478"/>
    <w:rsid w:val="00FE751A"/>
    <w:rsid w:val="00FE7EB1"/>
    <w:rsid w:val="00FF018E"/>
    <w:rsid w:val="00FF074F"/>
    <w:rsid w:val="00FF0899"/>
    <w:rsid w:val="00FF0A64"/>
    <w:rsid w:val="00FF0BF7"/>
    <w:rsid w:val="00FF0C53"/>
    <w:rsid w:val="00FF0F2B"/>
    <w:rsid w:val="00FF1014"/>
    <w:rsid w:val="00FF10AE"/>
    <w:rsid w:val="00FF1196"/>
    <w:rsid w:val="00FF1296"/>
    <w:rsid w:val="00FF1488"/>
    <w:rsid w:val="00FF1646"/>
    <w:rsid w:val="00FF1676"/>
    <w:rsid w:val="00FF172A"/>
    <w:rsid w:val="00FF1876"/>
    <w:rsid w:val="00FF187E"/>
    <w:rsid w:val="00FF18A6"/>
    <w:rsid w:val="00FF19B5"/>
    <w:rsid w:val="00FF1B53"/>
    <w:rsid w:val="00FF1D89"/>
    <w:rsid w:val="00FF1F09"/>
    <w:rsid w:val="00FF1F16"/>
    <w:rsid w:val="00FF2035"/>
    <w:rsid w:val="00FF232C"/>
    <w:rsid w:val="00FF282D"/>
    <w:rsid w:val="00FF2B3B"/>
    <w:rsid w:val="00FF2C97"/>
    <w:rsid w:val="00FF2D02"/>
    <w:rsid w:val="00FF300D"/>
    <w:rsid w:val="00FF3063"/>
    <w:rsid w:val="00FF3138"/>
    <w:rsid w:val="00FF3363"/>
    <w:rsid w:val="00FF36CB"/>
    <w:rsid w:val="00FF39EE"/>
    <w:rsid w:val="00FF3ED1"/>
    <w:rsid w:val="00FF40E6"/>
    <w:rsid w:val="00FF487B"/>
    <w:rsid w:val="00FF4B37"/>
    <w:rsid w:val="00FF4E22"/>
    <w:rsid w:val="00FF4E95"/>
    <w:rsid w:val="00FF4FEA"/>
    <w:rsid w:val="00FF5521"/>
    <w:rsid w:val="00FF5881"/>
    <w:rsid w:val="00FF588F"/>
    <w:rsid w:val="00FF5932"/>
    <w:rsid w:val="00FF5C61"/>
    <w:rsid w:val="00FF5C89"/>
    <w:rsid w:val="00FF5F86"/>
    <w:rsid w:val="00FF6017"/>
    <w:rsid w:val="00FF6375"/>
    <w:rsid w:val="00FF639C"/>
    <w:rsid w:val="00FF6416"/>
    <w:rsid w:val="00FF65B9"/>
    <w:rsid w:val="00FF66EB"/>
    <w:rsid w:val="00FF68DD"/>
    <w:rsid w:val="00FF69E4"/>
    <w:rsid w:val="00FF6A41"/>
    <w:rsid w:val="00FF6A4D"/>
    <w:rsid w:val="00FF71FC"/>
    <w:rsid w:val="00FF72DC"/>
    <w:rsid w:val="00FF73BC"/>
    <w:rsid w:val="00FF757C"/>
    <w:rsid w:val="00FF75CA"/>
    <w:rsid w:val="00FF76A0"/>
    <w:rsid w:val="00FF7BFC"/>
    <w:rsid w:val="00FF7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61"/>
    <o:shapelayout v:ext="edit">
      <o:idmap v:ext="edit" data="1"/>
    </o:shapelayout>
  </w:shapeDefaults>
  <w:decimalSymbol w:val="."/>
  <w:listSeparator w:val=","/>
  <w14:docId w14:val="4573083E"/>
  <w15:docId w15:val="{01E7EA3C-1D27-4113-8EC0-DC1CBBAB1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99"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qFormat="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qFormat="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4486"/>
    <w:pPr>
      <w:spacing w:line="288" w:lineRule="auto"/>
    </w:pPr>
    <w:rPr>
      <w:rFonts w:ascii="Verdana" w:hAnsi="Verdana"/>
      <w:lang w:eastAsia="en-US"/>
    </w:rPr>
  </w:style>
  <w:style w:type="paragraph" w:styleId="Heading1">
    <w:name w:val="heading 1"/>
    <w:basedOn w:val="Normal"/>
    <w:next w:val="Normal"/>
    <w:link w:val="Heading1Char"/>
    <w:qFormat/>
    <w:rsid w:val="009B1D11"/>
    <w:pPr>
      <w:shd w:val="clear" w:color="auto" w:fill="000000"/>
      <w:ind w:right="-284"/>
      <w:outlineLvl w:val="0"/>
    </w:pPr>
    <w:rPr>
      <w:rFonts w:cs="Arial"/>
      <w:b/>
      <w:sz w:val="24"/>
      <w:szCs w:val="24"/>
    </w:rPr>
  </w:style>
  <w:style w:type="paragraph" w:styleId="Heading2">
    <w:name w:val="heading 2"/>
    <w:aliases w:val="Heading 2 Char,Heading 2 Char1 Char,Heading 2 Char Char Char,Heading 2 Char1 Char Char Char,Heading 2 Char Char Char Char Char,Heading 2 Char2 Char Char Char Char Char Char,Heading 2 Char1 Char1 Char Char Char Char Char Char,Heading 2 Char1"/>
    <w:next w:val="Normal"/>
    <w:link w:val="Heading2Char2"/>
    <w:autoRedefine/>
    <w:qFormat/>
    <w:rsid w:val="00DB0AEE"/>
    <w:pPr>
      <w:ind w:left="-142"/>
      <w:outlineLvl w:val="1"/>
    </w:pPr>
    <w:rPr>
      <w:rFonts w:ascii="Verdana" w:hAnsi="Verdana" w:cs="Arial"/>
      <w:b/>
      <w:spacing w:val="-4"/>
      <w:kern w:val="28"/>
      <w:lang w:eastAsia="en-US"/>
    </w:rPr>
  </w:style>
  <w:style w:type="paragraph" w:styleId="Heading3">
    <w:name w:val="heading 3"/>
    <w:basedOn w:val="Heading2"/>
    <w:next w:val="Normal"/>
    <w:link w:val="Heading3Char"/>
    <w:qFormat/>
    <w:rsid w:val="00FD17C5"/>
    <w:pPr>
      <w:outlineLvl w:val="2"/>
    </w:pPr>
    <w:rPr>
      <w:b w:val="0"/>
    </w:rPr>
  </w:style>
  <w:style w:type="paragraph" w:styleId="Heading4">
    <w:name w:val="heading 4"/>
    <w:basedOn w:val="Normal"/>
    <w:next w:val="Normal"/>
    <w:link w:val="Heading4Char"/>
    <w:qFormat/>
    <w:rsid w:val="005C688C"/>
    <w:pPr>
      <w:keepNext/>
      <w:keepLines/>
      <w:spacing w:after="240" w:line="240" w:lineRule="atLeast"/>
      <w:jc w:val="center"/>
      <w:outlineLvl w:val="3"/>
    </w:pPr>
    <w:rPr>
      <w:b/>
      <w:color w:val="000080"/>
      <w:spacing w:val="-4"/>
      <w:kern w:val="28"/>
      <w:sz w:val="26"/>
    </w:rPr>
  </w:style>
  <w:style w:type="paragraph" w:styleId="Heading5">
    <w:name w:val="heading 5"/>
    <w:basedOn w:val="Normal"/>
    <w:next w:val="Normal"/>
    <w:link w:val="Heading5Char"/>
    <w:qFormat/>
    <w:rsid w:val="003F6759"/>
    <w:pPr>
      <w:keepNext/>
      <w:keepLines/>
      <w:spacing w:line="240" w:lineRule="atLeast"/>
      <w:ind w:left="1440"/>
      <w:outlineLvl w:val="4"/>
    </w:pPr>
    <w:rPr>
      <w:spacing w:val="-4"/>
      <w:kern w:val="28"/>
    </w:rPr>
  </w:style>
  <w:style w:type="paragraph" w:styleId="Heading6">
    <w:name w:val="heading 6"/>
    <w:basedOn w:val="Normal"/>
    <w:next w:val="Normal"/>
    <w:link w:val="Heading6Char"/>
    <w:qFormat/>
    <w:rsid w:val="003F6759"/>
    <w:pPr>
      <w:keepNext/>
      <w:keepLines/>
      <w:spacing w:before="140" w:line="220" w:lineRule="atLeast"/>
      <w:ind w:left="1440"/>
      <w:outlineLvl w:val="5"/>
    </w:pPr>
    <w:rPr>
      <w:i/>
      <w:spacing w:val="-4"/>
      <w:kern w:val="28"/>
    </w:rPr>
  </w:style>
  <w:style w:type="paragraph" w:styleId="Heading7">
    <w:name w:val="heading 7"/>
    <w:basedOn w:val="Normal"/>
    <w:next w:val="Normal"/>
    <w:link w:val="Heading7Char"/>
    <w:qFormat/>
    <w:rsid w:val="003F6759"/>
    <w:pPr>
      <w:keepNext/>
      <w:keepLines/>
      <w:spacing w:before="140" w:line="220" w:lineRule="atLeast"/>
      <w:outlineLvl w:val="6"/>
    </w:pPr>
    <w:rPr>
      <w:spacing w:val="-4"/>
      <w:kern w:val="28"/>
    </w:rPr>
  </w:style>
  <w:style w:type="paragraph" w:styleId="Heading8">
    <w:name w:val="heading 8"/>
    <w:basedOn w:val="Normal"/>
    <w:next w:val="Normal"/>
    <w:link w:val="Heading8Char"/>
    <w:qFormat/>
    <w:rsid w:val="003F6759"/>
    <w:pPr>
      <w:keepNext/>
      <w:keepLines/>
      <w:spacing w:before="140" w:line="220" w:lineRule="atLeast"/>
      <w:outlineLvl w:val="7"/>
    </w:pPr>
    <w:rPr>
      <w:i/>
      <w:spacing w:val="-4"/>
      <w:kern w:val="28"/>
      <w:sz w:val="18"/>
    </w:rPr>
  </w:style>
  <w:style w:type="paragraph" w:styleId="Heading9">
    <w:name w:val="heading 9"/>
    <w:basedOn w:val="Normal"/>
    <w:next w:val="Normal"/>
    <w:link w:val="Heading9Char"/>
    <w:qFormat/>
    <w:rsid w:val="003F6759"/>
    <w:pPr>
      <w:keepNext/>
      <w:keepLines/>
      <w:spacing w:before="140" w:line="220" w:lineRule="atLeast"/>
      <w:outlineLvl w:val="8"/>
    </w:pPr>
    <w:rPr>
      <w:spacing w:val="-4"/>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92048"/>
    <w:rPr>
      <w:rFonts w:ascii="Cambria" w:hAnsi="Cambria" w:cs="Times New Roman"/>
      <w:b/>
      <w:bCs/>
      <w:kern w:val="32"/>
      <w:sz w:val="32"/>
      <w:szCs w:val="32"/>
      <w:lang w:val="en-US" w:eastAsia="en-US"/>
    </w:rPr>
  </w:style>
  <w:style w:type="character" w:customStyle="1" w:styleId="Heading2Char2">
    <w:name w:val="Heading 2 Char2"/>
    <w:aliases w:val="Heading 2 Char Char,Heading 2 Char1 Char Char,Heading 2 Char Char Char Char,Heading 2 Char1 Char Char Char Char,Heading 2 Char Char Char Char Char Char,Heading 2 Char2 Char Char Char Char Char Char Char,Heading 2 Char1 Char1"/>
    <w:link w:val="Heading2"/>
    <w:locked/>
    <w:rsid w:val="00DB0AEE"/>
    <w:rPr>
      <w:rFonts w:ascii="Verdana" w:hAnsi="Verdana" w:cs="Arial"/>
      <w:b/>
      <w:spacing w:val="-4"/>
      <w:kern w:val="28"/>
      <w:lang w:eastAsia="en-US"/>
    </w:rPr>
  </w:style>
  <w:style w:type="character" w:customStyle="1" w:styleId="Heading3Char">
    <w:name w:val="Heading 3 Char"/>
    <w:link w:val="Heading3"/>
    <w:locked/>
    <w:rsid w:val="00FD17C5"/>
    <w:rPr>
      <w:rFonts w:ascii="Verdana" w:hAnsi="Verdana"/>
      <w:spacing w:val="-4"/>
      <w:kern w:val="28"/>
      <w:lang w:eastAsia="en-US"/>
    </w:rPr>
  </w:style>
  <w:style w:type="character" w:customStyle="1" w:styleId="Heading4Char">
    <w:name w:val="Heading 4 Char"/>
    <w:link w:val="Heading4"/>
    <w:locked/>
    <w:rsid w:val="005C688C"/>
    <w:rPr>
      <w:rFonts w:ascii="Verdana" w:hAnsi="Verdana"/>
      <w:b/>
      <w:color w:val="000080"/>
      <w:spacing w:val="-4"/>
      <w:kern w:val="28"/>
      <w:sz w:val="26"/>
      <w:lang w:eastAsia="en-US"/>
    </w:rPr>
  </w:style>
  <w:style w:type="character" w:customStyle="1" w:styleId="Heading5Char">
    <w:name w:val="Heading 5 Char"/>
    <w:link w:val="Heading5"/>
    <w:semiHidden/>
    <w:locked/>
    <w:rsid w:val="00A92048"/>
    <w:rPr>
      <w:rFonts w:ascii="Calibri" w:hAnsi="Calibri" w:cs="Times New Roman"/>
      <w:b/>
      <w:bCs/>
      <w:i/>
      <w:iCs/>
      <w:sz w:val="26"/>
      <w:szCs w:val="26"/>
      <w:lang w:val="en-US" w:eastAsia="en-US"/>
    </w:rPr>
  </w:style>
  <w:style w:type="character" w:customStyle="1" w:styleId="Heading6Char">
    <w:name w:val="Heading 6 Char"/>
    <w:link w:val="Heading6"/>
    <w:semiHidden/>
    <w:locked/>
    <w:rsid w:val="00A92048"/>
    <w:rPr>
      <w:rFonts w:ascii="Calibri" w:hAnsi="Calibri" w:cs="Times New Roman"/>
      <w:b/>
      <w:bCs/>
      <w:sz w:val="22"/>
      <w:szCs w:val="22"/>
      <w:lang w:val="en-US" w:eastAsia="en-US"/>
    </w:rPr>
  </w:style>
  <w:style w:type="character" w:customStyle="1" w:styleId="Heading7Char">
    <w:name w:val="Heading 7 Char"/>
    <w:link w:val="Heading7"/>
    <w:semiHidden/>
    <w:locked/>
    <w:rsid w:val="00A92048"/>
    <w:rPr>
      <w:rFonts w:ascii="Calibri" w:hAnsi="Calibri" w:cs="Times New Roman"/>
      <w:sz w:val="24"/>
      <w:szCs w:val="24"/>
      <w:lang w:val="en-US" w:eastAsia="en-US"/>
    </w:rPr>
  </w:style>
  <w:style w:type="character" w:customStyle="1" w:styleId="Heading8Char">
    <w:name w:val="Heading 8 Char"/>
    <w:link w:val="Heading8"/>
    <w:semiHidden/>
    <w:locked/>
    <w:rsid w:val="00A92048"/>
    <w:rPr>
      <w:rFonts w:ascii="Calibri" w:hAnsi="Calibri" w:cs="Times New Roman"/>
      <w:i/>
      <w:iCs/>
      <w:sz w:val="24"/>
      <w:szCs w:val="24"/>
      <w:lang w:val="en-US" w:eastAsia="en-US"/>
    </w:rPr>
  </w:style>
  <w:style w:type="character" w:customStyle="1" w:styleId="Heading9Char">
    <w:name w:val="Heading 9 Char"/>
    <w:link w:val="Heading9"/>
    <w:semiHidden/>
    <w:locked/>
    <w:rsid w:val="00A92048"/>
    <w:rPr>
      <w:rFonts w:ascii="Cambria" w:hAnsi="Cambria" w:cs="Times New Roman"/>
      <w:sz w:val="22"/>
      <w:szCs w:val="22"/>
      <w:lang w:val="en-US" w:eastAsia="en-US"/>
    </w:rPr>
  </w:style>
  <w:style w:type="paragraph" w:styleId="BalloonText">
    <w:name w:val="Balloon Text"/>
    <w:basedOn w:val="Normal"/>
    <w:link w:val="BalloonTextChar"/>
    <w:semiHidden/>
    <w:rsid w:val="00753D39"/>
    <w:rPr>
      <w:rFonts w:ascii="Tahoma" w:hAnsi="Tahoma" w:cs="Tahoma"/>
      <w:sz w:val="16"/>
      <w:szCs w:val="16"/>
    </w:rPr>
  </w:style>
  <w:style w:type="character" w:customStyle="1" w:styleId="BalloonTextChar">
    <w:name w:val="Balloon Text Char"/>
    <w:link w:val="BalloonText"/>
    <w:semiHidden/>
    <w:locked/>
    <w:rsid w:val="00A92048"/>
    <w:rPr>
      <w:rFonts w:cs="Times New Roman"/>
      <w:sz w:val="2"/>
      <w:lang w:val="en-US" w:eastAsia="en-US"/>
    </w:rPr>
  </w:style>
  <w:style w:type="paragraph" w:customStyle="1" w:styleId="CompanyInformation">
    <w:name w:val="Company Information"/>
    <w:basedOn w:val="Normal"/>
    <w:link w:val="CompanyInformationChar"/>
    <w:rsid w:val="002D2F24"/>
    <w:pPr>
      <w:spacing w:line="240" w:lineRule="auto"/>
    </w:pPr>
    <w:rPr>
      <w:color w:val="808080"/>
      <w:sz w:val="15"/>
    </w:rPr>
  </w:style>
  <w:style w:type="character" w:customStyle="1" w:styleId="CompanyInformationChar">
    <w:name w:val="Company Information Char"/>
    <w:link w:val="CompanyInformation"/>
    <w:locked/>
    <w:rsid w:val="002D2F24"/>
    <w:rPr>
      <w:rFonts w:ascii="Verdana" w:hAnsi="Verdana" w:cs="Times New Roman"/>
      <w:color w:val="808080"/>
      <w:sz w:val="15"/>
      <w:lang w:val="en-US" w:eastAsia="en-US" w:bidi="ar-SA"/>
    </w:rPr>
  </w:style>
  <w:style w:type="paragraph" w:customStyle="1" w:styleId="InsideTitle">
    <w:name w:val="Inside Title"/>
    <w:basedOn w:val="Normal"/>
    <w:qFormat/>
    <w:rsid w:val="00AD690C"/>
    <w:pPr>
      <w:keepNext/>
      <w:spacing w:line="240" w:lineRule="auto"/>
    </w:pPr>
    <w:rPr>
      <w:b/>
      <w:color w:val="000080"/>
      <w:sz w:val="36"/>
    </w:rPr>
  </w:style>
  <w:style w:type="paragraph" w:styleId="Caption">
    <w:name w:val="caption"/>
    <w:basedOn w:val="Normal"/>
    <w:next w:val="Normal"/>
    <w:qFormat/>
    <w:rsid w:val="003F6759"/>
    <w:pPr>
      <w:keepNext/>
      <w:numPr>
        <w:numId w:val="1"/>
      </w:numPr>
      <w:spacing w:before="60" w:after="240" w:line="220" w:lineRule="atLeast"/>
    </w:pPr>
    <w:rPr>
      <w:rFonts w:ascii="Arial Narrow" w:hAnsi="Arial Narrow"/>
      <w:sz w:val="18"/>
    </w:rPr>
  </w:style>
  <w:style w:type="paragraph" w:customStyle="1" w:styleId="InsideSubtitle">
    <w:name w:val="Inside Subtitle"/>
    <w:basedOn w:val="Normal"/>
    <w:rsid w:val="0093137B"/>
    <w:pPr>
      <w:spacing w:after="200" w:line="240" w:lineRule="auto"/>
    </w:pPr>
    <w:rPr>
      <w:i/>
      <w:sz w:val="24"/>
    </w:rPr>
  </w:style>
  <w:style w:type="paragraph" w:customStyle="1" w:styleId="BulletedList">
    <w:name w:val="Bulleted List"/>
    <w:basedOn w:val="Normal"/>
    <w:link w:val="BulletedListChar"/>
    <w:qFormat/>
    <w:rsid w:val="004827D8"/>
    <w:pPr>
      <w:numPr>
        <w:numId w:val="2"/>
      </w:numPr>
      <w:tabs>
        <w:tab w:val="clear" w:pos="720"/>
      </w:tabs>
      <w:ind w:left="714" w:hanging="357"/>
      <w:contextualSpacing/>
    </w:pPr>
    <w:rPr>
      <w:sz w:val="22"/>
    </w:rPr>
  </w:style>
  <w:style w:type="character" w:customStyle="1" w:styleId="BulletedListChar">
    <w:name w:val="Bulleted List Char"/>
    <w:link w:val="BulletedList"/>
    <w:locked/>
    <w:rsid w:val="004827D8"/>
    <w:rPr>
      <w:rFonts w:ascii="Verdana" w:hAnsi="Verdana"/>
      <w:sz w:val="22"/>
      <w:lang w:eastAsia="en-US"/>
    </w:rPr>
  </w:style>
  <w:style w:type="character" w:styleId="CommentReference">
    <w:name w:val="annotation reference"/>
    <w:semiHidden/>
    <w:rsid w:val="007220DF"/>
    <w:rPr>
      <w:rFonts w:ascii="Arial" w:hAnsi="Arial" w:cs="Times New Roman"/>
      <w:sz w:val="16"/>
    </w:rPr>
  </w:style>
  <w:style w:type="paragraph" w:styleId="CommentText">
    <w:name w:val="annotation text"/>
    <w:basedOn w:val="Normal"/>
    <w:link w:val="CommentTextChar1"/>
    <w:semiHidden/>
    <w:rsid w:val="003F6759"/>
  </w:style>
  <w:style w:type="character" w:customStyle="1" w:styleId="CommentTextChar1">
    <w:name w:val="Comment Text Char1"/>
    <w:link w:val="CommentText"/>
    <w:semiHidden/>
    <w:locked/>
    <w:rsid w:val="00A92048"/>
    <w:rPr>
      <w:rFonts w:ascii="Verdana" w:hAnsi="Verdana" w:cs="Times New Roman"/>
      <w:lang w:val="en-US" w:eastAsia="en-US"/>
    </w:rPr>
  </w:style>
  <w:style w:type="paragraph" w:customStyle="1" w:styleId="NumberedList">
    <w:name w:val="Numbered List"/>
    <w:basedOn w:val="Normal"/>
    <w:link w:val="NumberedListChar"/>
    <w:rsid w:val="00753D39"/>
    <w:pPr>
      <w:numPr>
        <w:numId w:val="3"/>
      </w:numPr>
      <w:spacing w:after="80"/>
      <w:contextualSpacing/>
    </w:pPr>
  </w:style>
  <w:style w:type="character" w:customStyle="1" w:styleId="NumberedListChar">
    <w:name w:val="Numbered List Char"/>
    <w:link w:val="NumberedList"/>
    <w:locked/>
    <w:rsid w:val="00971A83"/>
    <w:rPr>
      <w:rFonts w:ascii="Verdana" w:hAnsi="Verdana"/>
      <w:lang w:eastAsia="en-US"/>
    </w:rPr>
  </w:style>
  <w:style w:type="character" w:customStyle="1" w:styleId="BodyTextChar">
    <w:name w:val="Body Text Char"/>
    <w:locked/>
    <w:rsid w:val="008D19E1"/>
    <w:rPr>
      <w:rFonts w:ascii="Verdana" w:hAnsi="Verdana"/>
      <w:spacing w:val="10"/>
      <w:lang w:val="en-US" w:eastAsia="en-US"/>
    </w:rPr>
  </w:style>
  <w:style w:type="paragraph" w:styleId="BodyText">
    <w:name w:val="Body Text"/>
    <w:basedOn w:val="Normal"/>
    <w:link w:val="BodyTextChar1"/>
    <w:rsid w:val="008D19E1"/>
    <w:pPr>
      <w:spacing w:after="200" w:line="240" w:lineRule="exact"/>
    </w:pPr>
    <w:rPr>
      <w:spacing w:val="10"/>
    </w:rPr>
  </w:style>
  <w:style w:type="character" w:customStyle="1" w:styleId="BodyTextChar1">
    <w:name w:val="Body Text Char1"/>
    <w:link w:val="BodyText"/>
    <w:locked/>
    <w:rsid w:val="00A92048"/>
    <w:rPr>
      <w:rFonts w:ascii="Verdana" w:hAnsi="Verdana" w:cs="Times New Roman"/>
      <w:sz w:val="17"/>
      <w:lang w:val="en-US" w:eastAsia="en-US"/>
    </w:rPr>
  </w:style>
  <w:style w:type="character" w:styleId="EndnoteReference">
    <w:name w:val="endnote reference"/>
    <w:semiHidden/>
    <w:rsid w:val="007220DF"/>
    <w:rPr>
      <w:rFonts w:cs="Times New Roman"/>
      <w:vertAlign w:val="superscript"/>
    </w:rPr>
  </w:style>
  <w:style w:type="paragraph" w:styleId="EndnoteText">
    <w:name w:val="endnote text"/>
    <w:basedOn w:val="Normal"/>
    <w:link w:val="EndnoteTextChar"/>
    <w:semiHidden/>
    <w:rsid w:val="003F6759"/>
  </w:style>
  <w:style w:type="character" w:customStyle="1" w:styleId="EndnoteTextChar">
    <w:name w:val="Endnote Text Char"/>
    <w:link w:val="EndnoteText"/>
    <w:semiHidden/>
    <w:locked/>
    <w:rsid w:val="00A92048"/>
    <w:rPr>
      <w:rFonts w:ascii="Verdana" w:hAnsi="Verdana" w:cs="Times New Roman"/>
      <w:lang w:val="en-US" w:eastAsia="en-US"/>
    </w:rPr>
  </w:style>
  <w:style w:type="paragraph" w:customStyle="1" w:styleId="BlockQuotation">
    <w:name w:val="Block Quotation"/>
    <w:basedOn w:val="Normal"/>
    <w:link w:val="BlockQuotationChar"/>
    <w:rsid w:val="000C089E"/>
    <w:pPr>
      <w:spacing w:before="80" w:after="80"/>
      <w:ind w:left="720"/>
    </w:pPr>
    <w:rPr>
      <w:spacing w:val="-10"/>
    </w:rPr>
  </w:style>
  <w:style w:type="character" w:customStyle="1" w:styleId="BlockQuotationChar">
    <w:name w:val="Block Quotation Char"/>
    <w:link w:val="BlockQuotation"/>
    <w:locked/>
    <w:rsid w:val="00971A83"/>
    <w:rPr>
      <w:rFonts w:ascii="Verdana" w:hAnsi="Verdana" w:cs="Times New Roman"/>
      <w:spacing w:val="-10"/>
      <w:sz w:val="17"/>
      <w:lang w:val="en-US" w:eastAsia="en-US" w:bidi="ar-SA"/>
    </w:rPr>
  </w:style>
  <w:style w:type="character" w:styleId="FootnoteReference">
    <w:name w:val="footnote reference"/>
    <w:uiPriority w:val="99"/>
    <w:rsid w:val="007220DF"/>
    <w:rPr>
      <w:rFonts w:cs="Times New Roman"/>
      <w:vertAlign w:val="superscript"/>
    </w:rPr>
  </w:style>
  <w:style w:type="paragraph" w:styleId="FootnoteText">
    <w:name w:val="footnote text"/>
    <w:basedOn w:val="Normal"/>
    <w:link w:val="FootnoteTextChar"/>
    <w:uiPriority w:val="99"/>
    <w:rsid w:val="003F6759"/>
  </w:style>
  <w:style w:type="character" w:customStyle="1" w:styleId="FootnoteTextChar">
    <w:name w:val="Footnote Text Char"/>
    <w:link w:val="FootnoteText"/>
    <w:uiPriority w:val="99"/>
    <w:locked/>
    <w:rsid w:val="00890AC9"/>
    <w:rPr>
      <w:rFonts w:ascii="Verdana" w:hAnsi="Verdana"/>
      <w:sz w:val="17"/>
      <w:lang w:eastAsia="en-US"/>
    </w:rPr>
  </w:style>
  <w:style w:type="paragraph" w:styleId="Header">
    <w:name w:val="header"/>
    <w:basedOn w:val="Normal"/>
    <w:link w:val="HeaderChar"/>
    <w:uiPriority w:val="99"/>
    <w:rsid w:val="00A745CA"/>
    <w:pPr>
      <w:tabs>
        <w:tab w:val="center" w:pos="4320"/>
        <w:tab w:val="right" w:pos="8640"/>
      </w:tabs>
    </w:pPr>
  </w:style>
  <w:style w:type="character" w:customStyle="1" w:styleId="HeaderChar">
    <w:name w:val="Header Char"/>
    <w:link w:val="Header"/>
    <w:uiPriority w:val="99"/>
    <w:semiHidden/>
    <w:locked/>
    <w:rsid w:val="00A92048"/>
    <w:rPr>
      <w:rFonts w:ascii="Verdana" w:hAnsi="Verdana" w:cs="Times New Roman"/>
      <w:sz w:val="17"/>
      <w:lang w:val="en-US" w:eastAsia="en-US"/>
    </w:rPr>
  </w:style>
  <w:style w:type="paragraph" w:styleId="Index1">
    <w:name w:val="index 1"/>
    <w:basedOn w:val="Normal"/>
    <w:autoRedefine/>
    <w:semiHidden/>
    <w:rsid w:val="003F6759"/>
  </w:style>
  <w:style w:type="paragraph" w:styleId="Index2">
    <w:name w:val="index 2"/>
    <w:basedOn w:val="Normal"/>
    <w:autoRedefine/>
    <w:semiHidden/>
    <w:rsid w:val="003F6759"/>
    <w:pPr>
      <w:ind w:left="720"/>
    </w:pPr>
  </w:style>
  <w:style w:type="paragraph" w:styleId="Index3">
    <w:name w:val="index 3"/>
    <w:basedOn w:val="Normal"/>
    <w:autoRedefine/>
    <w:semiHidden/>
    <w:rsid w:val="003F6759"/>
  </w:style>
  <w:style w:type="paragraph" w:styleId="Index4">
    <w:name w:val="index 4"/>
    <w:basedOn w:val="Normal"/>
    <w:autoRedefine/>
    <w:semiHidden/>
    <w:rsid w:val="003F6759"/>
    <w:pPr>
      <w:ind w:left="1440"/>
    </w:pPr>
  </w:style>
  <w:style w:type="paragraph" w:styleId="Index5">
    <w:name w:val="index 5"/>
    <w:basedOn w:val="Normal"/>
    <w:autoRedefine/>
    <w:semiHidden/>
    <w:rsid w:val="003F6759"/>
    <w:pPr>
      <w:ind w:left="1800"/>
    </w:pPr>
  </w:style>
  <w:style w:type="paragraph" w:styleId="IndexHeading">
    <w:name w:val="index heading"/>
    <w:basedOn w:val="Normal"/>
    <w:next w:val="Index1"/>
    <w:semiHidden/>
    <w:rsid w:val="003F6759"/>
    <w:pPr>
      <w:spacing w:line="480" w:lineRule="atLeast"/>
    </w:pPr>
    <w:rPr>
      <w:rFonts w:ascii="Arial Black" w:hAnsi="Arial Black"/>
      <w:sz w:val="24"/>
    </w:rPr>
  </w:style>
  <w:style w:type="paragraph" w:customStyle="1" w:styleId="TableCaption">
    <w:name w:val="Table Caption"/>
    <w:basedOn w:val="Normal"/>
    <w:rsid w:val="00AD5D62"/>
    <w:pPr>
      <w:spacing w:before="80" w:after="120"/>
      <w:ind w:left="360"/>
    </w:pPr>
    <w:rPr>
      <w:i/>
      <w:sz w:val="15"/>
    </w:rPr>
  </w:style>
  <w:style w:type="paragraph" w:customStyle="1" w:styleId="TableText">
    <w:name w:val="Table Text"/>
    <w:basedOn w:val="Normal"/>
    <w:qFormat/>
    <w:rsid w:val="00E65E57"/>
  </w:style>
  <w:style w:type="paragraph" w:customStyle="1" w:styleId="TableTextBold">
    <w:name w:val="Table Text Bold"/>
    <w:basedOn w:val="TableText"/>
    <w:rsid w:val="003F66D9"/>
    <w:rPr>
      <w:b/>
    </w:rPr>
  </w:style>
  <w:style w:type="paragraph" w:customStyle="1" w:styleId="IndentedBodyText">
    <w:name w:val="Indented Body Text"/>
    <w:basedOn w:val="Normal"/>
    <w:link w:val="IndentedBodyTextChar"/>
    <w:rsid w:val="00CC5FB6"/>
    <w:pPr>
      <w:spacing w:after="80"/>
      <w:ind w:left="360"/>
    </w:pPr>
  </w:style>
  <w:style w:type="character" w:customStyle="1" w:styleId="IndentedBodyTextChar">
    <w:name w:val="Indented Body Text Char"/>
    <w:link w:val="IndentedBodyText"/>
    <w:locked/>
    <w:rsid w:val="00CC5FB6"/>
    <w:rPr>
      <w:rFonts w:ascii="Verdana" w:hAnsi="Verdana" w:cs="Times New Roman"/>
      <w:sz w:val="17"/>
      <w:lang w:val="en-US" w:eastAsia="en-US" w:bidi="ar-SA"/>
    </w:rPr>
  </w:style>
  <w:style w:type="paragraph" w:customStyle="1" w:styleId="LineSpace">
    <w:name w:val="Line Space"/>
    <w:basedOn w:val="Normal"/>
    <w:rsid w:val="00CC5FB6"/>
    <w:pPr>
      <w:spacing w:line="240" w:lineRule="auto"/>
    </w:pPr>
    <w:rPr>
      <w:sz w:val="12"/>
    </w:rPr>
  </w:style>
  <w:style w:type="paragraph" w:customStyle="1" w:styleId="CompanyInformationBold">
    <w:name w:val="Company Information Bold"/>
    <w:basedOn w:val="CompanyInformation"/>
    <w:rsid w:val="0093137B"/>
    <w:rPr>
      <w:b/>
    </w:rPr>
  </w:style>
  <w:style w:type="paragraph" w:styleId="TableofAuthorities">
    <w:name w:val="table of authorities"/>
    <w:basedOn w:val="Normal"/>
    <w:semiHidden/>
    <w:rsid w:val="007220DF"/>
    <w:pPr>
      <w:tabs>
        <w:tab w:val="right" w:leader="dot" w:pos="7560"/>
      </w:tabs>
      <w:ind w:left="1440" w:hanging="360"/>
    </w:pPr>
  </w:style>
  <w:style w:type="paragraph" w:styleId="TableofFigures">
    <w:name w:val="table of figures"/>
    <w:basedOn w:val="Normal"/>
    <w:semiHidden/>
    <w:rsid w:val="00720551"/>
    <w:pPr>
      <w:ind w:left="1440" w:hanging="360"/>
    </w:pPr>
  </w:style>
  <w:style w:type="paragraph" w:styleId="TOAHeading">
    <w:name w:val="toa heading"/>
    <w:basedOn w:val="Normal"/>
    <w:next w:val="TableofAuthorities"/>
    <w:semiHidden/>
    <w:rsid w:val="007220DF"/>
    <w:pPr>
      <w:keepNext/>
      <w:spacing w:line="480" w:lineRule="atLeast"/>
    </w:pPr>
    <w:rPr>
      <w:rFonts w:ascii="Arial Black" w:hAnsi="Arial Black"/>
      <w:b/>
      <w:spacing w:val="-10"/>
      <w:kern w:val="28"/>
    </w:rPr>
  </w:style>
  <w:style w:type="paragraph" w:styleId="TOC1">
    <w:name w:val="toc 1"/>
    <w:basedOn w:val="Normal"/>
    <w:autoRedefine/>
    <w:uiPriority w:val="39"/>
    <w:rsid w:val="00C60371"/>
    <w:pPr>
      <w:tabs>
        <w:tab w:val="left" w:pos="2913"/>
        <w:tab w:val="right" w:leader="dot" w:pos="8779"/>
      </w:tabs>
    </w:pPr>
    <w:rPr>
      <w:b/>
      <w:spacing w:val="-4"/>
      <w:sz w:val="22"/>
      <w:szCs w:val="22"/>
      <w:u w:val="single"/>
    </w:rPr>
  </w:style>
  <w:style w:type="paragraph" w:styleId="TOC2">
    <w:name w:val="toc 2"/>
    <w:basedOn w:val="Normal"/>
    <w:autoRedefine/>
    <w:semiHidden/>
    <w:rsid w:val="00720551"/>
    <w:pPr>
      <w:ind w:left="360"/>
    </w:pPr>
  </w:style>
  <w:style w:type="paragraph" w:styleId="TOC3">
    <w:name w:val="toc 3"/>
    <w:basedOn w:val="Normal"/>
    <w:autoRedefine/>
    <w:semiHidden/>
    <w:rsid w:val="00720551"/>
    <w:pPr>
      <w:ind w:left="360"/>
    </w:pPr>
  </w:style>
  <w:style w:type="paragraph" w:styleId="TOC4">
    <w:name w:val="toc 4"/>
    <w:basedOn w:val="Normal"/>
    <w:autoRedefine/>
    <w:semiHidden/>
    <w:rsid w:val="00720551"/>
    <w:pPr>
      <w:ind w:left="360"/>
    </w:pPr>
  </w:style>
  <w:style w:type="paragraph" w:styleId="TOC5">
    <w:name w:val="toc 5"/>
    <w:basedOn w:val="Normal"/>
    <w:autoRedefine/>
    <w:semiHidden/>
    <w:rsid w:val="00720551"/>
    <w:pPr>
      <w:ind w:left="360"/>
    </w:pPr>
  </w:style>
  <w:style w:type="paragraph" w:customStyle="1" w:styleId="Chapter">
    <w:name w:val="Chapter"/>
    <w:basedOn w:val="Normal"/>
    <w:rsid w:val="002D2F24"/>
    <w:pPr>
      <w:spacing w:before="20"/>
    </w:pPr>
    <w:rPr>
      <w:caps/>
      <w:color w:val="808080"/>
      <w:sz w:val="15"/>
      <w:szCs w:val="17"/>
    </w:rPr>
  </w:style>
  <w:style w:type="paragraph" w:customStyle="1" w:styleId="ChapterBold">
    <w:name w:val="Chapter Bold"/>
    <w:basedOn w:val="Chapter"/>
    <w:rsid w:val="0093137B"/>
    <w:rPr>
      <w:b/>
    </w:rPr>
  </w:style>
  <w:style w:type="paragraph" w:customStyle="1" w:styleId="CompanyInformationItalic">
    <w:name w:val="Company Information Italic"/>
    <w:basedOn w:val="CompanyInformation"/>
    <w:link w:val="CompanyInformationItalicChar"/>
    <w:rsid w:val="002D2F24"/>
    <w:rPr>
      <w:i/>
    </w:rPr>
  </w:style>
  <w:style w:type="character" w:customStyle="1" w:styleId="CompanyInformationItalicChar">
    <w:name w:val="Company Information Italic Char"/>
    <w:link w:val="CompanyInformationItalic"/>
    <w:locked/>
    <w:rsid w:val="002D2F24"/>
    <w:rPr>
      <w:rFonts w:ascii="Verdana" w:hAnsi="Verdana" w:cs="Times New Roman"/>
      <w:i/>
      <w:color w:val="808080"/>
      <w:sz w:val="15"/>
      <w:lang w:val="en-US" w:eastAsia="en-US" w:bidi="ar-SA"/>
    </w:rPr>
  </w:style>
  <w:style w:type="paragraph" w:styleId="Footer">
    <w:name w:val="footer"/>
    <w:basedOn w:val="Normal"/>
    <w:link w:val="FooterChar"/>
    <w:uiPriority w:val="99"/>
    <w:rsid w:val="00872B23"/>
    <w:pPr>
      <w:tabs>
        <w:tab w:val="center" w:pos="4320"/>
        <w:tab w:val="right" w:pos="8640"/>
      </w:tabs>
    </w:pPr>
  </w:style>
  <w:style w:type="character" w:customStyle="1" w:styleId="FooterChar">
    <w:name w:val="Footer Char"/>
    <w:link w:val="Footer"/>
    <w:uiPriority w:val="99"/>
    <w:locked/>
    <w:rsid w:val="00A92048"/>
    <w:rPr>
      <w:rFonts w:ascii="Verdana" w:hAnsi="Verdana" w:cs="Times New Roman"/>
      <w:sz w:val="17"/>
      <w:lang w:val="en-US" w:eastAsia="en-US"/>
    </w:rPr>
  </w:style>
  <w:style w:type="paragraph" w:styleId="Title">
    <w:name w:val="Title"/>
    <w:basedOn w:val="Normal"/>
    <w:link w:val="TitleChar"/>
    <w:qFormat/>
    <w:rsid w:val="00CF2180"/>
    <w:pPr>
      <w:spacing w:before="2000"/>
    </w:pPr>
    <w:rPr>
      <w:b/>
      <w:caps/>
      <w:sz w:val="40"/>
      <w:szCs w:val="40"/>
    </w:rPr>
  </w:style>
  <w:style w:type="character" w:customStyle="1" w:styleId="TitleChar">
    <w:name w:val="Title Char"/>
    <w:link w:val="Title"/>
    <w:locked/>
    <w:rsid w:val="00A92048"/>
    <w:rPr>
      <w:rFonts w:ascii="Cambria" w:hAnsi="Cambria" w:cs="Times New Roman"/>
      <w:b/>
      <w:bCs/>
      <w:kern w:val="28"/>
      <w:sz w:val="32"/>
      <w:szCs w:val="32"/>
      <w:lang w:val="en-US" w:eastAsia="en-US"/>
    </w:rPr>
  </w:style>
  <w:style w:type="paragraph" w:styleId="Subtitle">
    <w:name w:val="Subtitle"/>
    <w:basedOn w:val="Normal"/>
    <w:link w:val="SubtitleChar"/>
    <w:qFormat/>
    <w:rsid w:val="00356212"/>
    <w:rPr>
      <w:i/>
      <w:sz w:val="24"/>
    </w:rPr>
  </w:style>
  <w:style w:type="character" w:customStyle="1" w:styleId="SubtitleChar">
    <w:name w:val="Subtitle Char"/>
    <w:link w:val="Subtitle"/>
    <w:locked/>
    <w:rsid w:val="00A92048"/>
    <w:rPr>
      <w:rFonts w:ascii="Cambria" w:hAnsi="Cambria" w:cs="Times New Roman"/>
      <w:sz w:val="24"/>
      <w:szCs w:val="24"/>
      <w:lang w:val="en-US" w:eastAsia="en-US"/>
    </w:rPr>
  </w:style>
  <w:style w:type="paragraph" w:customStyle="1" w:styleId="BulletedListBold">
    <w:name w:val="Bulleted List Bold"/>
    <w:basedOn w:val="BulletedList"/>
    <w:link w:val="BulletedListBoldChar"/>
    <w:rsid w:val="00971A83"/>
    <w:rPr>
      <w:b/>
      <w:bCs/>
    </w:rPr>
  </w:style>
  <w:style w:type="character" w:customStyle="1" w:styleId="BulletedListBoldChar">
    <w:name w:val="Bulleted List Bold Char"/>
    <w:link w:val="BulletedListBold"/>
    <w:locked/>
    <w:rsid w:val="00971A83"/>
    <w:rPr>
      <w:rFonts w:ascii="Verdana" w:hAnsi="Verdana"/>
      <w:b/>
      <w:bCs/>
      <w:sz w:val="22"/>
      <w:lang w:eastAsia="en-US"/>
    </w:rPr>
  </w:style>
  <w:style w:type="paragraph" w:customStyle="1" w:styleId="NumberedListBold">
    <w:name w:val="Numbered List Bold"/>
    <w:basedOn w:val="NumberedList"/>
    <w:link w:val="NumberedListBoldChar"/>
    <w:rsid w:val="00971A83"/>
    <w:rPr>
      <w:b/>
      <w:bCs/>
    </w:rPr>
  </w:style>
  <w:style w:type="character" w:customStyle="1" w:styleId="NumberedListBoldChar">
    <w:name w:val="Numbered List Bold Char"/>
    <w:link w:val="NumberedListBold"/>
    <w:locked/>
    <w:rsid w:val="00971A83"/>
    <w:rPr>
      <w:rFonts w:ascii="Verdana" w:hAnsi="Verdana"/>
      <w:b/>
      <w:bCs/>
      <w:lang w:eastAsia="en-US"/>
    </w:rPr>
  </w:style>
  <w:style w:type="character" w:customStyle="1" w:styleId="Lead-inEmphasis">
    <w:name w:val="Lead-in Emphasis"/>
    <w:rsid w:val="00E75ABB"/>
    <w:rPr>
      <w:rFonts w:ascii="Tahoma" w:hAnsi="Tahoma"/>
      <w:b/>
      <w:spacing w:val="4"/>
      <w:kern w:val="0"/>
    </w:rPr>
  </w:style>
  <w:style w:type="character" w:styleId="Hyperlink">
    <w:name w:val="Hyperlink"/>
    <w:rsid w:val="009B1D11"/>
    <w:rPr>
      <w:rFonts w:cs="Times New Roman"/>
      <w:color w:val="0000FF"/>
      <w:u w:val="single"/>
    </w:rPr>
  </w:style>
  <w:style w:type="paragraph" w:styleId="BodyText2">
    <w:name w:val="Body Text 2"/>
    <w:basedOn w:val="Normal"/>
    <w:link w:val="BodyText2Char"/>
    <w:rsid w:val="00D368EA"/>
    <w:pPr>
      <w:spacing w:after="120" w:line="480" w:lineRule="auto"/>
    </w:pPr>
  </w:style>
  <w:style w:type="character" w:customStyle="1" w:styleId="BodyText2Char">
    <w:name w:val="Body Text 2 Char"/>
    <w:link w:val="BodyText2"/>
    <w:semiHidden/>
    <w:locked/>
    <w:rsid w:val="00A92048"/>
    <w:rPr>
      <w:rFonts w:ascii="Verdana" w:hAnsi="Verdana" w:cs="Times New Roman"/>
      <w:sz w:val="17"/>
      <w:lang w:val="en-US" w:eastAsia="en-US"/>
    </w:rPr>
  </w:style>
  <w:style w:type="paragraph" w:styleId="CommentSubject">
    <w:name w:val="annotation subject"/>
    <w:basedOn w:val="CommentText"/>
    <w:next w:val="CommentText"/>
    <w:link w:val="CommentSubjectChar"/>
    <w:semiHidden/>
    <w:rsid w:val="00C9199C"/>
    <w:rPr>
      <w:b/>
      <w:bCs/>
    </w:rPr>
  </w:style>
  <w:style w:type="character" w:customStyle="1" w:styleId="CommentSubjectChar">
    <w:name w:val="Comment Subject Char"/>
    <w:link w:val="CommentSubject"/>
    <w:semiHidden/>
    <w:locked/>
    <w:rsid w:val="00A92048"/>
    <w:rPr>
      <w:rFonts w:ascii="Verdana" w:hAnsi="Verdana" w:cs="Times New Roman"/>
      <w:b/>
      <w:bCs/>
      <w:lang w:val="en-US" w:eastAsia="en-US"/>
    </w:rPr>
  </w:style>
  <w:style w:type="paragraph" w:customStyle="1" w:styleId="Char">
    <w:name w:val="Char"/>
    <w:basedOn w:val="Normal"/>
    <w:rsid w:val="00FE2A70"/>
    <w:pPr>
      <w:spacing w:after="160" w:line="240" w:lineRule="exact"/>
    </w:pPr>
    <w:rPr>
      <w:rFonts w:cs="Verdana"/>
    </w:rPr>
  </w:style>
  <w:style w:type="table" w:styleId="TableGrid">
    <w:name w:val="Table Grid"/>
    <w:basedOn w:val="TableNormal"/>
    <w:uiPriority w:val="59"/>
    <w:rsid w:val="00D11FF3"/>
    <w:pPr>
      <w:spacing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9E34D9"/>
    <w:rPr>
      <w:rFonts w:cs="Times New Roman"/>
    </w:rPr>
  </w:style>
  <w:style w:type="paragraph" w:customStyle="1" w:styleId="EmailStyle951">
    <w:name w:val="EmailStyle951"/>
    <w:basedOn w:val="Normal"/>
    <w:semiHidden/>
    <w:rsid w:val="003243A8"/>
    <w:pPr>
      <w:spacing w:line="240" w:lineRule="auto"/>
    </w:pPr>
    <w:rPr>
      <w:rFonts w:ascii="Arial" w:hAnsi="Arial"/>
      <w:sz w:val="22"/>
    </w:rPr>
  </w:style>
  <w:style w:type="paragraph" w:customStyle="1" w:styleId="Pa13">
    <w:name w:val="Pa13"/>
    <w:basedOn w:val="Normal"/>
    <w:next w:val="Normal"/>
    <w:rsid w:val="00286DE2"/>
    <w:pPr>
      <w:autoSpaceDE w:val="0"/>
      <w:autoSpaceDN w:val="0"/>
      <w:adjustRightInd w:val="0"/>
      <w:spacing w:after="100" w:line="161" w:lineRule="atLeast"/>
    </w:pPr>
    <w:rPr>
      <w:rFonts w:ascii="Arial" w:hAnsi="Arial"/>
      <w:sz w:val="24"/>
      <w:szCs w:val="24"/>
      <w:lang w:eastAsia="en-AU"/>
    </w:rPr>
  </w:style>
  <w:style w:type="paragraph" w:customStyle="1" w:styleId="Char1">
    <w:name w:val="Char1"/>
    <w:basedOn w:val="Normal"/>
    <w:rsid w:val="00767172"/>
    <w:pPr>
      <w:spacing w:after="160" w:line="240" w:lineRule="exact"/>
    </w:pPr>
    <w:rPr>
      <w:szCs w:val="24"/>
    </w:rPr>
  </w:style>
  <w:style w:type="paragraph" w:customStyle="1" w:styleId="Char4CharCharChar">
    <w:name w:val="Char4 Char Char Char"/>
    <w:basedOn w:val="Normal"/>
    <w:rsid w:val="00E83DDB"/>
    <w:pPr>
      <w:spacing w:after="160" w:line="240" w:lineRule="exact"/>
    </w:pPr>
    <w:rPr>
      <w:szCs w:val="24"/>
    </w:rPr>
  </w:style>
  <w:style w:type="paragraph" w:customStyle="1" w:styleId="03Heading3">
    <w:name w:val="03 Heading 3"/>
    <w:basedOn w:val="Heading3"/>
    <w:rsid w:val="00A9415E"/>
    <w:pPr>
      <w:keepNext/>
      <w:spacing w:after="120"/>
    </w:pPr>
    <w:rPr>
      <w:rFonts w:ascii="Arial" w:hAnsi="Arial"/>
      <w:sz w:val="24"/>
      <w:lang w:eastAsia="en-AU"/>
    </w:rPr>
  </w:style>
  <w:style w:type="paragraph" w:customStyle="1" w:styleId="CharCharCharCharCharCharChar">
    <w:name w:val="Char Char Char Char Char Char Char"/>
    <w:basedOn w:val="Normal"/>
    <w:rsid w:val="00A9415E"/>
    <w:pPr>
      <w:spacing w:after="160" w:line="240" w:lineRule="exact"/>
    </w:pPr>
    <w:rPr>
      <w:szCs w:val="24"/>
    </w:rPr>
  </w:style>
  <w:style w:type="paragraph" w:customStyle="1" w:styleId="Style2">
    <w:name w:val="Style 2"/>
    <w:basedOn w:val="Normal"/>
    <w:rsid w:val="00A9415E"/>
    <w:pPr>
      <w:widowControl w:val="0"/>
      <w:numPr>
        <w:numId w:val="4"/>
      </w:numPr>
      <w:spacing w:after="120" w:line="300" w:lineRule="atLeast"/>
    </w:pPr>
    <w:rPr>
      <w:rFonts w:ascii="Times New Roman" w:hAnsi="Times New Roman"/>
      <w:sz w:val="24"/>
    </w:rPr>
  </w:style>
  <w:style w:type="paragraph" w:customStyle="1" w:styleId="bulletpoint">
    <w:name w:val="bullet point"/>
    <w:basedOn w:val="Style2"/>
    <w:rsid w:val="001A4F04"/>
    <w:pPr>
      <w:numPr>
        <w:ilvl w:val="1"/>
      </w:numPr>
      <w:spacing w:after="0" w:line="288" w:lineRule="auto"/>
      <w:outlineLvl w:val="1"/>
    </w:pPr>
    <w:rPr>
      <w:rFonts w:ascii="Verdana" w:hAnsi="Verdana"/>
      <w:sz w:val="20"/>
    </w:rPr>
  </w:style>
  <w:style w:type="paragraph" w:customStyle="1" w:styleId="dashpoint">
    <w:name w:val="dash point"/>
    <w:basedOn w:val="bulletpoint"/>
    <w:rsid w:val="00A9415E"/>
    <w:pPr>
      <w:numPr>
        <w:ilvl w:val="2"/>
      </w:numPr>
      <w:outlineLvl w:val="2"/>
    </w:pPr>
  </w:style>
  <w:style w:type="table" w:styleId="TableClassic1">
    <w:name w:val="Table Classic 1"/>
    <w:basedOn w:val="TableNormal"/>
    <w:rsid w:val="00A9415E"/>
    <w:rPr>
      <w:rFonts w:eastAsia="SimSu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PlainText">
    <w:name w:val="Plain Text"/>
    <w:basedOn w:val="Normal"/>
    <w:link w:val="PlainTextChar"/>
    <w:uiPriority w:val="99"/>
    <w:rsid w:val="00A9415E"/>
    <w:pPr>
      <w:spacing w:line="240" w:lineRule="auto"/>
    </w:pPr>
    <w:rPr>
      <w:rFonts w:ascii="Arial" w:hAnsi="Arial" w:cs="Arial"/>
      <w:sz w:val="24"/>
      <w:szCs w:val="24"/>
      <w:lang w:eastAsia="en-AU"/>
    </w:rPr>
  </w:style>
  <w:style w:type="character" w:customStyle="1" w:styleId="PlainTextChar">
    <w:name w:val="Plain Text Char"/>
    <w:link w:val="PlainText"/>
    <w:uiPriority w:val="99"/>
    <w:semiHidden/>
    <w:locked/>
    <w:rsid w:val="00A92048"/>
    <w:rPr>
      <w:rFonts w:ascii="Courier New" w:hAnsi="Courier New" w:cs="Courier New"/>
      <w:lang w:val="en-US" w:eastAsia="en-US"/>
    </w:rPr>
  </w:style>
  <w:style w:type="table" w:styleId="TableContemporary">
    <w:name w:val="Table Contemporary"/>
    <w:basedOn w:val="TableNormal"/>
    <w:rsid w:val="00A9415E"/>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customStyle="1" w:styleId="Background">
    <w:name w:val="Background"/>
    <w:basedOn w:val="Normal"/>
    <w:rsid w:val="005B0614"/>
    <w:pPr>
      <w:spacing w:line="240" w:lineRule="auto"/>
    </w:pPr>
    <w:rPr>
      <w:rFonts w:ascii="Times New Roman" w:hAnsi="Times New Roman"/>
      <w:b/>
      <w:sz w:val="28"/>
      <w:u w:val="single"/>
    </w:rPr>
  </w:style>
  <w:style w:type="paragraph" w:styleId="NormalWeb">
    <w:name w:val="Normal (Web)"/>
    <w:basedOn w:val="Normal"/>
    <w:uiPriority w:val="99"/>
    <w:rsid w:val="00D52BD8"/>
    <w:pPr>
      <w:spacing w:before="100" w:beforeAutospacing="1" w:after="100" w:afterAutospacing="1" w:line="240" w:lineRule="auto"/>
    </w:pPr>
    <w:rPr>
      <w:rFonts w:ascii="Times New Roman" w:hAnsi="Times New Roman"/>
      <w:sz w:val="24"/>
      <w:szCs w:val="24"/>
      <w:lang w:eastAsia="en-AU"/>
    </w:rPr>
  </w:style>
  <w:style w:type="paragraph" w:customStyle="1" w:styleId="Default">
    <w:name w:val="Default"/>
    <w:rsid w:val="00D52BD8"/>
    <w:pPr>
      <w:autoSpaceDE w:val="0"/>
      <w:autoSpaceDN w:val="0"/>
      <w:adjustRightInd w:val="0"/>
    </w:pPr>
    <w:rPr>
      <w:color w:val="000000"/>
      <w:sz w:val="24"/>
      <w:szCs w:val="24"/>
    </w:rPr>
  </w:style>
  <w:style w:type="paragraph" w:styleId="DocumentMap">
    <w:name w:val="Document Map"/>
    <w:basedOn w:val="Normal"/>
    <w:link w:val="DocumentMapChar"/>
    <w:semiHidden/>
    <w:rsid w:val="004A5F9C"/>
    <w:pPr>
      <w:shd w:val="clear" w:color="auto" w:fill="000080"/>
    </w:pPr>
    <w:rPr>
      <w:rFonts w:ascii="MS Shell Dlg" w:hAnsi="MS Shell Dlg" w:cs="MS Shell Dlg"/>
    </w:rPr>
  </w:style>
  <w:style w:type="character" w:customStyle="1" w:styleId="DocumentMapChar">
    <w:name w:val="Document Map Char"/>
    <w:link w:val="DocumentMap"/>
    <w:semiHidden/>
    <w:locked/>
    <w:rsid w:val="00A92048"/>
    <w:rPr>
      <w:rFonts w:cs="Times New Roman"/>
      <w:sz w:val="2"/>
      <w:lang w:val="en-US" w:eastAsia="en-US"/>
    </w:rPr>
  </w:style>
  <w:style w:type="paragraph" w:customStyle="1" w:styleId="Pa0">
    <w:name w:val="Pa0"/>
    <w:basedOn w:val="Default"/>
    <w:next w:val="Default"/>
    <w:rsid w:val="00720BB1"/>
    <w:pPr>
      <w:widowControl w:val="0"/>
      <w:spacing w:line="241" w:lineRule="atLeast"/>
    </w:pPr>
    <w:rPr>
      <w:rFonts w:ascii="Myriad Pro" w:hAnsi="Myriad Pro"/>
      <w:color w:val="auto"/>
      <w:lang w:val="en-US" w:eastAsia="en-US"/>
    </w:rPr>
  </w:style>
  <w:style w:type="character" w:customStyle="1" w:styleId="A4">
    <w:name w:val="A4"/>
    <w:rsid w:val="00720BB1"/>
    <w:rPr>
      <w:rFonts w:ascii="Arial" w:hAnsi="Arial"/>
      <w:b/>
      <w:color w:val="456F82"/>
      <w:sz w:val="22"/>
    </w:rPr>
  </w:style>
  <w:style w:type="paragraph" w:customStyle="1" w:styleId="Pa2">
    <w:name w:val="Pa2"/>
    <w:basedOn w:val="Default"/>
    <w:next w:val="Default"/>
    <w:rsid w:val="00720BB1"/>
    <w:pPr>
      <w:widowControl w:val="0"/>
      <w:spacing w:line="241" w:lineRule="atLeast"/>
    </w:pPr>
    <w:rPr>
      <w:rFonts w:ascii="Myriad Pro" w:hAnsi="Myriad Pro"/>
      <w:color w:val="auto"/>
      <w:lang w:val="en-US" w:eastAsia="en-US"/>
    </w:rPr>
  </w:style>
  <w:style w:type="character" w:customStyle="1" w:styleId="A6">
    <w:name w:val="A6"/>
    <w:rsid w:val="00720BB1"/>
    <w:rPr>
      <w:rFonts w:ascii="Arial" w:hAnsi="Arial"/>
      <w:color w:val="221E1F"/>
      <w:sz w:val="20"/>
    </w:rPr>
  </w:style>
  <w:style w:type="paragraph" w:customStyle="1" w:styleId="Pa15">
    <w:name w:val="Pa15"/>
    <w:basedOn w:val="Default"/>
    <w:next w:val="Default"/>
    <w:rsid w:val="00720BB1"/>
    <w:pPr>
      <w:widowControl w:val="0"/>
      <w:spacing w:line="241" w:lineRule="atLeast"/>
    </w:pPr>
    <w:rPr>
      <w:rFonts w:ascii="Myriad Pro" w:hAnsi="Myriad Pro"/>
      <w:color w:val="auto"/>
      <w:lang w:val="en-US" w:eastAsia="en-US"/>
    </w:rPr>
  </w:style>
  <w:style w:type="character" w:customStyle="1" w:styleId="A14">
    <w:name w:val="A14"/>
    <w:rsid w:val="00720BB1"/>
    <w:rPr>
      <w:rFonts w:ascii="Arial" w:hAnsi="Arial"/>
      <w:b/>
      <w:color w:val="221E1F"/>
      <w:sz w:val="17"/>
    </w:rPr>
  </w:style>
  <w:style w:type="character" w:styleId="FollowedHyperlink">
    <w:name w:val="FollowedHyperlink"/>
    <w:locked/>
    <w:rsid w:val="0094200C"/>
    <w:rPr>
      <w:rFonts w:cs="Times New Roman"/>
      <w:color w:val="800080"/>
      <w:u w:val="single"/>
    </w:rPr>
  </w:style>
  <w:style w:type="character" w:customStyle="1" w:styleId="CharChar11">
    <w:name w:val="Char Char11"/>
    <w:semiHidden/>
    <w:locked/>
    <w:rsid w:val="007E1D1C"/>
    <w:rPr>
      <w:rFonts w:ascii="Verdana" w:hAnsi="Verdana" w:cs="Times New Roman"/>
      <w:lang w:val="en-US" w:eastAsia="en-US"/>
    </w:rPr>
  </w:style>
  <w:style w:type="numbering" w:customStyle="1" w:styleId="StyleOutlinenumbered">
    <w:name w:val="Style Outline numbered"/>
    <w:rsid w:val="004F343B"/>
    <w:pPr>
      <w:numPr>
        <w:numId w:val="5"/>
      </w:numPr>
    </w:pPr>
  </w:style>
  <w:style w:type="paragraph" w:customStyle="1" w:styleId="Pa5">
    <w:name w:val="Pa5"/>
    <w:basedOn w:val="Default"/>
    <w:next w:val="Default"/>
    <w:rsid w:val="008822EE"/>
    <w:pPr>
      <w:spacing w:line="171" w:lineRule="atLeast"/>
    </w:pPr>
    <w:rPr>
      <w:rFonts w:ascii="MetaNormal-Roman" w:hAnsi="MetaNormal-Roman"/>
      <w:color w:val="auto"/>
    </w:rPr>
  </w:style>
  <w:style w:type="paragraph" w:customStyle="1" w:styleId="Pa6">
    <w:name w:val="Pa6"/>
    <w:basedOn w:val="Default"/>
    <w:next w:val="Default"/>
    <w:rsid w:val="008822EE"/>
    <w:pPr>
      <w:spacing w:line="171" w:lineRule="atLeast"/>
    </w:pPr>
    <w:rPr>
      <w:rFonts w:ascii="MetaNormal-Roman" w:hAnsi="MetaNormal-Roman"/>
      <w:color w:val="auto"/>
    </w:rPr>
  </w:style>
  <w:style w:type="character" w:customStyle="1" w:styleId="A5">
    <w:name w:val="A5"/>
    <w:rsid w:val="008822EE"/>
    <w:rPr>
      <w:rFonts w:cs="MetaNormal-Roman"/>
      <w:color w:val="221E1F"/>
      <w:sz w:val="17"/>
      <w:szCs w:val="17"/>
    </w:rPr>
  </w:style>
  <w:style w:type="character" w:customStyle="1" w:styleId="CommentTextChar">
    <w:name w:val="Comment Text Char"/>
    <w:semiHidden/>
    <w:locked/>
    <w:rsid w:val="00A430E1"/>
    <w:rPr>
      <w:rFonts w:ascii="Verdana" w:hAnsi="Verdana" w:cs="Times New Roman"/>
      <w:lang w:val="en-US" w:eastAsia="en-US"/>
    </w:rPr>
  </w:style>
  <w:style w:type="character" w:styleId="Emphasis">
    <w:name w:val="Emphasis"/>
    <w:qFormat/>
    <w:rsid w:val="00DA3770"/>
    <w:rPr>
      <w:i/>
      <w:iCs/>
    </w:rPr>
  </w:style>
  <w:style w:type="paragraph" w:styleId="ListParagraph">
    <w:name w:val="List Paragraph"/>
    <w:basedOn w:val="Normal"/>
    <w:uiPriority w:val="34"/>
    <w:qFormat/>
    <w:rsid w:val="00917B2B"/>
    <w:pPr>
      <w:spacing w:line="240" w:lineRule="auto"/>
      <w:ind w:left="720"/>
    </w:pPr>
    <w:rPr>
      <w:rFonts w:ascii="Calibri" w:eastAsia="Calibri" w:hAnsi="Calibri" w:cs="Calibri"/>
      <w:sz w:val="22"/>
      <w:szCs w:val="22"/>
      <w:lang w:eastAsia="en-AU"/>
    </w:rPr>
  </w:style>
  <w:style w:type="character" w:styleId="BookTitle">
    <w:name w:val="Book Title"/>
    <w:uiPriority w:val="33"/>
    <w:qFormat/>
    <w:rsid w:val="002B2661"/>
    <w:rPr>
      <w:i/>
      <w:iCs/>
      <w:smallCaps/>
      <w:spacing w:val="5"/>
    </w:rPr>
  </w:style>
  <w:style w:type="character" w:customStyle="1" w:styleId="st">
    <w:name w:val="st"/>
    <w:rsid w:val="003567AE"/>
  </w:style>
  <w:style w:type="paragraph" w:customStyle="1" w:styleId="pa4">
    <w:name w:val="pa4"/>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50">
    <w:name w:val="pa5"/>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pa60">
    <w:name w:val="pa6"/>
    <w:basedOn w:val="Normal"/>
    <w:rsid w:val="00B30E0C"/>
    <w:pPr>
      <w:spacing w:before="100" w:beforeAutospacing="1" w:after="100" w:afterAutospacing="1" w:line="240" w:lineRule="auto"/>
    </w:pPr>
    <w:rPr>
      <w:rFonts w:ascii="Times New Roman" w:eastAsia="Calibri" w:hAnsi="Times New Roman"/>
      <w:sz w:val="24"/>
      <w:szCs w:val="24"/>
      <w:lang w:eastAsia="en-AU"/>
    </w:rPr>
  </w:style>
  <w:style w:type="paragraph" w:customStyle="1" w:styleId="StyleListBullet2After6ptLinespacingExactly13pt">
    <w:name w:val="Style List Bullet 2 + After:  6 pt Line spacing:  Exactly 13 pt"/>
    <w:basedOn w:val="ListBullet2"/>
    <w:rsid w:val="00AC4CB9"/>
  </w:style>
  <w:style w:type="paragraph" w:styleId="ListBullet">
    <w:name w:val="List Bullet"/>
    <w:basedOn w:val="Normal"/>
    <w:qFormat/>
    <w:locked/>
    <w:rsid w:val="009D2166"/>
    <w:pPr>
      <w:numPr>
        <w:numId w:val="6"/>
      </w:numPr>
      <w:contextualSpacing/>
    </w:pPr>
  </w:style>
  <w:style w:type="paragraph" w:styleId="ListBullet2">
    <w:name w:val="List Bullet 2"/>
    <w:basedOn w:val="Normal"/>
    <w:qFormat/>
    <w:locked/>
    <w:rsid w:val="00A01905"/>
    <w:pPr>
      <w:numPr>
        <w:numId w:val="7"/>
      </w:numPr>
      <w:spacing w:after="120"/>
      <w:ind w:left="754" w:hanging="357"/>
      <w:contextualSpacing/>
    </w:pPr>
  </w:style>
  <w:style w:type="paragraph" w:customStyle="1" w:styleId="StyleTableTextBoldCentered">
    <w:name w:val="Style Table Text + Bold Centered"/>
    <w:basedOn w:val="TableText"/>
    <w:qFormat/>
    <w:rsid w:val="00C502BD"/>
    <w:pPr>
      <w:jc w:val="center"/>
    </w:pPr>
    <w:rPr>
      <w:b/>
      <w:bCs/>
    </w:rPr>
  </w:style>
  <w:style w:type="paragraph" w:styleId="Revision">
    <w:name w:val="Revision"/>
    <w:hidden/>
    <w:uiPriority w:val="99"/>
    <w:semiHidden/>
    <w:rsid w:val="000347E0"/>
    <w:rPr>
      <w:rFonts w:ascii="Verdana" w:hAnsi="Verdana"/>
      <w:lang w:eastAsia="en-US"/>
    </w:rPr>
  </w:style>
  <w:style w:type="table" w:customStyle="1" w:styleId="TableGrid1">
    <w:name w:val="Table Grid1"/>
    <w:basedOn w:val="TableNormal"/>
    <w:next w:val="TableGrid"/>
    <w:uiPriority w:val="99"/>
    <w:rsid w:val="009B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2E16"/>
    <w:rPr>
      <w:color w:val="605E5C"/>
      <w:shd w:val="clear" w:color="auto" w:fill="E1DFDD"/>
    </w:rPr>
  </w:style>
  <w:style w:type="character" w:customStyle="1" w:styleId="BodyText1">
    <w:name w:val="Body Text1"/>
    <w:rsid w:val="00F003D1"/>
    <w:rPr>
      <w:rFonts w:ascii="Swiss721BT-Roman" w:hAnsi="Swiss721BT-Roman"/>
      <w:color w:val="000000"/>
      <w:spacing w:val="-2"/>
      <w:sz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750"/>
      <w:marRight w:val="0"/>
      <w:marTop w:val="30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
      </w:divsChild>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
      </w:divsChild>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2632283">
      <w:bodyDiv w:val="1"/>
      <w:marLeft w:val="0"/>
      <w:marRight w:val="0"/>
      <w:marTop w:val="0"/>
      <w:marBottom w:val="0"/>
      <w:divBdr>
        <w:top w:val="none" w:sz="0" w:space="0" w:color="auto"/>
        <w:left w:val="none" w:sz="0" w:space="0" w:color="auto"/>
        <w:bottom w:val="none" w:sz="0" w:space="0" w:color="auto"/>
        <w:right w:val="none" w:sz="0" w:space="0" w:color="auto"/>
      </w:divBdr>
    </w:div>
    <w:div w:id="25453520">
      <w:bodyDiv w:val="1"/>
      <w:marLeft w:val="0"/>
      <w:marRight w:val="0"/>
      <w:marTop w:val="0"/>
      <w:marBottom w:val="0"/>
      <w:divBdr>
        <w:top w:val="none" w:sz="0" w:space="0" w:color="auto"/>
        <w:left w:val="none" w:sz="0" w:space="0" w:color="auto"/>
        <w:bottom w:val="none" w:sz="0" w:space="0" w:color="auto"/>
        <w:right w:val="none" w:sz="0" w:space="0" w:color="auto"/>
      </w:divBdr>
    </w:div>
    <w:div w:id="28839952">
      <w:bodyDiv w:val="1"/>
      <w:marLeft w:val="0"/>
      <w:marRight w:val="0"/>
      <w:marTop w:val="0"/>
      <w:marBottom w:val="0"/>
      <w:divBdr>
        <w:top w:val="none" w:sz="0" w:space="0" w:color="auto"/>
        <w:left w:val="none" w:sz="0" w:space="0" w:color="auto"/>
        <w:bottom w:val="none" w:sz="0" w:space="0" w:color="auto"/>
        <w:right w:val="none" w:sz="0" w:space="0" w:color="auto"/>
      </w:divBdr>
    </w:div>
    <w:div w:id="85273266">
      <w:bodyDiv w:val="1"/>
      <w:marLeft w:val="0"/>
      <w:marRight w:val="0"/>
      <w:marTop w:val="0"/>
      <w:marBottom w:val="0"/>
      <w:divBdr>
        <w:top w:val="none" w:sz="0" w:space="0" w:color="auto"/>
        <w:left w:val="none" w:sz="0" w:space="0" w:color="auto"/>
        <w:bottom w:val="none" w:sz="0" w:space="0" w:color="auto"/>
        <w:right w:val="none" w:sz="0" w:space="0" w:color="auto"/>
      </w:divBdr>
    </w:div>
    <w:div w:id="97795342">
      <w:bodyDiv w:val="1"/>
      <w:marLeft w:val="0"/>
      <w:marRight w:val="0"/>
      <w:marTop w:val="0"/>
      <w:marBottom w:val="0"/>
      <w:divBdr>
        <w:top w:val="none" w:sz="0" w:space="0" w:color="auto"/>
        <w:left w:val="none" w:sz="0" w:space="0" w:color="auto"/>
        <w:bottom w:val="none" w:sz="0" w:space="0" w:color="auto"/>
        <w:right w:val="none" w:sz="0" w:space="0" w:color="auto"/>
      </w:divBdr>
    </w:div>
    <w:div w:id="108472955">
      <w:bodyDiv w:val="1"/>
      <w:marLeft w:val="0"/>
      <w:marRight w:val="0"/>
      <w:marTop w:val="0"/>
      <w:marBottom w:val="0"/>
      <w:divBdr>
        <w:top w:val="none" w:sz="0" w:space="0" w:color="auto"/>
        <w:left w:val="none" w:sz="0" w:space="0" w:color="auto"/>
        <w:bottom w:val="none" w:sz="0" w:space="0" w:color="auto"/>
        <w:right w:val="none" w:sz="0" w:space="0" w:color="auto"/>
      </w:divBdr>
    </w:div>
    <w:div w:id="118425096">
      <w:bodyDiv w:val="1"/>
      <w:marLeft w:val="0"/>
      <w:marRight w:val="0"/>
      <w:marTop w:val="0"/>
      <w:marBottom w:val="0"/>
      <w:divBdr>
        <w:top w:val="none" w:sz="0" w:space="0" w:color="auto"/>
        <w:left w:val="none" w:sz="0" w:space="0" w:color="auto"/>
        <w:bottom w:val="none" w:sz="0" w:space="0" w:color="auto"/>
        <w:right w:val="none" w:sz="0" w:space="0" w:color="auto"/>
      </w:divBdr>
    </w:div>
    <w:div w:id="119764475">
      <w:bodyDiv w:val="1"/>
      <w:marLeft w:val="0"/>
      <w:marRight w:val="0"/>
      <w:marTop w:val="0"/>
      <w:marBottom w:val="0"/>
      <w:divBdr>
        <w:top w:val="none" w:sz="0" w:space="0" w:color="auto"/>
        <w:left w:val="none" w:sz="0" w:space="0" w:color="auto"/>
        <w:bottom w:val="none" w:sz="0" w:space="0" w:color="auto"/>
        <w:right w:val="none" w:sz="0" w:space="0" w:color="auto"/>
      </w:divBdr>
    </w:div>
    <w:div w:id="163278385">
      <w:bodyDiv w:val="1"/>
      <w:marLeft w:val="0"/>
      <w:marRight w:val="0"/>
      <w:marTop w:val="0"/>
      <w:marBottom w:val="0"/>
      <w:divBdr>
        <w:top w:val="none" w:sz="0" w:space="0" w:color="auto"/>
        <w:left w:val="none" w:sz="0" w:space="0" w:color="auto"/>
        <w:bottom w:val="none" w:sz="0" w:space="0" w:color="auto"/>
        <w:right w:val="none" w:sz="0" w:space="0" w:color="auto"/>
      </w:divBdr>
    </w:div>
    <w:div w:id="189226882">
      <w:bodyDiv w:val="1"/>
      <w:marLeft w:val="0"/>
      <w:marRight w:val="0"/>
      <w:marTop w:val="0"/>
      <w:marBottom w:val="0"/>
      <w:divBdr>
        <w:top w:val="none" w:sz="0" w:space="0" w:color="auto"/>
        <w:left w:val="none" w:sz="0" w:space="0" w:color="auto"/>
        <w:bottom w:val="none" w:sz="0" w:space="0" w:color="auto"/>
        <w:right w:val="none" w:sz="0" w:space="0" w:color="auto"/>
      </w:divBdr>
    </w:div>
    <w:div w:id="189803001">
      <w:bodyDiv w:val="1"/>
      <w:marLeft w:val="0"/>
      <w:marRight w:val="0"/>
      <w:marTop w:val="0"/>
      <w:marBottom w:val="0"/>
      <w:divBdr>
        <w:top w:val="none" w:sz="0" w:space="0" w:color="auto"/>
        <w:left w:val="none" w:sz="0" w:space="0" w:color="auto"/>
        <w:bottom w:val="none" w:sz="0" w:space="0" w:color="auto"/>
        <w:right w:val="none" w:sz="0" w:space="0" w:color="auto"/>
      </w:divBdr>
    </w:div>
    <w:div w:id="192349877">
      <w:bodyDiv w:val="1"/>
      <w:marLeft w:val="0"/>
      <w:marRight w:val="0"/>
      <w:marTop w:val="0"/>
      <w:marBottom w:val="0"/>
      <w:divBdr>
        <w:top w:val="none" w:sz="0" w:space="0" w:color="auto"/>
        <w:left w:val="none" w:sz="0" w:space="0" w:color="auto"/>
        <w:bottom w:val="none" w:sz="0" w:space="0" w:color="auto"/>
        <w:right w:val="none" w:sz="0" w:space="0" w:color="auto"/>
      </w:divBdr>
    </w:div>
    <w:div w:id="251863956">
      <w:bodyDiv w:val="1"/>
      <w:marLeft w:val="0"/>
      <w:marRight w:val="0"/>
      <w:marTop w:val="0"/>
      <w:marBottom w:val="0"/>
      <w:divBdr>
        <w:top w:val="none" w:sz="0" w:space="0" w:color="auto"/>
        <w:left w:val="none" w:sz="0" w:space="0" w:color="auto"/>
        <w:bottom w:val="none" w:sz="0" w:space="0" w:color="auto"/>
        <w:right w:val="none" w:sz="0" w:space="0" w:color="auto"/>
      </w:divBdr>
    </w:div>
    <w:div w:id="256060814">
      <w:bodyDiv w:val="1"/>
      <w:marLeft w:val="0"/>
      <w:marRight w:val="0"/>
      <w:marTop w:val="0"/>
      <w:marBottom w:val="0"/>
      <w:divBdr>
        <w:top w:val="none" w:sz="0" w:space="0" w:color="auto"/>
        <w:left w:val="none" w:sz="0" w:space="0" w:color="auto"/>
        <w:bottom w:val="none" w:sz="0" w:space="0" w:color="auto"/>
        <w:right w:val="none" w:sz="0" w:space="0" w:color="auto"/>
      </w:divBdr>
    </w:div>
    <w:div w:id="307052786">
      <w:bodyDiv w:val="1"/>
      <w:marLeft w:val="0"/>
      <w:marRight w:val="0"/>
      <w:marTop w:val="0"/>
      <w:marBottom w:val="0"/>
      <w:divBdr>
        <w:top w:val="none" w:sz="0" w:space="0" w:color="auto"/>
        <w:left w:val="none" w:sz="0" w:space="0" w:color="auto"/>
        <w:bottom w:val="none" w:sz="0" w:space="0" w:color="auto"/>
        <w:right w:val="none" w:sz="0" w:space="0" w:color="auto"/>
      </w:divBdr>
    </w:div>
    <w:div w:id="308292280">
      <w:bodyDiv w:val="1"/>
      <w:marLeft w:val="0"/>
      <w:marRight w:val="0"/>
      <w:marTop w:val="0"/>
      <w:marBottom w:val="0"/>
      <w:divBdr>
        <w:top w:val="none" w:sz="0" w:space="0" w:color="auto"/>
        <w:left w:val="none" w:sz="0" w:space="0" w:color="auto"/>
        <w:bottom w:val="none" w:sz="0" w:space="0" w:color="auto"/>
        <w:right w:val="none" w:sz="0" w:space="0" w:color="auto"/>
      </w:divBdr>
      <w:divsChild>
        <w:div w:id="386103622">
          <w:marLeft w:val="0"/>
          <w:marRight w:val="0"/>
          <w:marTop w:val="0"/>
          <w:marBottom w:val="0"/>
          <w:divBdr>
            <w:top w:val="none" w:sz="0" w:space="0" w:color="auto"/>
            <w:left w:val="none" w:sz="0" w:space="0" w:color="auto"/>
            <w:bottom w:val="none" w:sz="0" w:space="0" w:color="auto"/>
            <w:right w:val="none" w:sz="0" w:space="0" w:color="auto"/>
          </w:divBdr>
        </w:div>
      </w:divsChild>
    </w:div>
    <w:div w:id="352462178">
      <w:bodyDiv w:val="1"/>
      <w:marLeft w:val="0"/>
      <w:marRight w:val="0"/>
      <w:marTop w:val="0"/>
      <w:marBottom w:val="0"/>
      <w:divBdr>
        <w:top w:val="none" w:sz="0" w:space="0" w:color="auto"/>
        <w:left w:val="none" w:sz="0" w:space="0" w:color="auto"/>
        <w:bottom w:val="none" w:sz="0" w:space="0" w:color="auto"/>
        <w:right w:val="none" w:sz="0" w:space="0" w:color="auto"/>
      </w:divBdr>
    </w:div>
    <w:div w:id="398598082">
      <w:bodyDiv w:val="1"/>
      <w:marLeft w:val="0"/>
      <w:marRight w:val="0"/>
      <w:marTop w:val="0"/>
      <w:marBottom w:val="0"/>
      <w:divBdr>
        <w:top w:val="none" w:sz="0" w:space="0" w:color="auto"/>
        <w:left w:val="none" w:sz="0" w:space="0" w:color="auto"/>
        <w:bottom w:val="none" w:sz="0" w:space="0" w:color="auto"/>
        <w:right w:val="none" w:sz="0" w:space="0" w:color="auto"/>
      </w:divBdr>
      <w:divsChild>
        <w:div w:id="114435257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05033790">
      <w:bodyDiv w:val="1"/>
      <w:marLeft w:val="0"/>
      <w:marRight w:val="0"/>
      <w:marTop w:val="0"/>
      <w:marBottom w:val="0"/>
      <w:divBdr>
        <w:top w:val="none" w:sz="0" w:space="0" w:color="auto"/>
        <w:left w:val="none" w:sz="0" w:space="0" w:color="auto"/>
        <w:bottom w:val="none" w:sz="0" w:space="0" w:color="auto"/>
        <w:right w:val="none" w:sz="0" w:space="0" w:color="auto"/>
      </w:divBdr>
    </w:div>
    <w:div w:id="415594504">
      <w:bodyDiv w:val="1"/>
      <w:marLeft w:val="0"/>
      <w:marRight w:val="0"/>
      <w:marTop w:val="0"/>
      <w:marBottom w:val="0"/>
      <w:divBdr>
        <w:top w:val="none" w:sz="0" w:space="0" w:color="auto"/>
        <w:left w:val="none" w:sz="0" w:space="0" w:color="auto"/>
        <w:bottom w:val="none" w:sz="0" w:space="0" w:color="auto"/>
        <w:right w:val="none" w:sz="0" w:space="0" w:color="auto"/>
      </w:divBdr>
    </w:div>
    <w:div w:id="419133673">
      <w:bodyDiv w:val="1"/>
      <w:marLeft w:val="0"/>
      <w:marRight w:val="0"/>
      <w:marTop w:val="0"/>
      <w:marBottom w:val="0"/>
      <w:divBdr>
        <w:top w:val="none" w:sz="0" w:space="0" w:color="auto"/>
        <w:left w:val="none" w:sz="0" w:space="0" w:color="auto"/>
        <w:bottom w:val="none" w:sz="0" w:space="0" w:color="auto"/>
        <w:right w:val="none" w:sz="0" w:space="0" w:color="auto"/>
      </w:divBdr>
    </w:div>
    <w:div w:id="450516141">
      <w:bodyDiv w:val="1"/>
      <w:marLeft w:val="0"/>
      <w:marRight w:val="0"/>
      <w:marTop w:val="0"/>
      <w:marBottom w:val="0"/>
      <w:divBdr>
        <w:top w:val="none" w:sz="0" w:space="0" w:color="auto"/>
        <w:left w:val="none" w:sz="0" w:space="0" w:color="auto"/>
        <w:bottom w:val="none" w:sz="0" w:space="0" w:color="auto"/>
        <w:right w:val="none" w:sz="0" w:space="0" w:color="auto"/>
      </w:divBdr>
    </w:div>
    <w:div w:id="455295296">
      <w:bodyDiv w:val="1"/>
      <w:marLeft w:val="0"/>
      <w:marRight w:val="0"/>
      <w:marTop w:val="0"/>
      <w:marBottom w:val="0"/>
      <w:divBdr>
        <w:top w:val="none" w:sz="0" w:space="0" w:color="auto"/>
        <w:left w:val="none" w:sz="0" w:space="0" w:color="auto"/>
        <w:bottom w:val="none" w:sz="0" w:space="0" w:color="auto"/>
        <w:right w:val="none" w:sz="0" w:space="0" w:color="auto"/>
      </w:divBdr>
      <w:divsChild>
        <w:div w:id="410931083">
          <w:marLeft w:val="547"/>
          <w:marRight w:val="0"/>
          <w:marTop w:val="134"/>
          <w:marBottom w:val="0"/>
          <w:divBdr>
            <w:top w:val="none" w:sz="0" w:space="0" w:color="auto"/>
            <w:left w:val="none" w:sz="0" w:space="0" w:color="auto"/>
            <w:bottom w:val="none" w:sz="0" w:space="0" w:color="auto"/>
            <w:right w:val="none" w:sz="0" w:space="0" w:color="auto"/>
          </w:divBdr>
        </w:div>
      </w:divsChild>
    </w:div>
    <w:div w:id="483012756">
      <w:bodyDiv w:val="1"/>
      <w:marLeft w:val="0"/>
      <w:marRight w:val="0"/>
      <w:marTop w:val="0"/>
      <w:marBottom w:val="0"/>
      <w:divBdr>
        <w:top w:val="none" w:sz="0" w:space="0" w:color="auto"/>
        <w:left w:val="none" w:sz="0" w:space="0" w:color="auto"/>
        <w:bottom w:val="none" w:sz="0" w:space="0" w:color="auto"/>
        <w:right w:val="none" w:sz="0" w:space="0" w:color="auto"/>
      </w:divBdr>
      <w:divsChild>
        <w:div w:id="1166943589">
          <w:marLeft w:val="0"/>
          <w:marRight w:val="0"/>
          <w:marTop w:val="0"/>
          <w:marBottom w:val="0"/>
          <w:divBdr>
            <w:top w:val="none" w:sz="0" w:space="0" w:color="auto"/>
            <w:left w:val="none" w:sz="0" w:space="0" w:color="auto"/>
            <w:bottom w:val="none" w:sz="0" w:space="0" w:color="auto"/>
            <w:right w:val="none" w:sz="0" w:space="0" w:color="auto"/>
          </w:divBdr>
          <w:divsChild>
            <w:div w:id="1695377213">
              <w:marLeft w:val="0"/>
              <w:marRight w:val="0"/>
              <w:marTop w:val="0"/>
              <w:marBottom w:val="0"/>
              <w:divBdr>
                <w:top w:val="none" w:sz="0" w:space="0" w:color="auto"/>
                <w:left w:val="none" w:sz="0" w:space="0" w:color="auto"/>
                <w:bottom w:val="none" w:sz="0" w:space="0" w:color="auto"/>
                <w:right w:val="none" w:sz="0" w:space="0" w:color="auto"/>
              </w:divBdr>
              <w:divsChild>
                <w:div w:id="242448181">
                  <w:marLeft w:val="0"/>
                  <w:marRight w:val="0"/>
                  <w:marTop w:val="0"/>
                  <w:marBottom w:val="0"/>
                  <w:divBdr>
                    <w:top w:val="none" w:sz="0" w:space="0" w:color="auto"/>
                    <w:left w:val="none" w:sz="0" w:space="0" w:color="auto"/>
                    <w:bottom w:val="none" w:sz="0" w:space="0" w:color="auto"/>
                    <w:right w:val="none" w:sz="0" w:space="0" w:color="auto"/>
                  </w:divBdr>
                  <w:divsChild>
                    <w:div w:id="920259145">
                      <w:marLeft w:val="0"/>
                      <w:marRight w:val="0"/>
                      <w:marTop w:val="0"/>
                      <w:marBottom w:val="0"/>
                      <w:divBdr>
                        <w:top w:val="none" w:sz="0" w:space="0" w:color="auto"/>
                        <w:left w:val="none" w:sz="0" w:space="0" w:color="auto"/>
                        <w:bottom w:val="none" w:sz="0" w:space="0" w:color="auto"/>
                        <w:right w:val="none" w:sz="0" w:space="0" w:color="auto"/>
                      </w:divBdr>
                      <w:divsChild>
                        <w:div w:id="1044217059">
                          <w:marLeft w:val="0"/>
                          <w:marRight w:val="0"/>
                          <w:marTop w:val="0"/>
                          <w:marBottom w:val="0"/>
                          <w:divBdr>
                            <w:top w:val="none" w:sz="0" w:space="0" w:color="auto"/>
                            <w:left w:val="none" w:sz="0" w:space="0" w:color="auto"/>
                            <w:bottom w:val="none" w:sz="0" w:space="0" w:color="auto"/>
                            <w:right w:val="none" w:sz="0" w:space="0" w:color="auto"/>
                          </w:divBdr>
                          <w:divsChild>
                            <w:div w:id="55574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276473">
      <w:bodyDiv w:val="1"/>
      <w:marLeft w:val="0"/>
      <w:marRight w:val="0"/>
      <w:marTop w:val="0"/>
      <w:marBottom w:val="0"/>
      <w:divBdr>
        <w:top w:val="none" w:sz="0" w:space="0" w:color="auto"/>
        <w:left w:val="none" w:sz="0" w:space="0" w:color="auto"/>
        <w:bottom w:val="none" w:sz="0" w:space="0" w:color="auto"/>
        <w:right w:val="none" w:sz="0" w:space="0" w:color="auto"/>
      </w:divBdr>
    </w:div>
    <w:div w:id="485515459">
      <w:bodyDiv w:val="1"/>
      <w:marLeft w:val="0"/>
      <w:marRight w:val="0"/>
      <w:marTop w:val="0"/>
      <w:marBottom w:val="0"/>
      <w:divBdr>
        <w:top w:val="none" w:sz="0" w:space="0" w:color="auto"/>
        <w:left w:val="none" w:sz="0" w:space="0" w:color="auto"/>
        <w:bottom w:val="none" w:sz="0" w:space="0" w:color="auto"/>
        <w:right w:val="none" w:sz="0" w:space="0" w:color="auto"/>
      </w:divBdr>
    </w:div>
    <w:div w:id="489370908">
      <w:bodyDiv w:val="1"/>
      <w:marLeft w:val="0"/>
      <w:marRight w:val="0"/>
      <w:marTop w:val="0"/>
      <w:marBottom w:val="0"/>
      <w:divBdr>
        <w:top w:val="none" w:sz="0" w:space="0" w:color="auto"/>
        <w:left w:val="none" w:sz="0" w:space="0" w:color="auto"/>
        <w:bottom w:val="none" w:sz="0" w:space="0" w:color="auto"/>
        <w:right w:val="none" w:sz="0" w:space="0" w:color="auto"/>
      </w:divBdr>
    </w:div>
    <w:div w:id="491071403">
      <w:bodyDiv w:val="1"/>
      <w:marLeft w:val="0"/>
      <w:marRight w:val="0"/>
      <w:marTop w:val="0"/>
      <w:marBottom w:val="0"/>
      <w:divBdr>
        <w:top w:val="none" w:sz="0" w:space="0" w:color="auto"/>
        <w:left w:val="none" w:sz="0" w:space="0" w:color="auto"/>
        <w:bottom w:val="none" w:sz="0" w:space="0" w:color="auto"/>
        <w:right w:val="none" w:sz="0" w:space="0" w:color="auto"/>
      </w:divBdr>
    </w:div>
    <w:div w:id="495649488">
      <w:bodyDiv w:val="1"/>
      <w:marLeft w:val="0"/>
      <w:marRight w:val="0"/>
      <w:marTop w:val="0"/>
      <w:marBottom w:val="0"/>
      <w:divBdr>
        <w:top w:val="none" w:sz="0" w:space="0" w:color="auto"/>
        <w:left w:val="none" w:sz="0" w:space="0" w:color="auto"/>
        <w:bottom w:val="none" w:sz="0" w:space="0" w:color="auto"/>
        <w:right w:val="none" w:sz="0" w:space="0" w:color="auto"/>
      </w:divBdr>
    </w:div>
    <w:div w:id="502203109">
      <w:bodyDiv w:val="1"/>
      <w:marLeft w:val="0"/>
      <w:marRight w:val="0"/>
      <w:marTop w:val="0"/>
      <w:marBottom w:val="0"/>
      <w:divBdr>
        <w:top w:val="none" w:sz="0" w:space="0" w:color="auto"/>
        <w:left w:val="none" w:sz="0" w:space="0" w:color="auto"/>
        <w:bottom w:val="none" w:sz="0" w:space="0" w:color="auto"/>
        <w:right w:val="none" w:sz="0" w:space="0" w:color="auto"/>
      </w:divBdr>
    </w:div>
    <w:div w:id="525948762">
      <w:bodyDiv w:val="1"/>
      <w:marLeft w:val="0"/>
      <w:marRight w:val="0"/>
      <w:marTop w:val="0"/>
      <w:marBottom w:val="0"/>
      <w:divBdr>
        <w:top w:val="none" w:sz="0" w:space="0" w:color="auto"/>
        <w:left w:val="none" w:sz="0" w:space="0" w:color="auto"/>
        <w:bottom w:val="none" w:sz="0" w:space="0" w:color="auto"/>
        <w:right w:val="none" w:sz="0" w:space="0" w:color="auto"/>
      </w:divBdr>
    </w:div>
    <w:div w:id="530148989">
      <w:bodyDiv w:val="1"/>
      <w:marLeft w:val="0"/>
      <w:marRight w:val="0"/>
      <w:marTop w:val="0"/>
      <w:marBottom w:val="0"/>
      <w:divBdr>
        <w:top w:val="none" w:sz="0" w:space="0" w:color="auto"/>
        <w:left w:val="none" w:sz="0" w:space="0" w:color="auto"/>
        <w:bottom w:val="none" w:sz="0" w:space="0" w:color="auto"/>
        <w:right w:val="none" w:sz="0" w:space="0" w:color="auto"/>
      </w:divBdr>
    </w:div>
    <w:div w:id="541404764">
      <w:bodyDiv w:val="1"/>
      <w:marLeft w:val="0"/>
      <w:marRight w:val="0"/>
      <w:marTop w:val="0"/>
      <w:marBottom w:val="0"/>
      <w:divBdr>
        <w:top w:val="none" w:sz="0" w:space="0" w:color="auto"/>
        <w:left w:val="none" w:sz="0" w:space="0" w:color="auto"/>
        <w:bottom w:val="none" w:sz="0" w:space="0" w:color="auto"/>
        <w:right w:val="none" w:sz="0" w:space="0" w:color="auto"/>
      </w:divBdr>
    </w:div>
    <w:div w:id="548341277">
      <w:bodyDiv w:val="1"/>
      <w:marLeft w:val="0"/>
      <w:marRight w:val="0"/>
      <w:marTop w:val="0"/>
      <w:marBottom w:val="0"/>
      <w:divBdr>
        <w:top w:val="none" w:sz="0" w:space="0" w:color="auto"/>
        <w:left w:val="none" w:sz="0" w:space="0" w:color="auto"/>
        <w:bottom w:val="none" w:sz="0" w:space="0" w:color="auto"/>
        <w:right w:val="none" w:sz="0" w:space="0" w:color="auto"/>
      </w:divBdr>
    </w:div>
    <w:div w:id="551815126">
      <w:bodyDiv w:val="1"/>
      <w:marLeft w:val="0"/>
      <w:marRight w:val="0"/>
      <w:marTop w:val="0"/>
      <w:marBottom w:val="0"/>
      <w:divBdr>
        <w:top w:val="none" w:sz="0" w:space="0" w:color="auto"/>
        <w:left w:val="none" w:sz="0" w:space="0" w:color="auto"/>
        <w:bottom w:val="none" w:sz="0" w:space="0" w:color="auto"/>
        <w:right w:val="none" w:sz="0" w:space="0" w:color="auto"/>
      </w:divBdr>
    </w:div>
    <w:div w:id="561255845">
      <w:bodyDiv w:val="1"/>
      <w:marLeft w:val="0"/>
      <w:marRight w:val="0"/>
      <w:marTop w:val="0"/>
      <w:marBottom w:val="0"/>
      <w:divBdr>
        <w:top w:val="none" w:sz="0" w:space="0" w:color="auto"/>
        <w:left w:val="none" w:sz="0" w:space="0" w:color="auto"/>
        <w:bottom w:val="none" w:sz="0" w:space="0" w:color="auto"/>
        <w:right w:val="none" w:sz="0" w:space="0" w:color="auto"/>
      </w:divBdr>
    </w:div>
    <w:div w:id="605119084">
      <w:bodyDiv w:val="1"/>
      <w:marLeft w:val="0"/>
      <w:marRight w:val="0"/>
      <w:marTop w:val="0"/>
      <w:marBottom w:val="0"/>
      <w:divBdr>
        <w:top w:val="none" w:sz="0" w:space="0" w:color="auto"/>
        <w:left w:val="none" w:sz="0" w:space="0" w:color="auto"/>
        <w:bottom w:val="none" w:sz="0" w:space="0" w:color="auto"/>
        <w:right w:val="none" w:sz="0" w:space="0" w:color="auto"/>
      </w:divBdr>
    </w:div>
    <w:div w:id="612589702">
      <w:bodyDiv w:val="1"/>
      <w:marLeft w:val="0"/>
      <w:marRight w:val="0"/>
      <w:marTop w:val="0"/>
      <w:marBottom w:val="0"/>
      <w:divBdr>
        <w:top w:val="none" w:sz="0" w:space="0" w:color="auto"/>
        <w:left w:val="none" w:sz="0" w:space="0" w:color="auto"/>
        <w:bottom w:val="none" w:sz="0" w:space="0" w:color="auto"/>
        <w:right w:val="none" w:sz="0" w:space="0" w:color="auto"/>
      </w:divBdr>
    </w:div>
    <w:div w:id="634144127">
      <w:bodyDiv w:val="1"/>
      <w:marLeft w:val="0"/>
      <w:marRight w:val="0"/>
      <w:marTop w:val="0"/>
      <w:marBottom w:val="0"/>
      <w:divBdr>
        <w:top w:val="none" w:sz="0" w:space="0" w:color="auto"/>
        <w:left w:val="none" w:sz="0" w:space="0" w:color="auto"/>
        <w:bottom w:val="none" w:sz="0" w:space="0" w:color="auto"/>
        <w:right w:val="none" w:sz="0" w:space="0" w:color="auto"/>
      </w:divBdr>
    </w:div>
    <w:div w:id="655644026">
      <w:bodyDiv w:val="1"/>
      <w:marLeft w:val="0"/>
      <w:marRight w:val="0"/>
      <w:marTop w:val="0"/>
      <w:marBottom w:val="0"/>
      <w:divBdr>
        <w:top w:val="none" w:sz="0" w:space="0" w:color="auto"/>
        <w:left w:val="none" w:sz="0" w:space="0" w:color="auto"/>
        <w:bottom w:val="none" w:sz="0" w:space="0" w:color="auto"/>
        <w:right w:val="none" w:sz="0" w:space="0" w:color="auto"/>
      </w:divBdr>
    </w:div>
    <w:div w:id="662510141">
      <w:bodyDiv w:val="1"/>
      <w:marLeft w:val="0"/>
      <w:marRight w:val="0"/>
      <w:marTop w:val="0"/>
      <w:marBottom w:val="0"/>
      <w:divBdr>
        <w:top w:val="none" w:sz="0" w:space="0" w:color="auto"/>
        <w:left w:val="none" w:sz="0" w:space="0" w:color="auto"/>
        <w:bottom w:val="none" w:sz="0" w:space="0" w:color="auto"/>
        <w:right w:val="none" w:sz="0" w:space="0" w:color="auto"/>
      </w:divBdr>
    </w:div>
    <w:div w:id="667170508">
      <w:bodyDiv w:val="1"/>
      <w:marLeft w:val="0"/>
      <w:marRight w:val="0"/>
      <w:marTop w:val="0"/>
      <w:marBottom w:val="0"/>
      <w:divBdr>
        <w:top w:val="none" w:sz="0" w:space="0" w:color="auto"/>
        <w:left w:val="none" w:sz="0" w:space="0" w:color="auto"/>
        <w:bottom w:val="none" w:sz="0" w:space="0" w:color="auto"/>
        <w:right w:val="none" w:sz="0" w:space="0" w:color="auto"/>
      </w:divBdr>
    </w:div>
    <w:div w:id="667681970">
      <w:bodyDiv w:val="1"/>
      <w:marLeft w:val="0"/>
      <w:marRight w:val="0"/>
      <w:marTop w:val="0"/>
      <w:marBottom w:val="0"/>
      <w:divBdr>
        <w:top w:val="none" w:sz="0" w:space="0" w:color="auto"/>
        <w:left w:val="none" w:sz="0" w:space="0" w:color="auto"/>
        <w:bottom w:val="none" w:sz="0" w:space="0" w:color="auto"/>
        <w:right w:val="none" w:sz="0" w:space="0" w:color="auto"/>
      </w:divBdr>
    </w:div>
    <w:div w:id="671182052">
      <w:bodyDiv w:val="1"/>
      <w:marLeft w:val="0"/>
      <w:marRight w:val="0"/>
      <w:marTop w:val="0"/>
      <w:marBottom w:val="0"/>
      <w:divBdr>
        <w:top w:val="none" w:sz="0" w:space="0" w:color="auto"/>
        <w:left w:val="none" w:sz="0" w:space="0" w:color="auto"/>
        <w:bottom w:val="none" w:sz="0" w:space="0" w:color="auto"/>
        <w:right w:val="none" w:sz="0" w:space="0" w:color="auto"/>
      </w:divBdr>
    </w:div>
    <w:div w:id="683364256">
      <w:bodyDiv w:val="1"/>
      <w:marLeft w:val="0"/>
      <w:marRight w:val="0"/>
      <w:marTop w:val="0"/>
      <w:marBottom w:val="0"/>
      <w:divBdr>
        <w:top w:val="none" w:sz="0" w:space="0" w:color="auto"/>
        <w:left w:val="none" w:sz="0" w:space="0" w:color="auto"/>
        <w:bottom w:val="none" w:sz="0" w:space="0" w:color="auto"/>
        <w:right w:val="none" w:sz="0" w:space="0" w:color="auto"/>
      </w:divBdr>
    </w:div>
    <w:div w:id="683552406">
      <w:bodyDiv w:val="1"/>
      <w:marLeft w:val="0"/>
      <w:marRight w:val="0"/>
      <w:marTop w:val="0"/>
      <w:marBottom w:val="0"/>
      <w:divBdr>
        <w:top w:val="none" w:sz="0" w:space="0" w:color="auto"/>
        <w:left w:val="none" w:sz="0" w:space="0" w:color="auto"/>
        <w:bottom w:val="none" w:sz="0" w:space="0" w:color="auto"/>
        <w:right w:val="none" w:sz="0" w:space="0" w:color="auto"/>
      </w:divBdr>
    </w:div>
    <w:div w:id="721440775">
      <w:bodyDiv w:val="1"/>
      <w:marLeft w:val="0"/>
      <w:marRight w:val="0"/>
      <w:marTop w:val="0"/>
      <w:marBottom w:val="0"/>
      <w:divBdr>
        <w:top w:val="none" w:sz="0" w:space="0" w:color="auto"/>
        <w:left w:val="none" w:sz="0" w:space="0" w:color="auto"/>
        <w:bottom w:val="none" w:sz="0" w:space="0" w:color="auto"/>
        <w:right w:val="none" w:sz="0" w:space="0" w:color="auto"/>
      </w:divBdr>
    </w:div>
    <w:div w:id="724254584">
      <w:bodyDiv w:val="1"/>
      <w:marLeft w:val="0"/>
      <w:marRight w:val="0"/>
      <w:marTop w:val="0"/>
      <w:marBottom w:val="0"/>
      <w:divBdr>
        <w:top w:val="none" w:sz="0" w:space="0" w:color="auto"/>
        <w:left w:val="none" w:sz="0" w:space="0" w:color="auto"/>
        <w:bottom w:val="none" w:sz="0" w:space="0" w:color="auto"/>
        <w:right w:val="none" w:sz="0" w:space="0" w:color="auto"/>
      </w:divBdr>
    </w:div>
    <w:div w:id="725567359">
      <w:bodyDiv w:val="1"/>
      <w:marLeft w:val="0"/>
      <w:marRight w:val="0"/>
      <w:marTop w:val="0"/>
      <w:marBottom w:val="0"/>
      <w:divBdr>
        <w:top w:val="none" w:sz="0" w:space="0" w:color="auto"/>
        <w:left w:val="none" w:sz="0" w:space="0" w:color="auto"/>
        <w:bottom w:val="none" w:sz="0" w:space="0" w:color="auto"/>
        <w:right w:val="none" w:sz="0" w:space="0" w:color="auto"/>
      </w:divBdr>
    </w:div>
    <w:div w:id="728770749">
      <w:bodyDiv w:val="1"/>
      <w:marLeft w:val="0"/>
      <w:marRight w:val="0"/>
      <w:marTop w:val="0"/>
      <w:marBottom w:val="0"/>
      <w:divBdr>
        <w:top w:val="none" w:sz="0" w:space="0" w:color="auto"/>
        <w:left w:val="none" w:sz="0" w:space="0" w:color="auto"/>
        <w:bottom w:val="none" w:sz="0" w:space="0" w:color="auto"/>
        <w:right w:val="none" w:sz="0" w:space="0" w:color="auto"/>
      </w:divBdr>
    </w:div>
    <w:div w:id="751971546">
      <w:bodyDiv w:val="1"/>
      <w:marLeft w:val="0"/>
      <w:marRight w:val="0"/>
      <w:marTop w:val="0"/>
      <w:marBottom w:val="0"/>
      <w:divBdr>
        <w:top w:val="none" w:sz="0" w:space="0" w:color="auto"/>
        <w:left w:val="none" w:sz="0" w:space="0" w:color="auto"/>
        <w:bottom w:val="none" w:sz="0" w:space="0" w:color="auto"/>
        <w:right w:val="none" w:sz="0" w:space="0" w:color="auto"/>
      </w:divBdr>
    </w:div>
    <w:div w:id="753404988">
      <w:bodyDiv w:val="1"/>
      <w:marLeft w:val="0"/>
      <w:marRight w:val="0"/>
      <w:marTop w:val="0"/>
      <w:marBottom w:val="0"/>
      <w:divBdr>
        <w:top w:val="none" w:sz="0" w:space="0" w:color="auto"/>
        <w:left w:val="none" w:sz="0" w:space="0" w:color="auto"/>
        <w:bottom w:val="none" w:sz="0" w:space="0" w:color="auto"/>
        <w:right w:val="none" w:sz="0" w:space="0" w:color="auto"/>
      </w:divBdr>
    </w:div>
    <w:div w:id="771432804">
      <w:bodyDiv w:val="1"/>
      <w:marLeft w:val="0"/>
      <w:marRight w:val="0"/>
      <w:marTop w:val="0"/>
      <w:marBottom w:val="0"/>
      <w:divBdr>
        <w:top w:val="none" w:sz="0" w:space="0" w:color="auto"/>
        <w:left w:val="none" w:sz="0" w:space="0" w:color="auto"/>
        <w:bottom w:val="none" w:sz="0" w:space="0" w:color="auto"/>
        <w:right w:val="none" w:sz="0" w:space="0" w:color="auto"/>
      </w:divBdr>
    </w:div>
    <w:div w:id="771511243">
      <w:bodyDiv w:val="1"/>
      <w:marLeft w:val="0"/>
      <w:marRight w:val="0"/>
      <w:marTop w:val="0"/>
      <w:marBottom w:val="0"/>
      <w:divBdr>
        <w:top w:val="none" w:sz="0" w:space="0" w:color="auto"/>
        <w:left w:val="none" w:sz="0" w:space="0" w:color="auto"/>
        <w:bottom w:val="none" w:sz="0" w:space="0" w:color="auto"/>
        <w:right w:val="none" w:sz="0" w:space="0" w:color="auto"/>
      </w:divBdr>
      <w:divsChild>
        <w:div w:id="232474558">
          <w:marLeft w:val="547"/>
          <w:marRight w:val="0"/>
          <w:marTop w:val="96"/>
          <w:marBottom w:val="0"/>
          <w:divBdr>
            <w:top w:val="none" w:sz="0" w:space="0" w:color="auto"/>
            <w:left w:val="none" w:sz="0" w:space="0" w:color="auto"/>
            <w:bottom w:val="none" w:sz="0" w:space="0" w:color="auto"/>
            <w:right w:val="none" w:sz="0" w:space="0" w:color="auto"/>
          </w:divBdr>
        </w:div>
        <w:div w:id="998967414">
          <w:marLeft w:val="547"/>
          <w:marRight w:val="0"/>
          <w:marTop w:val="96"/>
          <w:marBottom w:val="0"/>
          <w:divBdr>
            <w:top w:val="none" w:sz="0" w:space="0" w:color="auto"/>
            <w:left w:val="none" w:sz="0" w:space="0" w:color="auto"/>
            <w:bottom w:val="none" w:sz="0" w:space="0" w:color="auto"/>
            <w:right w:val="none" w:sz="0" w:space="0" w:color="auto"/>
          </w:divBdr>
        </w:div>
      </w:divsChild>
    </w:div>
    <w:div w:id="776678519">
      <w:bodyDiv w:val="1"/>
      <w:marLeft w:val="0"/>
      <w:marRight w:val="0"/>
      <w:marTop w:val="0"/>
      <w:marBottom w:val="0"/>
      <w:divBdr>
        <w:top w:val="none" w:sz="0" w:space="0" w:color="auto"/>
        <w:left w:val="none" w:sz="0" w:space="0" w:color="auto"/>
        <w:bottom w:val="none" w:sz="0" w:space="0" w:color="auto"/>
        <w:right w:val="none" w:sz="0" w:space="0" w:color="auto"/>
      </w:divBdr>
    </w:div>
    <w:div w:id="819536785">
      <w:bodyDiv w:val="1"/>
      <w:marLeft w:val="0"/>
      <w:marRight w:val="0"/>
      <w:marTop w:val="0"/>
      <w:marBottom w:val="0"/>
      <w:divBdr>
        <w:top w:val="none" w:sz="0" w:space="0" w:color="auto"/>
        <w:left w:val="none" w:sz="0" w:space="0" w:color="auto"/>
        <w:bottom w:val="none" w:sz="0" w:space="0" w:color="auto"/>
        <w:right w:val="none" w:sz="0" w:space="0" w:color="auto"/>
      </w:divBdr>
      <w:divsChild>
        <w:div w:id="1752314868">
          <w:marLeft w:val="-15"/>
          <w:marRight w:val="0"/>
          <w:marTop w:val="0"/>
          <w:marBottom w:val="0"/>
          <w:divBdr>
            <w:top w:val="none" w:sz="0" w:space="0" w:color="auto"/>
            <w:left w:val="none" w:sz="0" w:space="0" w:color="auto"/>
            <w:bottom w:val="none" w:sz="0" w:space="0" w:color="auto"/>
            <w:right w:val="single" w:sz="6" w:space="0" w:color="CCCCCC"/>
          </w:divBdr>
          <w:divsChild>
            <w:div w:id="1580824544">
              <w:marLeft w:val="0"/>
              <w:marRight w:val="0"/>
              <w:marTop w:val="0"/>
              <w:marBottom w:val="0"/>
              <w:divBdr>
                <w:top w:val="none" w:sz="0" w:space="0" w:color="auto"/>
                <w:left w:val="none" w:sz="0" w:space="0" w:color="auto"/>
                <w:bottom w:val="none" w:sz="0" w:space="0" w:color="auto"/>
                <w:right w:val="none" w:sz="0" w:space="0" w:color="auto"/>
              </w:divBdr>
              <w:divsChild>
                <w:div w:id="291521533">
                  <w:marLeft w:val="0"/>
                  <w:marRight w:val="0"/>
                  <w:marTop w:val="0"/>
                  <w:marBottom w:val="0"/>
                  <w:divBdr>
                    <w:top w:val="none" w:sz="0" w:space="0" w:color="auto"/>
                    <w:left w:val="none" w:sz="0" w:space="0" w:color="auto"/>
                    <w:bottom w:val="none" w:sz="0" w:space="0" w:color="auto"/>
                    <w:right w:val="none" w:sz="0" w:space="0" w:color="auto"/>
                  </w:divBdr>
                  <w:divsChild>
                    <w:div w:id="1682464852">
                      <w:marLeft w:val="-2"/>
                      <w:marRight w:val="-2"/>
                      <w:marTop w:val="0"/>
                      <w:marBottom w:val="0"/>
                      <w:divBdr>
                        <w:top w:val="none" w:sz="0" w:space="0" w:color="auto"/>
                        <w:left w:val="none" w:sz="0" w:space="0" w:color="auto"/>
                        <w:bottom w:val="none" w:sz="0" w:space="0" w:color="auto"/>
                        <w:right w:val="none" w:sz="0" w:space="0" w:color="auto"/>
                      </w:divBdr>
                      <w:divsChild>
                        <w:div w:id="94045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827424">
      <w:bodyDiv w:val="1"/>
      <w:marLeft w:val="0"/>
      <w:marRight w:val="0"/>
      <w:marTop w:val="0"/>
      <w:marBottom w:val="0"/>
      <w:divBdr>
        <w:top w:val="none" w:sz="0" w:space="0" w:color="auto"/>
        <w:left w:val="none" w:sz="0" w:space="0" w:color="auto"/>
        <w:bottom w:val="none" w:sz="0" w:space="0" w:color="auto"/>
        <w:right w:val="none" w:sz="0" w:space="0" w:color="auto"/>
      </w:divBdr>
    </w:div>
    <w:div w:id="843132147">
      <w:bodyDiv w:val="1"/>
      <w:marLeft w:val="0"/>
      <w:marRight w:val="0"/>
      <w:marTop w:val="0"/>
      <w:marBottom w:val="0"/>
      <w:divBdr>
        <w:top w:val="none" w:sz="0" w:space="0" w:color="auto"/>
        <w:left w:val="none" w:sz="0" w:space="0" w:color="auto"/>
        <w:bottom w:val="none" w:sz="0" w:space="0" w:color="auto"/>
        <w:right w:val="none" w:sz="0" w:space="0" w:color="auto"/>
      </w:divBdr>
    </w:div>
    <w:div w:id="843671700">
      <w:bodyDiv w:val="1"/>
      <w:marLeft w:val="0"/>
      <w:marRight w:val="0"/>
      <w:marTop w:val="0"/>
      <w:marBottom w:val="0"/>
      <w:divBdr>
        <w:top w:val="none" w:sz="0" w:space="0" w:color="auto"/>
        <w:left w:val="none" w:sz="0" w:space="0" w:color="auto"/>
        <w:bottom w:val="none" w:sz="0" w:space="0" w:color="auto"/>
        <w:right w:val="none" w:sz="0" w:space="0" w:color="auto"/>
      </w:divBdr>
      <w:divsChild>
        <w:div w:id="1343162820">
          <w:marLeft w:val="0"/>
          <w:marRight w:val="0"/>
          <w:marTop w:val="0"/>
          <w:marBottom w:val="0"/>
          <w:divBdr>
            <w:top w:val="none" w:sz="0" w:space="0" w:color="auto"/>
            <w:left w:val="none" w:sz="0" w:space="0" w:color="auto"/>
            <w:bottom w:val="none" w:sz="0" w:space="0" w:color="auto"/>
            <w:right w:val="none" w:sz="0" w:space="0" w:color="auto"/>
          </w:divBdr>
          <w:divsChild>
            <w:div w:id="924798320">
              <w:marLeft w:val="0"/>
              <w:marRight w:val="0"/>
              <w:marTop w:val="0"/>
              <w:marBottom w:val="0"/>
              <w:divBdr>
                <w:top w:val="none" w:sz="0" w:space="0" w:color="auto"/>
                <w:left w:val="none" w:sz="0" w:space="0" w:color="auto"/>
                <w:bottom w:val="none" w:sz="0" w:space="0" w:color="auto"/>
                <w:right w:val="none" w:sz="0" w:space="0" w:color="auto"/>
              </w:divBdr>
              <w:divsChild>
                <w:div w:id="611978536">
                  <w:marLeft w:val="0"/>
                  <w:marRight w:val="0"/>
                  <w:marTop w:val="0"/>
                  <w:marBottom w:val="0"/>
                  <w:divBdr>
                    <w:top w:val="none" w:sz="0" w:space="0" w:color="auto"/>
                    <w:left w:val="none" w:sz="0" w:space="0" w:color="auto"/>
                    <w:bottom w:val="none" w:sz="0" w:space="0" w:color="auto"/>
                    <w:right w:val="none" w:sz="0" w:space="0" w:color="auto"/>
                  </w:divBdr>
                  <w:divsChild>
                    <w:div w:id="1318413517">
                      <w:marLeft w:val="0"/>
                      <w:marRight w:val="0"/>
                      <w:marTop w:val="0"/>
                      <w:marBottom w:val="600"/>
                      <w:divBdr>
                        <w:top w:val="none" w:sz="0" w:space="0" w:color="auto"/>
                        <w:left w:val="none" w:sz="0" w:space="0" w:color="auto"/>
                        <w:bottom w:val="none" w:sz="0" w:space="0" w:color="auto"/>
                        <w:right w:val="none" w:sz="0" w:space="0" w:color="auto"/>
                      </w:divBdr>
                      <w:divsChild>
                        <w:div w:id="1578054068">
                          <w:marLeft w:val="0"/>
                          <w:marRight w:val="0"/>
                          <w:marTop w:val="0"/>
                          <w:marBottom w:val="0"/>
                          <w:divBdr>
                            <w:top w:val="none" w:sz="0" w:space="0" w:color="auto"/>
                            <w:left w:val="none" w:sz="0" w:space="0" w:color="auto"/>
                            <w:bottom w:val="none" w:sz="0" w:space="0" w:color="auto"/>
                            <w:right w:val="none" w:sz="0" w:space="0" w:color="auto"/>
                          </w:divBdr>
                          <w:divsChild>
                            <w:div w:id="1006439397">
                              <w:marLeft w:val="0"/>
                              <w:marRight w:val="0"/>
                              <w:marTop w:val="0"/>
                              <w:marBottom w:val="0"/>
                              <w:divBdr>
                                <w:top w:val="none" w:sz="0" w:space="0" w:color="auto"/>
                                <w:left w:val="none" w:sz="0" w:space="0" w:color="auto"/>
                                <w:bottom w:val="none" w:sz="0" w:space="0" w:color="auto"/>
                                <w:right w:val="none" w:sz="0" w:space="0" w:color="auto"/>
                              </w:divBdr>
                              <w:divsChild>
                                <w:div w:id="1293949268">
                                  <w:marLeft w:val="0"/>
                                  <w:marRight w:val="0"/>
                                  <w:marTop w:val="0"/>
                                  <w:marBottom w:val="0"/>
                                  <w:divBdr>
                                    <w:top w:val="none" w:sz="0" w:space="0" w:color="auto"/>
                                    <w:left w:val="none" w:sz="0" w:space="0" w:color="auto"/>
                                    <w:bottom w:val="none" w:sz="0" w:space="0" w:color="auto"/>
                                    <w:right w:val="none" w:sz="0" w:space="0" w:color="auto"/>
                                  </w:divBdr>
                                  <w:divsChild>
                                    <w:div w:id="442656096">
                                      <w:marLeft w:val="0"/>
                                      <w:marRight w:val="0"/>
                                      <w:marTop w:val="0"/>
                                      <w:marBottom w:val="0"/>
                                      <w:divBdr>
                                        <w:top w:val="none" w:sz="0" w:space="0" w:color="auto"/>
                                        <w:left w:val="none" w:sz="0" w:space="0" w:color="auto"/>
                                        <w:bottom w:val="none" w:sz="0" w:space="0" w:color="auto"/>
                                        <w:right w:val="none" w:sz="0" w:space="0" w:color="auto"/>
                                      </w:divBdr>
                                      <w:divsChild>
                                        <w:div w:id="71858842">
                                          <w:marLeft w:val="0"/>
                                          <w:marRight w:val="0"/>
                                          <w:marTop w:val="0"/>
                                          <w:marBottom w:val="0"/>
                                          <w:divBdr>
                                            <w:top w:val="none" w:sz="0" w:space="0" w:color="auto"/>
                                            <w:left w:val="none" w:sz="0" w:space="0" w:color="auto"/>
                                            <w:bottom w:val="none" w:sz="0" w:space="0" w:color="auto"/>
                                            <w:right w:val="none" w:sz="0" w:space="0" w:color="auto"/>
                                          </w:divBdr>
                                          <w:divsChild>
                                            <w:div w:id="1447041446">
                                              <w:marLeft w:val="0"/>
                                              <w:marRight w:val="0"/>
                                              <w:marTop w:val="0"/>
                                              <w:marBottom w:val="0"/>
                                              <w:divBdr>
                                                <w:top w:val="none" w:sz="0" w:space="0" w:color="auto"/>
                                                <w:left w:val="none" w:sz="0" w:space="0" w:color="auto"/>
                                                <w:bottom w:val="none" w:sz="0" w:space="0" w:color="auto"/>
                                                <w:right w:val="none" w:sz="0" w:space="0" w:color="auto"/>
                                              </w:divBdr>
                                              <w:divsChild>
                                                <w:div w:id="11841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4513344">
      <w:bodyDiv w:val="1"/>
      <w:marLeft w:val="0"/>
      <w:marRight w:val="0"/>
      <w:marTop w:val="0"/>
      <w:marBottom w:val="0"/>
      <w:divBdr>
        <w:top w:val="none" w:sz="0" w:space="0" w:color="auto"/>
        <w:left w:val="none" w:sz="0" w:space="0" w:color="auto"/>
        <w:bottom w:val="none" w:sz="0" w:space="0" w:color="auto"/>
        <w:right w:val="none" w:sz="0" w:space="0" w:color="auto"/>
      </w:divBdr>
    </w:div>
    <w:div w:id="866484103">
      <w:bodyDiv w:val="1"/>
      <w:marLeft w:val="0"/>
      <w:marRight w:val="0"/>
      <w:marTop w:val="0"/>
      <w:marBottom w:val="0"/>
      <w:divBdr>
        <w:top w:val="none" w:sz="0" w:space="0" w:color="auto"/>
        <w:left w:val="none" w:sz="0" w:space="0" w:color="auto"/>
        <w:bottom w:val="none" w:sz="0" w:space="0" w:color="auto"/>
        <w:right w:val="none" w:sz="0" w:space="0" w:color="auto"/>
      </w:divBdr>
    </w:div>
    <w:div w:id="871307782">
      <w:bodyDiv w:val="1"/>
      <w:marLeft w:val="0"/>
      <w:marRight w:val="0"/>
      <w:marTop w:val="0"/>
      <w:marBottom w:val="0"/>
      <w:divBdr>
        <w:top w:val="none" w:sz="0" w:space="0" w:color="auto"/>
        <w:left w:val="none" w:sz="0" w:space="0" w:color="auto"/>
        <w:bottom w:val="none" w:sz="0" w:space="0" w:color="auto"/>
        <w:right w:val="none" w:sz="0" w:space="0" w:color="auto"/>
      </w:divBdr>
    </w:div>
    <w:div w:id="877208029">
      <w:bodyDiv w:val="1"/>
      <w:marLeft w:val="0"/>
      <w:marRight w:val="0"/>
      <w:marTop w:val="0"/>
      <w:marBottom w:val="0"/>
      <w:divBdr>
        <w:top w:val="none" w:sz="0" w:space="0" w:color="auto"/>
        <w:left w:val="none" w:sz="0" w:space="0" w:color="auto"/>
        <w:bottom w:val="none" w:sz="0" w:space="0" w:color="auto"/>
        <w:right w:val="none" w:sz="0" w:space="0" w:color="auto"/>
      </w:divBdr>
    </w:div>
    <w:div w:id="895237584">
      <w:bodyDiv w:val="1"/>
      <w:marLeft w:val="0"/>
      <w:marRight w:val="0"/>
      <w:marTop w:val="0"/>
      <w:marBottom w:val="0"/>
      <w:divBdr>
        <w:top w:val="none" w:sz="0" w:space="0" w:color="auto"/>
        <w:left w:val="none" w:sz="0" w:space="0" w:color="auto"/>
        <w:bottom w:val="none" w:sz="0" w:space="0" w:color="auto"/>
        <w:right w:val="none" w:sz="0" w:space="0" w:color="auto"/>
      </w:divBdr>
    </w:div>
    <w:div w:id="903445592">
      <w:bodyDiv w:val="1"/>
      <w:marLeft w:val="0"/>
      <w:marRight w:val="0"/>
      <w:marTop w:val="0"/>
      <w:marBottom w:val="0"/>
      <w:divBdr>
        <w:top w:val="none" w:sz="0" w:space="0" w:color="auto"/>
        <w:left w:val="none" w:sz="0" w:space="0" w:color="auto"/>
        <w:bottom w:val="none" w:sz="0" w:space="0" w:color="auto"/>
        <w:right w:val="none" w:sz="0" w:space="0" w:color="auto"/>
      </w:divBdr>
    </w:div>
    <w:div w:id="905605461">
      <w:bodyDiv w:val="1"/>
      <w:marLeft w:val="0"/>
      <w:marRight w:val="0"/>
      <w:marTop w:val="0"/>
      <w:marBottom w:val="0"/>
      <w:divBdr>
        <w:top w:val="none" w:sz="0" w:space="0" w:color="auto"/>
        <w:left w:val="none" w:sz="0" w:space="0" w:color="auto"/>
        <w:bottom w:val="none" w:sz="0" w:space="0" w:color="auto"/>
        <w:right w:val="none" w:sz="0" w:space="0" w:color="auto"/>
      </w:divBdr>
    </w:div>
    <w:div w:id="906914563">
      <w:bodyDiv w:val="1"/>
      <w:marLeft w:val="0"/>
      <w:marRight w:val="0"/>
      <w:marTop w:val="0"/>
      <w:marBottom w:val="0"/>
      <w:divBdr>
        <w:top w:val="none" w:sz="0" w:space="0" w:color="auto"/>
        <w:left w:val="none" w:sz="0" w:space="0" w:color="auto"/>
        <w:bottom w:val="none" w:sz="0" w:space="0" w:color="auto"/>
        <w:right w:val="none" w:sz="0" w:space="0" w:color="auto"/>
      </w:divBdr>
    </w:div>
    <w:div w:id="911309451">
      <w:bodyDiv w:val="1"/>
      <w:marLeft w:val="0"/>
      <w:marRight w:val="0"/>
      <w:marTop w:val="0"/>
      <w:marBottom w:val="0"/>
      <w:divBdr>
        <w:top w:val="none" w:sz="0" w:space="0" w:color="auto"/>
        <w:left w:val="none" w:sz="0" w:space="0" w:color="auto"/>
        <w:bottom w:val="none" w:sz="0" w:space="0" w:color="auto"/>
        <w:right w:val="none" w:sz="0" w:space="0" w:color="auto"/>
      </w:divBdr>
    </w:div>
    <w:div w:id="935479945">
      <w:bodyDiv w:val="1"/>
      <w:marLeft w:val="0"/>
      <w:marRight w:val="0"/>
      <w:marTop w:val="0"/>
      <w:marBottom w:val="0"/>
      <w:divBdr>
        <w:top w:val="none" w:sz="0" w:space="0" w:color="auto"/>
        <w:left w:val="none" w:sz="0" w:space="0" w:color="auto"/>
        <w:bottom w:val="none" w:sz="0" w:space="0" w:color="auto"/>
        <w:right w:val="none" w:sz="0" w:space="0" w:color="auto"/>
      </w:divBdr>
    </w:div>
    <w:div w:id="962229414">
      <w:bodyDiv w:val="1"/>
      <w:marLeft w:val="0"/>
      <w:marRight w:val="0"/>
      <w:marTop w:val="0"/>
      <w:marBottom w:val="0"/>
      <w:divBdr>
        <w:top w:val="none" w:sz="0" w:space="0" w:color="auto"/>
        <w:left w:val="none" w:sz="0" w:space="0" w:color="auto"/>
        <w:bottom w:val="none" w:sz="0" w:space="0" w:color="auto"/>
        <w:right w:val="none" w:sz="0" w:space="0" w:color="auto"/>
      </w:divBdr>
    </w:div>
    <w:div w:id="980619403">
      <w:bodyDiv w:val="1"/>
      <w:marLeft w:val="0"/>
      <w:marRight w:val="0"/>
      <w:marTop w:val="0"/>
      <w:marBottom w:val="0"/>
      <w:divBdr>
        <w:top w:val="none" w:sz="0" w:space="0" w:color="auto"/>
        <w:left w:val="none" w:sz="0" w:space="0" w:color="auto"/>
        <w:bottom w:val="none" w:sz="0" w:space="0" w:color="auto"/>
        <w:right w:val="none" w:sz="0" w:space="0" w:color="auto"/>
      </w:divBdr>
    </w:div>
    <w:div w:id="1010790676">
      <w:bodyDiv w:val="1"/>
      <w:marLeft w:val="0"/>
      <w:marRight w:val="0"/>
      <w:marTop w:val="0"/>
      <w:marBottom w:val="0"/>
      <w:divBdr>
        <w:top w:val="none" w:sz="0" w:space="0" w:color="auto"/>
        <w:left w:val="none" w:sz="0" w:space="0" w:color="auto"/>
        <w:bottom w:val="none" w:sz="0" w:space="0" w:color="auto"/>
        <w:right w:val="none" w:sz="0" w:space="0" w:color="auto"/>
      </w:divBdr>
    </w:div>
    <w:div w:id="1012728294">
      <w:bodyDiv w:val="1"/>
      <w:marLeft w:val="0"/>
      <w:marRight w:val="0"/>
      <w:marTop w:val="0"/>
      <w:marBottom w:val="0"/>
      <w:divBdr>
        <w:top w:val="none" w:sz="0" w:space="0" w:color="auto"/>
        <w:left w:val="none" w:sz="0" w:space="0" w:color="auto"/>
        <w:bottom w:val="none" w:sz="0" w:space="0" w:color="auto"/>
        <w:right w:val="none" w:sz="0" w:space="0" w:color="auto"/>
      </w:divBdr>
    </w:div>
    <w:div w:id="1013607496">
      <w:bodyDiv w:val="1"/>
      <w:marLeft w:val="0"/>
      <w:marRight w:val="0"/>
      <w:marTop w:val="0"/>
      <w:marBottom w:val="0"/>
      <w:divBdr>
        <w:top w:val="none" w:sz="0" w:space="0" w:color="auto"/>
        <w:left w:val="none" w:sz="0" w:space="0" w:color="auto"/>
        <w:bottom w:val="none" w:sz="0" w:space="0" w:color="auto"/>
        <w:right w:val="none" w:sz="0" w:space="0" w:color="auto"/>
      </w:divBdr>
    </w:div>
    <w:div w:id="1013655462">
      <w:bodyDiv w:val="1"/>
      <w:marLeft w:val="0"/>
      <w:marRight w:val="0"/>
      <w:marTop w:val="0"/>
      <w:marBottom w:val="0"/>
      <w:divBdr>
        <w:top w:val="none" w:sz="0" w:space="0" w:color="auto"/>
        <w:left w:val="none" w:sz="0" w:space="0" w:color="auto"/>
        <w:bottom w:val="none" w:sz="0" w:space="0" w:color="auto"/>
        <w:right w:val="none" w:sz="0" w:space="0" w:color="auto"/>
      </w:divBdr>
    </w:div>
    <w:div w:id="1054885708">
      <w:bodyDiv w:val="1"/>
      <w:marLeft w:val="0"/>
      <w:marRight w:val="0"/>
      <w:marTop w:val="0"/>
      <w:marBottom w:val="0"/>
      <w:divBdr>
        <w:top w:val="none" w:sz="0" w:space="0" w:color="auto"/>
        <w:left w:val="none" w:sz="0" w:space="0" w:color="auto"/>
        <w:bottom w:val="none" w:sz="0" w:space="0" w:color="auto"/>
        <w:right w:val="none" w:sz="0" w:space="0" w:color="auto"/>
      </w:divBdr>
    </w:div>
    <w:div w:id="1057969005">
      <w:bodyDiv w:val="1"/>
      <w:marLeft w:val="0"/>
      <w:marRight w:val="0"/>
      <w:marTop w:val="0"/>
      <w:marBottom w:val="0"/>
      <w:divBdr>
        <w:top w:val="none" w:sz="0" w:space="0" w:color="auto"/>
        <w:left w:val="none" w:sz="0" w:space="0" w:color="auto"/>
        <w:bottom w:val="none" w:sz="0" w:space="0" w:color="auto"/>
        <w:right w:val="none" w:sz="0" w:space="0" w:color="auto"/>
      </w:divBdr>
    </w:div>
    <w:div w:id="1070539034">
      <w:bodyDiv w:val="1"/>
      <w:marLeft w:val="0"/>
      <w:marRight w:val="0"/>
      <w:marTop w:val="0"/>
      <w:marBottom w:val="0"/>
      <w:divBdr>
        <w:top w:val="none" w:sz="0" w:space="0" w:color="auto"/>
        <w:left w:val="none" w:sz="0" w:space="0" w:color="auto"/>
        <w:bottom w:val="none" w:sz="0" w:space="0" w:color="auto"/>
        <w:right w:val="none" w:sz="0" w:space="0" w:color="auto"/>
      </w:divBdr>
    </w:div>
    <w:div w:id="1073158767">
      <w:bodyDiv w:val="1"/>
      <w:marLeft w:val="0"/>
      <w:marRight w:val="0"/>
      <w:marTop w:val="0"/>
      <w:marBottom w:val="0"/>
      <w:divBdr>
        <w:top w:val="none" w:sz="0" w:space="0" w:color="auto"/>
        <w:left w:val="none" w:sz="0" w:space="0" w:color="auto"/>
        <w:bottom w:val="none" w:sz="0" w:space="0" w:color="auto"/>
        <w:right w:val="none" w:sz="0" w:space="0" w:color="auto"/>
      </w:divBdr>
    </w:div>
    <w:div w:id="1073312990">
      <w:bodyDiv w:val="1"/>
      <w:marLeft w:val="0"/>
      <w:marRight w:val="0"/>
      <w:marTop w:val="0"/>
      <w:marBottom w:val="0"/>
      <w:divBdr>
        <w:top w:val="none" w:sz="0" w:space="0" w:color="auto"/>
        <w:left w:val="none" w:sz="0" w:space="0" w:color="auto"/>
        <w:bottom w:val="none" w:sz="0" w:space="0" w:color="auto"/>
        <w:right w:val="none" w:sz="0" w:space="0" w:color="auto"/>
      </w:divBdr>
    </w:div>
    <w:div w:id="1081606471">
      <w:bodyDiv w:val="1"/>
      <w:marLeft w:val="0"/>
      <w:marRight w:val="0"/>
      <w:marTop w:val="0"/>
      <w:marBottom w:val="0"/>
      <w:divBdr>
        <w:top w:val="none" w:sz="0" w:space="0" w:color="auto"/>
        <w:left w:val="none" w:sz="0" w:space="0" w:color="auto"/>
        <w:bottom w:val="none" w:sz="0" w:space="0" w:color="auto"/>
        <w:right w:val="none" w:sz="0" w:space="0" w:color="auto"/>
      </w:divBdr>
    </w:div>
    <w:div w:id="1081609768">
      <w:bodyDiv w:val="1"/>
      <w:marLeft w:val="0"/>
      <w:marRight w:val="0"/>
      <w:marTop w:val="0"/>
      <w:marBottom w:val="0"/>
      <w:divBdr>
        <w:top w:val="none" w:sz="0" w:space="0" w:color="auto"/>
        <w:left w:val="none" w:sz="0" w:space="0" w:color="auto"/>
        <w:bottom w:val="none" w:sz="0" w:space="0" w:color="auto"/>
        <w:right w:val="none" w:sz="0" w:space="0" w:color="auto"/>
      </w:divBdr>
    </w:div>
    <w:div w:id="1108308957">
      <w:bodyDiv w:val="1"/>
      <w:marLeft w:val="0"/>
      <w:marRight w:val="0"/>
      <w:marTop w:val="0"/>
      <w:marBottom w:val="0"/>
      <w:divBdr>
        <w:top w:val="none" w:sz="0" w:space="0" w:color="auto"/>
        <w:left w:val="none" w:sz="0" w:space="0" w:color="auto"/>
        <w:bottom w:val="none" w:sz="0" w:space="0" w:color="auto"/>
        <w:right w:val="none" w:sz="0" w:space="0" w:color="auto"/>
      </w:divBdr>
    </w:div>
    <w:div w:id="1142960911">
      <w:bodyDiv w:val="1"/>
      <w:marLeft w:val="0"/>
      <w:marRight w:val="0"/>
      <w:marTop w:val="0"/>
      <w:marBottom w:val="0"/>
      <w:divBdr>
        <w:top w:val="none" w:sz="0" w:space="0" w:color="auto"/>
        <w:left w:val="none" w:sz="0" w:space="0" w:color="auto"/>
        <w:bottom w:val="none" w:sz="0" w:space="0" w:color="auto"/>
        <w:right w:val="none" w:sz="0" w:space="0" w:color="auto"/>
      </w:divBdr>
    </w:div>
    <w:div w:id="1143620292">
      <w:bodyDiv w:val="1"/>
      <w:marLeft w:val="0"/>
      <w:marRight w:val="0"/>
      <w:marTop w:val="0"/>
      <w:marBottom w:val="0"/>
      <w:divBdr>
        <w:top w:val="none" w:sz="0" w:space="0" w:color="auto"/>
        <w:left w:val="none" w:sz="0" w:space="0" w:color="auto"/>
        <w:bottom w:val="none" w:sz="0" w:space="0" w:color="auto"/>
        <w:right w:val="none" w:sz="0" w:space="0" w:color="auto"/>
      </w:divBdr>
      <w:divsChild>
        <w:div w:id="167865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06444">
              <w:marLeft w:val="0"/>
              <w:marRight w:val="0"/>
              <w:marTop w:val="0"/>
              <w:marBottom w:val="0"/>
              <w:divBdr>
                <w:top w:val="none" w:sz="0" w:space="0" w:color="auto"/>
                <w:left w:val="none" w:sz="0" w:space="0" w:color="auto"/>
                <w:bottom w:val="none" w:sz="0" w:space="0" w:color="auto"/>
                <w:right w:val="none" w:sz="0" w:space="0" w:color="auto"/>
              </w:divBdr>
              <w:divsChild>
                <w:div w:id="9667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240">
      <w:bodyDiv w:val="1"/>
      <w:marLeft w:val="0"/>
      <w:marRight w:val="0"/>
      <w:marTop w:val="0"/>
      <w:marBottom w:val="0"/>
      <w:divBdr>
        <w:top w:val="none" w:sz="0" w:space="0" w:color="auto"/>
        <w:left w:val="none" w:sz="0" w:space="0" w:color="auto"/>
        <w:bottom w:val="none" w:sz="0" w:space="0" w:color="auto"/>
        <w:right w:val="none" w:sz="0" w:space="0" w:color="auto"/>
      </w:divBdr>
      <w:divsChild>
        <w:div w:id="638076015">
          <w:marLeft w:val="547"/>
          <w:marRight w:val="0"/>
          <w:marTop w:val="96"/>
          <w:marBottom w:val="0"/>
          <w:divBdr>
            <w:top w:val="none" w:sz="0" w:space="0" w:color="auto"/>
            <w:left w:val="none" w:sz="0" w:space="0" w:color="auto"/>
            <w:bottom w:val="none" w:sz="0" w:space="0" w:color="auto"/>
            <w:right w:val="none" w:sz="0" w:space="0" w:color="auto"/>
          </w:divBdr>
        </w:div>
        <w:div w:id="1594048628">
          <w:marLeft w:val="547"/>
          <w:marRight w:val="0"/>
          <w:marTop w:val="96"/>
          <w:marBottom w:val="0"/>
          <w:divBdr>
            <w:top w:val="none" w:sz="0" w:space="0" w:color="auto"/>
            <w:left w:val="none" w:sz="0" w:space="0" w:color="auto"/>
            <w:bottom w:val="none" w:sz="0" w:space="0" w:color="auto"/>
            <w:right w:val="none" w:sz="0" w:space="0" w:color="auto"/>
          </w:divBdr>
        </w:div>
      </w:divsChild>
    </w:div>
    <w:div w:id="1163474466">
      <w:bodyDiv w:val="1"/>
      <w:marLeft w:val="0"/>
      <w:marRight w:val="0"/>
      <w:marTop w:val="0"/>
      <w:marBottom w:val="0"/>
      <w:divBdr>
        <w:top w:val="none" w:sz="0" w:space="0" w:color="auto"/>
        <w:left w:val="none" w:sz="0" w:space="0" w:color="auto"/>
        <w:bottom w:val="none" w:sz="0" w:space="0" w:color="auto"/>
        <w:right w:val="none" w:sz="0" w:space="0" w:color="auto"/>
      </w:divBdr>
    </w:div>
    <w:div w:id="1164052783">
      <w:bodyDiv w:val="1"/>
      <w:marLeft w:val="0"/>
      <w:marRight w:val="0"/>
      <w:marTop w:val="0"/>
      <w:marBottom w:val="0"/>
      <w:divBdr>
        <w:top w:val="none" w:sz="0" w:space="0" w:color="auto"/>
        <w:left w:val="none" w:sz="0" w:space="0" w:color="auto"/>
        <w:bottom w:val="none" w:sz="0" w:space="0" w:color="auto"/>
        <w:right w:val="none" w:sz="0" w:space="0" w:color="auto"/>
      </w:divBdr>
    </w:div>
    <w:div w:id="1186015136">
      <w:bodyDiv w:val="1"/>
      <w:marLeft w:val="0"/>
      <w:marRight w:val="0"/>
      <w:marTop w:val="0"/>
      <w:marBottom w:val="0"/>
      <w:divBdr>
        <w:top w:val="none" w:sz="0" w:space="0" w:color="auto"/>
        <w:left w:val="none" w:sz="0" w:space="0" w:color="auto"/>
        <w:bottom w:val="none" w:sz="0" w:space="0" w:color="auto"/>
        <w:right w:val="none" w:sz="0" w:space="0" w:color="auto"/>
      </w:divBdr>
      <w:divsChild>
        <w:div w:id="575406656">
          <w:marLeft w:val="0"/>
          <w:marRight w:val="0"/>
          <w:marTop w:val="0"/>
          <w:marBottom w:val="0"/>
          <w:divBdr>
            <w:top w:val="none" w:sz="0" w:space="0" w:color="auto"/>
            <w:left w:val="none" w:sz="0" w:space="0" w:color="auto"/>
            <w:bottom w:val="none" w:sz="0" w:space="0" w:color="auto"/>
            <w:right w:val="none" w:sz="0" w:space="0" w:color="auto"/>
          </w:divBdr>
        </w:div>
      </w:divsChild>
    </w:div>
    <w:div w:id="1200319333">
      <w:bodyDiv w:val="1"/>
      <w:marLeft w:val="0"/>
      <w:marRight w:val="0"/>
      <w:marTop w:val="0"/>
      <w:marBottom w:val="0"/>
      <w:divBdr>
        <w:top w:val="none" w:sz="0" w:space="0" w:color="auto"/>
        <w:left w:val="none" w:sz="0" w:space="0" w:color="auto"/>
        <w:bottom w:val="none" w:sz="0" w:space="0" w:color="auto"/>
        <w:right w:val="none" w:sz="0" w:space="0" w:color="auto"/>
      </w:divBdr>
    </w:div>
    <w:div w:id="1218781677">
      <w:bodyDiv w:val="1"/>
      <w:marLeft w:val="0"/>
      <w:marRight w:val="0"/>
      <w:marTop w:val="0"/>
      <w:marBottom w:val="0"/>
      <w:divBdr>
        <w:top w:val="none" w:sz="0" w:space="0" w:color="auto"/>
        <w:left w:val="none" w:sz="0" w:space="0" w:color="auto"/>
        <w:bottom w:val="none" w:sz="0" w:space="0" w:color="auto"/>
        <w:right w:val="none" w:sz="0" w:space="0" w:color="auto"/>
      </w:divBdr>
    </w:div>
    <w:div w:id="1224488694">
      <w:bodyDiv w:val="1"/>
      <w:marLeft w:val="0"/>
      <w:marRight w:val="0"/>
      <w:marTop w:val="0"/>
      <w:marBottom w:val="0"/>
      <w:divBdr>
        <w:top w:val="none" w:sz="0" w:space="0" w:color="auto"/>
        <w:left w:val="none" w:sz="0" w:space="0" w:color="auto"/>
        <w:bottom w:val="none" w:sz="0" w:space="0" w:color="auto"/>
        <w:right w:val="none" w:sz="0" w:space="0" w:color="auto"/>
      </w:divBdr>
    </w:div>
    <w:div w:id="1237205600">
      <w:bodyDiv w:val="1"/>
      <w:marLeft w:val="0"/>
      <w:marRight w:val="0"/>
      <w:marTop w:val="0"/>
      <w:marBottom w:val="0"/>
      <w:divBdr>
        <w:top w:val="none" w:sz="0" w:space="0" w:color="auto"/>
        <w:left w:val="none" w:sz="0" w:space="0" w:color="auto"/>
        <w:bottom w:val="none" w:sz="0" w:space="0" w:color="auto"/>
        <w:right w:val="none" w:sz="0" w:space="0" w:color="auto"/>
      </w:divBdr>
    </w:div>
    <w:div w:id="1239628713">
      <w:bodyDiv w:val="1"/>
      <w:marLeft w:val="0"/>
      <w:marRight w:val="0"/>
      <w:marTop w:val="0"/>
      <w:marBottom w:val="0"/>
      <w:divBdr>
        <w:top w:val="none" w:sz="0" w:space="0" w:color="auto"/>
        <w:left w:val="none" w:sz="0" w:space="0" w:color="auto"/>
        <w:bottom w:val="none" w:sz="0" w:space="0" w:color="auto"/>
        <w:right w:val="none" w:sz="0" w:space="0" w:color="auto"/>
      </w:divBdr>
    </w:div>
    <w:div w:id="1262488578">
      <w:bodyDiv w:val="1"/>
      <w:marLeft w:val="0"/>
      <w:marRight w:val="0"/>
      <w:marTop w:val="0"/>
      <w:marBottom w:val="0"/>
      <w:divBdr>
        <w:top w:val="none" w:sz="0" w:space="0" w:color="auto"/>
        <w:left w:val="none" w:sz="0" w:space="0" w:color="auto"/>
        <w:bottom w:val="none" w:sz="0" w:space="0" w:color="auto"/>
        <w:right w:val="none" w:sz="0" w:space="0" w:color="auto"/>
      </w:divBdr>
    </w:div>
    <w:div w:id="1268000096">
      <w:bodyDiv w:val="1"/>
      <w:marLeft w:val="0"/>
      <w:marRight w:val="0"/>
      <w:marTop w:val="0"/>
      <w:marBottom w:val="0"/>
      <w:divBdr>
        <w:top w:val="none" w:sz="0" w:space="0" w:color="auto"/>
        <w:left w:val="none" w:sz="0" w:space="0" w:color="auto"/>
        <w:bottom w:val="none" w:sz="0" w:space="0" w:color="auto"/>
        <w:right w:val="none" w:sz="0" w:space="0" w:color="auto"/>
      </w:divBdr>
    </w:div>
    <w:div w:id="1295939299">
      <w:bodyDiv w:val="1"/>
      <w:marLeft w:val="0"/>
      <w:marRight w:val="0"/>
      <w:marTop w:val="0"/>
      <w:marBottom w:val="0"/>
      <w:divBdr>
        <w:top w:val="none" w:sz="0" w:space="0" w:color="auto"/>
        <w:left w:val="none" w:sz="0" w:space="0" w:color="auto"/>
        <w:bottom w:val="none" w:sz="0" w:space="0" w:color="auto"/>
        <w:right w:val="none" w:sz="0" w:space="0" w:color="auto"/>
      </w:divBdr>
    </w:div>
    <w:div w:id="1303317279">
      <w:bodyDiv w:val="1"/>
      <w:marLeft w:val="0"/>
      <w:marRight w:val="0"/>
      <w:marTop w:val="0"/>
      <w:marBottom w:val="0"/>
      <w:divBdr>
        <w:top w:val="none" w:sz="0" w:space="0" w:color="auto"/>
        <w:left w:val="none" w:sz="0" w:space="0" w:color="auto"/>
        <w:bottom w:val="none" w:sz="0" w:space="0" w:color="auto"/>
        <w:right w:val="none" w:sz="0" w:space="0" w:color="auto"/>
      </w:divBdr>
    </w:div>
    <w:div w:id="1305354915">
      <w:bodyDiv w:val="1"/>
      <w:marLeft w:val="0"/>
      <w:marRight w:val="0"/>
      <w:marTop w:val="0"/>
      <w:marBottom w:val="0"/>
      <w:divBdr>
        <w:top w:val="none" w:sz="0" w:space="0" w:color="auto"/>
        <w:left w:val="none" w:sz="0" w:space="0" w:color="auto"/>
        <w:bottom w:val="none" w:sz="0" w:space="0" w:color="auto"/>
        <w:right w:val="none" w:sz="0" w:space="0" w:color="auto"/>
      </w:divBdr>
    </w:div>
    <w:div w:id="1308588630">
      <w:bodyDiv w:val="1"/>
      <w:marLeft w:val="0"/>
      <w:marRight w:val="0"/>
      <w:marTop w:val="0"/>
      <w:marBottom w:val="0"/>
      <w:divBdr>
        <w:top w:val="none" w:sz="0" w:space="0" w:color="auto"/>
        <w:left w:val="none" w:sz="0" w:space="0" w:color="auto"/>
        <w:bottom w:val="none" w:sz="0" w:space="0" w:color="auto"/>
        <w:right w:val="none" w:sz="0" w:space="0" w:color="auto"/>
      </w:divBdr>
    </w:div>
    <w:div w:id="1329559701">
      <w:bodyDiv w:val="1"/>
      <w:marLeft w:val="0"/>
      <w:marRight w:val="0"/>
      <w:marTop w:val="0"/>
      <w:marBottom w:val="0"/>
      <w:divBdr>
        <w:top w:val="none" w:sz="0" w:space="0" w:color="auto"/>
        <w:left w:val="none" w:sz="0" w:space="0" w:color="auto"/>
        <w:bottom w:val="none" w:sz="0" w:space="0" w:color="auto"/>
        <w:right w:val="none" w:sz="0" w:space="0" w:color="auto"/>
      </w:divBdr>
    </w:div>
    <w:div w:id="1338849472">
      <w:bodyDiv w:val="1"/>
      <w:marLeft w:val="0"/>
      <w:marRight w:val="0"/>
      <w:marTop w:val="0"/>
      <w:marBottom w:val="0"/>
      <w:divBdr>
        <w:top w:val="none" w:sz="0" w:space="0" w:color="auto"/>
        <w:left w:val="none" w:sz="0" w:space="0" w:color="auto"/>
        <w:bottom w:val="none" w:sz="0" w:space="0" w:color="auto"/>
        <w:right w:val="none" w:sz="0" w:space="0" w:color="auto"/>
      </w:divBdr>
    </w:div>
    <w:div w:id="1344239955">
      <w:bodyDiv w:val="1"/>
      <w:marLeft w:val="0"/>
      <w:marRight w:val="0"/>
      <w:marTop w:val="0"/>
      <w:marBottom w:val="0"/>
      <w:divBdr>
        <w:top w:val="none" w:sz="0" w:space="0" w:color="auto"/>
        <w:left w:val="none" w:sz="0" w:space="0" w:color="auto"/>
        <w:bottom w:val="none" w:sz="0" w:space="0" w:color="auto"/>
        <w:right w:val="none" w:sz="0" w:space="0" w:color="auto"/>
      </w:divBdr>
    </w:div>
    <w:div w:id="1363046023">
      <w:bodyDiv w:val="1"/>
      <w:marLeft w:val="0"/>
      <w:marRight w:val="0"/>
      <w:marTop w:val="0"/>
      <w:marBottom w:val="0"/>
      <w:divBdr>
        <w:top w:val="none" w:sz="0" w:space="0" w:color="auto"/>
        <w:left w:val="none" w:sz="0" w:space="0" w:color="auto"/>
        <w:bottom w:val="none" w:sz="0" w:space="0" w:color="auto"/>
        <w:right w:val="none" w:sz="0" w:space="0" w:color="auto"/>
      </w:divBdr>
    </w:div>
    <w:div w:id="1385956496">
      <w:bodyDiv w:val="1"/>
      <w:marLeft w:val="0"/>
      <w:marRight w:val="0"/>
      <w:marTop w:val="0"/>
      <w:marBottom w:val="0"/>
      <w:divBdr>
        <w:top w:val="none" w:sz="0" w:space="0" w:color="auto"/>
        <w:left w:val="none" w:sz="0" w:space="0" w:color="auto"/>
        <w:bottom w:val="none" w:sz="0" w:space="0" w:color="auto"/>
        <w:right w:val="none" w:sz="0" w:space="0" w:color="auto"/>
      </w:divBdr>
    </w:div>
    <w:div w:id="1389840572">
      <w:bodyDiv w:val="1"/>
      <w:marLeft w:val="0"/>
      <w:marRight w:val="0"/>
      <w:marTop w:val="0"/>
      <w:marBottom w:val="0"/>
      <w:divBdr>
        <w:top w:val="none" w:sz="0" w:space="0" w:color="auto"/>
        <w:left w:val="none" w:sz="0" w:space="0" w:color="auto"/>
        <w:bottom w:val="none" w:sz="0" w:space="0" w:color="auto"/>
        <w:right w:val="none" w:sz="0" w:space="0" w:color="auto"/>
      </w:divBdr>
    </w:div>
    <w:div w:id="1390765019">
      <w:bodyDiv w:val="1"/>
      <w:marLeft w:val="0"/>
      <w:marRight w:val="0"/>
      <w:marTop w:val="0"/>
      <w:marBottom w:val="0"/>
      <w:divBdr>
        <w:top w:val="none" w:sz="0" w:space="0" w:color="auto"/>
        <w:left w:val="none" w:sz="0" w:space="0" w:color="auto"/>
        <w:bottom w:val="none" w:sz="0" w:space="0" w:color="auto"/>
        <w:right w:val="none" w:sz="0" w:space="0" w:color="auto"/>
      </w:divBdr>
    </w:div>
    <w:div w:id="1422797697">
      <w:bodyDiv w:val="1"/>
      <w:marLeft w:val="0"/>
      <w:marRight w:val="0"/>
      <w:marTop w:val="0"/>
      <w:marBottom w:val="0"/>
      <w:divBdr>
        <w:top w:val="none" w:sz="0" w:space="0" w:color="auto"/>
        <w:left w:val="none" w:sz="0" w:space="0" w:color="auto"/>
        <w:bottom w:val="none" w:sz="0" w:space="0" w:color="auto"/>
        <w:right w:val="none" w:sz="0" w:space="0" w:color="auto"/>
      </w:divBdr>
    </w:div>
    <w:div w:id="1437864402">
      <w:bodyDiv w:val="1"/>
      <w:marLeft w:val="0"/>
      <w:marRight w:val="0"/>
      <w:marTop w:val="0"/>
      <w:marBottom w:val="0"/>
      <w:divBdr>
        <w:top w:val="none" w:sz="0" w:space="0" w:color="auto"/>
        <w:left w:val="none" w:sz="0" w:space="0" w:color="auto"/>
        <w:bottom w:val="none" w:sz="0" w:space="0" w:color="auto"/>
        <w:right w:val="none" w:sz="0" w:space="0" w:color="auto"/>
      </w:divBdr>
    </w:div>
    <w:div w:id="1439107199">
      <w:bodyDiv w:val="1"/>
      <w:marLeft w:val="0"/>
      <w:marRight w:val="0"/>
      <w:marTop w:val="0"/>
      <w:marBottom w:val="0"/>
      <w:divBdr>
        <w:top w:val="none" w:sz="0" w:space="0" w:color="auto"/>
        <w:left w:val="none" w:sz="0" w:space="0" w:color="auto"/>
        <w:bottom w:val="none" w:sz="0" w:space="0" w:color="auto"/>
        <w:right w:val="none" w:sz="0" w:space="0" w:color="auto"/>
      </w:divBdr>
    </w:div>
    <w:div w:id="1441534198">
      <w:bodyDiv w:val="1"/>
      <w:marLeft w:val="0"/>
      <w:marRight w:val="0"/>
      <w:marTop w:val="0"/>
      <w:marBottom w:val="0"/>
      <w:divBdr>
        <w:top w:val="none" w:sz="0" w:space="0" w:color="auto"/>
        <w:left w:val="none" w:sz="0" w:space="0" w:color="auto"/>
        <w:bottom w:val="none" w:sz="0" w:space="0" w:color="auto"/>
        <w:right w:val="none" w:sz="0" w:space="0" w:color="auto"/>
      </w:divBdr>
      <w:divsChild>
        <w:div w:id="290786961">
          <w:marLeft w:val="547"/>
          <w:marRight w:val="0"/>
          <w:marTop w:val="96"/>
          <w:marBottom w:val="0"/>
          <w:divBdr>
            <w:top w:val="none" w:sz="0" w:space="0" w:color="auto"/>
            <w:left w:val="none" w:sz="0" w:space="0" w:color="auto"/>
            <w:bottom w:val="none" w:sz="0" w:space="0" w:color="auto"/>
            <w:right w:val="none" w:sz="0" w:space="0" w:color="auto"/>
          </w:divBdr>
        </w:div>
        <w:div w:id="1177774034">
          <w:marLeft w:val="547"/>
          <w:marRight w:val="0"/>
          <w:marTop w:val="96"/>
          <w:marBottom w:val="0"/>
          <w:divBdr>
            <w:top w:val="none" w:sz="0" w:space="0" w:color="auto"/>
            <w:left w:val="none" w:sz="0" w:space="0" w:color="auto"/>
            <w:bottom w:val="none" w:sz="0" w:space="0" w:color="auto"/>
            <w:right w:val="none" w:sz="0" w:space="0" w:color="auto"/>
          </w:divBdr>
        </w:div>
      </w:divsChild>
    </w:div>
    <w:div w:id="1449856300">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 w:id="1466855154">
      <w:bodyDiv w:val="1"/>
      <w:marLeft w:val="0"/>
      <w:marRight w:val="0"/>
      <w:marTop w:val="0"/>
      <w:marBottom w:val="0"/>
      <w:divBdr>
        <w:top w:val="none" w:sz="0" w:space="0" w:color="auto"/>
        <w:left w:val="none" w:sz="0" w:space="0" w:color="auto"/>
        <w:bottom w:val="none" w:sz="0" w:space="0" w:color="auto"/>
        <w:right w:val="none" w:sz="0" w:space="0" w:color="auto"/>
      </w:divBdr>
    </w:div>
    <w:div w:id="1474832220">
      <w:bodyDiv w:val="1"/>
      <w:marLeft w:val="0"/>
      <w:marRight w:val="0"/>
      <w:marTop w:val="0"/>
      <w:marBottom w:val="0"/>
      <w:divBdr>
        <w:top w:val="none" w:sz="0" w:space="0" w:color="auto"/>
        <w:left w:val="none" w:sz="0" w:space="0" w:color="auto"/>
        <w:bottom w:val="none" w:sz="0" w:space="0" w:color="auto"/>
        <w:right w:val="none" w:sz="0" w:space="0" w:color="auto"/>
      </w:divBdr>
    </w:div>
    <w:div w:id="1481383772">
      <w:bodyDiv w:val="1"/>
      <w:marLeft w:val="0"/>
      <w:marRight w:val="0"/>
      <w:marTop w:val="0"/>
      <w:marBottom w:val="0"/>
      <w:divBdr>
        <w:top w:val="none" w:sz="0" w:space="0" w:color="auto"/>
        <w:left w:val="none" w:sz="0" w:space="0" w:color="auto"/>
        <w:bottom w:val="none" w:sz="0" w:space="0" w:color="auto"/>
        <w:right w:val="none" w:sz="0" w:space="0" w:color="auto"/>
      </w:divBdr>
    </w:div>
    <w:div w:id="1490243087">
      <w:bodyDiv w:val="1"/>
      <w:marLeft w:val="0"/>
      <w:marRight w:val="0"/>
      <w:marTop w:val="0"/>
      <w:marBottom w:val="0"/>
      <w:divBdr>
        <w:top w:val="none" w:sz="0" w:space="0" w:color="auto"/>
        <w:left w:val="none" w:sz="0" w:space="0" w:color="auto"/>
        <w:bottom w:val="none" w:sz="0" w:space="0" w:color="auto"/>
        <w:right w:val="none" w:sz="0" w:space="0" w:color="auto"/>
      </w:divBdr>
    </w:div>
    <w:div w:id="1491481590">
      <w:bodyDiv w:val="1"/>
      <w:marLeft w:val="0"/>
      <w:marRight w:val="0"/>
      <w:marTop w:val="0"/>
      <w:marBottom w:val="0"/>
      <w:divBdr>
        <w:top w:val="none" w:sz="0" w:space="0" w:color="auto"/>
        <w:left w:val="none" w:sz="0" w:space="0" w:color="auto"/>
        <w:bottom w:val="none" w:sz="0" w:space="0" w:color="auto"/>
        <w:right w:val="none" w:sz="0" w:space="0" w:color="auto"/>
      </w:divBdr>
    </w:div>
    <w:div w:id="1508207587">
      <w:bodyDiv w:val="1"/>
      <w:marLeft w:val="0"/>
      <w:marRight w:val="0"/>
      <w:marTop w:val="0"/>
      <w:marBottom w:val="0"/>
      <w:divBdr>
        <w:top w:val="none" w:sz="0" w:space="0" w:color="auto"/>
        <w:left w:val="none" w:sz="0" w:space="0" w:color="auto"/>
        <w:bottom w:val="none" w:sz="0" w:space="0" w:color="auto"/>
        <w:right w:val="none" w:sz="0" w:space="0" w:color="auto"/>
      </w:divBdr>
    </w:div>
    <w:div w:id="1520394317">
      <w:bodyDiv w:val="1"/>
      <w:marLeft w:val="0"/>
      <w:marRight w:val="0"/>
      <w:marTop w:val="0"/>
      <w:marBottom w:val="0"/>
      <w:divBdr>
        <w:top w:val="none" w:sz="0" w:space="0" w:color="auto"/>
        <w:left w:val="none" w:sz="0" w:space="0" w:color="auto"/>
        <w:bottom w:val="none" w:sz="0" w:space="0" w:color="auto"/>
        <w:right w:val="none" w:sz="0" w:space="0" w:color="auto"/>
      </w:divBdr>
    </w:div>
    <w:div w:id="1532840695">
      <w:bodyDiv w:val="1"/>
      <w:marLeft w:val="0"/>
      <w:marRight w:val="0"/>
      <w:marTop w:val="0"/>
      <w:marBottom w:val="0"/>
      <w:divBdr>
        <w:top w:val="none" w:sz="0" w:space="0" w:color="auto"/>
        <w:left w:val="none" w:sz="0" w:space="0" w:color="auto"/>
        <w:bottom w:val="none" w:sz="0" w:space="0" w:color="auto"/>
        <w:right w:val="none" w:sz="0" w:space="0" w:color="auto"/>
      </w:divBdr>
    </w:div>
    <w:div w:id="1543399561">
      <w:bodyDiv w:val="1"/>
      <w:marLeft w:val="0"/>
      <w:marRight w:val="0"/>
      <w:marTop w:val="0"/>
      <w:marBottom w:val="0"/>
      <w:divBdr>
        <w:top w:val="none" w:sz="0" w:space="0" w:color="auto"/>
        <w:left w:val="none" w:sz="0" w:space="0" w:color="auto"/>
        <w:bottom w:val="none" w:sz="0" w:space="0" w:color="auto"/>
        <w:right w:val="none" w:sz="0" w:space="0" w:color="auto"/>
      </w:divBdr>
      <w:divsChild>
        <w:div w:id="836044032">
          <w:marLeft w:val="0"/>
          <w:marRight w:val="0"/>
          <w:marTop w:val="0"/>
          <w:marBottom w:val="0"/>
          <w:divBdr>
            <w:top w:val="none" w:sz="0" w:space="0" w:color="auto"/>
            <w:left w:val="none" w:sz="0" w:space="0" w:color="auto"/>
            <w:bottom w:val="none" w:sz="0" w:space="0" w:color="auto"/>
            <w:right w:val="none" w:sz="0" w:space="0" w:color="auto"/>
          </w:divBdr>
          <w:divsChild>
            <w:div w:id="1235164627">
              <w:marLeft w:val="0"/>
              <w:marRight w:val="0"/>
              <w:marTop w:val="0"/>
              <w:marBottom w:val="0"/>
              <w:divBdr>
                <w:top w:val="none" w:sz="0" w:space="0" w:color="auto"/>
                <w:left w:val="none" w:sz="0" w:space="0" w:color="auto"/>
                <w:bottom w:val="none" w:sz="0" w:space="0" w:color="auto"/>
                <w:right w:val="none" w:sz="0" w:space="0" w:color="auto"/>
              </w:divBdr>
              <w:divsChild>
                <w:div w:id="2022078938">
                  <w:marLeft w:val="0"/>
                  <w:marRight w:val="0"/>
                  <w:marTop w:val="0"/>
                  <w:marBottom w:val="0"/>
                  <w:divBdr>
                    <w:top w:val="none" w:sz="0" w:space="0" w:color="auto"/>
                    <w:left w:val="none" w:sz="0" w:space="0" w:color="auto"/>
                    <w:bottom w:val="none" w:sz="0" w:space="0" w:color="auto"/>
                    <w:right w:val="none" w:sz="0" w:space="0" w:color="auto"/>
                  </w:divBdr>
                  <w:divsChild>
                    <w:div w:id="1057508271">
                      <w:marLeft w:val="0"/>
                      <w:marRight w:val="0"/>
                      <w:marTop w:val="0"/>
                      <w:marBottom w:val="0"/>
                      <w:divBdr>
                        <w:top w:val="none" w:sz="0" w:space="0" w:color="auto"/>
                        <w:left w:val="none" w:sz="0" w:space="0" w:color="auto"/>
                        <w:bottom w:val="none" w:sz="0" w:space="0" w:color="auto"/>
                        <w:right w:val="none" w:sz="0" w:space="0" w:color="auto"/>
                      </w:divBdr>
                      <w:divsChild>
                        <w:div w:id="1466117443">
                          <w:marLeft w:val="0"/>
                          <w:marRight w:val="0"/>
                          <w:marTop w:val="0"/>
                          <w:marBottom w:val="0"/>
                          <w:divBdr>
                            <w:top w:val="none" w:sz="0" w:space="0" w:color="auto"/>
                            <w:left w:val="none" w:sz="0" w:space="0" w:color="auto"/>
                            <w:bottom w:val="none" w:sz="0" w:space="0" w:color="auto"/>
                            <w:right w:val="none" w:sz="0" w:space="0" w:color="auto"/>
                          </w:divBdr>
                        </w:div>
                        <w:div w:id="2047362521">
                          <w:marLeft w:val="0"/>
                          <w:marRight w:val="0"/>
                          <w:marTop w:val="0"/>
                          <w:marBottom w:val="0"/>
                          <w:divBdr>
                            <w:top w:val="none" w:sz="0" w:space="0" w:color="auto"/>
                            <w:left w:val="none" w:sz="0" w:space="0" w:color="auto"/>
                            <w:bottom w:val="none" w:sz="0" w:space="0" w:color="auto"/>
                            <w:right w:val="none" w:sz="0" w:space="0" w:color="auto"/>
                          </w:divBdr>
                        </w:div>
                      </w:divsChild>
                    </w:div>
                    <w:div w:id="1813718038">
                      <w:marLeft w:val="0"/>
                      <w:marRight w:val="0"/>
                      <w:marTop w:val="0"/>
                      <w:marBottom w:val="0"/>
                      <w:divBdr>
                        <w:top w:val="none" w:sz="0" w:space="0" w:color="auto"/>
                        <w:left w:val="none" w:sz="0" w:space="0" w:color="auto"/>
                        <w:bottom w:val="none" w:sz="0" w:space="0" w:color="auto"/>
                        <w:right w:val="none" w:sz="0" w:space="0" w:color="auto"/>
                      </w:divBdr>
                      <w:divsChild>
                        <w:div w:id="1339114110">
                          <w:marLeft w:val="0"/>
                          <w:marRight w:val="0"/>
                          <w:marTop w:val="0"/>
                          <w:marBottom w:val="0"/>
                          <w:divBdr>
                            <w:top w:val="none" w:sz="0" w:space="0" w:color="auto"/>
                            <w:left w:val="none" w:sz="0" w:space="0" w:color="auto"/>
                            <w:bottom w:val="none" w:sz="0" w:space="0" w:color="auto"/>
                            <w:right w:val="none" w:sz="0" w:space="0" w:color="auto"/>
                          </w:divBdr>
                          <w:divsChild>
                            <w:div w:id="1517383226">
                              <w:marLeft w:val="0"/>
                              <w:marRight w:val="0"/>
                              <w:marTop w:val="0"/>
                              <w:marBottom w:val="0"/>
                              <w:divBdr>
                                <w:top w:val="none" w:sz="0" w:space="0" w:color="auto"/>
                                <w:left w:val="none" w:sz="0" w:space="0" w:color="auto"/>
                                <w:bottom w:val="none" w:sz="0" w:space="0" w:color="auto"/>
                                <w:right w:val="none" w:sz="0" w:space="0" w:color="auto"/>
                              </w:divBdr>
                              <w:divsChild>
                                <w:div w:id="236206347">
                                  <w:marLeft w:val="0"/>
                                  <w:marRight w:val="0"/>
                                  <w:marTop w:val="0"/>
                                  <w:marBottom w:val="0"/>
                                  <w:divBdr>
                                    <w:top w:val="none" w:sz="0" w:space="0" w:color="auto"/>
                                    <w:left w:val="none" w:sz="0" w:space="0" w:color="auto"/>
                                    <w:bottom w:val="none" w:sz="0" w:space="0" w:color="auto"/>
                                    <w:right w:val="none" w:sz="0" w:space="0" w:color="auto"/>
                                  </w:divBdr>
                                </w:div>
                                <w:div w:id="879440592">
                                  <w:marLeft w:val="0"/>
                                  <w:marRight w:val="0"/>
                                  <w:marTop w:val="0"/>
                                  <w:marBottom w:val="0"/>
                                  <w:divBdr>
                                    <w:top w:val="none" w:sz="0" w:space="0" w:color="auto"/>
                                    <w:left w:val="none" w:sz="0" w:space="0" w:color="auto"/>
                                    <w:bottom w:val="none" w:sz="0" w:space="0" w:color="auto"/>
                                    <w:right w:val="none" w:sz="0" w:space="0" w:color="auto"/>
                                  </w:divBdr>
                                </w:div>
                                <w:div w:id="1264455112">
                                  <w:marLeft w:val="0"/>
                                  <w:marRight w:val="0"/>
                                  <w:marTop w:val="0"/>
                                  <w:marBottom w:val="0"/>
                                  <w:divBdr>
                                    <w:top w:val="none" w:sz="0" w:space="0" w:color="auto"/>
                                    <w:left w:val="none" w:sz="0" w:space="0" w:color="auto"/>
                                    <w:bottom w:val="none" w:sz="0" w:space="0" w:color="auto"/>
                                    <w:right w:val="none" w:sz="0" w:space="0" w:color="auto"/>
                                  </w:divBdr>
                                </w:div>
                                <w:div w:id="1615284321">
                                  <w:marLeft w:val="0"/>
                                  <w:marRight w:val="0"/>
                                  <w:marTop w:val="0"/>
                                  <w:marBottom w:val="0"/>
                                  <w:divBdr>
                                    <w:top w:val="none" w:sz="0" w:space="0" w:color="auto"/>
                                    <w:left w:val="none" w:sz="0" w:space="0" w:color="auto"/>
                                    <w:bottom w:val="none" w:sz="0" w:space="0" w:color="auto"/>
                                    <w:right w:val="none" w:sz="0" w:space="0" w:color="auto"/>
                                  </w:divBdr>
                                  <w:divsChild>
                                    <w:div w:id="1757434858">
                                      <w:marLeft w:val="0"/>
                                      <w:marRight w:val="0"/>
                                      <w:marTop w:val="0"/>
                                      <w:marBottom w:val="0"/>
                                      <w:divBdr>
                                        <w:top w:val="none" w:sz="0" w:space="0" w:color="auto"/>
                                        <w:left w:val="none" w:sz="0" w:space="0" w:color="auto"/>
                                        <w:bottom w:val="none" w:sz="0" w:space="0" w:color="auto"/>
                                        <w:right w:val="none" w:sz="0" w:space="0" w:color="auto"/>
                                      </w:divBdr>
                                    </w:div>
                                  </w:divsChild>
                                </w:div>
                                <w:div w:id="19055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7524750">
      <w:bodyDiv w:val="1"/>
      <w:marLeft w:val="0"/>
      <w:marRight w:val="0"/>
      <w:marTop w:val="0"/>
      <w:marBottom w:val="0"/>
      <w:divBdr>
        <w:top w:val="none" w:sz="0" w:space="0" w:color="auto"/>
        <w:left w:val="none" w:sz="0" w:space="0" w:color="auto"/>
        <w:bottom w:val="none" w:sz="0" w:space="0" w:color="auto"/>
        <w:right w:val="none" w:sz="0" w:space="0" w:color="auto"/>
      </w:divBdr>
    </w:div>
    <w:div w:id="1552840160">
      <w:bodyDiv w:val="1"/>
      <w:marLeft w:val="0"/>
      <w:marRight w:val="0"/>
      <w:marTop w:val="0"/>
      <w:marBottom w:val="0"/>
      <w:divBdr>
        <w:top w:val="none" w:sz="0" w:space="0" w:color="auto"/>
        <w:left w:val="none" w:sz="0" w:space="0" w:color="auto"/>
        <w:bottom w:val="none" w:sz="0" w:space="0" w:color="auto"/>
        <w:right w:val="none" w:sz="0" w:space="0" w:color="auto"/>
      </w:divBdr>
    </w:div>
    <w:div w:id="1559978690">
      <w:bodyDiv w:val="1"/>
      <w:marLeft w:val="0"/>
      <w:marRight w:val="0"/>
      <w:marTop w:val="0"/>
      <w:marBottom w:val="0"/>
      <w:divBdr>
        <w:top w:val="none" w:sz="0" w:space="0" w:color="auto"/>
        <w:left w:val="none" w:sz="0" w:space="0" w:color="auto"/>
        <w:bottom w:val="none" w:sz="0" w:space="0" w:color="auto"/>
        <w:right w:val="none" w:sz="0" w:space="0" w:color="auto"/>
      </w:divBdr>
    </w:div>
    <w:div w:id="1588341259">
      <w:bodyDiv w:val="1"/>
      <w:marLeft w:val="0"/>
      <w:marRight w:val="0"/>
      <w:marTop w:val="0"/>
      <w:marBottom w:val="0"/>
      <w:divBdr>
        <w:top w:val="none" w:sz="0" w:space="0" w:color="auto"/>
        <w:left w:val="none" w:sz="0" w:space="0" w:color="auto"/>
        <w:bottom w:val="none" w:sz="0" w:space="0" w:color="auto"/>
        <w:right w:val="none" w:sz="0" w:space="0" w:color="auto"/>
      </w:divBdr>
    </w:div>
    <w:div w:id="1597861534">
      <w:bodyDiv w:val="1"/>
      <w:marLeft w:val="0"/>
      <w:marRight w:val="0"/>
      <w:marTop w:val="0"/>
      <w:marBottom w:val="0"/>
      <w:divBdr>
        <w:top w:val="none" w:sz="0" w:space="0" w:color="auto"/>
        <w:left w:val="none" w:sz="0" w:space="0" w:color="auto"/>
        <w:bottom w:val="none" w:sz="0" w:space="0" w:color="auto"/>
        <w:right w:val="none" w:sz="0" w:space="0" w:color="auto"/>
      </w:divBdr>
    </w:div>
    <w:div w:id="1600093542">
      <w:bodyDiv w:val="1"/>
      <w:marLeft w:val="0"/>
      <w:marRight w:val="0"/>
      <w:marTop w:val="0"/>
      <w:marBottom w:val="0"/>
      <w:divBdr>
        <w:top w:val="none" w:sz="0" w:space="0" w:color="auto"/>
        <w:left w:val="none" w:sz="0" w:space="0" w:color="auto"/>
        <w:bottom w:val="none" w:sz="0" w:space="0" w:color="auto"/>
        <w:right w:val="none" w:sz="0" w:space="0" w:color="auto"/>
      </w:divBdr>
    </w:div>
    <w:div w:id="1609195635">
      <w:bodyDiv w:val="1"/>
      <w:marLeft w:val="0"/>
      <w:marRight w:val="0"/>
      <w:marTop w:val="0"/>
      <w:marBottom w:val="0"/>
      <w:divBdr>
        <w:top w:val="none" w:sz="0" w:space="0" w:color="auto"/>
        <w:left w:val="none" w:sz="0" w:space="0" w:color="auto"/>
        <w:bottom w:val="none" w:sz="0" w:space="0" w:color="auto"/>
        <w:right w:val="none" w:sz="0" w:space="0" w:color="auto"/>
      </w:divBdr>
    </w:div>
    <w:div w:id="1630671054">
      <w:bodyDiv w:val="1"/>
      <w:marLeft w:val="0"/>
      <w:marRight w:val="0"/>
      <w:marTop w:val="0"/>
      <w:marBottom w:val="0"/>
      <w:divBdr>
        <w:top w:val="none" w:sz="0" w:space="0" w:color="auto"/>
        <w:left w:val="none" w:sz="0" w:space="0" w:color="auto"/>
        <w:bottom w:val="none" w:sz="0" w:space="0" w:color="auto"/>
        <w:right w:val="none" w:sz="0" w:space="0" w:color="auto"/>
      </w:divBdr>
    </w:div>
    <w:div w:id="1630745486">
      <w:bodyDiv w:val="1"/>
      <w:marLeft w:val="0"/>
      <w:marRight w:val="0"/>
      <w:marTop w:val="0"/>
      <w:marBottom w:val="0"/>
      <w:divBdr>
        <w:top w:val="none" w:sz="0" w:space="0" w:color="auto"/>
        <w:left w:val="none" w:sz="0" w:space="0" w:color="auto"/>
        <w:bottom w:val="none" w:sz="0" w:space="0" w:color="auto"/>
        <w:right w:val="none" w:sz="0" w:space="0" w:color="auto"/>
      </w:divBdr>
    </w:div>
    <w:div w:id="1632982244">
      <w:bodyDiv w:val="1"/>
      <w:marLeft w:val="0"/>
      <w:marRight w:val="0"/>
      <w:marTop w:val="0"/>
      <w:marBottom w:val="0"/>
      <w:divBdr>
        <w:top w:val="none" w:sz="0" w:space="0" w:color="auto"/>
        <w:left w:val="none" w:sz="0" w:space="0" w:color="auto"/>
        <w:bottom w:val="none" w:sz="0" w:space="0" w:color="auto"/>
        <w:right w:val="none" w:sz="0" w:space="0" w:color="auto"/>
      </w:divBdr>
    </w:div>
    <w:div w:id="1661040756">
      <w:bodyDiv w:val="1"/>
      <w:marLeft w:val="0"/>
      <w:marRight w:val="0"/>
      <w:marTop w:val="0"/>
      <w:marBottom w:val="0"/>
      <w:divBdr>
        <w:top w:val="none" w:sz="0" w:space="0" w:color="auto"/>
        <w:left w:val="none" w:sz="0" w:space="0" w:color="auto"/>
        <w:bottom w:val="none" w:sz="0" w:space="0" w:color="auto"/>
        <w:right w:val="none" w:sz="0" w:space="0" w:color="auto"/>
      </w:divBdr>
    </w:div>
    <w:div w:id="1665934361">
      <w:bodyDiv w:val="1"/>
      <w:marLeft w:val="0"/>
      <w:marRight w:val="0"/>
      <w:marTop w:val="0"/>
      <w:marBottom w:val="0"/>
      <w:divBdr>
        <w:top w:val="none" w:sz="0" w:space="0" w:color="auto"/>
        <w:left w:val="none" w:sz="0" w:space="0" w:color="auto"/>
        <w:bottom w:val="none" w:sz="0" w:space="0" w:color="auto"/>
        <w:right w:val="none" w:sz="0" w:space="0" w:color="auto"/>
      </w:divBdr>
    </w:div>
    <w:div w:id="1669554418">
      <w:bodyDiv w:val="1"/>
      <w:marLeft w:val="0"/>
      <w:marRight w:val="0"/>
      <w:marTop w:val="0"/>
      <w:marBottom w:val="0"/>
      <w:divBdr>
        <w:top w:val="none" w:sz="0" w:space="0" w:color="auto"/>
        <w:left w:val="none" w:sz="0" w:space="0" w:color="auto"/>
        <w:bottom w:val="none" w:sz="0" w:space="0" w:color="auto"/>
        <w:right w:val="none" w:sz="0" w:space="0" w:color="auto"/>
      </w:divBdr>
    </w:div>
    <w:div w:id="1670448110">
      <w:bodyDiv w:val="1"/>
      <w:marLeft w:val="0"/>
      <w:marRight w:val="0"/>
      <w:marTop w:val="0"/>
      <w:marBottom w:val="0"/>
      <w:divBdr>
        <w:top w:val="none" w:sz="0" w:space="0" w:color="auto"/>
        <w:left w:val="none" w:sz="0" w:space="0" w:color="auto"/>
        <w:bottom w:val="none" w:sz="0" w:space="0" w:color="auto"/>
        <w:right w:val="none" w:sz="0" w:space="0" w:color="auto"/>
      </w:divBdr>
    </w:div>
    <w:div w:id="1685086447">
      <w:bodyDiv w:val="1"/>
      <w:marLeft w:val="0"/>
      <w:marRight w:val="0"/>
      <w:marTop w:val="0"/>
      <w:marBottom w:val="0"/>
      <w:divBdr>
        <w:top w:val="none" w:sz="0" w:space="0" w:color="auto"/>
        <w:left w:val="none" w:sz="0" w:space="0" w:color="auto"/>
        <w:bottom w:val="none" w:sz="0" w:space="0" w:color="auto"/>
        <w:right w:val="none" w:sz="0" w:space="0" w:color="auto"/>
      </w:divBdr>
    </w:div>
    <w:div w:id="1686900949">
      <w:bodyDiv w:val="1"/>
      <w:marLeft w:val="0"/>
      <w:marRight w:val="0"/>
      <w:marTop w:val="0"/>
      <w:marBottom w:val="0"/>
      <w:divBdr>
        <w:top w:val="none" w:sz="0" w:space="0" w:color="auto"/>
        <w:left w:val="none" w:sz="0" w:space="0" w:color="auto"/>
        <w:bottom w:val="none" w:sz="0" w:space="0" w:color="auto"/>
        <w:right w:val="none" w:sz="0" w:space="0" w:color="auto"/>
      </w:divBdr>
    </w:div>
    <w:div w:id="1688093400">
      <w:bodyDiv w:val="1"/>
      <w:marLeft w:val="0"/>
      <w:marRight w:val="0"/>
      <w:marTop w:val="0"/>
      <w:marBottom w:val="0"/>
      <w:divBdr>
        <w:top w:val="none" w:sz="0" w:space="0" w:color="auto"/>
        <w:left w:val="none" w:sz="0" w:space="0" w:color="auto"/>
        <w:bottom w:val="none" w:sz="0" w:space="0" w:color="auto"/>
        <w:right w:val="none" w:sz="0" w:space="0" w:color="auto"/>
      </w:divBdr>
    </w:div>
    <w:div w:id="1695688973">
      <w:bodyDiv w:val="1"/>
      <w:marLeft w:val="0"/>
      <w:marRight w:val="0"/>
      <w:marTop w:val="0"/>
      <w:marBottom w:val="0"/>
      <w:divBdr>
        <w:top w:val="none" w:sz="0" w:space="0" w:color="auto"/>
        <w:left w:val="none" w:sz="0" w:space="0" w:color="auto"/>
        <w:bottom w:val="none" w:sz="0" w:space="0" w:color="auto"/>
        <w:right w:val="none" w:sz="0" w:space="0" w:color="auto"/>
      </w:divBdr>
    </w:div>
    <w:div w:id="1718776461">
      <w:bodyDiv w:val="1"/>
      <w:marLeft w:val="0"/>
      <w:marRight w:val="0"/>
      <w:marTop w:val="0"/>
      <w:marBottom w:val="0"/>
      <w:divBdr>
        <w:top w:val="none" w:sz="0" w:space="0" w:color="auto"/>
        <w:left w:val="none" w:sz="0" w:space="0" w:color="auto"/>
        <w:bottom w:val="none" w:sz="0" w:space="0" w:color="auto"/>
        <w:right w:val="none" w:sz="0" w:space="0" w:color="auto"/>
      </w:divBdr>
    </w:div>
    <w:div w:id="1739784450">
      <w:bodyDiv w:val="1"/>
      <w:marLeft w:val="0"/>
      <w:marRight w:val="0"/>
      <w:marTop w:val="0"/>
      <w:marBottom w:val="0"/>
      <w:divBdr>
        <w:top w:val="none" w:sz="0" w:space="0" w:color="auto"/>
        <w:left w:val="none" w:sz="0" w:space="0" w:color="auto"/>
        <w:bottom w:val="none" w:sz="0" w:space="0" w:color="auto"/>
        <w:right w:val="none" w:sz="0" w:space="0" w:color="auto"/>
      </w:divBdr>
    </w:div>
    <w:div w:id="1740983016">
      <w:bodyDiv w:val="1"/>
      <w:marLeft w:val="0"/>
      <w:marRight w:val="0"/>
      <w:marTop w:val="0"/>
      <w:marBottom w:val="0"/>
      <w:divBdr>
        <w:top w:val="none" w:sz="0" w:space="0" w:color="auto"/>
        <w:left w:val="none" w:sz="0" w:space="0" w:color="auto"/>
        <w:bottom w:val="none" w:sz="0" w:space="0" w:color="auto"/>
        <w:right w:val="none" w:sz="0" w:space="0" w:color="auto"/>
      </w:divBdr>
    </w:div>
    <w:div w:id="1748265257">
      <w:bodyDiv w:val="1"/>
      <w:marLeft w:val="0"/>
      <w:marRight w:val="0"/>
      <w:marTop w:val="0"/>
      <w:marBottom w:val="0"/>
      <w:divBdr>
        <w:top w:val="none" w:sz="0" w:space="0" w:color="auto"/>
        <w:left w:val="none" w:sz="0" w:space="0" w:color="auto"/>
        <w:bottom w:val="none" w:sz="0" w:space="0" w:color="auto"/>
        <w:right w:val="none" w:sz="0" w:space="0" w:color="auto"/>
      </w:divBdr>
    </w:div>
    <w:div w:id="1767383549">
      <w:bodyDiv w:val="1"/>
      <w:marLeft w:val="0"/>
      <w:marRight w:val="0"/>
      <w:marTop w:val="0"/>
      <w:marBottom w:val="0"/>
      <w:divBdr>
        <w:top w:val="none" w:sz="0" w:space="0" w:color="auto"/>
        <w:left w:val="none" w:sz="0" w:space="0" w:color="auto"/>
        <w:bottom w:val="none" w:sz="0" w:space="0" w:color="auto"/>
        <w:right w:val="none" w:sz="0" w:space="0" w:color="auto"/>
      </w:divBdr>
    </w:div>
    <w:div w:id="1780294725">
      <w:bodyDiv w:val="1"/>
      <w:marLeft w:val="0"/>
      <w:marRight w:val="0"/>
      <w:marTop w:val="0"/>
      <w:marBottom w:val="0"/>
      <w:divBdr>
        <w:top w:val="none" w:sz="0" w:space="0" w:color="auto"/>
        <w:left w:val="none" w:sz="0" w:space="0" w:color="auto"/>
        <w:bottom w:val="none" w:sz="0" w:space="0" w:color="auto"/>
        <w:right w:val="none" w:sz="0" w:space="0" w:color="auto"/>
      </w:divBdr>
      <w:divsChild>
        <w:div w:id="957881445">
          <w:marLeft w:val="446"/>
          <w:marRight w:val="0"/>
          <w:marTop w:val="0"/>
          <w:marBottom w:val="0"/>
          <w:divBdr>
            <w:top w:val="none" w:sz="0" w:space="0" w:color="auto"/>
            <w:left w:val="none" w:sz="0" w:space="0" w:color="auto"/>
            <w:bottom w:val="none" w:sz="0" w:space="0" w:color="auto"/>
            <w:right w:val="none" w:sz="0" w:space="0" w:color="auto"/>
          </w:divBdr>
        </w:div>
        <w:div w:id="1249850276">
          <w:marLeft w:val="446"/>
          <w:marRight w:val="0"/>
          <w:marTop w:val="0"/>
          <w:marBottom w:val="0"/>
          <w:divBdr>
            <w:top w:val="none" w:sz="0" w:space="0" w:color="auto"/>
            <w:left w:val="none" w:sz="0" w:space="0" w:color="auto"/>
            <w:bottom w:val="none" w:sz="0" w:space="0" w:color="auto"/>
            <w:right w:val="none" w:sz="0" w:space="0" w:color="auto"/>
          </w:divBdr>
        </w:div>
        <w:div w:id="1599869579">
          <w:marLeft w:val="446"/>
          <w:marRight w:val="0"/>
          <w:marTop w:val="0"/>
          <w:marBottom w:val="0"/>
          <w:divBdr>
            <w:top w:val="none" w:sz="0" w:space="0" w:color="auto"/>
            <w:left w:val="none" w:sz="0" w:space="0" w:color="auto"/>
            <w:bottom w:val="none" w:sz="0" w:space="0" w:color="auto"/>
            <w:right w:val="none" w:sz="0" w:space="0" w:color="auto"/>
          </w:divBdr>
        </w:div>
      </w:divsChild>
    </w:div>
    <w:div w:id="1783569997">
      <w:bodyDiv w:val="1"/>
      <w:marLeft w:val="0"/>
      <w:marRight w:val="0"/>
      <w:marTop w:val="0"/>
      <w:marBottom w:val="0"/>
      <w:divBdr>
        <w:top w:val="none" w:sz="0" w:space="0" w:color="auto"/>
        <w:left w:val="none" w:sz="0" w:space="0" w:color="auto"/>
        <w:bottom w:val="none" w:sz="0" w:space="0" w:color="auto"/>
        <w:right w:val="none" w:sz="0" w:space="0" w:color="auto"/>
      </w:divBdr>
    </w:div>
    <w:div w:id="1785419587">
      <w:bodyDiv w:val="1"/>
      <w:marLeft w:val="0"/>
      <w:marRight w:val="0"/>
      <w:marTop w:val="0"/>
      <w:marBottom w:val="0"/>
      <w:divBdr>
        <w:top w:val="none" w:sz="0" w:space="0" w:color="auto"/>
        <w:left w:val="none" w:sz="0" w:space="0" w:color="auto"/>
        <w:bottom w:val="none" w:sz="0" w:space="0" w:color="auto"/>
        <w:right w:val="none" w:sz="0" w:space="0" w:color="auto"/>
      </w:divBdr>
    </w:div>
    <w:div w:id="1788426799">
      <w:bodyDiv w:val="1"/>
      <w:marLeft w:val="0"/>
      <w:marRight w:val="0"/>
      <w:marTop w:val="0"/>
      <w:marBottom w:val="0"/>
      <w:divBdr>
        <w:top w:val="none" w:sz="0" w:space="0" w:color="auto"/>
        <w:left w:val="none" w:sz="0" w:space="0" w:color="auto"/>
        <w:bottom w:val="none" w:sz="0" w:space="0" w:color="auto"/>
        <w:right w:val="none" w:sz="0" w:space="0" w:color="auto"/>
      </w:divBdr>
    </w:div>
    <w:div w:id="1793589615">
      <w:bodyDiv w:val="1"/>
      <w:marLeft w:val="0"/>
      <w:marRight w:val="0"/>
      <w:marTop w:val="0"/>
      <w:marBottom w:val="0"/>
      <w:divBdr>
        <w:top w:val="none" w:sz="0" w:space="0" w:color="auto"/>
        <w:left w:val="none" w:sz="0" w:space="0" w:color="auto"/>
        <w:bottom w:val="none" w:sz="0" w:space="0" w:color="auto"/>
        <w:right w:val="none" w:sz="0" w:space="0" w:color="auto"/>
      </w:divBdr>
    </w:div>
    <w:div w:id="1800948361">
      <w:bodyDiv w:val="1"/>
      <w:marLeft w:val="0"/>
      <w:marRight w:val="0"/>
      <w:marTop w:val="0"/>
      <w:marBottom w:val="0"/>
      <w:divBdr>
        <w:top w:val="none" w:sz="0" w:space="0" w:color="auto"/>
        <w:left w:val="none" w:sz="0" w:space="0" w:color="auto"/>
        <w:bottom w:val="none" w:sz="0" w:space="0" w:color="auto"/>
        <w:right w:val="none" w:sz="0" w:space="0" w:color="auto"/>
      </w:divBdr>
    </w:div>
    <w:div w:id="1812475649">
      <w:bodyDiv w:val="1"/>
      <w:marLeft w:val="0"/>
      <w:marRight w:val="0"/>
      <w:marTop w:val="0"/>
      <w:marBottom w:val="0"/>
      <w:divBdr>
        <w:top w:val="none" w:sz="0" w:space="0" w:color="auto"/>
        <w:left w:val="none" w:sz="0" w:space="0" w:color="auto"/>
        <w:bottom w:val="none" w:sz="0" w:space="0" w:color="auto"/>
        <w:right w:val="none" w:sz="0" w:space="0" w:color="auto"/>
      </w:divBdr>
    </w:div>
    <w:div w:id="1813325751">
      <w:bodyDiv w:val="1"/>
      <w:marLeft w:val="0"/>
      <w:marRight w:val="0"/>
      <w:marTop w:val="0"/>
      <w:marBottom w:val="0"/>
      <w:divBdr>
        <w:top w:val="none" w:sz="0" w:space="0" w:color="auto"/>
        <w:left w:val="none" w:sz="0" w:space="0" w:color="auto"/>
        <w:bottom w:val="none" w:sz="0" w:space="0" w:color="auto"/>
        <w:right w:val="none" w:sz="0" w:space="0" w:color="auto"/>
      </w:divBdr>
    </w:div>
    <w:div w:id="1838038933">
      <w:bodyDiv w:val="1"/>
      <w:marLeft w:val="0"/>
      <w:marRight w:val="0"/>
      <w:marTop w:val="0"/>
      <w:marBottom w:val="0"/>
      <w:divBdr>
        <w:top w:val="none" w:sz="0" w:space="0" w:color="auto"/>
        <w:left w:val="none" w:sz="0" w:space="0" w:color="auto"/>
        <w:bottom w:val="none" w:sz="0" w:space="0" w:color="auto"/>
        <w:right w:val="none" w:sz="0" w:space="0" w:color="auto"/>
      </w:divBdr>
    </w:div>
    <w:div w:id="1890260317">
      <w:bodyDiv w:val="1"/>
      <w:marLeft w:val="0"/>
      <w:marRight w:val="0"/>
      <w:marTop w:val="0"/>
      <w:marBottom w:val="0"/>
      <w:divBdr>
        <w:top w:val="none" w:sz="0" w:space="0" w:color="auto"/>
        <w:left w:val="none" w:sz="0" w:space="0" w:color="auto"/>
        <w:bottom w:val="none" w:sz="0" w:space="0" w:color="auto"/>
        <w:right w:val="none" w:sz="0" w:space="0" w:color="auto"/>
      </w:divBdr>
    </w:div>
    <w:div w:id="1937471123">
      <w:bodyDiv w:val="1"/>
      <w:marLeft w:val="0"/>
      <w:marRight w:val="0"/>
      <w:marTop w:val="0"/>
      <w:marBottom w:val="0"/>
      <w:divBdr>
        <w:top w:val="none" w:sz="0" w:space="0" w:color="auto"/>
        <w:left w:val="none" w:sz="0" w:space="0" w:color="auto"/>
        <w:bottom w:val="none" w:sz="0" w:space="0" w:color="auto"/>
        <w:right w:val="none" w:sz="0" w:space="0" w:color="auto"/>
      </w:divBdr>
    </w:div>
    <w:div w:id="1948852978">
      <w:bodyDiv w:val="1"/>
      <w:marLeft w:val="0"/>
      <w:marRight w:val="0"/>
      <w:marTop w:val="0"/>
      <w:marBottom w:val="0"/>
      <w:divBdr>
        <w:top w:val="none" w:sz="0" w:space="0" w:color="auto"/>
        <w:left w:val="none" w:sz="0" w:space="0" w:color="auto"/>
        <w:bottom w:val="none" w:sz="0" w:space="0" w:color="auto"/>
        <w:right w:val="none" w:sz="0" w:space="0" w:color="auto"/>
      </w:divBdr>
    </w:div>
    <w:div w:id="1951231579">
      <w:bodyDiv w:val="1"/>
      <w:marLeft w:val="0"/>
      <w:marRight w:val="0"/>
      <w:marTop w:val="0"/>
      <w:marBottom w:val="0"/>
      <w:divBdr>
        <w:top w:val="none" w:sz="0" w:space="0" w:color="auto"/>
        <w:left w:val="none" w:sz="0" w:space="0" w:color="auto"/>
        <w:bottom w:val="none" w:sz="0" w:space="0" w:color="auto"/>
        <w:right w:val="none" w:sz="0" w:space="0" w:color="auto"/>
      </w:divBdr>
    </w:div>
    <w:div w:id="1988777789">
      <w:bodyDiv w:val="1"/>
      <w:marLeft w:val="0"/>
      <w:marRight w:val="0"/>
      <w:marTop w:val="0"/>
      <w:marBottom w:val="0"/>
      <w:divBdr>
        <w:top w:val="none" w:sz="0" w:space="0" w:color="auto"/>
        <w:left w:val="none" w:sz="0" w:space="0" w:color="auto"/>
        <w:bottom w:val="none" w:sz="0" w:space="0" w:color="auto"/>
        <w:right w:val="none" w:sz="0" w:space="0" w:color="auto"/>
      </w:divBdr>
    </w:div>
    <w:div w:id="1990553222">
      <w:bodyDiv w:val="1"/>
      <w:marLeft w:val="0"/>
      <w:marRight w:val="0"/>
      <w:marTop w:val="0"/>
      <w:marBottom w:val="0"/>
      <w:divBdr>
        <w:top w:val="none" w:sz="0" w:space="0" w:color="auto"/>
        <w:left w:val="none" w:sz="0" w:space="0" w:color="auto"/>
        <w:bottom w:val="none" w:sz="0" w:space="0" w:color="auto"/>
        <w:right w:val="none" w:sz="0" w:space="0" w:color="auto"/>
      </w:divBdr>
    </w:div>
    <w:div w:id="2003317049">
      <w:bodyDiv w:val="1"/>
      <w:marLeft w:val="0"/>
      <w:marRight w:val="0"/>
      <w:marTop w:val="0"/>
      <w:marBottom w:val="0"/>
      <w:divBdr>
        <w:top w:val="none" w:sz="0" w:space="0" w:color="auto"/>
        <w:left w:val="none" w:sz="0" w:space="0" w:color="auto"/>
        <w:bottom w:val="none" w:sz="0" w:space="0" w:color="auto"/>
        <w:right w:val="none" w:sz="0" w:space="0" w:color="auto"/>
      </w:divBdr>
    </w:div>
    <w:div w:id="2004503934">
      <w:bodyDiv w:val="1"/>
      <w:marLeft w:val="0"/>
      <w:marRight w:val="0"/>
      <w:marTop w:val="0"/>
      <w:marBottom w:val="0"/>
      <w:divBdr>
        <w:top w:val="none" w:sz="0" w:space="0" w:color="auto"/>
        <w:left w:val="none" w:sz="0" w:space="0" w:color="auto"/>
        <w:bottom w:val="none" w:sz="0" w:space="0" w:color="auto"/>
        <w:right w:val="none" w:sz="0" w:space="0" w:color="auto"/>
      </w:divBdr>
    </w:div>
    <w:div w:id="2008361543">
      <w:bodyDiv w:val="1"/>
      <w:marLeft w:val="0"/>
      <w:marRight w:val="0"/>
      <w:marTop w:val="0"/>
      <w:marBottom w:val="0"/>
      <w:divBdr>
        <w:top w:val="none" w:sz="0" w:space="0" w:color="auto"/>
        <w:left w:val="none" w:sz="0" w:space="0" w:color="auto"/>
        <w:bottom w:val="none" w:sz="0" w:space="0" w:color="auto"/>
        <w:right w:val="none" w:sz="0" w:space="0" w:color="auto"/>
      </w:divBdr>
    </w:div>
    <w:div w:id="2028754509">
      <w:bodyDiv w:val="1"/>
      <w:marLeft w:val="0"/>
      <w:marRight w:val="0"/>
      <w:marTop w:val="0"/>
      <w:marBottom w:val="0"/>
      <w:divBdr>
        <w:top w:val="none" w:sz="0" w:space="0" w:color="auto"/>
        <w:left w:val="none" w:sz="0" w:space="0" w:color="auto"/>
        <w:bottom w:val="none" w:sz="0" w:space="0" w:color="auto"/>
        <w:right w:val="none" w:sz="0" w:space="0" w:color="auto"/>
      </w:divBdr>
    </w:div>
    <w:div w:id="2047901360">
      <w:bodyDiv w:val="1"/>
      <w:marLeft w:val="0"/>
      <w:marRight w:val="0"/>
      <w:marTop w:val="0"/>
      <w:marBottom w:val="0"/>
      <w:divBdr>
        <w:top w:val="none" w:sz="0" w:space="0" w:color="auto"/>
        <w:left w:val="none" w:sz="0" w:space="0" w:color="auto"/>
        <w:bottom w:val="none" w:sz="0" w:space="0" w:color="auto"/>
        <w:right w:val="none" w:sz="0" w:space="0" w:color="auto"/>
      </w:divBdr>
    </w:div>
    <w:div w:id="2078937156">
      <w:bodyDiv w:val="1"/>
      <w:marLeft w:val="0"/>
      <w:marRight w:val="0"/>
      <w:marTop w:val="0"/>
      <w:marBottom w:val="0"/>
      <w:divBdr>
        <w:top w:val="none" w:sz="0" w:space="0" w:color="auto"/>
        <w:left w:val="none" w:sz="0" w:space="0" w:color="auto"/>
        <w:bottom w:val="none" w:sz="0" w:space="0" w:color="auto"/>
        <w:right w:val="none" w:sz="0" w:space="0" w:color="auto"/>
      </w:divBdr>
    </w:div>
    <w:div w:id="2080866025">
      <w:bodyDiv w:val="1"/>
      <w:marLeft w:val="0"/>
      <w:marRight w:val="0"/>
      <w:marTop w:val="0"/>
      <w:marBottom w:val="0"/>
      <w:divBdr>
        <w:top w:val="none" w:sz="0" w:space="0" w:color="auto"/>
        <w:left w:val="none" w:sz="0" w:space="0" w:color="auto"/>
        <w:bottom w:val="none" w:sz="0" w:space="0" w:color="auto"/>
        <w:right w:val="none" w:sz="0" w:space="0" w:color="auto"/>
      </w:divBdr>
    </w:div>
    <w:div w:id="2082409543">
      <w:bodyDiv w:val="1"/>
      <w:marLeft w:val="0"/>
      <w:marRight w:val="0"/>
      <w:marTop w:val="0"/>
      <w:marBottom w:val="0"/>
      <w:divBdr>
        <w:top w:val="none" w:sz="0" w:space="0" w:color="auto"/>
        <w:left w:val="none" w:sz="0" w:space="0" w:color="auto"/>
        <w:bottom w:val="none" w:sz="0" w:space="0" w:color="auto"/>
        <w:right w:val="none" w:sz="0" w:space="0" w:color="auto"/>
      </w:divBdr>
    </w:div>
    <w:div w:id="2085907610">
      <w:bodyDiv w:val="1"/>
      <w:marLeft w:val="0"/>
      <w:marRight w:val="0"/>
      <w:marTop w:val="0"/>
      <w:marBottom w:val="0"/>
      <w:divBdr>
        <w:top w:val="none" w:sz="0" w:space="0" w:color="auto"/>
        <w:left w:val="none" w:sz="0" w:space="0" w:color="auto"/>
        <w:bottom w:val="none" w:sz="0" w:space="0" w:color="auto"/>
        <w:right w:val="none" w:sz="0" w:space="0" w:color="auto"/>
      </w:divBdr>
    </w:div>
    <w:div w:id="21041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DAVIE~1.DAT\LOCALS~1\Temp\TCD30A.tmp\Business%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249A6-7C90-4978-847E-1F16AD13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Template>
  <TotalTime>72</TotalTime>
  <Pages>28</Pages>
  <Words>9535</Words>
  <Characters>51544</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FAMILY RESPONSIBILITIES COMMISSION</vt:lpstr>
    </vt:vector>
  </TitlesOfParts>
  <Company>Hewlett-Packard</Company>
  <LinksUpToDate>false</LinksUpToDate>
  <CharactersWithSpaces>60958</CharactersWithSpaces>
  <SharedDoc>false</SharedDoc>
  <HLinks>
    <vt:vector size="6" baseType="variant">
      <vt:variant>
        <vt:i4>2687034</vt:i4>
      </vt:variant>
      <vt:variant>
        <vt:i4>12</vt:i4>
      </vt:variant>
      <vt:variant>
        <vt:i4>0</vt:i4>
      </vt:variant>
      <vt:variant>
        <vt:i4>5</vt:i4>
      </vt:variant>
      <vt:variant>
        <vt:lpwstr>http://www.frcq.org.au/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RESPONSIBILITIES COMMISSION</dc:title>
  <dc:subject/>
  <dc:creator>Davies</dc:creator>
  <cp:keywords/>
  <dc:description/>
  <cp:lastModifiedBy>Michelle Synott</cp:lastModifiedBy>
  <cp:revision>10</cp:revision>
  <cp:lastPrinted>2021-07-11T23:40:00Z</cp:lastPrinted>
  <dcterms:created xsi:type="dcterms:W3CDTF">2021-10-22T04:41:00Z</dcterms:created>
  <dcterms:modified xsi:type="dcterms:W3CDTF">2021-10-22T05:58:00Z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TC011847151033</vt:lpwstr>
  </property>
  <property fmtid="{D5CDD505-2E9C-101B-9397-08002B2CF9AE}" pid="3" name="_DocHome">
    <vt:i4>2039949846</vt:i4>
  </property>
</Properties>
</file>