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28EF0FA8"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C02DC0">
        <w:rPr>
          <w:caps w:val="0"/>
        </w:rPr>
        <w:t>2</w:t>
      </w:r>
    </w:p>
    <w:p w14:paraId="0C6B487A" w14:textId="77777777" w:rsidR="00900037" w:rsidRPr="00013220" w:rsidRDefault="00900037" w:rsidP="002B6652">
      <w:pPr>
        <w:pStyle w:val="Subtitle"/>
        <w:ind w:left="-426" w:right="-623"/>
        <w:jc w:val="center"/>
        <w:rPr>
          <w:b/>
          <w:i w:val="0"/>
          <w:sz w:val="36"/>
          <w:szCs w:val="36"/>
        </w:rPr>
      </w:pPr>
    </w:p>
    <w:p w14:paraId="0AC82FDD" w14:textId="705FDEB1" w:rsidR="00900037" w:rsidRPr="006F7EC0" w:rsidRDefault="00C02DC0" w:rsidP="006F7EC0">
      <w:pPr>
        <w:pStyle w:val="Title"/>
        <w:spacing w:before="200"/>
        <w:ind w:left="-426" w:right="-623"/>
        <w:jc w:val="center"/>
        <w:rPr>
          <w:caps w:val="0"/>
          <w:sz w:val="28"/>
          <w:szCs w:val="28"/>
        </w:rPr>
      </w:pPr>
      <w:r>
        <w:rPr>
          <w:caps w:val="0"/>
          <w:sz w:val="28"/>
          <w:szCs w:val="28"/>
        </w:rPr>
        <w:t xml:space="preserve">April </w:t>
      </w:r>
      <w:r w:rsidR="00960C5D">
        <w:rPr>
          <w:caps w:val="0"/>
          <w:sz w:val="28"/>
          <w:szCs w:val="28"/>
        </w:rPr>
        <w:t>202</w:t>
      </w:r>
      <w:r w:rsidR="00D53637">
        <w:rPr>
          <w:caps w:val="0"/>
          <w:sz w:val="28"/>
          <w:szCs w:val="28"/>
        </w:rPr>
        <w:t>1</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June </w:t>
      </w:r>
      <w:r w:rsidR="00960C5D">
        <w:rPr>
          <w:caps w:val="0"/>
          <w:sz w:val="28"/>
          <w:szCs w:val="28"/>
        </w:rPr>
        <w:t>202</w:t>
      </w:r>
      <w:r w:rsidR="00D53637">
        <w:rPr>
          <w:caps w:val="0"/>
          <w:sz w:val="28"/>
          <w:szCs w:val="28"/>
        </w:rPr>
        <w:t>1</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5FA98BB4"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33735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CD22AA">
      <w:pPr>
        <w:pStyle w:val="Heading4"/>
        <w:spacing w:after="120"/>
      </w:pPr>
      <w:r>
        <w:br w:type="page"/>
      </w:r>
      <w:r w:rsidRPr="00DD384D">
        <w:lastRenderedPageBreak/>
        <w:t>Executive Summary</w:t>
      </w:r>
    </w:p>
    <w:p w14:paraId="71A6161F" w14:textId="6049F064"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281E08">
        <w:t>5</w:t>
      </w:r>
      <w:r w:rsidR="00C02DC0">
        <w:t>2</w:t>
      </w:r>
      <w:r w:rsidR="00281E08">
        <w:t xml:space="preserve"> </w:t>
      </w:r>
      <w: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411CE31F"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9A7C28">
        <w:rPr>
          <w:sz w:val="16"/>
          <w:szCs w:val="16"/>
        </w:rPr>
        <w:t>January 2021</w:t>
      </w:r>
      <w:r>
        <w:rPr>
          <w:sz w:val="16"/>
          <w:szCs w:val="16"/>
        </w:rPr>
        <w:t xml:space="preserve"> to </w:t>
      </w:r>
      <w:r w:rsidR="004F7197">
        <w:rPr>
          <w:sz w:val="16"/>
          <w:szCs w:val="16"/>
        </w:rPr>
        <w:t>3</w:t>
      </w:r>
      <w:r w:rsidR="00C02DC0">
        <w:rPr>
          <w:sz w:val="16"/>
          <w:szCs w:val="16"/>
        </w:rPr>
        <w:t>0</w:t>
      </w:r>
      <w:r w:rsidR="00D53637">
        <w:rPr>
          <w:sz w:val="16"/>
          <w:szCs w:val="16"/>
        </w:rPr>
        <w:t xml:space="preserve"> </w:t>
      </w:r>
      <w:r w:rsidR="00C02DC0">
        <w:rPr>
          <w:sz w:val="16"/>
          <w:szCs w:val="16"/>
        </w:rPr>
        <w:t>June</w:t>
      </w:r>
      <w:r w:rsidR="00AA5E6D">
        <w:rPr>
          <w:sz w:val="16"/>
          <w:szCs w:val="16"/>
        </w:rPr>
        <w:t xml:space="preserve"> </w:t>
      </w:r>
      <w:r w:rsidR="00111F45">
        <w:rPr>
          <w:sz w:val="16"/>
          <w:szCs w:val="16"/>
        </w:rPr>
        <w:t>202</w:t>
      </w:r>
      <w:r w:rsidR="00D53637">
        <w:rPr>
          <w:sz w:val="16"/>
          <w:szCs w:val="16"/>
        </w:rPr>
        <w:t>1</w:t>
      </w:r>
      <w:r w:rsidR="00881F6A">
        <w:rPr>
          <w:sz w:val="16"/>
          <w:szCs w:val="16"/>
        </w:rPr>
        <w:t>.</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3C08FA25"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0D0A4E">
              <w:rPr>
                <w:rFonts w:cs="Arial"/>
                <w:b/>
                <w:bCs/>
                <w:sz w:val="18"/>
                <w:szCs w:val="18"/>
                <w:lang w:eastAsia="en-AU"/>
              </w:rPr>
              <w:t>51</w:t>
            </w:r>
          </w:p>
        </w:tc>
        <w:tc>
          <w:tcPr>
            <w:tcW w:w="992" w:type="dxa"/>
            <w:tcBorders>
              <w:top w:val="single" w:sz="4" w:space="0" w:color="auto"/>
              <w:left w:val="single" w:sz="4" w:space="0" w:color="auto"/>
              <w:bottom w:val="single" w:sz="4" w:space="0" w:color="auto"/>
              <w:right w:val="single" w:sz="4" w:space="0" w:color="auto"/>
            </w:tcBorders>
          </w:tcPr>
          <w:p w14:paraId="26E501C0" w14:textId="7281FE5A"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0D0A4E">
              <w:rPr>
                <w:rFonts w:cs="Arial"/>
                <w:b/>
                <w:bCs/>
                <w:sz w:val="18"/>
                <w:szCs w:val="18"/>
                <w:lang w:eastAsia="en-AU"/>
              </w:rPr>
              <w:t>52</w:t>
            </w:r>
          </w:p>
        </w:tc>
      </w:tr>
      <w:tr w:rsidR="000B62AC"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0B62AC" w:rsidRPr="00504360" w:rsidRDefault="000B62AC" w:rsidP="000B62AC">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2"/>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44587CA6" w:rsidR="000B62AC" w:rsidRPr="00504360" w:rsidRDefault="000B62AC" w:rsidP="000B62AC">
            <w:pPr>
              <w:spacing w:line="240" w:lineRule="auto"/>
              <w:jc w:val="right"/>
              <w:rPr>
                <w:rFonts w:cs="Arial"/>
                <w:sz w:val="18"/>
                <w:szCs w:val="18"/>
              </w:rPr>
            </w:pPr>
            <w:r>
              <w:rPr>
                <w:rFonts w:cs="Arial"/>
                <w:sz w:val="18"/>
                <w:szCs w:val="18"/>
              </w:rPr>
              <w:t>2,014</w:t>
            </w:r>
          </w:p>
        </w:tc>
        <w:tc>
          <w:tcPr>
            <w:tcW w:w="992" w:type="dxa"/>
            <w:tcBorders>
              <w:top w:val="single" w:sz="4" w:space="0" w:color="auto"/>
              <w:left w:val="single" w:sz="4" w:space="0" w:color="auto"/>
              <w:bottom w:val="single" w:sz="4" w:space="0" w:color="auto"/>
              <w:right w:val="single" w:sz="4" w:space="0" w:color="auto"/>
            </w:tcBorders>
          </w:tcPr>
          <w:p w14:paraId="7FA692B3" w14:textId="0EA37491" w:rsidR="000B62AC" w:rsidRPr="00504360" w:rsidRDefault="00B72A37" w:rsidP="000B62AC">
            <w:pPr>
              <w:spacing w:line="240" w:lineRule="auto"/>
              <w:jc w:val="right"/>
              <w:rPr>
                <w:rFonts w:cs="Arial"/>
                <w:sz w:val="18"/>
                <w:szCs w:val="18"/>
              </w:rPr>
            </w:pPr>
            <w:r>
              <w:rPr>
                <w:rFonts w:cs="Arial"/>
                <w:sz w:val="18"/>
                <w:szCs w:val="18"/>
              </w:rPr>
              <w:t>2,154</w:t>
            </w:r>
          </w:p>
        </w:tc>
      </w:tr>
      <w:tr w:rsidR="000B62AC"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0B62AC" w:rsidRPr="00504360" w:rsidRDefault="000B62AC" w:rsidP="000B62AC">
            <w:pPr>
              <w:spacing w:line="240" w:lineRule="auto"/>
              <w:rPr>
                <w:rFonts w:cs="Arial"/>
                <w:sz w:val="18"/>
                <w:szCs w:val="18"/>
                <w:lang w:eastAsia="en-AU"/>
              </w:rPr>
            </w:pPr>
            <w:r w:rsidRPr="00504360">
              <w:rPr>
                <w:rFonts w:cs="Arial"/>
                <w:sz w:val="18"/>
                <w:szCs w:val="18"/>
                <w:lang w:eastAsia="en-AU"/>
              </w:rPr>
              <w:tab/>
              <w:t xml:space="preserve">Number of </w:t>
            </w:r>
            <w:r w:rsidR="00EB6850">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150EAC98" w:rsidR="000B62AC" w:rsidRPr="00504360" w:rsidRDefault="000B62AC" w:rsidP="000B62AC">
            <w:pPr>
              <w:spacing w:line="240" w:lineRule="auto"/>
              <w:jc w:val="right"/>
              <w:rPr>
                <w:rFonts w:cs="Arial"/>
                <w:sz w:val="18"/>
                <w:szCs w:val="18"/>
              </w:rPr>
            </w:pPr>
            <w:r>
              <w:rPr>
                <w:rFonts w:cs="Arial"/>
                <w:sz w:val="18"/>
                <w:szCs w:val="18"/>
              </w:rPr>
              <w:t>1,059</w:t>
            </w:r>
          </w:p>
        </w:tc>
        <w:tc>
          <w:tcPr>
            <w:tcW w:w="992" w:type="dxa"/>
            <w:tcBorders>
              <w:top w:val="single" w:sz="4" w:space="0" w:color="auto"/>
              <w:left w:val="single" w:sz="4" w:space="0" w:color="auto"/>
              <w:bottom w:val="single" w:sz="4" w:space="0" w:color="auto"/>
              <w:right w:val="single" w:sz="4" w:space="0" w:color="auto"/>
            </w:tcBorders>
          </w:tcPr>
          <w:p w14:paraId="01FC42FF" w14:textId="10DFF157" w:rsidR="000B62AC" w:rsidRPr="00504360" w:rsidRDefault="00B72A37" w:rsidP="000B62AC">
            <w:pPr>
              <w:spacing w:line="240" w:lineRule="auto"/>
              <w:jc w:val="right"/>
              <w:rPr>
                <w:rFonts w:cs="Arial"/>
                <w:sz w:val="18"/>
                <w:szCs w:val="18"/>
              </w:rPr>
            </w:pPr>
            <w:r>
              <w:rPr>
                <w:rFonts w:cs="Arial"/>
                <w:sz w:val="18"/>
                <w:szCs w:val="18"/>
              </w:rPr>
              <w:t>1,14</w:t>
            </w:r>
            <w:r w:rsidR="002537AE">
              <w:rPr>
                <w:rFonts w:cs="Arial"/>
                <w:sz w:val="18"/>
                <w:szCs w:val="18"/>
              </w:rPr>
              <w:t>4</w:t>
            </w:r>
          </w:p>
        </w:tc>
      </w:tr>
      <w:tr w:rsidR="000B62AC"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0B62AC" w:rsidRPr="00504360" w:rsidRDefault="000B62AC" w:rsidP="000B62AC">
            <w:pPr>
              <w:spacing w:line="240" w:lineRule="auto"/>
              <w:rPr>
                <w:rFonts w:cs="Arial"/>
                <w:sz w:val="18"/>
                <w:szCs w:val="18"/>
                <w:lang w:eastAsia="en-AU"/>
              </w:rPr>
            </w:pPr>
            <w:r w:rsidRPr="00504360">
              <w:rPr>
                <w:rFonts w:cs="Arial"/>
                <w:sz w:val="18"/>
                <w:szCs w:val="18"/>
                <w:lang w:eastAsia="en-AU"/>
              </w:rPr>
              <w:tab/>
              <w:t xml:space="preserve">Number of </w:t>
            </w:r>
            <w:r w:rsidR="00EB6850">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7050F22C" w:rsidR="000B62AC" w:rsidRPr="00504360" w:rsidRDefault="000B62AC" w:rsidP="000B62AC">
            <w:pPr>
              <w:spacing w:line="240" w:lineRule="auto"/>
              <w:jc w:val="right"/>
              <w:rPr>
                <w:rFonts w:cs="Arial"/>
                <w:sz w:val="18"/>
                <w:szCs w:val="18"/>
              </w:rPr>
            </w:pPr>
            <w:r>
              <w:rPr>
                <w:rFonts w:cs="Arial"/>
                <w:sz w:val="18"/>
                <w:szCs w:val="18"/>
              </w:rPr>
              <w:t>955</w:t>
            </w:r>
          </w:p>
        </w:tc>
        <w:tc>
          <w:tcPr>
            <w:tcW w:w="992" w:type="dxa"/>
            <w:tcBorders>
              <w:top w:val="single" w:sz="4" w:space="0" w:color="auto"/>
              <w:left w:val="single" w:sz="4" w:space="0" w:color="auto"/>
              <w:bottom w:val="single" w:sz="4" w:space="0" w:color="auto"/>
              <w:right w:val="single" w:sz="4" w:space="0" w:color="auto"/>
            </w:tcBorders>
          </w:tcPr>
          <w:p w14:paraId="15DC554A" w14:textId="2168EA54" w:rsidR="000B62AC" w:rsidRPr="00504360" w:rsidRDefault="00B72A37" w:rsidP="000B62AC">
            <w:pPr>
              <w:spacing w:line="240" w:lineRule="auto"/>
              <w:jc w:val="right"/>
              <w:rPr>
                <w:rFonts w:cs="Arial"/>
                <w:sz w:val="18"/>
                <w:szCs w:val="18"/>
              </w:rPr>
            </w:pPr>
            <w:r>
              <w:rPr>
                <w:rFonts w:cs="Arial"/>
                <w:sz w:val="18"/>
                <w:szCs w:val="18"/>
              </w:rPr>
              <w:t>1,0</w:t>
            </w:r>
            <w:r w:rsidR="002537AE">
              <w:rPr>
                <w:rFonts w:cs="Arial"/>
                <w:sz w:val="18"/>
                <w:szCs w:val="18"/>
              </w:rPr>
              <w:t>10</w:t>
            </w:r>
          </w:p>
        </w:tc>
      </w:tr>
      <w:tr w:rsidR="000B62AC"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0B62AC" w:rsidRPr="00504360" w:rsidRDefault="000B62AC" w:rsidP="000B62AC">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sidR="00EB6850">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59CC3F41" w:rsidR="000B62AC" w:rsidRPr="00504360" w:rsidRDefault="000B62AC" w:rsidP="000B62AC">
            <w:pPr>
              <w:spacing w:line="240" w:lineRule="auto"/>
              <w:jc w:val="right"/>
              <w:rPr>
                <w:rFonts w:cs="Arial"/>
                <w:sz w:val="18"/>
                <w:szCs w:val="18"/>
                <w:lang w:eastAsia="en-AU"/>
              </w:rPr>
            </w:pPr>
            <w:r>
              <w:rPr>
                <w:rFonts w:cs="Arial"/>
                <w:sz w:val="18"/>
                <w:szCs w:val="18"/>
              </w:rPr>
              <w:t>585</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7A0F644E" w:rsidR="000B62AC" w:rsidRPr="00504360" w:rsidRDefault="00B72A37" w:rsidP="000B62AC">
            <w:pPr>
              <w:spacing w:line="240" w:lineRule="auto"/>
              <w:jc w:val="right"/>
              <w:rPr>
                <w:rFonts w:cs="Arial"/>
                <w:sz w:val="18"/>
                <w:szCs w:val="18"/>
              </w:rPr>
            </w:pPr>
            <w:r>
              <w:rPr>
                <w:rFonts w:cs="Arial"/>
                <w:sz w:val="18"/>
                <w:szCs w:val="18"/>
              </w:rPr>
              <w:t>56</w:t>
            </w:r>
            <w:r w:rsidR="002537AE">
              <w:rPr>
                <w:rFonts w:cs="Arial"/>
                <w:sz w:val="18"/>
                <w:szCs w:val="18"/>
              </w:rPr>
              <w:t>7</w:t>
            </w:r>
          </w:p>
        </w:tc>
      </w:tr>
      <w:tr w:rsidR="000B62AC"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0B62AC" w:rsidRPr="00504360" w:rsidRDefault="000B62AC" w:rsidP="000B62A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0B62AC" w:rsidRPr="00504360" w:rsidRDefault="000B62AC"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0B62AC" w:rsidRPr="00504360" w:rsidRDefault="000B62AC" w:rsidP="000B62AC">
            <w:pPr>
              <w:spacing w:line="240" w:lineRule="auto"/>
              <w:jc w:val="right"/>
              <w:rPr>
                <w:rFonts w:cs="Arial"/>
                <w:sz w:val="18"/>
                <w:szCs w:val="18"/>
              </w:rPr>
            </w:pPr>
          </w:p>
        </w:tc>
      </w:tr>
      <w:tr w:rsidR="000B62AC"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0B62AC" w:rsidRPr="001E2C9A" w:rsidRDefault="0041058E" w:rsidP="000B62AC">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0B62AC" w:rsidRPr="00504360" w:rsidRDefault="000B62AC" w:rsidP="000B62A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0B62AC" w:rsidRDefault="000B62AC" w:rsidP="000B62AC">
            <w:pPr>
              <w:spacing w:line="240" w:lineRule="auto"/>
              <w:jc w:val="right"/>
              <w:rPr>
                <w:rFonts w:cs="Arial"/>
                <w:sz w:val="18"/>
                <w:szCs w:val="18"/>
              </w:rPr>
            </w:pPr>
          </w:p>
        </w:tc>
      </w:tr>
      <w:tr w:rsidR="002537AE"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2537AE" w:rsidRPr="0041058E" w:rsidRDefault="002537AE" w:rsidP="002537AE">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1912E4EE" w:rsidR="002537AE" w:rsidRPr="00504360" w:rsidRDefault="002537AE" w:rsidP="002537AE">
            <w:pPr>
              <w:spacing w:line="240" w:lineRule="auto"/>
              <w:jc w:val="right"/>
              <w:rPr>
                <w:rFonts w:cs="Arial"/>
                <w:sz w:val="18"/>
                <w:szCs w:val="18"/>
              </w:rPr>
            </w:pPr>
            <w:r>
              <w:rPr>
                <w:rFonts w:cs="Arial"/>
                <w:sz w:val="18"/>
                <w:szCs w:val="18"/>
              </w:rPr>
              <w:t>371</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7A4EDBFB" w:rsidR="002537AE" w:rsidRDefault="002537AE" w:rsidP="002537AE">
            <w:pPr>
              <w:spacing w:line="240" w:lineRule="auto"/>
              <w:jc w:val="right"/>
              <w:rPr>
                <w:rFonts w:cs="Arial"/>
                <w:sz w:val="18"/>
                <w:szCs w:val="18"/>
              </w:rPr>
            </w:pPr>
            <w:r>
              <w:rPr>
                <w:rFonts w:cs="Arial"/>
                <w:sz w:val="18"/>
                <w:szCs w:val="18"/>
              </w:rPr>
              <w:t>365</w:t>
            </w:r>
          </w:p>
        </w:tc>
      </w:tr>
      <w:tr w:rsidR="000B62AC"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0B62AC" w:rsidRPr="00504360" w:rsidRDefault="000B62AC" w:rsidP="000B62AC">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18FC8D0F" w:rsidR="000B62AC" w:rsidRPr="00504360" w:rsidRDefault="000B62AC" w:rsidP="000B62AC">
            <w:pPr>
              <w:spacing w:line="240" w:lineRule="auto"/>
              <w:jc w:val="right"/>
              <w:rPr>
                <w:rFonts w:cs="Arial"/>
                <w:sz w:val="18"/>
                <w:szCs w:val="18"/>
              </w:rPr>
            </w:pPr>
            <w:r>
              <w:rPr>
                <w:rFonts w:cs="Arial"/>
                <w:sz w:val="18"/>
                <w:szCs w:val="18"/>
              </w:rPr>
              <w:t>303</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1C380829" w:rsidR="000B62AC" w:rsidRPr="00504360" w:rsidRDefault="00B72A37" w:rsidP="000B62AC">
            <w:pPr>
              <w:spacing w:line="240" w:lineRule="auto"/>
              <w:jc w:val="right"/>
              <w:rPr>
                <w:rFonts w:cs="Arial"/>
                <w:sz w:val="18"/>
                <w:szCs w:val="18"/>
              </w:rPr>
            </w:pPr>
            <w:r>
              <w:rPr>
                <w:rFonts w:cs="Arial"/>
                <w:sz w:val="18"/>
                <w:szCs w:val="18"/>
              </w:rPr>
              <w:t>289</w:t>
            </w:r>
          </w:p>
        </w:tc>
      </w:tr>
      <w:tr w:rsidR="000B62AC" w:rsidRPr="00504360" w14:paraId="206F5C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38238C3" w14:textId="2F09A8BC" w:rsidR="000B62AC" w:rsidRPr="00504360" w:rsidRDefault="0041058E" w:rsidP="000B62AC">
            <w:pPr>
              <w:spacing w:line="240" w:lineRule="auto"/>
              <w:rPr>
                <w:rFonts w:cs="Arial"/>
                <w:sz w:val="18"/>
                <w:szCs w:val="18"/>
                <w:lang w:eastAsia="en-AU"/>
              </w:rPr>
            </w:pPr>
            <w:r w:rsidRPr="0041058E">
              <w:rPr>
                <w:rFonts w:cs="Arial"/>
                <w:sz w:val="18"/>
                <w:szCs w:val="18"/>
                <w:lang w:eastAsia="en-AU"/>
              </w:rPr>
              <w:t>Amend/end application hearings conducted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C88547" w14:textId="5C60D6BC" w:rsidR="000B62AC" w:rsidRPr="00504360" w:rsidRDefault="000B62AC" w:rsidP="000B62AC">
            <w:pPr>
              <w:spacing w:line="240" w:lineRule="auto"/>
              <w:jc w:val="right"/>
              <w:rPr>
                <w:rFonts w:cs="Arial"/>
                <w:sz w:val="18"/>
                <w:szCs w:val="18"/>
              </w:rPr>
            </w:pPr>
            <w:r>
              <w:rPr>
                <w:rFonts w:cs="Arial"/>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58ADD91F" w14:textId="68A7F4A4" w:rsidR="000B62AC" w:rsidRDefault="00B72A37" w:rsidP="000B62AC">
            <w:pPr>
              <w:spacing w:line="240" w:lineRule="auto"/>
              <w:jc w:val="right"/>
              <w:rPr>
                <w:rFonts w:cs="Arial"/>
                <w:sz w:val="18"/>
                <w:szCs w:val="18"/>
              </w:rPr>
            </w:pPr>
            <w:r>
              <w:rPr>
                <w:rFonts w:cs="Arial"/>
                <w:sz w:val="18"/>
                <w:szCs w:val="18"/>
              </w:rPr>
              <w:t>1</w:t>
            </w:r>
          </w:p>
        </w:tc>
      </w:tr>
      <w:tr w:rsidR="002537AE" w:rsidRPr="00504360" w14:paraId="2DFDF150"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7ACF210" w14:textId="0667FC71" w:rsidR="002537AE" w:rsidRPr="0041058E" w:rsidRDefault="002537AE" w:rsidP="000B62AC">
            <w:pPr>
              <w:spacing w:line="240" w:lineRule="auto"/>
              <w:rPr>
                <w:rFonts w:cs="Arial"/>
                <w:sz w:val="18"/>
                <w:szCs w:val="18"/>
                <w:lang w:eastAsia="en-AU"/>
              </w:rPr>
            </w:pPr>
            <w:r>
              <w:rPr>
                <w:rFonts w:cs="Arial"/>
                <w:sz w:val="18"/>
                <w:szCs w:val="18"/>
                <w:lang w:eastAsia="en-AU"/>
              </w:rPr>
              <w:t>Number of amend/end application hearing clients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1174" w14:textId="2C9057FB" w:rsidR="002537AE" w:rsidRDefault="002537AE" w:rsidP="000B62AC">
            <w:pPr>
              <w:spacing w:line="240" w:lineRule="auto"/>
              <w:jc w:val="right"/>
              <w:rPr>
                <w:rFonts w:cs="Arial"/>
                <w:sz w:val="18"/>
                <w:szCs w:val="18"/>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72DD471C" w14:textId="388C14CC" w:rsidR="002537AE" w:rsidRDefault="002537AE" w:rsidP="000B62AC">
            <w:pPr>
              <w:spacing w:line="240" w:lineRule="auto"/>
              <w:jc w:val="right"/>
              <w:rPr>
                <w:rFonts w:cs="Arial"/>
                <w:sz w:val="18"/>
                <w:szCs w:val="18"/>
              </w:rPr>
            </w:pPr>
            <w:r>
              <w:rPr>
                <w:rFonts w:cs="Arial"/>
                <w:sz w:val="18"/>
                <w:szCs w:val="18"/>
              </w:rPr>
              <w:t>1</w:t>
            </w:r>
          </w:p>
        </w:tc>
      </w:tr>
      <w:tr w:rsidR="000B62AC"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0B62AC" w:rsidRPr="00504360" w:rsidRDefault="0041058E" w:rsidP="000B62AC">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440514CB" w:rsidR="000B62AC" w:rsidRPr="00504360" w:rsidRDefault="000B62AC" w:rsidP="000B62AC">
            <w:pPr>
              <w:spacing w:line="240" w:lineRule="auto"/>
              <w:jc w:val="right"/>
              <w:rPr>
                <w:rFonts w:cs="Arial"/>
                <w:sz w:val="18"/>
                <w:szCs w:val="18"/>
                <w:lang w:eastAsia="en-AU"/>
              </w:rPr>
            </w:pPr>
            <w:r>
              <w:rPr>
                <w:rFonts w:cs="Arial"/>
                <w:sz w:val="18"/>
                <w:szCs w:val="18"/>
              </w:rPr>
              <w:t>63%</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6C9000E7" w:rsidR="000B62AC" w:rsidRPr="00504360" w:rsidRDefault="00B72A37" w:rsidP="000B62AC">
            <w:pPr>
              <w:spacing w:line="240" w:lineRule="auto"/>
              <w:jc w:val="right"/>
              <w:rPr>
                <w:rFonts w:cs="Arial"/>
                <w:sz w:val="18"/>
                <w:szCs w:val="18"/>
              </w:rPr>
            </w:pPr>
            <w:r>
              <w:rPr>
                <w:rFonts w:cs="Arial"/>
                <w:sz w:val="18"/>
                <w:szCs w:val="18"/>
              </w:rPr>
              <w:t>57%</w:t>
            </w:r>
          </w:p>
        </w:tc>
      </w:tr>
      <w:tr w:rsidR="000B62AC"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0B62AC" w:rsidRPr="00504360" w:rsidRDefault="00E10506" w:rsidP="000B62AC">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7C7AB2E6" w:rsidR="000B62AC" w:rsidRPr="00504360" w:rsidRDefault="000B62AC" w:rsidP="000B62AC">
            <w:pPr>
              <w:spacing w:line="240" w:lineRule="auto"/>
              <w:jc w:val="right"/>
              <w:rPr>
                <w:rFonts w:cs="Arial"/>
                <w:sz w:val="18"/>
                <w:szCs w:val="18"/>
                <w:lang w:eastAsia="en-AU"/>
              </w:rPr>
            </w:pPr>
            <w:r>
              <w:rPr>
                <w:rFonts w:cs="Arial"/>
                <w:sz w:val="18"/>
                <w:szCs w:val="18"/>
              </w:rPr>
              <w:t>38%</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4443793C" w:rsidR="000B62AC" w:rsidRPr="00504360" w:rsidRDefault="00B72A37" w:rsidP="000B62AC">
            <w:pPr>
              <w:spacing w:line="240" w:lineRule="auto"/>
              <w:jc w:val="right"/>
              <w:rPr>
                <w:rFonts w:cs="Arial"/>
                <w:sz w:val="18"/>
                <w:szCs w:val="18"/>
              </w:rPr>
            </w:pPr>
            <w:r>
              <w:rPr>
                <w:rFonts w:cs="Arial"/>
                <w:sz w:val="18"/>
                <w:szCs w:val="18"/>
              </w:rPr>
              <w:t>28%</w:t>
            </w:r>
          </w:p>
        </w:tc>
      </w:tr>
      <w:tr w:rsidR="000B62AC"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0B62AC" w:rsidRPr="00504360" w:rsidRDefault="000B62AC" w:rsidP="000B62A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0B62AC" w:rsidRPr="00504360" w:rsidRDefault="000B62AC"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0B62AC" w:rsidRPr="00504360" w:rsidRDefault="000B62AC" w:rsidP="000B62AC">
            <w:pPr>
              <w:spacing w:line="240" w:lineRule="auto"/>
              <w:jc w:val="right"/>
              <w:rPr>
                <w:rFonts w:cs="Arial"/>
                <w:sz w:val="18"/>
                <w:szCs w:val="18"/>
                <w:lang w:eastAsia="en-AU"/>
              </w:rPr>
            </w:pPr>
          </w:p>
        </w:tc>
      </w:tr>
      <w:tr w:rsidR="000B62AC"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0B62AC" w:rsidRPr="00504360" w:rsidRDefault="000B62AC" w:rsidP="000B62AC">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0B62AC" w:rsidRPr="00504360" w:rsidRDefault="000B62AC"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0B62AC" w:rsidRPr="00504360" w:rsidRDefault="000B62AC" w:rsidP="000B62AC">
            <w:pPr>
              <w:spacing w:line="240" w:lineRule="auto"/>
              <w:jc w:val="right"/>
              <w:rPr>
                <w:rFonts w:cs="Arial"/>
                <w:sz w:val="18"/>
                <w:szCs w:val="18"/>
                <w:lang w:eastAsia="en-AU"/>
              </w:rPr>
            </w:pPr>
          </w:p>
        </w:tc>
      </w:tr>
      <w:tr w:rsidR="000B62AC"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0B62AC" w:rsidRPr="00504360" w:rsidRDefault="000B62AC" w:rsidP="000B62AC">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25F76B0E" w:rsidR="000B62AC" w:rsidRPr="00504360" w:rsidRDefault="000B62AC" w:rsidP="000B62AC">
            <w:pPr>
              <w:spacing w:line="240" w:lineRule="auto"/>
              <w:jc w:val="right"/>
              <w:rPr>
                <w:rFonts w:cs="Arial"/>
                <w:sz w:val="18"/>
                <w:szCs w:val="18"/>
                <w:lang w:eastAsia="en-AU"/>
              </w:rPr>
            </w:pPr>
            <w:r>
              <w:rPr>
                <w:rFonts w:cs="Arial"/>
                <w:sz w:val="18"/>
                <w:szCs w:val="18"/>
              </w:rPr>
              <w:t>89</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6266E2B3" w:rsidR="000B62AC" w:rsidRPr="00504360" w:rsidRDefault="00B72A37" w:rsidP="000B62AC">
            <w:pPr>
              <w:spacing w:line="240" w:lineRule="auto"/>
              <w:jc w:val="right"/>
              <w:rPr>
                <w:rFonts w:cs="Arial"/>
                <w:sz w:val="18"/>
                <w:szCs w:val="18"/>
              </w:rPr>
            </w:pPr>
            <w:r>
              <w:rPr>
                <w:rFonts w:cs="Arial"/>
                <w:sz w:val="18"/>
                <w:szCs w:val="18"/>
              </w:rPr>
              <w:t>84</w:t>
            </w:r>
          </w:p>
        </w:tc>
      </w:tr>
      <w:tr w:rsidR="000B62AC"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0B62AC" w:rsidRPr="00504360" w:rsidRDefault="000B62AC" w:rsidP="000B62AC">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71F80EDE" w:rsidR="000B62AC" w:rsidRPr="00504360" w:rsidRDefault="000B62AC" w:rsidP="000B62AC">
            <w:pPr>
              <w:spacing w:line="240" w:lineRule="auto"/>
              <w:jc w:val="right"/>
              <w:rPr>
                <w:rFonts w:cs="Arial"/>
                <w:sz w:val="18"/>
                <w:szCs w:val="18"/>
                <w:lang w:eastAsia="en-AU"/>
              </w:rPr>
            </w:pPr>
            <w:r>
              <w:rPr>
                <w:rFonts w:cs="Arial"/>
                <w:sz w:val="18"/>
                <w:szCs w:val="18"/>
              </w:rPr>
              <w:t>21</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36F10893" w:rsidR="000B62AC" w:rsidRPr="00504360" w:rsidRDefault="00B72A37" w:rsidP="000B62AC">
            <w:pPr>
              <w:spacing w:line="240" w:lineRule="auto"/>
              <w:jc w:val="right"/>
              <w:rPr>
                <w:rFonts w:cs="Arial"/>
                <w:sz w:val="18"/>
                <w:szCs w:val="18"/>
              </w:rPr>
            </w:pPr>
            <w:r>
              <w:rPr>
                <w:rFonts w:cs="Arial"/>
                <w:sz w:val="18"/>
                <w:szCs w:val="18"/>
              </w:rPr>
              <w:t>29</w:t>
            </w:r>
          </w:p>
        </w:tc>
      </w:tr>
      <w:tr w:rsidR="000B62AC"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0B62AC" w:rsidRPr="00504360" w:rsidRDefault="000B62AC" w:rsidP="000B62AC">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66FCA815" w:rsidR="000B62AC" w:rsidRPr="002B5CCE" w:rsidRDefault="000B62AC" w:rsidP="000B62AC">
            <w:pPr>
              <w:spacing w:line="240" w:lineRule="auto"/>
              <w:jc w:val="right"/>
              <w:rPr>
                <w:rFonts w:cs="Arial"/>
                <w:sz w:val="18"/>
                <w:szCs w:val="18"/>
              </w:rPr>
            </w:pPr>
            <w:r>
              <w:rPr>
                <w:rFonts w:cs="Arial"/>
                <w:sz w:val="18"/>
                <w:szCs w:val="18"/>
              </w:rPr>
              <w:t>154</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5681A86A" w:rsidR="000B62AC" w:rsidRPr="002B5CCE" w:rsidRDefault="00B72A37" w:rsidP="000B62AC">
            <w:pPr>
              <w:spacing w:line="240" w:lineRule="auto"/>
              <w:jc w:val="right"/>
              <w:rPr>
                <w:rFonts w:cs="Arial"/>
                <w:sz w:val="18"/>
                <w:szCs w:val="18"/>
              </w:rPr>
            </w:pPr>
            <w:r>
              <w:rPr>
                <w:rFonts w:cs="Arial"/>
                <w:sz w:val="18"/>
                <w:szCs w:val="18"/>
              </w:rPr>
              <w:t>136</w:t>
            </w:r>
          </w:p>
        </w:tc>
      </w:tr>
      <w:tr w:rsidR="000B62AC"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0B62AC" w:rsidRPr="00504360" w:rsidRDefault="000B62AC" w:rsidP="000B62AC">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11913A52" w:rsidR="000B62AC" w:rsidRPr="00504360" w:rsidRDefault="000B62AC" w:rsidP="000B62AC">
            <w:pPr>
              <w:spacing w:line="240" w:lineRule="auto"/>
              <w:jc w:val="right"/>
              <w:rPr>
                <w:rFonts w:cs="Arial"/>
                <w:sz w:val="18"/>
                <w:szCs w:val="18"/>
                <w:lang w:eastAsia="en-AU"/>
              </w:rPr>
            </w:pPr>
            <w:r>
              <w:rPr>
                <w:rFonts w:cs="Arial"/>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381E9B49" w:rsidR="000B62AC" w:rsidRPr="00504360" w:rsidRDefault="00B72A37" w:rsidP="000B62AC">
            <w:pPr>
              <w:spacing w:line="240" w:lineRule="auto"/>
              <w:jc w:val="right"/>
              <w:rPr>
                <w:rFonts w:cs="Arial"/>
                <w:sz w:val="18"/>
                <w:szCs w:val="18"/>
              </w:rPr>
            </w:pPr>
            <w:r>
              <w:rPr>
                <w:rFonts w:cs="Arial"/>
                <w:sz w:val="18"/>
                <w:szCs w:val="18"/>
              </w:rPr>
              <w:t>25</w:t>
            </w:r>
          </w:p>
        </w:tc>
      </w:tr>
      <w:tr w:rsidR="000B62AC" w:rsidRPr="00504360" w14:paraId="709C9D12" w14:textId="77777777" w:rsidTr="009C490F">
        <w:trPr>
          <w:trHeight w:val="153"/>
        </w:trPr>
        <w:tc>
          <w:tcPr>
            <w:tcW w:w="7405" w:type="dxa"/>
            <w:tcBorders>
              <w:top w:val="nil"/>
              <w:left w:val="single" w:sz="4" w:space="0" w:color="auto"/>
              <w:bottom w:val="single" w:sz="4" w:space="0" w:color="auto"/>
              <w:right w:val="single" w:sz="4" w:space="0" w:color="auto"/>
            </w:tcBorders>
            <w:shd w:val="clear" w:color="auto" w:fill="auto"/>
            <w:vAlign w:val="center"/>
          </w:tcPr>
          <w:p w14:paraId="17DBDF3C" w14:textId="77777777" w:rsidR="000B62AC" w:rsidRPr="00504360" w:rsidRDefault="000B62AC" w:rsidP="000B62AC">
            <w:pPr>
              <w:spacing w:line="240" w:lineRule="auto"/>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FBE63" w14:textId="77777777" w:rsidR="000B62AC" w:rsidRPr="00504360" w:rsidRDefault="000B62AC" w:rsidP="000B62A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C07C1A5" w14:textId="77777777" w:rsidR="000B62AC" w:rsidRDefault="000B62AC" w:rsidP="000B62AC">
            <w:pPr>
              <w:spacing w:line="240" w:lineRule="auto"/>
              <w:jc w:val="right"/>
              <w:rPr>
                <w:rFonts w:cs="Arial"/>
                <w:sz w:val="18"/>
                <w:szCs w:val="18"/>
              </w:rPr>
            </w:pPr>
          </w:p>
        </w:tc>
      </w:tr>
      <w:tr w:rsidR="000B62AC" w:rsidRPr="00504360" w14:paraId="4B8C25F7"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A6A2591" w14:textId="74D63C2E" w:rsidR="000B62AC" w:rsidRPr="00504360" w:rsidRDefault="0041058E" w:rsidP="000B62AC">
            <w:pPr>
              <w:spacing w:line="240" w:lineRule="auto"/>
              <w:rPr>
                <w:rFonts w:cs="Arial"/>
                <w:sz w:val="18"/>
                <w:szCs w:val="18"/>
              </w:rPr>
            </w:pPr>
            <w:r w:rsidRPr="0041058E">
              <w:rPr>
                <w:rFonts w:cs="Arial"/>
                <w:b/>
                <w:sz w:val="18"/>
                <w:szCs w:val="18"/>
                <w:lang w:eastAsia="en-AU"/>
              </w:rPr>
              <w:t>Amend/end hearing outcomes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FEB36" w14:textId="77777777" w:rsidR="000B62AC" w:rsidRPr="00504360" w:rsidRDefault="000B62AC" w:rsidP="000B62A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77777777" w:rsidR="000B62AC" w:rsidRDefault="000B62AC" w:rsidP="000B62AC">
            <w:pPr>
              <w:spacing w:line="240" w:lineRule="auto"/>
              <w:jc w:val="right"/>
              <w:rPr>
                <w:rFonts w:cs="Arial"/>
                <w:sz w:val="18"/>
                <w:szCs w:val="18"/>
              </w:rPr>
            </w:pPr>
          </w:p>
        </w:tc>
      </w:tr>
      <w:tr w:rsidR="000B62AC" w:rsidRPr="00504360" w14:paraId="0F426218"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434CC227" w:rsidR="000B62AC" w:rsidRPr="00504360" w:rsidRDefault="000B62AC" w:rsidP="000B62AC">
            <w:pPr>
              <w:spacing w:line="240" w:lineRule="auto"/>
              <w:rPr>
                <w:rFonts w:cs="Arial"/>
                <w:sz w:val="18"/>
                <w:szCs w:val="18"/>
              </w:rPr>
            </w:pPr>
            <w:r>
              <w:rPr>
                <w:rFonts w:cs="Arial"/>
                <w:sz w:val="18"/>
                <w:szCs w:val="18"/>
              </w:rPr>
              <w:t>Case Plan 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0B7723B9" w:rsidR="000B62AC" w:rsidRPr="00504360" w:rsidRDefault="000B62AC" w:rsidP="000B62AC">
            <w:pPr>
              <w:spacing w:line="240" w:lineRule="auto"/>
              <w:jc w:val="right"/>
              <w:rPr>
                <w:rFonts w:cs="Arial"/>
                <w:sz w:val="18"/>
                <w:szCs w:val="18"/>
              </w:rPr>
            </w:pP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09381218" w:rsidR="000B62AC" w:rsidRDefault="00B72A37" w:rsidP="000B62AC">
            <w:pPr>
              <w:spacing w:line="240" w:lineRule="auto"/>
              <w:jc w:val="right"/>
              <w:rPr>
                <w:rFonts w:cs="Arial"/>
                <w:sz w:val="18"/>
                <w:szCs w:val="18"/>
              </w:rPr>
            </w:pPr>
            <w:r>
              <w:rPr>
                <w:rFonts w:cs="Arial"/>
                <w:sz w:val="18"/>
                <w:szCs w:val="18"/>
              </w:rPr>
              <w:t>0</w:t>
            </w:r>
          </w:p>
        </w:tc>
      </w:tr>
      <w:tr w:rsidR="000B62AC" w:rsidRPr="00504360" w14:paraId="09FA7CF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4576CD21" w:rsidR="000B62AC" w:rsidRPr="00504360" w:rsidRDefault="000B62AC" w:rsidP="000B62AC">
            <w:pPr>
              <w:spacing w:line="240" w:lineRule="auto"/>
              <w:rPr>
                <w:rFonts w:cs="Arial"/>
                <w:sz w:val="18"/>
                <w:szCs w:val="18"/>
              </w:rPr>
            </w:pPr>
            <w:r>
              <w:rPr>
                <w:rFonts w:cs="Arial"/>
                <w:sz w:val="18"/>
                <w:szCs w:val="18"/>
              </w:rPr>
              <w:t>CIM Amend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74A23211" w:rsidR="000B62AC" w:rsidRPr="00504360" w:rsidRDefault="000B62AC" w:rsidP="000B62AC">
            <w:pPr>
              <w:spacing w:line="240" w:lineRule="auto"/>
              <w:jc w:val="right"/>
              <w:rPr>
                <w:rFonts w:cs="Arial"/>
                <w:sz w:val="18"/>
                <w:szCs w:val="18"/>
              </w:rPr>
            </w:pP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471ADCA3" w:rsidR="000B62AC" w:rsidRDefault="00B72A37" w:rsidP="000B62AC">
            <w:pPr>
              <w:spacing w:line="240" w:lineRule="auto"/>
              <w:jc w:val="right"/>
              <w:rPr>
                <w:rFonts w:cs="Arial"/>
                <w:sz w:val="18"/>
                <w:szCs w:val="18"/>
              </w:rPr>
            </w:pPr>
            <w:r>
              <w:rPr>
                <w:rFonts w:cs="Arial"/>
                <w:sz w:val="18"/>
                <w:szCs w:val="18"/>
              </w:rPr>
              <w:t>0</w:t>
            </w:r>
          </w:p>
        </w:tc>
      </w:tr>
      <w:tr w:rsidR="000B62AC" w:rsidRPr="00504360" w14:paraId="43EE59F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07F49B5" w14:textId="4EAE1471" w:rsidR="000B62AC" w:rsidRPr="00504360" w:rsidRDefault="000B62AC" w:rsidP="000B62AC">
            <w:pPr>
              <w:spacing w:line="240" w:lineRule="auto"/>
              <w:rPr>
                <w:rFonts w:cs="Arial"/>
                <w:sz w:val="18"/>
                <w:szCs w:val="18"/>
              </w:rPr>
            </w:pPr>
            <w:r>
              <w:rPr>
                <w:rFonts w:cs="Arial"/>
                <w:sz w:val="18"/>
                <w:szCs w:val="18"/>
              </w:rPr>
              <w:t>CIM 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B77EC" w14:textId="0D67A96B" w:rsidR="000B62AC" w:rsidRPr="00504360" w:rsidRDefault="000B62AC" w:rsidP="000B62AC">
            <w:pPr>
              <w:spacing w:line="240" w:lineRule="auto"/>
              <w:jc w:val="right"/>
              <w:rPr>
                <w:rFonts w:cs="Arial"/>
                <w:sz w:val="18"/>
                <w:szCs w:val="18"/>
              </w:rPr>
            </w:pP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5A748A66" w14:textId="6C8F42B6" w:rsidR="000B62AC" w:rsidRDefault="00B72A37" w:rsidP="000B62AC">
            <w:pPr>
              <w:spacing w:line="240" w:lineRule="auto"/>
              <w:jc w:val="right"/>
              <w:rPr>
                <w:rFonts w:cs="Arial"/>
                <w:sz w:val="18"/>
                <w:szCs w:val="18"/>
              </w:rPr>
            </w:pPr>
            <w:r>
              <w:rPr>
                <w:rFonts w:cs="Arial"/>
                <w:sz w:val="18"/>
                <w:szCs w:val="18"/>
              </w:rPr>
              <w:t>1</w:t>
            </w:r>
          </w:p>
        </w:tc>
      </w:tr>
      <w:tr w:rsidR="000B62AC" w:rsidRPr="00504360" w14:paraId="714A0FD4" w14:textId="2CDC150F"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0B62AC" w:rsidRPr="00504360" w:rsidRDefault="000B62AC" w:rsidP="000B62A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0B62AC" w:rsidRPr="00504360" w:rsidRDefault="000B62AC"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0B62AC" w:rsidRPr="00504360" w:rsidRDefault="000B62AC" w:rsidP="000B62AC">
            <w:pPr>
              <w:spacing w:line="240" w:lineRule="auto"/>
              <w:jc w:val="right"/>
              <w:rPr>
                <w:rFonts w:cs="Arial"/>
                <w:sz w:val="18"/>
                <w:szCs w:val="18"/>
              </w:rPr>
            </w:pPr>
          </w:p>
        </w:tc>
      </w:tr>
      <w:tr w:rsidR="0041058E" w:rsidRPr="00504360" w14:paraId="148E7FF6"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41058E" w:rsidRPr="0041058E" w:rsidRDefault="0041058E" w:rsidP="000B62AC">
            <w:pPr>
              <w:spacing w:line="240" w:lineRule="auto"/>
              <w:rPr>
                <w:rFonts w:cs="Arial"/>
                <w:b/>
                <w:bCs/>
                <w:sz w:val="18"/>
                <w:szCs w:val="18"/>
                <w:lang w:eastAsia="en-AU"/>
              </w:rPr>
            </w:pPr>
            <w:r w:rsidRPr="0041058E">
              <w:rPr>
                <w:rFonts w:cs="Arial"/>
                <w:b/>
                <w:bCs/>
                <w:sz w:val="18"/>
                <w:szCs w:val="18"/>
                <w:lang w:eastAsia="en-AU"/>
              </w:rPr>
              <w:t xml:space="preserve">Voluntary </w:t>
            </w:r>
            <w:r w:rsidR="00755CB2">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41058E" w:rsidRPr="00504360" w:rsidRDefault="0041058E"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77777777" w:rsidR="0041058E" w:rsidRPr="00504360" w:rsidRDefault="0041058E" w:rsidP="000B62AC">
            <w:pPr>
              <w:spacing w:line="240" w:lineRule="auto"/>
              <w:jc w:val="right"/>
              <w:rPr>
                <w:rFonts w:cs="Arial"/>
                <w:sz w:val="18"/>
                <w:szCs w:val="18"/>
              </w:rPr>
            </w:pPr>
          </w:p>
        </w:tc>
      </w:tr>
      <w:tr w:rsidR="0041058E" w:rsidRPr="00504360" w14:paraId="71FF2B6B"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574A3774" w:rsidR="0041058E" w:rsidRPr="00504360" w:rsidRDefault="0041058E" w:rsidP="0041058E">
            <w:pPr>
              <w:spacing w:line="240" w:lineRule="auto"/>
              <w:rPr>
                <w:rFonts w:cs="Arial"/>
                <w:sz w:val="18"/>
                <w:szCs w:val="18"/>
                <w:lang w:eastAsia="en-AU"/>
              </w:rPr>
            </w:pPr>
            <w:r>
              <w:rPr>
                <w:rFonts w:cs="Arial"/>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4FAAC6EF" w:rsidR="0041058E" w:rsidRPr="00504360" w:rsidRDefault="0041058E" w:rsidP="0041058E">
            <w:pPr>
              <w:spacing w:line="240" w:lineRule="auto"/>
              <w:jc w:val="right"/>
              <w:rPr>
                <w:rFonts w:cs="Arial"/>
                <w:sz w:val="18"/>
                <w:szCs w:val="18"/>
                <w:lang w:eastAsia="en-AU"/>
              </w:rPr>
            </w:pPr>
            <w:r>
              <w:rPr>
                <w:rFonts w:cs="Arial"/>
                <w:sz w:val="18"/>
                <w:szCs w:val="18"/>
                <w:lang w:eastAsia="en-AU"/>
              </w:rPr>
              <w:t>0</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116E9F41" w:rsidR="0041058E" w:rsidRPr="00504360" w:rsidRDefault="0041058E" w:rsidP="0041058E">
            <w:pPr>
              <w:spacing w:line="240" w:lineRule="auto"/>
              <w:jc w:val="right"/>
              <w:rPr>
                <w:rFonts w:cs="Arial"/>
                <w:sz w:val="18"/>
                <w:szCs w:val="18"/>
              </w:rPr>
            </w:pPr>
            <w:r>
              <w:rPr>
                <w:rFonts w:cs="Arial"/>
                <w:sz w:val="18"/>
                <w:szCs w:val="18"/>
              </w:rPr>
              <w:t>6</w:t>
            </w:r>
          </w:p>
        </w:tc>
      </w:tr>
      <w:tr w:rsidR="0041058E" w:rsidRPr="00504360" w14:paraId="16DEBA40"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41058E" w:rsidRPr="00504360" w:rsidRDefault="0041058E" w:rsidP="0041058E">
            <w:pPr>
              <w:spacing w:line="240" w:lineRule="auto"/>
              <w:rPr>
                <w:rFonts w:cs="Arial"/>
                <w:sz w:val="18"/>
                <w:szCs w:val="18"/>
                <w:lang w:eastAsia="en-AU"/>
              </w:rPr>
            </w:pPr>
            <w:r>
              <w:rPr>
                <w:rFonts w:cs="Arial"/>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659EA1A7" w:rsidR="0041058E" w:rsidRPr="00504360" w:rsidRDefault="0041058E" w:rsidP="0041058E">
            <w:pPr>
              <w:spacing w:line="240" w:lineRule="auto"/>
              <w:jc w:val="right"/>
              <w:rPr>
                <w:rFonts w:cs="Arial"/>
                <w:sz w:val="18"/>
                <w:szCs w:val="18"/>
                <w:lang w:eastAsia="en-AU"/>
              </w:rPr>
            </w:pPr>
            <w:r>
              <w:rPr>
                <w:rFonts w:cs="Arial"/>
                <w:sz w:val="18"/>
                <w:szCs w:val="18"/>
                <w:lang w:eastAsia="en-AU"/>
              </w:rPr>
              <w:t>0</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5BE04BC4" w:rsidR="0041058E" w:rsidRPr="00504360" w:rsidRDefault="0041058E" w:rsidP="0041058E">
            <w:pPr>
              <w:spacing w:line="240" w:lineRule="auto"/>
              <w:jc w:val="right"/>
              <w:rPr>
                <w:rFonts w:cs="Arial"/>
                <w:sz w:val="18"/>
                <w:szCs w:val="18"/>
              </w:rPr>
            </w:pPr>
            <w:r>
              <w:rPr>
                <w:rFonts w:cs="Arial"/>
                <w:sz w:val="18"/>
                <w:szCs w:val="18"/>
              </w:rPr>
              <w:t>8</w:t>
            </w:r>
          </w:p>
        </w:tc>
      </w:tr>
      <w:tr w:rsidR="0041058E" w:rsidRPr="00504360" w14:paraId="7EB54823"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4F6E25BE" w:rsidR="0041058E" w:rsidRPr="00504360" w:rsidRDefault="0041058E" w:rsidP="0041058E">
            <w:pPr>
              <w:spacing w:line="240" w:lineRule="auto"/>
              <w:rPr>
                <w:rFonts w:cs="Arial"/>
                <w:sz w:val="18"/>
                <w:szCs w:val="18"/>
                <w:lang w:eastAsia="en-AU"/>
              </w:rPr>
            </w:pPr>
            <w:r>
              <w:rPr>
                <w:rFonts w:cs="Arial"/>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1FE78F3B" w:rsidR="0041058E" w:rsidRPr="00504360" w:rsidRDefault="0041058E" w:rsidP="0041058E">
            <w:pPr>
              <w:spacing w:line="240" w:lineRule="auto"/>
              <w:jc w:val="right"/>
              <w:rPr>
                <w:rFonts w:cs="Arial"/>
                <w:sz w:val="18"/>
                <w:szCs w:val="18"/>
                <w:lang w:eastAsia="en-AU"/>
              </w:rPr>
            </w:pPr>
            <w:r>
              <w:rPr>
                <w:rFonts w:cs="Arial"/>
                <w:sz w:val="18"/>
                <w:szCs w:val="18"/>
                <w:lang w:eastAsia="en-AU"/>
              </w:rPr>
              <w:t>18</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6E662361" w:rsidR="0041058E" w:rsidRPr="00504360" w:rsidRDefault="0041058E" w:rsidP="0041058E">
            <w:pPr>
              <w:spacing w:line="240" w:lineRule="auto"/>
              <w:jc w:val="right"/>
              <w:rPr>
                <w:rFonts w:cs="Arial"/>
                <w:sz w:val="18"/>
                <w:szCs w:val="18"/>
              </w:rPr>
            </w:pPr>
            <w:r>
              <w:rPr>
                <w:rFonts w:cs="Arial"/>
                <w:sz w:val="18"/>
                <w:szCs w:val="18"/>
              </w:rPr>
              <w:t>67</w:t>
            </w:r>
          </w:p>
        </w:tc>
      </w:tr>
      <w:tr w:rsidR="0041058E" w:rsidRPr="00504360" w14:paraId="52C3F0C4"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41058E" w:rsidRPr="00504360" w:rsidRDefault="0041058E" w:rsidP="000B62A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41058E" w:rsidRPr="00504360" w:rsidRDefault="0041058E"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777777" w:rsidR="0041058E" w:rsidRPr="00504360" w:rsidRDefault="0041058E" w:rsidP="000B62AC">
            <w:pPr>
              <w:spacing w:line="240" w:lineRule="auto"/>
              <w:jc w:val="right"/>
              <w:rPr>
                <w:rFonts w:cs="Arial"/>
                <w:sz w:val="18"/>
                <w:szCs w:val="18"/>
              </w:rPr>
            </w:pPr>
          </w:p>
        </w:tc>
      </w:tr>
      <w:tr w:rsidR="0041058E" w:rsidRPr="00504360" w14:paraId="6E254E7A"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E1A3889" w:rsidR="0041058E" w:rsidRPr="00E10506" w:rsidRDefault="00E10506" w:rsidP="000B62AC">
            <w:pPr>
              <w:spacing w:line="240" w:lineRule="auto"/>
              <w:rPr>
                <w:rFonts w:cs="Arial"/>
                <w:b/>
                <w:bCs/>
                <w:sz w:val="18"/>
                <w:szCs w:val="18"/>
                <w:lang w:eastAsia="en-AU"/>
              </w:rPr>
            </w:pPr>
            <w:r w:rsidRPr="00E10506">
              <w:rPr>
                <w:rFonts w:cs="Arial"/>
                <w:b/>
                <w:bCs/>
                <w:sz w:val="18"/>
                <w:szCs w:val="18"/>
                <w:lang w:eastAsia="en-AU"/>
              </w:rPr>
              <w:t>Amend/end hearing outcomes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41058E" w:rsidRPr="00504360" w:rsidRDefault="0041058E"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7777777" w:rsidR="0041058E" w:rsidRPr="00504360" w:rsidRDefault="0041058E" w:rsidP="000B62AC">
            <w:pPr>
              <w:spacing w:line="240" w:lineRule="auto"/>
              <w:jc w:val="right"/>
              <w:rPr>
                <w:rFonts w:cs="Arial"/>
                <w:sz w:val="18"/>
                <w:szCs w:val="18"/>
              </w:rPr>
            </w:pPr>
          </w:p>
        </w:tc>
      </w:tr>
      <w:tr w:rsidR="0041058E" w:rsidRPr="00504360" w14:paraId="53E5D51F"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502A01CF" w:rsidR="0041058E" w:rsidRPr="00504360" w:rsidRDefault="00E10506" w:rsidP="000B62AC">
            <w:pPr>
              <w:spacing w:line="240" w:lineRule="auto"/>
              <w:rPr>
                <w:rFonts w:cs="Arial"/>
                <w:sz w:val="18"/>
                <w:szCs w:val="18"/>
                <w:lang w:eastAsia="en-AU"/>
              </w:rPr>
            </w:pPr>
            <w:r>
              <w:rPr>
                <w:rFonts w:cs="Arial"/>
                <w:sz w:val="18"/>
                <w:szCs w:val="18"/>
                <w:lang w:eastAsia="en-AU"/>
              </w:rPr>
              <w:t>VIM 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76945297" w:rsidR="0041058E" w:rsidRPr="00504360" w:rsidRDefault="00E10506" w:rsidP="000B62AC">
            <w:pPr>
              <w:spacing w:line="240" w:lineRule="auto"/>
              <w:jc w:val="right"/>
              <w:rPr>
                <w:rFonts w:cs="Arial"/>
                <w:sz w:val="18"/>
                <w:szCs w:val="18"/>
                <w:lang w:eastAsia="en-AU"/>
              </w:rPr>
            </w:pPr>
            <w:r>
              <w:rPr>
                <w:rFonts w:cs="Arial"/>
                <w:sz w:val="18"/>
                <w:szCs w:val="18"/>
                <w:lang w:eastAsia="en-AU"/>
              </w:rPr>
              <w:t>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33315661" w:rsidR="0041058E" w:rsidRPr="00504360" w:rsidRDefault="00E10506" w:rsidP="000B62AC">
            <w:pPr>
              <w:spacing w:line="240" w:lineRule="auto"/>
              <w:jc w:val="right"/>
              <w:rPr>
                <w:rFonts w:cs="Arial"/>
                <w:sz w:val="18"/>
                <w:szCs w:val="18"/>
              </w:rPr>
            </w:pPr>
            <w:r>
              <w:rPr>
                <w:rFonts w:cs="Arial"/>
                <w:sz w:val="18"/>
                <w:szCs w:val="18"/>
              </w:rPr>
              <w:t>1</w:t>
            </w:r>
          </w:p>
        </w:tc>
      </w:tr>
    </w:tbl>
    <w:p w14:paraId="3487E3F5" w14:textId="77759062" w:rsidR="00F66EF3" w:rsidRDefault="00F66EF3"/>
    <w:p w14:paraId="743109B1" w14:textId="77777777" w:rsidR="00F66EF3" w:rsidRDefault="00F66EF3">
      <w:pPr>
        <w:spacing w:line="240" w:lineRule="auto"/>
      </w:pPr>
      <w:r>
        <w:br w:type="page"/>
      </w:r>
    </w:p>
    <w:p w14:paraId="455560F6" w14:textId="77777777" w:rsidR="00F66EF3" w:rsidRDefault="00F66EF3"/>
    <w:tbl>
      <w:tblPr>
        <w:tblW w:w="9389" w:type="dxa"/>
        <w:tblInd w:w="103" w:type="dxa"/>
        <w:tblLook w:val="04A0" w:firstRow="1" w:lastRow="0" w:firstColumn="1" w:lastColumn="0" w:noHBand="0" w:noVBand="1"/>
      </w:tblPr>
      <w:tblGrid>
        <w:gridCol w:w="7405"/>
        <w:gridCol w:w="992"/>
        <w:gridCol w:w="992"/>
      </w:tblGrid>
      <w:tr w:rsidR="00F66EF3" w:rsidRPr="00504360" w14:paraId="27606A93" w14:textId="41676DC1" w:rsidTr="00F66EF3">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ED8383A" w14:textId="79A64F63" w:rsidR="00F66EF3" w:rsidRPr="00504360" w:rsidRDefault="00F66EF3" w:rsidP="00F66EF3">
            <w:pPr>
              <w:spacing w:line="240" w:lineRule="auto"/>
              <w:rPr>
                <w:rFonts w:cs="Arial"/>
                <w:b/>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1D3FF" w14:textId="181C7D71" w:rsidR="00F66EF3" w:rsidRPr="00504360" w:rsidRDefault="00F66EF3" w:rsidP="00F66EF3">
            <w:pPr>
              <w:spacing w:line="240" w:lineRule="auto"/>
              <w:jc w:val="right"/>
              <w:rPr>
                <w:rFonts w:cs="Arial"/>
                <w:sz w:val="18"/>
                <w:szCs w:val="18"/>
                <w:lang w:eastAsia="en-AU"/>
              </w:rPr>
            </w:pPr>
            <w:r w:rsidRPr="00321A3E">
              <w:rPr>
                <w:rFonts w:cs="Arial"/>
                <w:b/>
                <w:bCs/>
                <w:sz w:val="18"/>
                <w:szCs w:val="18"/>
                <w:lang w:eastAsia="en-AU"/>
              </w:rPr>
              <w:t>Qtr 51</w:t>
            </w:r>
          </w:p>
        </w:tc>
        <w:tc>
          <w:tcPr>
            <w:tcW w:w="992" w:type="dxa"/>
            <w:tcBorders>
              <w:top w:val="single" w:sz="4" w:space="0" w:color="auto"/>
              <w:left w:val="single" w:sz="4" w:space="0" w:color="auto"/>
              <w:bottom w:val="single" w:sz="4" w:space="0" w:color="auto"/>
              <w:right w:val="single" w:sz="4" w:space="0" w:color="auto"/>
            </w:tcBorders>
            <w:vAlign w:val="center"/>
          </w:tcPr>
          <w:p w14:paraId="37EA5E94" w14:textId="180527ED" w:rsidR="00F66EF3" w:rsidRPr="00504360" w:rsidRDefault="00F66EF3" w:rsidP="00F66EF3">
            <w:pPr>
              <w:spacing w:line="240" w:lineRule="auto"/>
              <w:jc w:val="right"/>
              <w:rPr>
                <w:rFonts w:cs="Arial"/>
                <w:sz w:val="18"/>
                <w:szCs w:val="18"/>
              </w:rPr>
            </w:pPr>
            <w:r w:rsidRPr="00321A3E">
              <w:rPr>
                <w:rFonts w:cs="Arial"/>
                <w:b/>
                <w:bCs/>
                <w:sz w:val="18"/>
                <w:szCs w:val="18"/>
              </w:rPr>
              <w:t>Qtr 52</w:t>
            </w:r>
          </w:p>
        </w:tc>
      </w:tr>
      <w:tr w:rsidR="000B62AC" w:rsidRPr="00504360" w14:paraId="10C0099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7F69E80" w14:textId="3BF2A0CB" w:rsidR="000B62AC" w:rsidRPr="00504360" w:rsidRDefault="00E65899" w:rsidP="000B62AC">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B8E55" w14:textId="75E1D0C4" w:rsidR="000B62AC" w:rsidRPr="00504360" w:rsidRDefault="00F87BC5" w:rsidP="000B62AC">
            <w:pPr>
              <w:spacing w:line="240" w:lineRule="auto"/>
              <w:jc w:val="right"/>
              <w:rPr>
                <w:rFonts w:cs="Arial"/>
                <w:sz w:val="18"/>
                <w:szCs w:val="18"/>
              </w:rPr>
            </w:pPr>
            <w:r>
              <w:rPr>
                <w:rFonts w:cs="Arial"/>
                <w:sz w:val="18"/>
                <w:szCs w:val="18"/>
              </w:rPr>
              <w:t>1</w:t>
            </w:r>
            <w:r w:rsidR="00F66EF3">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1003A0E" w14:textId="30A8B44E" w:rsidR="000B62AC" w:rsidRPr="00504360" w:rsidRDefault="00F87BC5" w:rsidP="000B62AC">
            <w:pPr>
              <w:spacing w:line="240" w:lineRule="auto"/>
              <w:jc w:val="right"/>
              <w:rPr>
                <w:rFonts w:cs="Arial"/>
                <w:sz w:val="18"/>
                <w:szCs w:val="18"/>
              </w:rPr>
            </w:pPr>
            <w:r>
              <w:rPr>
                <w:rFonts w:cs="Arial"/>
                <w:sz w:val="18"/>
                <w:szCs w:val="18"/>
              </w:rPr>
              <w:t>3</w:t>
            </w:r>
          </w:p>
        </w:tc>
      </w:tr>
      <w:tr w:rsidR="000B62AC" w:rsidRPr="00504360" w14:paraId="7799609E"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C7EE968" w14:textId="5C060B76" w:rsidR="000B62AC" w:rsidRPr="00504360" w:rsidRDefault="00E65899" w:rsidP="000B62AC">
            <w:pPr>
              <w:spacing w:line="240" w:lineRule="auto"/>
              <w:rPr>
                <w:rFonts w:cs="Arial"/>
                <w:sz w:val="18"/>
                <w:szCs w:val="18"/>
                <w:lang w:eastAsia="en-AU"/>
              </w:rPr>
            </w:pPr>
            <w:r>
              <w:rPr>
                <w:rFonts w:cs="Arial"/>
                <w:sz w:val="18"/>
                <w:szCs w:val="18"/>
                <w:lang w:eastAsia="en-AU"/>
              </w:rPr>
              <w:t xml:space="preserve">Applications </w:t>
            </w:r>
            <w:r w:rsidR="00C07A46">
              <w:rPr>
                <w:rFonts w:cs="Arial"/>
                <w:sz w:val="18"/>
                <w:szCs w:val="18"/>
                <w:lang w:eastAsia="en-AU"/>
              </w:rPr>
              <w:t>a</w:t>
            </w:r>
            <w:r>
              <w:rPr>
                <w:rFonts w:cs="Arial"/>
                <w:sz w:val="18"/>
                <w:szCs w:val="18"/>
                <w:lang w:eastAsia="en-AU"/>
              </w:rPr>
              <w:t>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CD3178" w14:textId="7A25F81B" w:rsidR="000B62AC" w:rsidRPr="00504360" w:rsidRDefault="00F87BC5" w:rsidP="000B62AC">
            <w:pPr>
              <w:spacing w:line="240" w:lineRule="auto"/>
              <w:jc w:val="right"/>
              <w:rPr>
                <w:rFonts w:cs="Arial"/>
                <w:sz w:val="18"/>
                <w:szCs w:val="18"/>
              </w:rPr>
            </w:pPr>
            <w:r>
              <w:rPr>
                <w:rFonts w:cs="Arial"/>
                <w:sz w:val="18"/>
                <w:szCs w:val="18"/>
              </w:rPr>
              <w:t>92%</w:t>
            </w:r>
          </w:p>
        </w:tc>
        <w:tc>
          <w:tcPr>
            <w:tcW w:w="992" w:type="dxa"/>
            <w:tcBorders>
              <w:top w:val="single" w:sz="4" w:space="0" w:color="auto"/>
              <w:left w:val="single" w:sz="4" w:space="0" w:color="auto"/>
              <w:bottom w:val="single" w:sz="4" w:space="0" w:color="auto"/>
              <w:right w:val="single" w:sz="4" w:space="0" w:color="auto"/>
            </w:tcBorders>
            <w:vAlign w:val="center"/>
          </w:tcPr>
          <w:p w14:paraId="79EF97A4" w14:textId="354AA935" w:rsidR="000B62AC" w:rsidRPr="00504360" w:rsidRDefault="00F66EF3" w:rsidP="000B62AC">
            <w:pPr>
              <w:spacing w:line="240" w:lineRule="auto"/>
              <w:jc w:val="right"/>
              <w:rPr>
                <w:rFonts w:cs="Arial"/>
                <w:sz w:val="18"/>
                <w:szCs w:val="18"/>
              </w:rPr>
            </w:pPr>
            <w:r>
              <w:rPr>
                <w:rFonts w:cs="Arial"/>
                <w:sz w:val="18"/>
                <w:szCs w:val="18"/>
              </w:rPr>
              <w:t>67</w:t>
            </w:r>
            <w:r w:rsidR="00F87BC5">
              <w:rPr>
                <w:rFonts w:cs="Arial"/>
                <w:sz w:val="18"/>
                <w:szCs w:val="18"/>
              </w:rPr>
              <w:t>%</w:t>
            </w:r>
          </w:p>
        </w:tc>
      </w:tr>
      <w:tr w:rsidR="000B62AC" w:rsidRPr="00504360" w14:paraId="26B66E57" w14:textId="2A8E255B"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698399F7" w:rsidR="000B62AC" w:rsidRPr="00504360" w:rsidRDefault="00E65899" w:rsidP="000B62AC">
            <w:pPr>
              <w:spacing w:line="240" w:lineRule="auto"/>
              <w:rPr>
                <w:rFonts w:cs="Arial"/>
                <w:sz w:val="18"/>
                <w:szCs w:val="18"/>
                <w:lang w:eastAsia="en-AU"/>
              </w:rPr>
            </w:pPr>
            <w:r>
              <w:rPr>
                <w:rFonts w:cs="Arial"/>
                <w:sz w:val="18"/>
                <w:szCs w:val="18"/>
                <w:lang w:eastAsia="en-AU"/>
              </w:rPr>
              <w:t xml:space="preserve">Applications </w:t>
            </w:r>
            <w:r w:rsidR="00C07A46">
              <w:rPr>
                <w:rFonts w:cs="Arial"/>
                <w:sz w:val="18"/>
                <w:szCs w:val="18"/>
                <w:lang w:eastAsia="en-AU"/>
              </w:rPr>
              <w:t>w</w:t>
            </w:r>
            <w:r>
              <w:rPr>
                <w:rFonts w:cs="Arial"/>
                <w:sz w:val="18"/>
                <w:szCs w:val="18"/>
                <w:lang w:eastAsia="en-AU"/>
              </w:rPr>
              <w:t>ithdrawn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27F23" w14:textId="6D50970B" w:rsidR="000B62AC" w:rsidRPr="00504360" w:rsidRDefault="00F87BC5" w:rsidP="000B62AC">
            <w:pPr>
              <w:spacing w:line="240" w:lineRule="auto"/>
              <w:jc w:val="right"/>
              <w:rPr>
                <w:rFonts w:cs="Arial"/>
                <w:sz w:val="18"/>
                <w:szCs w:val="18"/>
              </w:rPr>
            </w:pPr>
            <w:r>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2A3BCB0F" w14:textId="3219C215" w:rsidR="000B62AC" w:rsidRPr="00504360" w:rsidRDefault="00F87BC5" w:rsidP="000B62AC">
            <w:pPr>
              <w:spacing w:line="240" w:lineRule="auto"/>
              <w:jc w:val="right"/>
              <w:rPr>
                <w:rFonts w:cs="Arial"/>
                <w:sz w:val="18"/>
                <w:szCs w:val="18"/>
              </w:rPr>
            </w:pPr>
            <w:r>
              <w:rPr>
                <w:rFonts w:cs="Arial"/>
                <w:sz w:val="18"/>
                <w:szCs w:val="18"/>
              </w:rPr>
              <w:t>0%</w:t>
            </w:r>
          </w:p>
        </w:tc>
      </w:tr>
      <w:tr w:rsidR="000B62AC" w:rsidRPr="00504360" w14:paraId="5BAC6AD9" w14:textId="5A28E2CE" w:rsidTr="00321A3E">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4068DA7E" w:rsidR="000B62AC" w:rsidRPr="00504360" w:rsidRDefault="00E65899" w:rsidP="000B62AC">
            <w:pPr>
              <w:spacing w:line="240" w:lineRule="auto"/>
              <w:rPr>
                <w:rFonts w:cs="Arial"/>
                <w:sz w:val="18"/>
                <w:szCs w:val="18"/>
                <w:lang w:eastAsia="en-AU"/>
              </w:rPr>
            </w:pPr>
            <w:r>
              <w:rPr>
                <w:rFonts w:cs="Arial"/>
                <w:sz w:val="18"/>
                <w:szCs w:val="18"/>
                <w:lang w:eastAsia="en-AU"/>
              </w:rPr>
              <w:t xml:space="preserve">Applications </w:t>
            </w:r>
            <w:r w:rsidR="00C07A46">
              <w:rPr>
                <w:rFonts w:cs="Arial"/>
                <w:sz w:val="18"/>
                <w:szCs w:val="18"/>
                <w:lang w:eastAsia="en-AU"/>
              </w:rPr>
              <w:t>p</w:t>
            </w:r>
            <w:r>
              <w:rPr>
                <w:rFonts w:cs="Arial"/>
                <w:sz w:val="18"/>
                <w:szCs w:val="18"/>
                <w:lang w:eastAsia="en-AU"/>
              </w:rPr>
              <w:t>ending</w:t>
            </w:r>
            <w:r w:rsidR="00E25F7C">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25898" w14:textId="153D1C59" w:rsidR="000B62AC" w:rsidRPr="00504360" w:rsidRDefault="00F87BC5" w:rsidP="000B62AC">
            <w:pPr>
              <w:spacing w:line="240" w:lineRule="auto"/>
              <w:jc w:val="right"/>
              <w:rPr>
                <w:rFonts w:cs="Arial"/>
                <w:sz w:val="18"/>
                <w:szCs w:val="18"/>
                <w:lang w:eastAsia="en-AU"/>
              </w:rPr>
            </w:pPr>
            <w:r>
              <w:rPr>
                <w:rFonts w:cs="Arial"/>
                <w:sz w:val="18"/>
                <w:szCs w:val="18"/>
                <w:lang w:eastAsia="en-AU"/>
              </w:rPr>
              <w:t>0%</w:t>
            </w:r>
          </w:p>
        </w:tc>
        <w:tc>
          <w:tcPr>
            <w:tcW w:w="992" w:type="dxa"/>
            <w:tcBorders>
              <w:top w:val="single" w:sz="4" w:space="0" w:color="auto"/>
              <w:left w:val="single" w:sz="4" w:space="0" w:color="auto"/>
              <w:bottom w:val="single" w:sz="4" w:space="0" w:color="auto"/>
              <w:right w:val="single" w:sz="4" w:space="0" w:color="auto"/>
            </w:tcBorders>
            <w:vAlign w:val="center"/>
          </w:tcPr>
          <w:p w14:paraId="6D91DEF6" w14:textId="0356D076" w:rsidR="000B62AC" w:rsidRPr="00504360" w:rsidRDefault="00F66EF3" w:rsidP="000B62AC">
            <w:pPr>
              <w:spacing w:line="240" w:lineRule="auto"/>
              <w:jc w:val="right"/>
              <w:rPr>
                <w:rFonts w:cs="Arial"/>
                <w:sz w:val="18"/>
                <w:szCs w:val="18"/>
              </w:rPr>
            </w:pPr>
            <w:r>
              <w:rPr>
                <w:rFonts w:cs="Arial"/>
                <w:sz w:val="18"/>
                <w:szCs w:val="18"/>
              </w:rPr>
              <w:t>33</w:t>
            </w:r>
            <w:r w:rsidR="00F87BC5">
              <w:rPr>
                <w:rFonts w:cs="Arial"/>
                <w:sz w:val="18"/>
                <w:szCs w:val="18"/>
              </w:rPr>
              <w:t>%</w:t>
            </w:r>
          </w:p>
        </w:tc>
      </w:tr>
      <w:tr w:rsidR="00F66EF3" w:rsidRPr="00504360" w14:paraId="0FCBF953" w14:textId="77777777" w:rsidTr="00321A3E">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2C472C00" w14:textId="77777777" w:rsidR="00F66EF3" w:rsidRDefault="00F66EF3" w:rsidP="000B62A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FD4B7" w14:textId="77777777" w:rsidR="00F66EF3" w:rsidRDefault="00F66EF3" w:rsidP="000B62A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A404CB7" w14:textId="77777777" w:rsidR="00F66EF3" w:rsidRDefault="00F66EF3" w:rsidP="000B62AC">
            <w:pPr>
              <w:spacing w:line="240" w:lineRule="auto"/>
              <w:jc w:val="right"/>
              <w:rPr>
                <w:rFonts w:cs="Arial"/>
                <w:sz w:val="18"/>
                <w:szCs w:val="18"/>
              </w:rPr>
            </w:pPr>
          </w:p>
        </w:tc>
      </w:tr>
      <w:tr w:rsidR="000B62AC" w:rsidRPr="00504360" w14:paraId="509C5408" w14:textId="10237350" w:rsidTr="00321A3E">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019B2EAC" w14:textId="317F2375" w:rsidR="000B62AC" w:rsidRPr="00504360" w:rsidRDefault="000B62AC" w:rsidP="000B62AC">
            <w:pPr>
              <w:spacing w:line="240" w:lineRule="auto"/>
              <w:rPr>
                <w:rFonts w:cs="Arial"/>
                <w:b/>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A2ACA" w14:textId="5E3EE185" w:rsidR="000B62AC" w:rsidRPr="00321A3E" w:rsidRDefault="000B62AC" w:rsidP="000B62AC">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B0B85ED" w14:textId="642E2160" w:rsidR="000B62AC" w:rsidRPr="00321A3E" w:rsidRDefault="000B62AC" w:rsidP="000B62AC">
            <w:pPr>
              <w:spacing w:line="240" w:lineRule="auto"/>
              <w:jc w:val="right"/>
              <w:rPr>
                <w:rFonts w:cs="Arial"/>
                <w:b/>
                <w:bCs/>
                <w:sz w:val="18"/>
                <w:szCs w:val="18"/>
              </w:rPr>
            </w:pPr>
          </w:p>
        </w:tc>
      </w:tr>
      <w:tr w:rsidR="000B62AC" w:rsidRPr="00504360" w14:paraId="31E75B35" w14:textId="441DA1F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03301E21" w:rsidR="000B62AC" w:rsidRPr="00504360" w:rsidRDefault="000B62AC" w:rsidP="000B62AC">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F7D53" w14:textId="127DC825" w:rsidR="000B62AC" w:rsidRPr="00504360" w:rsidRDefault="000B62AC" w:rsidP="000B62AC">
            <w:pPr>
              <w:spacing w:line="240" w:lineRule="auto"/>
              <w:jc w:val="right"/>
              <w:rPr>
                <w:rFonts w:cs="Arial"/>
                <w:sz w:val="18"/>
                <w:szCs w:val="18"/>
                <w:lang w:eastAsia="en-AU"/>
              </w:rPr>
            </w:pPr>
            <w:r>
              <w:rPr>
                <w:rFonts w:cs="Arial"/>
                <w:sz w:val="18"/>
                <w:szCs w:val="18"/>
              </w:rPr>
              <w:t>318</w:t>
            </w:r>
          </w:p>
        </w:tc>
        <w:tc>
          <w:tcPr>
            <w:tcW w:w="992" w:type="dxa"/>
            <w:tcBorders>
              <w:top w:val="single" w:sz="4" w:space="0" w:color="auto"/>
              <w:left w:val="single" w:sz="4" w:space="0" w:color="auto"/>
              <w:bottom w:val="single" w:sz="4" w:space="0" w:color="auto"/>
              <w:right w:val="single" w:sz="4" w:space="0" w:color="auto"/>
            </w:tcBorders>
            <w:vAlign w:val="center"/>
          </w:tcPr>
          <w:p w14:paraId="3FDBB53C" w14:textId="4BCEB117" w:rsidR="000B62AC" w:rsidRPr="00504360" w:rsidRDefault="00321A3E" w:rsidP="000B62AC">
            <w:pPr>
              <w:spacing w:line="240" w:lineRule="auto"/>
              <w:jc w:val="right"/>
              <w:rPr>
                <w:rFonts w:cs="Arial"/>
                <w:sz w:val="18"/>
                <w:szCs w:val="18"/>
              </w:rPr>
            </w:pPr>
            <w:r>
              <w:rPr>
                <w:rFonts w:cs="Arial"/>
                <w:sz w:val="18"/>
                <w:szCs w:val="18"/>
              </w:rPr>
              <w:t>288</w:t>
            </w:r>
          </w:p>
        </w:tc>
      </w:tr>
      <w:tr w:rsidR="000B62AC" w:rsidRPr="00504360" w14:paraId="7D3A6B7A" w14:textId="6AC4883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0B62AC" w:rsidRPr="00504360" w:rsidRDefault="000B62AC" w:rsidP="000B62AC">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5868" w14:textId="3F8B55C0" w:rsidR="000B62AC" w:rsidRPr="00504360" w:rsidRDefault="000B62AC" w:rsidP="000B62AC">
            <w:pPr>
              <w:spacing w:line="240" w:lineRule="auto"/>
              <w:jc w:val="right"/>
              <w:rPr>
                <w:rFonts w:cs="Arial"/>
                <w:sz w:val="18"/>
                <w:szCs w:val="18"/>
                <w:lang w:eastAsia="en-AU"/>
              </w:rPr>
            </w:pPr>
            <w:r>
              <w:rPr>
                <w:rFonts w:cs="Arial"/>
                <w:sz w:val="18"/>
                <w:szCs w:val="18"/>
              </w:rPr>
              <w:t>79</w:t>
            </w:r>
          </w:p>
        </w:tc>
        <w:tc>
          <w:tcPr>
            <w:tcW w:w="992" w:type="dxa"/>
            <w:tcBorders>
              <w:top w:val="single" w:sz="4" w:space="0" w:color="auto"/>
              <w:left w:val="single" w:sz="4" w:space="0" w:color="auto"/>
              <w:bottom w:val="single" w:sz="4" w:space="0" w:color="auto"/>
              <w:right w:val="single" w:sz="4" w:space="0" w:color="auto"/>
            </w:tcBorders>
            <w:vAlign w:val="center"/>
          </w:tcPr>
          <w:p w14:paraId="10AAF336" w14:textId="0A8B2A54" w:rsidR="000B62AC" w:rsidRPr="00504360" w:rsidRDefault="00321A3E" w:rsidP="000B62AC">
            <w:pPr>
              <w:spacing w:line="240" w:lineRule="auto"/>
              <w:jc w:val="right"/>
              <w:rPr>
                <w:rFonts w:cs="Arial"/>
                <w:sz w:val="18"/>
                <w:szCs w:val="18"/>
              </w:rPr>
            </w:pPr>
            <w:r>
              <w:rPr>
                <w:rFonts w:cs="Arial"/>
                <w:sz w:val="18"/>
                <w:szCs w:val="18"/>
              </w:rPr>
              <w:t>65</w:t>
            </w:r>
          </w:p>
        </w:tc>
      </w:tr>
      <w:tr w:rsidR="000B62AC" w:rsidRPr="00504360" w14:paraId="7BD55846" w14:textId="094125E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AF9129F" w:rsidR="000B62AC" w:rsidRPr="00504360" w:rsidRDefault="000B62AC" w:rsidP="000B62AC">
            <w:pPr>
              <w:spacing w:line="240" w:lineRule="auto"/>
              <w:rPr>
                <w:rFonts w:cs="Arial"/>
                <w:sz w:val="18"/>
                <w:szCs w:val="18"/>
                <w:lang w:eastAsia="en-AU"/>
              </w:rPr>
            </w:pPr>
            <w:r w:rsidRPr="00504360">
              <w:rPr>
                <w:rFonts w:cs="Arial"/>
                <w:sz w:val="18"/>
                <w:szCs w:val="18"/>
                <w:lang w:eastAsia="en-AU"/>
              </w:rPr>
              <w:t>Number of clients on a current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08743" w14:textId="53847837" w:rsidR="000B62AC" w:rsidRPr="00504360" w:rsidRDefault="000B62AC" w:rsidP="000B62AC">
            <w:pPr>
              <w:spacing w:line="240" w:lineRule="auto"/>
              <w:jc w:val="right"/>
              <w:rPr>
                <w:rFonts w:cs="Arial"/>
                <w:sz w:val="18"/>
                <w:szCs w:val="18"/>
                <w:lang w:eastAsia="en-AU"/>
              </w:rPr>
            </w:pPr>
            <w:r>
              <w:rPr>
                <w:rFonts w:cs="Arial"/>
                <w:sz w:val="18"/>
                <w:szCs w:val="18"/>
              </w:rPr>
              <w:t>25</w:t>
            </w:r>
          </w:p>
        </w:tc>
        <w:tc>
          <w:tcPr>
            <w:tcW w:w="992" w:type="dxa"/>
            <w:tcBorders>
              <w:top w:val="single" w:sz="4" w:space="0" w:color="auto"/>
              <w:left w:val="single" w:sz="4" w:space="0" w:color="auto"/>
              <w:bottom w:val="single" w:sz="4" w:space="0" w:color="auto"/>
              <w:right w:val="single" w:sz="4" w:space="0" w:color="auto"/>
            </w:tcBorders>
            <w:vAlign w:val="center"/>
          </w:tcPr>
          <w:p w14:paraId="2356D240" w14:textId="4A70EDC5" w:rsidR="000B62AC" w:rsidRPr="00504360" w:rsidRDefault="00F66EF3" w:rsidP="000B62AC">
            <w:pPr>
              <w:spacing w:line="240" w:lineRule="auto"/>
              <w:jc w:val="right"/>
              <w:rPr>
                <w:rFonts w:cs="Arial"/>
                <w:sz w:val="18"/>
                <w:szCs w:val="18"/>
              </w:rPr>
            </w:pPr>
            <w:r>
              <w:rPr>
                <w:rFonts w:cs="Arial"/>
                <w:sz w:val="18"/>
                <w:szCs w:val="18"/>
              </w:rPr>
              <w:t>79</w:t>
            </w:r>
          </w:p>
        </w:tc>
      </w:tr>
      <w:bookmarkEnd w:id="0"/>
    </w:tbl>
    <w:p w14:paraId="2F06A247" w14:textId="77777777" w:rsidR="00D53637" w:rsidRDefault="00D53637" w:rsidP="00C92D4E">
      <w:pPr>
        <w:ind w:left="-142" w:right="-425"/>
        <w:jc w:val="both"/>
        <w:rPr>
          <w:rFonts w:cs="Arial"/>
        </w:rPr>
      </w:pPr>
    </w:p>
    <w:p w14:paraId="68655F24" w14:textId="35BD09C8" w:rsidR="00914A78" w:rsidRPr="00B040BC" w:rsidRDefault="00914A78" w:rsidP="00C92D4E">
      <w:pPr>
        <w:ind w:left="-142" w:right="-425"/>
        <w:jc w:val="both"/>
        <w:rPr>
          <w:rFonts w:cs="Arial"/>
          <w:b/>
          <w:bCs/>
        </w:rPr>
      </w:pPr>
      <w:r w:rsidRPr="00B040BC">
        <w:rPr>
          <w:rFonts w:cs="Arial"/>
          <w:b/>
          <w:bCs/>
        </w:rPr>
        <w:t xml:space="preserve">Emergence of positive trends </w:t>
      </w:r>
      <w:r w:rsidR="00FE0B75" w:rsidRPr="00B040BC">
        <w:rPr>
          <w:rFonts w:cs="Arial"/>
          <w:b/>
          <w:bCs/>
        </w:rPr>
        <w:t xml:space="preserve">showing </w:t>
      </w:r>
      <w:r w:rsidRPr="00B040BC">
        <w:rPr>
          <w:rFonts w:cs="Arial"/>
          <w:b/>
          <w:bCs/>
        </w:rPr>
        <w:t>client</w:t>
      </w:r>
      <w:r w:rsidR="006E0716">
        <w:rPr>
          <w:rFonts w:cs="Arial"/>
          <w:b/>
          <w:bCs/>
        </w:rPr>
        <w:t>s</w:t>
      </w:r>
      <w:r w:rsidRPr="00B040BC">
        <w:rPr>
          <w:rFonts w:cs="Arial"/>
          <w:b/>
          <w:bCs/>
        </w:rPr>
        <w:t xml:space="preserve"> </w:t>
      </w:r>
      <w:r w:rsidR="003C2F5B">
        <w:rPr>
          <w:rFonts w:cs="Arial"/>
          <w:b/>
          <w:bCs/>
        </w:rPr>
        <w:t>accepting</w:t>
      </w:r>
      <w:r w:rsidR="006E0716">
        <w:rPr>
          <w:rFonts w:cs="Arial"/>
          <w:b/>
          <w:bCs/>
        </w:rPr>
        <w:t xml:space="preserve"> </w:t>
      </w:r>
      <w:r w:rsidRPr="00B040BC">
        <w:rPr>
          <w:rFonts w:cs="Arial"/>
          <w:b/>
          <w:bCs/>
        </w:rPr>
        <w:t>personal responsibility</w:t>
      </w:r>
    </w:p>
    <w:p w14:paraId="235A96D0" w14:textId="7B8E349C" w:rsidR="00FD39F2" w:rsidRDefault="00D476B6" w:rsidP="007F566A">
      <w:pPr>
        <w:ind w:left="-142" w:right="-425"/>
        <w:jc w:val="both"/>
        <w:rPr>
          <w:rFonts w:cs="Arial"/>
        </w:rPr>
      </w:pPr>
      <w:r>
        <w:rPr>
          <w:rFonts w:cs="Arial"/>
        </w:rPr>
        <w:t>The statistics</w:t>
      </w:r>
      <w:r w:rsidR="00914A78">
        <w:rPr>
          <w:rFonts w:cs="Arial"/>
        </w:rPr>
        <w:t xml:space="preserve"> reported above in table 1</w:t>
      </w:r>
      <w:r>
        <w:rPr>
          <w:rFonts w:cs="Arial"/>
        </w:rPr>
        <w:t xml:space="preserve"> </w:t>
      </w:r>
      <w:r w:rsidR="003614A7">
        <w:rPr>
          <w:rFonts w:cs="Arial"/>
        </w:rPr>
        <w:t xml:space="preserve">for the quarter April to June 2021 </w:t>
      </w:r>
      <w:r>
        <w:rPr>
          <w:rFonts w:cs="Arial"/>
        </w:rPr>
        <w:t xml:space="preserve">reveal </w:t>
      </w:r>
      <w:r w:rsidR="00A35B69">
        <w:rPr>
          <w:rFonts w:cs="Arial"/>
        </w:rPr>
        <w:t>a continu</w:t>
      </w:r>
      <w:r>
        <w:rPr>
          <w:rFonts w:cs="Arial"/>
        </w:rPr>
        <w:t>ing</w:t>
      </w:r>
      <w:r w:rsidR="00A35B69">
        <w:rPr>
          <w:rFonts w:cs="Arial"/>
        </w:rPr>
        <w:t xml:space="preserve"> </w:t>
      </w:r>
      <w:r w:rsidR="003614A7">
        <w:rPr>
          <w:rFonts w:cs="Arial"/>
        </w:rPr>
        <w:t>high</w:t>
      </w:r>
      <w:r w:rsidR="00A35B69">
        <w:rPr>
          <w:rFonts w:cs="Arial"/>
        </w:rPr>
        <w:t xml:space="preserve"> number of agreements </w:t>
      </w:r>
      <w:proofErr w:type="gramStart"/>
      <w:r w:rsidR="00E002A3">
        <w:rPr>
          <w:rFonts w:cs="Arial"/>
        </w:rPr>
        <w:t>entered into</w:t>
      </w:r>
      <w:proofErr w:type="gramEnd"/>
      <w:r w:rsidR="00E002A3">
        <w:rPr>
          <w:rFonts w:cs="Arial"/>
        </w:rPr>
        <w:t xml:space="preserve"> to attend community support services, </w:t>
      </w:r>
      <w:r w:rsidR="003614A7">
        <w:rPr>
          <w:rFonts w:cs="Arial"/>
        </w:rPr>
        <w:t>the highest number of voluntary agreements for a voluntary case plan (6</w:t>
      </w:r>
      <w:r w:rsidR="00B4658D">
        <w:rPr>
          <w:rFonts w:cs="Arial"/>
        </w:rPr>
        <w:t>,</w:t>
      </w:r>
      <w:r w:rsidR="003614A7">
        <w:rPr>
          <w:rFonts w:cs="Arial"/>
        </w:rPr>
        <w:t xml:space="preserve"> </w:t>
      </w:r>
      <w:r w:rsidR="000A3D78">
        <w:rPr>
          <w:rFonts w:cs="Arial"/>
        </w:rPr>
        <w:t xml:space="preserve">and 11 </w:t>
      </w:r>
      <w:r w:rsidR="003614A7">
        <w:rPr>
          <w:rFonts w:cs="Arial"/>
        </w:rPr>
        <w:t>for the financial year 202</w:t>
      </w:r>
      <w:r w:rsidR="0012419C">
        <w:rPr>
          <w:rFonts w:cs="Arial"/>
        </w:rPr>
        <w:t>0</w:t>
      </w:r>
      <w:r w:rsidR="003614A7">
        <w:rPr>
          <w:rFonts w:cs="Arial"/>
        </w:rPr>
        <w:t>-21</w:t>
      </w:r>
      <w:r w:rsidR="00B4658D">
        <w:rPr>
          <w:rFonts w:cs="Arial"/>
        </w:rPr>
        <w:t>)</w:t>
      </w:r>
      <w:r w:rsidR="003614A7">
        <w:rPr>
          <w:rFonts w:cs="Arial"/>
        </w:rPr>
        <w:t xml:space="preserve">, </w:t>
      </w:r>
      <w:r w:rsidR="00E002A3">
        <w:rPr>
          <w:rFonts w:cs="Arial"/>
        </w:rPr>
        <w:t>and notably a</w:t>
      </w:r>
      <w:r w:rsidR="003614A7">
        <w:rPr>
          <w:rFonts w:cs="Arial"/>
        </w:rPr>
        <w:t xml:space="preserve"> </w:t>
      </w:r>
      <w:r w:rsidR="00EF6E06">
        <w:rPr>
          <w:rFonts w:cs="Arial"/>
        </w:rPr>
        <w:t>272</w:t>
      </w:r>
      <w:r w:rsidR="003614A7">
        <w:rPr>
          <w:rFonts w:cs="Arial"/>
        </w:rPr>
        <w:t xml:space="preserve"> percent increase in voluntary agreements for voluntary income management (VIM).</w:t>
      </w:r>
      <w:r w:rsidR="00E002A3">
        <w:rPr>
          <w:rFonts w:cs="Arial"/>
        </w:rPr>
        <w:t xml:space="preserve"> </w:t>
      </w:r>
      <w:r w:rsidR="007F566A">
        <w:rPr>
          <w:rFonts w:cs="Arial"/>
        </w:rPr>
        <w:t xml:space="preserve">This is a positive indication that community members are developing a consciousness of their actions and personal circumstances by accepting assistance from the FRC to resume primary responsibility for their own and </w:t>
      </w:r>
      <w:r w:rsidR="00957C48">
        <w:rPr>
          <w:rFonts w:cs="Arial"/>
        </w:rPr>
        <w:t xml:space="preserve">their </w:t>
      </w:r>
      <w:r w:rsidR="007F566A">
        <w:rPr>
          <w:rFonts w:cs="Arial"/>
        </w:rPr>
        <w:t xml:space="preserve">family’s wellbeing. </w:t>
      </w:r>
    </w:p>
    <w:p w14:paraId="415F785F" w14:textId="77777777" w:rsidR="00FD39F2" w:rsidRDefault="00FD39F2" w:rsidP="00B040BC">
      <w:pPr>
        <w:ind w:left="-142" w:right="-425"/>
        <w:jc w:val="both"/>
        <w:rPr>
          <w:rFonts w:cs="Arial"/>
        </w:rPr>
      </w:pPr>
    </w:p>
    <w:p w14:paraId="17D4BF19" w14:textId="4CE56691" w:rsidR="000D0A4E" w:rsidRDefault="00DF2FAA" w:rsidP="00FD39F2">
      <w:pPr>
        <w:ind w:left="-142" w:right="-425"/>
        <w:jc w:val="both"/>
        <w:rPr>
          <w:rFonts w:cs="Arial"/>
        </w:rPr>
      </w:pPr>
      <w:r>
        <w:rPr>
          <w:rFonts w:cs="Arial"/>
        </w:rPr>
        <w:t xml:space="preserve">For further analysis of the income management </w:t>
      </w:r>
      <w:r w:rsidR="004F795D">
        <w:rPr>
          <w:rFonts w:cs="Arial"/>
        </w:rPr>
        <w:t xml:space="preserve">and voluntary self-referral </w:t>
      </w:r>
      <w:r>
        <w:rPr>
          <w:rFonts w:cs="Arial"/>
        </w:rPr>
        <w:t>statistics for this reporting period refer to pages 1</w:t>
      </w:r>
      <w:r w:rsidR="00036D2C">
        <w:rPr>
          <w:rFonts w:cs="Arial"/>
        </w:rPr>
        <w:t>7</w:t>
      </w:r>
      <w:r>
        <w:rPr>
          <w:rFonts w:cs="Arial"/>
        </w:rPr>
        <w:t xml:space="preserve"> </w:t>
      </w:r>
      <w:r w:rsidR="004F795D">
        <w:rPr>
          <w:rFonts w:cs="Arial"/>
        </w:rPr>
        <w:t xml:space="preserve">to </w:t>
      </w:r>
      <w:r>
        <w:rPr>
          <w:rFonts w:cs="Arial"/>
        </w:rPr>
        <w:t>1</w:t>
      </w:r>
      <w:r w:rsidR="007C26AD">
        <w:rPr>
          <w:rFonts w:cs="Arial"/>
        </w:rPr>
        <w:t>8</w:t>
      </w:r>
      <w:r>
        <w:rPr>
          <w:rFonts w:cs="Arial"/>
        </w:rPr>
        <w:t>.</w:t>
      </w:r>
    </w:p>
    <w:p w14:paraId="7CDCAA1E" w14:textId="37A65745" w:rsidR="004B49E3" w:rsidRDefault="004B49E3" w:rsidP="00C92D4E">
      <w:pPr>
        <w:ind w:left="-142" w:right="-425"/>
        <w:jc w:val="both"/>
        <w:rPr>
          <w:rFonts w:cs="Arial"/>
        </w:rPr>
      </w:pPr>
    </w:p>
    <w:p w14:paraId="036EC850" w14:textId="2866DD4E" w:rsidR="009B28D9" w:rsidRDefault="00647294" w:rsidP="00C92D4E">
      <w:pPr>
        <w:ind w:left="-142" w:right="-425"/>
        <w:jc w:val="both"/>
        <w:rPr>
          <w:rFonts w:cs="Arial"/>
        </w:rPr>
      </w:pPr>
      <w:proofErr w:type="gramStart"/>
      <w:r>
        <w:rPr>
          <w:rFonts w:cs="Arial"/>
        </w:rPr>
        <w:t>In light of the fact that</w:t>
      </w:r>
      <w:proofErr w:type="gramEnd"/>
      <w:r>
        <w:rPr>
          <w:rFonts w:cs="Arial"/>
        </w:rPr>
        <w:t xml:space="preserve"> this reporting period has closed off the 2020-21 financial year, it is worthwhile providing a summary analysis of the 2020-21 year compared to the previous 2019-20 financial year.</w:t>
      </w:r>
    </w:p>
    <w:p w14:paraId="3481C68F" w14:textId="77777777" w:rsidR="009B28D9" w:rsidRDefault="009B28D9" w:rsidP="00C92D4E">
      <w:pPr>
        <w:ind w:left="-142" w:right="-425"/>
        <w:jc w:val="both"/>
        <w:rPr>
          <w:rFonts w:cs="Arial"/>
        </w:rPr>
      </w:pPr>
    </w:p>
    <w:p w14:paraId="5EE3B999" w14:textId="36783165"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lang w:eastAsia="en-US"/>
        </w:rPr>
      </w:pPr>
      <w:r w:rsidRPr="004B49E3">
        <w:rPr>
          <w:rFonts w:ascii="Verdana" w:eastAsia="Times New Roman" w:hAnsi="Verdana"/>
          <w:sz w:val="20"/>
          <w:szCs w:val="20"/>
        </w:rPr>
        <w:t>There has been 1078</w:t>
      </w:r>
      <w:r>
        <w:rPr>
          <w:rFonts w:ascii="Verdana" w:eastAsia="Times New Roman" w:hAnsi="Verdana"/>
          <w:sz w:val="20"/>
          <w:szCs w:val="20"/>
        </w:rPr>
        <w:t xml:space="preserve"> percent</w:t>
      </w:r>
      <w:r w:rsidRPr="004B49E3">
        <w:rPr>
          <w:rFonts w:ascii="Verdana" w:eastAsia="Times New Roman" w:hAnsi="Verdana"/>
          <w:sz w:val="20"/>
          <w:szCs w:val="20"/>
        </w:rPr>
        <w:t xml:space="preserve"> increase in agreements </w:t>
      </w:r>
      <w:r w:rsidR="00FD39F2">
        <w:rPr>
          <w:rFonts w:ascii="Verdana" w:eastAsia="Times New Roman" w:hAnsi="Verdana"/>
          <w:sz w:val="20"/>
          <w:szCs w:val="20"/>
        </w:rPr>
        <w:t xml:space="preserve">entered into by clients expressing a willingness </w:t>
      </w:r>
      <w:r w:rsidRPr="004B49E3">
        <w:rPr>
          <w:rFonts w:ascii="Verdana" w:eastAsia="Times New Roman" w:hAnsi="Verdana"/>
          <w:sz w:val="20"/>
          <w:szCs w:val="20"/>
        </w:rPr>
        <w:t>to attend support services from 23 in 2019-20 to 271 in 2020-21</w:t>
      </w:r>
      <w:r w:rsidR="00027A34">
        <w:rPr>
          <w:rFonts w:ascii="Verdana" w:eastAsia="Times New Roman" w:hAnsi="Verdana"/>
          <w:sz w:val="20"/>
          <w:szCs w:val="20"/>
        </w:rPr>
        <w:t>.</w:t>
      </w:r>
    </w:p>
    <w:p w14:paraId="615414B2" w14:textId="7F658C38"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There has been a corresponding 48</w:t>
      </w:r>
      <w:r>
        <w:rPr>
          <w:rFonts w:ascii="Verdana" w:eastAsia="Times New Roman" w:hAnsi="Verdana"/>
          <w:sz w:val="20"/>
          <w:szCs w:val="20"/>
        </w:rPr>
        <w:t xml:space="preserve"> percent</w:t>
      </w:r>
      <w:r w:rsidRPr="004B49E3">
        <w:rPr>
          <w:rFonts w:ascii="Verdana" w:eastAsia="Times New Roman" w:hAnsi="Verdana"/>
          <w:sz w:val="20"/>
          <w:szCs w:val="20"/>
        </w:rPr>
        <w:t xml:space="preserve"> decrease in orders</w:t>
      </w:r>
      <w:r w:rsidR="00FD39F2">
        <w:rPr>
          <w:rFonts w:ascii="Verdana" w:eastAsia="Times New Roman" w:hAnsi="Verdana"/>
          <w:sz w:val="20"/>
          <w:szCs w:val="20"/>
        </w:rPr>
        <w:t xml:space="preserve"> imposed by the FRC mandating clients</w:t>
      </w:r>
      <w:r w:rsidRPr="004B49E3">
        <w:rPr>
          <w:rFonts w:ascii="Verdana" w:eastAsia="Times New Roman" w:hAnsi="Verdana"/>
          <w:sz w:val="20"/>
          <w:szCs w:val="20"/>
        </w:rPr>
        <w:t xml:space="preserve"> to attend support services from 302 in 2019-20 to 157 in 2020-21</w:t>
      </w:r>
      <w:r w:rsidR="00027A34">
        <w:rPr>
          <w:rFonts w:ascii="Verdana" w:eastAsia="Times New Roman" w:hAnsi="Verdana"/>
          <w:sz w:val="20"/>
          <w:szCs w:val="20"/>
        </w:rPr>
        <w:t>.</w:t>
      </w:r>
    </w:p>
    <w:p w14:paraId="71AAE300" w14:textId="3E489FB9"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 xml:space="preserve">The FRC referred 359 clients to attend support services in 2020-21, the highest number in the FRC’s </w:t>
      </w:r>
      <w:proofErr w:type="gramStart"/>
      <w:r w:rsidRPr="004B49E3">
        <w:rPr>
          <w:rFonts w:ascii="Verdana" w:eastAsia="Times New Roman" w:hAnsi="Verdana"/>
          <w:sz w:val="20"/>
          <w:szCs w:val="20"/>
        </w:rPr>
        <w:t>13 year</w:t>
      </w:r>
      <w:proofErr w:type="gramEnd"/>
      <w:r w:rsidRPr="004B49E3">
        <w:rPr>
          <w:rFonts w:ascii="Verdana" w:eastAsia="Times New Roman" w:hAnsi="Verdana"/>
          <w:sz w:val="20"/>
          <w:szCs w:val="20"/>
        </w:rPr>
        <w:t xml:space="preserve"> history, made up of 241 female and 118 male clients with an average female age of 36 and average male age of 38</w:t>
      </w:r>
      <w:r w:rsidR="00027A34">
        <w:rPr>
          <w:rFonts w:ascii="Verdana" w:eastAsia="Times New Roman" w:hAnsi="Verdana"/>
          <w:sz w:val="20"/>
          <w:szCs w:val="20"/>
        </w:rPr>
        <w:t>.</w:t>
      </w:r>
    </w:p>
    <w:p w14:paraId="43D37E3F" w14:textId="7B60443B"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The FRC issued 519 referrals in 2020-21</w:t>
      </w:r>
      <w:r w:rsidR="00701672">
        <w:rPr>
          <w:rFonts w:ascii="Verdana" w:eastAsia="Times New Roman" w:hAnsi="Verdana"/>
          <w:sz w:val="20"/>
          <w:szCs w:val="20"/>
        </w:rPr>
        <w:t>,</w:t>
      </w:r>
      <w:r w:rsidRPr="004B49E3">
        <w:rPr>
          <w:rFonts w:ascii="Verdana" w:eastAsia="Times New Roman" w:hAnsi="Verdana"/>
          <w:sz w:val="20"/>
          <w:szCs w:val="20"/>
        </w:rPr>
        <w:t xml:space="preserve"> a 29</w:t>
      </w:r>
      <w:r>
        <w:rPr>
          <w:rFonts w:ascii="Verdana" w:eastAsia="Times New Roman" w:hAnsi="Verdana"/>
          <w:sz w:val="20"/>
          <w:szCs w:val="20"/>
        </w:rPr>
        <w:t xml:space="preserve"> percent</w:t>
      </w:r>
      <w:r w:rsidRPr="004B49E3">
        <w:rPr>
          <w:rFonts w:ascii="Verdana" w:eastAsia="Times New Roman" w:hAnsi="Verdana"/>
          <w:sz w:val="20"/>
          <w:szCs w:val="20"/>
        </w:rPr>
        <w:t xml:space="preserve"> increase from 2019-20 and the third highest number of referrals in the history of the FRC. The last time the FRC </w:t>
      </w:r>
      <w:r w:rsidR="00660836">
        <w:rPr>
          <w:rFonts w:ascii="Verdana" w:eastAsia="Times New Roman" w:hAnsi="Verdana"/>
          <w:sz w:val="20"/>
          <w:szCs w:val="20"/>
        </w:rPr>
        <w:t>issued</w:t>
      </w:r>
      <w:r w:rsidRPr="004B49E3">
        <w:rPr>
          <w:rFonts w:ascii="Verdana" w:eastAsia="Times New Roman" w:hAnsi="Verdana"/>
          <w:sz w:val="20"/>
          <w:szCs w:val="20"/>
        </w:rPr>
        <w:t xml:space="preserve"> over 500 referrals was 11 years ago in 2009-10</w:t>
      </w:r>
      <w:r w:rsidR="00027A34">
        <w:rPr>
          <w:rFonts w:ascii="Verdana" w:eastAsia="Times New Roman" w:hAnsi="Verdana"/>
          <w:sz w:val="20"/>
          <w:szCs w:val="20"/>
        </w:rPr>
        <w:t>.</w:t>
      </w:r>
    </w:p>
    <w:p w14:paraId="239F0B7C" w14:textId="14181040"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There has been a 58</w:t>
      </w:r>
      <w:r>
        <w:rPr>
          <w:rFonts w:ascii="Verdana" w:eastAsia="Times New Roman" w:hAnsi="Verdana"/>
          <w:sz w:val="20"/>
          <w:szCs w:val="20"/>
        </w:rPr>
        <w:t xml:space="preserve"> percent</w:t>
      </w:r>
      <w:r w:rsidRPr="004B49E3">
        <w:rPr>
          <w:rFonts w:ascii="Verdana" w:eastAsia="Times New Roman" w:hAnsi="Verdana"/>
          <w:sz w:val="20"/>
          <w:szCs w:val="20"/>
        </w:rPr>
        <w:t xml:space="preserve"> decrease in orders</w:t>
      </w:r>
      <w:r w:rsidR="00FD39F2">
        <w:rPr>
          <w:rFonts w:ascii="Verdana" w:eastAsia="Times New Roman" w:hAnsi="Verdana"/>
          <w:sz w:val="20"/>
          <w:szCs w:val="20"/>
        </w:rPr>
        <w:t xml:space="preserve"> imposed by the FRC as a decision of last resort,</w:t>
      </w:r>
      <w:r w:rsidRPr="004B49E3">
        <w:rPr>
          <w:rFonts w:ascii="Verdana" w:eastAsia="Times New Roman" w:hAnsi="Verdana"/>
          <w:sz w:val="20"/>
          <w:szCs w:val="20"/>
        </w:rPr>
        <w:t xml:space="preserve"> for conditional income management (CIM)</w:t>
      </w:r>
      <w:r w:rsidR="00FD39F2">
        <w:rPr>
          <w:rFonts w:ascii="Verdana" w:eastAsia="Times New Roman" w:hAnsi="Verdana"/>
          <w:sz w:val="20"/>
          <w:szCs w:val="20"/>
        </w:rPr>
        <w:t xml:space="preserve"> of a client’s welfare payments</w:t>
      </w:r>
      <w:r w:rsidRPr="004B49E3">
        <w:rPr>
          <w:rFonts w:ascii="Verdana" w:eastAsia="Times New Roman" w:hAnsi="Verdana"/>
          <w:sz w:val="20"/>
          <w:szCs w:val="20"/>
        </w:rPr>
        <w:t xml:space="preserve"> from 219 in 2019-20 to 93 in 2020-21</w:t>
      </w:r>
      <w:r w:rsidR="00027A34">
        <w:rPr>
          <w:rFonts w:ascii="Verdana" w:eastAsia="Times New Roman" w:hAnsi="Verdana"/>
          <w:sz w:val="20"/>
          <w:szCs w:val="20"/>
        </w:rPr>
        <w:t>.</w:t>
      </w:r>
    </w:p>
    <w:p w14:paraId="27884A4C" w14:textId="34B87282"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In 2020-21</w:t>
      </w:r>
      <w:r w:rsidR="00701672">
        <w:rPr>
          <w:rFonts w:ascii="Verdana" w:eastAsia="Times New Roman" w:hAnsi="Verdana"/>
          <w:sz w:val="20"/>
          <w:szCs w:val="20"/>
        </w:rPr>
        <w:t>,</w:t>
      </w:r>
      <w:r w:rsidRPr="004B49E3">
        <w:rPr>
          <w:rFonts w:ascii="Verdana" w:eastAsia="Times New Roman" w:hAnsi="Verdana"/>
          <w:sz w:val="20"/>
          <w:szCs w:val="20"/>
        </w:rPr>
        <w:t xml:space="preserve"> </w:t>
      </w:r>
      <w:r w:rsidR="00516A23">
        <w:rPr>
          <w:rFonts w:ascii="Verdana" w:eastAsia="Times New Roman" w:hAnsi="Verdana"/>
          <w:sz w:val="20"/>
          <w:szCs w:val="20"/>
        </w:rPr>
        <w:t>90</w:t>
      </w:r>
      <w:r w:rsidR="00516A23" w:rsidRPr="004B49E3">
        <w:rPr>
          <w:rFonts w:ascii="Verdana" w:eastAsia="Times New Roman" w:hAnsi="Verdana"/>
          <w:sz w:val="20"/>
          <w:szCs w:val="20"/>
        </w:rPr>
        <w:t xml:space="preserve"> </w:t>
      </w:r>
      <w:r w:rsidRPr="004B49E3">
        <w:rPr>
          <w:rFonts w:ascii="Verdana" w:eastAsia="Times New Roman" w:hAnsi="Verdana"/>
          <w:sz w:val="20"/>
          <w:szCs w:val="20"/>
        </w:rPr>
        <w:t>clients were put on a CIM (inclusive of orders and agreements)</w:t>
      </w:r>
      <w:r w:rsidR="00701672">
        <w:rPr>
          <w:rFonts w:ascii="Verdana" w:eastAsia="Times New Roman" w:hAnsi="Verdana"/>
          <w:sz w:val="20"/>
          <w:szCs w:val="20"/>
        </w:rPr>
        <w:t>,</w:t>
      </w:r>
      <w:r w:rsidRPr="004B49E3">
        <w:rPr>
          <w:rFonts w:ascii="Verdana" w:eastAsia="Times New Roman" w:hAnsi="Verdana"/>
          <w:sz w:val="20"/>
          <w:szCs w:val="20"/>
        </w:rPr>
        <w:t xml:space="preserve"> a decrease of 4</w:t>
      </w:r>
      <w:r w:rsidR="00516A23">
        <w:rPr>
          <w:rFonts w:ascii="Verdana" w:eastAsia="Times New Roman" w:hAnsi="Verdana"/>
          <w:sz w:val="20"/>
          <w:szCs w:val="20"/>
        </w:rPr>
        <w:t>5</w:t>
      </w:r>
      <w:r>
        <w:rPr>
          <w:rFonts w:ascii="Verdana" w:eastAsia="Times New Roman" w:hAnsi="Verdana"/>
          <w:sz w:val="20"/>
          <w:szCs w:val="20"/>
        </w:rPr>
        <w:t xml:space="preserve"> percent</w:t>
      </w:r>
      <w:r w:rsidRPr="004B49E3">
        <w:rPr>
          <w:rFonts w:ascii="Verdana" w:eastAsia="Times New Roman" w:hAnsi="Verdana"/>
          <w:sz w:val="20"/>
          <w:szCs w:val="20"/>
        </w:rPr>
        <w:t xml:space="preserve"> from 165 clients in 2019-20</w:t>
      </w:r>
      <w:r w:rsidR="00045F38">
        <w:rPr>
          <w:rFonts w:ascii="Verdana" w:eastAsia="Times New Roman" w:hAnsi="Verdana"/>
          <w:sz w:val="20"/>
          <w:szCs w:val="20"/>
        </w:rPr>
        <w:t xml:space="preserve">. </w:t>
      </w:r>
      <w:proofErr w:type="gramStart"/>
      <w:r w:rsidRPr="004B49E3">
        <w:rPr>
          <w:rFonts w:ascii="Verdana" w:eastAsia="Times New Roman" w:hAnsi="Verdana"/>
          <w:sz w:val="20"/>
          <w:szCs w:val="20"/>
        </w:rPr>
        <w:t>Again</w:t>
      </w:r>
      <w:proofErr w:type="gramEnd"/>
      <w:r w:rsidRPr="004B49E3">
        <w:rPr>
          <w:rFonts w:ascii="Verdana" w:eastAsia="Times New Roman" w:hAnsi="Verdana"/>
          <w:sz w:val="20"/>
          <w:szCs w:val="20"/>
        </w:rPr>
        <w:t xml:space="preserve"> females make up the majority with 6</w:t>
      </w:r>
      <w:r w:rsidR="00516A23">
        <w:rPr>
          <w:rFonts w:ascii="Verdana" w:eastAsia="Times New Roman" w:hAnsi="Verdana"/>
          <w:sz w:val="20"/>
          <w:szCs w:val="20"/>
        </w:rPr>
        <w:t>1</w:t>
      </w:r>
      <w:r w:rsidRPr="004B49E3">
        <w:rPr>
          <w:rFonts w:ascii="Verdana" w:eastAsia="Times New Roman" w:hAnsi="Verdana"/>
          <w:sz w:val="20"/>
          <w:szCs w:val="20"/>
        </w:rPr>
        <w:t xml:space="preserve"> female clients and 29 male clients with an average female age of 37 and average male age of 39</w:t>
      </w:r>
      <w:r w:rsidR="00027A34">
        <w:rPr>
          <w:rFonts w:ascii="Verdana" w:eastAsia="Times New Roman" w:hAnsi="Verdana"/>
          <w:sz w:val="20"/>
          <w:szCs w:val="20"/>
        </w:rPr>
        <w:t>.</w:t>
      </w:r>
    </w:p>
    <w:p w14:paraId="32970C91" w14:textId="2E761A35"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 xml:space="preserve">There has been </w:t>
      </w:r>
      <w:r w:rsidR="00027A34">
        <w:rPr>
          <w:rFonts w:ascii="Verdana" w:eastAsia="Times New Roman" w:hAnsi="Verdana"/>
          <w:sz w:val="20"/>
          <w:szCs w:val="20"/>
        </w:rPr>
        <w:t xml:space="preserve">a </w:t>
      </w:r>
      <w:r w:rsidRPr="004B49E3">
        <w:rPr>
          <w:rFonts w:ascii="Verdana" w:eastAsia="Times New Roman" w:hAnsi="Verdana"/>
          <w:sz w:val="20"/>
          <w:szCs w:val="20"/>
        </w:rPr>
        <w:t>370</w:t>
      </w:r>
      <w:r>
        <w:rPr>
          <w:rFonts w:ascii="Verdana" w:eastAsia="Times New Roman" w:hAnsi="Verdana"/>
          <w:sz w:val="20"/>
          <w:szCs w:val="20"/>
        </w:rPr>
        <w:t xml:space="preserve"> percent</w:t>
      </w:r>
      <w:r w:rsidRPr="004B49E3">
        <w:rPr>
          <w:rFonts w:ascii="Verdana" w:eastAsia="Times New Roman" w:hAnsi="Verdana"/>
          <w:sz w:val="20"/>
          <w:szCs w:val="20"/>
        </w:rPr>
        <w:t xml:space="preserve"> increase in </w:t>
      </w:r>
      <w:r w:rsidR="00F41EA0">
        <w:rPr>
          <w:rFonts w:ascii="Verdana" w:eastAsia="Times New Roman" w:hAnsi="Verdana"/>
          <w:sz w:val="20"/>
          <w:szCs w:val="20"/>
        </w:rPr>
        <w:t>the number of agreements entered into by self</w:t>
      </w:r>
      <w:r w:rsidR="00660836">
        <w:rPr>
          <w:rFonts w:ascii="Verdana" w:eastAsia="Times New Roman" w:hAnsi="Verdana"/>
          <w:sz w:val="20"/>
          <w:szCs w:val="20"/>
        </w:rPr>
        <w:t>-</w:t>
      </w:r>
      <w:r w:rsidR="00F41EA0">
        <w:rPr>
          <w:rFonts w:ascii="Verdana" w:eastAsia="Times New Roman" w:hAnsi="Verdana"/>
          <w:sz w:val="20"/>
          <w:szCs w:val="20"/>
        </w:rPr>
        <w:t xml:space="preserve">referring community members requesting that a portion of their welfare payments be subject to voluntary income management (VIM). VIM agreements </w:t>
      </w:r>
      <w:proofErr w:type="gramStart"/>
      <w:r w:rsidR="00F41EA0">
        <w:rPr>
          <w:rFonts w:ascii="Verdana" w:eastAsia="Times New Roman" w:hAnsi="Verdana"/>
          <w:sz w:val="20"/>
          <w:szCs w:val="20"/>
        </w:rPr>
        <w:t>entered into</w:t>
      </w:r>
      <w:proofErr w:type="gramEnd"/>
      <w:r w:rsidR="00F41EA0">
        <w:rPr>
          <w:rFonts w:ascii="Verdana" w:eastAsia="Times New Roman" w:hAnsi="Verdana"/>
          <w:sz w:val="20"/>
          <w:szCs w:val="20"/>
        </w:rPr>
        <w:t xml:space="preserve"> by </w:t>
      </w:r>
      <w:r w:rsidR="00F41EA0">
        <w:rPr>
          <w:rFonts w:ascii="Verdana" w:eastAsia="Times New Roman" w:hAnsi="Verdana"/>
          <w:sz w:val="20"/>
          <w:szCs w:val="20"/>
        </w:rPr>
        <w:lastRenderedPageBreak/>
        <w:t xml:space="preserve">clients </w:t>
      </w:r>
      <w:r w:rsidR="002D05C4">
        <w:rPr>
          <w:rFonts w:ascii="Verdana" w:eastAsia="Times New Roman" w:hAnsi="Verdana"/>
          <w:sz w:val="20"/>
          <w:szCs w:val="20"/>
        </w:rPr>
        <w:t xml:space="preserve">increased from 20 </w:t>
      </w:r>
      <w:r w:rsidRPr="004B49E3">
        <w:rPr>
          <w:rFonts w:ascii="Verdana" w:eastAsia="Times New Roman" w:hAnsi="Verdana"/>
          <w:sz w:val="20"/>
          <w:szCs w:val="20"/>
        </w:rPr>
        <w:t>in 2019-20 to 94 in 2020-21, pertaining to 89 clients</w:t>
      </w:r>
      <w:r w:rsidR="002D05C4">
        <w:rPr>
          <w:rFonts w:ascii="Verdana" w:eastAsia="Times New Roman" w:hAnsi="Verdana"/>
          <w:sz w:val="20"/>
          <w:szCs w:val="20"/>
        </w:rPr>
        <w:t>. Five</w:t>
      </w:r>
      <w:r w:rsidR="00F41EA0">
        <w:t xml:space="preserve"> </w:t>
      </w:r>
      <w:r w:rsidR="002D05C4">
        <w:t xml:space="preserve">of these </w:t>
      </w:r>
      <w:r w:rsidR="00F41EA0">
        <w:t>clients request</w:t>
      </w:r>
      <w:r w:rsidR="002D05C4">
        <w:t>ed</w:t>
      </w:r>
      <w:r w:rsidR="00F41EA0">
        <w:t xml:space="preserve"> a further agreement upon the expiry of their original VIM period to continue income management</w:t>
      </w:r>
      <w:r w:rsidR="00AD3260">
        <w:rPr>
          <w:rFonts w:ascii="Verdana" w:eastAsia="Times New Roman" w:hAnsi="Verdana"/>
          <w:sz w:val="20"/>
          <w:szCs w:val="20"/>
        </w:rPr>
        <w:t>. Sixty-one of these clients were</w:t>
      </w:r>
      <w:r w:rsidRPr="004B49E3">
        <w:rPr>
          <w:rFonts w:ascii="Verdana" w:eastAsia="Times New Roman" w:hAnsi="Verdana"/>
          <w:sz w:val="20"/>
          <w:szCs w:val="20"/>
        </w:rPr>
        <w:t xml:space="preserve"> female and 28 </w:t>
      </w:r>
      <w:r w:rsidR="00AD3260">
        <w:rPr>
          <w:rFonts w:ascii="Verdana" w:eastAsia="Times New Roman" w:hAnsi="Verdana"/>
          <w:sz w:val="20"/>
          <w:szCs w:val="20"/>
        </w:rPr>
        <w:t xml:space="preserve">were </w:t>
      </w:r>
      <w:r w:rsidRPr="004B49E3">
        <w:rPr>
          <w:rFonts w:ascii="Verdana" w:eastAsia="Times New Roman" w:hAnsi="Verdana"/>
          <w:sz w:val="20"/>
          <w:szCs w:val="20"/>
        </w:rPr>
        <w:t>male</w:t>
      </w:r>
      <w:r w:rsidR="00AD3260">
        <w:rPr>
          <w:rFonts w:ascii="Verdana" w:eastAsia="Times New Roman" w:hAnsi="Verdana"/>
          <w:sz w:val="20"/>
          <w:szCs w:val="20"/>
        </w:rPr>
        <w:t>. The</w:t>
      </w:r>
      <w:r w:rsidRPr="004B49E3">
        <w:rPr>
          <w:rFonts w:ascii="Verdana" w:eastAsia="Times New Roman" w:hAnsi="Verdana"/>
          <w:sz w:val="20"/>
          <w:szCs w:val="20"/>
        </w:rPr>
        <w:t xml:space="preserve"> average </w:t>
      </w:r>
      <w:r w:rsidR="00AD3260">
        <w:rPr>
          <w:rFonts w:ascii="Verdana" w:eastAsia="Times New Roman" w:hAnsi="Verdana"/>
          <w:sz w:val="20"/>
          <w:szCs w:val="20"/>
        </w:rPr>
        <w:t xml:space="preserve">age for the </w:t>
      </w:r>
      <w:r w:rsidRPr="004B49E3">
        <w:rPr>
          <w:rFonts w:ascii="Verdana" w:eastAsia="Times New Roman" w:hAnsi="Verdana"/>
          <w:sz w:val="20"/>
          <w:szCs w:val="20"/>
        </w:rPr>
        <w:t xml:space="preserve">female </w:t>
      </w:r>
      <w:r w:rsidR="00AD3260">
        <w:rPr>
          <w:rFonts w:ascii="Verdana" w:eastAsia="Times New Roman" w:hAnsi="Verdana"/>
          <w:sz w:val="20"/>
          <w:szCs w:val="20"/>
        </w:rPr>
        <w:t>client was</w:t>
      </w:r>
      <w:r w:rsidRPr="004B49E3">
        <w:rPr>
          <w:rFonts w:ascii="Verdana" w:eastAsia="Times New Roman" w:hAnsi="Verdana"/>
          <w:sz w:val="20"/>
          <w:szCs w:val="20"/>
        </w:rPr>
        <w:t xml:space="preserve"> 50 and </w:t>
      </w:r>
      <w:r w:rsidR="00AD3260">
        <w:rPr>
          <w:rFonts w:ascii="Verdana" w:eastAsia="Times New Roman" w:hAnsi="Verdana"/>
          <w:sz w:val="20"/>
          <w:szCs w:val="20"/>
        </w:rPr>
        <w:t xml:space="preserve">the </w:t>
      </w:r>
      <w:r w:rsidRPr="004B49E3">
        <w:rPr>
          <w:rFonts w:ascii="Verdana" w:eastAsia="Times New Roman" w:hAnsi="Verdana"/>
          <w:sz w:val="20"/>
          <w:szCs w:val="20"/>
        </w:rPr>
        <w:t xml:space="preserve">average </w:t>
      </w:r>
      <w:r w:rsidR="00AD3260">
        <w:rPr>
          <w:rFonts w:ascii="Verdana" w:eastAsia="Times New Roman" w:hAnsi="Verdana"/>
          <w:sz w:val="20"/>
          <w:szCs w:val="20"/>
        </w:rPr>
        <w:t xml:space="preserve">age for the </w:t>
      </w:r>
      <w:r w:rsidRPr="004B49E3">
        <w:rPr>
          <w:rFonts w:ascii="Verdana" w:eastAsia="Times New Roman" w:hAnsi="Verdana"/>
          <w:sz w:val="20"/>
          <w:szCs w:val="20"/>
        </w:rPr>
        <w:t xml:space="preserve">male </w:t>
      </w:r>
      <w:r w:rsidR="00AD3260">
        <w:rPr>
          <w:rFonts w:ascii="Verdana" w:eastAsia="Times New Roman" w:hAnsi="Verdana"/>
          <w:sz w:val="20"/>
          <w:szCs w:val="20"/>
        </w:rPr>
        <w:t>was</w:t>
      </w:r>
      <w:r w:rsidRPr="004B49E3">
        <w:rPr>
          <w:rFonts w:ascii="Verdana" w:eastAsia="Times New Roman" w:hAnsi="Verdana"/>
          <w:sz w:val="20"/>
          <w:szCs w:val="20"/>
        </w:rPr>
        <w:t xml:space="preserve"> 53</w:t>
      </w:r>
      <w:r w:rsidR="00AD3260">
        <w:rPr>
          <w:rFonts w:ascii="Verdana" w:eastAsia="Times New Roman" w:hAnsi="Verdana"/>
          <w:sz w:val="20"/>
          <w:szCs w:val="20"/>
        </w:rPr>
        <w:t>.</w:t>
      </w:r>
    </w:p>
    <w:p w14:paraId="67C9F10A" w14:textId="2C613486" w:rsidR="004B49E3" w:rsidRPr="004B49E3" w:rsidRDefault="004B49E3" w:rsidP="004B49E3">
      <w:pPr>
        <w:pStyle w:val="ListParagraph"/>
        <w:numPr>
          <w:ilvl w:val="0"/>
          <w:numId w:val="48"/>
        </w:numPr>
        <w:spacing w:after="120" w:line="288" w:lineRule="auto"/>
        <w:ind w:left="714" w:hanging="357"/>
        <w:rPr>
          <w:rFonts w:ascii="Verdana" w:eastAsia="Times New Roman" w:hAnsi="Verdana"/>
          <w:sz w:val="20"/>
          <w:szCs w:val="20"/>
        </w:rPr>
      </w:pPr>
      <w:r w:rsidRPr="004B49E3">
        <w:rPr>
          <w:rFonts w:ascii="Verdana" w:eastAsia="Times New Roman" w:hAnsi="Verdana"/>
          <w:sz w:val="20"/>
          <w:szCs w:val="20"/>
        </w:rPr>
        <w:t xml:space="preserve">As </w:t>
      </w:r>
      <w:proofErr w:type="gramStart"/>
      <w:r w:rsidRPr="004B49E3">
        <w:rPr>
          <w:rFonts w:ascii="Verdana" w:eastAsia="Times New Roman" w:hAnsi="Verdana"/>
          <w:sz w:val="20"/>
          <w:szCs w:val="20"/>
        </w:rPr>
        <w:t>at</w:t>
      </w:r>
      <w:proofErr w:type="gramEnd"/>
      <w:r w:rsidRPr="004B49E3">
        <w:rPr>
          <w:rFonts w:ascii="Verdana" w:eastAsia="Times New Roman" w:hAnsi="Verdana"/>
          <w:sz w:val="20"/>
          <w:szCs w:val="20"/>
        </w:rPr>
        <w:t xml:space="preserve"> 30</w:t>
      </w:r>
      <w:r w:rsidR="00027A34">
        <w:rPr>
          <w:rFonts w:ascii="Verdana" w:eastAsia="Times New Roman" w:hAnsi="Verdana"/>
          <w:sz w:val="20"/>
          <w:szCs w:val="20"/>
        </w:rPr>
        <w:t xml:space="preserve"> June </w:t>
      </w:r>
      <w:r w:rsidRPr="004B49E3">
        <w:rPr>
          <w:rFonts w:ascii="Verdana" w:eastAsia="Times New Roman" w:hAnsi="Verdana"/>
          <w:sz w:val="20"/>
          <w:szCs w:val="20"/>
        </w:rPr>
        <w:t>2021 there were more clients currently on a VIM than a CIM</w:t>
      </w:r>
      <w:r w:rsidR="00F41EA0">
        <w:rPr>
          <w:rFonts w:ascii="Verdana" w:eastAsia="Times New Roman" w:hAnsi="Verdana"/>
          <w:sz w:val="20"/>
          <w:szCs w:val="20"/>
        </w:rPr>
        <w:t xml:space="preserve"> – another first in the history of the FRC -</w:t>
      </w:r>
      <w:r w:rsidRPr="004B49E3">
        <w:rPr>
          <w:rFonts w:ascii="Verdana" w:eastAsia="Times New Roman" w:hAnsi="Verdana"/>
          <w:sz w:val="20"/>
          <w:szCs w:val="20"/>
        </w:rPr>
        <w:t xml:space="preserve"> with 79 clients on a VIM (4 clients pending Centrelink action) and 65 clients on a current CIM</w:t>
      </w:r>
      <w:r w:rsidR="00027A34">
        <w:rPr>
          <w:rFonts w:ascii="Verdana" w:eastAsia="Times New Roman" w:hAnsi="Verdana"/>
          <w:sz w:val="20"/>
          <w:szCs w:val="20"/>
        </w:rPr>
        <w:t>.</w:t>
      </w:r>
    </w:p>
    <w:p w14:paraId="30144DDE" w14:textId="15FC0B6D" w:rsidR="00370A5C" w:rsidRDefault="00370A5C" w:rsidP="00C92D4E">
      <w:pPr>
        <w:ind w:left="-142" w:right="-425"/>
        <w:jc w:val="both"/>
        <w:rPr>
          <w:rFonts w:cs="Arial"/>
        </w:rPr>
      </w:pPr>
    </w:p>
    <w:p w14:paraId="4668575A" w14:textId="73C9F7B7" w:rsidR="00BE552D" w:rsidRDefault="00BE552D" w:rsidP="00370A5C">
      <w:pPr>
        <w:ind w:left="-142" w:right="-425"/>
        <w:jc w:val="both"/>
        <w:rPr>
          <w:rFonts w:cs="Arial"/>
          <w:b/>
        </w:rPr>
      </w:pPr>
      <w:r>
        <w:rPr>
          <w:rFonts w:cs="Arial"/>
          <w:b/>
        </w:rPr>
        <w:t>Family Responsibilit</w:t>
      </w:r>
      <w:r w:rsidR="00DA563B">
        <w:rPr>
          <w:rFonts w:cs="Arial"/>
          <w:b/>
        </w:rPr>
        <w:t>ies</w:t>
      </w:r>
      <w:r>
        <w:rPr>
          <w:rFonts w:cs="Arial"/>
          <w:b/>
        </w:rPr>
        <w:t xml:space="preserve"> Board</w:t>
      </w:r>
    </w:p>
    <w:p w14:paraId="4B085F15" w14:textId="105F8F9A" w:rsidR="003C5E17" w:rsidRPr="007136E7" w:rsidRDefault="007136E7" w:rsidP="003C5E17">
      <w:pPr>
        <w:ind w:left="-142" w:right="-425"/>
        <w:jc w:val="both"/>
        <w:rPr>
          <w:rFonts w:cs="Arial"/>
        </w:rPr>
      </w:pPr>
      <w:r>
        <w:rPr>
          <w:rFonts w:cs="Arial"/>
        </w:rPr>
        <w:t>The 42</w:t>
      </w:r>
      <w:r w:rsidRPr="00D2667C">
        <w:rPr>
          <w:rFonts w:cs="Arial"/>
        </w:rPr>
        <w:t>nd</w:t>
      </w:r>
      <w:r>
        <w:rPr>
          <w:rFonts w:cs="Arial"/>
        </w:rPr>
        <w:t xml:space="preserve"> meeting of the </w:t>
      </w:r>
      <w:r w:rsidRPr="007136E7">
        <w:rPr>
          <w:rFonts w:cs="Arial"/>
        </w:rPr>
        <w:t>F</w:t>
      </w:r>
      <w:r>
        <w:rPr>
          <w:rFonts w:cs="Arial"/>
        </w:rPr>
        <w:t xml:space="preserve">amily </w:t>
      </w:r>
      <w:r w:rsidRPr="007136E7">
        <w:rPr>
          <w:rFonts w:cs="Arial"/>
        </w:rPr>
        <w:t>R</w:t>
      </w:r>
      <w:r>
        <w:rPr>
          <w:rFonts w:cs="Arial"/>
        </w:rPr>
        <w:t>esponsibilities</w:t>
      </w:r>
      <w:r w:rsidRPr="007136E7">
        <w:rPr>
          <w:rFonts w:cs="Arial"/>
        </w:rPr>
        <w:t xml:space="preserve"> Board was held this quarter on </w:t>
      </w:r>
      <w:r>
        <w:rPr>
          <w:rFonts w:cs="Arial"/>
        </w:rPr>
        <w:t>4</w:t>
      </w:r>
      <w:r w:rsidRPr="007136E7">
        <w:rPr>
          <w:rFonts w:cs="Arial"/>
        </w:rPr>
        <w:t xml:space="preserve"> May 20</w:t>
      </w:r>
      <w:r>
        <w:rPr>
          <w:rFonts w:cs="Arial"/>
        </w:rPr>
        <w:t>2</w:t>
      </w:r>
      <w:r w:rsidRPr="007136E7">
        <w:rPr>
          <w:rFonts w:cs="Arial"/>
        </w:rPr>
        <w:t xml:space="preserve">1. Consideration was given to </w:t>
      </w:r>
      <w:r>
        <w:rPr>
          <w:rFonts w:cs="Arial"/>
        </w:rPr>
        <w:t>a r</w:t>
      </w:r>
      <w:r w:rsidRPr="007136E7">
        <w:rPr>
          <w:rFonts w:cs="Arial"/>
        </w:rPr>
        <w:t>eport of Commissioner’s concerns as to the orderly functioning of the Commission on a continuing entity basis</w:t>
      </w:r>
      <w:r w:rsidR="00D2667C">
        <w:rPr>
          <w:rFonts w:cs="Arial"/>
        </w:rPr>
        <w:t xml:space="preserve"> </w:t>
      </w:r>
      <w:r w:rsidR="00D2667C" w:rsidRPr="00D2667C">
        <w:rPr>
          <w:rFonts w:cs="Arial"/>
        </w:rPr>
        <w:t>progressing into the 2021-22 financial year</w:t>
      </w:r>
      <w:r w:rsidR="005423CF">
        <w:rPr>
          <w:rFonts w:cs="Arial"/>
        </w:rPr>
        <w:t>,</w:t>
      </w:r>
      <w:r w:rsidR="00EA5DF7">
        <w:rPr>
          <w:rFonts w:cs="Arial"/>
        </w:rPr>
        <w:t xml:space="preserve"> </w:t>
      </w:r>
      <w:r w:rsidR="005423CF">
        <w:rPr>
          <w:rFonts w:cs="Arial"/>
        </w:rPr>
        <w:t xml:space="preserve">in </w:t>
      </w:r>
      <w:r w:rsidR="00EA5DF7">
        <w:rPr>
          <w:rFonts w:cs="Arial"/>
        </w:rPr>
        <w:t xml:space="preserve">particular seeking advice </w:t>
      </w:r>
      <w:r w:rsidR="005423CF">
        <w:rPr>
          <w:rFonts w:cs="Arial"/>
        </w:rPr>
        <w:t xml:space="preserve">on future funding commitments so that </w:t>
      </w:r>
      <w:r w:rsidR="00EA5DF7" w:rsidRPr="00EA5DF7">
        <w:rPr>
          <w:rFonts w:cs="Arial"/>
        </w:rPr>
        <w:t>contractual obligations arising prior to 30 June 2021 c</w:t>
      </w:r>
      <w:r w:rsidR="00EA5DF7">
        <w:rPr>
          <w:rFonts w:cs="Arial"/>
        </w:rPr>
        <w:t>ould</w:t>
      </w:r>
      <w:r w:rsidR="00EA5DF7" w:rsidRPr="00EA5DF7">
        <w:rPr>
          <w:rFonts w:cs="Arial"/>
        </w:rPr>
        <w:t xml:space="preserve"> be negotiated and performed</w:t>
      </w:r>
      <w:r w:rsidR="005423CF">
        <w:rPr>
          <w:rFonts w:cs="Arial"/>
        </w:rPr>
        <w:t xml:space="preserve">. </w:t>
      </w:r>
      <w:r w:rsidR="00407A9D" w:rsidRPr="00407A9D">
        <w:rPr>
          <w:rFonts w:cs="Arial"/>
        </w:rPr>
        <w:t>Each year the responsible person (the FRC Commissioner) is required to undertake an assessment as to whether it is appropriate to prepare the financial statements on a going concern basis.</w:t>
      </w:r>
      <w:r w:rsidR="00407A9D">
        <w:rPr>
          <w:rFonts w:cs="Arial"/>
        </w:rPr>
        <w:t xml:space="preserve"> </w:t>
      </w:r>
      <w:r w:rsidR="00407A9D" w:rsidRPr="00407A9D">
        <w:rPr>
          <w:rFonts w:cs="Arial"/>
        </w:rPr>
        <w:t xml:space="preserve">A </w:t>
      </w:r>
      <w:r w:rsidR="00407A9D" w:rsidRPr="00407A9D">
        <w:rPr>
          <w:rFonts w:cs="Arial"/>
          <w:b/>
          <w:bCs/>
          <w:i/>
          <w:iCs/>
        </w:rPr>
        <w:t>going concern basis</w:t>
      </w:r>
      <w:r w:rsidR="00407A9D" w:rsidRPr="00407A9D">
        <w:rPr>
          <w:rFonts w:cs="Arial"/>
        </w:rPr>
        <w:t xml:space="preserve"> requires the responsible person to contemplate the continuity of a significant portion of normal business activities and the realisation of assets and settlement of liabilities in the normal course of business for a minimum of 12 months from date of signing of the financial statements (which usually occurs in August of each year for the preceding financial year ending in June).</w:t>
      </w:r>
      <w:r w:rsidR="00407A9D">
        <w:rPr>
          <w:rFonts w:cs="Arial"/>
        </w:rPr>
        <w:t xml:space="preserve"> </w:t>
      </w:r>
      <w:r w:rsidR="005423CF">
        <w:rPr>
          <w:rFonts w:cs="Arial"/>
        </w:rPr>
        <w:t>The Commission was advised by the Chair of the FR Board</w:t>
      </w:r>
      <w:r w:rsidR="004F795D">
        <w:rPr>
          <w:rFonts w:cs="Arial"/>
        </w:rPr>
        <w:t>, Dr Chris Sarra,</w:t>
      </w:r>
      <w:r w:rsidR="005423CF">
        <w:rPr>
          <w:rFonts w:cs="Arial"/>
        </w:rPr>
        <w:t xml:space="preserve"> that the Queensland and Australian Governments were negotiating the terms of the FRC funding Memorandum of Understanding, and that the Queensland Government was likely to commit to funding to mid-2022, during which time there would be a commitment to review the FRC. </w:t>
      </w:r>
      <w:r w:rsidR="00A7304C">
        <w:rPr>
          <w:rFonts w:cs="Arial"/>
        </w:rPr>
        <w:t xml:space="preserve">Further, </w:t>
      </w:r>
      <w:r w:rsidR="00407A9D">
        <w:rPr>
          <w:rFonts w:cs="Arial"/>
        </w:rPr>
        <w:t xml:space="preserve">DSDSATSIP advised that in the </w:t>
      </w:r>
      <w:r w:rsidR="00F47D5C">
        <w:rPr>
          <w:rFonts w:cs="Arial"/>
        </w:rPr>
        <w:t xml:space="preserve">absence of an agreed FRC funding term, they would progress a 12-month appointment process for the FRC Commissioner, Deputy Commissioner and Local Commissioners. </w:t>
      </w:r>
      <w:r w:rsidR="00A7304C">
        <w:rPr>
          <w:rFonts w:cs="Arial"/>
        </w:rPr>
        <w:t xml:space="preserve">The FRC was advised that </w:t>
      </w:r>
      <w:r w:rsidR="004F795D">
        <w:rPr>
          <w:rFonts w:cs="Arial"/>
        </w:rPr>
        <w:t xml:space="preserve">nominations submitted for </w:t>
      </w:r>
      <w:r w:rsidR="00F47D5C">
        <w:rPr>
          <w:rFonts w:cs="Arial"/>
        </w:rPr>
        <w:t xml:space="preserve">additional Local Commissioners </w:t>
      </w:r>
      <w:r w:rsidR="004F795D">
        <w:rPr>
          <w:rFonts w:cs="Arial"/>
        </w:rPr>
        <w:t xml:space="preserve">would not be considered at this </w:t>
      </w:r>
      <w:proofErr w:type="gramStart"/>
      <w:r w:rsidR="004F795D">
        <w:rPr>
          <w:rFonts w:cs="Arial"/>
        </w:rPr>
        <w:t>time, but</w:t>
      </w:r>
      <w:proofErr w:type="gramEnd"/>
      <w:r w:rsidR="004F795D">
        <w:rPr>
          <w:rFonts w:cs="Arial"/>
        </w:rPr>
        <w:t xml:space="preserve"> </w:t>
      </w:r>
      <w:r w:rsidR="00F47D5C">
        <w:rPr>
          <w:rFonts w:cs="Arial"/>
        </w:rPr>
        <w:t>may be considered in the first quarter of the new FRC funding term.</w:t>
      </w:r>
    </w:p>
    <w:p w14:paraId="14677469" w14:textId="6E2832E9" w:rsidR="00BE552D" w:rsidRDefault="00BE552D" w:rsidP="00370A5C">
      <w:pPr>
        <w:ind w:left="-142" w:right="-425"/>
        <w:jc w:val="both"/>
        <w:rPr>
          <w:rFonts w:cs="Arial"/>
        </w:rPr>
      </w:pPr>
    </w:p>
    <w:p w14:paraId="369C4FC3" w14:textId="2BEBE972" w:rsidR="00370A5C" w:rsidRPr="00370A5C" w:rsidRDefault="00370A5C" w:rsidP="00370A5C">
      <w:pPr>
        <w:ind w:left="-142" w:right="-425"/>
        <w:jc w:val="both"/>
        <w:rPr>
          <w:rFonts w:cs="Arial"/>
          <w:b/>
        </w:rPr>
      </w:pPr>
      <w:r w:rsidRPr="00370A5C">
        <w:rPr>
          <w:rFonts w:cs="Arial"/>
          <w:b/>
        </w:rPr>
        <w:t>Local Commissioner Development Week</w:t>
      </w:r>
    </w:p>
    <w:p w14:paraId="25ACB2CD" w14:textId="3796359A" w:rsidR="00370A5C" w:rsidRDefault="00370A5C" w:rsidP="00370A5C">
      <w:pPr>
        <w:ind w:left="-142" w:right="-425"/>
        <w:jc w:val="both"/>
        <w:rPr>
          <w:rFonts w:cs="Arial"/>
        </w:rPr>
      </w:pPr>
      <w:r w:rsidRPr="00370A5C">
        <w:rPr>
          <w:rFonts w:cs="Arial"/>
        </w:rPr>
        <w:t xml:space="preserve">The Commission is committed to providing professional development to the Local Commissioners as required by the FRC Act under section 22 (Commissioner’s functions) and section 35 (Registrar’s functions). A Local Commissioner Development Week was conducted </w:t>
      </w:r>
      <w:r w:rsidR="006C17AE">
        <w:rPr>
          <w:rFonts w:cs="Arial"/>
        </w:rPr>
        <w:t>during the week commencing</w:t>
      </w:r>
      <w:r w:rsidRPr="00370A5C">
        <w:rPr>
          <w:rFonts w:cs="Arial"/>
        </w:rPr>
        <w:t xml:space="preserve"> 21 June 2021. Local Commissioners from each community travelled to Cairns and participated in:</w:t>
      </w:r>
    </w:p>
    <w:p w14:paraId="32A5FC4C" w14:textId="77777777" w:rsidR="00C2382C" w:rsidRPr="00370A5C" w:rsidRDefault="00C2382C" w:rsidP="00370A5C">
      <w:pPr>
        <w:ind w:left="-142" w:right="-425"/>
        <w:jc w:val="both"/>
        <w:rPr>
          <w:rFonts w:cs="Arial"/>
        </w:rPr>
      </w:pPr>
    </w:p>
    <w:p w14:paraId="6D541678" w14:textId="77777777" w:rsidR="00370A5C" w:rsidRPr="00370A5C" w:rsidRDefault="00370A5C" w:rsidP="00EE170D">
      <w:pPr>
        <w:numPr>
          <w:ilvl w:val="0"/>
          <w:numId w:val="44"/>
        </w:numPr>
        <w:ind w:left="284" w:right="-425"/>
        <w:jc w:val="both"/>
        <w:rPr>
          <w:rFonts w:cs="Arial"/>
          <w:lang w:val="en-GB"/>
        </w:rPr>
      </w:pPr>
      <w:r w:rsidRPr="00370A5C">
        <w:rPr>
          <w:rFonts w:cs="Arial"/>
          <w:lang w:val="en-GB"/>
        </w:rPr>
        <w:t>emotional intelligence</w:t>
      </w:r>
      <w:r w:rsidRPr="00DF28B1">
        <w:rPr>
          <w:rFonts w:cs="Arial"/>
          <w:lang w:val="en-GB"/>
        </w:rPr>
        <w:t xml:space="preserve"> </w:t>
      </w:r>
      <w:r w:rsidRPr="00370A5C">
        <w:rPr>
          <w:rFonts w:cs="Arial"/>
          <w:lang w:val="en-GB"/>
        </w:rPr>
        <w:t xml:space="preserve">training provided by Megan Bayliss of The Junk Wave – how to identify and regulate one's emotions and understand the emotions of others in order to build relationships, reduce team stress, defuse conflict and improve job </w:t>
      </w:r>
      <w:proofErr w:type="gramStart"/>
      <w:r w:rsidRPr="00370A5C">
        <w:rPr>
          <w:rFonts w:cs="Arial"/>
          <w:lang w:val="en-GB"/>
        </w:rPr>
        <w:t>satisfaction;</w:t>
      </w:r>
      <w:proofErr w:type="gramEnd"/>
    </w:p>
    <w:p w14:paraId="4DEEFC0B" w14:textId="77777777" w:rsidR="00370A5C" w:rsidRPr="00370A5C" w:rsidRDefault="00370A5C" w:rsidP="00EE170D">
      <w:pPr>
        <w:numPr>
          <w:ilvl w:val="0"/>
          <w:numId w:val="44"/>
        </w:numPr>
        <w:ind w:left="284" w:right="-425"/>
        <w:jc w:val="both"/>
        <w:rPr>
          <w:rFonts w:cs="Arial"/>
          <w:lang w:val="en-GB"/>
        </w:rPr>
      </w:pPr>
      <w:r w:rsidRPr="00370A5C">
        <w:rPr>
          <w:rFonts w:cs="Arial"/>
          <w:lang w:val="en-GB"/>
        </w:rPr>
        <w:t xml:space="preserve">fraud and corruption training provided by the Crime and Corruption Commission – how to make safe and appropriate decisions in a complex social and cultural environment where lawful decisions are made by the Commissioners under a ‘special measure’ involving the anti-social behaviour of community members; and </w:t>
      </w:r>
    </w:p>
    <w:p w14:paraId="644814F9" w14:textId="29B6FB5E" w:rsidR="00370A5C" w:rsidRDefault="00370A5C" w:rsidP="00EE170D">
      <w:pPr>
        <w:numPr>
          <w:ilvl w:val="0"/>
          <w:numId w:val="44"/>
        </w:numPr>
        <w:ind w:left="284" w:right="-425"/>
        <w:jc w:val="both"/>
        <w:rPr>
          <w:rFonts w:cs="Arial"/>
          <w:lang w:val="en-GB"/>
        </w:rPr>
      </w:pPr>
      <w:r w:rsidRPr="00370A5C">
        <w:rPr>
          <w:rFonts w:cs="Arial"/>
          <w:lang w:val="en-GB"/>
        </w:rPr>
        <w:t>domestic and family violence certificate training provided by the Cairns Regional Domestic Violence Service – how to understand what constitutes domestic violence, and how to understand and conference victims and perpetrators.</w:t>
      </w:r>
    </w:p>
    <w:p w14:paraId="5FBACE0D" w14:textId="77777777" w:rsidR="00C2382C" w:rsidRPr="00370A5C" w:rsidRDefault="00C2382C" w:rsidP="00C2382C">
      <w:pPr>
        <w:ind w:left="780" w:right="-425"/>
        <w:jc w:val="both"/>
        <w:rPr>
          <w:rFonts w:cs="Arial"/>
          <w:lang w:val="en-GB"/>
        </w:rPr>
      </w:pPr>
    </w:p>
    <w:p w14:paraId="3C5992A3" w14:textId="501870AA" w:rsidR="00370A5C" w:rsidRDefault="00370A5C" w:rsidP="00370A5C">
      <w:pPr>
        <w:ind w:left="-142" w:right="-425"/>
        <w:jc w:val="both"/>
        <w:rPr>
          <w:rFonts w:cs="Arial"/>
        </w:rPr>
      </w:pPr>
      <w:r w:rsidRPr="00370A5C">
        <w:rPr>
          <w:rFonts w:cs="Arial"/>
        </w:rPr>
        <w:t>The Commissioners were very pleased to attend this year as the advent of COVID-19 caused the cancellation of the 2019-20 Local Commissioner Development Week.</w:t>
      </w:r>
    </w:p>
    <w:p w14:paraId="54A71248" w14:textId="77777777" w:rsidR="00C2382C" w:rsidRPr="00370A5C" w:rsidRDefault="00C2382C" w:rsidP="00370A5C">
      <w:pPr>
        <w:ind w:left="-142" w:right="-425"/>
        <w:jc w:val="both"/>
        <w:rPr>
          <w:rFonts w:cs="Arial"/>
        </w:rPr>
      </w:pPr>
    </w:p>
    <w:p w14:paraId="535B4C8F" w14:textId="0A36736F" w:rsidR="00370A5C" w:rsidRDefault="00370A5C" w:rsidP="00370A5C">
      <w:pPr>
        <w:ind w:left="-142" w:right="-425"/>
        <w:jc w:val="both"/>
        <w:rPr>
          <w:rFonts w:cs="Arial"/>
        </w:rPr>
      </w:pPr>
      <w:r w:rsidRPr="00370A5C">
        <w:rPr>
          <w:rFonts w:cs="Arial"/>
        </w:rPr>
        <w:lastRenderedPageBreak/>
        <w:t xml:space="preserve">Presentations were also delivered to the delegates </w:t>
      </w:r>
      <w:r w:rsidR="00885076">
        <w:rPr>
          <w:rFonts w:cs="Arial"/>
        </w:rPr>
        <w:t>by</w:t>
      </w:r>
      <w:r w:rsidRPr="00370A5C">
        <w:rPr>
          <w:rFonts w:cs="Arial"/>
        </w:rPr>
        <w:t xml:space="preserve"> Apunipima Cape York Health Council on referral options for FRC clients</w:t>
      </w:r>
      <w:r w:rsidR="00885076">
        <w:rPr>
          <w:rFonts w:cs="Arial"/>
        </w:rPr>
        <w:t>,</w:t>
      </w:r>
      <w:r w:rsidRPr="00370A5C">
        <w:rPr>
          <w:rFonts w:cs="Arial"/>
        </w:rPr>
        <w:t xml:space="preserve"> and </w:t>
      </w:r>
      <w:r w:rsidR="00885076">
        <w:rPr>
          <w:rFonts w:cs="Arial"/>
        </w:rPr>
        <w:t xml:space="preserve">by </w:t>
      </w:r>
      <w:r w:rsidRPr="00370A5C">
        <w:rPr>
          <w:rFonts w:cs="Arial"/>
        </w:rPr>
        <w:t>the Cape York Institute</w:t>
      </w:r>
      <w:r w:rsidR="00FE0B75">
        <w:rPr>
          <w:rFonts w:cs="Arial"/>
        </w:rPr>
        <w:t>. The Local Commissioners had an opportunity to discuss their concerns about</w:t>
      </w:r>
      <w:r w:rsidR="00A11F8A">
        <w:rPr>
          <w:rFonts w:cs="Arial"/>
        </w:rPr>
        <w:t xml:space="preserve"> the social impacts of </w:t>
      </w:r>
      <w:r w:rsidRPr="00370A5C">
        <w:rPr>
          <w:rFonts w:cs="Arial"/>
        </w:rPr>
        <w:t>long-term unemployment, under employment and a welfare mentality, and</w:t>
      </w:r>
      <w:r w:rsidR="00A11F8A">
        <w:rPr>
          <w:rFonts w:cs="Arial"/>
        </w:rPr>
        <w:t xml:space="preserve"> the need</w:t>
      </w:r>
      <w:r w:rsidRPr="00370A5C">
        <w:rPr>
          <w:rFonts w:cs="Arial"/>
        </w:rPr>
        <w:t xml:space="preserve"> to create school and welfare</w:t>
      </w:r>
      <w:r w:rsidR="00804D1C">
        <w:rPr>
          <w:rFonts w:cs="Arial"/>
        </w:rPr>
        <w:t>-</w:t>
      </w:r>
      <w:r w:rsidRPr="00370A5C">
        <w:rPr>
          <w:rFonts w:cs="Arial"/>
        </w:rPr>
        <w:t>to</w:t>
      </w:r>
      <w:r w:rsidR="00804D1C">
        <w:rPr>
          <w:rFonts w:cs="Arial"/>
        </w:rPr>
        <w:t>-</w:t>
      </w:r>
      <w:r w:rsidRPr="00370A5C">
        <w:rPr>
          <w:rFonts w:cs="Arial"/>
        </w:rPr>
        <w:t>work solutions</w:t>
      </w:r>
      <w:r w:rsidR="00A11F8A">
        <w:rPr>
          <w:rFonts w:cs="Arial"/>
        </w:rPr>
        <w:t xml:space="preserve"> for young people</w:t>
      </w:r>
      <w:r w:rsidRPr="00370A5C">
        <w:rPr>
          <w:rFonts w:cs="Arial"/>
        </w:rPr>
        <w:t>. The week concluded with a round table discussion facilitated by Commissioner Willia</w:t>
      </w:r>
      <w:r w:rsidR="009C5B1A">
        <w:rPr>
          <w:rFonts w:cs="Arial"/>
        </w:rPr>
        <w:t>m</w:t>
      </w:r>
      <w:r w:rsidRPr="00370A5C">
        <w:rPr>
          <w:rFonts w:cs="Arial"/>
        </w:rPr>
        <w:t>s to assess available data, identify achievements and set strategic priorities to best position the FRC for the future.</w:t>
      </w:r>
    </w:p>
    <w:p w14:paraId="36E04279" w14:textId="5462E47D" w:rsidR="003C5E17" w:rsidRDefault="003C5E17" w:rsidP="00370A5C">
      <w:pPr>
        <w:ind w:left="-142" w:right="-425"/>
        <w:jc w:val="both"/>
        <w:rPr>
          <w:rFonts w:cs="Arial"/>
        </w:rPr>
      </w:pPr>
    </w:p>
    <w:p w14:paraId="23B3294A" w14:textId="1175B183" w:rsidR="003C5E17" w:rsidRPr="003C5E17" w:rsidRDefault="003C5E17" w:rsidP="003C5E17">
      <w:pPr>
        <w:ind w:left="-142" w:right="-425"/>
        <w:jc w:val="both"/>
        <w:rPr>
          <w:rFonts w:cs="Arial"/>
          <w:b/>
          <w:bCs/>
          <w:lang w:val="en-GB"/>
        </w:rPr>
      </w:pPr>
      <w:r w:rsidRPr="003C5E17">
        <w:rPr>
          <w:rFonts w:cs="Arial"/>
          <w:b/>
          <w:bCs/>
          <w:lang w:val="en-GB"/>
        </w:rPr>
        <w:t>Re</w:t>
      </w:r>
      <w:r w:rsidR="00A16A11">
        <w:rPr>
          <w:rFonts w:cs="Arial"/>
          <w:b/>
          <w:bCs/>
          <w:lang w:val="en-GB"/>
        </w:rPr>
        <w:t>a</w:t>
      </w:r>
      <w:r w:rsidRPr="003C5E17">
        <w:rPr>
          <w:rFonts w:cs="Arial"/>
          <w:b/>
          <w:bCs/>
          <w:lang w:val="en-GB"/>
        </w:rPr>
        <w:t>ppointment of Commissioners</w:t>
      </w:r>
    </w:p>
    <w:p w14:paraId="4568948A" w14:textId="6BD60DAD" w:rsidR="00D458CB" w:rsidRDefault="003C5E17" w:rsidP="003C5E17">
      <w:pPr>
        <w:ind w:left="-142" w:right="-425"/>
        <w:jc w:val="both"/>
        <w:rPr>
          <w:rFonts w:cs="Arial"/>
          <w:lang w:val="en-GB"/>
        </w:rPr>
      </w:pPr>
      <w:r>
        <w:rPr>
          <w:rFonts w:cs="Arial"/>
          <w:lang w:val="en-GB"/>
        </w:rPr>
        <w:t xml:space="preserve">On 30 June </w:t>
      </w:r>
      <w:r w:rsidR="00D458CB">
        <w:rPr>
          <w:rFonts w:cs="Arial"/>
          <w:lang w:val="en-GB"/>
        </w:rPr>
        <w:t>the Commission</w:t>
      </w:r>
      <w:r>
        <w:rPr>
          <w:rFonts w:cs="Arial"/>
          <w:lang w:val="en-GB"/>
        </w:rPr>
        <w:t xml:space="preserve"> was advised by DSDSATSIP </w:t>
      </w:r>
      <w:r w:rsidRPr="003C5E17">
        <w:rPr>
          <w:rFonts w:cs="Arial"/>
          <w:lang w:val="en-GB"/>
        </w:rPr>
        <w:t>that the Governor in Council ha</w:t>
      </w:r>
      <w:r>
        <w:rPr>
          <w:rFonts w:cs="Arial"/>
          <w:lang w:val="en-GB"/>
        </w:rPr>
        <w:t>d</w:t>
      </w:r>
      <w:r w:rsidRPr="003C5E17">
        <w:rPr>
          <w:rFonts w:cs="Arial"/>
          <w:lang w:val="en-GB"/>
        </w:rPr>
        <w:t xml:space="preserve"> approved </w:t>
      </w:r>
      <w:r>
        <w:rPr>
          <w:rFonts w:cs="Arial"/>
          <w:lang w:val="en-GB"/>
        </w:rPr>
        <w:t xml:space="preserve">the </w:t>
      </w:r>
      <w:r w:rsidRPr="003C5E17">
        <w:rPr>
          <w:rFonts w:cs="Arial"/>
          <w:lang w:val="en-GB"/>
        </w:rPr>
        <w:t xml:space="preserve">reappointment </w:t>
      </w:r>
      <w:r>
        <w:rPr>
          <w:rFonts w:cs="Arial"/>
          <w:lang w:val="en-GB"/>
        </w:rPr>
        <w:t xml:space="preserve">of </w:t>
      </w:r>
      <w:r w:rsidRPr="003C5E17">
        <w:rPr>
          <w:rFonts w:cs="Arial"/>
          <w:lang w:val="en-GB"/>
        </w:rPr>
        <w:t xml:space="preserve">Commissioner </w:t>
      </w:r>
      <w:r>
        <w:rPr>
          <w:rFonts w:cs="Arial"/>
          <w:lang w:val="en-GB"/>
        </w:rPr>
        <w:t xml:space="preserve">Williams as the FRC Commissioner </w:t>
      </w:r>
      <w:r w:rsidRPr="003C5E17">
        <w:rPr>
          <w:rFonts w:cs="Arial"/>
          <w:lang w:val="en-GB"/>
        </w:rPr>
        <w:t xml:space="preserve">for </w:t>
      </w:r>
      <w:r>
        <w:rPr>
          <w:rFonts w:cs="Arial"/>
          <w:lang w:val="en-GB"/>
        </w:rPr>
        <w:t>the</w:t>
      </w:r>
      <w:r w:rsidRPr="003C5E17">
        <w:rPr>
          <w:rFonts w:cs="Arial"/>
          <w:lang w:val="en-GB"/>
        </w:rPr>
        <w:t xml:space="preserve"> period 1 July 2021 to 30 June 2022.</w:t>
      </w:r>
      <w:r>
        <w:rPr>
          <w:rFonts w:cs="Arial"/>
          <w:lang w:val="en-GB"/>
        </w:rPr>
        <w:t xml:space="preserve"> Further, t</w:t>
      </w:r>
      <w:r w:rsidRPr="003C5E17">
        <w:rPr>
          <w:rFonts w:cs="Arial"/>
          <w:lang w:val="en-GB"/>
        </w:rPr>
        <w:t xml:space="preserve">o support </w:t>
      </w:r>
      <w:r>
        <w:rPr>
          <w:rFonts w:cs="Arial"/>
          <w:lang w:val="en-GB"/>
        </w:rPr>
        <w:t xml:space="preserve">the Commissioner in her </w:t>
      </w:r>
      <w:r w:rsidRPr="003C5E17">
        <w:rPr>
          <w:rFonts w:cs="Arial"/>
          <w:lang w:val="en-GB"/>
        </w:rPr>
        <w:t>role, Mr Rodney Curtin ha</w:t>
      </w:r>
      <w:r>
        <w:rPr>
          <w:rFonts w:cs="Arial"/>
          <w:lang w:val="en-GB"/>
        </w:rPr>
        <w:t>d</w:t>
      </w:r>
      <w:r w:rsidRPr="003C5E17">
        <w:rPr>
          <w:rFonts w:cs="Arial"/>
          <w:lang w:val="en-GB"/>
        </w:rPr>
        <w:t xml:space="preserve"> been </w:t>
      </w:r>
      <w:r w:rsidR="000A3D78">
        <w:rPr>
          <w:rFonts w:cs="Arial"/>
          <w:lang w:val="en-GB"/>
        </w:rPr>
        <w:t>re</w:t>
      </w:r>
      <w:r w:rsidRPr="003C5E17">
        <w:rPr>
          <w:rFonts w:cs="Arial"/>
          <w:lang w:val="en-GB"/>
        </w:rPr>
        <w:t>appointed as Deputy Commissioner, as well as 26 Local Commissioners for the period</w:t>
      </w:r>
      <w:r w:rsidR="00D458CB">
        <w:rPr>
          <w:rFonts w:cs="Arial"/>
          <w:lang w:val="en-GB"/>
        </w:rPr>
        <w:t xml:space="preserve"> 1 July 2021 to 30 June 2022</w:t>
      </w:r>
      <w:r w:rsidR="00EA5BEC">
        <w:rPr>
          <w:rFonts w:cs="Arial"/>
          <w:lang w:val="en-GB"/>
        </w:rPr>
        <w:t xml:space="preserve"> a</w:t>
      </w:r>
      <w:r w:rsidR="00E83D2B">
        <w:rPr>
          <w:rFonts w:cs="Arial"/>
          <w:lang w:val="en-GB"/>
        </w:rPr>
        <w:t>s</w:t>
      </w:r>
      <w:r w:rsidR="00EA5BEC">
        <w:rPr>
          <w:rFonts w:cs="Arial"/>
          <w:lang w:val="en-GB"/>
        </w:rPr>
        <w:t xml:space="preserve"> follows:</w:t>
      </w:r>
    </w:p>
    <w:p w14:paraId="2D7F8E79" w14:textId="25DB95ED" w:rsidR="003C5E17" w:rsidRDefault="003C5E17" w:rsidP="003C5E17">
      <w:pPr>
        <w:ind w:left="-142" w:right="-425"/>
        <w:jc w:val="both"/>
        <w:rPr>
          <w:rFonts w:cs="Arial"/>
          <w:lang w:val="en-GB"/>
        </w:rPr>
      </w:pPr>
    </w:p>
    <w:p w14:paraId="55CB00EC" w14:textId="1684C26C" w:rsidR="00D458CB" w:rsidRDefault="003C5E17" w:rsidP="0012076E">
      <w:pPr>
        <w:ind w:left="2127" w:right="-425" w:hanging="2269"/>
        <w:jc w:val="both"/>
        <w:rPr>
          <w:rFonts w:cs="Arial"/>
          <w:lang w:val="en-US"/>
        </w:rPr>
      </w:pPr>
      <w:r>
        <w:rPr>
          <w:rFonts w:cs="Arial"/>
          <w:lang w:val="en-GB"/>
        </w:rPr>
        <w:t>Aurukun</w:t>
      </w:r>
      <w:r w:rsidR="0012076E">
        <w:rPr>
          <w:rFonts w:cs="Arial"/>
          <w:lang w:val="en-GB"/>
        </w:rPr>
        <w:tab/>
      </w:r>
      <w:r w:rsidR="0012076E">
        <w:rPr>
          <w:rFonts w:cs="Arial"/>
          <w:lang w:val="en-GB"/>
        </w:rPr>
        <w:tab/>
      </w:r>
      <w:r w:rsidRPr="003C5E17">
        <w:rPr>
          <w:rFonts w:cs="Arial"/>
          <w:lang w:val="en-US"/>
        </w:rPr>
        <w:t>Mr Edgar Kerindun, Ms Vera Koomeeta, Ms Doris Poonkamelya, Ms Dorothy Pootchemunka, Ms Keri Tamwoy</w:t>
      </w:r>
      <w:r w:rsidR="00D458CB">
        <w:rPr>
          <w:rFonts w:cs="Arial"/>
          <w:lang w:val="en-US"/>
        </w:rPr>
        <w:t xml:space="preserve"> and</w:t>
      </w:r>
      <w:r w:rsidRPr="003C5E17">
        <w:rPr>
          <w:rFonts w:cs="Arial"/>
          <w:lang w:val="en-US"/>
        </w:rPr>
        <w:t xml:space="preserve"> Ms Ada Woolla</w:t>
      </w:r>
    </w:p>
    <w:p w14:paraId="7A96FEC9" w14:textId="113B234F" w:rsidR="00D458CB" w:rsidRDefault="00D458CB" w:rsidP="0012076E">
      <w:pPr>
        <w:ind w:left="2127" w:right="-425" w:hanging="2269"/>
        <w:jc w:val="both"/>
        <w:rPr>
          <w:rFonts w:cs="Arial"/>
          <w:lang w:val="en-US"/>
        </w:rPr>
      </w:pPr>
      <w:r>
        <w:rPr>
          <w:rFonts w:cs="Arial"/>
          <w:lang w:val="en-US"/>
        </w:rPr>
        <w:t>Coen</w:t>
      </w:r>
      <w:r w:rsidR="0012076E">
        <w:rPr>
          <w:rFonts w:cs="Arial"/>
          <w:lang w:val="en-US"/>
        </w:rPr>
        <w:tab/>
      </w:r>
      <w:r w:rsidR="0012076E">
        <w:rPr>
          <w:rFonts w:cs="Arial"/>
          <w:lang w:val="en-US"/>
        </w:rPr>
        <w:tab/>
      </w:r>
      <w:r w:rsidR="003C5E17" w:rsidRPr="003C5E17">
        <w:rPr>
          <w:rFonts w:cs="Arial"/>
          <w:lang w:val="en-US"/>
        </w:rPr>
        <w:t>Ms Elaine Liddy, Ms Maureen Liddy, Ms Alison Liddy</w:t>
      </w:r>
      <w:r w:rsidR="001E64D4">
        <w:rPr>
          <w:rFonts w:cs="Arial"/>
          <w:lang w:val="en-US"/>
        </w:rPr>
        <w:t xml:space="preserve"> and</w:t>
      </w:r>
      <w:r w:rsidR="003C5E17" w:rsidRPr="003C5E17">
        <w:rPr>
          <w:rFonts w:cs="Arial"/>
          <w:lang w:val="en-US"/>
        </w:rPr>
        <w:t xml:space="preserve"> Ms May Kepple</w:t>
      </w:r>
    </w:p>
    <w:p w14:paraId="5FFADB81" w14:textId="35729DEA" w:rsidR="00D458CB" w:rsidRDefault="00D458CB" w:rsidP="0012076E">
      <w:pPr>
        <w:ind w:left="2127" w:right="-425" w:hanging="2269"/>
        <w:jc w:val="both"/>
        <w:rPr>
          <w:rFonts w:cs="Arial"/>
          <w:lang w:val="en-US"/>
        </w:rPr>
      </w:pPr>
      <w:r>
        <w:rPr>
          <w:rFonts w:cs="Arial"/>
          <w:lang w:val="en-US"/>
        </w:rPr>
        <w:t>Doomadgee</w:t>
      </w:r>
      <w:r w:rsidR="0012076E">
        <w:rPr>
          <w:rFonts w:cs="Arial"/>
          <w:lang w:val="en-US"/>
        </w:rPr>
        <w:tab/>
      </w:r>
      <w:r w:rsidR="0012076E">
        <w:rPr>
          <w:rFonts w:cs="Arial"/>
          <w:lang w:val="en-US"/>
        </w:rPr>
        <w:tab/>
      </w:r>
      <w:r w:rsidR="003C5E17" w:rsidRPr="003C5E17">
        <w:rPr>
          <w:rFonts w:cs="Arial"/>
          <w:lang w:val="en-US"/>
        </w:rPr>
        <w:t xml:space="preserve">Mr Guy Douglas, Mr Christopher Logan, Ms Eleanor Logan, </w:t>
      </w:r>
      <w:r w:rsidR="000A3D78" w:rsidRPr="003C5E17">
        <w:rPr>
          <w:rFonts w:cs="Arial"/>
          <w:lang w:val="en-US"/>
        </w:rPr>
        <w:t>Ms Elaine Cairns</w:t>
      </w:r>
      <w:r w:rsidR="000A3D78">
        <w:rPr>
          <w:rFonts w:cs="Arial"/>
          <w:lang w:val="en-US"/>
        </w:rPr>
        <w:t xml:space="preserve">, </w:t>
      </w:r>
      <w:r w:rsidR="003C5E17" w:rsidRPr="003C5E17">
        <w:rPr>
          <w:rFonts w:cs="Arial"/>
          <w:lang w:val="en-US"/>
        </w:rPr>
        <w:t>Ms Dawn Aplin, Ms Isabel Toby</w:t>
      </w:r>
      <w:r>
        <w:rPr>
          <w:rFonts w:cs="Arial"/>
          <w:lang w:val="en-US"/>
        </w:rPr>
        <w:t xml:space="preserve"> and </w:t>
      </w:r>
      <w:r w:rsidR="003C5E17" w:rsidRPr="003C5E17">
        <w:rPr>
          <w:rFonts w:cs="Arial"/>
          <w:lang w:val="en-US"/>
        </w:rPr>
        <w:t>Ms Kaylene O’Keefe</w:t>
      </w:r>
    </w:p>
    <w:p w14:paraId="2C76CD2B" w14:textId="3881A7A3" w:rsidR="00D458CB" w:rsidRDefault="00D458CB" w:rsidP="0012076E">
      <w:pPr>
        <w:ind w:left="2127" w:right="-425" w:hanging="2269"/>
        <w:jc w:val="both"/>
        <w:rPr>
          <w:rFonts w:cs="Arial"/>
          <w:lang w:val="en-US"/>
        </w:rPr>
      </w:pPr>
      <w:r>
        <w:rPr>
          <w:rFonts w:cs="Arial"/>
          <w:lang w:val="en-US"/>
        </w:rPr>
        <w:t>Hope Vale</w:t>
      </w:r>
      <w:r w:rsidR="0012076E">
        <w:rPr>
          <w:rFonts w:cs="Arial"/>
          <w:lang w:val="en-US"/>
        </w:rPr>
        <w:tab/>
      </w:r>
      <w:r w:rsidR="0012076E">
        <w:rPr>
          <w:rFonts w:cs="Arial"/>
          <w:lang w:val="en-US"/>
        </w:rPr>
        <w:tab/>
      </w:r>
      <w:r w:rsidR="003C5E17" w:rsidRPr="003C5E17">
        <w:rPr>
          <w:rFonts w:cs="Arial"/>
          <w:lang w:val="en-US"/>
        </w:rPr>
        <w:t xml:space="preserve">Ms Erica Deeral, Mr Victor Gibson, Ms Doreen Hart, Ms Cheryl Cannon, Ms Selina Kerr-Bowen, Mr Robert </w:t>
      </w:r>
      <w:proofErr w:type="gramStart"/>
      <w:r w:rsidR="003C5E17" w:rsidRPr="003C5E17">
        <w:rPr>
          <w:rFonts w:cs="Arial"/>
          <w:lang w:val="en-US"/>
        </w:rPr>
        <w:t>Gibson</w:t>
      </w:r>
      <w:proofErr w:type="gramEnd"/>
      <w:r>
        <w:rPr>
          <w:rFonts w:cs="Arial"/>
          <w:lang w:val="en-US"/>
        </w:rPr>
        <w:t xml:space="preserve"> and</w:t>
      </w:r>
      <w:r w:rsidR="003C5E17" w:rsidRPr="003C5E17">
        <w:rPr>
          <w:rFonts w:cs="Arial"/>
          <w:lang w:val="en-US"/>
        </w:rPr>
        <w:t xml:space="preserve"> Ms Priscilla Gibson</w:t>
      </w:r>
    </w:p>
    <w:p w14:paraId="18CEA898" w14:textId="799F8AEE" w:rsidR="003C5E17" w:rsidRDefault="00D458CB" w:rsidP="003C5E17">
      <w:pPr>
        <w:ind w:left="-142" w:right="-425"/>
        <w:jc w:val="both"/>
        <w:rPr>
          <w:rFonts w:cs="Arial"/>
          <w:lang w:val="en-US"/>
        </w:rPr>
      </w:pPr>
      <w:r>
        <w:rPr>
          <w:rFonts w:cs="Arial"/>
          <w:lang w:val="en-US"/>
        </w:rPr>
        <w:t>Mossman Gorge</w:t>
      </w:r>
      <w:r w:rsidR="0012076E">
        <w:rPr>
          <w:rFonts w:cs="Arial"/>
          <w:lang w:val="en-US"/>
        </w:rPr>
        <w:tab/>
      </w:r>
      <w:r w:rsidR="003C5E17" w:rsidRPr="003C5E17">
        <w:rPr>
          <w:rFonts w:cs="Arial"/>
          <w:lang w:val="en-US"/>
        </w:rPr>
        <w:t>Ms Loretta Spratt and Mr George Ross-Kelly.</w:t>
      </w:r>
    </w:p>
    <w:p w14:paraId="78A1B80E" w14:textId="6F1EEAFE" w:rsidR="00844219" w:rsidRDefault="00844219" w:rsidP="003C5E17">
      <w:pPr>
        <w:ind w:left="-142" w:right="-425"/>
        <w:jc w:val="both"/>
        <w:rPr>
          <w:rFonts w:cs="Arial"/>
          <w:lang w:val="en-US"/>
        </w:rPr>
      </w:pPr>
    </w:p>
    <w:p w14:paraId="102A007F" w14:textId="3CA99FC7" w:rsidR="00844219" w:rsidRDefault="00844219" w:rsidP="003C5E17">
      <w:pPr>
        <w:ind w:left="-142" w:right="-425"/>
        <w:jc w:val="both"/>
        <w:rPr>
          <w:rFonts w:cs="Arial"/>
          <w:lang w:val="en-US"/>
        </w:rPr>
      </w:pPr>
      <w:r>
        <w:rPr>
          <w:rFonts w:cs="Arial"/>
          <w:lang w:val="en-US"/>
        </w:rPr>
        <w:t xml:space="preserve">Additional to the reappointments of Commissioner, Deputy Commissioner and Local Commissioners, Family Responsibilities Board Members </w:t>
      </w:r>
      <w:r w:rsidR="00E83D2B">
        <w:rPr>
          <w:rFonts w:cs="Arial"/>
          <w:lang w:val="en-US"/>
        </w:rPr>
        <w:t>we</w:t>
      </w:r>
      <w:r>
        <w:rPr>
          <w:rFonts w:cs="Arial"/>
          <w:lang w:val="en-US"/>
        </w:rPr>
        <w:t>re also appointed by the Governor in Council</w:t>
      </w:r>
      <w:r w:rsidR="00E83D2B">
        <w:rPr>
          <w:rFonts w:cs="Arial"/>
          <w:lang w:val="en-US"/>
        </w:rPr>
        <w:t xml:space="preserve"> for the period</w:t>
      </w:r>
      <w:r>
        <w:rPr>
          <w:rFonts w:cs="Arial"/>
          <w:lang w:val="en-US"/>
        </w:rPr>
        <w:t xml:space="preserve"> 1 July 2021 to 30 June 2022 </w:t>
      </w:r>
      <w:r w:rsidR="00E83D2B">
        <w:rPr>
          <w:rFonts w:cs="Arial"/>
          <w:lang w:val="en-US"/>
        </w:rPr>
        <w:t>as follows</w:t>
      </w:r>
      <w:r>
        <w:rPr>
          <w:rFonts w:cs="Arial"/>
          <w:lang w:val="en-US"/>
        </w:rPr>
        <w:t>:</w:t>
      </w:r>
    </w:p>
    <w:p w14:paraId="4F3D1A01" w14:textId="761B750C" w:rsidR="00844219" w:rsidRDefault="00844219" w:rsidP="003C5E17">
      <w:pPr>
        <w:ind w:left="-142" w:right="-425"/>
        <w:jc w:val="both"/>
        <w:rPr>
          <w:rFonts w:cs="Arial"/>
          <w:lang w:val="en-US"/>
        </w:rPr>
      </w:pPr>
    </w:p>
    <w:p w14:paraId="166641A7" w14:textId="55CC58E0" w:rsidR="00844219" w:rsidRDefault="00844219" w:rsidP="003C5E17">
      <w:pPr>
        <w:ind w:left="-142" w:right="-425"/>
        <w:jc w:val="both"/>
        <w:rPr>
          <w:rFonts w:cs="Arial"/>
          <w:lang w:val="en-US"/>
        </w:rPr>
      </w:pPr>
      <w:r>
        <w:rPr>
          <w:rFonts w:cs="Arial"/>
          <w:lang w:val="en-US"/>
        </w:rPr>
        <w:t xml:space="preserve">Mr </w:t>
      </w:r>
      <w:r w:rsidR="008B719B">
        <w:rPr>
          <w:rFonts w:cs="Arial"/>
          <w:lang w:val="en-US"/>
        </w:rPr>
        <w:t>Robert (</w:t>
      </w:r>
      <w:r>
        <w:rPr>
          <w:rFonts w:cs="Arial"/>
          <w:lang w:val="en-US"/>
        </w:rPr>
        <w:t>Bob</w:t>
      </w:r>
      <w:r w:rsidR="008B719B">
        <w:rPr>
          <w:rFonts w:cs="Arial"/>
          <w:lang w:val="en-US"/>
        </w:rPr>
        <w:t>)</w:t>
      </w:r>
      <w:r>
        <w:rPr>
          <w:rFonts w:cs="Arial"/>
          <w:lang w:val="en-US"/>
        </w:rPr>
        <w:t xml:space="preserve"> Gee</w:t>
      </w:r>
      <w:r>
        <w:rPr>
          <w:rFonts w:cs="Arial"/>
          <w:lang w:val="en-US"/>
        </w:rPr>
        <w:tab/>
        <w:t>Director-General, Department of</w:t>
      </w:r>
      <w:r w:rsidR="008B719B">
        <w:rPr>
          <w:rFonts w:cs="Arial"/>
          <w:lang w:val="en-US"/>
        </w:rPr>
        <w:t xml:space="preserve"> Agriculture and Fisheries, as Chair</w:t>
      </w:r>
    </w:p>
    <w:p w14:paraId="0941C825" w14:textId="647DCD55" w:rsidR="00844219" w:rsidRDefault="00844219" w:rsidP="00CE6C7B">
      <w:pPr>
        <w:ind w:left="2127" w:right="-425" w:hanging="2269"/>
        <w:jc w:val="both"/>
        <w:rPr>
          <w:rFonts w:cs="Arial"/>
          <w:lang w:val="en-US"/>
        </w:rPr>
      </w:pPr>
      <w:r>
        <w:rPr>
          <w:rFonts w:cs="Arial"/>
          <w:lang w:val="en-US"/>
        </w:rPr>
        <w:t>Mr Ray Griggs</w:t>
      </w:r>
      <w:r>
        <w:rPr>
          <w:rFonts w:cs="Arial"/>
          <w:lang w:val="en-US"/>
        </w:rPr>
        <w:tab/>
      </w:r>
      <w:r>
        <w:rPr>
          <w:rFonts w:cs="Arial"/>
          <w:lang w:val="en-US"/>
        </w:rPr>
        <w:tab/>
        <w:t xml:space="preserve">AO, CSC, Chief Executive Officer, National </w:t>
      </w:r>
      <w:r w:rsidR="00CE6C7B">
        <w:rPr>
          <w:rFonts w:cs="Arial"/>
          <w:lang w:val="en-US"/>
        </w:rPr>
        <w:t>Indigenous Australians Agency (NIAA)</w:t>
      </w:r>
    </w:p>
    <w:p w14:paraId="796530B5" w14:textId="52637965" w:rsidR="00D42B30" w:rsidRPr="003C5E17" w:rsidRDefault="00D42B30" w:rsidP="003C5E17">
      <w:pPr>
        <w:ind w:left="-142" w:right="-425"/>
        <w:jc w:val="both"/>
        <w:rPr>
          <w:rFonts w:cs="Arial"/>
        </w:rPr>
      </w:pPr>
      <w:r>
        <w:rPr>
          <w:rFonts w:cs="Arial"/>
          <w:lang w:val="en-US"/>
        </w:rPr>
        <w:t>Mr Noel Pearson</w:t>
      </w:r>
      <w:r>
        <w:rPr>
          <w:rFonts w:cs="Arial"/>
          <w:lang w:val="en-US"/>
        </w:rPr>
        <w:tab/>
        <w:t>Founder, Cape York Partnership representing the Cape York Institute.</w:t>
      </w:r>
    </w:p>
    <w:p w14:paraId="4B269666" w14:textId="74136F46" w:rsidR="003C5E17" w:rsidRPr="003C5E17" w:rsidRDefault="003C5E17" w:rsidP="003C5E17">
      <w:pPr>
        <w:ind w:left="-142" w:right="-425"/>
        <w:jc w:val="both"/>
        <w:rPr>
          <w:rFonts w:cs="Arial"/>
        </w:rPr>
      </w:pPr>
    </w:p>
    <w:p w14:paraId="7F214B1B" w14:textId="77777777" w:rsidR="00370A5C" w:rsidRPr="00370A5C" w:rsidRDefault="00370A5C" w:rsidP="00370A5C">
      <w:pPr>
        <w:ind w:left="-142" w:right="-425"/>
        <w:jc w:val="both"/>
        <w:rPr>
          <w:rFonts w:cs="Arial"/>
          <w:b/>
        </w:rPr>
      </w:pPr>
      <w:r w:rsidRPr="00370A5C">
        <w:rPr>
          <w:rFonts w:cs="Arial"/>
          <w:b/>
        </w:rPr>
        <w:t>An evolution in data collection</w:t>
      </w:r>
    </w:p>
    <w:p w14:paraId="240D1DDA" w14:textId="01ACD000" w:rsidR="006E2177" w:rsidRDefault="00370A5C" w:rsidP="00C92D4E">
      <w:pPr>
        <w:ind w:left="-142" w:right="-425"/>
        <w:jc w:val="both"/>
        <w:rPr>
          <w:rFonts w:cs="Arial"/>
        </w:rPr>
      </w:pPr>
      <w:r w:rsidRPr="00370A5C">
        <w:rPr>
          <w:rFonts w:cs="Arial"/>
        </w:rPr>
        <w:t xml:space="preserve">As a result of an extensive upgrade to the functionality of the CRM database implemented in February 2021, the Commission is now able to provide a more comprehensive overview of the interactions that have taken place with clients over </w:t>
      </w:r>
      <w:proofErr w:type="gramStart"/>
      <w:r w:rsidRPr="00370A5C">
        <w:rPr>
          <w:rFonts w:cs="Arial"/>
        </w:rPr>
        <w:t>a period of time</w:t>
      </w:r>
      <w:proofErr w:type="gramEnd"/>
      <w:r w:rsidRPr="00370A5C">
        <w:rPr>
          <w:rFonts w:cs="Arial"/>
        </w:rPr>
        <w:t>. Moreover, this substantial development has expanded the system to capture beneficial data that will assist in providing more data-driven and client-focused outcomes. Processes and workflows were transformed with coherent mapping</w:t>
      </w:r>
      <w:r w:rsidR="00A11F8A">
        <w:rPr>
          <w:rFonts w:cs="Arial"/>
        </w:rPr>
        <w:t xml:space="preserve"> aligned to the objects</w:t>
      </w:r>
      <w:r w:rsidRPr="00370A5C">
        <w:rPr>
          <w:rFonts w:cs="Arial"/>
        </w:rPr>
        <w:t xml:space="preserve"> of the </w:t>
      </w:r>
      <w:r w:rsidRPr="00EA5BEC">
        <w:rPr>
          <w:rFonts w:cs="Arial"/>
          <w:i/>
          <w:iCs/>
        </w:rPr>
        <w:t>F</w:t>
      </w:r>
      <w:r w:rsidR="00EA5BEC" w:rsidRPr="00EA5BEC">
        <w:rPr>
          <w:rFonts w:cs="Arial"/>
          <w:i/>
          <w:iCs/>
        </w:rPr>
        <w:t xml:space="preserve">amily </w:t>
      </w:r>
      <w:r w:rsidRPr="00EA5BEC">
        <w:rPr>
          <w:rFonts w:cs="Arial"/>
          <w:i/>
          <w:iCs/>
        </w:rPr>
        <w:t>R</w:t>
      </w:r>
      <w:r w:rsidR="00EA5BEC" w:rsidRPr="00EA5BEC">
        <w:rPr>
          <w:rFonts w:cs="Arial"/>
          <w:i/>
          <w:iCs/>
        </w:rPr>
        <w:t xml:space="preserve">esponsibilities </w:t>
      </w:r>
      <w:r w:rsidRPr="00EA5BEC">
        <w:rPr>
          <w:rFonts w:cs="Arial"/>
          <w:i/>
          <w:iCs/>
        </w:rPr>
        <w:t>C</w:t>
      </w:r>
      <w:r w:rsidR="00EA5BEC" w:rsidRPr="00EA5BEC">
        <w:rPr>
          <w:rFonts w:cs="Arial"/>
          <w:i/>
          <w:iCs/>
        </w:rPr>
        <w:t xml:space="preserve">ommission </w:t>
      </w:r>
      <w:r w:rsidRPr="00EA5BEC">
        <w:rPr>
          <w:rFonts w:cs="Arial"/>
          <w:i/>
          <w:iCs/>
        </w:rPr>
        <w:t xml:space="preserve">Act </w:t>
      </w:r>
      <w:r w:rsidR="00EA5BEC" w:rsidRPr="00EA5BEC">
        <w:rPr>
          <w:rFonts w:cs="Arial"/>
          <w:i/>
          <w:iCs/>
        </w:rPr>
        <w:t>2008</w:t>
      </w:r>
      <w:r w:rsidR="00A11F8A" w:rsidRPr="00C22B7E">
        <w:rPr>
          <w:rFonts w:cs="Arial"/>
        </w:rPr>
        <w:t xml:space="preserve"> and</w:t>
      </w:r>
      <w:r w:rsidR="00A11F8A">
        <w:rPr>
          <w:rFonts w:cs="Arial"/>
        </w:rPr>
        <w:t xml:space="preserve"> other</w:t>
      </w:r>
      <w:r w:rsidR="00A11F8A">
        <w:rPr>
          <w:rFonts w:cs="Arial"/>
          <w:i/>
          <w:iCs/>
        </w:rPr>
        <w:t xml:space="preserve"> </w:t>
      </w:r>
      <w:r w:rsidR="00A11F8A" w:rsidRPr="00370A5C">
        <w:rPr>
          <w:rFonts w:cs="Arial"/>
        </w:rPr>
        <w:t xml:space="preserve">relevant </w:t>
      </w:r>
      <w:r w:rsidR="00A11F8A">
        <w:rPr>
          <w:rFonts w:cs="Arial"/>
        </w:rPr>
        <w:t>provisions</w:t>
      </w:r>
      <w:r w:rsidR="00EA5BEC">
        <w:rPr>
          <w:rFonts w:cs="Arial"/>
        </w:rPr>
        <w:t xml:space="preserve"> </w:t>
      </w:r>
      <w:r w:rsidRPr="00370A5C">
        <w:rPr>
          <w:rFonts w:cs="Arial"/>
        </w:rPr>
        <w:t>to support the data strategy of the Commission.</w:t>
      </w:r>
      <w:r>
        <w:rPr>
          <w:rFonts w:cs="Arial"/>
        </w:rPr>
        <w:t xml:space="preserve"> </w:t>
      </w:r>
      <w:r w:rsidR="00885076">
        <w:rPr>
          <w:rFonts w:cs="Arial"/>
        </w:rPr>
        <w:t>E</w:t>
      </w:r>
      <w:r>
        <w:rPr>
          <w:rFonts w:cs="Arial"/>
        </w:rPr>
        <w:t>xample</w:t>
      </w:r>
      <w:r w:rsidR="00885076">
        <w:rPr>
          <w:rFonts w:cs="Arial"/>
        </w:rPr>
        <w:t>s</w:t>
      </w:r>
      <w:r>
        <w:rPr>
          <w:rFonts w:cs="Arial"/>
        </w:rPr>
        <w:t xml:space="preserve"> of the upgrade and evolved data reporting </w:t>
      </w:r>
      <w:r w:rsidR="00885076">
        <w:rPr>
          <w:rFonts w:cs="Arial"/>
        </w:rPr>
        <w:t>are</w:t>
      </w:r>
      <w:r>
        <w:rPr>
          <w:rFonts w:cs="Arial"/>
        </w:rPr>
        <w:t xml:space="preserve"> reflected in table 1 and further tables throughout this report.</w:t>
      </w:r>
    </w:p>
    <w:p w14:paraId="4ECD00DB" w14:textId="0DD79F76" w:rsidR="00EF4F64" w:rsidRDefault="00EF4F64" w:rsidP="00C92D4E">
      <w:pPr>
        <w:ind w:left="-142" w:right="-425"/>
        <w:jc w:val="both"/>
        <w:rPr>
          <w:bCs/>
        </w:rPr>
      </w:pPr>
      <w:r w:rsidRPr="00C92D4E">
        <w:rPr>
          <w:rFonts w:cs="Arial"/>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0E96C6D9"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B4658D">
        <w:rPr>
          <w:noProof/>
        </w:rPr>
        <w:t>7</w:t>
      </w:r>
      <w:r w:rsidR="00F058BE">
        <w:rPr>
          <w:noProof/>
        </w:rPr>
        <w:fldChar w:fldCharType="end"/>
      </w:r>
    </w:p>
    <w:p w14:paraId="62DF3D4A" w14:textId="2F4BAE8A"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B4658D">
        <w:rPr>
          <w:noProof/>
        </w:rPr>
        <w:t>21</w:t>
      </w:r>
      <w:r>
        <w:rPr>
          <w:noProof/>
        </w:rPr>
        <w:fldChar w:fldCharType="end"/>
      </w:r>
    </w:p>
    <w:p w14:paraId="293F38D2" w14:textId="42ADDDC1"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B4658D">
        <w:rPr>
          <w:noProof/>
        </w:rPr>
        <w:t>23</w:t>
      </w:r>
      <w:r>
        <w:rPr>
          <w:noProof/>
        </w:rPr>
        <w:fldChar w:fldCharType="end"/>
      </w:r>
    </w:p>
    <w:p w14:paraId="79738A35" w14:textId="43285C44"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B4658D">
        <w:rPr>
          <w:noProof/>
        </w:rPr>
        <w:t>24</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4095B434">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chemeClr val="bg1"/>
                          </a:solidFill>
                          <a:miter lim="800000"/>
                          <a:headEnd/>
                          <a:tailEnd/>
                        </a:ln>
                      </wps:spPr>
                      <wps:txbx>
                        <w:txbxContent>
                          <w:p w14:paraId="02C9A0E4" w14:textId="77777777" w:rsidR="00A60308" w:rsidRPr="00517C0A" w:rsidRDefault="00A60308" w:rsidP="00517C0A">
                            <w:pPr>
                              <w:rPr>
                                <w:b/>
                                <w:sz w:val="18"/>
                                <w:szCs w:val="18"/>
                                <w:u w:val="single"/>
                              </w:rPr>
                            </w:pPr>
                            <w:r w:rsidRPr="00517C0A">
                              <w:rPr>
                                <w:b/>
                                <w:sz w:val="18"/>
                                <w:szCs w:val="18"/>
                                <w:u w:val="single"/>
                              </w:rPr>
                              <w:t>Abbreviations</w:t>
                            </w:r>
                          </w:p>
                          <w:p w14:paraId="10162045" w14:textId="13138FFF" w:rsidR="00A60308" w:rsidRDefault="00A60308"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A60308" w:rsidRDefault="00A60308"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A60308" w:rsidRDefault="00A60308"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A60308" w:rsidRDefault="00A60308"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A60308" w:rsidRDefault="00A60308"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A60308" w:rsidRDefault="00A60308"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A60308" w:rsidRPr="00517C0A" w:rsidRDefault="00A60308"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A60308" w:rsidRDefault="00A60308"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5F9222FE" w:rsidR="00A60308" w:rsidRDefault="00A60308" w:rsidP="00517C0A">
                            <w:pPr>
                              <w:rPr>
                                <w:sz w:val="18"/>
                                <w:szCs w:val="18"/>
                              </w:rPr>
                            </w:pPr>
                            <w:r>
                              <w:rPr>
                                <w:sz w:val="18"/>
                                <w:szCs w:val="18"/>
                              </w:rPr>
                              <w:t>DIS</w:t>
                            </w:r>
                            <w:r>
                              <w:rPr>
                                <w:sz w:val="18"/>
                                <w:szCs w:val="18"/>
                              </w:rPr>
                              <w:tab/>
                            </w:r>
                            <w:r>
                              <w:rPr>
                                <w:sz w:val="18"/>
                                <w:szCs w:val="18"/>
                              </w:rPr>
                              <w:tab/>
                              <w:t>District Court notice</w:t>
                            </w:r>
                          </w:p>
                          <w:p w14:paraId="045548D6" w14:textId="503613E6" w:rsidR="00A60308" w:rsidRPr="00517C0A" w:rsidRDefault="00A60308" w:rsidP="00517C0A">
                            <w:pPr>
                              <w:rPr>
                                <w:sz w:val="18"/>
                                <w:szCs w:val="18"/>
                              </w:rPr>
                            </w:pPr>
                            <w:r>
                              <w:rPr>
                                <w:sz w:val="18"/>
                                <w:szCs w:val="18"/>
                              </w:rPr>
                              <w:t>DM</w:t>
                            </w:r>
                            <w:r>
                              <w:rPr>
                                <w:sz w:val="18"/>
                                <w:szCs w:val="18"/>
                              </w:rPr>
                              <w:tab/>
                            </w:r>
                            <w:r>
                              <w:rPr>
                                <w:sz w:val="18"/>
                                <w:szCs w:val="18"/>
                              </w:rPr>
                              <w:tab/>
                              <w:t>Doomadgee</w:t>
                            </w:r>
                          </w:p>
                          <w:p w14:paraId="677972EA" w14:textId="77777777" w:rsidR="00A60308" w:rsidRDefault="00A60308" w:rsidP="00517C0A">
                            <w:pPr>
                              <w:rPr>
                                <w:sz w:val="18"/>
                                <w:szCs w:val="18"/>
                              </w:rPr>
                            </w:pPr>
                            <w:r>
                              <w:rPr>
                                <w:sz w:val="18"/>
                                <w:szCs w:val="18"/>
                              </w:rPr>
                              <w:t>DVB</w:t>
                            </w:r>
                            <w:r>
                              <w:rPr>
                                <w:sz w:val="18"/>
                                <w:szCs w:val="18"/>
                              </w:rPr>
                              <w:tab/>
                            </w:r>
                            <w:r>
                              <w:rPr>
                                <w:sz w:val="18"/>
                                <w:szCs w:val="18"/>
                              </w:rPr>
                              <w:tab/>
                              <w:t>Domestic Violence Breach</w:t>
                            </w:r>
                          </w:p>
                          <w:p w14:paraId="393A66E8" w14:textId="5BD456C9" w:rsidR="00A60308" w:rsidRDefault="00A60308" w:rsidP="00517C0A">
                            <w:pPr>
                              <w:rPr>
                                <w:sz w:val="18"/>
                                <w:szCs w:val="18"/>
                              </w:rPr>
                            </w:pPr>
                            <w:r>
                              <w:rPr>
                                <w:sz w:val="18"/>
                                <w:szCs w:val="18"/>
                              </w:rPr>
                              <w:t>DVO</w:t>
                            </w:r>
                            <w:r>
                              <w:rPr>
                                <w:sz w:val="18"/>
                                <w:szCs w:val="18"/>
                              </w:rPr>
                              <w:tab/>
                            </w:r>
                            <w:r>
                              <w:rPr>
                                <w:sz w:val="18"/>
                                <w:szCs w:val="18"/>
                              </w:rPr>
                              <w:tab/>
                              <w:t>Domestic Violence Order</w:t>
                            </w:r>
                          </w:p>
                          <w:p w14:paraId="7C124E28" w14:textId="3EA899CB" w:rsidR="00A60308" w:rsidRDefault="00A60308" w:rsidP="00517C0A">
                            <w:pPr>
                              <w:rPr>
                                <w:sz w:val="18"/>
                                <w:szCs w:val="18"/>
                              </w:rPr>
                            </w:pPr>
                            <w:r>
                              <w:rPr>
                                <w:sz w:val="18"/>
                                <w:szCs w:val="18"/>
                              </w:rPr>
                              <w:t>EQ</w:t>
                            </w:r>
                            <w:r>
                              <w:rPr>
                                <w:sz w:val="18"/>
                                <w:szCs w:val="18"/>
                              </w:rPr>
                              <w:tab/>
                            </w:r>
                            <w:r>
                              <w:rPr>
                                <w:sz w:val="18"/>
                                <w:szCs w:val="18"/>
                              </w:rPr>
                              <w:tab/>
                              <w:t>School attendance notice</w:t>
                            </w:r>
                          </w:p>
                          <w:p w14:paraId="108A9B57" w14:textId="77777777" w:rsidR="00A60308" w:rsidRPr="00517C0A" w:rsidRDefault="00A60308"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A60308" w:rsidRDefault="00A60308"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A60308" w:rsidRDefault="00A60308" w:rsidP="00517C0A">
                            <w:pPr>
                              <w:rPr>
                                <w:sz w:val="18"/>
                                <w:szCs w:val="18"/>
                              </w:rPr>
                            </w:pPr>
                            <w:r>
                              <w:rPr>
                                <w:sz w:val="18"/>
                                <w:szCs w:val="18"/>
                              </w:rPr>
                              <w:t>HT</w:t>
                            </w:r>
                            <w:r>
                              <w:rPr>
                                <w:sz w:val="18"/>
                                <w:szCs w:val="18"/>
                              </w:rPr>
                              <w:tab/>
                            </w:r>
                            <w:r>
                              <w:rPr>
                                <w:sz w:val="18"/>
                                <w:szCs w:val="18"/>
                              </w:rPr>
                              <w:tab/>
                              <w:t>Housing tenancy breach</w:t>
                            </w:r>
                          </w:p>
                          <w:p w14:paraId="5098CB22" w14:textId="504CBFB4" w:rsidR="00A60308" w:rsidRDefault="00A60308" w:rsidP="00517C0A">
                            <w:pPr>
                              <w:rPr>
                                <w:sz w:val="18"/>
                                <w:szCs w:val="18"/>
                              </w:rPr>
                            </w:pPr>
                            <w:r>
                              <w:rPr>
                                <w:sz w:val="18"/>
                                <w:szCs w:val="18"/>
                              </w:rPr>
                              <w:t>HV</w:t>
                            </w:r>
                            <w:r>
                              <w:rPr>
                                <w:sz w:val="18"/>
                                <w:szCs w:val="18"/>
                              </w:rPr>
                              <w:tab/>
                            </w:r>
                            <w:r>
                              <w:rPr>
                                <w:sz w:val="18"/>
                                <w:szCs w:val="18"/>
                              </w:rPr>
                              <w:tab/>
                              <w:t>Hope Vale</w:t>
                            </w:r>
                          </w:p>
                          <w:p w14:paraId="0D13A20B" w14:textId="2B6332A2" w:rsidR="00A60308" w:rsidRDefault="00A60308" w:rsidP="00517C0A">
                            <w:pPr>
                              <w:rPr>
                                <w:sz w:val="18"/>
                                <w:szCs w:val="18"/>
                              </w:rPr>
                            </w:pPr>
                            <w:r>
                              <w:rPr>
                                <w:sz w:val="18"/>
                                <w:szCs w:val="18"/>
                              </w:rPr>
                              <w:t>MAG</w:t>
                            </w:r>
                            <w:r>
                              <w:rPr>
                                <w:sz w:val="18"/>
                                <w:szCs w:val="18"/>
                              </w:rPr>
                              <w:tab/>
                            </w:r>
                            <w:r>
                              <w:rPr>
                                <w:sz w:val="18"/>
                                <w:szCs w:val="18"/>
                              </w:rPr>
                              <w:tab/>
                              <w:t>Magistrates Court notice</w:t>
                            </w:r>
                          </w:p>
                          <w:p w14:paraId="179A4D51" w14:textId="1A608B12" w:rsidR="00A60308" w:rsidRDefault="00A60308" w:rsidP="00517C0A">
                            <w:pPr>
                              <w:rPr>
                                <w:sz w:val="18"/>
                                <w:szCs w:val="18"/>
                              </w:rPr>
                            </w:pPr>
                            <w:r>
                              <w:rPr>
                                <w:sz w:val="18"/>
                                <w:szCs w:val="18"/>
                              </w:rPr>
                              <w:t>MG</w:t>
                            </w:r>
                            <w:r>
                              <w:rPr>
                                <w:sz w:val="18"/>
                                <w:szCs w:val="18"/>
                              </w:rPr>
                              <w:tab/>
                            </w:r>
                            <w:r>
                              <w:rPr>
                                <w:sz w:val="18"/>
                                <w:szCs w:val="18"/>
                              </w:rPr>
                              <w:tab/>
                              <w:t>Mossman Gorge</w:t>
                            </w:r>
                          </w:p>
                          <w:p w14:paraId="16DCE62C" w14:textId="1CE2DD41" w:rsidR="00A60308" w:rsidRDefault="00A60308" w:rsidP="00517C0A">
                            <w:pPr>
                              <w:rPr>
                                <w:sz w:val="18"/>
                                <w:szCs w:val="18"/>
                              </w:rPr>
                            </w:pPr>
                            <w:r>
                              <w:rPr>
                                <w:sz w:val="18"/>
                                <w:szCs w:val="18"/>
                              </w:rPr>
                              <w:t>NFA</w:t>
                            </w:r>
                            <w:r>
                              <w:rPr>
                                <w:sz w:val="18"/>
                                <w:szCs w:val="18"/>
                              </w:rPr>
                              <w:tab/>
                            </w:r>
                            <w:r>
                              <w:rPr>
                                <w:sz w:val="18"/>
                                <w:szCs w:val="18"/>
                              </w:rPr>
                              <w:tab/>
                              <w:t>No further action</w:t>
                            </w:r>
                          </w:p>
                          <w:p w14:paraId="1F64EDB0" w14:textId="27BF441D" w:rsidR="00A60308" w:rsidRDefault="00A60308" w:rsidP="00517C0A">
                            <w:pPr>
                              <w:rPr>
                                <w:sz w:val="18"/>
                                <w:szCs w:val="18"/>
                              </w:rPr>
                            </w:pPr>
                            <w:r>
                              <w:rPr>
                                <w:sz w:val="18"/>
                                <w:szCs w:val="18"/>
                              </w:rPr>
                              <w:t>SEN</w:t>
                            </w:r>
                            <w:r>
                              <w:rPr>
                                <w:sz w:val="18"/>
                                <w:szCs w:val="18"/>
                              </w:rPr>
                              <w:tab/>
                            </w:r>
                            <w:r>
                              <w:rPr>
                                <w:sz w:val="18"/>
                                <w:szCs w:val="18"/>
                              </w:rPr>
                              <w:tab/>
                              <w:t>School enrolment notice</w:t>
                            </w:r>
                          </w:p>
                          <w:p w14:paraId="6B0017B6" w14:textId="707BB555" w:rsidR="00A60308" w:rsidRDefault="00A60308" w:rsidP="00517C0A">
                            <w:pPr>
                              <w:rPr>
                                <w:sz w:val="18"/>
                                <w:szCs w:val="18"/>
                              </w:rPr>
                            </w:pPr>
                            <w:r>
                              <w:rPr>
                                <w:sz w:val="18"/>
                                <w:szCs w:val="18"/>
                              </w:rPr>
                              <w:t>VCP</w:t>
                            </w:r>
                            <w:r>
                              <w:rPr>
                                <w:sz w:val="18"/>
                                <w:szCs w:val="18"/>
                              </w:rPr>
                              <w:tab/>
                            </w:r>
                            <w:r>
                              <w:rPr>
                                <w:sz w:val="18"/>
                                <w:szCs w:val="18"/>
                              </w:rPr>
                              <w:tab/>
                              <w:t>Voluntary Case Plan</w:t>
                            </w:r>
                          </w:p>
                          <w:p w14:paraId="6E21A2C9" w14:textId="77777777" w:rsidR="00A60308" w:rsidRPr="00517C0A" w:rsidRDefault="00A60308"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A60308" w:rsidRPr="00517C0A" w:rsidRDefault="00A60308"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A60308" w:rsidRPr="00517C0A" w:rsidRDefault="00A60308" w:rsidP="00517C0A">
                            <w:pPr>
                              <w:ind w:left="1418"/>
                              <w:rPr>
                                <w:rFonts w:cs="Arial"/>
                                <w:sz w:val="18"/>
                                <w:szCs w:val="18"/>
                              </w:rPr>
                            </w:pPr>
                            <w:r w:rsidRPr="00517C0A">
                              <w:rPr>
                                <w:rFonts w:cs="Arial"/>
                                <w:sz w:val="18"/>
                                <w:szCs w:val="18"/>
                              </w:rPr>
                              <w:t>Family Responsibilities Commission (the Commission)</w:t>
                            </w:r>
                          </w:p>
                          <w:p w14:paraId="632CC48B" w14:textId="77777777" w:rsidR="00A60308" w:rsidRPr="00517C0A" w:rsidRDefault="00A60308"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A60308" w:rsidRPr="00517C0A" w:rsidRDefault="00A60308"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A60308" w:rsidRPr="00517C0A" w:rsidRDefault="00A60308"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uLMgIAAFgEAAAOAAAAZHJzL2Uyb0RvYy54bWysVNuO2yAQfa/Uf0C8N068SbprxVlts01V&#10;aXuRdvsBGGMbFTMUSOz06ztAkqbpW1U/IIYZDjPnzHh1P/aK7IV1EnRJZ5MpJUJzqKVuS/rtZfvm&#10;lhLnma6ZAi1KehCO3q9fv1oNphA5dKBqYQmCaFcMpqSd96bIMsc70TM3ASM0OhuwPfNo2jarLRsQ&#10;vVdZPp0uswFsbSxw4RyePiYnXUf8phHcf2kaJzxRJcXcfFxtXKuwZusVK1rLTCf5MQ32D1n0TGp8&#10;9Az1yDwjOyv/guolt+Cg8RMOfQZNI7mINWA1s+lVNc8dMyLWguQ4c6bJ/T9Y/nn/1RJZo3aolGY9&#10;avQiRk/ewUhuAj2DcQVGPRuM8yMeY2gs1Zkn4N8d0bDpmG7Fg7UwdILVmN4s3MwuriYcF0Cq4RPU&#10;+AzbeYhAY2P7wB2yQRAdZTqcpQmpcDxczmd5foMujr7FbJkvFlG8jBWn68Y6/0FAT8KmpBa1j/Bs&#10;/+R8SIcVp5DwmgMl661UKhq2rTbKkj3DPtnGL1ZwFaY0GUp6t8gXiYE/IELLijNI1SYOrhB66bHf&#10;lexLejsNX+rAQNt7Xcdu9EyqtMeMlT7yGKhLJPqxGpNiJ3kqqA9IrIXU3jiOuOnA/qRkwNYuqfux&#10;Y1ZQoj5qFOduNp+HWYjGfPE2R8NeeqpLD9McoUrqKUnbjU/zszNWth2+lNpBwwMK2shIdVA+ZXVM&#10;H9s3KnActTAfl3aM+v1DWP8CAAD//wMAUEsDBBQABgAIAAAAIQC4d7lm3gAAAAkBAAAPAAAAZHJz&#10;L2Rvd25yZXYueG1sTI9BS8QwFITvgv8hPMHbbrpFSlObLqK4NxG7snpMm2dbbF5Kk92t/nqfJz0O&#10;M8x8U24XN4oTzmHwpGGzTkAgtd4O1Gl43T+uchAhGrJm9IQavjDAtrq8KE1h/Zle8FTHTnAJhcJo&#10;6GOcCilD26MzYe0nJPY+/OxMZDl30s7mzOVulGmSZNKZgXihNxPe99h+1kenIbRJdni+qQ9vjdzh&#10;t7L24X33pPX11XJ3CyLiEv/C8IvP6FAxU+OPZIMYNaw2ueKoBpWBYF+phHWjIU/TDGRVyv8Pqh8A&#10;AAD//wMAUEsBAi0AFAAGAAgAAAAhALaDOJL+AAAA4QEAABMAAAAAAAAAAAAAAAAAAAAAAFtDb250&#10;ZW50X1R5cGVzXS54bWxQSwECLQAUAAYACAAAACEAOP0h/9YAAACUAQAACwAAAAAAAAAAAAAAAAAv&#10;AQAAX3JlbHMvLnJlbHNQSwECLQAUAAYACAAAACEAks0bizICAABYBAAADgAAAAAAAAAAAAAAAAAu&#10;AgAAZHJzL2Uyb0RvYy54bWxQSwECLQAUAAYACAAAACEAuHe5Zt4AAAAJAQAADwAAAAAAAAAAAAAA&#10;AACMBAAAZHJzL2Rvd25yZXYueG1sUEsFBgAAAAAEAAQA8wAAAJcFAAAAAA==&#10;" strokecolor="white [3212]">
                <v:textbox>
                  <w:txbxContent>
                    <w:p w14:paraId="02C9A0E4" w14:textId="77777777" w:rsidR="00A60308" w:rsidRPr="00517C0A" w:rsidRDefault="00A60308" w:rsidP="00517C0A">
                      <w:pPr>
                        <w:rPr>
                          <w:b/>
                          <w:sz w:val="18"/>
                          <w:szCs w:val="18"/>
                          <w:u w:val="single"/>
                        </w:rPr>
                      </w:pPr>
                      <w:r w:rsidRPr="00517C0A">
                        <w:rPr>
                          <w:b/>
                          <w:sz w:val="18"/>
                          <w:szCs w:val="18"/>
                          <w:u w:val="single"/>
                        </w:rPr>
                        <w:t>Abbreviations</w:t>
                      </w:r>
                    </w:p>
                    <w:p w14:paraId="10162045" w14:textId="13138FFF" w:rsidR="00A60308" w:rsidRDefault="00A60308"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A60308" w:rsidRDefault="00A60308"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A60308" w:rsidRDefault="00A60308"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A60308" w:rsidRDefault="00A60308"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A60308" w:rsidRDefault="00A60308"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A60308" w:rsidRDefault="00A60308"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A60308" w:rsidRPr="00517C0A" w:rsidRDefault="00A60308"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A60308" w:rsidRDefault="00A60308"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5F9222FE" w:rsidR="00A60308" w:rsidRDefault="00A60308" w:rsidP="00517C0A">
                      <w:pPr>
                        <w:rPr>
                          <w:sz w:val="18"/>
                          <w:szCs w:val="18"/>
                        </w:rPr>
                      </w:pPr>
                      <w:r>
                        <w:rPr>
                          <w:sz w:val="18"/>
                          <w:szCs w:val="18"/>
                        </w:rPr>
                        <w:t>DIS</w:t>
                      </w:r>
                      <w:r>
                        <w:rPr>
                          <w:sz w:val="18"/>
                          <w:szCs w:val="18"/>
                        </w:rPr>
                        <w:tab/>
                      </w:r>
                      <w:r>
                        <w:rPr>
                          <w:sz w:val="18"/>
                          <w:szCs w:val="18"/>
                        </w:rPr>
                        <w:tab/>
                        <w:t>District Court notice</w:t>
                      </w:r>
                    </w:p>
                    <w:p w14:paraId="045548D6" w14:textId="503613E6" w:rsidR="00A60308" w:rsidRPr="00517C0A" w:rsidRDefault="00A60308" w:rsidP="00517C0A">
                      <w:pPr>
                        <w:rPr>
                          <w:sz w:val="18"/>
                          <w:szCs w:val="18"/>
                        </w:rPr>
                      </w:pPr>
                      <w:r>
                        <w:rPr>
                          <w:sz w:val="18"/>
                          <w:szCs w:val="18"/>
                        </w:rPr>
                        <w:t>DM</w:t>
                      </w:r>
                      <w:r>
                        <w:rPr>
                          <w:sz w:val="18"/>
                          <w:szCs w:val="18"/>
                        </w:rPr>
                        <w:tab/>
                      </w:r>
                      <w:r>
                        <w:rPr>
                          <w:sz w:val="18"/>
                          <w:szCs w:val="18"/>
                        </w:rPr>
                        <w:tab/>
                        <w:t>Doomadgee</w:t>
                      </w:r>
                    </w:p>
                    <w:p w14:paraId="677972EA" w14:textId="77777777" w:rsidR="00A60308" w:rsidRDefault="00A60308" w:rsidP="00517C0A">
                      <w:pPr>
                        <w:rPr>
                          <w:sz w:val="18"/>
                          <w:szCs w:val="18"/>
                        </w:rPr>
                      </w:pPr>
                      <w:r>
                        <w:rPr>
                          <w:sz w:val="18"/>
                          <w:szCs w:val="18"/>
                        </w:rPr>
                        <w:t>DVB</w:t>
                      </w:r>
                      <w:r>
                        <w:rPr>
                          <w:sz w:val="18"/>
                          <w:szCs w:val="18"/>
                        </w:rPr>
                        <w:tab/>
                      </w:r>
                      <w:r>
                        <w:rPr>
                          <w:sz w:val="18"/>
                          <w:szCs w:val="18"/>
                        </w:rPr>
                        <w:tab/>
                        <w:t>Domestic Violence Breach</w:t>
                      </w:r>
                    </w:p>
                    <w:p w14:paraId="393A66E8" w14:textId="5BD456C9" w:rsidR="00A60308" w:rsidRDefault="00A60308" w:rsidP="00517C0A">
                      <w:pPr>
                        <w:rPr>
                          <w:sz w:val="18"/>
                          <w:szCs w:val="18"/>
                        </w:rPr>
                      </w:pPr>
                      <w:r>
                        <w:rPr>
                          <w:sz w:val="18"/>
                          <w:szCs w:val="18"/>
                        </w:rPr>
                        <w:t>DVO</w:t>
                      </w:r>
                      <w:r>
                        <w:rPr>
                          <w:sz w:val="18"/>
                          <w:szCs w:val="18"/>
                        </w:rPr>
                        <w:tab/>
                      </w:r>
                      <w:r>
                        <w:rPr>
                          <w:sz w:val="18"/>
                          <w:szCs w:val="18"/>
                        </w:rPr>
                        <w:tab/>
                        <w:t>Domestic Violence Order</w:t>
                      </w:r>
                    </w:p>
                    <w:p w14:paraId="7C124E28" w14:textId="3EA899CB" w:rsidR="00A60308" w:rsidRDefault="00A60308" w:rsidP="00517C0A">
                      <w:pPr>
                        <w:rPr>
                          <w:sz w:val="18"/>
                          <w:szCs w:val="18"/>
                        </w:rPr>
                      </w:pPr>
                      <w:r>
                        <w:rPr>
                          <w:sz w:val="18"/>
                          <w:szCs w:val="18"/>
                        </w:rPr>
                        <w:t>EQ</w:t>
                      </w:r>
                      <w:r>
                        <w:rPr>
                          <w:sz w:val="18"/>
                          <w:szCs w:val="18"/>
                        </w:rPr>
                        <w:tab/>
                      </w:r>
                      <w:r>
                        <w:rPr>
                          <w:sz w:val="18"/>
                          <w:szCs w:val="18"/>
                        </w:rPr>
                        <w:tab/>
                        <w:t>School attendance notice</w:t>
                      </w:r>
                    </w:p>
                    <w:p w14:paraId="108A9B57" w14:textId="77777777" w:rsidR="00A60308" w:rsidRPr="00517C0A" w:rsidRDefault="00A60308"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A60308" w:rsidRDefault="00A60308"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A60308" w:rsidRDefault="00A60308" w:rsidP="00517C0A">
                      <w:pPr>
                        <w:rPr>
                          <w:sz w:val="18"/>
                          <w:szCs w:val="18"/>
                        </w:rPr>
                      </w:pPr>
                      <w:r>
                        <w:rPr>
                          <w:sz w:val="18"/>
                          <w:szCs w:val="18"/>
                        </w:rPr>
                        <w:t>HT</w:t>
                      </w:r>
                      <w:r>
                        <w:rPr>
                          <w:sz w:val="18"/>
                          <w:szCs w:val="18"/>
                        </w:rPr>
                        <w:tab/>
                      </w:r>
                      <w:r>
                        <w:rPr>
                          <w:sz w:val="18"/>
                          <w:szCs w:val="18"/>
                        </w:rPr>
                        <w:tab/>
                        <w:t>Housing tenancy breach</w:t>
                      </w:r>
                    </w:p>
                    <w:p w14:paraId="5098CB22" w14:textId="504CBFB4" w:rsidR="00A60308" w:rsidRDefault="00A60308" w:rsidP="00517C0A">
                      <w:pPr>
                        <w:rPr>
                          <w:sz w:val="18"/>
                          <w:szCs w:val="18"/>
                        </w:rPr>
                      </w:pPr>
                      <w:r>
                        <w:rPr>
                          <w:sz w:val="18"/>
                          <w:szCs w:val="18"/>
                        </w:rPr>
                        <w:t>HV</w:t>
                      </w:r>
                      <w:r>
                        <w:rPr>
                          <w:sz w:val="18"/>
                          <w:szCs w:val="18"/>
                        </w:rPr>
                        <w:tab/>
                      </w:r>
                      <w:r>
                        <w:rPr>
                          <w:sz w:val="18"/>
                          <w:szCs w:val="18"/>
                        </w:rPr>
                        <w:tab/>
                        <w:t>Hope Vale</w:t>
                      </w:r>
                    </w:p>
                    <w:p w14:paraId="0D13A20B" w14:textId="2B6332A2" w:rsidR="00A60308" w:rsidRDefault="00A60308" w:rsidP="00517C0A">
                      <w:pPr>
                        <w:rPr>
                          <w:sz w:val="18"/>
                          <w:szCs w:val="18"/>
                        </w:rPr>
                      </w:pPr>
                      <w:r>
                        <w:rPr>
                          <w:sz w:val="18"/>
                          <w:szCs w:val="18"/>
                        </w:rPr>
                        <w:t>MAG</w:t>
                      </w:r>
                      <w:r>
                        <w:rPr>
                          <w:sz w:val="18"/>
                          <w:szCs w:val="18"/>
                        </w:rPr>
                        <w:tab/>
                      </w:r>
                      <w:r>
                        <w:rPr>
                          <w:sz w:val="18"/>
                          <w:szCs w:val="18"/>
                        </w:rPr>
                        <w:tab/>
                        <w:t>Magistrates Court notice</w:t>
                      </w:r>
                    </w:p>
                    <w:p w14:paraId="179A4D51" w14:textId="1A608B12" w:rsidR="00A60308" w:rsidRDefault="00A60308" w:rsidP="00517C0A">
                      <w:pPr>
                        <w:rPr>
                          <w:sz w:val="18"/>
                          <w:szCs w:val="18"/>
                        </w:rPr>
                      </w:pPr>
                      <w:r>
                        <w:rPr>
                          <w:sz w:val="18"/>
                          <w:szCs w:val="18"/>
                        </w:rPr>
                        <w:t>MG</w:t>
                      </w:r>
                      <w:r>
                        <w:rPr>
                          <w:sz w:val="18"/>
                          <w:szCs w:val="18"/>
                        </w:rPr>
                        <w:tab/>
                      </w:r>
                      <w:r>
                        <w:rPr>
                          <w:sz w:val="18"/>
                          <w:szCs w:val="18"/>
                        </w:rPr>
                        <w:tab/>
                        <w:t>Mossman Gorge</w:t>
                      </w:r>
                    </w:p>
                    <w:p w14:paraId="16DCE62C" w14:textId="1CE2DD41" w:rsidR="00A60308" w:rsidRDefault="00A60308" w:rsidP="00517C0A">
                      <w:pPr>
                        <w:rPr>
                          <w:sz w:val="18"/>
                          <w:szCs w:val="18"/>
                        </w:rPr>
                      </w:pPr>
                      <w:r>
                        <w:rPr>
                          <w:sz w:val="18"/>
                          <w:szCs w:val="18"/>
                        </w:rPr>
                        <w:t>NFA</w:t>
                      </w:r>
                      <w:r>
                        <w:rPr>
                          <w:sz w:val="18"/>
                          <w:szCs w:val="18"/>
                        </w:rPr>
                        <w:tab/>
                      </w:r>
                      <w:r>
                        <w:rPr>
                          <w:sz w:val="18"/>
                          <w:szCs w:val="18"/>
                        </w:rPr>
                        <w:tab/>
                        <w:t>No further action</w:t>
                      </w:r>
                    </w:p>
                    <w:p w14:paraId="1F64EDB0" w14:textId="27BF441D" w:rsidR="00A60308" w:rsidRDefault="00A60308" w:rsidP="00517C0A">
                      <w:pPr>
                        <w:rPr>
                          <w:sz w:val="18"/>
                          <w:szCs w:val="18"/>
                        </w:rPr>
                      </w:pPr>
                      <w:r>
                        <w:rPr>
                          <w:sz w:val="18"/>
                          <w:szCs w:val="18"/>
                        </w:rPr>
                        <w:t>SEN</w:t>
                      </w:r>
                      <w:r>
                        <w:rPr>
                          <w:sz w:val="18"/>
                          <w:szCs w:val="18"/>
                        </w:rPr>
                        <w:tab/>
                      </w:r>
                      <w:r>
                        <w:rPr>
                          <w:sz w:val="18"/>
                          <w:szCs w:val="18"/>
                        </w:rPr>
                        <w:tab/>
                        <w:t>School enrolment notice</w:t>
                      </w:r>
                    </w:p>
                    <w:p w14:paraId="6B0017B6" w14:textId="707BB555" w:rsidR="00A60308" w:rsidRDefault="00A60308" w:rsidP="00517C0A">
                      <w:pPr>
                        <w:rPr>
                          <w:sz w:val="18"/>
                          <w:szCs w:val="18"/>
                        </w:rPr>
                      </w:pPr>
                      <w:r>
                        <w:rPr>
                          <w:sz w:val="18"/>
                          <w:szCs w:val="18"/>
                        </w:rPr>
                        <w:t>VCP</w:t>
                      </w:r>
                      <w:r>
                        <w:rPr>
                          <w:sz w:val="18"/>
                          <w:szCs w:val="18"/>
                        </w:rPr>
                        <w:tab/>
                      </w:r>
                      <w:r>
                        <w:rPr>
                          <w:sz w:val="18"/>
                          <w:szCs w:val="18"/>
                        </w:rPr>
                        <w:tab/>
                        <w:t>Voluntary Case Plan</w:t>
                      </w:r>
                    </w:p>
                    <w:p w14:paraId="6E21A2C9" w14:textId="77777777" w:rsidR="00A60308" w:rsidRPr="00517C0A" w:rsidRDefault="00A60308"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A60308" w:rsidRPr="00517C0A" w:rsidRDefault="00A60308"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A60308" w:rsidRPr="00517C0A" w:rsidRDefault="00A60308" w:rsidP="00517C0A">
                      <w:pPr>
                        <w:ind w:left="1418"/>
                        <w:rPr>
                          <w:rFonts w:cs="Arial"/>
                          <w:sz w:val="18"/>
                          <w:szCs w:val="18"/>
                        </w:rPr>
                      </w:pPr>
                      <w:r w:rsidRPr="00517C0A">
                        <w:rPr>
                          <w:rFonts w:cs="Arial"/>
                          <w:sz w:val="18"/>
                          <w:szCs w:val="18"/>
                        </w:rPr>
                        <w:t>Family Responsibilities Commission (the Commission)</w:t>
                      </w:r>
                    </w:p>
                    <w:p w14:paraId="632CC48B" w14:textId="77777777" w:rsidR="00A60308" w:rsidRPr="00517C0A" w:rsidRDefault="00A60308"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A60308" w:rsidRPr="00517C0A" w:rsidRDefault="00A60308"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A60308" w:rsidRPr="00517C0A" w:rsidRDefault="00A60308"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0BAF7E60"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w:t>
      </w:r>
      <w:r w:rsidR="00C02DC0">
        <w:rPr>
          <w:i/>
          <w:sz w:val="24"/>
          <w:szCs w:val="24"/>
        </w:rPr>
        <w:t xml:space="preserve">0 June </w:t>
      </w:r>
      <w:r w:rsidR="00E53438">
        <w:rPr>
          <w:i/>
          <w:sz w:val="24"/>
          <w:szCs w:val="24"/>
        </w:rPr>
        <w:t>202</w:t>
      </w:r>
      <w:r w:rsidR="009A7C28">
        <w:rPr>
          <w:i/>
          <w:sz w:val="24"/>
          <w:szCs w:val="24"/>
        </w:rPr>
        <w:t>1</w:t>
      </w:r>
      <w:r w:rsidRPr="00B04486">
        <w:rPr>
          <w:i/>
          <w:sz w:val="24"/>
          <w:szCs w:val="24"/>
        </w:rPr>
        <w:t>.</w:t>
      </w:r>
    </w:p>
    <w:p w14:paraId="3B63D598" w14:textId="77777777" w:rsidR="005A5B78" w:rsidRPr="00942B2C" w:rsidRDefault="005A5B78" w:rsidP="005A5B78">
      <w:pPr>
        <w:pStyle w:val="Heading1"/>
        <w:ind w:left="-142" w:right="-426"/>
      </w:pPr>
      <w:bookmarkStart w:id="1" w:name="_Toc222226581"/>
      <w:bookmarkStart w:id="2" w:name="_Toc304386230"/>
      <w:bookmarkStart w:id="3" w:name="_Toc304386307"/>
      <w:bookmarkStart w:id="4" w:name="_Toc306011180"/>
      <w:bookmarkStart w:id="5" w:name="_Toc39657991"/>
      <w:r>
        <w:t>1.  Activities and</w:t>
      </w:r>
      <w:r w:rsidRPr="00942B2C">
        <w:t xml:space="preserve"> </w:t>
      </w:r>
      <w:bookmarkEnd w:id="1"/>
      <w:bookmarkEnd w:id="2"/>
      <w:bookmarkEnd w:id="3"/>
      <w:bookmarkEnd w:id="4"/>
      <w:r>
        <w:t>Trends</w:t>
      </w:r>
      <w:bookmarkEnd w:id="5"/>
    </w:p>
    <w:p w14:paraId="2BAF545E" w14:textId="77E156F5" w:rsidR="009B2EF1" w:rsidRPr="00E6690B" w:rsidRDefault="009B2EF1" w:rsidP="00E6690B">
      <w:pPr>
        <w:tabs>
          <w:tab w:val="left" w:pos="1134"/>
        </w:tabs>
        <w:ind w:left="-142" w:right="-425"/>
        <w:jc w:val="both"/>
      </w:pPr>
    </w:p>
    <w:p w14:paraId="3D98B899" w14:textId="188AEA28" w:rsidR="00237AB1" w:rsidRDefault="00237AB1" w:rsidP="00D51DFA">
      <w:pPr>
        <w:pStyle w:val="Heading2"/>
      </w:pPr>
      <w:r>
        <w:t>Client i</w:t>
      </w:r>
      <w:r w:rsidRPr="00F062D1">
        <w:t>nteraction</w:t>
      </w:r>
      <w:r>
        <w:t>s</w:t>
      </w:r>
      <w:r w:rsidRPr="00F062D1">
        <w:t xml:space="preserve"> during the quarter</w:t>
      </w:r>
    </w:p>
    <w:p w14:paraId="21A1CC5F" w14:textId="0509AC29" w:rsidR="00B740E7"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 each can be characterised by the entrenched disadvantage of Indigenous community members. Over-crowded housing, high rates of Indigenous welfare dependency and multi-generational poverty ha</w:t>
      </w:r>
      <w:r w:rsidR="006648A1">
        <w:t>ve</w:t>
      </w:r>
      <w:r>
        <w:t xml:space="preserve"> resulted in communities with high numbers of individuals and families with complex needs.</w:t>
      </w:r>
      <w:r w:rsidR="00F77284">
        <w:t xml:space="preserve"> The Commission has been reporting </w:t>
      </w:r>
      <w:r w:rsidR="0019319F">
        <w:t>on the number of notices individual clients receive</w:t>
      </w:r>
      <w:r w:rsidR="00F77284">
        <w:t xml:space="preserve"> (</w:t>
      </w:r>
      <w:r w:rsidR="0019319F">
        <w:t>refer</w:t>
      </w:r>
      <w:r w:rsidR="00F77284">
        <w:t xml:space="preserve"> graph </w:t>
      </w:r>
      <w:r w:rsidR="00FE5CC2">
        <w:t>4</w:t>
      </w:r>
      <w:r w:rsidR="00F77284">
        <w:t xml:space="preserve">) for </w:t>
      </w:r>
      <w:proofErr w:type="gramStart"/>
      <w:r w:rsidR="00F77284">
        <w:t>a number of</w:t>
      </w:r>
      <w:proofErr w:type="gramEnd"/>
      <w:r w:rsidR="00F77284">
        <w:t xml:space="preserve"> years</w:t>
      </w:r>
      <w:r w:rsidR="007B68DE">
        <w:t xml:space="preserve">. The graph below provides a further insight into the </w:t>
      </w:r>
      <w:r w:rsidR="00F77284">
        <w:t xml:space="preserve">complexity </w:t>
      </w:r>
      <w:r w:rsidR="007B68DE">
        <w:t xml:space="preserve">of the issues faced by </w:t>
      </w:r>
      <w:r w:rsidR="0019319F">
        <w:t>many</w:t>
      </w:r>
      <w:r w:rsidR="007B68DE">
        <w:t xml:space="preserve"> clients. During quarter </w:t>
      </w:r>
      <w:r w:rsidR="000D0A4E">
        <w:t>52</w:t>
      </w:r>
      <w:r w:rsidR="005728FA">
        <w:t>,</w:t>
      </w:r>
      <w:r w:rsidR="007B68DE">
        <w:t xml:space="preserve"> </w:t>
      </w:r>
      <w:r w:rsidR="00FF11F4">
        <w:t>49</w:t>
      </w:r>
      <w:r w:rsidR="00191E17">
        <w:t>2</w:t>
      </w:r>
      <w:r w:rsidR="00FF11F4">
        <w:t xml:space="preserve"> </w:t>
      </w:r>
      <w:r w:rsidR="006648A1">
        <w:t xml:space="preserve">clients </w:t>
      </w:r>
      <w:r w:rsidR="00FE5409">
        <w:t>(8</w:t>
      </w:r>
      <w:r w:rsidR="00FF11F4">
        <w:t>7</w:t>
      </w:r>
      <w:r w:rsidR="00FE5409">
        <w:t xml:space="preserve"> percen</w:t>
      </w:r>
      <w:r w:rsidR="00FC7C1D">
        <w:t>t</w:t>
      </w:r>
      <w:r w:rsidR="006648A1">
        <w:t>)</w:t>
      </w:r>
      <w:r w:rsidR="00FE5409">
        <w:t xml:space="preserve"> were notified to the Commission with only one type of trigger notice, however</w:t>
      </w:r>
      <w:r w:rsidR="0019319F">
        <w:t>,</w:t>
      </w:r>
      <w:r w:rsidR="00FE5409">
        <w:t xml:space="preserve"> the remaining </w:t>
      </w:r>
      <w:r w:rsidR="005A66FF">
        <w:t xml:space="preserve">75 </w:t>
      </w:r>
      <w:r w:rsidR="006648A1">
        <w:t xml:space="preserve">clients </w:t>
      </w:r>
      <w:r w:rsidR="00FE5409">
        <w:t>(1</w:t>
      </w:r>
      <w:r w:rsidR="005A66FF">
        <w:t>3</w:t>
      </w:r>
      <w:r w:rsidR="00FE5409">
        <w:t xml:space="preserve"> percen</w:t>
      </w:r>
      <w:r w:rsidR="00FC7C1D">
        <w:t>t</w:t>
      </w:r>
      <w:r w:rsidR="00FE5409">
        <w:t>) received more than one type of trigger notice.</w:t>
      </w:r>
    </w:p>
    <w:p w14:paraId="5F1E63F4" w14:textId="77777777" w:rsidR="00995CD8" w:rsidRDefault="00995CD8" w:rsidP="00106EA8">
      <w:pPr>
        <w:tabs>
          <w:tab w:val="left" w:pos="1134"/>
        </w:tabs>
        <w:ind w:left="-142" w:right="-425"/>
        <w:jc w:val="both"/>
      </w:pPr>
    </w:p>
    <w:p w14:paraId="6779EB65" w14:textId="2C26CF68" w:rsidR="00995CD8" w:rsidRPr="00D925BE" w:rsidRDefault="00995CD8" w:rsidP="00995CD8">
      <w:pPr>
        <w:spacing w:after="120" w:line="240" w:lineRule="auto"/>
        <w:ind w:right="-425"/>
        <w:jc w:val="both"/>
        <w:rPr>
          <w:b/>
          <w:sz w:val="16"/>
          <w:szCs w:val="16"/>
        </w:rPr>
      </w:pPr>
      <w:r w:rsidRPr="00362EE1">
        <w:rPr>
          <w:b/>
          <w:sz w:val="16"/>
          <w:szCs w:val="16"/>
        </w:rPr>
        <w:t xml:space="preserve">Table </w:t>
      </w:r>
      <w:r>
        <w:rPr>
          <w:b/>
          <w:sz w:val="16"/>
          <w:szCs w:val="16"/>
        </w:rPr>
        <w:t>2</w:t>
      </w:r>
      <w:r w:rsidRPr="00362EE1">
        <w:rPr>
          <w:b/>
          <w:sz w:val="16"/>
          <w:szCs w:val="16"/>
        </w:rPr>
        <w:t xml:space="preserve">: </w:t>
      </w:r>
      <w:r w:rsidRPr="00D61631">
        <w:rPr>
          <w:rFonts w:cs="Arial"/>
          <w:bCs/>
          <w:sz w:val="16"/>
          <w:szCs w:val="16"/>
        </w:rPr>
        <w:t>Number of</w:t>
      </w:r>
      <w:r>
        <w:rPr>
          <w:rFonts w:cs="Arial"/>
          <w:b/>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1 April 2021 to 30 June 2021</w:t>
      </w:r>
      <w:r w:rsidRPr="00DA41D1">
        <w:rPr>
          <w:rFonts w:cs="Arial"/>
          <w:sz w:val="16"/>
          <w:szCs w:val="16"/>
        </w:rPr>
        <w:t>.</w:t>
      </w:r>
    </w:p>
    <w:tbl>
      <w:tblPr>
        <w:tblW w:w="5289" w:type="dxa"/>
        <w:tblInd w:w="93" w:type="dxa"/>
        <w:tblLook w:val="04A0" w:firstRow="1" w:lastRow="0" w:firstColumn="1" w:lastColumn="0" w:noHBand="0" w:noVBand="1"/>
      </w:tblPr>
      <w:tblGrid>
        <w:gridCol w:w="3446"/>
        <w:gridCol w:w="1843"/>
      </w:tblGrid>
      <w:tr w:rsidR="00995CD8" w:rsidRPr="006E764C" w14:paraId="29F86B0E" w14:textId="77777777" w:rsidTr="00A60308">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4B486798" w14:textId="77777777" w:rsidR="00995CD8" w:rsidRPr="0093030B" w:rsidRDefault="00995CD8" w:rsidP="00A60308">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33BB0D42" w14:textId="77777777" w:rsidR="00995CD8" w:rsidRPr="0093030B" w:rsidRDefault="00995CD8" w:rsidP="00A60308">
            <w:pPr>
              <w:pStyle w:val="TableText"/>
              <w:rPr>
                <w:b/>
                <w:lang w:eastAsia="en-AU"/>
              </w:rPr>
            </w:pPr>
            <w:r w:rsidRPr="0093030B">
              <w:rPr>
                <w:b/>
                <w:lang w:eastAsia="en-AU"/>
              </w:rPr>
              <w:t>Number of Clients</w:t>
            </w:r>
          </w:p>
        </w:tc>
      </w:tr>
      <w:tr w:rsidR="00995CD8" w:rsidRPr="006E764C" w14:paraId="7950A5D8" w14:textId="77777777" w:rsidTr="00A60308">
        <w:trPr>
          <w:trHeight w:val="255"/>
        </w:trPr>
        <w:tc>
          <w:tcPr>
            <w:tcW w:w="3446" w:type="dxa"/>
            <w:tcBorders>
              <w:top w:val="nil"/>
              <w:left w:val="single" w:sz="4" w:space="0" w:color="auto"/>
              <w:bottom w:val="single" w:sz="4" w:space="0" w:color="auto"/>
              <w:right w:val="single" w:sz="4" w:space="0" w:color="auto"/>
            </w:tcBorders>
            <w:noWrap/>
            <w:hideMark/>
          </w:tcPr>
          <w:p w14:paraId="3A2FB5E7" w14:textId="77777777" w:rsidR="00995CD8" w:rsidRPr="006E764C" w:rsidRDefault="00995CD8" w:rsidP="00A60308">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53623323" w14:textId="40EC741E" w:rsidR="00995CD8" w:rsidRPr="005B6887" w:rsidRDefault="00995CD8" w:rsidP="00A60308">
            <w:pPr>
              <w:jc w:val="right"/>
              <w:rPr>
                <w:rFonts w:cs="Arial"/>
              </w:rPr>
            </w:pPr>
            <w:r>
              <w:rPr>
                <w:rFonts w:cs="Arial"/>
              </w:rPr>
              <w:t>492</w:t>
            </w:r>
          </w:p>
        </w:tc>
      </w:tr>
      <w:tr w:rsidR="00995CD8" w:rsidRPr="006E764C" w14:paraId="70815A25" w14:textId="77777777" w:rsidTr="00A60308">
        <w:trPr>
          <w:trHeight w:val="255"/>
        </w:trPr>
        <w:tc>
          <w:tcPr>
            <w:tcW w:w="3446" w:type="dxa"/>
            <w:tcBorders>
              <w:top w:val="nil"/>
              <w:left w:val="single" w:sz="4" w:space="0" w:color="auto"/>
              <w:bottom w:val="single" w:sz="4" w:space="0" w:color="auto"/>
              <w:right w:val="single" w:sz="4" w:space="0" w:color="auto"/>
            </w:tcBorders>
            <w:noWrap/>
            <w:hideMark/>
          </w:tcPr>
          <w:p w14:paraId="25F75165" w14:textId="77777777" w:rsidR="00995CD8" w:rsidRPr="006E764C" w:rsidRDefault="00995CD8" w:rsidP="00A60308">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1BFA6856" w14:textId="6C8843FE" w:rsidR="00995CD8" w:rsidRPr="005B6887" w:rsidRDefault="00995CD8" w:rsidP="00A60308">
            <w:pPr>
              <w:jc w:val="right"/>
              <w:rPr>
                <w:rFonts w:cs="Arial"/>
              </w:rPr>
            </w:pPr>
            <w:r>
              <w:rPr>
                <w:rFonts w:cs="Arial"/>
              </w:rPr>
              <w:t>68</w:t>
            </w:r>
          </w:p>
        </w:tc>
      </w:tr>
      <w:tr w:rsidR="00995CD8" w:rsidRPr="006E764C" w14:paraId="032F98B3" w14:textId="77777777" w:rsidTr="00A60308">
        <w:trPr>
          <w:trHeight w:val="255"/>
        </w:trPr>
        <w:tc>
          <w:tcPr>
            <w:tcW w:w="3446" w:type="dxa"/>
            <w:tcBorders>
              <w:top w:val="nil"/>
              <w:left w:val="single" w:sz="4" w:space="0" w:color="auto"/>
              <w:bottom w:val="single" w:sz="4" w:space="0" w:color="auto"/>
              <w:right w:val="single" w:sz="4" w:space="0" w:color="auto"/>
            </w:tcBorders>
            <w:noWrap/>
            <w:hideMark/>
          </w:tcPr>
          <w:p w14:paraId="2D6C3268" w14:textId="77777777" w:rsidR="00995CD8" w:rsidRPr="006E764C" w:rsidRDefault="00995CD8" w:rsidP="00A60308">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2AD68817" w14:textId="77777777" w:rsidR="00995CD8" w:rsidRPr="005B6887" w:rsidRDefault="00995CD8" w:rsidP="00A60308">
            <w:pPr>
              <w:jc w:val="right"/>
              <w:rPr>
                <w:rFonts w:cs="Arial"/>
              </w:rPr>
            </w:pPr>
            <w:r w:rsidRPr="005B6887">
              <w:rPr>
                <w:rFonts w:cs="Arial"/>
              </w:rPr>
              <w:t>6</w:t>
            </w:r>
          </w:p>
        </w:tc>
      </w:tr>
      <w:tr w:rsidR="00995CD8" w:rsidRPr="006E764C" w14:paraId="4DB1ED2A" w14:textId="77777777" w:rsidTr="00A60308">
        <w:trPr>
          <w:trHeight w:val="255"/>
        </w:trPr>
        <w:tc>
          <w:tcPr>
            <w:tcW w:w="3446" w:type="dxa"/>
            <w:tcBorders>
              <w:top w:val="nil"/>
              <w:left w:val="single" w:sz="4" w:space="0" w:color="auto"/>
              <w:bottom w:val="single" w:sz="4" w:space="0" w:color="auto"/>
              <w:right w:val="single" w:sz="4" w:space="0" w:color="auto"/>
            </w:tcBorders>
            <w:noWrap/>
            <w:hideMark/>
          </w:tcPr>
          <w:p w14:paraId="5401C34C" w14:textId="77777777" w:rsidR="00995CD8" w:rsidRPr="006E764C" w:rsidRDefault="00995CD8" w:rsidP="00A60308">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62AE2442" w14:textId="77777777" w:rsidR="00995CD8" w:rsidRPr="005B6887" w:rsidRDefault="00995CD8" w:rsidP="00A60308">
            <w:pPr>
              <w:jc w:val="right"/>
              <w:rPr>
                <w:rFonts w:cs="Arial"/>
              </w:rPr>
            </w:pPr>
            <w:r w:rsidRPr="005B6887">
              <w:rPr>
                <w:rFonts w:cs="Arial"/>
              </w:rPr>
              <w:t>1</w:t>
            </w:r>
          </w:p>
        </w:tc>
      </w:tr>
      <w:tr w:rsidR="00995CD8" w:rsidRPr="006E764C" w14:paraId="35A2F6B1" w14:textId="77777777" w:rsidTr="00A60308">
        <w:trPr>
          <w:trHeight w:val="255"/>
        </w:trPr>
        <w:tc>
          <w:tcPr>
            <w:tcW w:w="3446" w:type="dxa"/>
            <w:tcBorders>
              <w:top w:val="nil"/>
              <w:left w:val="single" w:sz="4" w:space="0" w:color="auto"/>
              <w:bottom w:val="single" w:sz="4" w:space="0" w:color="auto"/>
              <w:right w:val="single" w:sz="4" w:space="0" w:color="auto"/>
            </w:tcBorders>
            <w:noWrap/>
            <w:hideMark/>
          </w:tcPr>
          <w:p w14:paraId="3DE44165" w14:textId="77777777" w:rsidR="00995CD8" w:rsidRPr="00645916" w:rsidRDefault="00995CD8" w:rsidP="00A60308">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78AD910F" w14:textId="03B04F14" w:rsidR="00995CD8" w:rsidRPr="005B6887" w:rsidRDefault="00995CD8" w:rsidP="00A60308">
            <w:pPr>
              <w:jc w:val="right"/>
              <w:rPr>
                <w:rFonts w:cs="Arial"/>
                <w:b/>
                <w:bCs/>
              </w:rPr>
            </w:pPr>
            <w:r w:rsidRPr="005B6887">
              <w:rPr>
                <w:rFonts w:cs="Arial"/>
                <w:b/>
                <w:bCs/>
              </w:rPr>
              <w:t>5</w:t>
            </w:r>
            <w:r>
              <w:rPr>
                <w:rFonts w:cs="Arial"/>
                <w:b/>
                <w:bCs/>
              </w:rPr>
              <w:t>67</w:t>
            </w:r>
          </w:p>
        </w:tc>
      </w:tr>
    </w:tbl>
    <w:p w14:paraId="47DEC316" w14:textId="77777777" w:rsidR="00995CD8" w:rsidRDefault="00995CD8" w:rsidP="00995CD8">
      <w:pPr>
        <w:ind w:left="-142" w:right="-425"/>
        <w:jc w:val="both"/>
        <w:rPr>
          <w:rFonts w:cs="Arial"/>
        </w:rPr>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45933DA0" w14:textId="77777777" w:rsidR="003E4DE0" w:rsidRDefault="003E4DE0" w:rsidP="00106EA8">
      <w:pPr>
        <w:tabs>
          <w:tab w:val="left" w:pos="1134"/>
        </w:tabs>
        <w:ind w:left="-142" w:right="-425"/>
        <w:jc w:val="both"/>
      </w:pPr>
    </w:p>
    <w:p w14:paraId="6C36ABA8" w14:textId="42AFACF3" w:rsidR="003317A8" w:rsidRDefault="00FB4106" w:rsidP="005C0A9F">
      <w:pPr>
        <w:tabs>
          <w:tab w:val="decimal" w:pos="720"/>
        </w:tabs>
        <w:ind w:left="-142" w:right="-425"/>
        <w:jc w:val="both"/>
      </w:pPr>
      <w:r>
        <w:tab/>
      </w:r>
      <w:r w:rsidR="003317A8">
        <w:t>5</w:t>
      </w:r>
      <w:r w:rsidR="007B595B">
        <w:t>7</w:t>
      </w:r>
      <w:r w:rsidR="003317A8">
        <w:t xml:space="preserve"> percen</w:t>
      </w:r>
      <w:r w:rsidR="00FC7C1D">
        <w:t>t</w:t>
      </w:r>
      <w:r w:rsidR="003317A8">
        <w:t xml:space="preserve"> received a school attendance </w:t>
      </w:r>
      <w:r w:rsidR="00546F72">
        <w:t xml:space="preserve">(EQ) </w:t>
      </w:r>
      <w:r w:rsidR="003317A8">
        <w:t>notice</w:t>
      </w:r>
    </w:p>
    <w:p w14:paraId="148CD9E5" w14:textId="723BCDD9" w:rsidR="003317A8" w:rsidRDefault="00FB4106" w:rsidP="005C0A9F">
      <w:pPr>
        <w:tabs>
          <w:tab w:val="decimal" w:pos="720"/>
        </w:tabs>
        <w:ind w:left="-142" w:right="-425"/>
        <w:jc w:val="both"/>
      </w:pPr>
      <w:r>
        <w:tab/>
      </w:r>
      <w:r w:rsidR="00A844EA">
        <w:t>16</w:t>
      </w:r>
      <w:r w:rsidR="00492241">
        <w:t xml:space="preserve"> </w:t>
      </w:r>
      <w:r w:rsidR="00FC7C1D">
        <w:t xml:space="preserve">percent </w:t>
      </w:r>
      <w:r w:rsidR="00492241">
        <w:t>received a Magistrate Co</w:t>
      </w:r>
      <w:r w:rsidR="00E364B4">
        <w:t>u</w:t>
      </w:r>
      <w:r w:rsidR="00492241">
        <w:t xml:space="preserve">rt </w:t>
      </w:r>
      <w:r w:rsidR="00546F72">
        <w:t xml:space="preserve">(MAG) </w:t>
      </w:r>
      <w:r w:rsidR="00492241">
        <w:t>notice</w:t>
      </w:r>
    </w:p>
    <w:p w14:paraId="2F67FFD0" w14:textId="169DF83C" w:rsidR="003317A8" w:rsidRDefault="00FB4106" w:rsidP="005C0A9F">
      <w:pPr>
        <w:tabs>
          <w:tab w:val="decimal" w:pos="720"/>
        </w:tabs>
        <w:ind w:left="-142" w:right="-425"/>
        <w:jc w:val="both"/>
      </w:pPr>
      <w:r>
        <w:tab/>
      </w:r>
      <w:r w:rsidR="00A844EA">
        <w:t>5</w:t>
      </w:r>
      <w:r w:rsidR="00E364B4">
        <w:t xml:space="preserve"> </w:t>
      </w:r>
      <w:r w:rsidR="00FC7C1D">
        <w:t xml:space="preserve">percent </w:t>
      </w:r>
      <w:r w:rsidR="00E364B4">
        <w:t xml:space="preserve">received a domestic violence order </w:t>
      </w:r>
      <w:r w:rsidR="00546F72">
        <w:t xml:space="preserve">(DVO) </w:t>
      </w:r>
      <w:r w:rsidR="00E364B4">
        <w:t>notice</w:t>
      </w:r>
    </w:p>
    <w:p w14:paraId="223B34AE" w14:textId="483A1C1C" w:rsidR="00BE75FC" w:rsidRDefault="00FB4106" w:rsidP="005C0A9F">
      <w:pPr>
        <w:tabs>
          <w:tab w:val="decimal" w:pos="720"/>
        </w:tabs>
        <w:ind w:left="-142" w:right="-425"/>
        <w:jc w:val="both"/>
      </w:pPr>
      <w:r>
        <w:tab/>
      </w:r>
      <w:r w:rsidR="00A844EA">
        <w:t>4</w:t>
      </w:r>
      <w:r w:rsidR="00E364B4">
        <w:t xml:space="preserve"> </w:t>
      </w:r>
      <w:r w:rsidR="00FC7C1D">
        <w:t xml:space="preserve">percent </w:t>
      </w:r>
      <w:r w:rsidR="00E364B4">
        <w:t xml:space="preserve">received a child safety and welfare </w:t>
      </w:r>
      <w:r w:rsidR="00546F72">
        <w:t xml:space="preserve">(CS) </w:t>
      </w:r>
      <w:r w:rsidR="00E364B4">
        <w:t>notice</w:t>
      </w:r>
    </w:p>
    <w:p w14:paraId="72601DFF" w14:textId="113DDCAB" w:rsidR="008E38F0" w:rsidRDefault="00FB4106" w:rsidP="005C0A9F">
      <w:pPr>
        <w:tabs>
          <w:tab w:val="decimal" w:pos="720"/>
        </w:tabs>
        <w:ind w:left="-142" w:right="-425"/>
        <w:jc w:val="both"/>
      </w:pPr>
      <w:r>
        <w:tab/>
      </w:r>
      <w:r w:rsidR="00BE75FC">
        <w:t xml:space="preserve">3 </w:t>
      </w:r>
      <w:r w:rsidR="00FC7C1D">
        <w:t xml:space="preserve">percent </w:t>
      </w:r>
      <w:r w:rsidR="00BE75FC">
        <w:t xml:space="preserve">received a housing tenancy breach </w:t>
      </w:r>
      <w:r w:rsidR="00546F72">
        <w:t xml:space="preserve">(HT) </w:t>
      </w:r>
      <w:r w:rsidR="00BE75FC">
        <w:t>notice</w:t>
      </w:r>
    </w:p>
    <w:p w14:paraId="58AC5F34" w14:textId="30A0E364" w:rsidR="00C242FC" w:rsidRDefault="00C242FC" w:rsidP="005C0A9F">
      <w:pPr>
        <w:tabs>
          <w:tab w:val="decimal" w:pos="720"/>
        </w:tabs>
        <w:ind w:left="-142" w:right="-425"/>
        <w:jc w:val="both"/>
      </w:pPr>
      <w:r>
        <w:tab/>
        <w:t xml:space="preserve">1 </w:t>
      </w:r>
      <w:r w:rsidR="00FC7C1D">
        <w:t xml:space="preserve">percent </w:t>
      </w:r>
      <w:r>
        <w:t xml:space="preserve">received a domestic violence breach </w:t>
      </w:r>
      <w:r w:rsidR="00546F72">
        <w:t>(DVB</w:t>
      </w:r>
      <w:r w:rsidR="003C64B1">
        <w:t>)</w:t>
      </w:r>
      <w:r w:rsidR="00546F72">
        <w:t xml:space="preserve"> </w:t>
      </w:r>
      <w:r>
        <w:t>notice and</w:t>
      </w:r>
    </w:p>
    <w:p w14:paraId="3606AB56" w14:textId="3A56D4D6" w:rsidR="00C242FC" w:rsidRDefault="00C242FC" w:rsidP="005C0A9F">
      <w:pPr>
        <w:tabs>
          <w:tab w:val="decimal" w:pos="720"/>
        </w:tabs>
        <w:ind w:left="-142" w:right="-425"/>
        <w:jc w:val="both"/>
      </w:pPr>
      <w:r>
        <w:tab/>
        <w:t xml:space="preserve">1 </w:t>
      </w:r>
      <w:r w:rsidR="00FC7C1D">
        <w:t xml:space="preserve">percent </w:t>
      </w:r>
      <w:r>
        <w:t xml:space="preserve">received a school non-enrolment </w:t>
      </w:r>
      <w:r w:rsidR="00546F72">
        <w:t>(SE</w:t>
      </w:r>
      <w:r w:rsidR="003C64B1">
        <w:t xml:space="preserve">N) </w:t>
      </w:r>
      <w:r>
        <w:t>notice.</w:t>
      </w:r>
    </w:p>
    <w:p w14:paraId="6BABDAC1" w14:textId="52C1BFD2" w:rsidR="001B6C3A" w:rsidRDefault="001B6C3A" w:rsidP="00FB4106">
      <w:pPr>
        <w:tabs>
          <w:tab w:val="decimal" w:pos="720"/>
        </w:tabs>
        <w:ind w:left="-142" w:right="-425"/>
        <w:jc w:val="both"/>
      </w:pPr>
    </w:p>
    <w:p w14:paraId="26281067" w14:textId="73B145E5" w:rsidR="0030587D" w:rsidRDefault="00EA75FE" w:rsidP="00106EA8">
      <w:pPr>
        <w:tabs>
          <w:tab w:val="left" w:pos="1134"/>
        </w:tabs>
        <w:ind w:left="-142" w:right="-425"/>
        <w:jc w:val="both"/>
      </w:pPr>
      <w:r>
        <w:t xml:space="preserve">The remaining sole trigger notice </w:t>
      </w:r>
      <w:r w:rsidR="001B6C3A">
        <w:t xml:space="preserve">received for </w:t>
      </w:r>
      <w:r w:rsidR="005728FA">
        <w:t xml:space="preserve">a </w:t>
      </w:r>
      <w:r w:rsidR="001B6C3A">
        <w:t xml:space="preserve">Commission client during the quarter </w:t>
      </w:r>
      <w:r w:rsidR="00410B59">
        <w:t>w</w:t>
      </w:r>
      <w:r w:rsidR="005728FA">
        <w:t>as</w:t>
      </w:r>
      <w:r>
        <w:t xml:space="preserve"> </w:t>
      </w:r>
      <w:r w:rsidR="001B6C3A">
        <w:t xml:space="preserve">1 client with a </w:t>
      </w:r>
      <w:r w:rsidR="001133BC">
        <w:t xml:space="preserve">District Court </w:t>
      </w:r>
      <w:r w:rsidR="003C64B1">
        <w:t xml:space="preserve">(DIS) </w:t>
      </w:r>
      <w:r w:rsidR="001B6C3A">
        <w:t>notice</w:t>
      </w:r>
      <w:r w:rsidR="001422AC">
        <w:t>.</w:t>
      </w:r>
    </w:p>
    <w:p w14:paraId="1CDA4B4C" w14:textId="7D876332" w:rsidR="0030587D" w:rsidRDefault="0030587D" w:rsidP="00106EA8">
      <w:pPr>
        <w:tabs>
          <w:tab w:val="left" w:pos="1134"/>
        </w:tabs>
        <w:ind w:left="-142" w:right="-425"/>
        <w:jc w:val="both"/>
      </w:pPr>
    </w:p>
    <w:p w14:paraId="78ABBEEE" w14:textId="3880E650" w:rsidR="004E36FE" w:rsidRDefault="00702AE8" w:rsidP="004E36FE">
      <w:pPr>
        <w:tabs>
          <w:tab w:val="left" w:pos="1134"/>
        </w:tabs>
        <w:ind w:left="-142" w:right="-425"/>
        <w:jc w:val="both"/>
      </w:pPr>
      <w:r>
        <w:t>A</w:t>
      </w:r>
      <w:r w:rsidR="002A0383">
        <w:t>dditional</w:t>
      </w:r>
      <w:r w:rsidR="006E1ADD">
        <w:t xml:space="preserve"> insight into</w:t>
      </w:r>
      <w:r w:rsidR="001133BC">
        <w:t xml:space="preserve"> </w:t>
      </w:r>
      <w:r w:rsidR="00C73445">
        <w:t xml:space="preserve">the </w:t>
      </w:r>
      <w:r w:rsidR="00D66185">
        <w:t xml:space="preserve">complexity of </w:t>
      </w:r>
      <w:r w:rsidR="00C73445">
        <w:t>issues faced by clients</w:t>
      </w:r>
      <w:r>
        <w:t xml:space="preserve"> can be seen below</w:t>
      </w:r>
      <w:r w:rsidR="00C73445">
        <w:t xml:space="preserve">. </w:t>
      </w:r>
      <w:r>
        <w:t>Table 2 shows t</w:t>
      </w:r>
      <w:r w:rsidR="00D87B74">
        <w:t xml:space="preserve">he combination of trigger notices received for </w:t>
      </w:r>
      <w:r w:rsidR="0022324B">
        <w:t xml:space="preserve">75 </w:t>
      </w:r>
      <w:r w:rsidR="00DB02B5">
        <w:t xml:space="preserve">clients </w:t>
      </w:r>
      <w:r w:rsidR="006E1ADD">
        <w:t>w</w:t>
      </w:r>
      <w:r w:rsidR="00266BB4">
        <w:t xml:space="preserve">ith </w:t>
      </w:r>
      <w:r w:rsidR="00DB02B5">
        <w:t xml:space="preserve">more than one </w:t>
      </w:r>
      <w:r w:rsidR="00D87B74">
        <w:t xml:space="preserve">type of </w:t>
      </w:r>
      <w:r w:rsidR="00DB02B5">
        <w:t xml:space="preserve">trigger </w:t>
      </w:r>
      <w:r w:rsidR="00D87B74">
        <w:t xml:space="preserve">notice. One can see that predominantly </w:t>
      </w:r>
      <w:r w:rsidR="00E451BA">
        <w:t>there is a nexus between</w:t>
      </w:r>
      <w:r w:rsidR="00266BB4">
        <w:t xml:space="preserve"> </w:t>
      </w:r>
      <w:r w:rsidR="00D87B74">
        <w:t xml:space="preserve">Court convictions </w:t>
      </w:r>
      <w:r w:rsidR="00266BB4">
        <w:t xml:space="preserve">and domestic violence orders/breaches </w:t>
      </w:r>
      <w:r w:rsidR="00E451BA">
        <w:t>with</w:t>
      </w:r>
      <w:r w:rsidR="00D87B74">
        <w:t xml:space="preserve"> education </w:t>
      </w:r>
      <w:r w:rsidR="00E451BA">
        <w:t xml:space="preserve">notices </w:t>
      </w:r>
      <w:r w:rsidR="00D87B74">
        <w:t>and child safety issues</w:t>
      </w:r>
      <w:r w:rsidR="00A903B1">
        <w:t xml:space="preserve">, </w:t>
      </w:r>
      <w:proofErr w:type="gramStart"/>
      <w:r w:rsidR="00A903B1">
        <w:t xml:space="preserve">and </w:t>
      </w:r>
      <w:r w:rsidR="00E451BA">
        <w:t>also</w:t>
      </w:r>
      <w:proofErr w:type="gramEnd"/>
      <w:r w:rsidR="00E451BA">
        <w:t xml:space="preserve"> </w:t>
      </w:r>
      <w:r w:rsidR="00A903B1">
        <w:t>a strong nexus between child safety issues and education notices</w:t>
      </w:r>
      <w:r w:rsidR="00266BB4">
        <w:t>.</w:t>
      </w:r>
    </w:p>
    <w:p w14:paraId="4DF56508" w14:textId="6FC8AD83" w:rsidR="0030587D" w:rsidRDefault="0030587D" w:rsidP="00106EA8">
      <w:pPr>
        <w:tabs>
          <w:tab w:val="left" w:pos="1134"/>
        </w:tabs>
        <w:ind w:left="-142" w:right="-425"/>
        <w:jc w:val="both"/>
      </w:pPr>
    </w:p>
    <w:p w14:paraId="637790D1" w14:textId="77777777" w:rsidR="00995CD8" w:rsidRDefault="00995CD8">
      <w:pPr>
        <w:spacing w:line="240" w:lineRule="auto"/>
        <w:rPr>
          <w:b/>
          <w:sz w:val="16"/>
          <w:szCs w:val="16"/>
        </w:rPr>
      </w:pPr>
      <w:r>
        <w:rPr>
          <w:b/>
          <w:sz w:val="16"/>
          <w:szCs w:val="16"/>
        </w:rPr>
        <w:br w:type="page"/>
      </w:r>
    </w:p>
    <w:p w14:paraId="545211AE" w14:textId="494B292D"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995CD8">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multiple and differing </w:t>
      </w:r>
      <w:r w:rsidR="00352CA2" w:rsidRPr="00352CA2">
        <w:rPr>
          <w:bCs/>
          <w:sz w:val="16"/>
          <w:szCs w:val="16"/>
        </w:rPr>
        <w:t>agency notices</w:t>
      </w:r>
      <w:r w:rsidR="007E7F5E">
        <w:rPr>
          <w:bCs/>
          <w:sz w:val="16"/>
          <w:szCs w:val="16"/>
        </w:rPr>
        <w:t xml:space="preserve"> (</w:t>
      </w:r>
      <w:proofErr w:type="gramStart"/>
      <w:r w:rsidR="007E7F5E">
        <w:rPr>
          <w:bCs/>
          <w:sz w:val="16"/>
          <w:szCs w:val="16"/>
        </w:rPr>
        <w:t>i.e.</w:t>
      </w:r>
      <w:proofErr w:type="gramEnd"/>
      <w:r w:rsidR="007E7F5E">
        <w:rPr>
          <w:bCs/>
          <w:sz w:val="16"/>
          <w:szCs w:val="16"/>
        </w:rPr>
        <w:t xml:space="preserv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1 </w:t>
      </w:r>
      <w:r w:rsidR="00C02DC0">
        <w:rPr>
          <w:bCs/>
          <w:sz w:val="16"/>
          <w:szCs w:val="16"/>
        </w:rPr>
        <w:t>April</w:t>
      </w:r>
      <w:r w:rsidR="00352CA2" w:rsidRPr="00352CA2">
        <w:rPr>
          <w:bCs/>
          <w:sz w:val="16"/>
          <w:szCs w:val="16"/>
        </w:rPr>
        <w:t xml:space="preserve"> 2021 to </w:t>
      </w:r>
      <w:r w:rsidR="00C02DC0">
        <w:rPr>
          <w:bCs/>
          <w:sz w:val="16"/>
          <w:szCs w:val="16"/>
        </w:rPr>
        <w:t>30 June</w:t>
      </w:r>
      <w:r w:rsidR="00352CA2" w:rsidRPr="00352CA2">
        <w:rPr>
          <w:bCs/>
          <w:sz w:val="16"/>
          <w:szCs w:val="16"/>
        </w:rPr>
        <w:t xml:space="preserve"> 2021</w:t>
      </w:r>
      <w:r w:rsidR="00993F41" w:rsidRPr="008F6888">
        <w:rPr>
          <w:rStyle w:val="FootnoteReference"/>
          <w:bCs/>
          <w:sz w:val="16"/>
          <w:szCs w:val="16"/>
        </w:rPr>
        <w:footnoteReference w:id="5"/>
      </w:r>
      <w:r w:rsidR="00352CA2" w:rsidRPr="00993F41">
        <w:rPr>
          <w:bCs/>
        </w:rPr>
        <w:t>.</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1D783C" w:rsidRPr="00FE5409" w14:paraId="30B9C695" w14:textId="77777777" w:rsidTr="001D783C">
        <w:trPr>
          <w:trHeight w:val="300"/>
        </w:trPr>
        <w:tc>
          <w:tcPr>
            <w:tcW w:w="2200" w:type="dxa"/>
            <w:shd w:val="clear" w:color="auto" w:fill="auto"/>
          </w:tcPr>
          <w:p w14:paraId="01A600CA" w14:textId="1C747D95" w:rsidR="001D783C" w:rsidRPr="00FE5409" w:rsidRDefault="001D783C" w:rsidP="001D783C">
            <w:pPr>
              <w:spacing w:line="240" w:lineRule="auto"/>
              <w:rPr>
                <w:rFonts w:cs="Calibri"/>
                <w:color w:val="000000"/>
                <w:lang w:eastAsia="en-AU"/>
              </w:rPr>
            </w:pPr>
            <w:proofErr w:type="gramStart"/>
            <w:r>
              <w:rPr>
                <w:rFonts w:cs="Arial"/>
                <w:color w:val="000000"/>
              </w:rPr>
              <w:t>CS,DVB</w:t>
            </w:r>
            <w:proofErr w:type="gramEnd"/>
            <w:r>
              <w:rPr>
                <w:rFonts w:cs="Arial"/>
                <w:color w:val="000000"/>
              </w:rPr>
              <w:t>,EQ,MAG</w:t>
            </w:r>
          </w:p>
        </w:tc>
        <w:tc>
          <w:tcPr>
            <w:tcW w:w="1197" w:type="dxa"/>
            <w:shd w:val="clear" w:color="auto" w:fill="auto"/>
          </w:tcPr>
          <w:p w14:paraId="5878E36E" w14:textId="3C027926" w:rsidR="001D783C" w:rsidRPr="00FE5409" w:rsidRDefault="001D783C" w:rsidP="001D783C">
            <w:pPr>
              <w:spacing w:line="240" w:lineRule="auto"/>
              <w:jc w:val="right"/>
              <w:rPr>
                <w:rFonts w:cs="Calibri"/>
                <w:color w:val="000000"/>
                <w:lang w:eastAsia="en-AU"/>
              </w:rPr>
            </w:pPr>
            <w:r>
              <w:rPr>
                <w:rFonts w:cs="Arial"/>
                <w:color w:val="000000"/>
              </w:rPr>
              <w:t>1</w:t>
            </w:r>
          </w:p>
        </w:tc>
      </w:tr>
      <w:tr w:rsidR="001D783C" w:rsidRPr="00FE5409" w14:paraId="04434822" w14:textId="77777777" w:rsidTr="001D783C">
        <w:trPr>
          <w:trHeight w:val="300"/>
        </w:trPr>
        <w:tc>
          <w:tcPr>
            <w:tcW w:w="2200" w:type="dxa"/>
            <w:shd w:val="clear" w:color="auto" w:fill="auto"/>
          </w:tcPr>
          <w:p w14:paraId="34011875" w14:textId="45EE6D3D" w:rsidR="001D783C" w:rsidRPr="00FE5409" w:rsidRDefault="001D783C" w:rsidP="001D783C">
            <w:pPr>
              <w:spacing w:line="240" w:lineRule="auto"/>
              <w:rPr>
                <w:rFonts w:cs="Calibri"/>
                <w:color w:val="000000"/>
                <w:lang w:eastAsia="en-AU"/>
              </w:rPr>
            </w:pPr>
            <w:proofErr w:type="gramStart"/>
            <w:r>
              <w:rPr>
                <w:rFonts w:cs="Arial"/>
                <w:color w:val="000000"/>
              </w:rPr>
              <w:t>CS,DVO</w:t>
            </w:r>
            <w:proofErr w:type="gramEnd"/>
          </w:p>
        </w:tc>
        <w:tc>
          <w:tcPr>
            <w:tcW w:w="1197" w:type="dxa"/>
            <w:shd w:val="clear" w:color="auto" w:fill="auto"/>
          </w:tcPr>
          <w:p w14:paraId="29142103" w14:textId="66E18D1B" w:rsidR="001D783C" w:rsidRPr="00FE5409" w:rsidRDefault="001D783C" w:rsidP="001D783C">
            <w:pPr>
              <w:spacing w:line="240" w:lineRule="auto"/>
              <w:jc w:val="right"/>
              <w:rPr>
                <w:rFonts w:cs="Calibri"/>
                <w:color w:val="000000"/>
                <w:lang w:eastAsia="en-AU"/>
              </w:rPr>
            </w:pPr>
            <w:r>
              <w:rPr>
                <w:rFonts w:cs="Arial"/>
                <w:color w:val="000000"/>
              </w:rPr>
              <w:t>1</w:t>
            </w:r>
          </w:p>
        </w:tc>
      </w:tr>
      <w:tr w:rsidR="001D783C" w:rsidRPr="00FE5409" w14:paraId="45421862" w14:textId="77777777" w:rsidTr="001D783C">
        <w:trPr>
          <w:trHeight w:val="300"/>
        </w:trPr>
        <w:tc>
          <w:tcPr>
            <w:tcW w:w="2200" w:type="dxa"/>
            <w:shd w:val="clear" w:color="auto" w:fill="auto"/>
          </w:tcPr>
          <w:p w14:paraId="2433043D" w14:textId="75EF3DBD" w:rsidR="001D783C" w:rsidRPr="00FE5409" w:rsidRDefault="001D783C" w:rsidP="001D783C">
            <w:pPr>
              <w:spacing w:line="240" w:lineRule="auto"/>
              <w:rPr>
                <w:rFonts w:cs="Calibri"/>
                <w:color w:val="000000"/>
                <w:lang w:eastAsia="en-AU"/>
              </w:rPr>
            </w:pPr>
            <w:proofErr w:type="gramStart"/>
            <w:r>
              <w:rPr>
                <w:rFonts w:cs="Arial"/>
                <w:color w:val="000000"/>
              </w:rPr>
              <w:t>CS,EQ</w:t>
            </w:r>
            <w:proofErr w:type="gramEnd"/>
          </w:p>
        </w:tc>
        <w:tc>
          <w:tcPr>
            <w:tcW w:w="1197" w:type="dxa"/>
            <w:shd w:val="clear" w:color="auto" w:fill="auto"/>
          </w:tcPr>
          <w:p w14:paraId="5436615D" w14:textId="7620824E" w:rsidR="001D783C" w:rsidRPr="00FE5409" w:rsidRDefault="001D783C" w:rsidP="001D783C">
            <w:pPr>
              <w:spacing w:line="240" w:lineRule="auto"/>
              <w:jc w:val="right"/>
              <w:rPr>
                <w:rFonts w:cs="Calibri"/>
                <w:color w:val="000000"/>
                <w:lang w:eastAsia="en-AU"/>
              </w:rPr>
            </w:pPr>
            <w:r>
              <w:rPr>
                <w:rFonts w:cs="Arial"/>
                <w:color w:val="000000"/>
              </w:rPr>
              <w:t>17</w:t>
            </w:r>
          </w:p>
        </w:tc>
      </w:tr>
      <w:tr w:rsidR="001D783C" w:rsidRPr="00FE5409" w14:paraId="492A9CC8" w14:textId="77777777" w:rsidTr="001D783C">
        <w:trPr>
          <w:trHeight w:val="300"/>
        </w:trPr>
        <w:tc>
          <w:tcPr>
            <w:tcW w:w="2200" w:type="dxa"/>
            <w:shd w:val="clear" w:color="auto" w:fill="auto"/>
          </w:tcPr>
          <w:p w14:paraId="13AE3B26" w14:textId="55E70735" w:rsidR="001D783C" w:rsidRPr="00FE5409" w:rsidRDefault="001D783C" w:rsidP="001D783C">
            <w:pPr>
              <w:spacing w:line="240" w:lineRule="auto"/>
              <w:rPr>
                <w:rFonts w:cs="Calibri"/>
                <w:color w:val="000000"/>
                <w:lang w:eastAsia="en-AU"/>
              </w:rPr>
            </w:pPr>
            <w:proofErr w:type="gramStart"/>
            <w:r>
              <w:rPr>
                <w:rFonts w:cs="Arial"/>
                <w:color w:val="000000"/>
              </w:rPr>
              <w:t>DIS,DVB</w:t>
            </w:r>
            <w:proofErr w:type="gramEnd"/>
          </w:p>
        </w:tc>
        <w:tc>
          <w:tcPr>
            <w:tcW w:w="1197" w:type="dxa"/>
            <w:shd w:val="clear" w:color="auto" w:fill="auto"/>
          </w:tcPr>
          <w:p w14:paraId="1E1FE897" w14:textId="1B0C5486" w:rsidR="001D783C" w:rsidRPr="00FE5409" w:rsidRDefault="001D783C" w:rsidP="001D783C">
            <w:pPr>
              <w:spacing w:line="240" w:lineRule="auto"/>
              <w:jc w:val="right"/>
              <w:rPr>
                <w:rFonts w:cs="Calibri"/>
                <w:color w:val="000000"/>
                <w:lang w:eastAsia="en-AU"/>
              </w:rPr>
            </w:pPr>
            <w:r>
              <w:rPr>
                <w:rFonts w:cs="Arial"/>
                <w:color w:val="000000"/>
              </w:rPr>
              <w:t>1</w:t>
            </w:r>
          </w:p>
        </w:tc>
      </w:tr>
      <w:tr w:rsidR="001D783C" w:rsidRPr="00FE5409" w14:paraId="710FEBFB" w14:textId="77777777" w:rsidTr="0063787B">
        <w:trPr>
          <w:trHeight w:val="300"/>
        </w:trPr>
        <w:tc>
          <w:tcPr>
            <w:tcW w:w="2200" w:type="dxa"/>
            <w:shd w:val="clear" w:color="auto" w:fill="auto"/>
          </w:tcPr>
          <w:p w14:paraId="6A239A46" w14:textId="43134B1B" w:rsidR="001D783C" w:rsidRDefault="001D783C" w:rsidP="001D783C">
            <w:pPr>
              <w:spacing w:line="240" w:lineRule="auto"/>
              <w:rPr>
                <w:rFonts w:cs="Calibri"/>
                <w:color w:val="000000"/>
                <w:lang w:eastAsia="en-AU"/>
              </w:rPr>
            </w:pPr>
            <w:proofErr w:type="gramStart"/>
            <w:r>
              <w:rPr>
                <w:rFonts w:cs="Arial"/>
                <w:color w:val="000000"/>
              </w:rPr>
              <w:t>DIS,DVB</w:t>
            </w:r>
            <w:proofErr w:type="gramEnd"/>
            <w:r>
              <w:rPr>
                <w:rFonts w:cs="Arial"/>
                <w:color w:val="000000"/>
              </w:rPr>
              <w:t>,SEN</w:t>
            </w:r>
          </w:p>
        </w:tc>
        <w:tc>
          <w:tcPr>
            <w:tcW w:w="1197" w:type="dxa"/>
            <w:shd w:val="clear" w:color="auto" w:fill="auto"/>
          </w:tcPr>
          <w:p w14:paraId="72E25CD2" w14:textId="56352E03" w:rsidR="001D783C" w:rsidRDefault="001D783C" w:rsidP="001D783C">
            <w:pPr>
              <w:spacing w:line="240" w:lineRule="auto"/>
              <w:jc w:val="right"/>
              <w:rPr>
                <w:rFonts w:cs="Calibri"/>
                <w:color w:val="000000"/>
                <w:lang w:eastAsia="en-AU"/>
              </w:rPr>
            </w:pPr>
            <w:r>
              <w:rPr>
                <w:rFonts w:cs="Arial"/>
                <w:color w:val="000000"/>
              </w:rPr>
              <w:t>1</w:t>
            </w:r>
          </w:p>
        </w:tc>
      </w:tr>
      <w:tr w:rsidR="001D783C" w:rsidRPr="00FE5409" w14:paraId="6FF59BF7" w14:textId="77777777" w:rsidTr="0063787B">
        <w:trPr>
          <w:trHeight w:val="300"/>
        </w:trPr>
        <w:tc>
          <w:tcPr>
            <w:tcW w:w="2200" w:type="dxa"/>
            <w:shd w:val="clear" w:color="auto" w:fill="auto"/>
          </w:tcPr>
          <w:p w14:paraId="46C178A4" w14:textId="513315CF" w:rsidR="001D783C" w:rsidRDefault="001D783C" w:rsidP="001D783C">
            <w:pPr>
              <w:spacing w:line="240" w:lineRule="auto"/>
              <w:rPr>
                <w:rFonts w:cs="Calibri"/>
                <w:color w:val="000000"/>
                <w:lang w:eastAsia="en-AU"/>
              </w:rPr>
            </w:pPr>
            <w:proofErr w:type="gramStart"/>
            <w:r>
              <w:rPr>
                <w:rFonts w:cs="Arial"/>
                <w:color w:val="000000"/>
              </w:rPr>
              <w:t>DIS,EQ</w:t>
            </w:r>
            <w:proofErr w:type="gramEnd"/>
          </w:p>
        </w:tc>
        <w:tc>
          <w:tcPr>
            <w:tcW w:w="1197" w:type="dxa"/>
            <w:shd w:val="clear" w:color="auto" w:fill="auto"/>
          </w:tcPr>
          <w:p w14:paraId="073DFBE8" w14:textId="2FD8958B" w:rsidR="001D783C" w:rsidRDefault="001D783C" w:rsidP="001D783C">
            <w:pPr>
              <w:spacing w:line="240" w:lineRule="auto"/>
              <w:jc w:val="right"/>
              <w:rPr>
                <w:rFonts w:cs="Calibri"/>
                <w:color w:val="000000"/>
                <w:lang w:eastAsia="en-AU"/>
              </w:rPr>
            </w:pPr>
            <w:r>
              <w:rPr>
                <w:rFonts w:cs="Arial"/>
                <w:color w:val="000000"/>
              </w:rPr>
              <w:t>2</w:t>
            </w:r>
          </w:p>
        </w:tc>
      </w:tr>
      <w:tr w:rsidR="001D783C" w:rsidRPr="00FE5409" w14:paraId="1F7BFD3E" w14:textId="77777777" w:rsidTr="001D783C">
        <w:trPr>
          <w:trHeight w:val="300"/>
        </w:trPr>
        <w:tc>
          <w:tcPr>
            <w:tcW w:w="2200" w:type="dxa"/>
            <w:shd w:val="clear" w:color="auto" w:fill="auto"/>
          </w:tcPr>
          <w:p w14:paraId="7F0F7750" w14:textId="67E60939" w:rsidR="001D783C" w:rsidRPr="00FE5409" w:rsidRDefault="001D783C" w:rsidP="001D783C">
            <w:pPr>
              <w:spacing w:line="240" w:lineRule="auto"/>
              <w:rPr>
                <w:rFonts w:cs="Calibri"/>
                <w:color w:val="000000"/>
                <w:lang w:eastAsia="en-AU"/>
              </w:rPr>
            </w:pPr>
            <w:proofErr w:type="gramStart"/>
            <w:r>
              <w:rPr>
                <w:rFonts w:cs="Arial"/>
                <w:color w:val="000000"/>
              </w:rPr>
              <w:t>DVB,DVO</w:t>
            </w:r>
            <w:proofErr w:type="gramEnd"/>
          </w:p>
        </w:tc>
        <w:tc>
          <w:tcPr>
            <w:tcW w:w="1197" w:type="dxa"/>
            <w:shd w:val="clear" w:color="auto" w:fill="auto"/>
          </w:tcPr>
          <w:p w14:paraId="0F6136B2" w14:textId="7EFCD11B" w:rsidR="001D783C" w:rsidRPr="00FE5409" w:rsidRDefault="001D783C" w:rsidP="001D783C">
            <w:pPr>
              <w:spacing w:line="240" w:lineRule="auto"/>
              <w:jc w:val="right"/>
              <w:rPr>
                <w:rFonts w:cs="Calibri"/>
                <w:color w:val="000000"/>
                <w:lang w:eastAsia="en-AU"/>
              </w:rPr>
            </w:pPr>
            <w:r>
              <w:rPr>
                <w:rFonts w:cs="Arial"/>
                <w:color w:val="000000"/>
              </w:rPr>
              <w:t>1</w:t>
            </w:r>
          </w:p>
        </w:tc>
      </w:tr>
      <w:tr w:rsidR="001D783C" w:rsidRPr="00FE5409" w14:paraId="523D8FF2" w14:textId="77777777" w:rsidTr="001D783C">
        <w:trPr>
          <w:trHeight w:val="300"/>
        </w:trPr>
        <w:tc>
          <w:tcPr>
            <w:tcW w:w="2200" w:type="dxa"/>
            <w:shd w:val="clear" w:color="auto" w:fill="auto"/>
          </w:tcPr>
          <w:p w14:paraId="72AEFE4D" w14:textId="43EEED3F" w:rsidR="001D783C" w:rsidRPr="00FE5409" w:rsidRDefault="001D783C" w:rsidP="001D783C">
            <w:pPr>
              <w:spacing w:line="240" w:lineRule="auto"/>
              <w:rPr>
                <w:rFonts w:cs="Calibri"/>
                <w:color w:val="000000"/>
                <w:lang w:eastAsia="en-AU"/>
              </w:rPr>
            </w:pPr>
            <w:proofErr w:type="gramStart"/>
            <w:r>
              <w:rPr>
                <w:rFonts w:cs="Arial"/>
                <w:color w:val="000000"/>
              </w:rPr>
              <w:t>DVB,DVO</w:t>
            </w:r>
            <w:proofErr w:type="gramEnd"/>
            <w:r>
              <w:rPr>
                <w:rFonts w:cs="Arial"/>
                <w:color w:val="000000"/>
              </w:rPr>
              <w:t>,MAG</w:t>
            </w:r>
          </w:p>
        </w:tc>
        <w:tc>
          <w:tcPr>
            <w:tcW w:w="1197" w:type="dxa"/>
            <w:shd w:val="clear" w:color="auto" w:fill="auto"/>
          </w:tcPr>
          <w:p w14:paraId="3E5EB474" w14:textId="40106E37" w:rsidR="001D783C" w:rsidRPr="00FE5409" w:rsidRDefault="001D783C" w:rsidP="001D783C">
            <w:pPr>
              <w:spacing w:line="240" w:lineRule="auto"/>
              <w:jc w:val="right"/>
              <w:rPr>
                <w:rFonts w:cs="Calibri"/>
                <w:color w:val="000000"/>
                <w:lang w:eastAsia="en-AU"/>
              </w:rPr>
            </w:pPr>
            <w:r>
              <w:rPr>
                <w:rFonts w:cs="Arial"/>
                <w:color w:val="000000"/>
              </w:rPr>
              <w:t>1</w:t>
            </w:r>
          </w:p>
        </w:tc>
      </w:tr>
      <w:tr w:rsidR="001D783C" w:rsidRPr="00FE5409" w14:paraId="7473681C" w14:textId="77777777" w:rsidTr="001D783C">
        <w:trPr>
          <w:trHeight w:val="300"/>
        </w:trPr>
        <w:tc>
          <w:tcPr>
            <w:tcW w:w="2200" w:type="dxa"/>
            <w:shd w:val="clear" w:color="auto" w:fill="auto"/>
          </w:tcPr>
          <w:p w14:paraId="1EC80D89" w14:textId="51611623" w:rsidR="001D783C" w:rsidRPr="00FE5409" w:rsidRDefault="001D783C" w:rsidP="001D783C">
            <w:pPr>
              <w:spacing w:line="240" w:lineRule="auto"/>
              <w:rPr>
                <w:rFonts w:cs="Calibri"/>
                <w:color w:val="000000"/>
                <w:lang w:eastAsia="en-AU"/>
              </w:rPr>
            </w:pPr>
            <w:proofErr w:type="gramStart"/>
            <w:r>
              <w:rPr>
                <w:rFonts w:cs="Arial"/>
                <w:color w:val="000000"/>
              </w:rPr>
              <w:t>DVB,EQ</w:t>
            </w:r>
            <w:proofErr w:type="gramEnd"/>
            <w:r>
              <w:rPr>
                <w:rFonts w:cs="Arial"/>
                <w:color w:val="000000"/>
              </w:rPr>
              <w:t>,MAG</w:t>
            </w:r>
          </w:p>
        </w:tc>
        <w:tc>
          <w:tcPr>
            <w:tcW w:w="1197" w:type="dxa"/>
            <w:shd w:val="clear" w:color="auto" w:fill="auto"/>
          </w:tcPr>
          <w:p w14:paraId="7BBBF358" w14:textId="149B149C" w:rsidR="001D783C" w:rsidRPr="00FE5409" w:rsidRDefault="001D783C" w:rsidP="001D783C">
            <w:pPr>
              <w:spacing w:line="240" w:lineRule="auto"/>
              <w:jc w:val="right"/>
              <w:rPr>
                <w:rFonts w:cs="Calibri"/>
                <w:color w:val="000000"/>
                <w:lang w:eastAsia="en-AU"/>
              </w:rPr>
            </w:pPr>
            <w:r>
              <w:rPr>
                <w:rFonts w:cs="Arial"/>
                <w:color w:val="000000"/>
              </w:rPr>
              <w:t>3</w:t>
            </w:r>
          </w:p>
        </w:tc>
      </w:tr>
      <w:tr w:rsidR="001D783C" w:rsidRPr="00FE5409" w14:paraId="6071AA5B" w14:textId="77777777" w:rsidTr="001D783C">
        <w:trPr>
          <w:trHeight w:val="300"/>
        </w:trPr>
        <w:tc>
          <w:tcPr>
            <w:tcW w:w="2200" w:type="dxa"/>
            <w:shd w:val="clear" w:color="auto" w:fill="auto"/>
          </w:tcPr>
          <w:p w14:paraId="0A6DDECE" w14:textId="1C725A9F" w:rsidR="001D783C" w:rsidRPr="00FE5409" w:rsidRDefault="001D783C" w:rsidP="001D783C">
            <w:pPr>
              <w:spacing w:line="240" w:lineRule="auto"/>
              <w:rPr>
                <w:rFonts w:cs="Calibri"/>
                <w:color w:val="000000"/>
                <w:lang w:eastAsia="en-AU"/>
              </w:rPr>
            </w:pPr>
            <w:proofErr w:type="gramStart"/>
            <w:r>
              <w:rPr>
                <w:rFonts w:cs="Arial"/>
                <w:color w:val="000000"/>
              </w:rPr>
              <w:t>DVB,MAG</w:t>
            </w:r>
            <w:proofErr w:type="gramEnd"/>
          </w:p>
        </w:tc>
        <w:tc>
          <w:tcPr>
            <w:tcW w:w="1197" w:type="dxa"/>
            <w:shd w:val="clear" w:color="auto" w:fill="auto"/>
          </w:tcPr>
          <w:p w14:paraId="34093637" w14:textId="6A0B5735" w:rsidR="001D783C" w:rsidRPr="00FE5409" w:rsidRDefault="001D783C" w:rsidP="001D783C">
            <w:pPr>
              <w:spacing w:line="240" w:lineRule="auto"/>
              <w:jc w:val="right"/>
              <w:rPr>
                <w:rFonts w:cs="Calibri"/>
                <w:color w:val="000000"/>
                <w:lang w:eastAsia="en-AU"/>
              </w:rPr>
            </w:pPr>
            <w:r>
              <w:rPr>
                <w:rFonts w:cs="Arial"/>
                <w:color w:val="000000"/>
              </w:rPr>
              <w:t>13</w:t>
            </w:r>
          </w:p>
        </w:tc>
      </w:tr>
      <w:tr w:rsidR="001D783C" w:rsidRPr="00FE5409" w14:paraId="395B9232" w14:textId="77777777" w:rsidTr="001D783C">
        <w:trPr>
          <w:trHeight w:val="300"/>
        </w:trPr>
        <w:tc>
          <w:tcPr>
            <w:tcW w:w="2200" w:type="dxa"/>
            <w:shd w:val="clear" w:color="auto" w:fill="auto"/>
          </w:tcPr>
          <w:p w14:paraId="7A7085AF" w14:textId="69726921" w:rsidR="001D783C" w:rsidRPr="00FE5409" w:rsidRDefault="001D783C" w:rsidP="001D783C">
            <w:pPr>
              <w:spacing w:line="240" w:lineRule="auto"/>
              <w:rPr>
                <w:rFonts w:cs="Calibri"/>
                <w:color w:val="000000"/>
                <w:lang w:eastAsia="en-AU"/>
              </w:rPr>
            </w:pPr>
            <w:proofErr w:type="gramStart"/>
            <w:r>
              <w:rPr>
                <w:rFonts w:cs="Arial"/>
                <w:color w:val="000000"/>
              </w:rPr>
              <w:t>DVO,EQ</w:t>
            </w:r>
            <w:proofErr w:type="gramEnd"/>
          </w:p>
        </w:tc>
        <w:tc>
          <w:tcPr>
            <w:tcW w:w="1197" w:type="dxa"/>
            <w:shd w:val="clear" w:color="auto" w:fill="auto"/>
          </w:tcPr>
          <w:p w14:paraId="49C583BC" w14:textId="6537F7B8" w:rsidR="001D783C" w:rsidRPr="00FE5409" w:rsidRDefault="001D783C" w:rsidP="001D783C">
            <w:pPr>
              <w:spacing w:line="240" w:lineRule="auto"/>
              <w:jc w:val="right"/>
              <w:rPr>
                <w:rFonts w:cs="Calibri"/>
                <w:color w:val="000000"/>
                <w:lang w:eastAsia="en-AU"/>
              </w:rPr>
            </w:pPr>
            <w:r>
              <w:rPr>
                <w:rFonts w:cs="Arial"/>
                <w:color w:val="000000"/>
              </w:rPr>
              <w:t>4</w:t>
            </w:r>
          </w:p>
        </w:tc>
      </w:tr>
      <w:tr w:rsidR="001D783C" w:rsidRPr="00FE5409" w14:paraId="0ACB3A1E" w14:textId="77777777" w:rsidTr="001D783C">
        <w:trPr>
          <w:trHeight w:val="300"/>
        </w:trPr>
        <w:tc>
          <w:tcPr>
            <w:tcW w:w="2200" w:type="dxa"/>
            <w:shd w:val="clear" w:color="auto" w:fill="auto"/>
          </w:tcPr>
          <w:p w14:paraId="067DD967" w14:textId="2F273ACA" w:rsidR="001D783C" w:rsidRPr="00FE5409" w:rsidRDefault="001D783C" w:rsidP="001D783C">
            <w:pPr>
              <w:spacing w:line="240" w:lineRule="auto"/>
              <w:rPr>
                <w:rFonts w:cs="Calibri"/>
                <w:color w:val="000000"/>
                <w:lang w:eastAsia="en-AU"/>
              </w:rPr>
            </w:pPr>
            <w:proofErr w:type="gramStart"/>
            <w:r>
              <w:rPr>
                <w:rFonts w:cs="Arial"/>
                <w:color w:val="000000"/>
              </w:rPr>
              <w:t>DVO,MAG</w:t>
            </w:r>
            <w:proofErr w:type="gramEnd"/>
          </w:p>
        </w:tc>
        <w:tc>
          <w:tcPr>
            <w:tcW w:w="1197" w:type="dxa"/>
            <w:shd w:val="clear" w:color="auto" w:fill="auto"/>
          </w:tcPr>
          <w:p w14:paraId="2509FA12" w14:textId="0F073545" w:rsidR="001D783C" w:rsidRPr="00FE5409" w:rsidRDefault="001D783C" w:rsidP="001D783C">
            <w:pPr>
              <w:spacing w:line="240" w:lineRule="auto"/>
              <w:jc w:val="right"/>
              <w:rPr>
                <w:rFonts w:cs="Calibri"/>
                <w:color w:val="000000"/>
                <w:lang w:eastAsia="en-AU"/>
              </w:rPr>
            </w:pPr>
            <w:r>
              <w:rPr>
                <w:rFonts w:cs="Arial"/>
                <w:color w:val="000000"/>
              </w:rPr>
              <w:t>7</w:t>
            </w:r>
          </w:p>
        </w:tc>
      </w:tr>
      <w:tr w:rsidR="001D783C" w:rsidRPr="00FE5409" w14:paraId="1787C4F7" w14:textId="77777777" w:rsidTr="001D783C">
        <w:trPr>
          <w:trHeight w:val="300"/>
        </w:trPr>
        <w:tc>
          <w:tcPr>
            <w:tcW w:w="2200" w:type="dxa"/>
            <w:shd w:val="clear" w:color="auto" w:fill="auto"/>
          </w:tcPr>
          <w:p w14:paraId="4FDE344B" w14:textId="2AAC68F8" w:rsidR="001D783C" w:rsidRPr="00FE5409" w:rsidRDefault="001D783C" w:rsidP="001D783C">
            <w:pPr>
              <w:spacing w:line="240" w:lineRule="auto"/>
              <w:rPr>
                <w:rFonts w:cs="Calibri"/>
                <w:color w:val="000000"/>
                <w:lang w:eastAsia="en-AU"/>
              </w:rPr>
            </w:pPr>
            <w:proofErr w:type="gramStart"/>
            <w:r>
              <w:rPr>
                <w:rFonts w:cs="Arial"/>
                <w:color w:val="000000"/>
              </w:rPr>
              <w:t>EQ,HT</w:t>
            </w:r>
            <w:proofErr w:type="gramEnd"/>
          </w:p>
        </w:tc>
        <w:tc>
          <w:tcPr>
            <w:tcW w:w="1197" w:type="dxa"/>
            <w:shd w:val="clear" w:color="auto" w:fill="auto"/>
          </w:tcPr>
          <w:p w14:paraId="1A891217" w14:textId="3343C1F8" w:rsidR="001D783C" w:rsidRPr="00FE5409" w:rsidRDefault="001D783C" w:rsidP="001D783C">
            <w:pPr>
              <w:spacing w:line="240" w:lineRule="auto"/>
              <w:jc w:val="right"/>
              <w:rPr>
                <w:rFonts w:cs="Calibri"/>
                <w:color w:val="000000"/>
                <w:lang w:eastAsia="en-AU"/>
              </w:rPr>
            </w:pPr>
            <w:r>
              <w:rPr>
                <w:rFonts w:cs="Arial"/>
                <w:color w:val="000000"/>
              </w:rPr>
              <w:t>6</w:t>
            </w:r>
          </w:p>
        </w:tc>
      </w:tr>
      <w:tr w:rsidR="001D783C" w:rsidRPr="00FE5409" w14:paraId="18BBD4F7" w14:textId="77777777" w:rsidTr="0063787B">
        <w:trPr>
          <w:trHeight w:val="300"/>
        </w:trPr>
        <w:tc>
          <w:tcPr>
            <w:tcW w:w="2200" w:type="dxa"/>
            <w:shd w:val="clear" w:color="auto" w:fill="auto"/>
          </w:tcPr>
          <w:p w14:paraId="39E361CB" w14:textId="497512B2" w:rsidR="001D783C" w:rsidRPr="00FE5409" w:rsidRDefault="001D783C" w:rsidP="001D783C">
            <w:pPr>
              <w:spacing w:line="240" w:lineRule="auto"/>
              <w:rPr>
                <w:rFonts w:cs="Calibri"/>
                <w:color w:val="000000"/>
                <w:lang w:eastAsia="en-AU"/>
              </w:rPr>
            </w:pPr>
            <w:proofErr w:type="gramStart"/>
            <w:r>
              <w:rPr>
                <w:rFonts w:cs="Arial"/>
                <w:color w:val="000000"/>
              </w:rPr>
              <w:t>EQ,HT</w:t>
            </w:r>
            <w:proofErr w:type="gramEnd"/>
            <w:r>
              <w:rPr>
                <w:rFonts w:cs="Arial"/>
                <w:color w:val="000000"/>
              </w:rPr>
              <w:t>,MAG</w:t>
            </w:r>
          </w:p>
        </w:tc>
        <w:tc>
          <w:tcPr>
            <w:tcW w:w="1197" w:type="dxa"/>
            <w:shd w:val="clear" w:color="auto" w:fill="auto"/>
          </w:tcPr>
          <w:p w14:paraId="632B8C8C" w14:textId="2B5B1B12" w:rsidR="001D783C" w:rsidRDefault="001D783C" w:rsidP="001D783C">
            <w:pPr>
              <w:spacing w:line="240" w:lineRule="auto"/>
              <w:jc w:val="right"/>
              <w:rPr>
                <w:rFonts w:cs="Calibri"/>
                <w:color w:val="000000"/>
                <w:lang w:eastAsia="en-AU"/>
              </w:rPr>
            </w:pPr>
            <w:r>
              <w:rPr>
                <w:rFonts w:cs="Arial"/>
                <w:color w:val="000000"/>
              </w:rPr>
              <w:t>1</w:t>
            </w:r>
          </w:p>
        </w:tc>
      </w:tr>
      <w:tr w:rsidR="001D783C" w:rsidRPr="00FE5409" w14:paraId="57D16BF0" w14:textId="77777777" w:rsidTr="001D783C">
        <w:trPr>
          <w:trHeight w:val="300"/>
        </w:trPr>
        <w:tc>
          <w:tcPr>
            <w:tcW w:w="2200" w:type="dxa"/>
            <w:shd w:val="clear" w:color="auto" w:fill="auto"/>
          </w:tcPr>
          <w:p w14:paraId="4E9BEB95" w14:textId="612A444C" w:rsidR="001D783C" w:rsidRPr="00FE5409" w:rsidRDefault="001D783C" w:rsidP="001D783C">
            <w:pPr>
              <w:spacing w:line="240" w:lineRule="auto"/>
              <w:rPr>
                <w:rFonts w:cs="Calibri"/>
                <w:color w:val="000000"/>
                <w:lang w:eastAsia="en-AU"/>
              </w:rPr>
            </w:pPr>
            <w:proofErr w:type="gramStart"/>
            <w:r>
              <w:rPr>
                <w:rFonts w:cs="Arial"/>
                <w:color w:val="000000"/>
              </w:rPr>
              <w:t>EQ,MAG</w:t>
            </w:r>
            <w:proofErr w:type="gramEnd"/>
          </w:p>
        </w:tc>
        <w:tc>
          <w:tcPr>
            <w:tcW w:w="1197" w:type="dxa"/>
            <w:shd w:val="clear" w:color="auto" w:fill="auto"/>
          </w:tcPr>
          <w:p w14:paraId="4EA98147" w14:textId="2D8B11BE" w:rsidR="001D783C" w:rsidRPr="00FE5409" w:rsidRDefault="001D783C" w:rsidP="001D783C">
            <w:pPr>
              <w:spacing w:line="240" w:lineRule="auto"/>
              <w:jc w:val="right"/>
              <w:rPr>
                <w:rFonts w:cs="Calibri"/>
                <w:color w:val="000000"/>
                <w:lang w:eastAsia="en-AU"/>
              </w:rPr>
            </w:pPr>
            <w:r>
              <w:rPr>
                <w:rFonts w:cs="Arial"/>
                <w:color w:val="000000"/>
              </w:rPr>
              <w:t>15</w:t>
            </w:r>
          </w:p>
        </w:tc>
      </w:tr>
      <w:tr w:rsidR="001D783C" w:rsidRPr="00FE5409" w14:paraId="6174EF9A" w14:textId="77777777" w:rsidTr="001D783C">
        <w:trPr>
          <w:trHeight w:val="300"/>
        </w:trPr>
        <w:tc>
          <w:tcPr>
            <w:tcW w:w="2200" w:type="dxa"/>
            <w:shd w:val="clear" w:color="auto" w:fill="auto"/>
          </w:tcPr>
          <w:p w14:paraId="1826CCA7" w14:textId="0F0B4DBA" w:rsidR="001D783C" w:rsidRPr="00FE5409" w:rsidRDefault="001D783C" w:rsidP="001D783C">
            <w:pPr>
              <w:spacing w:line="240" w:lineRule="auto"/>
              <w:rPr>
                <w:rFonts w:cs="Calibri"/>
                <w:color w:val="000000"/>
                <w:lang w:eastAsia="en-AU"/>
              </w:rPr>
            </w:pPr>
            <w:proofErr w:type="gramStart"/>
            <w:r>
              <w:rPr>
                <w:rFonts w:cs="Arial"/>
                <w:color w:val="000000"/>
              </w:rPr>
              <w:t>HT,MAG</w:t>
            </w:r>
            <w:proofErr w:type="gramEnd"/>
          </w:p>
        </w:tc>
        <w:tc>
          <w:tcPr>
            <w:tcW w:w="1197" w:type="dxa"/>
            <w:shd w:val="clear" w:color="auto" w:fill="auto"/>
          </w:tcPr>
          <w:p w14:paraId="2385DCD0" w14:textId="3FB1A3A6" w:rsidR="001D783C" w:rsidRPr="00FE5409" w:rsidRDefault="001D783C" w:rsidP="001D783C">
            <w:pPr>
              <w:spacing w:line="240" w:lineRule="auto"/>
              <w:jc w:val="right"/>
              <w:rPr>
                <w:rFonts w:cs="Calibri"/>
                <w:color w:val="000000"/>
                <w:lang w:eastAsia="en-AU"/>
              </w:rPr>
            </w:pPr>
            <w:r>
              <w:rPr>
                <w:rFonts w:cs="Arial"/>
                <w:color w:val="000000"/>
              </w:rPr>
              <w:t>1</w:t>
            </w:r>
          </w:p>
        </w:tc>
      </w:tr>
      <w:tr w:rsidR="00FE5409" w:rsidRPr="00FE5409" w14:paraId="50E20029" w14:textId="77777777" w:rsidTr="0063787B">
        <w:trPr>
          <w:trHeight w:val="300"/>
        </w:trPr>
        <w:tc>
          <w:tcPr>
            <w:tcW w:w="2200" w:type="dxa"/>
            <w:shd w:val="clear" w:color="auto" w:fill="auto"/>
            <w:hideMark/>
          </w:tcPr>
          <w:p w14:paraId="53704947" w14:textId="77777777" w:rsidR="00FE5409" w:rsidRPr="00FE5409" w:rsidRDefault="00FE5409" w:rsidP="00FE5409">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7F454D1C" w:rsidR="00FE5409" w:rsidRPr="00FE5409" w:rsidRDefault="000149D0" w:rsidP="00FE5409">
            <w:pPr>
              <w:spacing w:line="240" w:lineRule="auto"/>
              <w:jc w:val="right"/>
              <w:rPr>
                <w:rFonts w:cs="Calibri"/>
                <w:b/>
                <w:bCs/>
                <w:color w:val="000000"/>
                <w:lang w:eastAsia="en-AU"/>
              </w:rPr>
            </w:pPr>
            <w:r>
              <w:rPr>
                <w:rFonts w:cs="Calibri"/>
                <w:b/>
                <w:bCs/>
                <w:color w:val="000000"/>
                <w:lang w:eastAsia="en-AU"/>
              </w:rPr>
              <w:t>75</w:t>
            </w:r>
          </w:p>
        </w:tc>
      </w:tr>
    </w:tbl>
    <w:p w14:paraId="2ADD0DB0" w14:textId="77777777" w:rsidR="00FE5409" w:rsidRDefault="00FE5409" w:rsidP="00106EA8">
      <w:pPr>
        <w:tabs>
          <w:tab w:val="left" w:pos="1134"/>
        </w:tabs>
        <w:ind w:left="-142" w:right="-425"/>
        <w:jc w:val="both"/>
      </w:pPr>
    </w:p>
    <w:p w14:paraId="7A7B2C9D" w14:textId="3F43AC8B" w:rsidR="0056316C" w:rsidRDefault="00342EBC" w:rsidP="00C16F20">
      <w:pPr>
        <w:ind w:left="-142" w:right="-425"/>
        <w:jc w:val="both"/>
        <w:rPr>
          <w:rFonts w:cs="Arial"/>
        </w:rPr>
      </w:pPr>
      <w:r>
        <w:rPr>
          <w:rFonts w:cs="Arial"/>
        </w:rPr>
        <w:t xml:space="preserve">As a result of </w:t>
      </w:r>
      <w:r w:rsidR="00190C1B">
        <w:rPr>
          <w:rFonts w:cs="Arial"/>
        </w:rPr>
        <w:t>an</w:t>
      </w:r>
      <w:r>
        <w:rPr>
          <w:rFonts w:cs="Arial"/>
        </w:rPr>
        <w:t xml:space="preserve"> extensive upgrade to </w:t>
      </w:r>
      <w:r w:rsidR="00DA38EC">
        <w:rPr>
          <w:rFonts w:cs="Arial"/>
        </w:rPr>
        <w:t xml:space="preserve">the </w:t>
      </w:r>
      <w:r>
        <w:rPr>
          <w:rFonts w:cs="Arial"/>
        </w:rPr>
        <w:t xml:space="preserve">functionality </w:t>
      </w:r>
      <w:r w:rsidR="00DA38EC">
        <w:rPr>
          <w:rFonts w:cs="Arial"/>
        </w:rPr>
        <w:t>of</w:t>
      </w:r>
      <w:r>
        <w:rPr>
          <w:rFonts w:cs="Arial"/>
        </w:rPr>
        <w:t xml:space="preserve"> the CRM </w:t>
      </w:r>
      <w:r w:rsidR="00000FF9">
        <w:rPr>
          <w:rFonts w:cs="Arial"/>
        </w:rPr>
        <w:t>database</w:t>
      </w:r>
      <w:r>
        <w:rPr>
          <w:rFonts w:cs="Arial"/>
        </w:rPr>
        <w:t xml:space="preserve"> implemented in February 2021, the </w:t>
      </w:r>
      <w:r w:rsidR="00000FF9">
        <w:rPr>
          <w:rFonts w:cs="Arial"/>
        </w:rPr>
        <w:t>Commission</w:t>
      </w:r>
      <w:r>
        <w:rPr>
          <w:rFonts w:cs="Arial"/>
        </w:rPr>
        <w:t xml:space="preserve"> is now able to provide a more comprehensive overview of the interactions</w:t>
      </w:r>
      <w:r w:rsidR="00881438">
        <w:rPr>
          <w:rFonts w:cs="Arial"/>
        </w:rPr>
        <w:t xml:space="preserve"> </w:t>
      </w:r>
      <w:r>
        <w:rPr>
          <w:rFonts w:cs="Arial"/>
        </w:rPr>
        <w:t xml:space="preserve">that have taken place </w:t>
      </w:r>
      <w:r w:rsidR="00881438">
        <w:rPr>
          <w:rFonts w:cs="Arial"/>
        </w:rPr>
        <w:t>with</w:t>
      </w:r>
      <w:r>
        <w:rPr>
          <w:rFonts w:cs="Arial"/>
        </w:rPr>
        <w:t xml:space="preserve"> client</w:t>
      </w:r>
      <w:r w:rsidR="00000FF9">
        <w:rPr>
          <w:rFonts w:cs="Arial"/>
        </w:rPr>
        <w:t>s</w:t>
      </w:r>
      <w:r>
        <w:rPr>
          <w:rFonts w:cs="Arial"/>
        </w:rPr>
        <w:t xml:space="preserve"> over </w:t>
      </w:r>
      <w:proofErr w:type="gramStart"/>
      <w:r>
        <w:rPr>
          <w:rFonts w:cs="Arial"/>
        </w:rPr>
        <w:t>a period of time</w:t>
      </w:r>
      <w:proofErr w:type="gramEnd"/>
      <w:r>
        <w:rPr>
          <w:rFonts w:cs="Arial"/>
        </w:rPr>
        <w:t>. The following information</w:t>
      </w:r>
      <w:r w:rsidR="00881438">
        <w:rPr>
          <w:rFonts w:cs="Arial"/>
        </w:rPr>
        <w:t xml:space="preserve"> </w:t>
      </w:r>
      <w:r w:rsidR="00190C1B">
        <w:rPr>
          <w:rFonts w:cs="Arial"/>
        </w:rPr>
        <w:t>consists of</w:t>
      </w:r>
      <w:r>
        <w:rPr>
          <w:rFonts w:cs="Arial"/>
        </w:rPr>
        <w:t xml:space="preserve"> decisions where a final determination has taken place in conference and </w:t>
      </w:r>
      <w:r w:rsidR="00190C1B">
        <w:rPr>
          <w:rFonts w:cs="Arial"/>
        </w:rPr>
        <w:t xml:space="preserve">includes decisions delivered </w:t>
      </w:r>
      <w:r>
        <w:rPr>
          <w:rFonts w:cs="Arial"/>
        </w:rPr>
        <w:t>at application hearing</w:t>
      </w:r>
      <w:r w:rsidR="00190C1B">
        <w:rPr>
          <w:rFonts w:cs="Arial"/>
        </w:rPr>
        <w:t>s. It</w:t>
      </w:r>
      <w:r w:rsidR="00881438">
        <w:rPr>
          <w:rFonts w:cs="Arial"/>
        </w:rPr>
        <w:t xml:space="preserve"> does not include instances w</w:t>
      </w:r>
      <w:r>
        <w:rPr>
          <w:rFonts w:cs="Arial"/>
        </w:rPr>
        <w:t>here a client was rescheduled to another conference due to non-attendance</w:t>
      </w:r>
      <w:r w:rsidR="00190C1B">
        <w:rPr>
          <w:rFonts w:cs="Arial"/>
        </w:rPr>
        <w:t>,</w:t>
      </w:r>
      <w:r>
        <w:rPr>
          <w:rFonts w:cs="Arial"/>
        </w:rPr>
        <w:t xml:space="preserve"> or </w:t>
      </w:r>
      <w:r w:rsidR="00DA38EC">
        <w:rPr>
          <w:rFonts w:cs="Arial"/>
        </w:rPr>
        <w:t>a</w:t>
      </w:r>
      <w:r>
        <w:rPr>
          <w:rFonts w:cs="Arial"/>
        </w:rPr>
        <w:t xml:space="preserve"> conference was adjourned to another date to allow the parties to address matter/s </w:t>
      </w:r>
      <w:r w:rsidR="00190C1B">
        <w:rPr>
          <w:rFonts w:cs="Arial"/>
        </w:rPr>
        <w:t>prior to</w:t>
      </w:r>
      <w:r>
        <w:rPr>
          <w:rFonts w:cs="Arial"/>
        </w:rPr>
        <w:t xml:space="preserve"> </w:t>
      </w:r>
      <w:proofErr w:type="gramStart"/>
      <w:r w:rsidR="00DA38EC">
        <w:rPr>
          <w:rFonts w:cs="Arial"/>
        </w:rPr>
        <w:t xml:space="preserve">making </w:t>
      </w:r>
      <w:r>
        <w:rPr>
          <w:rFonts w:cs="Arial"/>
        </w:rPr>
        <w:t>a determination</w:t>
      </w:r>
      <w:proofErr w:type="gramEnd"/>
      <w:r w:rsidR="00881438">
        <w:rPr>
          <w:rFonts w:cs="Arial"/>
        </w:rPr>
        <w:t>.</w:t>
      </w:r>
    </w:p>
    <w:p w14:paraId="223F13A2" w14:textId="77777777" w:rsidR="002A01E9" w:rsidRDefault="002A01E9" w:rsidP="00C16F20">
      <w:pPr>
        <w:ind w:left="-142" w:right="-425"/>
        <w:jc w:val="both"/>
        <w:rPr>
          <w:rFonts w:cs="Arial"/>
        </w:rPr>
      </w:pPr>
    </w:p>
    <w:p w14:paraId="65D3405D" w14:textId="0E3E6264"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delivered at</w:t>
      </w:r>
      <w:r w:rsidR="007F068B">
        <w:rPr>
          <w:rFonts w:cs="Arial"/>
        </w:rPr>
        <w:t xml:space="preserve"> </w:t>
      </w:r>
      <w:r w:rsidR="00DA38EC">
        <w:rPr>
          <w:rFonts w:cs="Arial"/>
        </w:rPr>
        <w:t xml:space="preserve">an </w:t>
      </w:r>
      <w:r w:rsidR="007F068B">
        <w:rPr>
          <w:rFonts w:cs="Arial"/>
        </w:rPr>
        <w:t>application hearing</w:t>
      </w:r>
      <w:r w:rsidR="00237AB1">
        <w:rPr>
          <w:rFonts w:cs="Arial"/>
        </w:rPr>
        <w:t xml:space="preserve">. </w:t>
      </w:r>
      <w:r w:rsidR="00B23523">
        <w:rPr>
          <w:rFonts w:cs="Arial"/>
        </w:rPr>
        <w:t>An increasing t</w:t>
      </w:r>
      <w:r w:rsidR="00237AB1">
        <w:rPr>
          <w:rFonts w:cs="Arial"/>
        </w:rPr>
        <w:t xml:space="preserve">rend of </w:t>
      </w:r>
      <w:r w:rsidR="00B23523">
        <w:rPr>
          <w:rFonts w:cs="Arial"/>
        </w:rPr>
        <w:t>i</w:t>
      </w:r>
      <w:r w:rsidR="00237AB1">
        <w:rPr>
          <w:rFonts w:cs="Arial"/>
        </w:rPr>
        <w:t>nteractions by the client with the Commission on a less intrusive and more proactive basis</w:t>
      </w:r>
      <w:r w:rsidR="00B23523">
        <w:rPr>
          <w:rFonts w:cs="Arial"/>
        </w:rPr>
        <w:t xml:space="preserve"> has been identified</w:t>
      </w:r>
      <w:r w:rsidR="00237AB1">
        <w:rPr>
          <w:rFonts w:cs="Arial"/>
        </w:rPr>
        <w:t xml:space="preserve">, </w:t>
      </w:r>
      <w:proofErr w:type="gramStart"/>
      <w:r w:rsidR="00237AB1">
        <w:rPr>
          <w:rFonts w:cs="Arial"/>
        </w:rPr>
        <w:t>i.e.</w:t>
      </w:r>
      <w:proofErr w:type="gramEnd"/>
      <w:r w:rsidR="00237AB1">
        <w:rPr>
          <w:rFonts w:cs="Arial"/>
        </w:rPr>
        <w:t xml:space="preserve"> where engagement is on a voluntary basis (Table </w:t>
      </w:r>
      <w:r w:rsidR="0091685B">
        <w:rPr>
          <w:rFonts w:cs="Arial"/>
        </w:rPr>
        <w:t>3</w:t>
      </w:r>
      <w:r w:rsidR="00237AB1">
        <w:rPr>
          <w:rFonts w:cs="Arial"/>
        </w:rPr>
        <w:t>)</w:t>
      </w:r>
      <w:r w:rsidR="00AE549C">
        <w:rPr>
          <w:rFonts w:cs="Arial"/>
        </w:rPr>
        <w:t>,</w:t>
      </w:r>
      <w:r w:rsidR="00237AB1">
        <w:rPr>
          <w:rFonts w:cs="Arial"/>
        </w:rPr>
        <w:t xml:space="preserve"> or where acceptance of the Commission’s decision for a referral to support service or income management is by agreement with the client (</w:t>
      </w:r>
      <w:r w:rsidR="00237AB1" w:rsidRPr="001227EE">
        <w:rPr>
          <w:rFonts w:cs="Arial"/>
        </w:rPr>
        <w:t xml:space="preserve">Table </w:t>
      </w:r>
      <w:r w:rsidR="0091685B">
        <w:rPr>
          <w:rFonts w:cs="Arial"/>
        </w:rPr>
        <w:t>4</w:t>
      </w:r>
      <w:r w:rsidR="00237AB1">
        <w:rPr>
          <w:rFonts w:cs="Arial"/>
        </w:rPr>
        <w:t>). The</w:t>
      </w:r>
      <w:r w:rsidR="00B23523">
        <w:rPr>
          <w:rFonts w:cs="Arial"/>
        </w:rPr>
        <w:t xml:space="preserve">se proactive interactions </w:t>
      </w:r>
      <w:proofErr w:type="gramStart"/>
      <w:r w:rsidR="00B23523">
        <w:rPr>
          <w:rFonts w:cs="Arial"/>
        </w:rPr>
        <w:t xml:space="preserve">are </w:t>
      </w:r>
      <w:r w:rsidR="00D505F2">
        <w:rPr>
          <w:rFonts w:cs="Arial"/>
        </w:rPr>
        <w:t>c</w:t>
      </w:r>
      <w:r w:rsidR="00237AB1">
        <w:rPr>
          <w:rFonts w:cs="Arial"/>
        </w:rPr>
        <w:t>onsider</w:t>
      </w:r>
      <w:r w:rsidR="00B23523">
        <w:rPr>
          <w:rFonts w:cs="Arial"/>
        </w:rPr>
        <w:t>ed</w:t>
      </w:r>
      <w:r w:rsidR="00237AB1">
        <w:rPr>
          <w:rFonts w:cs="Arial"/>
        </w:rPr>
        <w:t xml:space="preserve"> to be</w:t>
      </w:r>
      <w:proofErr w:type="gramEnd"/>
      <w:r w:rsidR="00237AB1">
        <w:rPr>
          <w:rFonts w:cs="Arial"/>
        </w:rPr>
        <w:t xml:space="preserv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2DB44F6E" w14:textId="77777777" w:rsidR="001F4FDB" w:rsidRDefault="001F4FDB">
      <w:pPr>
        <w:spacing w:line="240" w:lineRule="auto"/>
        <w:rPr>
          <w:b/>
          <w:sz w:val="16"/>
          <w:szCs w:val="16"/>
        </w:rPr>
      </w:pPr>
      <w:r>
        <w:rPr>
          <w:b/>
          <w:sz w:val="16"/>
          <w:szCs w:val="16"/>
        </w:rPr>
        <w:br w:type="page"/>
      </w:r>
    </w:p>
    <w:p w14:paraId="19233629" w14:textId="769ADA44" w:rsidR="00237AB1" w:rsidRPr="0092015D" w:rsidRDefault="00237AB1" w:rsidP="00237AB1">
      <w:pPr>
        <w:spacing w:after="120" w:line="240" w:lineRule="auto"/>
        <w:ind w:left="794" w:hanging="794"/>
      </w:pPr>
      <w:r w:rsidRPr="006C6A65">
        <w:rPr>
          <w:b/>
          <w:sz w:val="16"/>
          <w:szCs w:val="16"/>
        </w:rPr>
        <w:lastRenderedPageBreak/>
        <w:t xml:space="preserve">Table </w:t>
      </w:r>
      <w:r w:rsidR="00995CD8">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6"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6"/>
      <w:proofErr w:type="gramStart"/>
      <w:r w:rsidRPr="00656C56">
        <w:rPr>
          <w:sz w:val="16"/>
          <w:szCs w:val="16"/>
        </w:rPr>
        <w:t>entered into</w:t>
      </w:r>
      <w:proofErr w:type="gramEnd"/>
      <w:r>
        <w:rPr>
          <w:sz w:val="16"/>
          <w:szCs w:val="16"/>
        </w:rPr>
        <w:t xml:space="preserve"> </w:t>
      </w:r>
      <w:r w:rsidRPr="006C6A65">
        <w:rPr>
          <w:sz w:val="16"/>
          <w:szCs w:val="16"/>
        </w:rPr>
        <w:t xml:space="preserve">1 </w:t>
      </w:r>
      <w:r w:rsidR="00894509">
        <w:rPr>
          <w:sz w:val="16"/>
          <w:szCs w:val="16"/>
        </w:rPr>
        <w:t>April</w:t>
      </w:r>
      <w:r>
        <w:rPr>
          <w:sz w:val="16"/>
          <w:szCs w:val="16"/>
        </w:rPr>
        <w:t xml:space="preserve"> 2021 to </w:t>
      </w:r>
      <w:r w:rsidR="00C02DC0">
        <w:rPr>
          <w:sz w:val="16"/>
          <w:szCs w:val="16"/>
        </w:rPr>
        <w:t>30 June</w:t>
      </w:r>
      <w:r>
        <w:rPr>
          <w:sz w:val="16"/>
          <w:szCs w:val="16"/>
        </w:rPr>
        <w:t xml:space="preserve"> 2021</w:t>
      </w:r>
      <w:bookmarkStart w:id="7" w:name="_Ref74754019"/>
      <w:r w:rsidR="00604429" w:rsidRPr="008F6888">
        <w:rPr>
          <w:rStyle w:val="FootnoteReference"/>
          <w:sz w:val="16"/>
          <w:szCs w:val="16"/>
        </w:rPr>
        <w:footnoteReference w:id="6"/>
      </w:r>
      <w:bookmarkEnd w:id="7"/>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237AB1" w:rsidRPr="00776C26" w14:paraId="23E8C631" w14:textId="77777777" w:rsidTr="00237AB1">
        <w:tc>
          <w:tcPr>
            <w:tcW w:w="1555" w:type="dxa"/>
          </w:tcPr>
          <w:p w14:paraId="08DA178D" w14:textId="77777777" w:rsidR="00237AB1" w:rsidRPr="00776C26" w:rsidRDefault="00237AB1" w:rsidP="00237AB1">
            <w:pPr>
              <w:ind w:right="-425"/>
              <w:jc w:val="both"/>
              <w:rPr>
                <w:rFonts w:cs="Arial"/>
                <w:b/>
                <w:bCs/>
              </w:rPr>
            </w:pPr>
            <w:r w:rsidRPr="00776C26">
              <w:rPr>
                <w:rFonts w:cs="Arial"/>
                <w:b/>
                <w:bCs/>
              </w:rPr>
              <w:t>Total</w:t>
            </w:r>
          </w:p>
        </w:tc>
        <w:tc>
          <w:tcPr>
            <w:tcW w:w="992" w:type="dxa"/>
          </w:tcPr>
          <w:p w14:paraId="31C63D09" w14:textId="7CE492CD" w:rsidR="00237AB1" w:rsidRPr="00776C26" w:rsidRDefault="008647C6" w:rsidP="00237AB1">
            <w:pPr>
              <w:jc w:val="right"/>
              <w:rPr>
                <w:b/>
                <w:bCs/>
              </w:rPr>
            </w:pPr>
            <w:r>
              <w:rPr>
                <w:b/>
                <w:bCs/>
              </w:rPr>
              <w:t>6</w:t>
            </w:r>
          </w:p>
        </w:tc>
        <w:tc>
          <w:tcPr>
            <w:tcW w:w="1134" w:type="dxa"/>
          </w:tcPr>
          <w:p w14:paraId="1D2060AE" w14:textId="00C4922E" w:rsidR="00237AB1" w:rsidRPr="00776C26" w:rsidRDefault="008647C6" w:rsidP="00237AB1">
            <w:pPr>
              <w:jc w:val="right"/>
              <w:rPr>
                <w:b/>
                <w:bCs/>
              </w:rPr>
            </w:pPr>
            <w:r>
              <w:rPr>
                <w:b/>
                <w:bCs/>
              </w:rPr>
              <w:t>67</w:t>
            </w:r>
          </w:p>
        </w:tc>
        <w:tc>
          <w:tcPr>
            <w:tcW w:w="992" w:type="dxa"/>
          </w:tcPr>
          <w:p w14:paraId="7E29C7F4" w14:textId="2EF897FE" w:rsidR="00237AB1" w:rsidRPr="00776C26" w:rsidRDefault="008647C6" w:rsidP="00237AB1">
            <w:pPr>
              <w:jc w:val="right"/>
              <w:rPr>
                <w:b/>
                <w:bCs/>
              </w:rPr>
            </w:pPr>
            <w:r>
              <w:rPr>
                <w:b/>
                <w:bCs/>
              </w:rPr>
              <w:t>73</w:t>
            </w:r>
          </w:p>
        </w:tc>
      </w:tr>
    </w:tbl>
    <w:p w14:paraId="340804AB" w14:textId="2011C4C9" w:rsidR="00C64787" w:rsidRDefault="00C64787" w:rsidP="00237AB1">
      <w:pPr>
        <w:ind w:left="-142" w:right="-425"/>
        <w:jc w:val="both"/>
        <w:rPr>
          <w:rFonts w:cs="Arial"/>
        </w:rPr>
      </w:pPr>
    </w:p>
    <w:p w14:paraId="32A7D6CF" w14:textId="6EDF1D6E" w:rsidR="00237AB1" w:rsidRPr="0092015D" w:rsidRDefault="00237AB1" w:rsidP="00237AB1">
      <w:pPr>
        <w:spacing w:after="120" w:line="240" w:lineRule="auto"/>
        <w:ind w:left="794" w:hanging="794"/>
      </w:pPr>
      <w:r w:rsidRPr="006C6A65">
        <w:rPr>
          <w:b/>
          <w:sz w:val="16"/>
          <w:szCs w:val="16"/>
        </w:rPr>
        <w:t xml:space="preserve">Table </w:t>
      </w:r>
      <w:r w:rsidR="00995CD8">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8"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8"/>
      <w:proofErr w:type="gramStart"/>
      <w:r w:rsidRPr="00656C56">
        <w:rPr>
          <w:sz w:val="16"/>
          <w:szCs w:val="16"/>
        </w:rPr>
        <w:t>entered into</w:t>
      </w:r>
      <w:proofErr w:type="gramEnd"/>
      <w:r>
        <w:rPr>
          <w:sz w:val="16"/>
          <w:szCs w:val="16"/>
        </w:rPr>
        <w:t xml:space="preserve"> </w:t>
      </w:r>
      <w:r w:rsidRPr="006C6A65">
        <w:rPr>
          <w:sz w:val="16"/>
          <w:szCs w:val="16"/>
        </w:rPr>
        <w:t xml:space="preserve">1 </w:t>
      </w:r>
      <w:r w:rsidR="002B731D">
        <w:rPr>
          <w:sz w:val="16"/>
          <w:szCs w:val="16"/>
        </w:rPr>
        <w:t>April</w:t>
      </w:r>
      <w:r>
        <w:rPr>
          <w:sz w:val="16"/>
          <w:szCs w:val="16"/>
        </w:rPr>
        <w:t xml:space="preserve"> 2021 to </w:t>
      </w:r>
      <w:r w:rsidR="00C02DC0">
        <w:rPr>
          <w:sz w:val="16"/>
          <w:szCs w:val="16"/>
        </w:rPr>
        <w:t>30 June</w:t>
      </w:r>
      <w:r>
        <w:rPr>
          <w:sz w:val="16"/>
          <w:szCs w:val="16"/>
        </w:rPr>
        <w:t xml:space="preserve"> 202</w:t>
      </w:r>
      <w:r w:rsidR="009315C2">
        <w:rPr>
          <w:sz w:val="16"/>
          <w:szCs w:val="16"/>
        </w:rPr>
        <w:t>1</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9315C2" w:rsidRPr="00152D32">
        <w:rPr>
          <w:sz w:val="16"/>
          <w:szCs w:val="16"/>
          <w:vertAlign w:val="superscript"/>
        </w:rPr>
        <w:t>5</w:t>
      </w:r>
      <w:r w:rsidR="009315C2" w:rsidRPr="00152D32">
        <w:rPr>
          <w:sz w:val="16"/>
          <w:szCs w:val="16"/>
          <w:vertAlign w:val="superscript"/>
        </w:rPr>
        <w:fldChar w:fldCharType="end"/>
      </w:r>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237AB1" w14:paraId="604BDE97" w14:textId="77777777" w:rsidTr="00237AB1">
        <w:tc>
          <w:tcPr>
            <w:tcW w:w="1555" w:type="dxa"/>
          </w:tcPr>
          <w:p w14:paraId="16D39C9C" w14:textId="77777777" w:rsidR="00237AB1" w:rsidRPr="00490B40" w:rsidRDefault="00237AB1" w:rsidP="00237AB1">
            <w:pPr>
              <w:ind w:right="-425"/>
              <w:jc w:val="both"/>
              <w:rPr>
                <w:rFonts w:cs="Arial"/>
              </w:rPr>
            </w:pPr>
            <w:r w:rsidRPr="00490B40">
              <w:rPr>
                <w:rFonts w:cs="Arial"/>
              </w:rPr>
              <w:t>AU</w:t>
            </w:r>
          </w:p>
        </w:tc>
        <w:tc>
          <w:tcPr>
            <w:tcW w:w="992" w:type="dxa"/>
            <w:vAlign w:val="bottom"/>
          </w:tcPr>
          <w:p w14:paraId="4F2BC6E4" w14:textId="61BCC0B8" w:rsidR="00237AB1" w:rsidRPr="00900EA0" w:rsidRDefault="008647C6" w:rsidP="00237AB1">
            <w:pPr>
              <w:jc w:val="right"/>
            </w:pPr>
            <w:r>
              <w:t>39</w:t>
            </w:r>
          </w:p>
        </w:tc>
        <w:tc>
          <w:tcPr>
            <w:tcW w:w="1134" w:type="dxa"/>
            <w:vAlign w:val="bottom"/>
          </w:tcPr>
          <w:p w14:paraId="5D79F7D6" w14:textId="77777777" w:rsidR="00237AB1" w:rsidRPr="00900EA0" w:rsidRDefault="00237AB1" w:rsidP="00237AB1">
            <w:pPr>
              <w:jc w:val="right"/>
            </w:pPr>
            <w:r w:rsidRPr="00900EA0">
              <w:rPr>
                <w:rFonts w:cs="Arial"/>
              </w:rPr>
              <w:t>0</w:t>
            </w:r>
          </w:p>
        </w:tc>
        <w:tc>
          <w:tcPr>
            <w:tcW w:w="992" w:type="dxa"/>
            <w:vAlign w:val="bottom"/>
          </w:tcPr>
          <w:p w14:paraId="2B25B2DF" w14:textId="2586E321" w:rsidR="00237AB1" w:rsidRPr="00900EA0" w:rsidRDefault="008647C6" w:rsidP="00237AB1">
            <w:pPr>
              <w:jc w:val="right"/>
              <w:rPr>
                <w:b/>
                <w:bCs/>
              </w:rPr>
            </w:pPr>
            <w:r>
              <w:rPr>
                <w:b/>
                <w:bCs/>
              </w:rPr>
              <w:t>39</w:t>
            </w:r>
          </w:p>
        </w:tc>
      </w:tr>
      <w:tr w:rsidR="00237AB1" w14:paraId="1A905600" w14:textId="77777777" w:rsidTr="00237AB1">
        <w:tc>
          <w:tcPr>
            <w:tcW w:w="1555" w:type="dxa"/>
          </w:tcPr>
          <w:p w14:paraId="59A72EEE" w14:textId="77777777" w:rsidR="00237AB1" w:rsidRPr="00490B40" w:rsidRDefault="00237AB1" w:rsidP="00237AB1">
            <w:pPr>
              <w:ind w:right="-425"/>
              <w:jc w:val="both"/>
              <w:rPr>
                <w:rFonts w:cs="Arial"/>
              </w:rPr>
            </w:pPr>
            <w:r w:rsidRPr="00490B40">
              <w:rPr>
                <w:rFonts w:cs="Arial"/>
              </w:rPr>
              <w:t>CO</w:t>
            </w:r>
          </w:p>
        </w:tc>
        <w:tc>
          <w:tcPr>
            <w:tcW w:w="992" w:type="dxa"/>
            <w:vAlign w:val="bottom"/>
          </w:tcPr>
          <w:p w14:paraId="7DC045C3" w14:textId="54B36EFD" w:rsidR="00237AB1" w:rsidRPr="00900EA0" w:rsidRDefault="008647C6" w:rsidP="00237AB1">
            <w:pPr>
              <w:jc w:val="right"/>
            </w:pPr>
            <w:r>
              <w:t>5</w:t>
            </w:r>
          </w:p>
        </w:tc>
        <w:tc>
          <w:tcPr>
            <w:tcW w:w="1134" w:type="dxa"/>
            <w:vAlign w:val="bottom"/>
          </w:tcPr>
          <w:p w14:paraId="544139DB" w14:textId="77777777" w:rsidR="00237AB1" w:rsidRPr="00900EA0" w:rsidRDefault="00237AB1" w:rsidP="00237AB1">
            <w:pPr>
              <w:jc w:val="right"/>
            </w:pPr>
            <w:r w:rsidRPr="00900EA0">
              <w:rPr>
                <w:rFonts w:cs="Arial"/>
              </w:rPr>
              <w:t>0</w:t>
            </w:r>
          </w:p>
        </w:tc>
        <w:tc>
          <w:tcPr>
            <w:tcW w:w="992" w:type="dxa"/>
            <w:vAlign w:val="bottom"/>
          </w:tcPr>
          <w:p w14:paraId="655575AD" w14:textId="70A01374" w:rsidR="00237AB1" w:rsidRPr="00900EA0" w:rsidRDefault="008647C6" w:rsidP="00237AB1">
            <w:pPr>
              <w:jc w:val="right"/>
              <w:rPr>
                <w:b/>
                <w:bCs/>
              </w:rPr>
            </w:pPr>
            <w:r>
              <w:rPr>
                <w:b/>
                <w:bCs/>
              </w:rPr>
              <w:t>5</w:t>
            </w:r>
          </w:p>
        </w:tc>
      </w:tr>
      <w:tr w:rsidR="00237AB1" w14:paraId="577F7E12" w14:textId="77777777" w:rsidTr="00237AB1">
        <w:tc>
          <w:tcPr>
            <w:tcW w:w="1555" w:type="dxa"/>
          </w:tcPr>
          <w:p w14:paraId="2E4003E9" w14:textId="77777777" w:rsidR="00237AB1" w:rsidRPr="00490B40" w:rsidRDefault="00237AB1" w:rsidP="00237AB1">
            <w:pPr>
              <w:ind w:right="-425"/>
              <w:jc w:val="both"/>
              <w:rPr>
                <w:rFonts w:cs="Arial"/>
              </w:rPr>
            </w:pPr>
            <w:r w:rsidRPr="00490B40">
              <w:rPr>
                <w:rFonts w:cs="Arial"/>
              </w:rPr>
              <w:t>DM</w:t>
            </w:r>
          </w:p>
        </w:tc>
        <w:tc>
          <w:tcPr>
            <w:tcW w:w="992" w:type="dxa"/>
            <w:vAlign w:val="bottom"/>
          </w:tcPr>
          <w:p w14:paraId="68E2C72D" w14:textId="417B2816" w:rsidR="00237AB1" w:rsidRPr="00900EA0" w:rsidRDefault="008647C6" w:rsidP="00237AB1">
            <w:pPr>
              <w:jc w:val="right"/>
            </w:pPr>
            <w:r>
              <w:t>21</w:t>
            </w:r>
          </w:p>
        </w:tc>
        <w:tc>
          <w:tcPr>
            <w:tcW w:w="1134" w:type="dxa"/>
            <w:vAlign w:val="bottom"/>
          </w:tcPr>
          <w:p w14:paraId="5EFFF8C4" w14:textId="5450813C" w:rsidR="00237AB1" w:rsidRPr="00900EA0" w:rsidRDefault="008647C6" w:rsidP="00237AB1">
            <w:pPr>
              <w:jc w:val="right"/>
            </w:pPr>
            <w:r>
              <w:t>0</w:t>
            </w:r>
          </w:p>
        </w:tc>
        <w:tc>
          <w:tcPr>
            <w:tcW w:w="992" w:type="dxa"/>
            <w:vAlign w:val="bottom"/>
          </w:tcPr>
          <w:p w14:paraId="1CF754DE" w14:textId="12A8A97C" w:rsidR="00237AB1" w:rsidRPr="00900EA0" w:rsidRDefault="008647C6" w:rsidP="00237AB1">
            <w:pPr>
              <w:jc w:val="right"/>
              <w:rPr>
                <w:b/>
                <w:bCs/>
              </w:rPr>
            </w:pPr>
            <w:r>
              <w:rPr>
                <w:b/>
                <w:bCs/>
              </w:rPr>
              <w:t>21</w:t>
            </w:r>
          </w:p>
        </w:tc>
      </w:tr>
      <w:tr w:rsidR="00237AB1" w14:paraId="55AC2A32" w14:textId="77777777" w:rsidTr="00237AB1">
        <w:tc>
          <w:tcPr>
            <w:tcW w:w="1555" w:type="dxa"/>
          </w:tcPr>
          <w:p w14:paraId="511465EF" w14:textId="77777777" w:rsidR="00237AB1" w:rsidRPr="00490B40" w:rsidRDefault="00237AB1" w:rsidP="00237AB1">
            <w:pPr>
              <w:ind w:right="-425"/>
              <w:jc w:val="both"/>
              <w:rPr>
                <w:rFonts w:cs="Arial"/>
              </w:rPr>
            </w:pPr>
            <w:r w:rsidRPr="00490B40">
              <w:rPr>
                <w:rFonts w:cs="Arial"/>
              </w:rPr>
              <w:t>HV</w:t>
            </w:r>
          </w:p>
        </w:tc>
        <w:tc>
          <w:tcPr>
            <w:tcW w:w="992" w:type="dxa"/>
            <w:vAlign w:val="bottom"/>
          </w:tcPr>
          <w:p w14:paraId="16976329" w14:textId="3013AABF" w:rsidR="00237AB1" w:rsidRPr="00900EA0" w:rsidRDefault="008647C6" w:rsidP="00237AB1">
            <w:pPr>
              <w:jc w:val="right"/>
            </w:pPr>
            <w:r>
              <w:t>7</w:t>
            </w:r>
          </w:p>
        </w:tc>
        <w:tc>
          <w:tcPr>
            <w:tcW w:w="1134" w:type="dxa"/>
            <w:vAlign w:val="bottom"/>
          </w:tcPr>
          <w:p w14:paraId="48C3CD7F" w14:textId="77777777" w:rsidR="00237AB1" w:rsidRPr="00900EA0" w:rsidRDefault="00237AB1" w:rsidP="00237AB1">
            <w:pPr>
              <w:jc w:val="right"/>
            </w:pPr>
            <w:r w:rsidRPr="00900EA0">
              <w:rPr>
                <w:rFonts w:cs="Arial"/>
              </w:rPr>
              <w:t>0</w:t>
            </w:r>
          </w:p>
        </w:tc>
        <w:tc>
          <w:tcPr>
            <w:tcW w:w="992" w:type="dxa"/>
            <w:vAlign w:val="bottom"/>
          </w:tcPr>
          <w:p w14:paraId="1AAF646B" w14:textId="5B1DCDD6" w:rsidR="00237AB1" w:rsidRPr="00900EA0" w:rsidRDefault="008647C6" w:rsidP="00237AB1">
            <w:pPr>
              <w:jc w:val="right"/>
              <w:rPr>
                <w:b/>
                <w:bCs/>
              </w:rPr>
            </w:pPr>
            <w:r>
              <w:rPr>
                <w:b/>
                <w:bCs/>
              </w:rPr>
              <w:t>7</w:t>
            </w:r>
          </w:p>
        </w:tc>
      </w:tr>
      <w:tr w:rsidR="00237AB1" w14:paraId="50F69E1F" w14:textId="77777777" w:rsidTr="00237AB1">
        <w:tc>
          <w:tcPr>
            <w:tcW w:w="1555" w:type="dxa"/>
          </w:tcPr>
          <w:p w14:paraId="48DBAB63" w14:textId="77777777" w:rsidR="00237AB1" w:rsidRPr="00490B40" w:rsidRDefault="00237AB1" w:rsidP="00237AB1">
            <w:pPr>
              <w:ind w:right="-425"/>
              <w:jc w:val="both"/>
              <w:rPr>
                <w:rFonts w:cs="Arial"/>
              </w:rPr>
            </w:pPr>
            <w:r w:rsidRPr="00490B40">
              <w:rPr>
                <w:rFonts w:cs="Arial"/>
              </w:rPr>
              <w:t>MG</w:t>
            </w:r>
          </w:p>
        </w:tc>
        <w:tc>
          <w:tcPr>
            <w:tcW w:w="992" w:type="dxa"/>
            <w:vAlign w:val="bottom"/>
          </w:tcPr>
          <w:p w14:paraId="2E4ACC08" w14:textId="4CB1A03A" w:rsidR="00237AB1" w:rsidRPr="00900EA0" w:rsidRDefault="008647C6" w:rsidP="00237AB1">
            <w:pPr>
              <w:jc w:val="right"/>
            </w:pPr>
            <w:r>
              <w:t>12</w:t>
            </w:r>
          </w:p>
        </w:tc>
        <w:tc>
          <w:tcPr>
            <w:tcW w:w="1134" w:type="dxa"/>
            <w:vAlign w:val="bottom"/>
          </w:tcPr>
          <w:p w14:paraId="06822B4C" w14:textId="77777777" w:rsidR="00237AB1" w:rsidRPr="00900EA0" w:rsidRDefault="00237AB1" w:rsidP="00237AB1">
            <w:pPr>
              <w:jc w:val="right"/>
            </w:pPr>
            <w:r w:rsidRPr="00900EA0">
              <w:rPr>
                <w:rFonts w:cs="Arial"/>
              </w:rPr>
              <w:t>0</w:t>
            </w:r>
          </w:p>
        </w:tc>
        <w:tc>
          <w:tcPr>
            <w:tcW w:w="992" w:type="dxa"/>
            <w:vAlign w:val="bottom"/>
          </w:tcPr>
          <w:p w14:paraId="4AC3B4A9" w14:textId="353B7D8D" w:rsidR="00237AB1" w:rsidRPr="00900EA0" w:rsidRDefault="008647C6" w:rsidP="00237AB1">
            <w:pPr>
              <w:jc w:val="right"/>
              <w:rPr>
                <w:b/>
                <w:bCs/>
              </w:rPr>
            </w:pPr>
            <w:r>
              <w:rPr>
                <w:b/>
                <w:bCs/>
              </w:rPr>
              <w:t>12</w:t>
            </w:r>
          </w:p>
        </w:tc>
      </w:tr>
      <w:tr w:rsidR="00237AB1" w14:paraId="7BC56D75" w14:textId="77777777" w:rsidTr="00237AB1">
        <w:tc>
          <w:tcPr>
            <w:tcW w:w="1555" w:type="dxa"/>
          </w:tcPr>
          <w:p w14:paraId="201CE63A" w14:textId="77777777" w:rsidR="00237AB1" w:rsidRPr="00776C26" w:rsidRDefault="00237AB1" w:rsidP="00237AB1">
            <w:pPr>
              <w:ind w:right="-425"/>
              <w:jc w:val="both"/>
              <w:rPr>
                <w:rFonts w:cs="Arial"/>
                <w:b/>
                <w:bCs/>
              </w:rPr>
            </w:pPr>
            <w:r w:rsidRPr="00776C26">
              <w:rPr>
                <w:rFonts w:cs="Arial"/>
                <w:b/>
                <w:bCs/>
              </w:rPr>
              <w:t>Total</w:t>
            </w:r>
          </w:p>
        </w:tc>
        <w:tc>
          <w:tcPr>
            <w:tcW w:w="992" w:type="dxa"/>
            <w:vAlign w:val="bottom"/>
          </w:tcPr>
          <w:p w14:paraId="0FB9062E" w14:textId="58C0E117" w:rsidR="00237AB1" w:rsidRPr="00900EA0" w:rsidRDefault="008647C6" w:rsidP="00237AB1">
            <w:pPr>
              <w:jc w:val="right"/>
              <w:rPr>
                <w:b/>
                <w:bCs/>
              </w:rPr>
            </w:pPr>
            <w:r>
              <w:rPr>
                <w:b/>
                <w:bCs/>
              </w:rPr>
              <w:t>84</w:t>
            </w:r>
          </w:p>
        </w:tc>
        <w:tc>
          <w:tcPr>
            <w:tcW w:w="1134" w:type="dxa"/>
            <w:vAlign w:val="bottom"/>
          </w:tcPr>
          <w:p w14:paraId="482ED4A6" w14:textId="122E5A5B" w:rsidR="00237AB1" w:rsidRPr="00900EA0" w:rsidRDefault="008647C6" w:rsidP="00237AB1">
            <w:pPr>
              <w:jc w:val="right"/>
              <w:rPr>
                <w:b/>
                <w:bCs/>
              </w:rPr>
            </w:pPr>
            <w:r>
              <w:rPr>
                <w:b/>
                <w:bCs/>
              </w:rPr>
              <w:t>0</w:t>
            </w:r>
          </w:p>
        </w:tc>
        <w:tc>
          <w:tcPr>
            <w:tcW w:w="992" w:type="dxa"/>
            <w:vAlign w:val="bottom"/>
          </w:tcPr>
          <w:p w14:paraId="47A0B826" w14:textId="797DA1D2" w:rsidR="00237AB1" w:rsidRPr="00900EA0" w:rsidRDefault="008647C6" w:rsidP="00237AB1">
            <w:pPr>
              <w:jc w:val="right"/>
              <w:rPr>
                <w:b/>
                <w:bCs/>
              </w:rPr>
            </w:pPr>
            <w:r>
              <w:rPr>
                <w:b/>
                <w:bCs/>
              </w:rPr>
              <w:t>84</w:t>
            </w:r>
          </w:p>
        </w:tc>
      </w:tr>
    </w:tbl>
    <w:p w14:paraId="600511AC" w14:textId="77777777" w:rsidR="00237AB1" w:rsidRDefault="00237AB1" w:rsidP="00237AB1">
      <w:pPr>
        <w:ind w:left="-142" w:right="-425"/>
        <w:jc w:val="both"/>
        <w:rPr>
          <w:rFonts w:cs="Arial"/>
        </w:rPr>
      </w:pPr>
    </w:p>
    <w:p w14:paraId="07242880" w14:textId="3CB3FA6C"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995CD8">
        <w:rPr>
          <w:b/>
          <w:sz w:val="16"/>
          <w:szCs w:val="16"/>
        </w:rPr>
        <w:t>6</w:t>
      </w:r>
      <w:r w:rsidRPr="004B6F52">
        <w:rPr>
          <w:b/>
          <w:sz w:val="16"/>
          <w:szCs w:val="16"/>
        </w:rPr>
        <w:t>:</w:t>
      </w:r>
      <w:r w:rsidRPr="0002195A">
        <w:rPr>
          <w:bCs/>
          <w:sz w:val="16"/>
          <w:szCs w:val="16"/>
        </w:rPr>
        <w:t xml:space="preserve"> Number of decisions by order</w:t>
      </w:r>
      <w:bookmarkStart w:id="9"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9"/>
      <w:r w:rsidRPr="0002195A">
        <w:rPr>
          <w:bCs/>
          <w:sz w:val="16"/>
          <w:szCs w:val="16"/>
        </w:rPr>
        <w:t xml:space="preserve">from 1 </w:t>
      </w:r>
      <w:r w:rsidR="002B731D" w:rsidRPr="0002195A">
        <w:rPr>
          <w:bCs/>
          <w:sz w:val="16"/>
          <w:szCs w:val="16"/>
        </w:rPr>
        <w:t>April</w:t>
      </w:r>
      <w:r w:rsidRPr="0002195A">
        <w:rPr>
          <w:bCs/>
          <w:sz w:val="16"/>
          <w:szCs w:val="16"/>
        </w:rPr>
        <w:t xml:space="preserve"> 2021 to </w:t>
      </w:r>
      <w:r w:rsidR="00C02DC0" w:rsidRPr="0002195A">
        <w:rPr>
          <w:bCs/>
          <w:sz w:val="16"/>
          <w:szCs w:val="16"/>
        </w:rPr>
        <w:t>30 June</w:t>
      </w:r>
      <w:r w:rsidRPr="0002195A">
        <w:rPr>
          <w:bCs/>
          <w:sz w:val="16"/>
          <w:szCs w:val="16"/>
        </w:rPr>
        <w:t xml:space="preserve"> 2021</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02195A" w:rsidRPr="00152D32">
        <w:rPr>
          <w:sz w:val="16"/>
          <w:szCs w:val="16"/>
          <w:vertAlign w:val="superscript"/>
        </w:rPr>
        <w:t>5</w:t>
      </w:r>
      <w:r w:rsidR="0002195A" w:rsidRPr="00152D32">
        <w:rPr>
          <w:sz w:val="16"/>
          <w:szCs w:val="16"/>
          <w:vertAlign w:val="superscript"/>
        </w:rPr>
        <w:fldChar w:fldCharType="end"/>
      </w:r>
      <w:r w:rsidRPr="0002195A">
        <w:rPr>
          <w:bCs/>
          <w:sz w:val="16"/>
          <w:szCs w:val="16"/>
        </w:rPr>
        <w:t>.</w:t>
      </w:r>
    </w:p>
    <w:tbl>
      <w:tblPr>
        <w:tblStyle w:val="TableGrid"/>
        <w:tblW w:w="0" w:type="auto"/>
        <w:tblInd w:w="108" w:type="dxa"/>
        <w:tblLook w:val="04A0" w:firstRow="1" w:lastRow="0" w:firstColumn="1" w:lastColumn="0" w:noHBand="0" w:noVBand="1"/>
      </w:tblPr>
      <w:tblGrid>
        <w:gridCol w:w="1487"/>
        <w:gridCol w:w="691"/>
        <w:gridCol w:w="1655"/>
        <w:gridCol w:w="840"/>
        <w:gridCol w:w="1168"/>
        <w:gridCol w:w="1469"/>
        <w:gridCol w:w="1366"/>
        <w:gridCol w:w="845"/>
      </w:tblGrid>
      <w:tr w:rsidR="00237AB1" w:rsidRPr="004B6F52" w14:paraId="53F08652" w14:textId="77777777" w:rsidTr="00237AB1">
        <w:tc>
          <w:tcPr>
            <w:tcW w:w="9521" w:type="dxa"/>
            <w:gridSpan w:val="8"/>
          </w:tcPr>
          <w:p w14:paraId="11325B98" w14:textId="77777777" w:rsidR="00237AB1" w:rsidRPr="004B6F52" w:rsidRDefault="00237AB1" w:rsidP="00237AB1">
            <w:pPr>
              <w:ind w:right="-425"/>
              <w:jc w:val="center"/>
              <w:rPr>
                <w:rFonts w:cs="Arial"/>
                <w:b/>
                <w:bCs/>
              </w:rPr>
            </w:pPr>
            <w:r w:rsidRPr="004B6F52">
              <w:rPr>
                <w:rFonts w:cs="Arial"/>
                <w:b/>
                <w:bCs/>
              </w:rPr>
              <w:t>Decisions by Order</w:t>
            </w:r>
          </w:p>
        </w:tc>
      </w:tr>
      <w:tr w:rsidR="00237AB1" w14:paraId="00D64F33" w14:textId="77777777" w:rsidTr="00237AB1">
        <w:tc>
          <w:tcPr>
            <w:tcW w:w="1487" w:type="dxa"/>
          </w:tcPr>
          <w:p w14:paraId="4D5DE928" w14:textId="77777777" w:rsidR="00237AB1" w:rsidRPr="00FB74E0" w:rsidRDefault="00237AB1" w:rsidP="00237AB1">
            <w:pPr>
              <w:ind w:right="-425"/>
              <w:jc w:val="both"/>
              <w:rPr>
                <w:rFonts w:cs="Arial"/>
                <w:b/>
                <w:bCs/>
                <w:sz w:val="18"/>
                <w:szCs w:val="18"/>
              </w:rPr>
            </w:pPr>
            <w:r w:rsidRPr="00FB74E0">
              <w:rPr>
                <w:rFonts w:cs="Arial"/>
                <w:b/>
                <w:bCs/>
                <w:sz w:val="18"/>
                <w:szCs w:val="18"/>
              </w:rPr>
              <w:t>Community</w:t>
            </w:r>
          </w:p>
        </w:tc>
        <w:tc>
          <w:tcPr>
            <w:tcW w:w="691" w:type="dxa"/>
          </w:tcPr>
          <w:p w14:paraId="26C6768E" w14:textId="2E14333C" w:rsidR="00237AB1" w:rsidRPr="00FB74E0" w:rsidRDefault="00237AB1" w:rsidP="00237AB1">
            <w:pPr>
              <w:jc w:val="center"/>
              <w:rPr>
                <w:rFonts w:cs="Arial"/>
                <w:b/>
                <w:bCs/>
                <w:sz w:val="18"/>
                <w:szCs w:val="18"/>
              </w:rPr>
            </w:pPr>
            <w:r w:rsidRPr="00FB74E0">
              <w:rPr>
                <w:rFonts w:cs="Arial"/>
                <w:b/>
                <w:bCs/>
                <w:sz w:val="18"/>
                <w:szCs w:val="18"/>
              </w:rPr>
              <w:t>CP</w:t>
            </w:r>
          </w:p>
        </w:tc>
        <w:tc>
          <w:tcPr>
            <w:tcW w:w="1655" w:type="dxa"/>
          </w:tcPr>
          <w:p w14:paraId="26BEE2F4" w14:textId="3559A601" w:rsidR="00237AB1" w:rsidRPr="00FB74E0" w:rsidRDefault="00237AB1" w:rsidP="00237AB1">
            <w:pPr>
              <w:jc w:val="center"/>
              <w:rPr>
                <w:rFonts w:cs="Arial"/>
                <w:b/>
                <w:bCs/>
                <w:sz w:val="18"/>
                <w:szCs w:val="18"/>
              </w:rPr>
            </w:pPr>
            <w:r w:rsidRPr="00FB74E0">
              <w:rPr>
                <w:rFonts w:cs="Arial"/>
                <w:b/>
                <w:bCs/>
                <w:sz w:val="18"/>
                <w:szCs w:val="18"/>
              </w:rPr>
              <w:t xml:space="preserve">CP &amp; CIM Concurrently </w:t>
            </w:r>
          </w:p>
        </w:tc>
        <w:tc>
          <w:tcPr>
            <w:tcW w:w="840" w:type="dxa"/>
          </w:tcPr>
          <w:p w14:paraId="04157B6B" w14:textId="57FE5C63" w:rsidR="00237AB1" w:rsidRPr="00FB74E0" w:rsidRDefault="00237AB1" w:rsidP="00237AB1">
            <w:pPr>
              <w:jc w:val="center"/>
              <w:rPr>
                <w:rFonts w:cs="Arial"/>
                <w:b/>
                <w:bCs/>
                <w:sz w:val="18"/>
                <w:szCs w:val="18"/>
              </w:rPr>
            </w:pPr>
            <w:r w:rsidRPr="00FB74E0">
              <w:rPr>
                <w:rFonts w:cs="Arial"/>
                <w:b/>
                <w:bCs/>
                <w:sz w:val="18"/>
                <w:szCs w:val="18"/>
              </w:rPr>
              <w:t>CIM</w:t>
            </w:r>
          </w:p>
        </w:tc>
        <w:tc>
          <w:tcPr>
            <w:tcW w:w="1168" w:type="dxa"/>
          </w:tcPr>
          <w:p w14:paraId="472C6401" w14:textId="77777777" w:rsidR="00237AB1" w:rsidRPr="00FB74E0" w:rsidRDefault="00237AB1" w:rsidP="00237AB1">
            <w:pPr>
              <w:jc w:val="center"/>
              <w:rPr>
                <w:rFonts w:cs="Arial"/>
                <w:b/>
                <w:bCs/>
                <w:sz w:val="18"/>
                <w:szCs w:val="18"/>
              </w:rPr>
            </w:pPr>
            <w:r w:rsidRPr="00FB74E0">
              <w:rPr>
                <w:rFonts w:cs="Arial"/>
                <w:b/>
                <w:bCs/>
                <w:sz w:val="18"/>
                <w:szCs w:val="18"/>
              </w:rPr>
              <w:t>No Further Action</w:t>
            </w:r>
          </w:p>
        </w:tc>
        <w:tc>
          <w:tcPr>
            <w:tcW w:w="1469" w:type="dxa"/>
          </w:tcPr>
          <w:p w14:paraId="0D0553AE" w14:textId="542B28C4" w:rsidR="00237AB1" w:rsidRPr="00FB74E0" w:rsidRDefault="00237AB1" w:rsidP="00237AB1">
            <w:pPr>
              <w:jc w:val="center"/>
              <w:rPr>
                <w:rFonts w:cs="Arial"/>
                <w:b/>
                <w:bCs/>
                <w:sz w:val="18"/>
                <w:szCs w:val="18"/>
              </w:rPr>
            </w:pPr>
            <w:r w:rsidRPr="00FB74E0">
              <w:rPr>
                <w:rFonts w:cs="Arial"/>
                <w:b/>
                <w:bCs/>
                <w:sz w:val="18"/>
                <w:szCs w:val="18"/>
              </w:rPr>
              <w:t>Recommend Support Service</w:t>
            </w:r>
          </w:p>
        </w:tc>
        <w:tc>
          <w:tcPr>
            <w:tcW w:w="1366" w:type="dxa"/>
          </w:tcPr>
          <w:p w14:paraId="20680178" w14:textId="77777777" w:rsidR="00237AB1" w:rsidRPr="00FB74E0" w:rsidRDefault="00237AB1" w:rsidP="00237AB1">
            <w:pPr>
              <w:jc w:val="center"/>
              <w:rPr>
                <w:rFonts w:cs="Arial"/>
                <w:b/>
                <w:bCs/>
                <w:sz w:val="18"/>
                <w:szCs w:val="18"/>
              </w:rPr>
            </w:pPr>
            <w:r w:rsidRPr="00FB74E0">
              <w:rPr>
                <w:rFonts w:cs="Arial"/>
                <w:b/>
                <w:bCs/>
                <w:sz w:val="18"/>
                <w:szCs w:val="18"/>
              </w:rPr>
              <w:t>Reprimand</w:t>
            </w:r>
          </w:p>
        </w:tc>
        <w:tc>
          <w:tcPr>
            <w:tcW w:w="845" w:type="dxa"/>
          </w:tcPr>
          <w:p w14:paraId="510D2877" w14:textId="77777777" w:rsidR="00237AB1" w:rsidRPr="00FB74E0" w:rsidRDefault="00237AB1" w:rsidP="00237AB1">
            <w:pPr>
              <w:jc w:val="right"/>
              <w:rPr>
                <w:rFonts w:cs="Arial"/>
                <w:b/>
                <w:bCs/>
                <w:sz w:val="18"/>
                <w:szCs w:val="18"/>
              </w:rPr>
            </w:pPr>
            <w:r w:rsidRPr="00FB74E0">
              <w:rPr>
                <w:rFonts w:cs="Arial"/>
                <w:b/>
                <w:bCs/>
                <w:sz w:val="18"/>
                <w:szCs w:val="18"/>
              </w:rPr>
              <w:t>Total</w:t>
            </w:r>
          </w:p>
        </w:tc>
      </w:tr>
      <w:tr w:rsidR="00237AB1" w14:paraId="1020AB47" w14:textId="77777777" w:rsidTr="00237AB1">
        <w:tc>
          <w:tcPr>
            <w:tcW w:w="1487" w:type="dxa"/>
          </w:tcPr>
          <w:p w14:paraId="38A91592" w14:textId="77777777" w:rsidR="00237AB1" w:rsidRPr="00490B40" w:rsidRDefault="00237AB1" w:rsidP="00237AB1">
            <w:pPr>
              <w:ind w:right="-425"/>
              <w:jc w:val="both"/>
              <w:rPr>
                <w:rFonts w:cs="Arial"/>
              </w:rPr>
            </w:pPr>
            <w:r w:rsidRPr="00490B40">
              <w:rPr>
                <w:rFonts w:cs="Arial"/>
              </w:rPr>
              <w:t>AU</w:t>
            </w:r>
          </w:p>
        </w:tc>
        <w:tc>
          <w:tcPr>
            <w:tcW w:w="691" w:type="dxa"/>
            <w:vAlign w:val="bottom"/>
          </w:tcPr>
          <w:p w14:paraId="49AD44CD" w14:textId="6DA615C3" w:rsidR="00237AB1" w:rsidRPr="00900EA0" w:rsidRDefault="00546866" w:rsidP="00237AB1">
            <w:pPr>
              <w:jc w:val="right"/>
            </w:pPr>
            <w:r>
              <w:t>3</w:t>
            </w:r>
          </w:p>
        </w:tc>
        <w:tc>
          <w:tcPr>
            <w:tcW w:w="1655" w:type="dxa"/>
            <w:vAlign w:val="bottom"/>
          </w:tcPr>
          <w:p w14:paraId="17354BB6" w14:textId="59FDF1F9" w:rsidR="00237AB1" w:rsidRPr="00900EA0" w:rsidRDefault="00546866" w:rsidP="00237AB1">
            <w:pPr>
              <w:jc w:val="right"/>
            </w:pPr>
            <w:r>
              <w:t>1</w:t>
            </w:r>
          </w:p>
        </w:tc>
        <w:tc>
          <w:tcPr>
            <w:tcW w:w="840" w:type="dxa"/>
            <w:vAlign w:val="bottom"/>
          </w:tcPr>
          <w:p w14:paraId="72A6336C" w14:textId="1EBF9F92" w:rsidR="00237AB1" w:rsidRPr="00900EA0" w:rsidRDefault="00546866" w:rsidP="00237AB1">
            <w:pPr>
              <w:jc w:val="right"/>
            </w:pPr>
            <w:r>
              <w:t>7</w:t>
            </w:r>
          </w:p>
        </w:tc>
        <w:tc>
          <w:tcPr>
            <w:tcW w:w="1168" w:type="dxa"/>
            <w:vAlign w:val="bottom"/>
          </w:tcPr>
          <w:p w14:paraId="6D0F99D0" w14:textId="6931E9B4" w:rsidR="00237AB1" w:rsidRPr="00900EA0" w:rsidRDefault="00546866" w:rsidP="00237AB1">
            <w:pPr>
              <w:jc w:val="right"/>
            </w:pPr>
            <w:r>
              <w:t>25</w:t>
            </w:r>
          </w:p>
        </w:tc>
        <w:tc>
          <w:tcPr>
            <w:tcW w:w="1469" w:type="dxa"/>
            <w:vAlign w:val="bottom"/>
          </w:tcPr>
          <w:p w14:paraId="0A8CA9D7" w14:textId="69C877E7" w:rsidR="00237AB1" w:rsidRPr="00900EA0" w:rsidRDefault="00546866" w:rsidP="00237AB1">
            <w:pPr>
              <w:jc w:val="right"/>
            </w:pPr>
            <w:r>
              <w:t>1</w:t>
            </w:r>
          </w:p>
        </w:tc>
        <w:tc>
          <w:tcPr>
            <w:tcW w:w="1366" w:type="dxa"/>
            <w:vAlign w:val="bottom"/>
          </w:tcPr>
          <w:p w14:paraId="515C5886" w14:textId="3914DE84" w:rsidR="00237AB1" w:rsidRPr="00900EA0" w:rsidRDefault="00546866" w:rsidP="00237AB1">
            <w:pPr>
              <w:jc w:val="right"/>
            </w:pPr>
            <w:r>
              <w:t>3</w:t>
            </w:r>
          </w:p>
        </w:tc>
        <w:tc>
          <w:tcPr>
            <w:tcW w:w="845" w:type="dxa"/>
            <w:vAlign w:val="bottom"/>
          </w:tcPr>
          <w:p w14:paraId="5EBCE817" w14:textId="5AB0E8C8" w:rsidR="00237AB1" w:rsidRPr="00900EA0" w:rsidRDefault="00546866" w:rsidP="00237AB1">
            <w:pPr>
              <w:jc w:val="right"/>
              <w:rPr>
                <w:b/>
                <w:bCs/>
              </w:rPr>
            </w:pPr>
            <w:r>
              <w:rPr>
                <w:b/>
                <w:bCs/>
              </w:rPr>
              <w:t>40</w:t>
            </w:r>
          </w:p>
        </w:tc>
      </w:tr>
      <w:tr w:rsidR="00237AB1" w14:paraId="301C6385" w14:textId="77777777" w:rsidTr="00237AB1">
        <w:tc>
          <w:tcPr>
            <w:tcW w:w="1487" w:type="dxa"/>
          </w:tcPr>
          <w:p w14:paraId="50576C01" w14:textId="77777777" w:rsidR="00237AB1" w:rsidRPr="00490B40" w:rsidRDefault="00237AB1" w:rsidP="00237AB1">
            <w:pPr>
              <w:ind w:right="-425"/>
              <w:jc w:val="both"/>
              <w:rPr>
                <w:rFonts w:cs="Arial"/>
              </w:rPr>
            </w:pPr>
            <w:r w:rsidRPr="00490B40">
              <w:rPr>
                <w:rFonts w:cs="Arial"/>
              </w:rPr>
              <w:t>CO</w:t>
            </w:r>
          </w:p>
        </w:tc>
        <w:tc>
          <w:tcPr>
            <w:tcW w:w="691" w:type="dxa"/>
            <w:vAlign w:val="bottom"/>
          </w:tcPr>
          <w:p w14:paraId="44D73875" w14:textId="179DDDA4" w:rsidR="00237AB1" w:rsidRPr="00900EA0" w:rsidRDefault="00546866" w:rsidP="00237AB1">
            <w:pPr>
              <w:jc w:val="right"/>
            </w:pPr>
            <w:r>
              <w:t>2</w:t>
            </w:r>
          </w:p>
        </w:tc>
        <w:tc>
          <w:tcPr>
            <w:tcW w:w="1655" w:type="dxa"/>
            <w:vAlign w:val="bottom"/>
          </w:tcPr>
          <w:p w14:paraId="0F9DAF08" w14:textId="7E38C7ED" w:rsidR="00237AB1" w:rsidRPr="00900EA0" w:rsidRDefault="00546866" w:rsidP="00237AB1">
            <w:pPr>
              <w:jc w:val="right"/>
            </w:pPr>
            <w:r>
              <w:t>1</w:t>
            </w:r>
          </w:p>
        </w:tc>
        <w:tc>
          <w:tcPr>
            <w:tcW w:w="840" w:type="dxa"/>
            <w:vAlign w:val="bottom"/>
          </w:tcPr>
          <w:p w14:paraId="2F50872C" w14:textId="38597257" w:rsidR="00237AB1" w:rsidRPr="00900EA0" w:rsidRDefault="00546866" w:rsidP="00237AB1">
            <w:pPr>
              <w:jc w:val="right"/>
            </w:pPr>
            <w:r>
              <w:t>2</w:t>
            </w:r>
          </w:p>
        </w:tc>
        <w:tc>
          <w:tcPr>
            <w:tcW w:w="1168" w:type="dxa"/>
            <w:vAlign w:val="bottom"/>
          </w:tcPr>
          <w:p w14:paraId="3F5E5E7A" w14:textId="3ADF8A10" w:rsidR="00237AB1" w:rsidRPr="00900EA0" w:rsidRDefault="00546866" w:rsidP="00237AB1">
            <w:pPr>
              <w:jc w:val="right"/>
            </w:pPr>
            <w:r>
              <w:t>2</w:t>
            </w:r>
          </w:p>
        </w:tc>
        <w:tc>
          <w:tcPr>
            <w:tcW w:w="1469" w:type="dxa"/>
            <w:vAlign w:val="bottom"/>
          </w:tcPr>
          <w:p w14:paraId="225B50B4" w14:textId="4AACBFA5" w:rsidR="00237AB1" w:rsidRPr="00900EA0" w:rsidRDefault="00546866" w:rsidP="00237AB1">
            <w:pPr>
              <w:jc w:val="right"/>
            </w:pPr>
            <w:r>
              <w:t>1</w:t>
            </w:r>
          </w:p>
        </w:tc>
        <w:tc>
          <w:tcPr>
            <w:tcW w:w="1366" w:type="dxa"/>
            <w:vAlign w:val="bottom"/>
          </w:tcPr>
          <w:p w14:paraId="2433CFD3" w14:textId="70A937E8" w:rsidR="00237AB1" w:rsidRPr="00900EA0" w:rsidRDefault="00546866" w:rsidP="00237AB1">
            <w:pPr>
              <w:jc w:val="right"/>
            </w:pPr>
            <w:r>
              <w:t>0</w:t>
            </w:r>
          </w:p>
        </w:tc>
        <w:tc>
          <w:tcPr>
            <w:tcW w:w="845" w:type="dxa"/>
            <w:vAlign w:val="bottom"/>
          </w:tcPr>
          <w:p w14:paraId="72B8A199" w14:textId="4FDF1613" w:rsidR="00237AB1" w:rsidRPr="00900EA0" w:rsidRDefault="00546866" w:rsidP="00237AB1">
            <w:pPr>
              <w:jc w:val="right"/>
              <w:rPr>
                <w:b/>
                <w:bCs/>
              </w:rPr>
            </w:pPr>
            <w:r>
              <w:rPr>
                <w:b/>
                <w:bCs/>
              </w:rPr>
              <w:t>8</w:t>
            </w:r>
          </w:p>
        </w:tc>
      </w:tr>
      <w:tr w:rsidR="00237AB1" w14:paraId="1AF88ED4" w14:textId="77777777" w:rsidTr="00237AB1">
        <w:tc>
          <w:tcPr>
            <w:tcW w:w="1487" w:type="dxa"/>
          </w:tcPr>
          <w:p w14:paraId="4C229F63" w14:textId="77777777" w:rsidR="00237AB1" w:rsidRPr="00490B40" w:rsidRDefault="00237AB1" w:rsidP="00237AB1">
            <w:pPr>
              <w:ind w:right="-425"/>
              <w:jc w:val="both"/>
              <w:rPr>
                <w:rFonts w:cs="Arial"/>
              </w:rPr>
            </w:pPr>
            <w:r w:rsidRPr="00490B40">
              <w:rPr>
                <w:rFonts w:cs="Arial"/>
              </w:rPr>
              <w:t>DM</w:t>
            </w:r>
          </w:p>
        </w:tc>
        <w:tc>
          <w:tcPr>
            <w:tcW w:w="691" w:type="dxa"/>
            <w:vAlign w:val="bottom"/>
          </w:tcPr>
          <w:p w14:paraId="67496A09" w14:textId="1E4CA38A" w:rsidR="00237AB1" w:rsidRPr="00900EA0" w:rsidRDefault="00546866" w:rsidP="00237AB1">
            <w:pPr>
              <w:jc w:val="right"/>
            </w:pPr>
            <w:r>
              <w:t>4</w:t>
            </w:r>
          </w:p>
        </w:tc>
        <w:tc>
          <w:tcPr>
            <w:tcW w:w="1655" w:type="dxa"/>
            <w:vAlign w:val="bottom"/>
          </w:tcPr>
          <w:p w14:paraId="0675C9A5" w14:textId="635AD392" w:rsidR="00237AB1" w:rsidRPr="00900EA0" w:rsidRDefault="00546866" w:rsidP="00237AB1">
            <w:pPr>
              <w:jc w:val="right"/>
            </w:pPr>
            <w:r>
              <w:t>3</w:t>
            </w:r>
          </w:p>
        </w:tc>
        <w:tc>
          <w:tcPr>
            <w:tcW w:w="840" w:type="dxa"/>
            <w:vAlign w:val="bottom"/>
          </w:tcPr>
          <w:p w14:paraId="6FC56168" w14:textId="5A844653" w:rsidR="00237AB1" w:rsidRPr="00900EA0" w:rsidRDefault="00546866" w:rsidP="00237AB1">
            <w:pPr>
              <w:jc w:val="right"/>
            </w:pPr>
            <w:r>
              <w:t>4</w:t>
            </w:r>
          </w:p>
        </w:tc>
        <w:tc>
          <w:tcPr>
            <w:tcW w:w="1168" w:type="dxa"/>
            <w:vAlign w:val="bottom"/>
          </w:tcPr>
          <w:p w14:paraId="0236C1E7" w14:textId="6B88F42C" w:rsidR="00237AB1" w:rsidRPr="00900EA0" w:rsidRDefault="00546866" w:rsidP="00237AB1">
            <w:pPr>
              <w:jc w:val="right"/>
            </w:pPr>
            <w:r>
              <w:t>10</w:t>
            </w:r>
          </w:p>
        </w:tc>
        <w:tc>
          <w:tcPr>
            <w:tcW w:w="1469" w:type="dxa"/>
            <w:vAlign w:val="bottom"/>
          </w:tcPr>
          <w:p w14:paraId="09B97CC9" w14:textId="6040F7E7" w:rsidR="00237AB1" w:rsidRPr="00900EA0" w:rsidRDefault="00546866" w:rsidP="00237AB1">
            <w:pPr>
              <w:jc w:val="right"/>
            </w:pPr>
            <w:r>
              <w:t>1</w:t>
            </w:r>
          </w:p>
        </w:tc>
        <w:tc>
          <w:tcPr>
            <w:tcW w:w="1366" w:type="dxa"/>
            <w:vAlign w:val="bottom"/>
          </w:tcPr>
          <w:p w14:paraId="2BF4D189" w14:textId="79E41996" w:rsidR="00237AB1" w:rsidRPr="00900EA0" w:rsidRDefault="00546866" w:rsidP="00237AB1">
            <w:pPr>
              <w:jc w:val="right"/>
            </w:pPr>
            <w:r>
              <w:t>14</w:t>
            </w:r>
          </w:p>
        </w:tc>
        <w:tc>
          <w:tcPr>
            <w:tcW w:w="845" w:type="dxa"/>
            <w:vAlign w:val="bottom"/>
          </w:tcPr>
          <w:p w14:paraId="6A174D2C" w14:textId="1816B60B" w:rsidR="00237AB1" w:rsidRPr="00900EA0" w:rsidRDefault="00546866" w:rsidP="00237AB1">
            <w:pPr>
              <w:jc w:val="right"/>
              <w:rPr>
                <w:b/>
                <w:bCs/>
              </w:rPr>
            </w:pPr>
            <w:r>
              <w:rPr>
                <w:b/>
                <w:bCs/>
              </w:rPr>
              <w:t>36</w:t>
            </w:r>
          </w:p>
        </w:tc>
      </w:tr>
      <w:tr w:rsidR="00237AB1" w14:paraId="0B079D3E" w14:textId="77777777" w:rsidTr="00237AB1">
        <w:tc>
          <w:tcPr>
            <w:tcW w:w="1487" w:type="dxa"/>
          </w:tcPr>
          <w:p w14:paraId="4C8C2425" w14:textId="77777777" w:rsidR="00237AB1" w:rsidRPr="00490B40" w:rsidRDefault="00237AB1" w:rsidP="00237AB1">
            <w:pPr>
              <w:ind w:right="-425"/>
              <w:jc w:val="both"/>
              <w:rPr>
                <w:rFonts w:cs="Arial"/>
              </w:rPr>
            </w:pPr>
            <w:r w:rsidRPr="00490B40">
              <w:rPr>
                <w:rFonts w:cs="Arial"/>
              </w:rPr>
              <w:t>HV</w:t>
            </w:r>
          </w:p>
        </w:tc>
        <w:tc>
          <w:tcPr>
            <w:tcW w:w="691" w:type="dxa"/>
            <w:vAlign w:val="bottom"/>
          </w:tcPr>
          <w:p w14:paraId="37538412" w14:textId="66418970" w:rsidR="00237AB1" w:rsidRPr="00900EA0" w:rsidRDefault="00546866" w:rsidP="00237AB1">
            <w:pPr>
              <w:jc w:val="right"/>
            </w:pPr>
            <w:r>
              <w:t>10</w:t>
            </w:r>
          </w:p>
        </w:tc>
        <w:tc>
          <w:tcPr>
            <w:tcW w:w="1655" w:type="dxa"/>
            <w:vAlign w:val="bottom"/>
          </w:tcPr>
          <w:p w14:paraId="19FE7E35" w14:textId="2E736746" w:rsidR="00237AB1" w:rsidRPr="00900EA0" w:rsidRDefault="00546866" w:rsidP="00237AB1">
            <w:pPr>
              <w:jc w:val="right"/>
            </w:pPr>
            <w:r>
              <w:t>3</w:t>
            </w:r>
          </w:p>
        </w:tc>
        <w:tc>
          <w:tcPr>
            <w:tcW w:w="840" w:type="dxa"/>
            <w:vAlign w:val="bottom"/>
          </w:tcPr>
          <w:p w14:paraId="533C7EA9" w14:textId="1F8ACC60" w:rsidR="00237AB1" w:rsidRPr="00900EA0" w:rsidRDefault="00546866" w:rsidP="00237AB1">
            <w:pPr>
              <w:jc w:val="right"/>
            </w:pPr>
            <w:r>
              <w:t>1</w:t>
            </w:r>
          </w:p>
        </w:tc>
        <w:tc>
          <w:tcPr>
            <w:tcW w:w="1168" w:type="dxa"/>
            <w:vAlign w:val="bottom"/>
          </w:tcPr>
          <w:p w14:paraId="52D3F734" w14:textId="708D6DD5" w:rsidR="00237AB1" w:rsidRPr="00900EA0" w:rsidRDefault="00546866" w:rsidP="00237AB1">
            <w:pPr>
              <w:jc w:val="right"/>
            </w:pPr>
            <w:r>
              <w:t>17</w:t>
            </w:r>
          </w:p>
        </w:tc>
        <w:tc>
          <w:tcPr>
            <w:tcW w:w="1469" w:type="dxa"/>
            <w:vAlign w:val="bottom"/>
          </w:tcPr>
          <w:p w14:paraId="28BF6F9E" w14:textId="37734664" w:rsidR="00237AB1" w:rsidRPr="00900EA0" w:rsidRDefault="00546866" w:rsidP="00237AB1">
            <w:pPr>
              <w:jc w:val="right"/>
            </w:pPr>
            <w:r>
              <w:t>0</w:t>
            </w:r>
          </w:p>
        </w:tc>
        <w:tc>
          <w:tcPr>
            <w:tcW w:w="1366" w:type="dxa"/>
            <w:vAlign w:val="bottom"/>
          </w:tcPr>
          <w:p w14:paraId="5329BF30" w14:textId="3EB68F52" w:rsidR="00237AB1" w:rsidRPr="00900EA0" w:rsidRDefault="00546866" w:rsidP="00237AB1">
            <w:pPr>
              <w:jc w:val="right"/>
            </w:pPr>
            <w:r>
              <w:t>4</w:t>
            </w:r>
          </w:p>
        </w:tc>
        <w:tc>
          <w:tcPr>
            <w:tcW w:w="845" w:type="dxa"/>
            <w:vAlign w:val="bottom"/>
          </w:tcPr>
          <w:p w14:paraId="03987686" w14:textId="0970669D" w:rsidR="00237AB1" w:rsidRPr="00900EA0" w:rsidRDefault="00546866" w:rsidP="00237AB1">
            <w:pPr>
              <w:jc w:val="right"/>
              <w:rPr>
                <w:b/>
                <w:bCs/>
              </w:rPr>
            </w:pPr>
            <w:r>
              <w:rPr>
                <w:b/>
                <w:bCs/>
              </w:rPr>
              <w:t>35</w:t>
            </w:r>
          </w:p>
        </w:tc>
      </w:tr>
      <w:tr w:rsidR="00237AB1" w14:paraId="1A110982" w14:textId="77777777" w:rsidTr="00237AB1">
        <w:tc>
          <w:tcPr>
            <w:tcW w:w="1487" w:type="dxa"/>
          </w:tcPr>
          <w:p w14:paraId="3E280D98" w14:textId="77777777" w:rsidR="00237AB1" w:rsidRPr="00490B40" w:rsidRDefault="00237AB1" w:rsidP="00237AB1">
            <w:pPr>
              <w:ind w:right="-425"/>
              <w:jc w:val="both"/>
              <w:rPr>
                <w:rFonts w:cs="Arial"/>
              </w:rPr>
            </w:pPr>
            <w:r w:rsidRPr="00490B40">
              <w:rPr>
                <w:rFonts w:cs="Arial"/>
              </w:rPr>
              <w:t>MG</w:t>
            </w:r>
          </w:p>
        </w:tc>
        <w:tc>
          <w:tcPr>
            <w:tcW w:w="691" w:type="dxa"/>
            <w:vAlign w:val="bottom"/>
          </w:tcPr>
          <w:p w14:paraId="219E514B" w14:textId="7B4270AA" w:rsidR="00237AB1" w:rsidRPr="00900EA0" w:rsidRDefault="00546866" w:rsidP="00237AB1">
            <w:pPr>
              <w:jc w:val="right"/>
            </w:pPr>
            <w:r>
              <w:t>2</w:t>
            </w:r>
          </w:p>
        </w:tc>
        <w:tc>
          <w:tcPr>
            <w:tcW w:w="1655" w:type="dxa"/>
            <w:vAlign w:val="bottom"/>
          </w:tcPr>
          <w:p w14:paraId="51A17240" w14:textId="08CF7B99" w:rsidR="00237AB1" w:rsidRPr="00900EA0" w:rsidRDefault="00546866" w:rsidP="00237AB1">
            <w:pPr>
              <w:jc w:val="right"/>
            </w:pPr>
            <w:r>
              <w:t>0</w:t>
            </w:r>
          </w:p>
        </w:tc>
        <w:tc>
          <w:tcPr>
            <w:tcW w:w="840" w:type="dxa"/>
            <w:vAlign w:val="bottom"/>
          </w:tcPr>
          <w:p w14:paraId="39A8F072" w14:textId="2ACF39C5" w:rsidR="00237AB1" w:rsidRPr="00900EA0" w:rsidRDefault="00546866" w:rsidP="00237AB1">
            <w:pPr>
              <w:jc w:val="right"/>
            </w:pPr>
            <w:r>
              <w:t>3</w:t>
            </w:r>
          </w:p>
        </w:tc>
        <w:tc>
          <w:tcPr>
            <w:tcW w:w="1168" w:type="dxa"/>
            <w:vAlign w:val="bottom"/>
          </w:tcPr>
          <w:p w14:paraId="211D0E2C" w14:textId="7CBB8B19" w:rsidR="00237AB1" w:rsidRPr="00900EA0" w:rsidRDefault="00546866" w:rsidP="00237AB1">
            <w:pPr>
              <w:jc w:val="right"/>
            </w:pPr>
            <w:r>
              <w:t>3</w:t>
            </w:r>
          </w:p>
        </w:tc>
        <w:tc>
          <w:tcPr>
            <w:tcW w:w="1469" w:type="dxa"/>
            <w:vAlign w:val="bottom"/>
          </w:tcPr>
          <w:p w14:paraId="72B56FC5" w14:textId="5C602C43" w:rsidR="00237AB1" w:rsidRPr="00900EA0" w:rsidRDefault="00546866" w:rsidP="00237AB1">
            <w:pPr>
              <w:jc w:val="right"/>
            </w:pPr>
            <w:r>
              <w:t>0</w:t>
            </w:r>
          </w:p>
        </w:tc>
        <w:tc>
          <w:tcPr>
            <w:tcW w:w="1366" w:type="dxa"/>
            <w:vAlign w:val="bottom"/>
          </w:tcPr>
          <w:p w14:paraId="358DC4D7" w14:textId="7CA51221" w:rsidR="00237AB1" w:rsidRPr="00900EA0" w:rsidRDefault="00546866" w:rsidP="00237AB1">
            <w:pPr>
              <w:jc w:val="right"/>
            </w:pPr>
            <w:r>
              <w:t>8</w:t>
            </w:r>
          </w:p>
        </w:tc>
        <w:tc>
          <w:tcPr>
            <w:tcW w:w="845" w:type="dxa"/>
            <w:vAlign w:val="bottom"/>
          </w:tcPr>
          <w:p w14:paraId="1AC531B7" w14:textId="58568589" w:rsidR="00237AB1" w:rsidRPr="00900EA0" w:rsidRDefault="00546866" w:rsidP="00237AB1">
            <w:pPr>
              <w:jc w:val="right"/>
              <w:rPr>
                <w:b/>
                <w:bCs/>
              </w:rPr>
            </w:pPr>
            <w:r>
              <w:rPr>
                <w:b/>
                <w:bCs/>
              </w:rPr>
              <w:t>16</w:t>
            </w:r>
          </w:p>
        </w:tc>
      </w:tr>
      <w:tr w:rsidR="00237AB1" w14:paraId="7D295E1A" w14:textId="77777777" w:rsidTr="00237AB1">
        <w:tc>
          <w:tcPr>
            <w:tcW w:w="1487" w:type="dxa"/>
          </w:tcPr>
          <w:p w14:paraId="1AA67368" w14:textId="77777777" w:rsidR="00237AB1" w:rsidRPr="00294D17" w:rsidRDefault="00237AB1" w:rsidP="00237AB1">
            <w:pPr>
              <w:ind w:right="-425"/>
              <w:jc w:val="both"/>
              <w:rPr>
                <w:rFonts w:cs="Arial"/>
                <w:b/>
                <w:bCs/>
              </w:rPr>
            </w:pPr>
            <w:r w:rsidRPr="00294D17">
              <w:rPr>
                <w:rFonts w:cs="Arial"/>
                <w:b/>
                <w:bCs/>
              </w:rPr>
              <w:t>Total</w:t>
            </w:r>
          </w:p>
        </w:tc>
        <w:tc>
          <w:tcPr>
            <w:tcW w:w="691" w:type="dxa"/>
            <w:vAlign w:val="bottom"/>
          </w:tcPr>
          <w:p w14:paraId="7EA61294" w14:textId="11ADF789" w:rsidR="00237AB1" w:rsidRPr="00900EA0" w:rsidRDefault="00546866" w:rsidP="00237AB1">
            <w:pPr>
              <w:jc w:val="right"/>
              <w:rPr>
                <w:b/>
                <w:bCs/>
              </w:rPr>
            </w:pPr>
            <w:r>
              <w:rPr>
                <w:b/>
                <w:bCs/>
              </w:rPr>
              <w:t>21</w:t>
            </w:r>
          </w:p>
        </w:tc>
        <w:tc>
          <w:tcPr>
            <w:tcW w:w="1655" w:type="dxa"/>
            <w:vAlign w:val="bottom"/>
          </w:tcPr>
          <w:p w14:paraId="4423A1A4" w14:textId="1AC550F6" w:rsidR="00237AB1" w:rsidRPr="00900EA0" w:rsidRDefault="00546866" w:rsidP="00237AB1">
            <w:pPr>
              <w:jc w:val="right"/>
              <w:rPr>
                <w:b/>
                <w:bCs/>
              </w:rPr>
            </w:pPr>
            <w:r>
              <w:rPr>
                <w:b/>
                <w:bCs/>
              </w:rPr>
              <w:t>8</w:t>
            </w:r>
          </w:p>
        </w:tc>
        <w:tc>
          <w:tcPr>
            <w:tcW w:w="840" w:type="dxa"/>
            <w:vAlign w:val="bottom"/>
          </w:tcPr>
          <w:p w14:paraId="25FCDD62" w14:textId="63107AB6" w:rsidR="00237AB1" w:rsidRPr="00900EA0" w:rsidRDefault="00546866" w:rsidP="00237AB1">
            <w:pPr>
              <w:jc w:val="right"/>
              <w:rPr>
                <w:b/>
                <w:bCs/>
              </w:rPr>
            </w:pPr>
            <w:r>
              <w:rPr>
                <w:b/>
                <w:bCs/>
              </w:rPr>
              <w:t>17</w:t>
            </w:r>
          </w:p>
        </w:tc>
        <w:tc>
          <w:tcPr>
            <w:tcW w:w="1168" w:type="dxa"/>
            <w:vAlign w:val="bottom"/>
          </w:tcPr>
          <w:p w14:paraId="70C5B30B" w14:textId="061B8BA2" w:rsidR="00237AB1" w:rsidRPr="00900EA0" w:rsidRDefault="00546866" w:rsidP="00237AB1">
            <w:pPr>
              <w:jc w:val="right"/>
              <w:rPr>
                <w:b/>
                <w:bCs/>
              </w:rPr>
            </w:pPr>
            <w:r>
              <w:rPr>
                <w:b/>
                <w:bCs/>
              </w:rPr>
              <w:t>57</w:t>
            </w:r>
          </w:p>
        </w:tc>
        <w:tc>
          <w:tcPr>
            <w:tcW w:w="1469" w:type="dxa"/>
            <w:vAlign w:val="bottom"/>
          </w:tcPr>
          <w:p w14:paraId="6B72A0E8" w14:textId="708F008C" w:rsidR="00237AB1" w:rsidRPr="00900EA0" w:rsidRDefault="00546866" w:rsidP="00237AB1">
            <w:pPr>
              <w:jc w:val="right"/>
              <w:rPr>
                <w:b/>
                <w:bCs/>
              </w:rPr>
            </w:pPr>
            <w:r>
              <w:rPr>
                <w:b/>
                <w:bCs/>
              </w:rPr>
              <w:t>3</w:t>
            </w:r>
          </w:p>
        </w:tc>
        <w:tc>
          <w:tcPr>
            <w:tcW w:w="1366" w:type="dxa"/>
            <w:vAlign w:val="bottom"/>
          </w:tcPr>
          <w:p w14:paraId="2793E47C" w14:textId="43C65CFF" w:rsidR="00237AB1" w:rsidRPr="00900EA0" w:rsidRDefault="00546866" w:rsidP="00237AB1">
            <w:pPr>
              <w:jc w:val="right"/>
              <w:rPr>
                <w:b/>
                <w:bCs/>
              </w:rPr>
            </w:pPr>
            <w:r>
              <w:rPr>
                <w:b/>
                <w:bCs/>
              </w:rPr>
              <w:t>29</w:t>
            </w:r>
          </w:p>
        </w:tc>
        <w:tc>
          <w:tcPr>
            <w:tcW w:w="845" w:type="dxa"/>
            <w:vAlign w:val="bottom"/>
          </w:tcPr>
          <w:p w14:paraId="6FB13ACB" w14:textId="2BD68CA4" w:rsidR="00237AB1" w:rsidRPr="00900EA0" w:rsidRDefault="00546866" w:rsidP="00237AB1">
            <w:pPr>
              <w:jc w:val="right"/>
              <w:rPr>
                <w:b/>
                <w:bCs/>
              </w:rPr>
            </w:pPr>
            <w:r>
              <w:rPr>
                <w:b/>
                <w:bCs/>
              </w:rPr>
              <w:t>135</w:t>
            </w:r>
          </w:p>
        </w:tc>
      </w:tr>
    </w:tbl>
    <w:p w14:paraId="370BFC10" w14:textId="6394BA5A" w:rsidR="00D505F2" w:rsidRDefault="00D505F2" w:rsidP="00237AB1">
      <w:pPr>
        <w:ind w:left="-142" w:right="-425"/>
        <w:jc w:val="both"/>
        <w:rPr>
          <w:rFonts w:cs="Arial"/>
        </w:rPr>
      </w:pPr>
    </w:p>
    <w:p w14:paraId="1C006F71" w14:textId="4FD9874F" w:rsidR="00270A6D" w:rsidRPr="004B6F52" w:rsidRDefault="00270A6D" w:rsidP="00270A6D">
      <w:pPr>
        <w:spacing w:after="120" w:line="240" w:lineRule="auto"/>
        <w:ind w:left="794" w:hanging="794"/>
      </w:pPr>
      <w:r w:rsidRPr="004B6F52">
        <w:rPr>
          <w:b/>
          <w:sz w:val="16"/>
          <w:szCs w:val="16"/>
        </w:rPr>
        <w:t xml:space="preserve">Table </w:t>
      </w:r>
      <w:r w:rsidR="00995CD8">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by</w:t>
      </w:r>
      <w:r w:rsidRPr="004B6F52">
        <w:rPr>
          <w:sz w:val="16"/>
          <w:szCs w:val="16"/>
        </w:rPr>
        <w:t xml:space="preserve"> </w:t>
      </w:r>
      <w:r w:rsidR="00D505F2">
        <w:rPr>
          <w:sz w:val="16"/>
          <w:szCs w:val="16"/>
        </w:rPr>
        <w:t>application hearing</w:t>
      </w:r>
      <w:r w:rsidR="00C32C08">
        <w:rPr>
          <w:sz w:val="16"/>
          <w:szCs w:val="16"/>
        </w:rPr>
        <w:t xml:space="preserve"> </w:t>
      </w:r>
      <w:bookmarkStart w:id="10" w:name="_Hlk82505623"/>
      <w:r w:rsidR="00C32C08">
        <w:rPr>
          <w:sz w:val="16"/>
          <w:szCs w:val="16"/>
        </w:rPr>
        <w:t>(where a client seeks to alter or end their original FRC decision because their circumstances or behaviours ha</w:t>
      </w:r>
      <w:r w:rsidR="00D5739D">
        <w:rPr>
          <w:sz w:val="16"/>
          <w:szCs w:val="16"/>
        </w:rPr>
        <w:t>s</w:t>
      </w:r>
      <w:r w:rsidR="00C32C08">
        <w:rPr>
          <w:sz w:val="16"/>
          <w:szCs w:val="16"/>
        </w:rPr>
        <w:t xml:space="preserve"> changed)</w:t>
      </w:r>
      <w:r w:rsidR="00D505F2">
        <w:rPr>
          <w:sz w:val="16"/>
          <w:szCs w:val="16"/>
        </w:rPr>
        <w:t xml:space="preserve"> </w:t>
      </w:r>
      <w:bookmarkEnd w:id="10"/>
      <w:r w:rsidRPr="004B6F52">
        <w:rPr>
          <w:sz w:val="16"/>
          <w:szCs w:val="16"/>
        </w:rPr>
        <w:t xml:space="preserve">from 1 </w:t>
      </w:r>
      <w:r w:rsidR="002B731D">
        <w:rPr>
          <w:sz w:val="16"/>
          <w:szCs w:val="16"/>
        </w:rPr>
        <w:t>April</w:t>
      </w:r>
      <w:r>
        <w:rPr>
          <w:sz w:val="16"/>
          <w:szCs w:val="16"/>
        </w:rPr>
        <w:t xml:space="preserve"> 2021</w:t>
      </w:r>
      <w:r w:rsidRPr="004B6F52">
        <w:rPr>
          <w:sz w:val="16"/>
          <w:szCs w:val="16"/>
        </w:rPr>
        <w:t xml:space="preserve"> to </w:t>
      </w:r>
      <w:r w:rsidR="00C02DC0">
        <w:rPr>
          <w:sz w:val="16"/>
          <w:szCs w:val="16"/>
        </w:rPr>
        <w:t>30 June</w:t>
      </w:r>
      <w:r>
        <w:rPr>
          <w:sz w:val="16"/>
          <w:szCs w:val="16"/>
        </w:rPr>
        <w:t xml:space="preserve"> 2021</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6106C9" w:rsidRPr="00152D32">
        <w:rPr>
          <w:sz w:val="16"/>
          <w:szCs w:val="16"/>
          <w:vertAlign w:val="superscript"/>
        </w:rPr>
        <w:t>5</w:t>
      </w:r>
      <w:r w:rsidR="006106C9" w:rsidRPr="00152D32">
        <w:rPr>
          <w:sz w:val="16"/>
          <w:szCs w:val="16"/>
          <w:vertAlign w:val="superscript"/>
        </w:rPr>
        <w:fldChar w:fldCharType="end"/>
      </w:r>
      <w:r w:rsidRPr="004B6F52">
        <w:rPr>
          <w:sz w:val="16"/>
          <w:szCs w:val="16"/>
        </w:rPr>
        <w:t>.</w:t>
      </w:r>
    </w:p>
    <w:tbl>
      <w:tblPr>
        <w:tblStyle w:val="TableGrid"/>
        <w:tblW w:w="0" w:type="auto"/>
        <w:tblInd w:w="108" w:type="dxa"/>
        <w:tblLayout w:type="fixed"/>
        <w:tblLook w:val="04A0" w:firstRow="1" w:lastRow="0" w:firstColumn="1" w:lastColumn="0" w:noHBand="0" w:noVBand="1"/>
      </w:tblPr>
      <w:tblGrid>
        <w:gridCol w:w="1496"/>
        <w:gridCol w:w="1226"/>
        <w:gridCol w:w="1701"/>
        <w:gridCol w:w="1276"/>
        <w:gridCol w:w="992"/>
      </w:tblGrid>
      <w:tr w:rsidR="003F391E" w14:paraId="38744CDD" w14:textId="77777777" w:rsidTr="00824FDA">
        <w:tc>
          <w:tcPr>
            <w:tcW w:w="6691" w:type="dxa"/>
            <w:gridSpan w:val="5"/>
          </w:tcPr>
          <w:p w14:paraId="1E1C22EB" w14:textId="69C610FA" w:rsidR="003F391E" w:rsidRPr="004B6F52" w:rsidRDefault="003F391E" w:rsidP="003F391E">
            <w:pPr>
              <w:jc w:val="center"/>
              <w:rPr>
                <w:rFonts w:cs="Arial"/>
                <w:b/>
                <w:bCs/>
              </w:rPr>
            </w:pPr>
            <w:r w:rsidRPr="004B6F52">
              <w:rPr>
                <w:rFonts w:cs="Arial"/>
                <w:b/>
                <w:bCs/>
              </w:rPr>
              <w:t>Decisions by</w:t>
            </w:r>
            <w:r>
              <w:rPr>
                <w:rFonts w:cs="Arial"/>
                <w:b/>
                <w:bCs/>
              </w:rPr>
              <w:t xml:space="preserve"> Application Hearing</w:t>
            </w:r>
          </w:p>
        </w:tc>
      </w:tr>
      <w:tr w:rsidR="003F391E" w14:paraId="3B7805EC" w14:textId="77777777" w:rsidTr="00A1262A">
        <w:tc>
          <w:tcPr>
            <w:tcW w:w="1496" w:type="dxa"/>
          </w:tcPr>
          <w:p w14:paraId="2C3BEFA7" w14:textId="77777777" w:rsidR="003F391E" w:rsidRPr="004B6F52" w:rsidRDefault="003F391E" w:rsidP="00A1262A">
            <w:pPr>
              <w:ind w:right="-425"/>
              <w:jc w:val="both"/>
              <w:rPr>
                <w:rFonts w:cs="Arial"/>
                <w:b/>
                <w:bCs/>
              </w:rPr>
            </w:pPr>
            <w:r w:rsidRPr="004B6F52">
              <w:rPr>
                <w:rFonts w:cs="Arial"/>
                <w:b/>
                <w:bCs/>
              </w:rPr>
              <w:t>Community</w:t>
            </w:r>
          </w:p>
        </w:tc>
        <w:tc>
          <w:tcPr>
            <w:tcW w:w="1226" w:type="dxa"/>
          </w:tcPr>
          <w:p w14:paraId="12659BD5" w14:textId="097C06B4" w:rsidR="003F391E" w:rsidRPr="004B6F52" w:rsidRDefault="003F391E" w:rsidP="00A1262A">
            <w:pPr>
              <w:jc w:val="center"/>
              <w:rPr>
                <w:rFonts w:cs="Arial"/>
                <w:b/>
                <w:bCs/>
              </w:rPr>
            </w:pPr>
            <w:r w:rsidRPr="004B6F52">
              <w:rPr>
                <w:rFonts w:cs="Arial"/>
                <w:b/>
                <w:bCs/>
              </w:rPr>
              <w:t>CP</w:t>
            </w:r>
            <w:r>
              <w:rPr>
                <w:rFonts w:cs="Arial"/>
                <w:b/>
                <w:bCs/>
              </w:rPr>
              <w:t xml:space="preserve"> End</w:t>
            </w:r>
          </w:p>
        </w:tc>
        <w:tc>
          <w:tcPr>
            <w:tcW w:w="1701" w:type="dxa"/>
          </w:tcPr>
          <w:p w14:paraId="5F17FCC4" w14:textId="7619E9B3" w:rsidR="003F391E" w:rsidRPr="004B6F52" w:rsidRDefault="003F391E" w:rsidP="00A1262A">
            <w:pPr>
              <w:jc w:val="center"/>
              <w:rPr>
                <w:rFonts w:cs="Arial"/>
                <w:b/>
                <w:bCs/>
              </w:rPr>
            </w:pPr>
            <w:r w:rsidRPr="004B6F52">
              <w:rPr>
                <w:rFonts w:cs="Arial"/>
                <w:b/>
                <w:bCs/>
              </w:rPr>
              <w:t>CIM</w:t>
            </w:r>
            <w:r>
              <w:rPr>
                <w:rFonts w:cs="Arial"/>
                <w:b/>
                <w:bCs/>
              </w:rPr>
              <w:t xml:space="preserve"> Amend</w:t>
            </w:r>
          </w:p>
        </w:tc>
        <w:tc>
          <w:tcPr>
            <w:tcW w:w="1276" w:type="dxa"/>
          </w:tcPr>
          <w:p w14:paraId="3648C27F" w14:textId="77777777" w:rsidR="003F391E" w:rsidRPr="004B6F52" w:rsidRDefault="003F391E" w:rsidP="00A1262A">
            <w:pPr>
              <w:jc w:val="center"/>
              <w:rPr>
                <w:rFonts w:cs="Arial"/>
                <w:b/>
                <w:bCs/>
              </w:rPr>
            </w:pPr>
            <w:r>
              <w:rPr>
                <w:rFonts w:cs="Arial"/>
                <w:b/>
                <w:bCs/>
              </w:rPr>
              <w:t>CIM End</w:t>
            </w:r>
          </w:p>
        </w:tc>
        <w:tc>
          <w:tcPr>
            <w:tcW w:w="992" w:type="dxa"/>
          </w:tcPr>
          <w:p w14:paraId="434B513A" w14:textId="77777777" w:rsidR="003F391E" w:rsidRPr="00294D17" w:rsidRDefault="003F391E" w:rsidP="00A1262A">
            <w:pPr>
              <w:jc w:val="right"/>
              <w:rPr>
                <w:rFonts w:cs="Arial"/>
                <w:b/>
                <w:bCs/>
              </w:rPr>
            </w:pPr>
            <w:r w:rsidRPr="004B6F52">
              <w:rPr>
                <w:rFonts w:cs="Arial"/>
                <w:b/>
                <w:bCs/>
              </w:rPr>
              <w:t>Total</w:t>
            </w:r>
          </w:p>
        </w:tc>
      </w:tr>
      <w:tr w:rsidR="003F391E" w14:paraId="5A3BBB23" w14:textId="77777777" w:rsidTr="00A1262A">
        <w:tc>
          <w:tcPr>
            <w:tcW w:w="1496" w:type="dxa"/>
          </w:tcPr>
          <w:p w14:paraId="0687FF23" w14:textId="77777777" w:rsidR="003F391E" w:rsidRPr="00294D17" w:rsidRDefault="003F391E" w:rsidP="00A1262A">
            <w:pPr>
              <w:ind w:right="-425"/>
              <w:jc w:val="both"/>
              <w:rPr>
                <w:rFonts w:cs="Arial"/>
                <w:b/>
                <w:bCs/>
              </w:rPr>
            </w:pPr>
            <w:r w:rsidRPr="00294D17">
              <w:rPr>
                <w:rFonts w:cs="Arial"/>
                <w:b/>
                <w:bCs/>
              </w:rPr>
              <w:t>Total</w:t>
            </w:r>
          </w:p>
        </w:tc>
        <w:tc>
          <w:tcPr>
            <w:tcW w:w="1226" w:type="dxa"/>
            <w:vAlign w:val="bottom"/>
          </w:tcPr>
          <w:p w14:paraId="2A53915F" w14:textId="330114E6" w:rsidR="003F391E" w:rsidRPr="00900EA0" w:rsidRDefault="009C6E53" w:rsidP="00A1262A">
            <w:pPr>
              <w:jc w:val="right"/>
              <w:rPr>
                <w:b/>
                <w:bCs/>
              </w:rPr>
            </w:pPr>
            <w:r>
              <w:rPr>
                <w:b/>
                <w:bCs/>
              </w:rPr>
              <w:t>0</w:t>
            </w:r>
          </w:p>
        </w:tc>
        <w:tc>
          <w:tcPr>
            <w:tcW w:w="1701" w:type="dxa"/>
            <w:vAlign w:val="bottom"/>
          </w:tcPr>
          <w:p w14:paraId="62FCB111" w14:textId="4B8B8210" w:rsidR="003F391E" w:rsidRPr="00900EA0" w:rsidRDefault="009C6E53" w:rsidP="00A1262A">
            <w:pPr>
              <w:jc w:val="right"/>
              <w:rPr>
                <w:b/>
                <w:bCs/>
              </w:rPr>
            </w:pPr>
            <w:r>
              <w:rPr>
                <w:b/>
                <w:bCs/>
              </w:rPr>
              <w:t>0</w:t>
            </w:r>
          </w:p>
        </w:tc>
        <w:tc>
          <w:tcPr>
            <w:tcW w:w="1276" w:type="dxa"/>
            <w:vAlign w:val="bottom"/>
          </w:tcPr>
          <w:p w14:paraId="1321C4ED" w14:textId="420976BB" w:rsidR="003F391E" w:rsidRPr="00900EA0" w:rsidRDefault="009C6E53" w:rsidP="00A1262A">
            <w:pPr>
              <w:jc w:val="right"/>
              <w:rPr>
                <w:b/>
                <w:bCs/>
              </w:rPr>
            </w:pPr>
            <w:r>
              <w:rPr>
                <w:b/>
                <w:bCs/>
              </w:rPr>
              <w:t>1</w:t>
            </w:r>
          </w:p>
        </w:tc>
        <w:tc>
          <w:tcPr>
            <w:tcW w:w="992" w:type="dxa"/>
            <w:vAlign w:val="bottom"/>
          </w:tcPr>
          <w:p w14:paraId="542CEAE2" w14:textId="001CB263" w:rsidR="003F391E" w:rsidRPr="00900EA0" w:rsidRDefault="009C6E53" w:rsidP="00A1262A">
            <w:pPr>
              <w:jc w:val="right"/>
              <w:rPr>
                <w:b/>
                <w:bCs/>
              </w:rPr>
            </w:pPr>
            <w:r>
              <w:rPr>
                <w:b/>
                <w:bCs/>
              </w:rPr>
              <w:t>1</w:t>
            </w:r>
          </w:p>
        </w:tc>
      </w:tr>
    </w:tbl>
    <w:p w14:paraId="552F5760" w14:textId="77777777" w:rsidR="00995CD8" w:rsidRDefault="00995CD8" w:rsidP="00995CD8">
      <w:pPr>
        <w:ind w:left="-142" w:right="-425"/>
        <w:jc w:val="both"/>
        <w:rPr>
          <w:rFonts w:cs="Arial"/>
        </w:rPr>
      </w:pPr>
      <w:bookmarkStart w:id="11" w:name="_Hlk69483860"/>
    </w:p>
    <w:p w14:paraId="1B8999AA" w14:textId="3C220740" w:rsidR="00CA7C48" w:rsidRPr="004B6F52" w:rsidRDefault="00CA7C48" w:rsidP="00CA7C48">
      <w:pPr>
        <w:spacing w:after="120" w:line="240" w:lineRule="auto"/>
        <w:ind w:left="794" w:hanging="794"/>
      </w:pPr>
      <w:r w:rsidRPr="004B6F52">
        <w:rPr>
          <w:b/>
          <w:sz w:val="16"/>
          <w:szCs w:val="16"/>
        </w:rPr>
        <w:t xml:space="preserve">Table </w:t>
      </w:r>
      <w:r w:rsidR="00995CD8">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1 </w:t>
      </w:r>
      <w:r>
        <w:rPr>
          <w:sz w:val="16"/>
          <w:szCs w:val="16"/>
        </w:rPr>
        <w:t>April 2021</w:t>
      </w:r>
      <w:r w:rsidRPr="004B6F52">
        <w:rPr>
          <w:sz w:val="16"/>
          <w:szCs w:val="16"/>
        </w:rPr>
        <w:t xml:space="preserve"> to </w:t>
      </w:r>
      <w:r>
        <w:rPr>
          <w:sz w:val="16"/>
          <w:szCs w:val="16"/>
        </w:rPr>
        <w:t>30 June 2021</w:t>
      </w:r>
      <w:r w:rsidR="00792412" w:rsidRPr="008F6888">
        <w:rPr>
          <w:rStyle w:val="FootnoteReference"/>
          <w:sz w:val="16"/>
          <w:szCs w:val="16"/>
        </w:rPr>
        <w:footnoteReference w:id="7"/>
      </w:r>
      <w:r w:rsidRPr="004B6F52">
        <w:rPr>
          <w:sz w:val="16"/>
          <w:szCs w:val="16"/>
        </w:rPr>
        <w:t>.</w:t>
      </w:r>
    </w:p>
    <w:tbl>
      <w:tblPr>
        <w:tblStyle w:val="TableGrid"/>
        <w:tblW w:w="0" w:type="auto"/>
        <w:tblInd w:w="108" w:type="dxa"/>
        <w:tblLayout w:type="fixed"/>
        <w:tblLook w:val="04A0" w:firstRow="1" w:lastRow="0" w:firstColumn="1" w:lastColumn="0" w:noHBand="0" w:noVBand="1"/>
      </w:tblPr>
      <w:tblGrid>
        <w:gridCol w:w="1496"/>
        <w:gridCol w:w="1510"/>
        <w:gridCol w:w="1276"/>
      </w:tblGrid>
      <w:tr w:rsidR="0045533F" w14:paraId="22AF7D29" w14:textId="77777777" w:rsidTr="0045533F">
        <w:tc>
          <w:tcPr>
            <w:tcW w:w="4282" w:type="dxa"/>
            <w:gridSpan w:val="3"/>
          </w:tcPr>
          <w:p w14:paraId="4A6BBFF2" w14:textId="0275B700" w:rsidR="0045533F" w:rsidRPr="004B6F52" w:rsidRDefault="0045533F" w:rsidP="001D51D4">
            <w:pPr>
              <w:jc w:val="center"/>
              <w:rPr>
                <w:rFonts w:cs="Arial"/>
                <w:b/>
                <w:bCs/>
              </w:rPr>
            </w:pPr>
            <w:r w:rsidRPr="0045533F">
              <w:rPr>
                <w:rFonts w:cs="Arial"/>
                <w:b/>
                <w:bCs/>
              </w:rPr>
              <w:t>Decisions of Voluntary Amend/End Applications</w:t>
            </w:r>
          </w:p>
        </w:tc>
      </w:tr>
      <w:tr w:rsidR="0045533F" w14:paraId="43F463AE" w14:textId="77777777" w:rsidTr="0045533F">
        <w:tc>
          <w:tcPr>
            <w:tcW w:w="1496" w:type="dxa"/>
          </w:tcPr>
          <w:p w14:paraId="416143FE" w14:textId="77777777" w:rsidR="0045533F" w:rsidRPr="004B6F52" w:rsidRDefault="0045533F" w:rsidP="001D51D4">
            <w:pPr>
              <w:ind w:right="-425"/>
              <w:jc w:val="both"/>
              <w:rPr>
                <w:rFonts w:cs="Arial"/>
                <w:b/>
                <w:bCs/>
              </w:rPr>
            </w:pPr>
            <w:r w:rsidRPr="004B6F52">
              <w:rPr>
                <w:rFonts w:cs="Arial"/>
                <w:b/>
                <w:bCs/>
              </w:rPr>
              <w:t>Community</w:t>
            </w:r>
          </w:p>
        </w:tc>
        <w:tc>
          <w:tcPr>
            <w:tcW w:w="1510" w:type="dxa"/>
          </w:tcPr>
          <w:p w14:paraId="60E1B18D" w14:textId="0FBA77A1" w:rsidR="0045533F" w:rsidRPr="004B6F52" w:rsidRDefault="0045533F" w:rsidP="001D51D4">
            <w:pPr>
              <w:jc w:val="center"/>
              <w:rPr>
                <w:rFonts w:cs="Arial"/>
                <w:b/>
                <w:bCs/>
              </w:rPr>
            </w:pPr>
            <w:r>
              <w:rPr>
                <w:rFonts w:cs="Arial"/>
                <w:b/>
                <w:bCs/>
              </w:rPr>
              <w:t>VIM End</w:t>
            </w:r>
          </w:p>
        </w:tc>
        <w:tc>
          <w:tcPr>
            <w:tcW w:w="1276" w:type="dxa"/>
          </w:tcPr>
          <w:p w14:paraId="4D65582C" w14:textId="77777777" w:rsidR="0045533F" w:rsidRPr="00294D17" w:rsidRDefault="0045533F" w:rsidP="001D51D4">
            <w:pPr>
              <w:jc w:val="right"/>
              <w:rPr>
                <w:rFonts w:cs="Arial"/>
                <w:b/>
                <w:bCs/>
              </w:rPr>
            </w:pPr>
            <w:r w:rsidRPr="004B6F52">
              <w:rPr>
                <w:rFonts w:cs="Arial"/>
                <w:b/>
                <w:bCs/>
              </w:rPr>
              <w:t>Total</w:t>
            </w:r>
          </w:p>
        </w:tc>
      </w:tr>
      <w:tr w:rsidR="0045533F" w14:paraId="16A64130" w14:textId="77777777" w:rsidTr="0045533F">
        <w:tc>
          <w:tcPr>
            <w:tcW w:w="1496" w:type="dxa"/>
          </w:tcPr>
          <w:p w14:paraId="11A0DFEF" w14:textId="77777777" w:rsidR="0045533F" w:rsidRPr="00294D17" w:rsidRDefault="0045533F" w:rsidP="001D51D4">
            <w:pPr>
              <w:ind w:right="-425"/>
              <w:jc w:val="both"/>
              <w:rPr>
                <w:rFonts w:cs="Arial"/>
                <w:b/>
                <w:bCs/>
              </w:rPr>
            </w:pPr>
            <w:r w:rsidRPr="00294D17">
              <w:rPr>
                <w:rFonts w:cs="Arial"/>
                <w:b/>
                <w:bCs/>
              </w:rPr>
              <w:t>Total</w:t>
            </w:r>
          </w:p>
        </w:tc>
        <w:tc>
          <w:tcPr>
            <w:tcW w:w="1510" w:type="dxa"/>
            <w:vAlign w:val="bottom"/>
          </w:tcPr>
          <w:p w14:paraId="3DCD9CB4" w14:textId="77777777" w:rsidR="0045533F" w:rsidRPr="00900EA0" w:rsidRDefault="0045533F" w:rsidP="001D51D4">
            <w:pPr>
              <w:jc w:val="right"/>
              <w:rPr>
                <w:b/>
                <w:bCs/>
              </w:rPr>
            </w:pPr>
            <w:r>
              <w:rPr>
                <w:b/>
                <w:bCs/>
              </w:rPr>
              <w:t>1</w:t>
            </w:r>
          </w:p>
        </w:tc>
        <w:tc>
          <w:tcPr>
            <w:tcW w:w="1276" w:type="dxa"/>
            <w:vAlign w:val="bottom"/>
          </w:tcPr>
          <w:p w14:paraId="14017305" w14:textId="77777777" w:rsidR="0045533F" w:rsidRPr="00900EA0" w:rsidRDefault="0045533F" w:rsidP="001D51D4">
            <w:pPr>
              <w:jc w:val="right"/>
              <w:rPr>
                <w:b/>
                <w:bCs/>
              </w:rPr>
            </w:pPr>
            <w:r>
              <w:rPr>
                <w:b/>
                <w:bCs/>
              </w:rPr>
              <w:t>1</w:t>
            </w:r>
          </w:p>
        </w:tc>
      </w:tr>
    </w:tbl>
    <w:p w14:paraId="24FB8F05" w14:textId="77777777" w:rsidR="001E1BF3" w:rsidRDefault="001E1BF3" w:rsidP="00A42818">
      <w:pPr>
        <w:ind w:left="-142" w:right="-425"/>
        <w:jc w:val="both"/>
        <w:rPr>
          <w:rFonts w:cs="Arial"/>
        </w:rPr>
      </w:pPr>
    </w:p>
    <w:p w14:paraId="2ED9BFC3" w14:textId="77777777" w:rsidR="001F4FDB" w:rsidRDefault="001F4FDB">
      <w:pPr>
        <w:spacing w:line="240" w:lineRule="auto"/>
        <w:rPr>
          <w:rFonts w:cs="Arial"/>
        </w:rPr>
      </w:pPr>
      <w:r>
        <w:rPr>
          <w:rFonts w:cs="Arial"/>
        </w:rPr>
        <w:br w:type="page"/>
      </w:r>
    </w:p>
    <w:p w14:paraId="27F37C5D" w14:textId="54DFF57E" w:rsidR="00152C1E" w:rsidRDefault="00237AB1" w:rsidP="00A42818">
      <w:pPr>
        <w:ind w:left="-142" w:right="-425"/>
        <w:jc w:val="both"/>
        <w:rPr>
          <w:rFonts w:cs="Arial"/>
        </w:rPr>
      </w:pPr>
      <w:r w:rsidRPr="00CE1294">
        <w:rPr>
          <w:rFonts w:cs="Arial"/>
        </w:rPr>
        <w:lastRenderedPageBreak/>
        <w:t xml:space="preserve">During quarter </w:t>
      </w:r>
      <w:r w:rsidR="000D0A4E">
        <w:rPr>
          <w:rFonts w:cs="Arial"/>
        </w:rPr>
        <w:t>52</w:t>
      </w:r>
      <w:r w:rsidRPr="00CE1294">
        <w:rPr>
          <w:rFonts w:cs="Arial"/>
        </w:rPr>
        <w:t xml:space="preserve"> the number of interactions highlighted in tables </w:t>
      </w:r>
      <w:r w:rsidR="00A42818">
        <w:rPr>
          <w:rFonts w:cs="Arial"/>
        </w:rPr>
        <w:t>3</w:t>
      </w:r>
      <w:r w:rsidR="00A242DD" w:rsidRPr="00CE1294">
        <w:rPr>
          <w:rFonts w:cs="Arial"/>
        </w:rPr>
        <w:t xml:space="preserve">, </w:t>
      </w:r>
      <w:r w:rsidR="00A42818">
        <w:rPr>
          <w:rFonts w:cs="Arial"/>
        </w:rPr>
        <w:t>4</w:t>
      </w:r>
      <w:r w:rsidR="00A242DD" w:rsidRPr="00CE1294">
        <w:rPr>
          <w:rFonts w:cs="Arial"/>
        </w:rPr>
        <w:t xml:space="preserve">, </w:t>
      </w:r>
      <w:r w:rsidR="00A42818">
        <w:rPr>
          <w:rFonts w:cs="Arial"/>
        </w:rPr>
        <w:t>5</w:t>
      </w:r>
      <w:r w:rsidR="0077183E">
        <w:rPr>
          <w:rFonts w:cs="Arial"/>
        </w:rPr>
        <w:t>,</w:t>
      </w:r>
      <w:r w:rsidR="00A242DD" w:rsidRPr="00CE1294">
        <w:rPr>
          <w:rFonts w:cs="Arial"/>
        </w:rPr>
        <w:t xml:space="preserve"> </w:t>
      </w:r>
      <w:r w:rsidR="00A42818">
        <w:rPr>
          <w:rFonts w:cs="Arial"/>
        </w:rPr>
        <w:t>6</w:t>
      </w:r>
      <w:r w:rsidR="00A242DD" w:rsidRPr="00CE1294">
        <w:rPr>
          <w:rFonts w:cs="Arial"/>
        </w:rPr>
        <w:t xml:space="preserve"> </w:t>
      </w:r>
      <w:r w:rsidR="0077183E">
        <w:rPr>
          <w:rFonts w:cs="Arial"/>
        </w:rPr>
        <w:t xml:space="preserve">and 7 </w:t>
      </w:r>
      <w:r w:rsidRPr="00CE1294">
        <w:rPr>
          <w:rFonts w:cs="Arial"/>
        </w:rPr>
        <w:t xml:space="preserve">related to a total of </w:t>
      </w:r>
      <w:r w:rsidR="009C6E53" w:rsidRPr="00CE1294">
        <w:rPr>
          <w:rFonts w:cs="Arial"/>
        </w:rPr>
        <w:t>2</w:t>
      </w:r>
      <w:r w:rsidR="009C6E53">
        <w:rPr>
          <w:rFonts w:cs="Arial"/>
        </w:rPr>
        <w:t>49</w:t>
      </w:r>
      <w:r w:rsidR="009C6E53" w:rsidRPr="00CE1294">
        <w:rPr>
          <w:rFonts w:cs="Arial"/>
        </w:rPr>
        <w:t xml:space="preserve"> </w:t>
      </w:r>
      <w:r w:rsidRPr="00CE1294">
        <w:rPr>
          <w:rFonts w:cs="Arial"/>
        </w:rPr>
        <w:t>clients (</w:t>
      </w:r>
      <w:r w:rsidR="003C56D8" w:rsidRPr="00CE1294">
        <w:rPr>
          <w:rFonts w:cs="Arial"/>
        </w:rPr>
        <w:t>1</w:t>
      </w:r>
      <w:r w:rsidR="009C6E53">
        <w:rPr>
          <w:rFonts w:cs="Arial"/>
        </w:rPr>
        <w:t>64</w:t>
      </w:r>
      <w:r w:rsidR="00A242DD" w:rsidRPr="00CE1294">
        <w:rPr>
          <w:rFonts w:cs="Arial"/>
        </w:rPr>
        <w:t xml:space="preserve"> </w:t>
      </w:r>
      <w:r w:rsidRPr="00CE1294">
        <w:rPr>
          <w:rFonts w:cs="Arial"/>
        </w:rPr>
        <w:t xml:space="preserve">female and </w:t>
      </w:r>
      <w:r w:rsidR="003C56D8" w:rsidRPr="00CE1294">
        <w:rPr>
          <w:rFonts w:cs="Arial"/>
        </w:rPr>
        <w:t>8</w:t>
      </w:r>
      <w:r w:rsidR="009C6E53">
        <w:rPr>
          <w:rFonts w:cs="Arial"/>
        </w:rPr>
        <w:t>5</w:t>
      </w:r>
      <w:r w:rsidR="00A242DD" w:rsidRPr="00CE1294">
        <w:rPr>
          <w:rFonts w:cs="Arial"/>
        </w:rPr>
        <w:t xml:space="preserve"> </w:t>
      </w:r>
      <w:r w:rsidRPr="00CE1294">
        <w:rPr>
          <w:rFonts w:cs="Arial"/>
        </w:rPr>
        <w:t>male)</w:t>
      </w:r>
      <w:r w:rsidR="00A42818">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130D3D">
      <w:pPr>
        <w:pStyle w:val="ListParagraph"/>
        <w:numPr>
          <w:ilvl w:val="0"/>
          <w:numId w:val="40"/>
        </w:numPr>
        <w:spacing w:after="120"/>
        <w:ind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130D3D">
      <w:pPr>
        <w:pStyle w:val="ListParagraph"/>
        <w:numPr>
          <w:ilvl w:val="0"/>
          <w:numId w:val="40"/>
        </w:numPr>
        <w:spacing w:after="120"/>
        <w:ind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130D3D">
      <w:pPr>
        <w:pStyle w:val="ListParagraph"/>
        <w:numPr>
          <w:ilvl w:val="0"/>
          <w:numId w:val="40"/>
        </w:numPr>
        <w:spacing w:after="120"/>
        <w:ind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130D3D">
      <w:pPr>
        <w:pStyle w:val="ListParagraph"/>
        <w:numPr>
          <w:ilvl w:val="0"/>
          <w:numId w:val="40"/>
        </w:numPr>
        <w:spacing w:after="120"/>
        <w:ind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5F5FE655" w14:textId="59DD8923" w:rsidR="00031A6E" w:rsidRDefault="00031A6E" w:rsidP="00031A6E">
      <w:pPr>
        <w:tabs>
          <w:tab w:val="left" w:pos="1134"/>
        </w:tabs>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 xml:space="preserve">volving, where </w:t>
      </w:r>
      <w:proofErr w:type="gramStart"/>
      <w:r w:rsidR="00F10787">
        <w:t xml:space="preserve">appropriate, </w:t>
      </w:r>
      <w:r w:rsidR="00430499">
        <w:t xml:space="preserve"> famil</w:t>
      </w:r>
      <w:r w:rsidR="00F10787">
        <w:t>y</w:t>
      </w:r>
      <w:proofErr w:type="gramEnd"/>
      <w:r w:rsidR="00F10787">
        <w:t xml:space="preserve"> and clan group members at conference, together with a network of relevant </w:t>
      </w:r>
      <w:r w:rsidR="00430499">
        <w:t>service providers</w:t>
      </w:r>
      <w:r w:rsidR="00B2674A">
        <w:t xml:space="preserve">. This holistic approach </w:t>
      </w:r>
      <w:r w:rsidR="00F10787">
        <w:t>a</w:t>
      </w:r>
      <w:r w:rsidR="00B2674A">
        <w:t xml:space="preserve">ssists in creating </w:t>
      </w:r>
      <w:r w:rsidR="00F10787">
        <w:t xml:space="preserve">a more informative, culturally </w:t>
      </w:r>
      <w:proofErr w:type="gramStart"/>
      <w:r w:rsidR="00F10787">
        <w:t>relevant</w:t>
      </w:r>
      <w:proofErr w:type="gramEnd"/>
      <w:r w:rsidR="00F10787">
        <w:t xml:space="preserve">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348ADF62" w14:textId="6B5C9EB3" w:rsidR="00F77284" w:rsidRDefault="00F77284" w:rsidP="00237AB1">
      <w:pPr>
        <w:ind w:left="-142" w:right="-425"/>
        <w:jc w:val="both"/>
        <w:rPr>
          <w:rFonts w:cs="Arial"/>
        </w:rPr>
      </w:pPr>
    </w:p>
    <w:p w14:paraId="6F65C7CD" w14:textId="4B16D7B3" w:rsidR="00B9722A" w:rsidRPr="00C34899" w:rsidRDefault="00B9722A" w:rsidP="00C34899">
      <w:pPr>
        <w:tabs>
          <w:tab w:val="left" w:pos="1134"/>
        </w:tabs>
        <w:ind w:left="-142" w:right="-425"/>
        <w:jc w:val="both"/>
      </w:pPr>
      <w:r w:rsidRPr="00C34899">
        <w:t>The types of client interactions evident during quarter 52 reinforce the Commission’s belief that our clients are displaying a willingness to change</w:t>
      </w:r>
      <w:r w:rsidR="005B7F9C">
        <w:t xml:space="preserve"> and taking personal responsibility for their wellbeing and </w:t>
      </w:r>
      <w:r w:rsidR="00B301F1">
        <w:t xml:space="preserve">the wellbeing of their </w:t>
      </w:r>
      <w:r w:rsidR="005B7F9C">
        <w:t>family</w:t>
      </w:r>
      <w:r w:rsidRPr="00C34899">
        <w:t>. The following highlights for the period 1 April 2021 to 30 June 2021 support our assertion:</w:t>
      </w:r>
    </w:p>
    <w:p w14:paraId="689B3599" w14:textId="77777777" w:rsidR="00C34899" w:rsidRPr="0099478F" w:rsidRDefault="00C34899" w:rsidP="0099478F">
      <w:pPr>
        <w:ind w:left="-142" w:right="-425"/>
        <w:jc w:val="both"/>
        <w:rPr>
          <w:rFonts w:cs="Arial"/>
        </w:rPr>
      </w:pPr>
    </w:p>
    <w:p w14:paraId="2EAF0566" w14:textId="5A47DA5A" w:rsidR="00B9722A" w:rsidRPr="0099478F" w:rsidRDefault="00B9722A" w:rsidP="0099478F">
      <w:pPr>
        <w:pStyle w:val="ListParagraph"/>
        <w:numPr>
          <w:ilvl w:val="0"/>
          <w:numId w:val="40"/>
        </w:numPr>
        <w:spacing w:after="120"/>
        <w:ind w:right="-425"/>
        <w:jc w:val="both"/>
        <w:rPr>
          <w:rFonts w:ascii="Verdana" w:hAnsi="Verdana" w:cs="Arial"/>
          <w:sz w:val="20"/>
          <w:szCs w:val="20"/>
        </w:rPr>
      </w:pPr>
      <w:r w:rsidRPr="0099478F">
        <w:rPr>
          <w:rFonts w:ascii="Verdana" w:hAnsi="Verdana" w:cs="Arial"/>
          <w:sz w:val="20"/>
          <w:szCs w:val="20"/>
        </w:rPr>
        <w:t xml:space="preserve">54 percent of clients entered into a Family Responsibilities Agreement </w:t>
      </w:r>
      <w:r w:rsidR="000E0C2F">
        <w:rPr>
          <w:rFonts w:ascii="Verdana" w:hAnsi="Verdana" w:cs="Arial"/>
          <w:sz w:val="20"/>
          <w:szCs w:val="20"/>
        </w:rPr>
        <w:t>or</w:t>
      </w:r>
      <w:r w:rsidR="005B7F9C">
        <w:rPr>
          <w:rFonts w:ascii="Verdana" w:hAnsi="Verdana" w:cs="Arial"/>
          <w:sz w:val="20"/>
          <w:szCs w:val="20"/>
        </w:rPr>
        <w:t xml:space="preserve"> self</w:t>
      </w:r>
      <w:r w:rsidR="00B351D8">
        <w:rPr>
          <w:rFonts w:ascii="Verdana" w:hAnsi="Verdana" w:cs="Arial"/>
          <w:sz w:val="20"/>
          <w:szCs w:val="20"/>
        </w:rPr>
        <w:t>-</w:t>
      </w:r>
      <w:r w:rsidR="005B7F9C">
        <w:rPr>
          <w:rFonts w:ascii="Verdana" w:hAnsi="Verdana" w:cs="Arial"/>
          <w:sz w:val="20"/>
          <w:szCs w:val="20"/>
        </w:rPr>
        <w:t>referred to the FRC and sought</w:t>
      </w:r>
      <w:r w:rsidR="000E0C2F">
        <w:rPr>
          <w:rFonts w:ascii="Verdana" w:hAnsi="Verdana" w:cs="Arial"/>
          <w:sz w:val="20"/>
          <w:szCs w:val="20"/>
        </w:rPr>
        <w:t xml:space="preserve"> </w:t>
      </w:r>
      <w:r w:rsidRPr="0099478F">
        <w:rPr>
          <w:rFonts w:ascii="Verdana" w:hAnsi="Verdana" w:cs="Arial"/>
          <w:sz w:val="20"/>
          <w:szCs w:val="20"/>
        </w:rPr>
        <w:t xml:space="preserve">a </w:t>
      </w:r>
      <w:r w:rsidR="00AC48DA">
        <w:rPr>
          <w:rFonts w:ascii="Verdana" w:hAnsi="Verdana" w:cs="Arial"/>
          <w:sz w:val="20"/>
          <w:szCs w:val="20"/>
        </w:rPr>
        <w:t>v</w:t>
      </w:r>
      <w:r w:rsidRPr="0099478F">
        <w:rPr>
          <w:rFonts w:ascii="Verdana" w:hAnsi="Verdana" w:cs="Arial"/>
          <w:sz w:val="20"/>
          <w:szCs w:val="20"/>
        </w:rPr>
        <w:t xml:space="preserve">oluntary </w:t>
      </w:r>
      <w:r w:rsidR="00AC48DA">
        <w:rPr>
          <w:rFonts w:ascii="Verdana" w:hAnsi="Verdana" w:cs="Arial"/>
          <w:sz w:val="20"/>
          <w:szCs w:val="20"/>
        </w:rPr>
        <w:t>a</w:t>
      </w:r>
      <w:r w:rsidRPr="0099478F">
        <w:rPr>
          <w:rFonts w:ascii="Verdana" w:hAnsi="Verdana" w:cs="Arial"/>
          <w:sz w:val="20"/>
          <w:szCs w:val="20"/>
        </w:rPr>
        <w:t xml:space="preserve">greement during the </w:t>
      </w:r>
      <w:proofErr w:type="gramStart"/>
      <w:r w:rsidR="0099478F" w:rsidRPr="0099478F">
        <w:rPr>
          <w:rFonts w:ascii="Verdana" w:hAnsi="Verdana" w:cs="Arial"/>
          <w:sz w:val="20"/>
          <w:szCs w:val="20"/>
        </w:rPr>
        <w:t>quarter</w:t>
      </w:r>
      <w:r w:rsidR="00C34899" w:rsidRPr="0099478F">
        <w:rPr>
          <w:rFonts w:ascii="Verdana" w:hAnsi="Verdana" w:cs="Arial"/>
          <w:sz w:val="20"/>
          <w:szCs w:val="20"/>
        </w:rPr>
        <w:t>;</w:t>
      </w:r>
      <w:proofErr w:type="gramEnd"/>
    </w:p>
    <w:p w14:paraId="0B6EF2B3" w14:textId="710C3EDA" w:rsidR="00B9722A" w:rsidRPr="0099478F" w:rsidRDefault="000E0C2F" w:rsidP="0099478F">
      <w:pPr>
        <w:pStyle w:val="ListParagraph"/>
        <w:numPr>
          <w:ilvl w:val="1"/>
          <w:numId w:val="40"/>
        </w:numPr>
        <w:spacing w:after="120"/>
        <w:ind w:right="-425"/>
        <w:jc w:val="both"/>
        <w:rPr>
          <w:rFonts w:ascii="Verdana" w:hAnsi="Verdana" w:cs="Arial"/>
          <w:sz w:val="20"/>
          <w:szCs w:val="20"/>
        </w:rPr>
      </w:pPr>
      <w:r>
        <w:rPr>
          <w:rFonts w:ascii="Verdana" w:hAnsi="Verdana" w:cs="Arial"/>
          <w:sz w:val="20"/>
          <w:szCs w:val="20"/>
        </w:rPr>
        <w:t>A</w:t>
      </w:r>
      <w:r w:rsidR="00B9722A" w:rsidRPr="0099478F">
        <w:rPr>
          <w:rFonts w:ascii="Verdana" w:hAnsi="Verdana" w:cs="Arial"/>
          <w:sz w:val="20"/>
          <w:szCs w:val="20"/>
        </w:rPr>
        <w:t xml:space="preserve">s a subset of the above, 34 percent of clients specifically entered into a </w:t>
      </w:r>
      <w:r w:rsidR="00AC48DA">
        <w:rPr>
          <w:rFonts w:ascii="Verdana" w:hAnsi="Verdana" w:cs="Arial"/>
          <w:sz w:val="20"/>
          <w:szCs w:val="20"/>
        </w:rPr>
        <w:t>v</w:t>
      </w:r>
      <w:r w:rsidR="00B9722A" w:rsidRPr="0099478F">
        <w:rPr>
          <w:rFonts w:ascii="Verdana" w:hAnsi="Verdana" w:cs="Arial"/>
          <w:sz w:val="20"/>
          <w:szCs w:val="20"/>
        </w:rPr>
        <w:t xml:space="preserve">oluntary </w:t>
      </w:r>
      <w:r w:rsidR="00AC48DA">
        <w:rPr>
          <w:rFonts w:ascii="Verdana" w:hAnsi="Verdana" w:cs="Arial"/>
          <w:sz w:val="20"/>
          <w:szCs w:val="20"/>
        </w:rPr>
        <w:t>a</w:t>
      </w:r>
      <w:r w:rsidR="00B9722A" w:rsidRPr="0099478F">
        <w:rPr>
          <w:rFonts w:ascii="Verdana" w:hAnsi="Verdana" w:cs="Arial"/>
          <w:sz w:val="20"/>
          <w:szCs w:val="20"/>
        </w:rPr>
        <w:t xml:space="preserve">greement with either no other interactions, or a decision for </w:t>
      </w:r>
      <w:r>
        <w:rPr>
          <w:rFonts w:ascii="Verdana" w:hAnsi="Verdana" w:cs="Arial"/>
          <w:sz w:val="20"/>
          <w:szCs w:val="20"/>
        </w:rPr>
        <w:t>n</w:t>
      </w:r>
      <w:r w:rsidR="00B9722A" w:rsidRPr="0099478F">
        <w:rPr>
          <w:rFonts w:ascii="Verdana" w:hAnsi="Verdana" w:cs="Arial"/>
          <w:sz w:val="20"/>
          <w:szCs w:val="20"/>
        </w:rPr>
        <w:t xml:space="preserve">o </w:t>
      </w:r>
      <w:r>
        <w:rPr>
          <w:rFonts w:ascii="Verdana" w:hAnsi="Verdana" w:cs="Arial"/>
          <w:sz w:val="20"/>
          <w:szCs w:val="20"/>
        </w:rPr>
        <w:t>f</w:t>
      </w:r>
      <w:r w:rsidR="00B9722A" w:rsidRPr="0099478F">
        <w:rPr>
          <w:rFonts w:ascii="Verdana" w:hAnsi="Verdana" w:cs="Arial"/>
          <w:sz w:val="20"/>
          <w:szCs w:val="20"/>
        </w:rPr>
        <w:t xml:space="preserve">urther </w:t>
      </w:r>
      <w:proofErr w:type="gramStart"/>
      <w:r>
        <w:rPr>
          <w:rFonts w:ascii="Verdana" w:hAnsi="Verdana" w:cs="Arial"/>
          <w:sz w:val="20"/>
          <w:szCs w:val="20"/>
        </w:rPr>
        <w:t>a</w:t>
      </w:r>
      <w:r w:rsidR="00B9722A" w:rsidRPr="0099478F">
        <w:rPr>
          <w:rFonts w:ascii="Verdana" w:hAnsi="Verdana" w:cs="Arial"/>
          <w:sz w:val="20"/>
          <w:szCs w:val="20"/>
        </w:rPr>
        <w:t>ction</w:t>
      </w:r>
      <w:r w:rsidR="00C34899" w:rsidRPr="0099478F">
        <w:rPr>
          <w:rFonts w:ascii="Verdana" w:hAnsi="Verdana" w:cs="Arial"/>
          <w:sz w:val="20"/>
          <w:szCs w:val="20"/>
        </w:rPr>
        <w:t>;</w:t>
      </w:r>
      <w:proofErr w:type="gramEnd"/>
    </w:p>
    <w:p w14:paraId="3A616BEF" w14:textId="6C9C50D8" w:rsidR="00B9722A" w:rsidRPr="0099478F" w:rsidRDefault="00B9722A" w:rsidP="0099478F">
      <w:pPr>
        <w:pStyle w:val="ListParagraph"/>
        <w:numPr>
          <w:ilvl w:val="0"/>
          <w:numId w:val="40"/>
        </w:numPr>
        <w:spacing w:after="120"/>
        <w:ind w:right="-425"/>
        <w:jc w:val="both"/>
        <w:rPr>
          <w:rFonts w:ascii="Verdana" w:hAnsi="Verdana" w:cs="Arial"/>
          <w:sz w:val="20"/>
          <w:szCs w:val="20"/>
        </w:rPr>
      </w:pPr>
      <w:r w:rsidRPr="0099478F">
        <w:rPr>
          <w:rFonts w:ascii="Verdana" w:hAnsi="Verdana" w:cs="Arial"/>
          <w:sz w:val="20"/>
          <w:szCs w:val="20"/>
        </w:rPr>
        <w:t xml:space="preserve">18 percent of clients did not require any further action on their matter/s, where </w:t>
      </w:r>
      <w:r w:rsidR="001E3C39">
        <w:rPr>
          <w:rFonts w:ascii="Verdana" w:hAnsi="Verdana" w:cs="Arial"/>
          <w:sz w:val="20"/>
          <w:szCs w:val="20"/>
        </w:rPr>
        <w:t>n</w:t>
      </w:r>
      <w:r w:rsidRPr="0099478F">
        <w:rPr>
          <w:rFonts w:ascii="Verdana" w:hAnsi="Verdana" w:cs="Arial"/>
          <w:sz w:val="20"/>
          <w:szCs w:val="20"/>
        </w:rPr>
        <w:t xml:space="preserve">o </w:t>
      </w:r>
      <w:r w:rsidR="001E3C39">
        <w:rPr>
          <w:rFonts w:ascii="Verdana" w:hAnsi="Verdana" w:cs="Arial"/>
          <w:sz w:val="20"/>
          <w:szCs w:val="20"/>
        </w:rPr>
        <w:t>f</w:t>
      </w:r>
      <w:r w:rsidRPr="0099478F">
        <w:rPr>
          <w:rFonts w:ascii="Verdana" w:hAnsi="Verdana" w:cs="Arial"/>
          <w:sz w:val="20"/>
          <w:szCs w:val="20"/>
        </w:rPr>
        <w:t xml:space="preserve">urther </w:t>
      </w:r>
      <w:r w:rsidR="001E3C39">
        <w:rPr>
          <w:rFonts w:ascii="Verdana" w:hAnsi="Verdana" w:cs="Arial"/>
          <w:sz w:val="20"/>
          <w:szCs w:val="20"/>
        </w:rPr>
        <w:t>a</w:t>
      </w:r>
      <w:r w:rsidRPr="0099478F">
        <w:rPr>
          <w:rFonts w:ascii="Verdana" w:hAnsi="Verdana" w:cs="Arial"/>
          <w:sz w:val="20"/>
          <w:szCs w:val="20"/>
        </w:rPr>
        <w:t xml:space="preserve">ction was the only </w:t>
      </w:r>
      <w:proofErr w:type="gramStart"/>
      <w:r w:rsidRPr="0099478F">
        <w:rPr>
          <w:rFonts w:ascii="Verdana" w:hAnsi="Verdana" w:cs="Arial"/>
          <w:sz w:val="20"/>
          <w:szCs w:val="20"/>
        </w:rPr>
        <w:t>outcome</w:t>
      </w:r>
      <w:r w:rsidR="00C34899" w:rsidRPr="0099478F">
        <w:rPr>
          <w:rFonts w:ascii="Verdana" w:hAnsi="Verdana" w:cs="Arial"/>
          <w:sz w:val="20"/>
          <w:szCs w:val="20"/>
        </w:rPr>
        <w:t>;</w:t>
      </w:r>
      <w:proofErr w:type="gramEnd"/>
    </w:p>
    <w:p w14:paraId="46767E6D" w14:textId="43D65485" w:rsidR="00B9722A" w:rsidRPr="0099478F" w:rsidRDefault="00B9722A" w:rsidP="0099478F">
      <w:pPr>
        <w:pStyle w:val="ListParagraph"/>
        <w:numPr>
          <w:ilvl w:val="0"/>
          <w:numId w:val="40"/>
        </w:numPr>
        <w:spacing w:after="120"/>
        <w:ind w:right="-425"/>
        <w:jc w:val="both"/>
        <w:rPr>
          <w:rFonts w:ascii="Verdana" w:hAnsi="Verdana" w:cs="Arial"/>
          <w:sz w:val="20"/>
          <w:szCs w:val="20"/>
        </w:rPr>
      </w:pPr>
      <w:r w:rsidRPr="0099478F">
        <w:rPr>
          <w:rFonts w:ascii="Verdana" w:hAnsi="Verdana" w:cs="Arial"/>
          <w:sz w:val="20"/>
          <w:szCs w:val="20"/>
        </w:rPr>
        <w:t>10</w:t>
      </w:r>
      <w:r w:rsidR="00C34899" w:rsidRPr="0099478F">
        <w:rPr>
          <w:rFonts w:ascii="Verdana" w:hAnsi="Verdana" w:cs="Arial"/>
          <w:sz w:val="20"/>
          <w:szCs w:val="20"/>
        </w:rPr>
        <w:t xml:space="preserve"> </w:t>
      </w:r>
      <w:r w:rsidRPr="0099478F">
        <w:rPr>
          <w:rFonts w:ascii="Verdana" w:hAnsi="Verdana" w:cs="Arial"/>
          <w:sz w:val="20"/>
          <w:szCs w:val="20"/>
        </w:rPr>
        <w:t>percent of clients were considered to only require a reprimand for their actions</w:t>
      </w:r>
      <w:r w:rsidR="00C34899" w:rsidRPr="0099478F">
        <w:rPr>
          <w:rFonts w:ascii="Verdana" w:hAnsi="Verdana" w:cs="Arial"/>
          <w:sz w:val="20"/>
          <w:szCs w:val="20"/>
        </w:rPr>
        <w:t>.</w:t>
      </w:r>
    </w:p>
    <w:p w14:paraId="260E9938" w14:textId="77777777" w:rsidR="00895D84" w:rsidRDefault="00895D84" w:rsidP="005D6EF0">
      <w:pPr>
        <w:tabs>
          <w:tab w:val="decimal" w:pos="284"/>
        </w:tabs>
        <w:ind w:left="-142" w:right="-425"/>
        <w:jc w:val="both"/>
        <w:rPr>
          <w:rFonts w:cs="Arial"/>
        </w:rPr>
      </w:pPr>
    </w:p>
    <w:p w14:paraId="03038F5D" w14:textId="77777777" w:rsidR="005B2AFE" w:rsidRDefault="005B2AFE">
      <w:pPr>
        <w:spacing w:line="240" w:lineRule="auto"/>
        <w:rPr>
          <w:rFonts w:cs="Arial"/>
        </w:rPr>
      </w:pPr>
      <w:r>
        <w:rPr>
          <w:rFonts w:cs="Arial"/>
        </w:rPr>
        <w:br w:type="page"/>
      </w:r>
    </w:p>
    <w:p w14:paraId="78EF6562" w14:textId="2E79A40A" w:rsidR="00240AAF" w:rsidRDefault="00106839" w:rsidP="005D6EF0">
      <w:pPr>
        <w:tabs>
          <w:tab w:val="decimal" w:pos="284"/>
        </w:tabs>
        <w:ind w:left="-142" w:right="-425"/>
        <w:jc w:val="both"/>
        <w:rPr>
          <w:rFonts w:cs="Arial"/>
        </w:rPr>
      </w:pPr>
      <w:r>
        <w:rPr>
          <w:rFonts w:cs="Arial"/>
        </w:rPr>
        <w:lastRenderedPageBreak/>
        <w:t xml:space="preserve">There </w:t>
      </w:r>
      <w:r w:rsidR="0032035F">
        <w:rPr>
          <w:rFonts w:cs="Arial"/>
        </w:rPr>
        <w:t>remains</w:t>
      </w:r>
      <w:r>
        <w:rPr>
          <w:rFonts w:cs="Arial"/>
        </w:rPr>
        <w:t xml:space="preserve"> a </w:t>
      </w:r>
      <w:r w:rsidR="005D6EF0">
        <w:rPr>
          <w:rFonts w:cs="Arial"/>
        </w:rPr>
        <w:t xml:space="preserve">small </w:t>
      </w:r>
      <w:r>
        <w:rPr>
          <w:rFonts w:cs="Arial"/>
        </w:rPr>
        <w:t xml:space="preserve">cohort of clients who come before the Commission </w:t>
      </w:r>
      <w:r w:rsidR="005D6EF0">
        <w:rPr>
          <w:rFonts w:cs="Arial"/>
        </w:rPr>
        <w:t>who are</w:t>
      </w:r>
      <w:r w:rsidR="004A6E0F">
        <w:rPr>
          <w:rFonts w:cs="Arial"/>
        </w:rPr>
        <w:t xml:space="preserve"> still developing insight into their actions and are less incline</w:t>
      </w:r>
      <w:r w:rsidR="00AC48DA">
        <w:rPr>
          <w:rFonts w:cs="Arial"/>
        </w:rPr>
        <w:t>d</w:t>
      </w:r>
      <w:r>
        <w:rPr>
          <w:rFonts w:cs="Arial"/>
        </w:rPr>
        <w:t xml:space="preserve"> to change their behaviours</w:t>
      </w:r>
      <w:r w:rsidR="00CD0A5A">
        <w:rPr>
          <w:rFonts w:cs="Arial"/>
        </w:rPr>
        <w:t>. T</w:t>
      </w:r>
      <w:r w:rsidR="005F330D">
        <w:rPr>
          <w:rFonts w:cs="Arial"/>
        </w:rPr>
        <w:t xml:space="preserve">he Commissioners have made the following </w:t>
      </w:r>
      <w:r w:rsidR="001E3C39">
        <w:rPr>
          <w:rFonts w:cs="Arial"/>
        </w:rPr>
        <w:t xml:space="preserve">decisions </w:t>
      </w:r>
      <w:r w:rsidR="005F330D">
        <w:rPr>
          <w:rFonts w:cs="Arial"/>
        </w:rPr>
        <w:t>in those situations:</w:t>
      </w:r>
    </w:p>
    <w:p w14:paraId="0D7D4F20" w14:textId="77777777" w:rsidR="0099478F" w:rsidRDefault="0099478F" w:rsidP="005D6EF0">
      <w:pPr>
        <w:tabs>
          <w:tab w:val="decimal" w:pos="284"/>
        </w:tabs>
        <w:ind w:left="-142" w:right="-425"/>
        <w:jc w:val="both"/>
        <w:rPr>
          <w:rFonts w:cs="Arial"/>
        </w:rPr>
      </w:pPr>
    </w:p>
    <w:p w14:paraId="6526EA2E" w14:textId="532A86DD" w:rsidR="00240AAF" w:rsidRPr="005C0A9F" w:rsidRDefault="001B3846" w:rsidP="001B3846">
      <w:pPr>
        <w:tabs>
          <w:tab w:val="decimal" w:pos="720"/>
        </w:tabs>
        <w:ind w:left="-142" w:right="-425"/>
        <w:jc w:val="both"/>
        <w:rPr>
          <w:rFonts w:cs="Arial"/>
        </w:rPr>
      </w:pPr>
      <w:r>
        <w:rPr>
          <w:rFonts w:cs="Arial"/>
        </w:rPr>
        <w:tab/>
      </w:r>
      <w:r w:rsidR="00AB5DC2" w:rsidRPr="005C0A9F">
        <w:rPr>
          <w:rFonts w:cs="Arial"/>
        </w:rPr>
        <w:t>8</w:t>
      </w:r>
      <w:r w:rsidR="005F330D" w:rsidRPr="005C0A9F">
        <w:rPr>
          <w:rFonts w:cs="Arial"/>
        </w:rPr>
        <w:t xml:space="preserve"> </w:t>
      </w:r>
      <w:r w:rsidR="00FC7C1D">
        <w:rPr>
          <w:rFonts w:cs="Arial"/>
        </w:rPr>
        <w:t xml:space="preserve">percent </w:t>
      </w:r>
      <w:r w:rsidR="005F330D" w:rsidRPr="005C0A9F">
        <w:rPr>
          <w:rFonts w:cs="Arial"/>
        </w:rPr>
        <w:t>of</w:t>
      </w:r>
      <w:r w:rsidR="00DB2710" w:rsidRPr="005C0A9F">
        <w:rPr>
          <w:rFonts w:cs="Arial"/>
        </w:rPr>
        <w:t xml:space="preserve"> clients </w:t>
      </w:r>
      <w:r w:rsidR="001E3C39" w:rsidRPr="000C422E">
        <w:rPr>
          <w:lang w:val="en-US"/>
        </w:rPr>
        <w:t>were ordered to attend a support service</w:t>
      </w:r>
      <w:r w:rsidR="00526C70">
        <w:rPr>
          <w:lang w:val="en-US"/>
        </w:rPr>
        <w:t xml:space="preserve"> under a case </w:t>
      </w:r>
      <w:proofErr w:type="gramStart"/>
      <w:r w:rsidR="00526C70">
        <w:rPr>
          <w:lang w:val="en-US"/>
        </w:rPr>
        <w:t>plan</w:t>
      </w:r>
      <w:r w:rsidR="005D6EF0" w:rsidRPr="005C0A9F">
        <w:rPr>
          <w:rFonts w:cs="Arial"/>
        </w:rPr>
        <w:t>;</w:t>
      </w:r>
      <w:proofErr w:type="gramEnd"/>
      <w:r w:rsidR="005D6EF0" w:rsidRPr="005C0A9F">
        <w:rPr>
          <w:rFonts w:cs="Arial"/>
        </w:rPr>
        <w:t xml:space="preserve"> </w:t>
      </w:r>
    </w:p>
    <w:p w14:paraId="3FC101FC" w14:textId="0B96D7F9" w:rsidR="00240AAF" w:rsidRPr="005C0A9F" w:rsidRDefault="001B3846" w:rsidP="001B3846">
      <w:pPr>
        <w:tabs>
          <w:tab w:val="decimal" w:pos="720"/>
        </w:tabs>
        <w:ind w:left="-142" w:right="-425"/>
        <w:jc w:val="both"/>
        <w:rPr>
          <w:rFonts w:cs="Arial"/>
        </w:rPr>
      </w:pPr>
      <w:r>
        <w:rPr>
          <w:rFonts w:cs="Arial"/>
        </w:rPr>
        <w:tab/>
      </w:r>
      <w:r w:rsidR="00AB5DC2" w:rsidRPr="005C0A9F">
        <w:rPr>
          <w:rFonts w:cs="Arial"/>
        </w:rPr>
        <w:t>6</w:t>
      </w:r>
      <w:r w:rsidR="005F330D" w:rsidRPr="005C0A9F">
        <w:rPr>
          <w:rFonts w:cs="Arial"/>
        </w:rPr>
        <w:t xml:space="preserve"> </w:t>
      </w:r>
      <w:r w:rsidR="00FC7C1D">
        <w:rPr>
          <w:rFonts w:cs="Arial"/>
        </w:rPr>
        <w:t xml:space="preserve">percent </w:t>
      </w:r>
      <w:r w:rsidR="005F330D" w:rsidRPr="005C0A9F">
        <w:rPr>
          <w:rFonts w:cs="Arial"/>
        </w:rPr>
        <w:t>of</w:t>
      </w:r>
      <w:r w:rsidR="00514E25" w:rsidRPr="005C0A9F">
        <w:rPr>
          <w:rFonts w:cs="Arial"/>
        </w:rPr>
        <w:t xml:space="preserve"> clients</w:t>
      </w:r>
      <w:r w:rsidR="005A7C28" w:rsidRPr="005C0A9F">
        <w:rPr>
          <w:rFonts w:cs="Arial"/>
        </w:rPr>
        <w:t xml:space="preserve"> </w:t>
      </w:r>
      <w:r w:rsidR="00946E2C" w:rsidRPr="000C422E">
        <w:rPr>
          <w:lang w:val="en-US"/>
        </w:rPr>
        <w:t xml:space="preserve">were placed on a CIM </w:t>
      </w:r>
      <w:proofErr w:type="gramStart"/>
      <w:r w:rsidR="00946E2C" w:rsidRPr="000C422E">
        <w:rPr>
          <w:lang w:val="en-US"/>
        </w:rPr>
        <w:t>order</w:t>
      </w:r>
      <w:r w:rsidR="00240AAF" w:rsidRPr="005C0A9F">
        <w:rPr>
          <w:rFonts w:cs="Arial"/>
        </w:rPr>
        <w:t>;</w:t>
      </w:r>
      <w:proofErr w:type="gramEnd"/>
    </w:p>
    <w:p w14:paraId="309C704B" w14:textId="616A2E0A" w:rsidR="00240AAF" w:rsidRPr="005C0A9F" w:rsidRDefault="001B3846" w:rsidP="001B3846">
      <w:pPr>
        <w:tabs>
          <w:tab w:val="decimal" w:pos="720"/>
        </w:tabs>
        <w:ind w:left="-142" w:right="-425"/>
        <w:jc w:val="both"/>
        <w:rPr>
          <w:rFonts w:cs="Arial"/>
        </w:rPr>
      </w:pPr>
      <w:r>
        <w:rPr>
          <w:rFonts w:cs="Arial"/>
        </w:rPr>
        <w:tab/>
      </w:r>
      <w:r w:rsidR="00AB5DC2" w:rsidRPr="005C0A9F">
        <w:rPr>
          <w:rFonts w:cs="Arial"/>
        </w:rPr>
        <w:t xml:space="preserve">3 </w:t>
      </w:r>
      <w:r w:rsidR="00FC7C1D">
        <w:rPr>
          <w:rFonts w:cs="Arial"/>
        </w:rPr>
        <w:t xml:space="preserve">percent </w:t>
      </w:r>
      <w:r w:rsidR="00AB5DC2" w:rsidRPr="005C0A9F">
        <w:rPr>
          <w:rFonts w:cs="Arial"/>
        </w:rPr>
        <w:t>of</w:t>
      </w:r>
      <w:r w:rsidR="005F330D" w:rsidRPr="005C0A9F">
        <w:rPr>
          <w:rFonts w:cs="Arial"/>
        </w:rPr>
        <w:t xml:space="preserve"> client</w:t>
      </w:r>
      <w:r w:rsidR="00AB5DC2" w:rsidRPr="005C0A9F">
        <w:rPr>
          <w:rFonts w:cs="Arial"/>
        </w:rPr>
        <w:t>s</w:t>
      </w:r>
      <w:r w:rsidR="005F330D" w:rsidRPr="005C0A9F">
        <w:rPr>
          <w:rFonts w:cs="Arial"/>
        </w:rPr>
        <w:t xml:space="preserve"> </w:t>
      </w:r>
      <w:r w:rsidR="00946E2C" w:rsidRPr="000C422E">
        <w:rPr>
          <w:lang w:val="en-US"/>
        </w:rPr>
        <w:t xml:space="preserve">were </w:t>
      </w:r>
      <w:r w:rsidR="00946E2C">
        <w:rPr>
          <w:lang w:val="en-US"/>
        </w:rPr>
        <w:t>placed on</w:t>
      </w:r>
      <w:r w:rsidR="00946E2C" w:rsidRPr="000C422E">
        <w:rPr>
          <w:lang w:val="en-US"/>
        </w:rPr>
        <w:t xml:space="preserve"> a CIM order and ordered to attend a support </w:t>
      </w:r>
      <w:proofErr w:type="gramStart"/>
      <w:r w:rsidR="00946E2C" w:rsidRPr="000C422E">
        <w:rPr>
          <w:lang w:val="en-US"/>
        </w:rPr>
        <w:t>service</w:t>
      </w:r>
      <w:r w:rsidR="00946E2C">
        <w:rPr>
          <w:lang w:val="en-US"/>
        </w:rPr>
        <w:t>;</w:t>
      </w:r>
      <w:proofErr w:type="gramEnd"/>
    </w:p>
    <w:p w14:paraId="3CFDE646" w14:textId="77777777" w:rsidR="00946E2C" w:rsidRDefault="001B3846" w:rsidP="001B3846">
      <w:pPr>
        <w:tabs>
          <w:tab w:val="decimal" w:pos="720"/>
        </w:tabs>
        <w:ind w:left="-142" w:right="-425"/>
        <w:jc w:val="both"/>
        <w:rPr>
          <w:rFonts w:cs="Arial"/>
        </w:rPr>
      </w:pPr>
      <w:r>
        <w:rPr>
          <w:rFonts w:cs="Arial"/>
        </w:rPr>
        <w:tab/>
      </w:r>
      <w:r w:rsidR="003E2844" w:rsidRPr="005C0A9F">
        <w:rPr>
          <w:rFonts w:cs="Arial"/>
        </w:rPr>
        <w:t xml:space="preserve">1 </w:t>
      </w:r>
      <w:r w:rsidR="00FC7C1D">
        <w:rPr>
          <w:rFonts w:cs="Arial"/>
        </w:rPr>
        <w:t xml:space="preserve">percent </w:t>
      </w:r>
      <w:r w:rsidR="003E2844" w:rsidRPr="005C0A9F">
        <w:rPr>
          <w:rFonts w:cs="Arial"/>
        </w:rPr>
        <w:t xml:space="preserve">of clients </w:t>
      </w:r>
      <w:r w:rsidR="00946E2C" w:rsidRPr="000C422E">
        <w:rPr>
          <w:lang w:val="en-US"/>
        </w:rPr>
        <w:t>were ordered to attend a support service</w:t>
      </w:r>
      <w:r w:rsidR="00946E2C" w:rsidRPr="005C0A9F">
        <w:rPr>
          <w:rFonts w:cs="Arial"/>
        </w:rPr>
        <w:t xml:space="preserve"> </w:t>
      </w:r>
      <w:r w:rsidR="00946E2C">
        <w:rPr>
          <w:rFonts w:cs="Arial"/>
        </w:rPr>
        <w:t>followed by</w:t>
      </w:r>
    </w:p>
    <w:p w14:paraId="0982CB0A" w14:textId="56D799F0" w:rsidR="00240AAF" w:rsidRPr="005C0A9F" w:rsidRDefault="00946E2C" w:rsidP="001B3846">
      <w:pPr>
        <w:tabs>
          <w:tab w:val="decimal" w:pos="720"/>
        </w:tabs>
        <w:ind w:left="-142" w:right="-425"/>
        <w:jc w:val="both"/>
        <w:rPr>
          <w:rFonts w:cs="Arial"/>
        </w:rPr>
      </w:pPr>
      <w:r>
        <w:rPr>
          <w:rFonts w:cs="Arial"/>
        </w:rPr>
        <w:tab/>
      </w:r>
      <w:r>
        <w:rPr>
          <w:rFonts w:cs="Arial"/>
        </w:rPr>
        <w:tab/>
        <w:t xml:space="preserve"> </w:t>
      </w:r>
      <w:r w:rsidR="003E2844" w:rsidRPr="005C0A9F">
        <w:rPr>
          <w:rFonts w:cs="Arial"/>
        </w:rPr>
        <w:t>a no further action</w:t>
      </w:r>
      <w:r w:rsidR="00240AAF" w:rsidRPr="005C0A9F">
        <w:rPr>
          <w:rFonts w:cs="Arial"/>
        </w:rPr>
        <w:t>;</w:t>
      </w:r>
      <w:r w:rsidR="003E2844" w:rsidRPr="005C0A9F">
        <w:rPr>
          <w:rFonts w:cs="Arial"/>
        </w:rPr>
        <w:t xml:space="preserve"> and </w:t>
      </w:r>
    </w:p>
    <w:p w14:paraId="34E3F962" w14:textId="677EC910" w:rsidR="005F330D" w:rsidRPr="005C0A9F" w:rsidRDefault="001B3846" w:rsidP="001B3846">
      <w:pPr>
        <w:tabs>
          <w:tab w:val="decimal" w:pos="720"/>
        </w:tabs>
        <w:ind w:left="-142" w:right="-425"/>
        <w:jc w:val="both"/>
        <w:rPr>
          <w:rFonts w:cs="Arial"/>
        </w:rPr>
      </w:pPr>
      <w:r>
        <w:rPr>
          <w:rFonts w:cs="Arial"/>
        </w:rPr>
        <w:tab/>
      </w:r>
      <w:r w:rsidR="003E2844" w:rsidRPr="005C0A9F">
        <w:rPr>
          <w:rFonts w:cs="Arial"/>
        </w:rPr>
        <w:t xml:space="preserve">1 client </w:t>
      </w:r>
      <w:r w:rsidR="00946E2C" w:rsidRPr="000C422E">
        <w:rPr>
          <w:lang w:val="en-US"/>
        </w:rPr>
        <w:t>w</w:t>
      </w:r>
      <w:r w:rsidR="00946E2C">
        <w:rPr>
          <w:lang w:val="en-US"/>
        </w:rPr>
        <w:t>as</w:t>
      </w:r>
      <w:r w:rsidR="00946E2C" w:rsidRPr="000C422E">
        <w:rPr>
          <w:lang w:val="en-US"/>
        </w:rPr>
        <w:t xml:space="preserve"> placed on a CIM order</w:t>
      </w:r>
      <w:r w:rsidR="00946E2C" w:rsidRPr="005C0A9F" w:rsidDel="00946E2C">
        <w:rPr>
          <w:rFonts w:cs="Arial"/>
        </w:rPr>
        <w:t xml:space="preserve"> </w:t>
      </w:r>
      <w:r w:rsidR="003E2844" w:rsidRPr="005C0A9F">
        <w:rPr>
          <w:rFonts w:cs="Arial"/>
        </w:rPr>
        <w:t>followed by a reprimand</w:t>
      </w:r>
      <w:r w:rsidR="006F7D82" w:rsidRPr="005C0A9F">
        <w:rPr>
          <w:rFonts w:cs="Arial"/>
        </w:rPr>
        <w:t>.</w:t>
      </w:r>
    </w:p>
    <w:p w14:paraId="1B62EC09" w14:textId="4EE26A57" w:rsidR="00C4082A" w:rsidRDefault="00C4082A" w:rsidP="005D6EF0">
      <w:pPr>
        <w:tabs>
          <w:tab w:val="decimal" w:pos="284"/>
        </w:tabs>
        <w:ind w:left="-142" w:right="-425"/>
        <w:jc w:val="both"/>
        <w:rPr>
          <w:rFonts w:cs="Arial"/>
        </w:rPr>
      </w:pPr>
    </w:p>
    <w:p w14:paraId="5F1665D1" w14:textId="69E6E1C8" w:rsidR="00C4082A" w:rsidRDefault="00C4082A" w:rsidP="005D6EF0">
      <w:pPr>
        <w:tabs>
          <w:tab w:val="decimal" w:pos="284"/>
        </w:tabs>
        <w:ind w:left="-142" w:right="-425"/>
        <w:jc w:val="both"/>
        <w:rPr>
          <w:rFonts w:cs="Arial"/>
        </w:rPr>
      </w:pPr>
      <w:r>
        <w:rPr>
          <w:rFonts w:cs="Arial"/>
        </w:rPr>
        <w:t xml:space="preserve">A full breakdown of client interactions </w:t>
      </w:r>
      <w:r w:rsidR="00C629BA">
        <w:rPr>
          <w:rFonts w:cs="Arial"/>
        </w:rPr>
        <w:t>(</w:t>
      </w:r>
      <w:r>
        <w:rPr>
          <w:rFonts w:cs="Arial"/>
        </w:rPr>
        <w:t>including combinations of types of interactions</w:t>
      </w:r>
      <w:r w:rsidR="00C629BA">
        <w:rPr>
          <w:rFonts w:cs="Arial"/>
        </w:rPr>
        <w:t>)</w:t>
      </w:r>
      <w:r>
        <w:rPr>
          <w:rFonts w:cs="Arial"/>
        </w:rPr>
        <w:t xml:space="preserve"> </w:t>
      </w:r>
      <w:proofErr w:type="gramStart"/>
      <w:r>
        <w:rPr>
          <w:rFonts w:cs="Arial"/>
        </w:rPr>
        <w:t>are</w:t>
      </w:r>
      <w:proofErr w:type="gramEnd"/>
      <w:r>
        <w:rPr>
          <w:rFonts w:cs="Arial"/>
        </w:rPr>
        <w:t xml:space="preserve"> recorded by the Commission and will inform </w:t>
      </w:r>
      <w:r w:rsidR="00C629BA">
        <w:rPr>
          <w:rFonts w:cs="Arial"/>
        </w:rPr>
        <w:t>future tracking of client progress and ultimately the Commission’s impact on improving social norms.</w:t>
      </w:r>
    </w:p>
    <w:bookmarkEnd w:id="11"/>
    <w:p w14:paraId="36346059" w14:textId="77777777" w:rsidR="00D51DFA" w:rsidRPr="00D51DFA" w:rsidRDefault="00D51DFA" w:rsidP="00D51DFA">
      <w:pPr>
        <w:pStyle w:val="Heading2"/>
        <w:rPr>
          <w:b w:val="0"/>
        </w:rPr>
      </w:pPr>
    </w:p>
    <w:p w14:paraId="01840B62" w14:textId="2A1D0422" w:rsidR="00986092" w:rsidRPr="00986092" w:rsidRDefault="00986092" w:rsidP="00D51DFA">
      <w:pPr>
        <w:pStyle w:val="Heading2"/>
      </w:pPr>
      <w:r w:rsidRPr="00986092">
        <w:t>Notices</w:t>
      </w:r>
    </w:p>
    <w:p w14:paraId="41B569DF" w14:textId="6398BC30"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0D0A4E">
        <w:rPr>
          <w:rFonts w:cs="Arial"/>
        </w:rPr>
        <w:t>52</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034D8E">
        <w:rPr>
          <w:rFonts w:cs="Arial"/>
        </w:rPr>
        <w:t>2,</w:t>
      </w:r>
      <w:r w:rsidR="00C35686">
        <w:rPr>
          <w:rFonts w:cs="Arial"/>
        </w:rPr>
        <w:t>15</w:t>
      </w:r>
      <w:r w:rsidR="00575B48">
        <w:rPr>
          <w:rFonts w:cs="Arial"/>
        </w:rPr>
        <w:t>4</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40684B">
        <w:rPr>
          <w:rFonts w:cs="Arial"/>
        </w:rPr>
        <w:t>1,</w:t>
      </w:r>
      <w:r w:rsidR="00C35686">
        <w:rPr>
          <w:rFonts w:cs="Arial"/>
        </w:rPr>
        <w:t>14</w:t>
      </w:r>
      <w:r w:rsidR="003A081A">
        <w:rPr>
          <w:rFonts w:cs="Arial"/>
        </w:rPr>
        <w:t>4</w:t>
      </w:r>
      <w:r w:rsidR="005174DF" w:rsidRPr="006042AF">
        <w:rPr>
          <w:rFonts w:cs="Arial"/>
        </w:rPr>
        <w:t xml:space="preserve"> </w:t>
      </w:r>
      <w:r w:rsidRPr="006042AF">
        <w:rPr>
          <w:rFonts w:cs="Arial"/>
        </w:rPr>
        <w:t>notices (</w:t>
      </w:r>
      <w:r w:rsidR="00C35686">
        <w:rPr>
          <w:rFonts w:cs="Arial"/>
        </w:rPr>
        <w:t>53</w:t>
      </w:r>
      <w:r w:rsidR="00C35686" w:rsidRPr="006042AF">
        <w:rPr>
          <w:rFonts w:cs="Arial"/>
        </w:rPr>
        <w:t xml:space="preserve"> </w:t>
      </w:r>
      <w:r w:rsidRPr="006042AF">
        <w:rPr>
          <w:rFonts w:cs="Arial"/>
        </w:rPr>
        <w:t>percent)</w:t>
      </w:r>
      <w:r w:rsidR="00F257B3" w:rsidRPr="006042AF">
        <w:rPr>
          <w:rFonts w:cs="Arial"/>
        </w:rPr>
        <w:t xml:space="preserve"> relating to </w:t>
      </w:r>
      <w:r w:rsidR="00C35686">
        <w:rPr>
          <w:rFonts w:cs="Arial"/>
        </w:rPr>
        <w:t>56</w:t>
      </w:r>
      <w:r w:rsidR="0090190C">
        <w:rPr>
          <w:rFonts w:cs="Arial"/>
        </w:rPr>
        <w:t>7</w:t>
      </w:r>
      <w:r w:rsidR="00C35686"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C35686">
        <w:rPr>
          <w:rFonts w:cs="Arial"/>
        </w:rPr>
        <w:t>1,0</w:t>
      </w:r>
      <w:r w:rsidR="003A081A">
        <w:rPr>
          <w:rFonts w:cs="Arial"/>
        </w:rPr>
        <w:t>10</w:t>
      </w:r>
      <w:r w:rsidR="00C35686">
        <w:rPr>
          <w:rFonts w:cs="Arial"/>
        </w:rPr>
        <w:t xml:space="preserve"> </w:t>
      </w:r>
      <w:r w:rsidRPr="006042AF">
        <w:rPr>
          <w:rFonts w:cs="Arial"/>
        </w:rPr>
        <w:t>notices (</w:t>
      </w:r>
      <w:r w:rsidR="00C35686">
        <w:rPr>
          <w:rFonts w:cs="Arial"/>
        </w:rPr>
        <w:t>47</w:t>
      </w:r>
      <w:r w:rsidR="00C35686" w:rsidRPr="006042AF">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1DDE52D6" w:rsidR="005A5B78" w:rsidRDefault="00C7128D" w:rsidP="00C7128D">
      <w:pPr>
        <w:spacing w:after="120" w:line="240" w:lineRule="auto"/>
        <w:ind w:right="-425"/>
        <w:rPr>
          <w:rFonts w:cs="Arial"/>
          <w:b/>
        </w:rPr>
      </w:pPr>
      <w:r>
        <w:rPr>
          <w:b/>
          <w:sz w:val="16"/>
          <w:szCs w:val="16"/>
        </w:rPr>
        <w:t xml:space="preserve">Table </w:t>
      </w:r>
      <w:r w:rsidR="001F4FDB">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1 </w:t>
      </w:r>
      <w:r w:rsidR="002B731D">
        <w:rPr>
          <w:sz w:val="16"/>
          <w:szCs w:val="16"/>
        </w:rPr>
        <w:t>April</w:t>
      </w:r>
      <w:r w:rsidR="009A7C28">
        <w:rPr>
          <w:sz w:val="16"/>
          <w:szCs w:val="16"/>
        </w:rPr>
        <w:t xml:space="preserve"> 2021</w:t>
      </w:r>
      <w:r w:rsidR="00A41820">
        <w:rPr>
          <w:sz w:val="16"/>
          <w:szCs w:val="16"/>
        </w:rPr>
        <w:t xml:space="preserve"> to </w:t>
      </w:r>
      <w:r w:rsidR="00C02DC0">
        <w:rPr>
          <w:sz w:val="16"/>
          <w:szCs w:val="16"/>
        </w:rPr>
        <w:t>30 June</w:t>
      </w:r>
      <w:r w:rsidR="009A7C28">
        <w:rPr>
          <w:sz w:val="16"/>
          <w:szCs w:val="16"/>
        </w:rPr>
        <w:t xml:space="preserve"> 2021</w:t>
      </w:r>
      <w:r w:rsidR="00A41820">
        <w:rPr>
          <w:sz w:val="16"/>
          <w:szCs w:val="16"/>
        </w:rPr>
        <w:t>.</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D31356">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D80424" w:rsidRPr="00650B45" w14:paraId="34AFEA3C"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D80424" w:rsidRPr="005E0531" w:rsidRDefault="00D80424" w:rsidP="00D80424">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279386AB" w:rsidR="00D80424" w:rsidRPr="005E0531" w:rsidRDefault="00D80424" w:rsidP="00D80424">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24627FDC" w:rsidR="00D80424" w:rsidRPr="005E0531" w:rsidRDefault="00D80424" w:rsidP="00D80424">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50E81A48" w:rsidR="00D80424" w:rsidRPr="005E0531" w:rsidRDefault="00D80424" w:rsidP="00D80424">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3B10B8D4" w:rsidR="00D80424" w:rsidRPr="005E0531" w:rsidRDefault="00D80424" w:rsidP="00D80424">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192308FE" w:rsidR="00D80424" w:rsidRPr="005E0531" w:rsidRDefault="00D80424" w:rsidP="00D80424">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1973D9B7" w:rsidR="00D80424" w:rsidRDefault="00D80424" w:rsidP="00D80424">
            <w:pPr>
              <w:spacing w:line="240" w:lineRule="auto"/>
              <w:jc w:val="right"/>
              <w:rPr>
                <w:rFonts w:cs="Arial"/>
                <w:b/>
                <w:bCs/>
                <w:lang w:eastAsia="en-AU"/>
              </w:rPr>
            </w:pPr>
            <w:r>
              <w:rPr>
                <w:rFonts w:cs="Arial"/>
                <w:b/>
                <w:bCs/>
              </w:rPr>
              <w:t>0</w:t>
            </w:r>
          </w:p>
        </w:tc>
      </w:tr>
      <w:tr w:rsidR="00D80424" w:rsidRPr="00650B45" w14:paraId="440532E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D80424" w:rsidRPr="0040594D" w:rsidRDefault="00D80424" w:rsidP="00D80424">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5858235D" w:rsidR="00D80424" w:rsidRPr="0040594D" w:rsidRDefault="00D80424" w:rsidP="00D80424">
            <w:pPr>
              <w:spacing w:line="240" w:lineRule="auto"/>
              <w:jc w:val="right"/>
              <w:rPr>
                <w:rFonts w:cs="Arial"/>
                <w:lang w:eastAsia="en-AU"/>
              </w:rPr>
            </w:pPr>
            <w:r>
              <w:rPr>
                <w:rFonts w:cs="Arial"/>
              </w:rPr>
              <w:t>10</w:t>
            </w:r>
          </w:p>
        </w:tc>
        <w:tc>
          <w:tcPr>
            <w:tcW w:w="850" w:type="dxa"/>
            <w:tcBorders>
              <w:top w:val="nil"/>
              <w:left w:val="nil"/>
              <w:bottom w:val="single" w:sz="4" w:space="0" w:color="auto"/>
              <w:right w:val="single" w:sz="4" w:space="0" w:color="auto"/>
            </w:tcBorders>
            <w:shd w:val="clear" w:color="auto" w:fill="auto"/>
            <w:vAlign w:val="center"/>
          </w:tcPr>
          <w:p w14:paraId="2545D481" w14:textId="7B35FAFB" w:rsidR="00D80424" w:rsidRPr="0040594D" w:rsidRDefault="00D80424" w:rsidP="00D80424">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02F60FDE" w14:textId="1CE2792A" w:rsidR="00D80424" w:rsidRDefault="00D80424" w:rsidP="00D80424">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6A39ECDB" w:rsidR="00D80424" w:rsidRDefault="00D80424" w:rsidP="00D80424">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03E7C1E8" w:rsidR="00D80424" w:rsidRDefault="00D80424" w:rsidP="00D80424">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31DBB8C3" w:rsidR="00D80424" w:rsidRPr="00557E24" w:rsidRDefault="00D80424" w:rsidP="00D80424">
            <w:pPr>
              <w:spacing w:line="240" w:lineRule="auto"/>
              <w:jc w:val="right"/>
              <w:rPr>
                <w:rFonts w:cs="Arial"/>
                <w:b/>
                <w:lang w:eastAsia="en-AU"/>
              </w:rPr>
            </w:pPr>
            <w:r>
              <w:rPr>
                <w:rFonts w:cs="Arial"/>
                <w:b/>
                <w:bCs/>
              </w:rPr>
              <w:t>11</w:t>
            </w:r>
          </w:p>
        </w:tc>
      </w:tr>
      <w:tr w:rsidR="00D80424" w:rsidRPr="00650B45" w14:paraId="606D952D"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D80424" w:rsidRDefault="00D80424" w:rsidP="00D80424">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57E7DB63" w:rsidR="00D80424" w:rsidRPr="0040594D" w:rsidRDefault="00D80424" w:rsidP="00D80424">
            <w:pPr>
              <w:spacing w:line="240" w:lineRule="auto"/>
              <w:jc w:val="right"/>
              <w:rPr>
                <w:rFonts w:cs="Arial"/>
                <w:lang w:eastAsia="en-AU"/>
              </w:rPr>
            </w:pPr>
            <w:r>
              <w:rPr>
                <w:rFonts w:cs="Arial"/>
              </w:rPr>
              <w:t>225</w:t>
            </w:r>
          </w:p>
        </w:tc>
        <w:tc>
          <w:tcPr>
            <w:tcW w:w="850" w:type="dxa"/>
            <w:tcBorders>
              <w:top w:val="nil"/>
              <w:left w:val="nil"/>
              <w:bottom w:val="single" w:sz="4" w:space="0" w:color="auto"/>
              <w:right w:val="single" w:sz="4" w:space="0" w:color="auto"/>
            </w:tcBorders>
            <w:shd w:val="clear" w:color="auto" w:fill="auto"/>
            <w:vAlign w:val="center"/>
          </w:tcPr>
          <w:p w14:paraId="42DE6DE7" w14:textId="2A638EAD" w:rsidR="00D80424" w:rsidRDefault="00D80424" w:rsidP="00D80424">
            <w:pPr>
              <w:spacing w:line="240" w:lineRule="auto"/>
              <w:jc w:val="right"/>
              <w:rPr>
                <w:rFonts w:cs="Arial"/>
                <w:lang w:eastAsia="en-AU"/>
              </w:rPr>
            </w:pPr>
            <w:r>
              <w:rPr>
                <w:rFonts w:cs="Arial"/>
              </w:rPr>
              <w:t>20</w:t>
            </w:r>
          </w:p>
        </w:tc>
        <w:tc>
          <w:tcPr>
            <w:tcW w:w="779" w:type="dxa"/>
            <w:tcBorders>
              <w:top w:val="nil"/>
              <w:left w:val="nil"/>
              <w:bottom w:val="single" w:sz="4" w:space="0" w:color="auto"/>
              <w:right w:val="single" w:sz="4" w:space="0" w:color="auto"/>
            </w:tcBorders>
            <w:vAlign w:val="center"/>
          </w:tcPr>
          <w:p w14:paraId="6A2B0F8E" w14:textId="7317A3D0" w:rsidR="00D80424" w:rsidRDefault="00D80424" w:rsidP="00D80424">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77528160" w:rsidR="00D80424" w:rsidRDefault="00D80424" w:rsidP="00D80424">
            <w:pPr>
              <w:spacing w:line="240" w:lineRule="auto"/>
              <w:jc w:val="right"/>
              <w:rPr>
                <w:rFonts w:cs="Arial"/>
                <w:lang w:eastAsia="en-AU"/>
              </w:rPr>
            </w:pPr>
            <w:r>
              <w:rPr>
                <w:rFonts w:cs="Arial"/>
              </w:rPr>
              <w:t>99</w:t>
            </w:r>
          </w:p>
        </w:tc>
        <w:tc>
          <w:tcPr>
            <w:tcW w:w="706" w:type="dxa"/>
            <w:tcBorders>
              <w:top w:val="nil"/>
              <w:left w:val="nil"/>
              <w:bottom w:val="single" w:sz="4" w:space="0" w:color="auto"/>
              <w:right w:val="single" w:sz="4" w:space="0" w:color="auto"/>
            </w:tcBorders>
            <w:vAlign w:val="center"/>
          </w:tcPr>
          <w:p w14:paraId="635B50F1" w14:textId="5E00C245" w:rsidR="00D80424" w:rsidRDefault="00D80424" w:rsidP="00D80424">
            <w:pPr>
              <w:spacing w:line="240" w:lineRule="auto"/>
              <w:jc w:val="right"/>
              <w:rPr>
                <w:rFonts w:cs="Arial"/>
                <w:lang w:eastAsia="en-AU"/>
              </w:rPr>
            </w:pPr>
            <w:r>
              <w:rPr>
                <w:rFonts w:cs="Arial"/>
              </w:rPr>
              <w:t>34</w:t>
            </w:r>
          </w:p>
        </w:tc>
        <w:tc>
          <w:tcPr>
            <w:tcW w:w="849" w:type="dxa"/>
            <w:tcBorders>
              <w:top w:val="nil"/>
              <w:left w:val="nil"/>
              <w:bottom w:val="single" w:sz="4" w:space="0" w:color="auto"/>
              <w:right w:val="single" w:sz="4" w:space="0" w:color="auto"/>
            </w:tcBorders>
            <w:vAlign w:val="center"/>
          </w:tcPr>
          <w:p w14:paraId="413D1C25" w14:textId="7F1E3CFE" w:rsidR="00D80424" w:rsidRPr="00557E24" w:rsidRDefault="00D80424" w:rsidP="00D80424">
            <w:pPr>
              <w:spacing w:line="240" w:lineRule="auto"/>
              <w:jc w:val="right"/>
              <w:rPr>
                <w:rFonts w:cs="Arial"/>
                <w:b/>
                <w:lang w:eastAsia="en-AU"/>
              </w:rPr>
            </w:pPr>
            <w:r>
              <w:rPr>
                <w:rFonts w:cs="Arial"/>
                <w:b/>
                <w:bCs/>
              </w:rPr>
              <w:t>378</w:t>
            </w:r>
          </w:p>
        </w:tc>
      </w:tr>
      <w:tr w:rsidR="00D80424" w:rsidRPr="00650B45" w14:paraId="326E9032"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D80424" w:rsidRDefault="00D80424" w:rsidP="00D80424">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771A9A5F" w:rsidR="00D80424" w:rsidRPr="0040594D" w:rsidRDefault="00D80424" w:rsidP="00D80424">
            <w:pPr>
              <w:spacing w:line="240" w:lineRule="auto"/>
              <w:jc w:val="right"/>
              <w:rPr>
                <w:rFonts w:cs="Arial"/>
                <w:lang w:eastAsia="en-AU"/>
              </w:rPr>
            </w:pPr>
            <w:r>
              <w:rPr>
                <w:rFonts w:cs="Arial"/>
              </w:rPr>
              <w:t>26</w:t>
            </w:r>
          </w:p>
        </w:tc>
        <w:tc>
          <w:tcPr>
            <w:tcW w:w="850" w:type="dxa"/>
            <w:tcBorders>
              <w:top w:val="nil"/>
              <w:left w:val="nil"/>
              <w:bottom w:val="single" w:sz="4" w:space="0" w:color="auto"/>
              <w:right w:val="single" w:sz="4" w:space="0" w:color="auto"/>
            </w:tcBorders>
            <w:shd w:val="clear" w:color="auto" w:fill="auto"/>
            <w:vAlign w:val="center"/>
          </w:tcPr>
          <w:p w14:paraId="1BA99C8E" w14:textId="0A1A305F" w:rsidR="00D80424" w:rsidRDefault="00D80424" w:rsidP="00D80424">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0583F4F6" w:rsidR="00D80424" w:rsidRDefault="00D80424" w:rsidP="00D80424">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20D79077" w:rsidR="00D80424" w:rsidRDefault="00D80424" w:rsidP="00D80424">
            <w:pPr>
              <w:spacing w:line="240" w:lineRule="auto"/>
              <w:jc w:val="right"/>
              <w:rPr>
                <w:rFonts w:cs="Arial"/>
                <w:lang w:eastAsia="en-AU"/>
              </w:rPr>
            </w:pPr>
            <w:r>
              <w:rPr>
                <w:rFonts w:cs="Arial"/>
              </w:rPr>
              <w:t>15</w:t>
            </w:r>
          </w:p>
        </w:tc>
        <w:tc>
          <w:tcPr>
            <w:tcW w:w="706" w:type="dxa"/>
            <w:tcBorders>
              <w:top w:val="nil"/>
              <w:left w:val="nil"/>
              <w:bottom w:val="single" w:sz="4" w:space="0" w:color="auto"/>
              <w:right w:val="single" w:sz="4" w:space="0" w:color="auto"/>
            </w:tcBorders>
            <w:vAlign w:val="center"/>
          </w:tcPr>
          <w:p w14:paraId="772FC04E" w14:textId="5EF36769" w:rsidR="00D80424" w:rsidRDefault="00D80424" w:rsidP="00D80424">
            <w:pPr>
              <w:spacing w:line="240" w:lineRule="auto"/>
              <w:jc w:val="right"/>
              <w:rPr>
                <w:rFonts w:cs="Arial"/>
                <w:lang w:eastAsia="en-AU"/>
              </w:rPr>
            </w:pPr>
            <w:r>
              <w:rPr>
                <w:rFonts w:cs="Arial"/>
              </w:rPr>
              <w:t>3</w:t>
            </w:r>
          </w:p>
        </w:tc>
        <w:tc>
          <w:tcPr>
            <w:tcW w:w="849" w:type="dxa"/>
            <w:tcBorders>
              <w:top w:val="nil"/>
              <w:left w:val="nil"/>
              <w:bottom w:val="single" w:sz="4" w:space="0" w:color="auto"/>
              <w:right w:val="single" w:sz="4" w:space="0" w:color="auto"/>
            </w:tcBorders>
            <w:vAlign w:val="center"/>
          </w:tcPr>
          <w:p w14:paraId="7DF1704F" w14:textId="50154476" w:rsidR="00D80424" w:rsidRPr="00557E24" w:rsidRDefault="00D80424" w:rsidP="00D80424">
            <w:pPr>
              <w:spacing w:line="240" w:lineRule="auto"/>
              <w:jc w:val="right"/>
              <w:rPr>
                <w:rFonts w:cs="Arial"/>
                <w:b/>
                <w:lang w:eastAsia="en-AU"/>
              </w:rPr>
            </w:pPr>
            <w:r>
              <w:rPr>
                <w:rFonts w:cs="Arial"/>
                <w:b/>
                <w:bCs/>
              </w:rPr>
              <w:t>45</w:t>
            </w:r>
          </w:p>
        </w:tc>
      </w:tr>
      <w:tr w:rsidR="00D80424" w:rsidRPr="00650B45" w14:paraId="4D04E998"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D80424" w:rsidRDefault="00D80424" w:rsidP="00D80424">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50273CF7" w:rsidR="00D80424" w:rsidRPr="0040594D" w:rsidRDefault="00D80424" w:rsidP="00D80424">
            <w:pPr>
              <w:spacing w:line="240" w:lineRule="auto"/>
              <w:jc w:val="right"/>
              <w:rPr>
                <w:rFonts w:cs="Arial"/>
                <w:lang w:eastAsia="en-AU"/>
              </w:rPr>
            </w:pPr>
            <w:r>
              <w:rPr>
                <w:rFonts w:cs="Arial"/>
              </w:rPr>
              <w:t>21</w:t>
            </w:r>
          </w:p>
        </w:tc>
        <w:tc>
          <w:tcPr>
            <w:tcW w:w="850" w:type="dxa"/>
            <w:tcBorders>
              <w:top w:val="nil"/>
              <w:left w:val="nil"/>
              <w:bottom w:val="single" w:sz="4" w:space="0" w:color="auto"/>
              <w:right w:val="single" w:sz="4" w:space="0" w:color="auto"/>
            </w:tcBorders>
            <w:shd w:val="clear" w:color="auto" w:fill="auto"/>
            <w:vAlign w:val="center"/>
          </w:tcPr>
          <w:p w14:paraId="375C9925" w14:textId="0D4D7608" w:rsidR="00D80424" w:rsidRDefault="00D80424" w:rsidP="00D80424">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766C043E" w14:textId="2EA2AE17" w:rsidR="00D80424" w:rsidRDefault="00D80424" w:rsidP="00D80424">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62426ED2" w:rsidR="00D80424" w:rsidRDefault="00D80424" w:rsidP="00D80424">
            <w:pPr>
              <w:spacing w:line="240" w:lineRule="auto"/>
              <w:jc w:val="right"/>
              <w:rPr>
                <w:rFonts w:cs="Arial"/>
                <w:lang w:eastAsia="en-AU"/>
              </w:rPr>
            </w:pPr>
            <w:r>
              <w:rPr>
                <w:rFonts w:cs="Arial"/>
              </w:rPr>
              <w:t>18</w:t>
            </w:r>
          </w:p>
        </w:tc>
        <w:tc>
          <w:tcPr>
            <w:tcW w:w="706" w:type="dxa"/>
            <w:tcBorders>
              <w:top w:val="nil"/>
              <w:left w:val="nil"/>
              <w:bottom w:val="single" w:sz="4" w:space="0" w:color="auto"/>
              <w:right w:val="single" w:sz="4" w:space="0" w:color="auto"/>
            </w:tcBorders>
            <w:vAlign w:val="center"/>
          </w:tcPr>
          <w:p w14:paraId="76B03AEF" w14:textId="55CC3C96" w:rsidR="00D80424" w:rsidRDefault="00D80424" w:rsidP="00D80424">
            <w:pPr>
              <w:spacing w:line="240" w:lineRule="auto"/>
              <w:jc w:val="right"/>
              <w:rPr>
                <w:rFonts w:cs="Arial"/>
                <w:lang w:eastAsia="en-AU"/>
              </w:rPr>
            </w:pPr>
            <w:r>
              <w:rPr>
                <w:rFonts w:cs="Arial"/>
              </w:rPr>
              <w:t>7</w:t>
            </w:r>
          </w:p>
        </w:tc>
        <w:tc>
          <w:tcPr>
            <w:tcW w:w="849" w:type="dxa"/>
            <w:tcBorders>
              <w:top w:val="nil"/>
              <w:left w:val="nil"/>
              <w:bottom w:val="single" w:sz="4" w:space="0" w:color="auto"/>
              <w:right w:val="single" w:sz="4" w:space="0" w:color="auto"/>
            </w:tcBorders>
            <w:vAlign w:val="center"/>
          </w:tcPr>
          <w:p w14:paraId="61D1E9D8" w14:textId="1E67760E" w:rsidR="00D80424" w:rsidRPr="00557E24" w:rsidRDefault="00D80424" w:rsidP="00D80424">
            <w:pPr>
              <w:spacing w:line="240" w:lineRule="auto"/>
              <w:jc w:val="right"/>
              <w:rPr>
                <w:rFonts w:cs="Arial"/>
                <w:b/>
                <w:lang w:eastAsia="en-AU"/>
              </w:rPr>
            </w:pPr>
            <w:r>
              <w:rPr>
                <w:rFonts w:cs="Arial"/>
                <w:b/>
                <w:bCs/>
              </w:rPr>
              <w:t>50</w:t>
            </w:r>
          </w:p>
        </w:tc>
      </w:tr>
      <w:tr w:rsidR="00D80424" w:rsidRPr="00650B45" w14:paraId="725BA5E1"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D80424" w:rsidRPr="0040594D" w:rsidRDefault="00D80424" w:rsidP="00D80424">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6E66197F" w:rsidR="00D80424" w:rsidRPr="0040594D" w:rsidRDefault="00D80424" w:rsidP="00D80424">
            <w:pPr>
              <w:spacing w:line="240" w:lineRule="auto"/>
              <w:jc w:val="right"/>
              <w:rPr>
                <w:rFonts w:cs="Arial"/>
                <w:lang w:eastAsia="en-AU"/>
              </w:rPr>
            </w:pPr>
            <w:r>
              <w:rPr>
                <w:rFonts w:cs="Arial"/>
              </w:rPr>
              <w:t>196</w:t>
            </w:r>
          </w:p>
        </w:tc>
        <w:tc>
          <w:tcPr>
            <w:tcW w:w="850" w:type="dxa"/>
            <w:tcBorders>
              <w:top w:val="nil"/>
              <w:left w:val="nil"/>
              <w:bottom w:val="single" w:sz="4" w:space="0" w:color="auto"/>
              <w:right w:val="single" w:sz="4" w:space="0" w:color="auto"/>
            </w:tcBorders>
            <w:shd w:val="clear" w:color="auto" w:fill="auto"/>
            <w:vAlign w:val="center"/>
          </w:tcPr>
          <w:p w14:paraId="5D2BA765" w14:textId="6C4C3E20" w:rsidR="00D80424" w:rsidRPr="0040594D" w:rsidRDefault="00D80424" w:rsidP="00D80424">
            <w:pPr>
              <w:spacing w:line="240" w:lineRule="auto"/>
              <w:jc w:val="right"/>
              <w:rPr>
                <w:rFonts w:cs="Arial"/>
                <w:lang w:eastAsia="en-AU"/>
              </w:rPr>
            </w:pPr>
            <w:r>
              <w:rPr>
                <w:rFonts w:cs="Arial"/>
              </w:rPr>
              <w:t>6</w:t>
            </w:r>
          </w:p>
        </w:tc>
        <w:tc>
          <w:tcPr>
            <w:tcW w:w="779" w:type="dxa"/>
            <w:tcBorders>
              <w:top w:val="nil"/>
              <w:left w:val="nil"/>
              <w:bottom w:val="single" w:sz="4" w:space="0" w:color="auto"/>
              <w:right w:val="single" w:sz="4" w:space="0" w:color="auto"/>
            </w:tcBorders>
            <w:vAlign w:val="center"/>
          </w:tcPr>
          <w:p w14:paraId="6EC1BDB5" w14:textId="2351DE6D" w:rsidR="00D80424" w:rsidRDefault="00D80424" w:rsidP="00D80424">
            <w:pPr>
              <w:spacing w:line="240" w:lineRule="auto"/>
              <w:jc w:val="right"/>
              <w:rPr>
                <w:rFonts w:cs="Arial"/>
                <w:lang w:eastAsia="en-AU"/>
              </w:rPr>
            </w:pPr>
            <w:r>
              <w:rPr>
                <w:rFonts w:cs="Arial"/>
              </w:rPr>
              <w:t>269</w:t>
            </w:r>
          </w:p>
        </w:tc>
        <w:tc>
          <w:tcPr>
            <w:tcW w:w="643" w:type="dxa"/>
            <w:tcBorders>
              <w:top w:val="nil"/>
              <w:left w:val="nil"/>
              <w:bottom w:val="single" w:sz="4" w:space="0" w:color="auto"/>
              <w:right w:val="single" w:sz="4" w:space="0" w:color="auto"/>
            </w:tcBorders>
            <w:vAlign w:val="center"/>
          </w:tcPr>
          <w:p w14:paraId="1997B7CD" w14:textId="12335CAC" w:rsidR="00D80424" w:rsidRDefault="00D80424" w:rsidP="00D80424">
            <w:pPr>
              <w:spacing w:line="240" w:lineRule="auto"/>
              <w:jc w:val="right"/>
              <w:rPr>
                <w:rFonts w:cs="Arial"/>
                <w:lang w:eastAsia="en-AU"/>
              </w:rPr>
            </w:pPr>
            <w:r>
              <w:rPr>
                <w:rFonts w:cs="Arial"/>
              </w:rPr>
              <w:t>92</w:t>
            </w:r>
          </w:p>
        </w:tc>
        <w:tc>
          <w:tcPr>
            <w:tcW w:w="706" w:type="dxa"/>
            <w:tcBorders>
              <w:top w:val="nil"/>
              <w:left w:val="nil"/>
              <w:bottom w:val="single" w:sz="4" w:space="0" w:color="auto"/>
              <w:right w:val="single" w:sz="4" w:space="0" w:color="auto"/>
            </w:tcBorders>
            <w:vAlign w:val="center"/>
          </w:tcPr>
          <w:p w14:paraId="6C72EE70" w14:textId="08BCB065" w:rsidR="00D80424" w:rsidRDefault="00D80424" w:rsidP="00D80424">
            <w:pPr>
              <w:spacing w:line="240" w:lineRule="auto"/>
              <w:jc w:val="right"/>
              <w:rPr>
                <w:rFonts w:cs="Arial"/>
                <w:lang w:eastAsia="en-AU"/>
              </w:rPr>
            </w:pPr>
            <w:r>
              <w:rPr>
                <w:rFonts w:cs="Arial"/>
              </w:rPr>
              <w:t>18</w:t>
            </w:r>
          </w:p>
        </w:tc>
        <w:tc>
          <w:tcPr>
            <w:tcW w:w="849" w:type="dxa"/>
            <w:tcBorders>
              <w:top w:val="nil"/>
              <w:left w:val="nil"/>
              <w:bottom w:val="single" w:sz="4" w:space="0" w:color="auto"/>
              <w:right w:val="single" w:sz="4" w:space="0" w:color="auto"/>
            </w:tcBorders>
            <w:vAlign w:val="center"/>
          </w:tcPr>
          <w:p w14:paraId="10323D05" w14:textId="0FFBD1F1" w:rsidR="00D80424" w:rsidRPr="00557E24" w:rsidRDefault="00D80424" w:rsidP="00D80424">
            <w:pPr>
              <w:spacing w:line="240" w:lineRule="auto"/>
              <w:jc w:val="right"/>
              <w:rPr>
                <w:rFonts w:cs="Arial"/>
                <w:b/>
                <w:lang w:eastAsia="en-AU"/>
              </w:rPr>
            </w:pPr>
            <w:r>
              <w:rPr>
                <w:rFonts w:cs="Arial"/>
                <w:b/>
                <w:bCs/>
              </w:rPr>
              <w:t>581</w:t>
            </w:r>
          </w:p>
        </w:tc>
      </w:tr>
      <w:tr w:rsidR="00D80424" w:rsidRPr="00650B45" w14:paraId="427883C4"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D80424" w:rsidRPr="0040594D" w:rsidRDefault="00D80424" w:rsidP="00D80424">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22D9216E" w:rsidR="00D80424" w:rsidRPr="0040594D" w:rsidRDefault="00D80424" w:rsidP="00D80424">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1310B049" w:rsidR="00D80424" w:rsidRPr="0040594D" w:rsidRDefault="00D80424" w:rsidP="00D80424">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3CD99817" w14:textId="0EAF3331" w:rsidR="00D80424" w:rsidRDefault="00D80424" w:rsidP="00D80424">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596E0880" w:rsidR="00D80424" w:rsidRDefault="00D80424" w:rsidP="00D80424">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center"/>
          </w:tcPr>
          <w:p w14:paraId="30E7D1DC" w14:textId="23194131" w:rsidR="00D80424" w:rsidRDefault="00D80424" w:rsidP="00D80424">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2153551E" w:rsidR="00D80424" w:rsidRPr="00557E24" w:rsidRDefault="00D80424" w:rsidP="00D80424">
            <w:pPr>
              <w:spacing w:line="240" w:lineRule="auto"/>
              <w:jc w:val="right"/>
              <w:rPr>
                <w:rFonts w:cs="Arial"/>
                <w:b/>
                <w:lang w:eastAsia="en-AU"/>
              </w:rPr>
            </w:pPr>
            <w:r>
              <w:rPr>
                <w:rFonts w:cs="Arial"/>
                <w:b/>
                <w:bCs/>
              </w:rPr>
              <w:t>4</w:t>
            </w:r>
          </w:p>
        </w:tc>
      </w:tr>
      <w:tr w:rsidR="00D80424" w:rsidRPr="00650B45" w14:paraId="626FFFAF"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D80424" w:rsidRPr="00371BE2" w:rsidRDefault="00D80424" w:rsidP="00D80424">
            <w:pPr>
              <w:spacing w:line="240" w:lineRule="auto"/>
              <w:rPr>
                <w:rFonts w:cs="Arial"/>
                <w:lang w:eastAsia="en-AU"/>
              </w:rPr>
            </w:pPr>
            <w:bookmarkStart w:id="12"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2E4E729D" w:rsidR="00D80424" w:rsidRPr="0040594D" w:rsidRDefault="00D80424" w:rsidP="00D80424">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128FB7B2" w:rsidR="00D80424" w:rsidRPr="0040594D" w:rsidRDefault="00D80424" w:rsidP="00D80424">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2E86E628" w:rsidR="00D80424" w:rsidRDefault="00D80424" w:rsidP="00D80424">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083852BE" w:rsidR="00D80424" w:rsidRDefault="00D80424" w:rsidP="00D80424">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73CAFE10" w:rsidR="00D80424" w:rsidRDefault="00D80424" w:rsidP="00D80424">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4D81B11C" w:rsidR="00D80424" w:rsidRPr="00557E24" w:rsidRDefault="00D80424" w:rsidP="00D80424">
            <w:pPr>
              <w:spacing w:line="240" w:lineRule="auto"/>
              <w:jc w:val="right"/>
              <w:rPr>
                <w:rFonts w:cs="Arial"/>
                <w:b/>
                <w:lang w:eastAsia="en-AU"/>
              </w:rPr>
            </w:pPr>
          </w:p>
        </w:tc>
      </w:tr>
      <w:bookmarkEnd w:id="12"/>
      <w:tr w:rsidR="00D80424" w:rsidRPr="00650B45" w14:paraId="1804ED4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D80424" w:rsidRPr="00371BE2" w:rsidRDefault="00D80424" w:rsidP="00D80424">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37D6DBAC" w:rsidR="00D80424" w:rsidRDefault="00D80424" w:rsidP="00D80424">
            <w:pPr>
              <w:spacing w:line="240" w:lineRule="auto"/>
              <w:jc w:val="right"/>
              <w:rPr>
                <w:rFonts w:cs="Arial"/>
              </w:rPr>
            </w:pPr>
            <w:r>
              <w:rPr>
                <w:rFonts w:cs="Arial"/>
              </w:rPr>
              <w:t>6</w:t>
            </w:r>
          </w:p>
        </w:tc>
        <w:tc>
          <w:tcPr>
            <w:tcW w:w="850" w:type="dxa"/>
            <w:tcBorders>
              <w:top w:val="nil"/>
              <w:left w:val="nil"/>
              <w:bottom w:val="single" w:sz="4" w:space="0" w:color="auto"/>
              <w:right w:val="single" w:sz="4" w:space="0" w:color="auto"/>
            </w:tcBorders>
            <w:shd w:val="clear" w:color="auto" w:fill="auto"/>
            <w:vAlign w:val="center"/>
          </w:tcPr>
          <w:p w14:paraId="503CD381" w14:textId="1031159A" w:rsidR="00D80424" w:rsidRDefault="00D80424" w:rsidP="00D80424">
            <w:pPr>
              <w:spacing w:line="240" w:lineRule="auto"/>
              <w:jc w:val="right"/>
              <w:rPr>
                <w:rFonts w:cs="Arial"/>
              </w:rPr>
            </w:pPr>
            <w:r>
              <w:rPr>
                <w:rFonts w:cs="Arial"/>
              </w:rPr>
              <w:t>2</w:t>
            </w:r>
          </w:p>
        </w:tc>
        <w:tc>
          <w:tcPr>
            <w:tcW w:w="779" w:type="dxa"/>
            <w:tcBorders>
              <w:top w:val="nil"/>
              <w:left w:val="nil"/>
              <w:bottom w:val="single" w:sz="4" w:space="0" w:color="auto"/>
              <w:right w:val="single" w:sz="4" w:space="0" w:color="auto"/>
            </w:tcBorders>
            <w:vAlign w:val="center"/>
          </w:tcPr>
          <w:p w14:paraId="488ACCDC" w14:textId="68541F01" w:rsidR="00D80424" w:rsidRDefault="00D80424" w:rsidP="00D80424">
            <w:pPr>
              <w:spacing w:line="240" w:lineRule="auto"/>
              <w:jc w:val="right"/>
              <w:rPr>
                <w:rFonts w:cs="Arial"/>
              </w:rPr>
            </w:pPr>
            <w:r>
              <w:rPr>
                <w:rFonts w:cs="Arial"/>
              </w:rPr>
              <w:t>28</w:t>
            </w:r>
          </w:p>
        </w:tc>
        <w:tc>
          <w:tcPr>
            <w:tcW w:w="643" w:type="dxa"/>
            <w:tcBorders>
              <w:top w:val="nil"/>
              <w:left w:val="nil"/>
              <w:bottom w:val="single" w:sz="4" w:space="0" w:color="auto"/>
              <w:right w:val="single" w:sz="4" w:space="0" w:color="auto"/>
            </w:tcBorders>
            <w:vAlign w:val="center"/>
          </w:tcPr>
          <w:p w14:paraId="0FE1FB54" w14:textId="03CB2769" w:rsidR="00D80424" w:rsidRDefault="00D80424" w:rsidP="00D80424">
            <w:pPr>
              <w:spacing w:line="240" w:lineRule="auto"/>
              <w:jc w:val="right"/>
              <w:rPr>
                <w:rFonts w:cs="Arial"/>
              </w:rPr>
            </w:pPr>
            <w:r>
              <w:rPr>
                <w:rFonts w:cs="Arial"/>
              </w:rPr>
              <w:t>2</w:t>
            </w:r>
          </w:p>
        </w:tc>
        <w:tc>
          <w:tcPr>
            <w:tcW w:w="706" w:type="dxa"/>
            <w:tcBorders>
              <w:top w:val="nil"/>
              <w:left w:val="nil"/>
              <w:bottom w:val="single" w:sz="4" w:space="0" w:color="auto"/>
              <w:right w:val="single" w:sz="4" w:space="0" w:color="auto"/>
            </w:tcBorders>
            <w:vAlign w:val="center"/>
          </w:tcPr>
          <w:p w14:paraId="6B736C1A" w14:textId="3B9E9EAD" w:rsidR="00D80424" w:rsidRDefault="00D80424" w:rsidP="00D80424">
            <w:pPr>
              <w:spacing w:line="240" w:lineRule="auto"/>
              <w:jc w:val="right"/>
              <w:rPr>
                <w:rFonts w:cs="Arial"/>
              </w:rPr>
            </w:pPr>
            <w:r>
              <w:rPr>
                <w:rFonts w:cs="Arial"/>
              </w:rPr>
              <w:t>1</w:t>
            </w:r>
          </w:p>
        </w:tc>
        <w:tc>
          <w:tcPr>
            <w:tcW w:w="849" w:type="dxa"/>
            <w:tcBorders>
              <w:top w:val="nil"/>
              <w:left w:val="nil"/>
              <w:bottom w:val="single" w:sz="4" w:space="0" w:color="auto"/>
              <w:right w:val="single" w:sz="4" w:space="0" w:color="auto"/>
            </w:tcBorders>
            <w:vAlign w:val="center"/>
          </w:tcPr>
          <w:p w14:paraId="46071030" w14:textId="05D6ED5B" w:rsidR="00D80424" w:rsidRDefault="00D80424" w:rsidP="00D80424">
            <w:pPr>
              <w:spacing w:line="240" w:lineRule="auto"/>
              <w:jc w:val="right"/>
              <w:rPr>
                <w:rFonts w:cs="Arial"/>
                <w:b/>
                <w:bCs/>
              </w:rPr>
            </w:pPr>
            <w:r>
              <w:rPr>
                <w:rFonts w:cs="Arial"/>
                <w:b/>
                <w:bCs/>
              </w:rPr>
              <w:t>39</w:t>
            </w:r>
          </w:p>
        </w:tc>
      </w:tr>
      <w:tr w:rsidR="00D80424" w:rsidRPr="00650B45" w14:paraId="2A2A6B6B"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D80424" w:rsidRPr="00371BE2" w:rsidRDefault="00D80424" w:rsidP="00D80424">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70E23B71" w:rsidR="00D80424" w:rsidRDefault="00D80424" w:rsidP="00D80424">
            <w:pPr>
              <w:spacing w:line="240" w:lineRule="auto"/>
              <w:jc w:val="right"/>
              <w:rPr>
                <w:rFonts w:cs="Arial"/>
              </w:rPr>
            </w:pPr>
            <w:r>
              <w:rPr>
                <w:rFonts w:cs="Arial"/>
              </w:rPr>
              <w:t>9</w:t>
            </w:r>
          </w:p>
        </w:tc>
        <w:tc>
          <w:tcPr>
            <w:tcW w:w="850" w:type="dxa"/>
            <w:tcBorders>
              <w:top w:val="nil"/>
              <w:left w:val="nil"/>
              <w:bottom w:val="single" w:sz="4" w:space="0" w:color="auto"/>
              <w:right w:val="single" w:sz="4" w:space="0" w:color="auto"/>
            </w:tcBorders>
            <w:shd w:val="clear" w:color="auto" w:fill="auto"/>
            <w:vAlign w:val="center"/>
          </w:tcPr>
          <w:p w14:paraId="0611116F" w14:textId="0F7519D5" w:rsidR="00D80424" w:rsidRDefault="00D80424" w:rsidP="00D80424">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59E5EB94" w:rsidR="00D80424" w:rsidRDefault="00D80424" w:rsidP="00D80424">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55F716EF" w:rsidR="00D80424" w:rsidRDefault="00D80424" w:rsidP="00D80424">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08993B95" w:rsidR="00D80424" w:rsidRDefault="00D80424" w:rsidP="00D80424">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0E5EB125" w:rsidR="00D80424" w:rsidRDefault="00D80424" w:rsidP="00D80424">
            <w:pPr>
              <w:spacing w:line="240" w:lineRule="auto"/>
              <w:jc w:val="right"/>
              <w:rPr>
                <w:rFonts w:cs="Arial"/>
                <w:b/>
                <w:bCs/>
              </w:rPr>
            </w:pPr>
            <w:r>
              <w:rPr>
                <w:rFonts w:cs="Arial"/>
                <w:b/>
                <w:bCs/>
              </w:rPr>
              <w:t>9</w:t>
            </w:r>
          </w:p>
        </w:tc>
      </w:tr>
      <w:tr w:rsidR="00D80424" w:rsidRPr="00650B45" w14:paraId="4C455349"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D80424" w:rsidRPr="00371BE2" w:rsidRDefault="00D80424" w:rsidP="00D80424">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64CE5644" w:rsidR="00D80424" w:rsidRPr="0040594D" w:rsidRDefault="00D80424" w:rsidP="00D80424">
            <w:pPr>
              <w:spacing w:line="240" w:lineRule="auto"/>
              <w:jc w:val="right"/>
              <w:rPr>
                <w:rFonts w:cs="Arial"/>
                <w:lang w:eastAsia="en-AU"/>
              </w:rPr>
            </w:pPr>
            <w:r>
              <w:rPr>
                <w:rFonts w:cs="Arial"/>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081C18E4" w:rsidR="00D80424" w:rsidRPr="0040594D" w:rsidRDefault="00D80424" w:rsidP="00D80424">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724D51DA" w:rsidR="00D80424" w:rsidRDefault="00D80424" w:rsidP="00D80424">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0382DF39" w:rsidR="00D80424" w:rsidRDefault="00D80424" w:rsidP="00D80424">
            <w:pPr>
              <w:spacing w:line="240" w:lineRule="auto"/>
              <w:jc w:val="right"/>
              <w:rPr>
                <w:rFonts w:cs="Arial"/>
                <w:lang w:eastAsia="en-AU"/>
              </w:rPr>
            </w:pPr>
            <w:r>
              <w:rPr>
                <w:rFonts w:cs="Arial"/>
              </w:rPr>
              <w:t>7</w:t>
            </w:r>
          </w:p>
        </w:tc>
        <w:tc>
          <w:tcPr>
            <w:tcW w:w="706" w:type="dxa"/>
            <w:tcBorders>
              <w:top w:val="single" w:sz="4" w:space="0" w:color="auto"/>
              <w:left w:val="nil"/>
              <w:bottom w:val="single" w:sz="4" w:space="0" w:color="auto"/>
              <w:right w:val="single" w:sz="4" w:space="0" w:color="auto"/>
            </w:tcBorders>
            <w:vAlign w:val="center"/>
          </w:tcPr>
          <w:p w14:paraId="7C287A88" w14:textId="5769BC04" w:rsidR="00D80424" w:rsidRDefault="00D80424" w:rsidP="00D80424">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667B33C8" w:rsidR="00D80424" w:rsidRPr="00557E24" w:rsidRDefault="00D80424" w:rsidP="00D80424">
            <w:pPr>
              <w:spacing w:line="240" w:lineRule="auto"/>
              <w:jc w:val="right"/>
              <w:rPr>
                <w:rFonts w:cs="Arial"/>
                <w:b/>
                <w:lang w:eastAsia="en-AU"/>
              </w:rPr>
            </w:pPr>
            <w:r>
              <w:rPr>
                <w:rFonts w:cs="Arial"/>
                <w:b/>
                <w:bCs/>
              </w:rPr>
              <w:t>27</w:t>
            </w:r>
          </w:p>
        </w:tc>
      </w:tr>
      <w:tr w:rsidR="00D80424" w:rsidRPr="00557E24" w14:paraId="3F20CE90"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D80424" w:rsidRPr="00371BE2" w:rsidRDefault="00D80424" w:rsidP="00D80424">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52BF8F4F" w:rsidR="00D80424" w:rsidRPr="000E3D5D" w:rsidRDefault="00D80424" w:rsidP="00D80424">
            <w:pPr>
              <w:spacing w:line="240" w:lineRule="auto"/>
              <w:jc w:val="right"/>
              <w:rPr>
                <w:rFonts w:cs="Arial"/>
                <w:b/>
                <w:lang w:eastAsia="en-AU"/>
              </w:rPr>
            </w:pPr>
            <w:r>
              <w:rPr>
                <w:rFonts w:cs="Arial"/>
                <w:b/>
                <w:bCs/>
              </w:rPr>
              <w:t>513</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349B06A4" w:rsidR="00D80424" w:rsidRPr="000E3D5D" w:rsidRDefault="00D80424" w:rsidP="00D80424">
            <w:pPr>
              <w:spacing w:line="240" w:lineRule="auto"/>
              <w:jc w:val="right"/>
              <w:rPr>
                <w:rFonts w:cs="Arial"/>
                <w:b/>
                <w:lang w:eastAsia="en-AU"/>
              </w:rPr>
            </w:pPr>
            <w:r>
              <w:rPr>
                <w:rFonts w:cs="Arial"/>
                <w:b/>
                <w:bCs/>
              </w:rPr>
              <w:t>37</w:t>
            </w:r>
          </w:p>
        </w:tc>
        <w:tc>
          <w:tcPr>
            <w:tcW w:w="779" w:type="dxa"/>
            <w:tcBorders>
              <w:top w:val="single" w:sz="4" w:space="0" w:color="auto"/>
              <w:left w:val="nil"/>
              <w:bottom w:val="single" w:sz="4" w:space="0" w:color="auto"/>
              <w:right w:val="single" w:sz="4" w:space="0" w:color="auto"/>
            </w:tcBorders>
            <w:vAlign w:val="center"/>
          </w:tcPr>
          <w:p w14:paraId="4ECA5E82" w14:textId="3E8266A4" w:rsidR="00D80424" w:rsidRPr="000E3D5D" w:rsidRDefault="00D80424" w:rsidP="00D80424">
            <w:pPr>
              <w:spacing w:line="240" w:lineRule="auto"/>
              <w:jc w:val="right"/>
              <w:rPr>
                <w:rFonts w:cs="Arial"/>
                <w:b/>
                <w:lang w:eastAsia="en-AU"/>
              </w:rPr>
            </w:pPr>
            <w:r>
              <w:rPr>
                <w:rFonts w:cs="Arial"/>
                <w:b/>
                <w:bCs/>
              </w:rPr>
              <w:t>297</w:t>
            </w:r>
          </w:p>
        </w:tc>
        <w:tc>
          <w:tcPr>
            <w:tcW w:w="643" w:type="dxa"/>
            <w:tcBorders>
              <w:top w:val="single" w:sz="4" w:space="0" w:color="auto"/>
              <w:left w:val="nil"/>
              <w:bottom w:val="single" w:sz="4" w:space="0" w:color="auto"/>
              <w:right w:val="single" w:sz="4" w:space="0" w:color="auto"/>
            </w:tcBorders>
            <w:vAlign w:val="center"/>
          </w:tcPr>
          <w:p w14:paraId="4498767F" w14:textId="7A7C5F10" w:rsidR="00D80424" w:rsidRPr="000E3D5D" w:rsidRDefault="00D80424" w:rsidP="00D80424">
            <w:pPr>
              <w:spacing w:line="240" w:lineRule="auto"/>
              <w:jc w:val="right"/>
              <w:rPr>
                <w:rFonts w:cs="Arial"/>
                <w:b/>
                <w:lang w:eastAsia="en-AU"/>
              </w:rPr>
            </w:pPr>
            <w:r>
              <w:rPr>
                <w:rFonts w:cs="Arial"/>
                <w:b/>
                <w:bCs/>
              </w:rPr>
              <w:t>234</w:t>
            </w:r>
          </w:p>
        </w:tc>
        <w:tc>
          <w:tcPr>
            <w:tcW w:w="706" w:type="dxa"/>
            <w:tcBorders>
              <w:top w:val="single" w:sz="4" w:space="0" w:color="auto"/>
              <w:left w:val="nil"/>
              <w:bottom w:val="single" w:sz="4" w:space="0" w:color="auto"/>
              <w:right w:val="single" w:sz="4" w:space="0" w:color="auto"/>
            </w:tcBorders>
            <w:vAlign w:val="center"/>
          </w:tcPr>
          <w:p w14:paraId="2806B4BD" w14:textId="19399D44" w:rsidR="00D80424" w:rsidRPr="000E3D5D" w:rsidRDefault="00D80424" w:rsidP="00D80424">
            <w:pPr>
              <w:spacing w:line="240" w:lineRule="auto"/>
              <w:jc w:val="right"/>
              <w:rPr>
                <w:rFonts w:cs="Arial"/>
                <w:b/>
                <w:lang w:eastAsia="en-AU"/>
              </w:rPr>
            </w:pPr>
            <w:r>
              <w:rPr>
                <w:rFonts w:cs="Arial"/>
                <w:b/>
                <w:bCs/>
              </w:rPr>
              <w:t>63</w:t>
            </w:r>
          </w:p>
        </w:tc>
        <w:tc>
          <w:tcPr>
            <w:tcW w:w="849" w:type="dxa"/>
            <w:tcBorders>
              <w:top w:val="single" w:sz="4" w:space="0" w:color="auto"/>
              <w:left w:val="nil"/>
              <w:bottom w:val="single" w:sz="4" w:space="0" w:color="auto"/>
              <w:right w:val="single" w:sz="4" w:space="0" w:color="auto"/>
            </w:tcBorders>
            <w:vAlign w:val="center"/>
          </w:tcPr>
          <w:p w14:paraId="24507EE5" w14:textId="559ACA44" w:rsidR="00D80424" w:rsidRPr="000E3D5D" w:rsidRDefault="00D80424" w:rsidP="00D80424">
            <w:pPr>
              <w:spacing w:line="240" w:lineRule="auto"/>
              <w:jc w:val="right"/>
              <w:rPr>
                <w:rFonts w:cs="Arial"/>
                <w:b/>
                <w:lang w:eastAsia="en-AU"/>
              </w:rPr>
            </w:pPr>
            <w:r>
              <w:rPr>
                <w:rFonts w:cs="Arial"/>
                <w:b/>
                <w:bCs/>
              </w:rPr>
              <w:t>1144</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213D620C"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F20A16">
        <w:rPr>
          <w:rFonts w:ascii="Verdana" w:hAnsi="Verdana" w:cs="Arial"/>
          <w:sz w:val="20"/>
          <w:szCs w:val="20"/>
        </w:rPr>
        <w:t>51</w:t>
      </w:r>
      <w:r w:rsidR="00D80424">
        <w:rPr>
          <w:rFonts w:ascii="Verdana" w:hAnsi="Verdana" w:cs="Arial"/>
          <w:sz w:val="20"/>
          <w:szCs w:val="20"/>
        </w:rPr>
        <w:t>3</w:t>
      </w:r>
      <w:r w:rsidR="00F20A16" w:rsidRPr="000B0E76">
        <w:rPr>
          <w:rFonts w:ascii="Verdana" w:hAnsi="Verdana" w:cs="Arial"/>
          <w:sz w:val="20"/>
          <w:szCs w:val="20"/>
        </w:rPr>
        <w:t xml:space="preserve">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F20A16">
        <w:rPr>
          <w:rFonts w:ascii="Verdana" w:hAnsi="Verdana" w:cs="Arial"/>
          <w:sz w:val="20"/>
          <w:szCs w:val="20"/>
        </w:rPr>
        <w:t>24</w:t>
      </w:r>
      <w:r w:rsidR="00D80424">
        <w:rPr>
          <w:rFonts w:ascii="Verdana" w:hAnsi="Verdana" w:cs="Arial"/>
          <w:sz w:val="20"/>
          <w:szCs w:val="20"/>
        </w:rPr>
        <w:t>5</w:t>
      </w:r>
      <w:r w:rsidR="00F20A16" w:rsidRPr="000B0E76">
        <w:rPr>
          <w:rFonts w:ascii="Verdana" w:hAnsi="Verdana" w:cs="Arial"/>
          <w:sz w:val="20"/>
          <w:szCs w:val="20"/>
        </w:rPr>
        <w:t xml:space="preserve">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14</w:t>
      </w:r>
      <w:r w:rsidR="00D80424">
        <w:rPr>
          <w:rFonts w:ascii="Verdana" w:hAnsi="Verdana" w:cs="Arial"/>
          <w:sz w:val="20"/>
          <w:szCs w:val="20"/>
        </w:rPr>
        <w:t>3</w:t>
      </w:r>
      <w:r w:rsidR="00211F43" w:rsidRPr="000B0E76">
        <w:rPr>
          <w:rFonts w:ascii="Verdana" w:hAnsi="Verdana" w:cs="Arial"/>
          <w:sz w:val="20"/>
          <w:szCs w:val="20"/>
        </w:rPr>
        <w:t xml:space="preserve">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211F43">
        <w:rPr>
          <w:rFonts w:ascii="Verdana" w:hAnsi="Verdana" w:cs="Arial"/>
          <w:sz w:val="20"/>
          <w:szCs w:val="20"/>
        </w:rPr>
        <w:t>102</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7F62C8D5"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F20A16">
        <w:rPr>
          <w:rFonts w:ascii="Verdana" w:hAnsi="Verdana" w:cs="Arial"/>
          <w:sz w:val="20"/>
          <w:szCs w:val="20"/>
        </w:rPr>
        <w:t>3</w:t>
      </w:r>
      <w:r w:rsidR="00D80424">
        <w:rPr>
          <w:rFonts w:ascii="Verdana" w:hAnsi="Verdana" w:cs="Arial"/>
          <w:sz w:val="20"/>
          <w:szCs w:val="20"/>
        </w:rPr>
        <w:t>7</w:t>
      </w:r>
      <w:r w:rsidR="00F20A16"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F20A16">
        <w:rPr>
          <w:rFonts w:ascii="Verdana" w:hAnsi="Verdana" w:cs="Arial"/>
          <w:sz w:val="20"/>
          <w:szCs w:val="20"/>
        </w:rPr>
        <w:t>1</w:t>
      </w:r>
      <w:r w:rsidR="00D80424">
        <w:rPr>
          <w:rFonts w:ascii="Verdana" w:hAnsi="Verdana" w:cs="Arial"/>
          <w:sz w:val="20"/>
          <w:szCs w:val="20"/>
        </w:rPr>
        <w:t>6</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10</w:t>
      </w:r>
      <w:r w:rsidR="00CB5177"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D80424">
        <w:rPr>
          <w:rFonts w:ascii="Verdana" w:hAnsi="Verdana" w:cs="Arial"/>
          <w:sz w:val="20"/>
          <w:szCs w:val="20"/>
        </w:rPr>
        <w:t>6</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27D70972"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F20A16">
        <w:rPr>
          <w:rFonts w:ascii="Verdana" w:hAnsi="Verdana" w:cs="Arial"/>
          <w:sz w:val="20"/>
          <w:szCs w:val="20"/>
        </w:rPr>
        <w:t>297</w:t>
      </w:r>
      <w:r w:rsidR="00F20A16"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F20A16">
        <w:rPr>
          <w:rFonts w:ascii="Verdana" w:hAnsi="Verdana" w:cs="Arial"/>
          <w:sz w:val="20"/>
          <w:szCs w:val="20"/>
        </w:rPr>
        <w:t>162</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116</w:t>
      </w:r>
      <w:r w:rsidR="00211F43"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211F43">
        <w:rPr>
          <w:rFonts w:ascii="Verdana" w:hAnsi="Verdana" w:cs="Arial"/>
          <w:sz w:val="20"/>
          <w:szCs w:val="20"/>
        </w:rPr>
        <w:t>46</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253A0C9A"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F20A16">
        <w:rPr>
          <w:rFonts w:ascii="Verdana" w:hAnsi="Verdana" w:cs="Arial"/>
          <w:sz w:val="20"/>
          <w:szCs w:val="20"/>
        </w:rPr>
        <w:t>23</w:t>
      </w:r>
      <w:r w:rsidR="00D80424">
        <w:rPr>
          <w:rFonts w:ascii="Verdana" w:hAnsi="Verdana" w:cs="Arial"/>
          <w:sz w:val="20"/>
          <w:szCs w:val="20"/>
        </w:rPr>
        <w:t>4</w:t>
      </w:r>
      <w:r w:rsidR="00F20A16"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F20A16">
        <w:rPr>
          <w:rFonts w:ascii="Verdana" w:hAnsi="Verdana" w:cs="Arial"/>
          <w:sz w:val="20"/>
          <w:szCs w:val="20"/>
        </w:rPr>
        <w:t>11</w:t>
      </w:r>
      <w:r w:rsidR="00D80424">
        <w:rPr>
          <w:rFonts w:ascii="Verdana" w:hAnsi="Verdana" w:cs="Arial"/>
          <w:sz w:val="20"/>
          <w:szCs w:val="20"/>
        </w:rPr>
        <w:t>2</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56</w:t>
      </w:r>
      <w:r w:rsidR="00211F43"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211F43">
        <w:rPr>
          <w:rFonts w:ascii="Verdana" w:hAnsi="Verdana" w:cs="Arial"/>
          <w:sz w:val="20"/>
          <w:szCs w:val="20"/>
        </w:rPr>
        <w:t>5</w:t>
      </w:r>
      <w:r w:rsidR="00D80424">
        <w:rPr>
          <w:rFonts w:ascii="Verdana" w:hAnsi="Verdana" w:cs="Arial"/>
          <w:sz w:val="20"/>
          <w:szCs w:val="20"/>
        </w:rPr>
        <w:t>6</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0C31DD73"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F20A16">
        <w:rPr>
          <w:rFonts w:ascii="Verdana" w:hAnsi="Verdana" w:cs="Arial"/>
          <w:sz w:val="20"/>
          <w:szCs w:val="20"/>
        </w:rPr>
        <w:t>63</w:t>
      </w:r>
      <w:r w:rsidR="00F20A16" w:rsidRPr="000B0E76">
        <w:rPr>
          <w:rFonts w:ascii="Verdana" w:hAnsi="Verdana" w:cs="Arial"/>
          <w:sz w:val="20"/>
          <w:szCs w:val="20"/>
        </w:rPr>
        <w:t xml:space="preserve">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F20A16">
        <w:rPr>
          <w:rFonts w:ascii="Verdana" w:hAnsi="Verdana" w:cs="Arial"/>
          <w:sz w:val="20"/>
          <w:szCs w:val="20"/>
        </w:rPr>
        <w:t>32</w:t>
      </w:r>
      <w:r w:rsidR="00F20A16"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211F43">
        <w:rPr>
          <w:rFonts w:ascii="Verdana" w:hAnsi="Verdana" w:cs="Arial"/>
          <w:sz w:val="20"/>
          <w:szCs w:val="20"/>
        </w:rPr>
        <w:t xml:space="preserve">22 </w:t>
      </w:r>
      <w:r w:rsidR="00081AA0">
        <w:rPr>
          <w:rFonts w:ascii="Verdana" w:hAnsi="Verdana" w:cs="Arial"/>
          <w:sz w:val="20"/>
          <w:szCs w:val="20"/>
        </w:rPr>
        <w:t>female</w:t>
      </w:r>
      <w:r w:rsidR="004D219E">
        <w:rPr>
          <w:rFonts w:ascii="Verdana" w:hAnsi="Verdana" w:cs="Arial"/>
          <w:sz w:val="20"/>
          <w:szCs w:val="20"/>
        </w:rPr>
        <w:t xml:space="preserve"> and </w:t>
      </w:r>
      <w:r w:rsidR="00211F43">
        <w:rPr>
          <w:rFonts w:ascii="Verdana" w:hAnsi="Verdana" w:cs="Arial"/>
          <w:sz w:val="20"/>
          <w:szCs w:val="20"/>
        </w:rPr>
        <w:t xml:space="preserve">10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77777777" w:rsidR="00322A26" w:rsidRDefault="00322A26" w:rsidP="005A5B78">
      <w:pPr>
        <w:ind w:left="-142" w:right="-425"/>
        <w:jc w:val="both"/>
        <w:rPr>
          <w:rFonts w:cs="Arial"/>
        </w:rPr>
      </w:pPr>
    </w:p>
    <w:p w14:paraId="1A444618" w14:textId="77777777" w:rsidR="001F4FDB" w:rsidRDefault="001F4FDB">
      <w:pPr>
        <w:spacing w:line="240" w:lineRule="auto"/>
        <w:rPr>
          <w:b/>
          <w:sz w:val="16"/>
          <w:szCs w:val="16"/>
        </w:rPr>
      </w:pPr>
      <w:r>
        <w:rPr>
          <w:b/>
          <w:sz w:val="16"/>
          <w:szCs w:val="16"/>
        </w:rPr>
        <w:br w:type="page"/>
      </w:r>
    </w:p>
    <w:p w14:paraId="637A6724" w14:textId="27F493B9" w:rsidR="001F4FDB" w:rsidRPr="00D925BE" w:rsidRDefault="001F4FDB" w:rsidP="001F4FDB">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April 2020 to 30 June2021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F4FDB" w:rsidRPr="0093030B" w14:paraId="3390D47C" w14:textId="77777777" w:rsidTr="00A60308">
        <w:trPr>
          <w:trHeight w:val="480"/>
        </w:trPr>
        <w:tc>
          <w:tcPr>
            <w:tcW w:w="3460" w:type="dxa"/>
            <w:tcBorders>
              <w:top w:val="single" w:sz="4" w:space="0" w:color="auto"/>
              <w:left w:val="single" w:sz="4" w:space="0" w:color="auto"/>
              <w:bottom w:val="single" w:sz="4" w:space="0" w:color="auto"/>
              <w:right w:val="single" w:sz="4" w:space="0" w:color="auto"/>
            </w:tcBorders>
            <w:hideMark/>
          </w:tcPr>
          <w:p w14:paraId="69D3AEDC" w14:textId="77777777" w:rsidR="001F4FDB" w:rsidRPr="0093030B" w:rsidRDefault="001F4FDB" w:rsidP="001F4FDB">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78E82581" w14:textId="2D87816A" w:rsidR="001F4FDB" w:rsidRDefault="001F4FDB" w:rsidP="001F4FDB">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7CF3C22A" w14:textId="3DCF42A3" w:rsidR="001F4FDB" w:rsidRDefault="001F4FDB" w:rsidP="001F4FDB">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2E6CD2A6" w14:textId="4B059755" w:rsidR="001F4FDB" w:rsidRDefault="001F4FDB" w:rsidP="001F4FDB">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1FD9FADB" w14:textId="72933A9F" w:rsidR="001F4FDB" w:rsidRDefault="001F4FDB" w:rsidP="001F4FDB">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08796127" w14:textId="79162AC7" w:rsidR="001F4FDB" w:rsidRDefault="001F4FDB" w:rsidP="001F4FDB">
            <w:pPr>
              <w:pStyle w:val="TableText"/>
              <w:jc w:val="right"/>
              <w:rPr>
                <w:b/>
                <w:lang w:eastAsia="en-AU"/>
              </w:rPr>
            </w:pPr>
            <w:r>
              <w:rPr>
                <w:b/>
                <w:lang w:eastAsia="en-AU"/>
              </w:rPr>
              <w:t>Qtr 52</w:t>
            </w:r>
          </w:p>
        </w:tc>
      </w:tr>
      <w:tr w:rsidR="001F4FDB" w:rsidRPr="0093030B" w14:paraId="55E847CA"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56345F2E" w14:textId="77777777" w:rsidR="001F4FDB" w:rsidRPr="0093030B" w:rsidRDefault="001F4FDB" w:rsidP="001F4FDB">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32344227" w14:textId="5C29A83B" w:rsidR="001F4FDB" w:rsidRDefault="001F4FDB" w:rsidP="001F4FDB">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9DA8EDD" w14:textId="24487292" w:rsidR="001F4FDB" w:rsidRDefault="001F4FDB" w:rsidP="001F4FDB">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70A76CB4" w14:textId="249087A1" w:rsidR="001F4FDB" w:rsidRDefault="001F4FDB" w:rsidP="001F4FD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2022CF9" w14:textId="13C3FBFB" w:rsidR="001F4FDB" w:rsidRDefault="001F4FDB" w:rsidP="001F4FDB">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088448C4" w14:textId="0788573E" w:rsidR="001F4FDB" w:rsidRDefault="001F4FDB" w:rsidP="001F4FDB">
            <w:pPr>
              <w:jc w:val="right"/>
              <w:rPr>
                <w:rFonts w:cs="Arial"/>
              </w:rPr>
            </w:pPr>
            <w:r>
              <w:rPr>
                <w:rFonts w:cs="Arial"/>
              </w:rPr>
              <w:t>11</w:t>
            </w:r>
          </w:p>
        </w:tc>
      </w:tr>
      <w:tr w:rsidR="001F4FDB" w:rsidRPr="0093030B" w14:paraId="14CFE53A"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B170040" w14:textId="77777777" w:rsidR="001F4FDB" w:rsidRPr="0093030B" w:rsidRDefault="001F4FDB" w:rsidP="001F4FDB">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C71785B" w14:textId="6DD2AFB2" w:rsidR="001F4FDB" w:rsidRDefault="001F4FDB" w:rsidP="001F4FDB">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3823247C" w14:textId="2EDE4617" w:rsidR="001F4FDB" w:rsidRDefault="001F4FDB" w:rsidP="001F4FDB">
            <w:pPr>
              <w:jc w:val="right"/>
              <w:rPr>
                <w:rFonts w:cs="Arial"/>
              </w:rPr>
            </w:pPr>
            <w:r>
              <w:rPr>
                <w:rFonts w:cs="Arial"/>
              </w:rPr>
              <w:t>292</w:t>
            </w:r>
          </w:p>
        </w:tc>
        <w:tc>
          <w:tcPr>
            <w:tcW w:w="1012" w:type="dxa"/>
            <w:tcBorders>
              <w:top w:val="nil"/>
              <w:left w:val="nil"/>
              <w:bottom w:val="single" w:sz="4" w:space="0" w:color="auto"/>
              <w:right w:val="single" w:sz="4" w:space="0" w:color="auto"/>
            </w:tcBorders>
          </w:tcPr>
          <w:p w14:paraId="373B7254" w14:textId="7819A8C3" w:rsidR="001F4FDB" w:rsidRDefault="001F4FDB" w:rsidP="001F4FDB">
            <w:pPr>
              <w:jc w:val="right"/>
              <w:rPr>
                <w:rFonts w:cs="Arial"/>
              </w:rPr>
            </w:pPr>
            <w:r>
              <w:rPr>
                <w:rFonts w:cs="Arial"/>
              </w:rPr>
              <w:t>308</w:t>
            </w:r>
          </w:p>
        </w:tc>
        <w:tc>
          <w:tcPr>
            <w:tcW w:w="1012" w:type="dxa"/>
            <w:tcBorders>
              <w:top w:val="nil"/>
              <w:left w:val="nil"/>
              <w:bottom w:val="single" w:sz="4" w:space="0" w:color="auto"/>
              <w:right w:val="single" w:sz="4" w:space="0" w:color="auto"/>
            </w:tcBorders>
          </w:tcPr>
          <w:p w14:paraId="7E9DCCB7" w14:textId="4F22A18B" w:rsidR="001F4FDB" w:rsidRDefault="001F4FDB" w:rsidP="001F4FDB">
            <w:pPr>
              <w:jc w:val="right"/>
              <w:rPr>
                <w:rFonts w:cs="Arial"/>
              </w:rPr>
            </w:pPr>
            <w:r>
              <w:rPr>
                <w:rFonts w:cs="Arial"/>
              </w:rPr>
              <w:t>344</w:t>
            </w:r>
          </w:p>
        </w:tc>
        <w:tc>
          <w:tcPr>
            <w:tcW w:w="1012" w:type="dxa"/>
            <w:tcBorders>
              <w:top w:val="nil"/>
              <w:left w:val="nil"/>
              <w:bottom w:val="single" w:sz="4" w:space="0" w:color="auto"/>
              <w:right w:val="single" w:sz="4" w:space="0" w:color="auto"/>
            </w:tcBorders>
            <w:vAlign w:val="bottom"/>
          </w:tcPr>
          <w:p w14:paraId="06C37E46" w14:textId="63F8B801" w:rsidR="001F4FDB" w:rsidRPr="001F4FDB" w:rsidRDefault="001F4FDB" w:rsidP="001F4FDB">
            <w:pPr>
              <w:jc w:val="right"/>
              <w:rPr>
                <w:rFonts w:cs="Arial"/>
              </w:rPr>
            </w:pPr>
            <w:r w:rsidRPr="001F4FDB">
              <w:rPr>
                <w:rFonts w:cs="Arial"/>
              </w:rPr>
              <w:t>378</w:t>
            </w:r>
          </w:p>
        </w:tc>
      </w:tr>
      <w:tr w:rsidR="001F4FDB" w:rsidRPr="0093030B" w14:paraId="25BD9C96"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0699927A" w14:textId="77777777" w:rsidR="001F4FDB" w:rsidRPr="0093030B" w:rsidRDefault="001F4FDB" w:rsidP="001F4FDB">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4C9512D5" w14:textId="49BB6274" w:rsidR="001F4FDB" w:rsidRDefault="001F4FDB" w:rsidP="001F4FDB">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0E005E48" w14:textId="4E386F86" w:rsidR="001F4FDB" w:rsidRDefault="001F4FDB" w:rsidP="001F4FDB">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3F2DAF05" w14:textId="3F70D432" w:rsidR="001F4FDB" w:rsidRDefault="001F4FDB" w:rsidP="001F4FDB">
            <w:pPr>
              <w:jc w:val="right"/>
              <w:rPr>
                <w:rFonts w:cs="Arial"/>
              </w:rPr>
            </w:pPr>
            <w:r>
              <w:rPr>
                <w:rFonts w:cs="Arial"/>
              </w:rPr>
              <w:t>28</w:t>
            </w:r>
          </w:p>
        </w:tc>
        <w:tc>
          <w:tcPr>
            <w:tcW w:w="1012" w:type="dxa"/>
            <w:tcBorders>
              <w:top w:val="nil"/>
              <w:left w:val="nil"/>
              <w:bottom w:val="single" w:sz="4" w:space="0" w:color="auto"/>
              <w:right w:val="single" w:sz="4" w:space="0" w:color="auto"/>
            </w:tcBorders>
          </w:tcPr>
          <w:p w14:paraId="56A03BDD" w14:textId="3CC9B8FD" w:rsidR="001F4FDB" w:rsidRDefault="001F4FDB" w:rsidP="001F4FDB">
            <w:pPr>
              <w:jc w:val="right"/>
              <w:rPr>
                <w:rFonts w:cs="Arial"/>
              </w:rPr>
            </w:pPr>
            <w:r>
              <w:rPr>
                <w:rFonts w:cs="Arial"/>
              </w:rPr>
              <w:t>31</w:t>
            </w:r>
          </w:p>
        </w:tc>
        <w:tc>
          <w:tcPr>
            <w:tcW w:w="1012" w:type="dxa"/>
            <w:tcBorders>
              <w:top w:val="nil"/>
              <w:left w:val="nil"/>
              <w:bottom w:val="single" w:sz="4" w:space="0" w:color="auto"/>
              <w:right w:val="single" w:sz="4" w:space="0" w:color="auto"/>
            </w:tcBorders>
            <w:vAlign w:val="bottom"/>
          </w:tcPr>
          <w:p w14:paraId="5C258073" w14:textId="435533E5" w:rsidR="001F4FDB" w:rsidRPr="001F4FDB" w:rsidRDefault="001F4FDB" w:rsidP="001F4FDB">
            <w:pPr>
              <w:jc w:val="right"/>
              <w:rPr>
                <w:rFonts w:cs="Arial"/>
              </w:rPr>
            </w:pPr>
            <w:r w:rsidRPr="001F4FDB">
              <w:rPr>
                <w:rFonts w:cs="Arial"/>
              </w:rPr>
              <w:t>45</w:t>
            </w:r>
          </w:p>
        </w:tc>
      </w:tr>
      <w:tr w:rsidR="001F4FDB" w:rsidRPr="0093030B" w14:paraId="629F95D3"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762CF40A" w14:textId="77777777" w:rsidR="001F4FDB" w:rsidRPr="0093030B" w:rsidRDefault="001F4FDB" w:rsidP="001F4FDB">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359B23C3" w14:textId="71450EC5" w:rsidR="001F4FDB" w:rsidRDefault="001F4FDB" w:rsidP="001F4FDB">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1BB7BAB2" w14:textId="230E872A" w:rsidR="001F4FDB" w:rsidRDefault="001F4FDB" w:rsidP="001F4FDB">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728203BF" w14:textId="3E741056" w:rsidR="001F4FDB" w:rsidRDefault="001F4FDB" w:rsidP="001F4FDB">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00D6A25D" w14:textId="70621989" w:rsidR="001F4FDB" w:rsidRDefault="001F4FDB" w:rsidP="001F4FDB">
            <w:pPr>
              <w:jc w:val="right"/>
              <w:rPr>
                <w:rFonts w:cs="Arial"/>
              </w:rPr>
            </w:pPr>
            <w:r>
              <w:rPr>
                <w:rFonts w:cs="Arial"/>
              </w:rPr>
              <w:t>72</w:t>
            </w:r>
          </w:p>
        </w:tc>
        <w:tc>
          <w:tcPr>
            <w:tcW w:w="1012" w:type="dxa"/>
            <w:tcBorders>
              <w:top w:val="nil"/>
              <w:left w:val="nil"/>
              <w:bottom w:val="single" w:sz="4" w:space="0" w:color="auto"/>
              <w:right w:val="single" w:sz="4" w:space="0" w:color="auto"/>
            </w:tcBorders>
            <w:vAlign w:val="bottom"/>
          </w:tcPr>
          <w:p w14:paraId="451F7385" w14:textId="4D806A2E" w:rsidR="001F4FDB" w:rsidRPr="001F4FDB" w:rsidRDefault="001F4FDB" w:rsidP="001F4FDB">
            <w:pPr>
              <w:jc w:val="right"/>
              <w:rPr>
                <w:rFonts w:cs="Arial"/>
              </w:rPr>
            </w:pPr>
            <w:r w:rsidRPr="001F4FDB">
              <w:rPr>
                <w:rFonts w:cs="Arial"/>
              </w:rPr>
              <w:t>50</w:t>
            </w:r>
          </w:p>
        </w:tc>
      </w:tr>
      <w:tr w:rsidR="001F4FDB" w:rsidRPr="0093030B" w14:paraId="3A2382BF"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1F43A329" w14:textId="77777777" w:rsidR="001F4FDB" w:rsidRPr="0093030B" w:rsidRDefault="001F4FDB" w:rsidP="001F4FDB">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00D717C4" w14:textId="415D88C6" w:rsidR="001F4FDB" w:rsidRDefault="001F4FDB" w:rsidP="001F4FDB">
            <w:pPr>
              <w:jc w:val="right"/>
              <w:rPr>
                <w:rFonts w:cs="Arial"/>
              </w:rPr>
            </w:pPr>
            <w:r>
              <w:rPr>
                <w:rFonts w:cs="Arial"/>
              </w:rPr>
              <w:t>728</w:t>
            </w:r>
          </w:p>
        </w:tc>
        <w:tc>
          <w:tcPr>
            <w:tcW w:w="1012" w:type="dxa"/>
            <w:tcBorders>
              <w:top w:val="nil"/>
              <w:left w:val="nil"/>
              <w:bottom w:val="single" w:sz="4" w:space="0" w:color="auto"/>
              <w:right w:val="single" w:sz="4" w:space="0" w:color="auto"/>
            </w:tcBorders>
          </w:tcPr>
          <w:p w14:paraId="56B772B3" w14:textId="1F3E46BE" w:rsidR="001F4FDB" w:rsidRDefault="001F4FDB" w:rsidP="001F4FDB">
            <w:pPr>
              <w:jc w:val="right"/>
              <w:rPr>
                <w:rFonts w:cs="Arial"/>
              </w:rPr>
            </w:pPr>
            <w:r>
              <w:rPr>
                <w:rFonts w:cs="Arial"/>
              </w:rPr>
              <w:t>723</w:t>
            </w:r>
          </w:p>
        </w:tc>
        <w:tc>
          <w:tcPr>
            <w:tcW w:w="1012" w:type="dxa"/>
            <w:tcBorders>
              <w:top w:val="nil"/>
              <w:left w:val="nil"/>
              <w:bottom w:val="single" w:sz="4" w:space="0" w:color="auto"/>
              <w:right w:val="single" w:sz="4" w:space="0" w:color="auto"/>
            </w:tcBorders>
          </w:tcPr>
          <w:p w14:paraId="56B81538" w14:textId="5518452A" w:rsidR="001F4FDB" w:rsidRDefault="001F4FDB" w:rsidP="001F4FDB">
            <w:pPr>
              <w:jc w:val="right"/>
              <w:rPr>
                <w:rFonts w:cs="Arial"/>
              </w:rPr>
            </w:pPr>
            <w:r>
              <w:rPr>
                <w:rFonts w:cs="Arial"/>
              </w:rPr>
              <w:t>684</w:t>
            </w:r>
          </w:p>
        </w:tc>
        <w:tc>
          <w:tcPr>
            <w:tcW w:w="1012" w:type="dxa"/>
            <w:tcBorders>
              <w:top w:val="nil"/>
              <w:left w:val="nil"/>
              <w:bottom w:val="single" w:sz="4" w:space="0" w:color="auto"/>
              <w:right w:val="single" w:sz="4" w:space="0" w:color="auto"/>
            </w:tcBorders>
          </w:tcPr>
          <w:p w14:paraId="6F12E2A0" w14:textId="01FD46AB" w:rsidR="001F4FDB" w:rsidRDefault="001F4FDB" w:rsidP="001F4FDB">
            <w:pPr>
              <w:jc w:val="right"/>
              <w:rPr>
                <w:rFonts w:cs="Arial"/>
              </w:rPr>
            </w:pPr>
            <w:r>
              <w:rPr>
                <w:rFonts w:cs="Arial"/>
              </w:rPr>
              <w:t>553</w:t>
            </w:r>
          </w:p>
        </w:tc>
        <w:tc>
          <w:tcPr>
            <w:tcW w:w="1012" w:type="dxa"/>
            <w:tcBorders>
              <w:top w:val="nil"/>
              <w:left w:val="nil"/>
              <w:bottom w:val="single" w:sz="4" w:space="0" w:color="auto"/>
              <w:right w:val="single" w:sz="4" w:space="0" w:color="auto"/>
            </w:tcBorders>
            <w:vAlign w:val="bottom"/>
          </w:tcPr>
          <w:p w14:paraId="428D19CC" w14:textId="1F859CA7" w:rsidR="001F4FDB" w:rsidRPr="001F4FDB" w:rsidRDefault="001F4FDB" w:rsidP="001F4FDB">
            <w:pPr>
              <w:jc w:val="right"/>
              <w:rPr>
                <w:rFonts w:cs="Arial"/>
              </w:rPr>
            </w:pPr>
            <w:r w:rsidRPr="001F4FDB">
              <w:rPr>
                <w:rFonts w:cs="Arial"/>
              </w:rPr>
              <w:t>581</w:t>
            </w:r>
          </w:p>
        </w:tc>
      </w:tr>
      <w:tr w:rsidR="001F4FDB" w:rsidRPr="0093030B" w14:paraId="0B8A1C12"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7F5BB8D8" w14:textId="77777777" w:rsidR="001F4FDB" w:rsidRPr="0093030B" w:rsidRDefault="001F4FDB" w:rsidP="001F4FDB">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7CCF200A" w14:textId="6D1FF0F2" w:rsidR="001F4FDB" w:rsidRDefault="001F4FDB" w:rsidP="001F4FD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10D1D4A" w14:textId="1D0AC364" w:rsidR="001F4FDB" w:rsidRDefault="001F4FDB" w:rsidP="001F4FDB">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5F296AE2" w14:textId="4F0582D5" w:rsidR="001F4FDB" w:rsidRDefault="001F4FDB" w:rsidP="001F4FD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52F6597C" w14:textId="39E3D904" w:rsidR="001F4FDB" w:rsidRDefault="001F4FDB" w:rsidP="001F4FDB">
            <w:pPr>
              <w:jc w:val="right"/>
              <w:rPr>
                <w:rFonts w:cs="Arial"/>
              </w:rPr>
            </w:pPr>
            <w:r>
              <w:rPr>
                <w:rFonts w:cs="Arial"/>
              </w:rPr>
              <w:t>4</w:t>
            </w:r>
          </w:p>
        </w:tc>
        <w:tc>
          <w:tcPr>
            <w:tcW w:w="1012" w:type="dxa"/>
            <w:tcBorders>
              <w:top w:val="nil"/>
              <w:left w:val="nil"/>
              <w:bottom w:val="single" w:sz="4" w:space="0" w:color="auto"/>
              <w:right w:val="single" w:sz="4" w:space="0" w:color="auto"/>
            </w:tcBorders>
            <w:vAlign w:val="bottom"/>
          </w:tcPr>
          <w:p w14:paraId="4FD3CDC7" w14:textId="5C67893A" w:rsidR="001F4FDB" w:rsidRPr="001F4FDB" w:rsidRDefault="001F4FDB" w:rsidP="001F4FDB">
            <w:pPr>
              <w:jc w:val="right"/>
              <w:rPr>
                <w:rFonts w:cs="Arial"/>
              </w:rPr>
            </w:pPr>
            <w:r w:rsidRPr="001F4FDB">
              <w:rPr>
                <w:rFonts w:cs="Arial"/>
              </w:rPr>
              <w:t>4</w:t>
            </w:r>
          </w:p>
        </w:tc>
      </w:tr>
      <w:tr w:rsidR="001F4FDB" w:rsidRPr="0093030B" w14:paraId="7651FB7F"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C638AAC" w14:textId="77777777" w:rsidR="001F4FDB" w:rsidRPr="0093030B" w:rsidRDefault="001F4FDB" w:rsidP="001F4FDB">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21CBC1CD" w14:textId="0015F7B3" w:rsidR="001F4FDB" w:rsidRDefault="001F4FDB" w:rsidP="001F4FDB">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20D69CBB" w14:textId="65DD5BD9" w:rsidR="001F4FDB" w:rsidRDefault="001F4FDB" w:rsidP="001F4FDB">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644781CE" w14:textId="05AA8D77" w:rsidR="001F4FDB" w:rsidRDefault="001F4FDB" w:rsidP="001F4FDB">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264BADCE" w14:textId="0F6AF7AB" w:rsidR="001F4FDB" w:rsidRDefault="001F4FDB" w:rsidP="001F4FDB">
            <w:pPr>
              <w:jc w:val="right"/>
              <w:rPr>
                <w:rFonts w:cs="Arial"/>
              </w:rPr>
            </w:pPr>
            <w:r>
              <w:rPr>
                <w:rFonts w:cs="Arial"/>
              </w:rPr>
              <w:t>49</w:t>
            </w:r>
          </w:p>
        </w:tc>
        <w:tc>
          <w:tcPr>
            <w:tcW w:w="1012" w:type="dxa"/>
            <w:tcBorders>
              <w:top w:val="nil"/>
              <w:left w:val="nil"/>
              <w:bottom w:val="single" w:sz="4" w:space="0" w:color="auto"/>
              <w:right w:val="single" w:sz="4" w:space="0" w:color="auto"/>
            </w:tcBorders>
            <w:vAlign w:val="bottom"/>
          </w:tcPr>
          <w:p w14:paraId="405775E0" w14:textId="5DC83772" w:rsidR="001F4FDB" w:rsidRPr="001F4FDB" w:rsidRDefault="001F4FDB" w:rsidP="001F4FDB">
            <w:pPr>
              <w:jc w:val="right"/>
              <w:rPr>
                <w:rFonts w:cs="Arial"/>
              </w:rPr>
            </w:pPr>
            <w:r w:rsidRPr="001F4FDB">
              <w:rPr>
                <w:rFonts w:cs="Arial"/>
              </w:rPr>
              <w:t>48</w:t>
            </w:r>
          </w:p>
        </w:tc>
      </w:tr>
      <w:tr w:rsidR="001F4FDB" w:rsidRPr="0093030B" w14:paraId="2257D90C"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22A3145" w14:textId="77777777" w:rsidR="001F4FDB" w:rsidRPr="0093030B" w:rsidRDefault="001F4FDB" w:rsidP="001F4FDB">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67B100E7" w14:textId="05374F91" w:rsidR="001F4FDB" w:rsidRDefault="001F4FDB" w:rsidP="001F4FD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C7C79C9" w14:textId="7329D582" w:rsidR="001F4FDB" w:rsidRDefault="001F4FDB" w:rsidP="001F4FD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1E58BBA9" w14:textId="7EEF549B" w:rsidR="001F4FDB" w:rsidRDefault="001F4FDB" w:rsidP="001F4FD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D23F93E" w14:textId="5C06B99D" w:rsidR="001F4FDB" w:rsidRDefault="001F4FDB" w:rsidP="001F4FDB">
            <w:pPr>
              <w:jc w:val="right"/>
              <w:rPr>
                <w:rFonts w:cs="Arial"/>
              </w:rPr>
            </w:pPr>
            <w:r>
              <w:rPr>
                <w:rFonts w:cs="Arial"/>
              </w:rPr>
              <w:t>2</w:t>
            </w:r>
          </w:p>
        </w:tc>
        <w:tc>
          <w:tcPr>
            <w:tcW w:w="1012" w:type="dxa"/>
            <w:tcBorders>
              <w:top w:val="nil"/>
              <w:left w:val="nil"/>
              <w:bottom w:val="single" w:sz="4" w:space="0" w:color="auto"/>
              <w:right w:val="single" w:sz="4" w:space="0" w:color="auto"/>
            </w:tcBorders>
            <w:vAlign w:val="bottom"/>
          </w:tcPr>
          <w:p w14:paraId="781D97DC" w14:textId="65972ABE" w:rsidR="001F4FDB" w:rsidRPr="001F4FDB" w:rsidRDefault="001F4FDB" w:rsidP="001F4FDB">
            <w:pPr>
              <w:jc w:val="right"/>
              <w:rPr>
                <w:rFonts w:cs="Arial"/>
              </w:rPr>
            </w:pPr>
            <w:r w:rsidRPr="001F4FDB">
              <w:rPr>
                <w:rFonts w:cs="Arial"/>
              </w:rPr>
              <w:t>27</w:t>
            </w:r>
          </w:p>
        </w:tc>
      </w:tr>
      <w:tr w:rsidR="001F4FDB" w:rsidRPr="0093030B" w14:paraId="18BD5897" w14:textId="77777777" w:rsidTr="00A60308">
        <w:trPr>
          <w:trHeight w:val="255"/>
        </w:trPr>
        <w:tc>
          <w:tcPr>
            <w:tcW w:w="3460" w:type="dxa"/>
            <w:tcBorders>
              <w:top w:val="nil"/>
              <w:left w:val="single" w:sz="4" w:space="0" w:color="auto"/>
              <w:bottom w:val="single" w:sz="4" w:space="0" w:color="auto"/>
              <w:right w:val="single" w:sz="4" w:space="0" w:color="auto"/>
            </w:tcBorders>
            <w:noWrap/>
            <w:hideMark/>
          </w:tcPr>
          <w:p w14:paraId="1F2E5A3B" w14:textId="77777777" w:rsidR="001F4FDB" w:rsidRPr="0093030B" w:rsidRDefault="001F4FDB" w:rsidP="001F4FD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0485E1A" w14:textId="1D141D74" w:rsidR="001F4FDB" w:rsidRDefault="001F4FDB" w:rsidP="001F4FDB">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034EEF07" w14:textId="40522351" w:rsidR="001F4FDB" w:rsidRDefault="001F4FDB" w:rsidP="001F4FDB">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tcPr>
          <w:p w14:paraId="0634A262" w14:textId="69C5899B" w:rsidR="001F4FDB" w:rsidRDefault="001F4FDB" w:rsidP="001F4FDB">
            <w:pPr>
              <w:jc w:val="right"/>
              <w:rPr>
                <w:rFonts w:cs="Arial"/>
                <w:b/>
                <w:bCs/>
              </w:rPr>
            </w:pPr>
            <w:r>
              <w:rPr>
                <w:rFonts w:cs="Arial"/>
                <w:b/>
                <w:bCs/>
              </w:rPr>
              <w:t>1125</w:t>
            </w:r>
          </w:p>
        </w:tc>
        <w:tc>
          <w:tcPr>
            <w:tcW w:w="1012" w:type="dxa"/>
            <w:tcBorders>
              <w:top w:val="nil"/>
              <w:left w:val="nil"/>
              <w:bottom w:val="single" w:sz="4" w:space="0" w:color="auto"/>
              <w:right w:val="single" w:sz="4" w:space="0" w:color="auto"/>
            </w:tcBorders>
          </w:tcPr>
          <w:p w14:paraId="2C463DFB" w14:textId="6F430BDB" w:rsidR="001F4FDB" w:rsidRDefault="001F4FDB" w:rsidP="001F4FDB">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tcPr>
          <w:p w14:paraId="1DC48F62" w14:textId="5A033A67" w:rsidR="001F4FDB" w:rsidRDefault="001F4FDB" w:rsidP="001F4FDB">
            <w:pPr>
              <w:jc w:val="right"/>
              <w:rPr>
                <w:rFonts w:cs="Arial"/>
                <w:b/>
                <w:bCs/>
              </w:rPr>
            </w:pPr>
            <w:r>
              <w:rPr>
                <w:rFonts w:cs="Arial"/>
                <w:b/>
                <w:bCs/>
              </w:rPr>
              <w:t>1144</w:t>
            </w:r>
          </w:p>
        </w:tc>
      </w:tr>
    </w:tbl>
    <w:p w14:paraId="32FC5A9B" w14:textId="77777777" w:rsidR="001F4FDB" w:rsidRDefault="001F4FDB" w:rsidP="001F4FDB">
      <w:pPr>
        <w:spacing w:line="240" w:lineRule="auto"/>
        <w:ind w:left="-142" w:right="-425"/>
        <w:jc w:val="both"/>
        <w:rPr>
          <w:rFonts w:cs="Arial"/>
        </w:rPr>
      </w:pPr>
    </w:p>
    <w:p w14:paraId="162CC1EB" w14:textId="72EF1895" w:rsidR="001F4FDB" w:rsidRDefault="001F4FDB" w:rsidP="001F4FDB">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Pr>
          <w:sz w:val="16"/>
          <w:szCs w:val="16"/>
        </w:rPr>
        <w:t>April 2020 to 30 June 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F4FDB" w:rsidRPr="0093030B" w14:paraId="581CEA0D" w14:textId="77777777" w:rsidTr="00A60308">
        <w:trPr>
          <w:trHeight w:val="480"/>
        </w:trPr>
        <w:tc>
          <w:tcPr>
            <w:tcW w:w="3460" w:type="dxa"/>
            <w:tcBorders>
              <w:top w:val="single" w:sz="4" w:space="0" w:color="auto"/>
              <w:left w:val="single" w:sz="4" w:space="0" w:color="auto"/>
              <w:bottom w:val="single" w:sz="4" w:space="0" w:color="auto"/>
              <w:right w:val="single" w:sz="4" w:space="0" w:color="auto"/>
            </w:tcBorders>
            <w:hideMark/>
          </w:tcPr>
          <w:p w14:paraId="4E1808C8" w14:textId="77777777" w:rsidR="001F4FDB" w:rsidRPr="0093030B" w:rsidRDefault="001F4FDB" w:rsidP="001F4FDB">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0B15CFE4" w14:textId="3E05774C" w:rsidR="001F4FDB" w:rsidRDefault="001F4FDB" w:rsidP="001F4FDB">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5ED516EC" w14:textId="103C6429" w:rsidR="001F4FDB" w:rsidRDefault="001F4FDB" w:rsidP="001F4FDB">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2FDD454F" w14:textId="2DC38FE0" w:rsidR="001F4FDB" w:rsidRDefault="001F4FDB" w:rsidP="001F4FDB">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56B8BEEA" w14:textId="5D544846" w:rsidR="001F4FDB" w:rsidRDefault="001F4FDB" w:rsidP="001F4FDB">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08810156" w14:textId="177D1DC1" w:rsidR="001F4FDB" w:rsidRDefault="001F4FDB" w:rsidP="001F4FDB">
            <w:pPr>
              <w:pStyle w:val="TableText"/>
              <w:jc w:val="right"/>
              <w:rPr>
                <w:b/>
                <w:lang w:eastAsia="en-AU"/>
              </w:rPr>
            </w:pPr>
            <w:r>
              <w:rPr>
                <w:b/>
                <w:lang w:eastAsia="en-AU"/>
              </w:rPr>
              <w:t>Qtr 52</w:t>
            </w:r>
          </w:p>
        </w:tc>
      </w:tr>
      <w:tr w:rsidR="001F4FDB" w:rsidRPr="0093030B" w14:paraId="04A2B04B"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684BDC32" w14:textId="77777777" w:rsidR="001F4FDB" w:rsidRPr="0093030B" w:rsidRDefault="001F4FDB" w:rsidP="001F4FDB">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14B6473" w14:textId="2470ED7A" w:rsidR="001F4FDB" w:rsidRDefault="001F4FDB" w:rsidP="001F4FDB">
            <w:pPr>
              <w:jc w:val="right"/>
              <w:rPr>
                <w:rFonts w:cs="Arial"/>
              </w:rPr>
            </w:pPr>
            <w:r>
              <w:rPr>
                <w:rFonts w:cs="Arial"/>
              </w:rPr>
              <w:t>235</w:t>
            </w:r>
          </w:p>
        </w:tc>
        <w:tc>
          <w:tcPr>
            <w:tcW w:w="1012" w:type="dxa"/>
            <w:tcBorders>
              <w:top w:val="nil"/>
              <w:left w:val="nil"/>
              <w:bottom w:val="single" w:sz="4" w:space="0" w:color="auto"/>
              <w:right w:val="single" w:sz="4" w:space="0" w:color="auto"/>
            </w:tcBorders>
          </w:tcPr>
          <w:p w14:paraId="0459540A" w14:textId="6236EF65" w:rsidR="001F4FDB" w:rsidRDefault="001F4FDB" w:rsidP="001F4FDB">
            <w:pPr>
              <w:jc w:val="right"/>
              <w:rPr>
                <w:rFonts w:cs="Arial"/>
              </w:rPr>
            </w:pPr>
            <w:r>
              <w:rPr>
                <w:rFonts w:cs="Arial"/>
              </w:rPr>
              <w:t>444</w:t>
            </w:r>
          </w:p>
        </w:tc>
        <w:tc>
          <w:tcPr>
            <w:tcW w:w="1012" w:type="dxa"/>
            <w:tcBorders>
              <w:top w:val="nil"/>
              <w:left w:val="nil"/>
              <w:bottom w:val="single" w:sz="4" w:space="0" w:color="auto"/>
              <w:right w:val="single" w:sz="4" w:space="0" w:color="auto"/>
            </w:tcBorders>
            <w:vAlign w:val="bottom"/>
          </w:tcPr>
          <w:p w14:paraId="71F9C950" w14:textId="19289BFE" w:rsidR="001F4FDB" w:rsidRDefault="001F4FDB" w:rsidP="001F4FDB">
            <w:pPr>
              <w:jc w:val="right"/>
              <w:rPr>
                <w:rFonts w:cs="Arial"/>
              </w:rPr>
            </w:pPr>
            <w:r w:rsidRPr="005D5FC8">
              <w:rPr>
                <w:rFonts w:cs="Arial"/>
              </w:rPr>
              <w:t>468</w:t>
            </w:r>
          </w:p>
        </w:tc>
        <w:tc>
          <w:tcPr>
            <w:tcW w:w="1012" w:type="dxa"/>
            <w:tcBorders>
              <w:top w:val="nil"/>
              <w:left w:val="nil"/>
              <w:bottom w:val="single" w:sz="4" w:space="0" w:color="auto"/>
              <w:right w:val="single" w:sz="4" w:space="0" w:color="auto"/>
            </w:tcBorders>
          </w:tcPr>
          <w:p w14:paraId="16ACFF6C" w14:textId="695DF912" w:rsidR="001F4FDB" w:rsidRDefault="001F4FDB" w:rsidP="001F4FDB">
            <w:pPr>
              <w:jc w:val="right"/>
              <w:rPr>
                <w:rFonts w:cs="Arial"/>
              </w:rPr>
            </w:pPr>
            <w:r>
              <w:rPr>
                <w:rFonts w:cs="Arial"/>
              </w:rPr>
              <w:t>502</w:t>
            </w:r>
          </w:p>
        </w:tc>
        <w:tc>
          <w:tcPr>
            <w:tcW w:w="1012" w:type="dxa"/>
            <w:tcBorders>
              <w:top w:val="nil"/>
              <w:left w:val="nil"/>
              <w:bottom w:val="single" w:sz="4" w:space="0" w:color="auto"/>
              <w:right w:val="single" w:sz="4" w:space="0" w:color="auto"/>
            </w:tcBorders>
            <w:vAlign w:val="bottom"/>
          </w:tcPr>
          <w:p w14:paraId="05CF815E" w14:textId="720400A7" w:rsidR="001F4FDB" w:rsidRPr="001F4FDB" w:rsidRDefault="001F4FDB" w:rsidP="001F4FDB">
            <w:pPr>
              <w:jc w:val="right"/>
              <w:rPr>
                <w:rFonts w:cs="Arial"/>
              </w:rPr>
            </w:pPr>
            <w:r w:rsidRPr="001F4FDB">
              <w:rPr>
                <w:rFonts w:cs="Arial"/>
              </w:rPr>
              <w:t>513</w:t>
            </w:r>
          </w:p>
        </w:tc>
      </w:tr>
      <w:tr w:rsidR="001F4FDB" w:rsidRPr="0093030B" w14:paraId="1967DE22"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7051E91C" w14:textId="77777777" w:rsidR="001F4FDB" w:rsidRPr="0093030B" w:rsidRDefault="001F4FDB" w:rsidP="001F4FDB">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1168DC66" w14:textId="23DE589E" w:rsidR="001F4FDB" w:rsidRDefault="001F4FDB" w:rsidP="001F4FDB">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7EDBE707" w14:textId="5624DB90" w:rsidR="001F4FDB" w:rsidRDefault="001F4FDB" w:rsidP="001F4FDB">
            <w:pPr>
              <w:jc w:val="right"/>
              <w:rPr>
                <w:rFonts w:cs="Arial"/>
              </w:rPr>
            </w:pPr>
            <w:r>
              <w:rPr>
                <w:rFonts w:cs="Arial"/>
              </w:rPr>
              <w:t>61</w:t>
            </w:r>
          </w:p>
        </w:tc>
        <w:tc>
          <w:tcPr>
            <w:tcW w:w="1012" w:type="dxa"/>
            <w:tcBorders>
              <w:top w:val="nil"/>
              <w:left w:val="nil"/>
              <w:bottom w:val="single" w:sz="4" w:space="0" w:color="auto"/>
              <w:right w:val="single" w:sz="4" w:space="0" w:color="auto"/>
            </w:tcBorders>
            <w:vAlign w:val="bottom"/>
          </w:tcPr>
          <w:p w14:paraId="553AFDAA" w14:textId="52EEB72A" w:rsidR="001F4FDB" w:rsidRDefault="001F4FDB" w:rsidP="001F4FDB">
            <w:pPr>
              <w:jc w:val="right"/>
              <w:rPr>
                <w:rFonts w:cs="Arial"/>
              </w:rPr>
            </w:pPr>
            <w:r w:rsidRPr="005D5FC8">
              <w:rPr>
                <w:rFonts w:cs="Arial"/>
              </w:rPr>
              <w:t>60</w:t>
            </w:r>
          </w:p>
        </w:tc>
        <w:tc>
          <w:tcPr>
            <w:tcW w:w="1012" w:type="dxa"/>
            <w:tcBorders>
              <w:top w:val="nil"/>
              <w:left w:val="nil"/>
              <w:bottom w:val="single" w:sz="4" w:space="0" w:color="auto"/>
              <w:right w:val="single" w:sz="4" w:space="0" w:color="auto"/>
            </w:tcBorders>
          </w:tcPr>
          <w:p w14:paraId="532241FE" w14:textId="2C0BB0C1" w:rsidR="001F4FDB" w:rsidRDefault="001F4FDB" w:rsidP="001F4FDB">
            <w:pPr>
              <w:jc w:val="right"/>
              <w:rPr>
                <w:rFonts w:cs="Arial"/>
              </w:rPr>
            </w:pPr>
            <w:r>
              <w:rPr>
                <w:rFonts w:cs="Arial"/>
              </w:rPr>
              <w:t>48</w:t>
            </w:r>
          </w:p>
        </w:tc>
        <w:tc>
          <w:tcPr>
            <w:tcW w:w="1012" w:type="dxa"/>
            <w:tcBorders>
              <w:top w:val="nil"/>
              <w:left w:val="nil"/>
              <w:bottom w:val="single" w:sz="4" w:space="0" w:color="auto"/>
              <w:right w:val="single" w:sz="4" w:space="0" w:color="auto"/>
            </w:tcBorders>
            <w:vAlign w:val="bottom"/>
          </w:tcPr>
          <w:p w14:paraId="644A81F1" w14:textId="16CFA1B5" w:rsidR="001F4FDB" w:rsidRPr="001F4FDB" w:rsidRDefault="001F4FDB" w:rsidP="001F4FDB">
            <w:pPr>
              <w:jc w:val="right"/>
              <w:rPr>
                <w:rFonts w:cs="Arial"/>
              </w:rPr>
            </w:pPr>
            <w:r w:rsidRPr="001F4FDB">
              <w:rPr>
                <w:rFonts w:cs="Arial"/>
              </w:rPr>
              <w:t>37</w:t>
            </w:r>
          </w:p>
        </w:tc>
      </w:tr>
      <w:tr w:rsidR="001F4FDB" w:rsidRPr="0093030B" w14:paraId="4DF5459D"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40C18130" w14:textId="77777777" w:rsidR="001F4FDB" w:rsidRPr="0093030B" w:rsidRDefault="001F4FDB" w:rsidP="001F4FDB">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5A85E92D" w14:textId="32A7E417" w:rsidR="001F4FDB" w:rsidRDefault="001F4FDB" w:rsidP="001F4FDB">
            <w:pPr>
              <w:jc w:val="right"/>
              <w:rPr>
                <w:rFonts w:cs="Arial"/>
              </w:rPr>
            </w:pPr>
            <w:r>
              <w:rPr>
                <w:rFonts w:cs="Arial"/>
              </w:rPr>
              <w:t>394</w:t>
            </w:r>
          </w:p>
        </w:tc>
        <w:tc>
          <w:tcPr>
            <w:tcW w:w="1012" w:type="dxa"/>
            <w:tcBorders>
              <w:top w:val="nil"/>
              <w:left w:val="nil"/>
              <w:bottom w:val="single" w:sz="4" w:space="0" w:color="auto"/>
              <w:right w:val="single" w:sz="4" w:space="0" w:color="auto"/>
            </w:tcBorders>
          </w:tcPr>
          <w:p w14:paraId="5E4F3BE9" w14:textId="2E518827" w:rsidR="001F4FDB" w:rsidRDefault="001F4FDB" w:rsidP="001F4FDB">
            <w:pPr>
              <w:jc w:val="right"/>
              <w:rPr>
                <w:rFonts w:cs="Arial"/>
              </w:rPr>
            </w:pPr>
            <w:r>
              <w:rPr>
                <w:rFonts w:cs="Arial"/>
              </w:rPr>
              <w:t>391</w:t>
            </w:r>
          </w:p>
        </w:tc>
        <w:tc>
          <w:tcPr>
            <w:tcW w:w="1012" w:type="dxa"/>
            <w:tcBorders>
              <w:top w:val="nil"/>
              <w:left w:val="nil"/>
              <w:bottom w:val="single" w:sz="4" w:space="0" w:color="auto"/>
              <w:right w:val="single" w:sz="4" w:space="0" w:color="auto"/>
            </w:tcBorders>
            <w:vAlign w:val="bottom"/>
          </w:tcPr>
          <w:p w14:paraId="20BA4E4F" w14:textId="3A03C633" w:rsidR="001F4FDB" w:rsidRDefault="001F4FDB" w:rsidP="001F4FDB">
            <w:pPr>
              <w:jc w:val="right"/>
              <w:rPr>
                <w:rFonts w:cs="Arial"/>
              </w:rPr>
            </w:pPr>
            <w:r w:rsidRPr="005D5FC8">
              <w:rPr>
                <w:rFonts w:cs="Arial"/>
              </w:rPr>
              <w:t>346</w:t>
            </w:r>
          </w:p>
        </w:tc>
        <w:tc>
          <w:tcPr>
            <w:tcW w:w="1012" w:type="dxa"/>
            <w:tcBorders>
              <w:top w:val="nil"/>
              <w:left w:val="nil"/>
              <w:bottom w:val="single" w:sz="4" w:space="0" w:color="auto"/>
              <w:right w:val="single" w:sz="4" w:space="0" w:color="auto"/>
            </w:tcBorders>
          </w:tcPr>
          <w:p w14:paraId="265AFF6C" w14:textId="0A87F94B" w:rsidR="001F4FDB" w:rsidRDefault="001F4FDB" w:rsidP="001F4FDB">
            <w:pPr>
              <w:jc w:val="right"/>
              <w:rPr>
                <w:rFonts w:cs="Arial"/>
              </w:rPr>
            </w:pPr>
            <w:r>
              <w:rPr>
                <w:rFonts w:cs="Arial"/>
              </w:rPr>
              <w:t>278</w:t>
            </w:r>
          </w:p>
        </w:tc>
        <w:tc>
          <w:tcPr>
            <w:tcW w:w="1012" w:type="dxa"/>
            <w:tcBorders>
              <w:top w:val="nil"/>
              <w:left w:val="nil"/>
              <w:bottom w:val="single" w:sz="4" w:space="0" w:color="auto"/>
              <w:right w:val="single" w:sz="4" w:space="0" w:color="auto"/>
            </w:tcBorders>
            <w:vAlign w:val="bottom"/>
          </w:tcPr>
          <w:p w14:paraId="0C059A18" w14:textId="377EEE0A" w:rsidR="001F4FDB" w:rsidRPr="001F4FDB" w:rsidRDefault="001F4FDB" w:rsidP="001F4FDB">
            <w:pPr>
              <w:jc w:val="right"/>
              <w:rPr>
                <w:rFonts w:cs="Arial"/>
              </w:rPr>
            </w:pPr>
            <w:r w:rsidRPr="001F4FDB">
              <w:rPr>
                <w:rFonts w:cs="Arial"/>
              </w:rPr>
              <w:t>297</w:t>
            </w:r>
          </w:p>
        </w:tc>
      </w:tr>
      <w:tr w:rsidR="001F4FDB" w:rsidRPr="0093030B" w14:paraId="0F4F94E6"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tcPr>
          <w:p w14:paraId="557C6908" w14:textId="77777777" w:rsidR="001F4FDB" w:rsidRPr="0093030B" w:rsidRDefault="001F4FDB" w:rsidP="001F4FDB">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20D63F4F" w14:textId="6E09C7C6" w:rsidR="001F4FDB" w:rsidRDefault="001F4FDB" w:rsidP="001F4FDB">
            <w:pPr>
              <w:jc w:val="right"/>
              <w:rPr>
                <w:rFonts w:cs="Arial"/>
              </w:rPr>
            </w:pPr>
            <w:r>
              <w:rPr>
                <w:rFonts w:cs="Arial"/>
              </w:rPr>
              <w:t>139</w:t>
            </w:r>
          </w:p>
        </w:tc>
        <w:tc>
          <w:tcPr>
            <w:tcW w:w="1012" w:type="dxa"/>
            <w:tcBorders>
              <w:top w:val="nil"/>
              <w:left w:val="nil"/>
              <w:bottom w:val="single" w:sz="4" w:space="0" w:color="auto"/>
              <w:right w:val="single" w:sz="4" w:space="0" w:color="auto"/>
            </w:tcBorders>
          </w:tcPr>
          <w:p w14:paraId="564786A6" w14:textId="64F4EDA2" w:rsidR="001F4FDB" w:rsidRDefault="001F4FDB" w:rsidP="001F4FDB">
            <w:pPr>
              <w:jc w:val="right"/>
              <w:rPr>
                <w:rFonts w:cs="Arial"/>
              </w:rPr>
            </w:pPr>
            <w:r>
              <w:rPr>
                <w:rFonts w:cs="Arial"/>
              </w:rPr>
              <w:t>234</w:t>
            </w:r>
          </w:p>
        </w:tc>
        <w:tc>
          <w:tcPr>
            <w:tcW w:w="1012" w:type="dxa"/>
            <w:tcBorders>
              <w:top w:val="nil"/>
              <w:left w:val="nil"/>
              <w:bottom w:val="single" w:sz="4" w:space="0" w:color="auto"/>
              <w:right w:val="single" w:sz="4" w:space="0" w:color="auto"/>
            </w:tcBorders>
            <w:vAlign w:val="bottom"/>
          </w:tcPr>
          <w:p w14:paraId="11057D0D" w14:textId="66295BC5" w:rsidR="001F4FDB" w:rsidRDefault="001F4FDB" w:rsidP="001F4FDB">
            <w:pPr>
              <w:jc w:val="right"/>
              <w:rPr>
                <w:rFonts w:cs="Arial"/>
              </w:rPr>
            </w:pPr>
            <w:r w:rsidRPr="005D5FC8">
              <w:rPr>
                <w:rFonts w:cs="Arial"/>
              </w:rPr>
              <w:t>200</w:t>
            </w:r>
          </w:p>
        </w:tc>
        <w:tc>
          <w:tcPr>
            <w:tcW w:w="1012" w:type="dxa"/>
            <w:tcBorders>
              <w:top w:val="nil"/>
              <w:left w:val="nil"/>
              <w:bottom w:val="single" w:sz="4" w:space="0" w:color="auto"/>
              <w:right w:val="single" w:sz="4" w:space="0" w:color="auto"/>
            </w:tcBorders>
          </w:tcPr>
          <w:p w14:paraId="1A9B2109" w14:textId="6B4A4F06" w:rsidR="001F4FDB" w:rsidRDefault="001F4FDB" w:rsidP="001F4FDB">
            <w:pPr>
              <w:jc w:val="right"/>
              <w:rPr>
                <w:rFonts w:cs="Arial"/>
              </w:rPr>
            </w:pPr>
            <w:r>
              <w:rPr>
                <w:rFonts w:cs="Arial"/>
              </w:rPr>
              <w:t>188</w:t>
            </w:r>
          </w:p>
        </w:tc>
        <w:tc>
          <w:tcPr>
            <w:tcW w:w="1012" w:type="dxa"/>
            <w:tcBorders>
              <w:top w:val="nil"/>
              <w:left w:val="nil"/>
              <w:bottom w:val="single" w:sz="4" w:space="0" w:color="auto"/>
              <w:right w:val="single" w:sz="4" w:space="0" w:color="auto"/>
            </w:tcBorders>
            <w:vAlign w:val="bottom"/>
          </w:tcPr>
          <w:p w14:paraId="4C4F0A6B" w14:textId="6C293845" w:rsidR="001F4FDB" w:rsidRPr="001F4FDB" w:rsidRDefault="001F4FDB" w:rsidP="001F4FDB">
            <w:pPr>
              <w:jc w:val="right"/>
              <w:rPr>
                <w:rFonts w:cs="Arial"/>
              </w:rPr>
            </w:pPr>
            <w:r w:rsidRPr="001F4FDB">
              <w:rPr>
                <w:rFonts w:cs="Arial"/>
              </w:rPr>
              <w:t>234</w:t>
            </w:r>
          </w:p>
        </w:tc>
      </w:tr>
      <w:tr w:rsidR="001F4FDB" w:rsidRPr="0093030B" w14:paraId="0244F919" w14:textId="77777777" w:rsidTr="00A60308">
        <w:trPr>
          <w:trHeight w:val="255"/>
        </w:trPr>
        <w:tc>
          <w:tcPr>
            <w:tcW w:w="3460" w:type="dxa"/>
            <w:tcBorders>
              <w:top w:val="nil"/>
              <w:left w:val="single" w:sz="4" w:space="0" w:color="auto"/>
              <w:bottom w:val="single" w:sz="4" w:space="0" w:color="auto"/>
              <w:right w:val="single" w:sz="4" w:space="0" w:color="auto"/>
            </w:tcBorders>
            <w:noWrap/>
            <w:vAlign w:val="bottom"/>
            <w:hideMark/>
          </w:tcPr>
          <w:p w14:paraId="7B0FEFDA" w14:textId="77777777" w:rsidR="001F4FDB" w:rsidRPr="0093030B" w:rsidRDefault="001F4FDB" w:rsidP="001F4FDB">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2D717628" w14:textId="06A71C6E" w:rsidR="001F4FDB" w:rsidRDefault="001F4FDB" w:rsidP="001F4FDB">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74CEAF06" w14:textId="44B85EB3" w:rsidR="001F4FDB" w:rsidRDefault="001F4FDB" w:rsidP="001F4FDB">
            <w:pPr>
              <w:jc w:val="right"/>
              <w:rPr>
                <w:rFonts w:cs="Arial"/>
              </w:rPr>
            </w:pPr>
            <w:r>
              <w:rPr>
                <w:rFonts w:cs="Arial"/>
              </w:rPr>
              <w:t>51</w:t>
            </w:r>
          </w:p>
        </w:tc>
        <w:tc>
          <w:tcPr>
            <w:tcW w:w="1012" w:type="dxa"/>
            <w:tcBorders>
              <w:top w:val="nil"/>
              <w:left w:val="nil"/>
              <w:bottom w:val="single" w:sz="4" w:space="0" w:color="auto"/>
              <w:right w:val="single" w:sz="4" w:space="0" w:color="auto"/>
            </w:tcBorders>
            <w:vAlign w:val="bottom"/>
          </w:tcPr>
          <w:p w14:paraId="381D78DC" w14:textId="0EA0D356" w:rsidR="001F4FDB" w:rsidRDefault="001F4FDB" w:rsidP="001F4FDB">
            <w:pPr>
              <w:jc w:val="right"/>
              <w:rPr>
                <w:rFonts w:cs="Arial"/>
              </w:rPr>
            </w:pPr>
            <w:r w:rsidRPr="005D5FC8">
              <w:rPr>
                <w:rFonts w:cs="Arial"/>
              </w:rPr>
              <w:t>51</w:t>
            </w:r>
          </w:p>
        </w:tc>
        <w:tc>
          <w:tcPr>
            <w:tcW w:w="1012" w:type="dxa"/>
            <w:tcBorders>
              <w:top w:val="nil"/>
              <w:left w:val="nil"/>
              <w:bottom w:val="single" w:sz="4" w:space="0" w:color="auto"/>
              <w:right w:val="single" w:sz="4" w:space="0" w:color="auto"/>
            </w:tcBorders>
          </w:tcPr>
          <w:p w14:paraId="5DB2572D" w14:textId="63829C00" w:rsidR="001F4FDB" w:rsidRDefault="001F4FDB" w:rsidP="001F4FDB">
            <w:pPr>
              <w:jc w:val="right"/>
              <w:rPr>
                <w:rFonts w:cs="Arial"/>
              </w:rPr>
            </w:pPr>
            <w:r>
              <w:rPr>
                <w:rFonts w:cs="Arial"/>
              </w:rPr>
              <w:t>43</w:t>
            </w:r>
          </w:p>
        </w:tc>
        <w:tc>
          <w:tcPr>
            <w:tcW w:w="1012" w:type="dxa"/>
            <w:tcBorders>
              <w:top w:val="nil"/>
              <w:left w:val="nil"/>
              <w:bottom w:val="single" w:sz="4" w:space="0" w:color="auto"/>
              <w:right w:val="single" w:sz="4" w:space="0" w:color="auto"/>
            </w:tcBorders>
            <w:vAlign w:val="bottom"/>
          </w:tcPr>
          <w:p w14:paraId="1DC74F96" w14:textId="0C8F9779" w:rsidR="001F4FDB" w:rsidRPr="001F4FDB" w:rsidRDefault="001F4FDB" w:rsidP="001F4FDB">
            <w:pPr>
              <w:jc w:val="right"/>
              <w:rPr>
                <w:rFonts w:cs="Arial"/>
              </w:rPr>
            </w:pPr>
            <w:r w:rsidRPr="001F4FDB">
              <w:rPr>
                <w:rFonts w:cs="Arial"/>
              </w:rPr>
              <w:t>63</w:t>
            </w:r>
          </w:p>
        </w:tc>
      </w:tr>
      <w:tr w:rsidR="001F4FDB" w:rsidRPr="0093030B" w14:paraId="5B9CF145" w14:textId="77777777" w:rsidTr="00A60308">
        <w:trPr>
          <w:trHeight w:val="255"/>
        </w:trPr>
        <w:tc>
          <w:tcPr>
            <w:tcW w:w="3460" w:type="dxa"/>
            <w:tcBorders>
              <w:top w:val="nil"/>
              <w:left w:val="single" w:sz="4" w:space="0" w:color="auto"/>
              <w:bottom w:val="single" w:sz="4" w:space="0" w:color="auto"/>
              <w:right w:val="single" w:sz="4" w:space="0" w:color="auto"/>
            </w:tcBorders>
            <w:noWrap/>
            <w:hideMark/>
          </w:tcPr>
          <w:p w14:paraId="2B14F220" w14:textId="77777777" w:rsidR="001F4FDB" w:rsidRPr="0093030B" w:rsidRDefault="001F4FDB" w:rsidP="001F4FD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D997863" w14:textId="49E3197C" w:rsidR="001F4FDB" w:rsidRDefault="001F4FDB" w:rsidP="001F4FDB">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63AC58BC" w14:textId="7332F2D3" w:rsidR="001F4FDB" w:rsidRDefault="001F4FDB" w:rsidP="001F4FDB">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vAlign w:val="bottom"/>
          </w:tcPr>
          <w:p w14:paraId="65D51E47" w14:textId="35DD5E30" w:rsidR="001F4FDB" w:rsidRDefault="001F4FDB" w:rsidP="001F4FDB">
            <w:pPr>
              <w:jc w:val="right"/>
              <w:rPr>
                <w:rFonts w:cs="Arial"/>
                <w:b/>
                <w:bCs/>
              </w:rPr>
            </w:pPr>
            <w:r w:rsidRPr="005D5FC8">
              <w:rPr>
                <w:rFonts w:cs="Arial"/>
                <w:b/>
                <w:bCs/>
              </w:rPr>
              <w:t>1125</w:t>
            </w:r>
          </w:p>
        </w:tc>
        <w:tc>
          <w:tcPr>
            <w:tcW w:w="1012" w:type="dxa"/>
            <w:tcBorders>
              <w:top w:val="nil"/>
              <w:left w:val="nil"/>
              <w:bottom w:val="single" w:sz="4" w:space="0" w:color="auto"/>
              <w:right w:val="single" w:sz="4" w:space="0" w:color="auto"/>
            </w:tcBorders>
          </w:tcPr>
          <w:p w14:paraId="3BF77EE8" w14:textId="455EAC2A" w:rsidR="001F4FDB" w:rsidRDefault="001F4FDB" w:rsidP="001F4FDB">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vAlign w:val="bottom"/>
          </w:tcPr>
          <w:p w14:paraId="20CC6073" w14:textId="13B3E6A4" w:rsidR="001F4FDB" w:rsidRPr="001F4FDB" w:rsidRDefault="001F4FDB" w:rsidP="001F4FDB">
            <w:pPr>
              <w:jc w:val="right"/>
              <w:rPr>
                <w:rFonts w:cs="Arial"/>
                <w:b/>
                <w:bCs/>
              </w:rPr>
            </w:pPr>
            <w:r w:rsidRPr="001F4FDB">
              <w:rPr>
                <w:rFonts w:cs="Arial"/>
                <w:b/>
                <w:bCs/>
              </w:rPr>
              <w:t>1144</w:t>
            </w:r>
          </w:p>
        </w:tc>
      </w:tr>
    </w:tbl>
    <w:p w14:paraId="2EE0C793" w14:textId="77777777" w:rsidR="001F4FDB" w:rsidRDefault="001F4FDB" w:rsidP="001F4FDB">
      <w:pPr>
        <w:ind w:left="-142" w:right="-425"/>
        <w:jc w:val="both"/>
        <w:rPr>
          <w:rFonts w:cs="Arial"/>
        </w:rPr>
      </w:pPr>
    </w:p>
    <w:p w14:paraId="6B7E9BDC" w14:textId="44AA0DF3" w:rsidR="005A5B78" w:rsidRDefault="007E65A1" w:rsidP="005A5B78">
      <w:pPr>
        <w:ind w:left="-142" w:right="-425"/>
        <w:jc w:val="both"/>
        <w:rPr>
          <w:rFonts w:cs="Arial"/>
        </w:rPr>
      </w:pPr>
      <w:r>
        <w:rPr>
          <w:rFonts w:cs="Arial"/>
        </w:rPr>
        <w:t xml:space="preserve">For quarter </w:t>
      </w:r>
      <w:r w:rsidR="000D0A4E">
        <w:rPr>
          <w:rFonts w:cs="Arial"/>
        </w:rPr>
        <w:t>52</w:t>
      </w:r>
      <w:r w:rsidR="00D4333F">
        <w:rPr>
          <w:rFonts w:cs="Arial"/>
        </w:rPr>
        <w:t>,</w:t>
      </w:r>
      <w:r>
        <w:rPr>
          <w:rFonts w:cs="Arial"/>
        </w:rPr>
        <w:t xml:space="preserve"> </w:t>
      </w:r>
      <w:r w:rsidR="00746265">
        <w:rPr>
          <w:rFonts w:cs="Arial"/>
        </w:rPr>
        <w:t>4</w:t>
      </w:r>
      <w:r w:rsidR="00A241AB">
        <w:rPr>
          <w:rFonts w:cs="Arial"/>
        </w:rPr>
        <w:t>3</w:t>
      </w:r>
      <w:r w:rsidR="005A5B78" w:rsidRPr="004A208F">
        <w:rPr>
          <w:rFonts w:cs="Arial"/>
        </w:rPr>
        <w:t xml:space="preserve"> percent</w:t>
      </w:r>
      <w:r w:rsidR="00AF4062">
        <w:rPr>
          <w:rFonts w:cs="Arial"/>
        </w:rPr>
        <w:t xml:space="preserve"> </w:t>
      </w:r>
      <w:r w:rsidR="005A5B78" w:rsidRPr="004A208F">
        <w:rPr>
          <w:rFonts w:cs="Arial"/>
        </w:rPr>
        <w:t xml:space="preserve">of clients received more than one notice </w:t>
      </w:r>
      <w:r w:rsidR="00200679">
        <w:rPr>
          <w:rFonts w:cs="Arial"/>
        </w:rPr>
        <w:t>and</w:t>
      </w:r>
      <w:r w:rsidR="005A5B78" w:rsidRPr="004A208F">
        <w:rPr>
          <w:rFonts w:cs="Arial"/>
        </w:rPr>
        <w:t xml:space="preserve"> </w:t>
      </w:r>
      <w:r w:rsidR="00A241AB">
        <w:rPr>
          <w:rFonts w:cs="Arial"/>
        </w:rPr>
        <w:t>4</w:t>
      </w:r>
      <w:r w:rsidR="005A5B78" w:rsidRPr="004A208F">
        <w:rPr>
          <w:rFonts w:cs="Arial"/>
        </w:rPr>
        <w:t xml:space="preserve"> </w:t>
      </w:r>
      <w:r w:rsidR="00FC7C1D">
        <w:rPr>
          <w:rFonts w:cs="Arial"/>
        </w:rPr>
        <w:t xml:space="preserve">percent </w:t>
      </w:r>
      <w:r w:rsidR="005A5B78" w:rsidRPr="004A208F">
        <w:rPr>
          <w:rFonts w:cs="Arial"/>
        </w:rPr>
        <w:t>of clients receiv</w:t>
      </w:r>
      <w:r w:rsidR="00200679">
        <w:rPr>
          <w:rFonts w:cs="Arial"/>
        </w:rPr>
        <w:t>ed</w:t>
      </w:r>
      <w:r w:rsidR="005A5B78" w:rsidRPr="004A208F">
        <w:rPr>
          <w:rFonts w:cs="Arial"/>
        </w:rPr>
        <w:t xml:space="preserve">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B16B87">
        <w:rPr>
          <w:rFonts w:cs="Arial"/>
        </w:rPr>
        <w:t>5</w:t>
      </w:r>
      <w:r w:rsidR="00D469EB">
        <w:rPr>
          <w:rFonts w:cs="Arial"/>
        </w:rPr>
        <w:t>7</w:t>
      </w:r>
      <w:r w:rsidR="0002417B"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This trend has been observed over the past twelve months. </w:t>
      </w:r>
      <w:r w:rsidR="00D469EB">
        <w:rPr>
          <w:rFonts w:cs="Arial"/>
        </w:rPr>
        <w:t>Twenty-nine</w:t>
      </w:r>
      <w:r w:rsidR="00EB54BF" w:rsidRPr="00626560">
        <w:rPr>
          <w:rFonts w:cs="Arial"/>
        </w:rPr>
        <w:t xml:space="preserve"> </w:t>
      </w:r>
      <w:r w:rsidR="00CA73A5" w:rsidRPr="00626560">
        <w:rPr>
          <w:rFonts w:cs="Arial"/>
        </w:rPr>
        <w:t>new</w:t>
      </w:r>
      <w:r w:rsidR="00CA73A5">
        <w:rPr>
          <w:rFonts w:cs="Arial"/>
        </w:rPr>
        <w:t xml:space="preserve"> clients were added to the Commission’s database during the quarter.</w:t>
      </w:r>
    </w:p>
    <w:p w14:paraId="4A179C19" w14:textId="3E5E5205" w:rsidR="00E66A2E" w:rsidRDefault="00E66A2E" w:rsidP="005A5B78">
      <w:pPr>
        <w:ind w:left="-142" w:right="-425"/>
        <w:jc w:val="both"/>
        <w:rPr>
          <w:rFonts w:cs="Arial"/>
        </w:rPr>
      </w:pPr>
    </w:p>
    <w:p w14:paraId="393D3A0B" w14:textId="55BDF241" w:rsidR="00D609C2" w:rsidRPr="00D925BE" w:rsidRDefault="00D609C2" w:rsidP="00D609C2">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er of notices 1 April 2021 to 30 June 2021</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D609C2" w:rsidRPr="006E764C" w14:paraId="6F3EDC3D" w14:textId="77777777" w:rsidTr="00A60308">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7CE89880" w14:textId="77777777" w:rsidR="00D609C2" w:rsidRPr="0093030B" w:rsidRDefault="00D609C2" w:rsidP="00A60308">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022F64E8" w14:textId="77777777" w:rsidR="00D609C2" w:rsidRPr="0093030B" w:rsidRDefault="00D609C2" w:rsidP="00A60308">
            <w:pPr>
              <w:pStyle w:val="TableText"/>
              <w:rPr>
                <w:b/>
                <w:lang w:eastAsia="en-AU"/>
              </w:rPr>
            </w:pPr>
            <w:r w:rsidRPr="0093030B">
              <w:rPr>
                <w:b/>
                <w:lang w:eastAsia="en-AU"/>
              </w:rPr>
              <w:t>Number of Clients</w:t>
            </w:r>
          </w:p>
        </w:tc>
      </w:tr>
      <w:tr w:rsidR="00D609C2" w:rsidRPr="006E764C" w14:paraId="73870B2A"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599406B3" w14:textId="77777777" w:rsidR="00D609C2" w:rsidRPr="006E764C" w:rsidRDefault="00D609C2" w:rsidP="00D609C2">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1ED1D938" w14:textId="6A447366" w:rsidR="00D609C2" w:rsidRPr="00D609C2" w:rsidRDefault="00D609C2" w:rsidP="00D609C2">
            <w:pPr>
              <w:jc w:val="right"/>
              <w:rPr>
                <w:rFonts w:cs="Arial"/>
              </w:rPr>
            </w:pPr>
            <w:r w:rsidRPr="00D609C2">
              <w:rPr>
                <w:rFonts w:cs="Arial"/>
              </w:rPr>
              <w:t>324</w:t>
            </w:r>
          </w:p>
        </w:tc>
      </w:tr>
      <w:tr w:rsidR="00D609C2" w:rsidRPr="006E764C" w14:paraId="41A7ADB1"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1EC43196" w14:textId="77777777" w:rsidR="00D609C2" w:rsidRPr="006E764C" w:rsidRDefault="00D609C2" w:rsidP="00D609C2">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67AF0D8C" w14:textId="693AEF4A" w:rsidR="00D609C2" w:rsidRPr="00D609C2" w:rsidRDefault="00D609C2" w:rsidP="00D609C2">
            <w:pPr>
              <w:jc w:val="right"/>
              <w:rPr>
                <w:rFonts w:cs="Arial"/>
              </w:rPr>
            </w:pPr>
            <w:r w:rsidRPr="00D609C2">
              <w:rPr>
                <w:rFonts w:cs="Arial"/>
              </w:rPr>
              <w:t>125</w:t>
            </w:r>
          </w:p>
        </w:tc>
      </w:tr>
      <w:tr w:rsidR="00D609C2" w:rsidRPr="006E764C" w14:paraId="33F99EAE"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58BF467A" w14:textId="77777777" w:rsidR="00D609C2" w:rsidRPr="006E764C" w:rsidRDefault="00D609C2" w:rsidP="00D609C2">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3CFF94BB" w14:textId="76863B98" w:rsidR="00D609C2" w:rsidRPr="00D609C2" w:rsidRDefault="00D609C2" w:rsidP="00D609C2">
            <w:pPr>
              <w:jc w:val="right"/>
              <w:rPr>
                <w:rFonts w:cs="Arial"/>
              </w:rPr>
            </w:pPr>
            <w:r w:rsidRPr="00D609C2">
              <w:rPr>
                <w:rFonts w:cs="Arial"/>
              </w:rPr>
              <w:t>59</w:t>
            </w:r>
          </w:p>
        </w:tc>
      </w:tr>
      <w:tr w:rsidR="00D609C2" w:rsidRPr="006E764C" w14:paraId="45ECD0AE"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0A493D66" w14:textId="77777777" w:rsidR="00D609C2" w:rsidRPr="006E764C" w:rsidRDefault="00D609C2" w:rsidP="00D609C2">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36C530C5" w14:textId="75B3524E" w:rsidR="00D609C2" w:rsidRPr="00D609C2" w:rsidRDefault="00D609C2" w:rsidP="00D609C2">
            <w:pPr>
              <w:jc w:val="right"/>
              <w:rPr>
                <w:rFonts w:cs="Arial"/>
              </w:rPr>
            </w:pPr>
            <w:r w:rsidRPr="00D609C2">
              <w:rPr>
                <w:rFonts w:cs="Arial"/>
              </w:rPr>
              <w:t>22</w:t>
            </w:r>
          </w:p>
        </w:tc>
      </w:tr>
      <w:tr w:rsidR="00D609C2" w:rsidRPr="006E764C" w14:paraId="409FDC14"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290E7842" w14:textId="77777777" w:rsidR="00D609C2" w:rsidRPr="006E764C" w:rsidRDefault="00D609C2" w:rsidP="00D609C2">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2B2835AC" w14:textId="1680C979" w:rsidR="00D609C2" w:rsidRPr="00D609C2" w:rsidRDefault="00D609C2" w:rsidP="00D609C2">
            <w:pPr>
              <w:jc w:val="right"/>
              <w:rPr>
                <w:rFonts w:cs="Arial"/>
              </w:rPr>
            </w:pPr>
            <w:r w:rsidRPr="00D609C2">
              <w:rPr>
                <w:rFonts w:cs="Arial"/>
              </w:rPr>
              <w:t>15</w:t>
            </w:r>
          </w:p>
        </w:tc>
      </w:tr>
      <w:tr w:rsidR="00D609C2" w:rsidRPr="006E764C" w14:paraId="35E08C07"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4FCAC7E0" w14:textId="77777777" w:rsidR="00D609C2" w:rsidRPr="006E764C" w:rsidRDefault="00D609C2" w:rsidP="00D609C2">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3162C9B2" w14:textId="432BFB0F" w:rsidR="00D609C2" w:rsidRPr="00D609C2" w:rsidRDefault="00D609C2" w:rsidP="00D609C2">
            <w:pPr>
              <w:jc w:val="right"/>
              <w:rPr>
                <w:rFonts w:cs="Arial"/>
              </w:rPr>
            </w:pPr>
            <w:r w:rsidRPr="00D609C2">
              <w:rPr>
                <w:rFonts w:cs="Arial"/>
              </w:rPr>
              <w:t>22</w:t>
            </w:r>
          </w:p>
        </w:tc>
      </w:tr>
      <w:tr w:rsidR="00D609C2" w:rsidRPr="006E764C" w14:paraId="6EF5EE8A" w14:textId="77777777" w:rsidTr="00A60308">
        <w:trPr>
          <w:trHeight w:val="255"/>
        </w:trPr>
        <w:tc>
          <w:tcPr>
            <w:tcW w:w="3220" w:type="dxa"/>
            <w:tcBorders>
              <w:top w:val="nil"/>
              <w:left w:val="single" w:sz="4" w:space="0" w:color="auto"/>
              <w:bottom w:val="single" w:sz="4" w:space="0" w:color="auto"/>
              <w:right w:val="single" w:sz="4" w:space="0" w:color="auto"/>
            </w:tcBorders>
            <w:noWrap/>
            <w:hideMark/>
          </w:tcPr>
          <w:p w14:paraId="0268C4A2" w14:textId="77777777" w:rsidR="00D609C2" w:rsidRPr="00645916" w:rsidRDefault="00D609C2" w:rsidP="00D609C2">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084C3766" w14:textId="29FE3B17" w:rsidR="00D609C2" w:rsidRPr="00D609C2" w:rsidRDefault="00D609C2" w:rsidP="00D609C2">
            <w:pPr>
              <w:jc w:val="right"/>
              <w:rPr>
                <w:rFonts w:cs="Arial"/>
                <w:b/>
                <w:bCs/>
              </w:rPr>
            </w:pPr>
            <w:r w:rsidRPr="00D609C2">
              <w:rPr>
                <w:rFonts w:cs="Arial"/>
                <w:b/>
                <w:bCs/>
              </w:rPr>
              <w:t>567</w:t>
            </w:r>
          </w:p>
        </w:tc>
      </w:tr>
    </w:tbl>
    <w:p w14:paraId="6BCD1497" w14:textId="77777777" w:rsidR="00D609C2" w:rsidRDefault="00D609C2" w:rsidP="00D609C2">
      <w:pPr>
        <w:ind w:left="-142" w:right="-425"/>
        <w:jc w:val="both"/>
        <w:rPr>
          <w:rFonts w:cs="Arial"/>
        </w:rPr>
      </w:pPr>
    </w:p>
    <w:p w14:paraId="5D53EAA0" w14:textId="77777777" w:rsidR="005A5B78" w:rsidRPr="00076ED0" w:rsidRDefault="005A5B78" w:rsidP="00D51DFA">
      <w:pPr>
        <w:pStyle w:val="Heading2"/>
      </w:pPr>
      <w:r w:rsidRPr="006E39F0">
        <w:t>Conferences</w:t>
      </w:r>
    </w:p>
    <w:p w14:paraId="3E20F69A" w14:textId="626DCF4F" w:rsidR="00F81024" w:rsidRDefault="00477E0E" w:rsidP="00233EAC">
      <w:pPr>
        <w:ind w:left="-142" w:right="-425"/>
        <w:jc w:val="both"/>
        <w:rPr>
          <w:rFonts w:cs="Arial"/>
        </w:rPr>
      </w:pPr>
      <w:r>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52 </w:t>
      </w:r>
      <w:r w:rsidR="00562176">
        <w:rPr>
          <w:rFonts w:cs="Arial"/>
        </w:rPr>
        <w:t xml:space="preserve">decreased from </w:t>
      </w:r>
      <w:r w:rsidR="004A25CE">
        <w:rPr>
          <w:rFonts w:cs="Arial"/>
        </w:rPr>
        <w:t xml:space="preserve">371 </w:t>
      </w:r>
      <w:r w:rsidR="00562176">
        <w:rPr>
          <w:rFonts w:cs="Arial"/>
        </w:rPr>
        <w:t xml:space="preserve">in quarter </w:t>
      </w:r>
      <w:r w:rsidR="000D0A4E">
        <w:rPr>
          <w:rFonts w:cs="Arial"/>
        </w:rPr>
        <w:t>51</w:t>
      </w:r>
      <w:r w:rsidR="00562176">
        <w:rPr>
          <w:rFonts w:cs="Arial"/>
        </w:rPr>
        <w:t xml:space="preserve"> to</w:t>
      </w:r>
      <w:r w:rsidR="00AE1804">
        <w:rPr>
          <w:rFonts w:cs="Arial"/>
        </w:rPr>
        <w:t xml:space="preserve"> </w:t>
      </w:r>
      <w:r w:rsidR="004A25CE">
        <w:rPr>
          <w:rFonts w:cs="Arial"/>
        </w:rPr>
        <w:t xml:space="preserve">365 </w:t>
      </w:r>
      <w:r w:rsidR="005A5B78" w:rsidRPr="00213E4C">
        <w:rPr>
          <w:rFonts w:cs="Arial"/>
        </w:rPr>
        <w:t>conferences</w:t>
      </w:r>
      <w:r w:rsidR="005A5B78" w:rsidRPr="0081647B">
        <w:rPr>
          <w:rStyle w:val="FootnoteReference"/>
        </w:rPr>
        <w:footnoteReference w:id="10"/>
      </w:r>
      <w:r w:rsidR="0051235F">
        <w:rPr>
          <w:rFonts w:cs="Arial"/>
        </w:rPr>
        <w:t xml:space="preserve"> </w:t>
      </w:r>
      <w:r w:rsidR="00E44EBF">
        <w:rPr>
          <w:rFonts w:cs="Arial"/>
        </w:rPr>
        <w:t>(</w:t>
      </w:r>
      <w:r w:rsidR="0051235F">
        <w:rPr>
          <w:rFonts w:cs="Arial"/>
        </w:rPr>
        <w:t xml:space="preserve">relating to </w:t>
      </w:r>
      <w:r w:rsidR="004A25CE">
        <w:rPr>
          <w:rFonts w:cs="Arial"/>
        </w:rPr>
        <w:t xml:space="preserve">289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7A7B71">
        <w:rPr>
          <w:rFonts w:cs="Arial"/>
        </w:rPr>
        <w:t>8</w:t>
      </w:r>
      <w:r w:rsidR="004A25CE">
        <w:rPr>
          <w:rFonts w:cs="Arial"/>
        </w:rPr>
        <w:t>4</w:t>
      </w:r>
      <w:r w:rsidR="007A7B71"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054E20" w:rsidRPr="006220E1">
        <w:rPr>
          <w:rFonts w:cs="Arial"/>
        </w:rPr>
        <w:t xml:space="preserve">, </w:t>
      </w:r>
      <w:r w:rsidR="007A7B71">
        <w:rPr>
          <w:rFonts w:cs="Arial"/>
        </w:rPr>
        <w:t>2</w:t>
      </w:r>
      <w:r w:rsidR="004A25CE">
        <w:rPr>
          <w:rFonts w:cs="Arial"/>
        </w:rPr>
        <w:t>9</w:t>
      </w:r>
      <w:r w:rsidR="007A7B71" w:rsidRPr="006220E1">
        <w:rPr>
          <w:rFonts w:cs="Arial"/>
        </w:rPr>
        <w:t xml:space="preserve"> </w:t>
      </w:r>
      <w:r w:rsidR="005A5B78" w:rsidRPr="006220E1">
        <w:rPr>
          <w:rFonts w:cs="Arial"/>
        </w:rPr>
        <w:t>orders to attend community support services</w:t>
      </w:r>
      <w:r w:rsidR="00C8108E" w:rsidRPr="006220E1">
        <w:rPr>
          <w:rFonts w:cs="Arial"/>
        </w:rPr>
        <w:t xml:space="preserve"> </w:t>
      </w:r>
      <w:r w:rsidR="005A5B78" w:rsidRPr="006220E1">
        <w:rPr>
          <w:rFonts w:cs="Arial"/>
        </w:rPr>
        <w:t xml:space="preserve">and </w:t>
      </w:r>
      <w:r w:rsidR="004A25CE">
        <w:rPr>
          <w:rFonts w:cs="Arial"/>
        </w:rPr>
        <w:t>25</w:t>
      </w:r>
      <w:r w:rsidR="004A25CE"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w:t>
      </w:r>
      <w:r w:rsidR="004A25CE">
        <w:rPr>
          <w:rFonts w:cs="Arial"/>
        </w:rPr>
        <w:t xml:space="preserve"> decrease </w:t>
      </w:r>
      <w:r w:rsidR="00E53D2A" w:rsidRPr="006220E1">
        <w:rPr>
          <w:rFonts w:cs="Arial"/>
        </w:rPr>
        <w:t xml:space="preserve">of </w:t>
      </w:r>
      <w:r w:rsidR="004A25CE">
        <w:rPr>
          <w:rFonts w:cs="Arial"/>
        </w:rPr>
        <w:t xml:space="preserve">5 </w:t>
      </w:r>
      <w:r w:rsidR="007727B0" w:rsidRPr="006220E1">
        <w:rPr>
          <w:rFonts w:cs="Arial"/>
        </w:rPr>
        <w:t>agreements to attend community support services</w:t>
      </w:r>
      <w:r w:rsidR="00F172D6">
        <w:rPr>
          <w:rFonts w:cs="Arial"/>
        </w:rPr>
        <w:t>, a</w:t>
      </w:r>
      <w:r w:rsidR="004A25CE">
        <w:rPr>
          <w:rFonts w:cs="Arial"/>
        </w:rPr>
        <w:t xml:space="preserve">n increase </w:t>
      </w:r>
      <w:r w:rsidR="006D359E" w:rsidRPr="006220E1">
        <w:rPr>
          <w:rFonts w:cs="Arial"/>
        </w:rPr>
        <w:t xml:space="preserve">of </w:t>
      </w:r>
      <w:r w:rsidR="004A25CE">
        <w:rPr>
          <w:rFonts w:cs="Arial"/>
        </w:rPr>
        <w:t>8</w:t>
      </w:r>
      <w:r w:rsidR="004A25CE" w:rsidRPr="006220E1">
        <w:rPr>
          <w:rFonts w:cs="Arial"/>
        </w:rPr>
        <w:t xml:space="preserve"> </w:t>
      </w:r>
      <w:r w:rsidR="0034344C" w:rsidRPr="006220E1">
        <w:rPr>
          <w:rFonts w:cs="Arial"/>
        </w:rPr>
        <w:t xml:space="preserve">orders to attend community support services </w:t>
      </w:r>
      <w:r w:rsidR="0034344C" w:rsidRPr="006220E1">
        <w:rPr>
          <w:rFonts w:cs="Arial"/>
        </w:rPr>
        <w:lastRenderedPageBreak/>
        <w:t xml:space="preserve">and </w:t>
      </w:r>
      <w:r w:rsidR="00E53D2A" w:rsidRPr="006220E1">
        <w:rPr>
          <w:rFonts w:cs="Arial"/>
        </w:rPr>
        <w:t>a</w:t>
      </w:r>
      <w:r w:rsidR="004A25CE">
        <w:rPr>
          <w:rFonts w:cs="Arial"/>
        </w:rPr>
        <w:t xml:space="preserve">n increase </w:t>
      </w:r>
      <w:r w:rsidR="006D359E" w:rsidRPr="006220E1">
        <w:rPr>
          <w:rFonts w:cs="Arial"/>
        </w:rPr>
        <w:t>of 1</w:t>
      </w:r>
      <w:r w:rsidR="004A25CE">
        <w:rPr>
          <w:rFonts w:cs="Arial"/>
        </w:rPr>
        <w:t>3</w:t>
      </w:r>
      <w:r w:rsidR="006D359E"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proofErr w:type="gramStart"/>
      <w:r w:rsidR="00352196">
        <w:rPr>
          <w:rFonts w:cs="Arial"/>
        </w:rPr>
        <w:t>a number of</w:t>
      </w:r>
      <w:proofErr w:type="gramEnd"/>
      <w:r w:rsidR="00352196">
        <w:rPr>
          <w:rFonts w:cs="Arial"/>
        </w:rPr>
        <w:t xml:space="preserve">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45FD9F42" w:rsidR="00DD1B0A" w:rsidRDefault="005645FD" w:rsidP="00233EAC">
      <w:pPr>
        <w:ind w:left="-142" w:right="-425"/>
        <w:jc w:val="both"/>
        <w:rPr>
          <w:rFonts w:cs="Arial"/>
        </w:rPr>
      </w:pPr>
      <w:r>
        <w:rPr>
          <w:rFonts w:cs="Arial"/>
        </w:rPr>
        <w:t xml:space="preserve">Other outcomes </w:t>
      </w:r>
      <w:proofErr w:type="gramStart"/>
      <w:r>
        <w:rPr>
          <w:rFonts w:cs="Arial"/>
        </w:rPr>
        <w:t>as a result of</w:t>
      </w:r>
      <w:proofErr w:type="gramEnd"/>
      <w:r>
        <w:rPr>
          <w:rFonts w:cs="Arial"/>
        </w:rPr>
        <w:t xml:space="preserve">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F81024">
        <w:rPr>
          <w:rFonts w:cs="Arial"/>
        </w:rPr>
        <w:t xml:space="preserve">and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803D0A">
        <w:t>Attendance at conference decreased from 62</w:t>
      </w:r>
      <w:r w:rsidR="00E720CE">
        <w:t xml:space="preserve"> </w:t>
      </w:r>
      <w:r w:rsidR="00FC7C1D">
        <w:rPr>
          <w:rFonts w:cs="Arial"/>
        </w:rPr>
        <w:t xml:space="preserve">percent </w:t>
      </w:r>
      <w:r w:rsidR="00803D0A">
        <w:t>in quarter 51 to 57</w:t>
      </w:r>
      <w:r w:rsidR="00E720CE">
        <w:t xml:space="preserve"> </w:t>
      </w:r>
      <w:r w:rsidR="00FC7C1D">
        <w:rPr>
          <w:rFonts w:cs="Arial"/>
        </w:rPr>
        <w:t xml:space="preserve">percent </w:t>
      </w:r>
      <w:r w:rsidR="00803D0A">
        <w:t>in quarter 52, and non-attendance with what the Commissioners considered a reasonable justification decreased from 38</w:t>
      </w:r>
      <w:r w:rsidR="00E720CE">
        <w:t xml:space="preserve"> </w:t>
      </w:r>
      <w:r w:rsidR="00FC7C1D">
        <w:rPr>
          <w:rFonts w:cs="Arial"/>
        </w:rPr>
        <w:t xml:space="preserve">percent </w:t>
      </w:r>
      <w:r w:rsidR="00803D0A">
        <w:t>in the previous quarter to 28</w:t>
      </w:r>
      <w:r w:rsidR="00E720CE">
        <w:t xml:space="preserve"> </w:t>
      </w:r>
      <w:r w:rsidR="00FC7C1D">
        <w:rPr>
          <w:rFonts w:cs="Arial"/>
        </w:rPr>
        <w:t xml:space="preserve">percent </w:t>
      </w:r>
      <w:r w:rsidR="00803D0A">
        <w:t>during this reporting period.</w:t>
      </w:r>
      <w:r w:rsidR="002534A2">
        <w:t xml:space="preserve"> Reasons for the lower than usual attendance at conference include the ongoing impacts from COVID-19, community unrest and sadly, an increase in the number of funerals</w:t>
      </w:r>
      <w:r w:rsidR="00D85A77">
        <w:t xml:space="preserve"> and associated Sorry Business</w:t>
      </w:r>
      <w:r w:rsidR="002534A2">
        <w:t xml:space="preserve"> held during the reporting period</w:t>
      </w:r>
      <w:r w:rsidR="00D85A77">
        <w:t>.</w:t>
      </w:r>
      <w:r w:rsidR="002534A2">
        <w:t xml:space="preserve"> </w:t>
      </w:r>
      <w:r w:rsidR="00CC68A9">
        <w:rPr>
          <w:rFonts w:cs="Arial"/>
        </w:rPr>
        <w:t xml:space="preserve">From the beginning of quarter </w:t>
      </w:r>
      <w:r w:rsidR="000D0A4E">
        <w:rPr>
          <w:rFonts w:cs="Arial"/>
        </w:rPr>
        <w:t>5</w:t>
      </w:r>
      <w:r w:rsidR="00D3298E">
        <w:rPr>
          <w:rFonts w:cs="Arial"/>
        </w:rPr>
        <w:t>1</w:t>
      </w:r>
      <w:r w:rsidR="00CC68A9">
        <w:rPr>
          <w:rFonts w:cs="Arial"/>
        </w:rPr>
        <w:t xml:space="preserve"> any matters that were heard under an amend/end application hearing are </w:t>
      </w:r>
      <w:r w:rsidR="00CC7341">
        <w:rPr>
          <w:rFonts w:cs="Arial"/>
        </w:rPr>
        <w:t xml:space="preserve">no longer counted in the conference statistics, instead they are recorded separately under the application </w:t>
      </w:r>
      <w:r w:rsidR="00BC2891">
        <w:rPr>
          <w:rFonts w:cs="Arial"/>
        </w:rPr>
        <w:t xml:space="preserve">outcomes </w:t>
      </w:r>
      <w:r w:rsidR="00CC7341">
        <w:rPr>
          <w:rFonts w:cs="Arial"/>
        </w:rPr>
        <w:t>section</w:t>
      </w:r>
      <w:r w:rsidR="00735F5A">
        <w:rPr>
          <w:rFonts w:cs="Arial"/>
        </w:rPr>
        <w:t>.</w:t>
      </w:r>
    </w:p>
    <w:p w14:paraId="6C2986ED" w14:textId="7510A348" w:rsidR="0051235F" w:rsidRDefault="0051235F" w:rsidP="00233EAC">
      <w:pPr>
        <w:ind w:left="-142" w:right="-425"/>
        <w:jc w:val="both"/>
        <w:rPr>
          <w:rFonts w:cs="Arial"/>
        </w:rPr>
      </w:pPr>
    </w:p>
    <w:p w14:paraId="4E00FEB0" w14:textId="5C2C9C27" w:rsidR="0078302F" w:rsidRPr="00D925BE" w:rsidRDefault="0078302F" w:rsidP="0078302F">
      <w:pPr>
        <w:spacing w:after="120" w:line="240" w:lineRule="auto"/>
        <w:ind w:right="-425"/>
        <w:jc w:val="both"/>
        <w:rPr>
          <w:b/>
          <w:sz w:val="16"/>
          <w:szCs w:val="16"/>
        </w:rPr>
      </w:pPr>
      <w:r w:rsidRPr="00D93672">
        <w:rPr>
          <w:b/>
          <w:sz w:val="16"/>
          <w:szCs w:val="16"/>
        </w:rPr>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Pr>
          <w:sz w:val="16"/>
          <w:szCs w:val="16"/>
        </w:rPr>
        <w:t>April 2020 to 30 June 2021</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78302F" w:rsidRPr="00C5395B" w14:paraId="16CA8097" w14:textId="77777777" w:rsidTr="00A60308">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17378C84" w14:textId="77777777" w:rsidR="0078302F" w:rsidRPr="00C5395B" w:rsidRDefault="0078302F" w:rsidP="0078302F">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91670FB" w14:textId="51805EBB" w:rsidR="0078302F" w:rsidRDefault="0078302F" w:rsidP="0078302F">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7CF91C87" w14:textId="713038DF" w:rsidR="0078302F" w:rsidRDefault="0078302F" w:rsidP="0078302F">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7BC874F4" w14:textId="1EB1AA9C" w:rsidR="0078302F" w:rsidRDefault="0078302F" w:rsidP="0078302F">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543BB60A" w14:textId="6E68077B" w:rsidR="0078302F" w:rsidRDefault="0078302F" w:rsidP="0078302F">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11C39226" w14:textId="6A8C7736" w:rsidR="0078302F" w:rsidRDefault="0078302F" w:rsidP="0078302F">
            <w:pPr>
              <w:pStyle w:val="TableText"/>
              <w:jc w:val="right"/>
              <w:rPr>
                <w:b/>
                <w:lang w:eastAsia="en-AU"/>
              </w:rPr>
            </w:pPr>
            <w:r>
              <w:rPr>
                <w:b/>
                <w:lang w:eastAsia="en-AU"/>
              </w:rPr>
              <w:t>Qtr 52</w:t>
            </w:r>
          </w:p>
        </w:tc>
      </w:tr>
      <w:tr w:rsidR="0078302F" w:rsidRPr="00C5395B" w14:paraId="19C51B82" w14:textId="77777777" w:rsidTr="00A60308">
        <w:trPr>
          <w:trHeight w:val="255"/>
        </w:trPr>
        <w:tc>
          <w:tcPr>
            <w:tcW w:w="2080" w:type="dxa"/>
            <w:tcBorders>
              <w:top w:val="nil"/>
              <w:left w:val="single" w:sz="4" w:space="0" w:color="auto"/>
              <w:bottom w:val="single" w:sz="4" w:space="0" w:color="auto"/>
              <w:right w:val="single" w:sz="4" w:space="0" w:color="auto"/>
            </w:tcBorders>
            <w:noWrap/>
            <w:hideMark/>
          </w:tcPr>
          <w:p w14:paraId="71B3F0F3" w14:textId="77777777" w:rsidR="0078302F" w:rsidRPr="00C5395B" w:rsidRDefault="0078302F" w:rsidP="0078302F">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F2FA127" w14:textId="524E133F" w:rsidR="0078302F" w:rsidRDefault="0078302F" w:rsidP="0078302F">
            <w:pPr>
              <w:jc w:val="right"/>
              <w:rPr>
                <w:rFonts w:cs="Arial"/>
              </w:rPr>
            </w:pPr>
            <w:r w:rsidRPr="00B8398E">
              <w:rPr>
                <w:rFonts w:cs="Arial"/>
              </w:rPr>
              <w:t>163</w:t>
            </w:r>
          </w:p>
        </w:tc>
        <w:tc>
          <w:tcPr>
            <w:tcW w:w="960" w:type="dxa"/>
            <w:tcBorders>
              <w:top w:val="nil"/>
              <w:left w:val="nil"/>
              <w:bottom w:val="single" w:sz="4" w:space="0" w:color="auto"/>
              <w:right w:val="single" w:sz="4" w:space="0" w:color="auto"/>
            </w:tcBorders>
          </w:tcPr>
          <w:p w14:paraId="014606D9" w14:textId="34B37A29" w:rsidR="0078302F" w:rsidRDefault="0078302F" w:rsidP="0078302F">
            <w:pPr>
              <w:jc w:val="right"/>
              <w:rPr>
                <w:rFonts w:cs="Arial"/>
              </w:rPr>
            </w:pPr>
            <w:r w:rsidRPr="00507B51">
              <w:rPr>
                <w:rFonts w:cs="Arial"/>
              </w:rPr>
              <w:t>140</w:t>
            </w:r>
          </w:p>
        </w:tc>
        <w:tc>
          <w:tcPr>
            <w:tcW w:w="960" w:type="dxa"/>
            <w:tcBorders>
              <w:top w:val="nil"/>
              <w:left w:val="nil"/>
              <w:bottom w:val="single" w:sz="4" w:space="0" w:color="auto"/>
              <w:right w:val="single" w:sz="4" w:space="0" w:color="auto"/>
            </w:tcBorders>
            <w:vAlign w:val="bottom"/>
          </w:tcPr>
          <w:p w14:paraId="768176B7" w14:textId="2AD9ECCE" w:rsidR="0078302F" w:rsidRDefault="0078302F" w:rsidP="0078302F">
            <w:pPr>
              <w:jc w:val="right"/>
              <w:rPr>
                <w:rFonts w:cs="Arial"/>
              </w:rPr>
            </w:pPr>
            <w:r w:rsidRPr="002D275B">
              <w:rPr>
                <w:rFonts w:cs="Arial"/>
              </w:rPr>
              <w:t>212</w:t>
            </w:r>
          </w:p>
        </w:tc>
        <w:tc>
          <w:tcPr>
            <w:tcW w:w="960" w:type="dxa"/>
            <w:tcBorders>
              <w:top w:val="nil"/>
              <w:left w:val="nil"/>
              <w:bottom w:val="single" w:sz="4" w:space="0" w:color="auto"/>
              <w:right w:val="single" w:sz="4" w:space="0" w:color="auto"/>
            </w:tcBorders>
            <w:vAlign w:val="bottom"/>
          </w:tcPr>
          <w:p w14:paraId="5FB43A0C" w14:textId="13CE811A" w:rsidR="0078302F" w:rsidRPr="00B8398E" w:rsidRDefault="0078302F" w:rsidP="0078302F">
            <w:pPr>
              <w:jc w:val="right"/>
              <w:rPr>
                <w:rFonts w:cs="Arial"/>
              </w:rPr>
            </w:pPr>
            <w:r w:rsidRPr="00F832E3">
              <w:rPr>
                <w:rFonts w:cs="Arial"/>
              </w:rPr>
              <w:t>145</w:t>
            </w:r>
          </w:p>
        </w:tc>
        <w:tc>
          <w:tcPr>
            <w:tcW w:w="960" w:type="dxa"/>
            <w:tcBorders>
              <w:top w:val="nil"/>
              <w:left w:val="nil"/>
              <w:bottom w:val="single" w:sz="4" w:space="0" w:color="auto"/>
              <w:right w:val="single" w:sz="4" w:space="0" w:color="auto"/>
            </w:tcBorders>
          </w:tcPr>
          <w:p w14:paraId="2023D593" w14:textId="36821DCB" w:rsidR="0078302F" w:rsidRPr="0078302F" w:rsidRDefault="0078302F" w:rsidP="0078302F">
            <w:pPr>
              <w:jc w:val="right"/>
              <w:rPr>
                <w:rFonts w:cs="Arial"/>
              </w:rPr>
            </w:pPr>
            <w:r w:rsidRPr="0078302F">
              <w:rPr>
                <w:rFonts w:cs="Arial"/>
              </w:rPr>
              <w:t>145</w:t>
            </w:r>
          </w:p>
        </w:tc>
      </w:tr>
      <w:tr w:rsidR="0078302F" w:rsidRPr="00C5395B" w14:paraId="4CE7853F" w14:textId="77777777" w:rsidTr="00A60308">
        <w:trPr>
          <w:trHeight w:val="255"/>
        </w:trPr>
        <w:tc>
          <w:tcPr>
            <w:tcW w:w="2080" w:type="dxa"/>
            <w:tcBorders>
              <w:top w:val="nil"/>
              <w:left w:val="single" w:sz="4" w:space="0" w:color="auto"/>
              <w:bottom w:val="single" w:sz="4" w:space="0" w:color="auto"/>
              <w:right w:val="single" w:sz="4" w:space="0" w:color="auto"/>
            </w:tcBorders>
            <w:noWrap/>
            <w:hideMark/>
          </w:tcPr>
          <w:p w14:paraId="39BCF90F" w14:textId="77777777" w:rsidR="0078302F" w:rsidRPr="00C5395B" w:rsidRDefault="0078302F" w:rsidP="0078302F">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1AB7C15" w14:textId="270B1D36" w:rsidR="0078302F" w:rsidRDefault="0078302F" w:rsidP="0078302F">
            <w:pPr>
              <w:jc w:val="right"/>
              <w:rPr>
                <w:rFonts w:cs="Arial"/>
              </w:rPr>
            </w:pPr>
            <w:r w:rsidRPr="00B8398E">
              <w:rPr>
                <w:rFonts w:cs="Arial"/>
              </w:rPr>
              <w:t>34</w:t>
            </w:r>
          </w:p>
        </w:tc>
        <w:tc>
          <w:tcPr>
            <w:tcW w:w="960" w:type="dxa"/>
            <w:tcBorders>
              <w:top w:val="nil"/>
              <w:left w:val="nil"/>
              <w:bottom w:val="single" w:sz="4" w:space="0" w:color="auto"/>
              <w:right w:val="single" w:sz="4" w:space="0" w:color="auto"/>
            </w:tcBorders>
          </w:tcPr>
          <w:p w14:paraId="4AC3FDFB" w14:textId="0A7AC503" w:rsidR="0078302F" w:rsidRDefault="0078302F" w:rsidP="0078302F">
            <w:pPr>
              <w:jc w:val="right"/>
              <w:rPr>
                <w:rFonts w:cs="Arial"/>
              </w:rPr>
            </w:pPr>
            <w:r w:rsidRPr="00507B51">
              <w:rPr>
                <w:rFonts w:cs="Arial"/>
              </w:rPr>
              <w:t>15</w:t>
            </w:r>
          </w:p>
        </w:tc>
        <w:tc>
          <w:tcPr>
            <w:tcW w:w="960" w:type="dxa"/>
            <w:tcBorders>
              <w:top w:val="nil"/>
              <w:left w:val="nil"/>
              <w:bottom w:val="single" w:sz="4" w:space="0" w:color="auto"/>
              <w:right w:val="single" w:sz="4" w:space="0" w:color="auto"/>
            </w:tcBorders>
            <w:vAlign w:val="bottom"/>
          </w:tcPr>
          <w:p w14:paraId="5BF3638B" w14:textId="392FA0B2" w:rsidR="0078302F" w:rsidRDefault="0078302F" w:rsidP="0078302F">
            <w:pPr>
              <w:jc w:val="right"/>
              <w:rPr>
                <w:rFonts w:cs="Arial"/>
              </w:rPr>
            </w:pPr>
            <w:r w:rsidRPr="002D275B">
              <w:rPr>
                <w:rFonts w:cs="Arial"/>
              </w:rPr>
              <w:t>19</w:t>
            </w:r>
          </w:p>
        </w:tc>
        <w:tc>
          <w:tcPr>
            <w:tcW w:w="960" w:type="dxa"/>
            <w:tcBorders>
              <w:top w:val="nil"/>
              <w:left w:val="nil"/>
              <w:bottom w:val="single" w:sz="4" w:space="0" w:color="auto"/>
              <w:right w:val="single" w:sz="4" w:space="0" w:color="auto"/>
            </w:tcBorders>
            <w:vAlign w:val="bottom"/>
          </w:tcPr>
          <w:p w14:paraId="233EB1C6" w14:textId="4623B1B1" w:rsidR="0078302F" w:rsidRPr="00B8398E" w:rsidRDefault="0078302F" w:rsidP="0078302F">
            <w:pPr>
              <w:jc w:val="right"/>
              <w:rPr>
                <w:rFonts w:cs="Arial"/>
              </w:rPr>
            </w:pPr>
            <w:r w:rsidRPr="00F832E3">
              <w:rPr>
                <w:rFonts w:cs="Arial"/>
              </w:rPr>
              <w:t>9</w:t>
            </w:r>
          </w:p>
        </w:tc>
        <w:tc>
          <w:tcPr>
            <w:tcW w:w="960" w:type="dxa"/>
            <w:tcBorders>
              <w:top w:val="nil"/>
              <w:left w:val="nil"/>
              <w:bottom w:val="single" w:sz="4" w:space="0" w:color="auto"/>
              <w:right w:val="single" w:sz="4" w:space="0" w:color="auto"/>
            </w:tcBorders>
          </w:tcPr>
          <w:p w14:paraId="3736D072" w14:textId="644F264D" w:rsidR="0078302F" w:rsidRPr="0078302F" w:rsidRDefault="0078302F" w:rsidP="0078302F">
            <w:pPr>
              <w:jc w:val="right"/>
              <w:rPr>
                <w:rFonts w:cs="Arial"/>
              </w:rPr>
            </w:pPr>
            <w:r w:rsidRPr="0078302F">
              <w:rPr>
                <w:rFonts w:cs="Arial"/>
              </w:rPr>
              <w:t>26</w:t>
            </w:r>
          </w:p>
        </w:tc>
      </w:tr>
      <w:tr w:rsidR="0078302F" w:rsidRPr="00C5395B" w14:paraId="1798B697" w14:textId="77777777" w:rsidTr="00A60308">
        <w:trPr>
          <w:trHeight w:val="255"/>
        </w:trPr>
        <w:tc>
          <w:tcPr>
            <w:tcW w:w="2080" w:type="dxa"/>
            <w:tcBorders>
              <w:top w:val="nil"/>
              <w:left w:val="single" w:sz="4" w:space="0" w:color="auto"/>
              <w:bottom w:val="single" w:sz="4" w:space="0" w:color="auto"/>
              <w:right w:val="single" w:sz="4" w:space="0" w:color="auto"/>
            </w:tcBorders>
            <w:noWrap/>
          </w:tcPr>
          <w:p w14:paraId="68EFA7F0" w14:textId="77777777" w:rsidR="0078302F" w:rsidRPr="00C5395B" w:rsidRDefault="0078302F" w:rsidP="0078302F">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4D0A8B29" w14:textId="492B2895" w:rsidR="0078302F" w:rsidRDefault="0078302F" w:rsidP="0078302F">
            <w:pPr>
              <w:jc w:val="right"/>
              <w:rPr>
                <w:rFonts w:cs="Arial"/>
              </w:rPr>
            </w:pPr>
            <w:r w:rsidRPr="00B8398E">
              <w:rPr>
                <w:rFonts w:cs="Arial"/>
              </w:rPr>
              <w:t>129</w:t>
            </w:r>
          </w:p>
        </w:tc>
        <w:tc>
          <w:tcPr>
            <w:tcW w:w="960" w:type="dxa"/>
            <w:tcBorders>
              <w:top w:val="nil"/>
              <w:left w:val="nil"/>
              <w:bottom w:val="single" w:sz="4" w:space="0" w:color="auto"/>
              <w:right w:val="single" w:sz="4" w:space="0" w:color="auto"/>
            </w:tcBorders>
          </w:tcPr>
          <w:p w14:paraId="28899018" w14:textId="54D8965F" w:rsidR="0078302F" w:rsidRDefault="0078302F" w:rsidP="0078302F">
            <w:pPr>
              <w:jc w:val="right"/>
              <w:rPr>
                <w:rFonts w:cs="Arial"/>
              </w:rPr>
            </w:pPr>
            <w:r w:rsidRPr="00507B51">
              <w:rPr>
                <w:rFonts w:cs="Arial"/>
              </w:rPr>
              <w:t>101</w:t>
            </w:r>
          </w:p>
        </w:tc>
        <w:tc>
          <w:tcPr>
            <w:tcW w:w="960" w:type="dxa"/>
            <w:tcBorders>
              <w:top w:val="nil"/>
              <w:left w:val="nil"/>
              <w:bottom w:val="single" w:sz="4" w:space="0" w:color="auto"/>
              <w:right w:val="single" w:sz="4" w:space="0" w:color="auto"/>
            </w:tcBorders>
            <w:vAlign w:val="bottom"/>
          </w:tcPr>
          <w:p w14:paraId="4069A749" w14:textId="697C814B" w:rsidR="0078302F" w:rsidRDefault="0078302F" w:rsidP="0078302F">
            <w:pPr>
              <w:jc w:val="right"/>
              <w:rPr>
                <w:rFonts w:cs="Arial"/>
              </w:rPr>
            </w:pPr>
            <w:r w:rsidRPr="002D275B">
              <w:rPr>
                <w:rFonts w:cs="Arial"/>
              </w:rPr>
              <w:t>117</w:t>
            </w:r>
          </w:p>
        </w:tc>
        <w:tc>
          <w:tcPr>
            <w:tcW w:w="960" w:type="dxa"/>
            <w:tcBorders>
              <w:top w:val="nil"/>
              <w:left w:val="nil"/>
              <w:bottom w:val="single" w:sz="4" w:space="0" w:color="auto"/>
              <w:right w:val="single" w:sz="4" w:space="0" w:color="auto"/>
            </w:tcBorders>
            <w:vAlign w:val="bottom"/>
          </w:tcPr>
          <w:p w14:paraId="304368B2" w14:textId="07DECC20" w:rsidR="0078302F" w:rsidRPr="00B8398E" w:rsidRDefault="0078302F" w:rsidP="0078302F">
            <w:pPr>
              <w:jc w:val="right"/>
              <w:rPr>
                <w:rFonts w:cs="Arial"/>
              </w:rPr>
            </w:pPr>
            <w:r w:rsidRPr="00F832E3">
              <w:rPr>
                <w:rFonts w:cs="Arial"/>
              </w:rPr>
              <w:t>117</w:t>
            </w:r>
          </w:p>
        </w:tc>
        <w:tc>
          <w:tcPr>
            <w:tcW w:w="960" w:type="dxa"/>
            <w:tcBorders>
              <w:top w:val="nil"/>
              <w:left w:val="nil"/>
              <w:bottom w:val="single" w:sz="4" w:space="0" w:color="auto"/>
              <w:right w:val="single" w:sz="4" w:space="0" w:color="auto"/>
            </w:tcBorders>
          </w:tcPr>
          <w:p w14:paraId="251451F4" w14:textId="1F5F6E0B" w:rsidR="0078302F" w:rsidRPr="0078302F" w:rsidRDefault="0078302F" w:rsidP="0078302F">
            <w:pPr>
              <w:jc w:val="right"/>
              <w:rPr>
                <w:rFonts w:cs="Arial"/>
              </w:rPr>
            </w:pPr>
            <w:r w:rsidRPr="0078302F">
              <w:rPr>
                <w:rFonts w:cs="Arial"/>
              </w:rPr>
              <w:t>93</w:t>
            </w:r>
          </w:p>
        </w:tc>
      </w:tr>
      <w:tr w:rsidR="0078302F" w:rsidRPr="00C5395B" w14:paraId="2C974668" w14:textId="77777777" w:rsidTr="00A60308">
        <w:trPr>
          <w:trHeight w:val="255"/>
        </w:trPr>
        <w:tc>
          <w:tcPr>
            <w:tcW w:w="2080" w:type="dxa"/>
            <w:tcBorders>
              <w:top w:val="nil"/>
              <w:left w:val="single" w:sz="4" w:space="0" w:color="auto"/>
              <w:bottom w:val="single" w:sz="4" w:space="0" w:color="auto"/>
              <w:right w:val="single" w:sz="4" w:space="0" w:color="auto"/>
            </w:tcBorders>
            <w:noWrap/>
            <w:hideMark/>
          </w:tcPr>
          <w:p w14:paraId="58A17421" w14:textId="77777777" w:rsidR="0078302F" w:rsidRPr="00C5395B" w:rsidRDefault="0078302F" w:rsidP="0078302F">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4F0F572" w14:textId="6AC6E3F9" w:rsidR="0078302F" w:rsidRDefault="0078302F" w:rsidP="0078302F">
            <w:pPr>
              <w:jc w:val="right"/>
              <w:rPr>
                <w:rFonts w:cs="Arial"/>
              </w:rPr>
            </w:pPr>
            <w:r w:rsidRPr="00B8398E">
              <w:rPr>
                <w:rFonts w:cs="Arial"/>
              </w:rPr>
              <w:t>71</w:t>
            </w:r>
          </w:p>
        </w:tc>
        <w:tc>
          <w:tcPr>
            <w:tcW w:w="960" w:type="dxa"/>
            <w:tcBorders>
              <w:top w:val="nil"/>
              <w:left w:val="nil"/>
              <w:bottom w:val="single" w:sz="4" w:space="0" w:color="auto"/>
              <w:right w:val="single" w:sz="4" w:space="0" w:color="auto"/>
            </w:tcBorders>
          </w:tcPr>
          <w:p w14:paraId="6B04FFFC" w14:textId="7AEA48B6" w:rsidR="0078302F" w:rsidRDefault="0078302F" w:rsidP="0078302F">
            <w:pPr>
              <w:jc w:val="right"/>
              <w:rPr>
                <w:rFonts w:cs="Arial"/>
              </w:rPr>
            </w:pPr>
            <w:r w:rsidRPr="00507B51">
              <w:rPr>
                <w:rFonts w:cs="Arial"/>
              </w:rPr>
              <w:t>57</w:t>
            </w:r>
          </w:p>
        </w:tc>
        <w:tc>
          <w:tcPr>
            <w:tcW w:w="960" w:type="dxa"/>
            <w:tcBorders>
              <w:top w:val="nil"/>
              <w:left w:val="nil"/>
              <w:bottom w:val="single" w:sz="4" w:space="0" w:color="auto"/>
              <w:right w:val="single" w:sz="4" w:space="0" w:color="auto"/>
            </w:tcBorders>
            <w:vAlign w:val="bottom"/>
          </w:tcPr>
          <w:p w14:paraId="39DD6421" w14:textId="21D1ED37" w:rsidR="0078302F" w:rsidRDefault="0078302F" w:rsidP="0078302F">
            <w:pPr>
              <w:jc w:val="right"/>
              <w:rPr>
                <w:rFonts w:cs="Arial"/>
              </w:rPr>
            </w:pPr>
            <w:r w:rsidRPr="002D275B">
              <w:rPr>
                <w:rFonts w:cs="Arial"/>
              </w:rPr>
              <w:t>56</w:t>
            </w:r>
          </w:p>
        </w:tc>
        <w:tc>
          <w:tcPr>
            <w:tcW w:w="960" w:type="dxa"/>
            <w:tcBorders>
              <w:top w:val="nil"/>
              <w:left w:val="nil"/>
              <w:bottom w:val="single" w:sz="4" w:space="0" w:color="auto"/>
              <w:right w:val="single" w:sz="4" w:space="0" w:color="auto"/>
            </w:tcBorders>
            <w:vAlign w:val="bottom"/>
          </w:tcPr>
          <w:p w14:paraId="7D5709F2" w14:textId="6B34D1B3" w:rsidR="0078302F" w:rsidRPr="00B8398E" w:rsidRDefault="0078302F" w:rsidP="0078302F">
            <w:pPr>
              <w:jc w:val="right"/>
              <w:rPr>
                <w:rFonts w:cs="Arial"/>
              </w:rPr>
            </w:pPr>
            <w:r w:rsidRPr="00F832E3">
              <w:rPr>
                <w:rFonts w:cs="Arial"/>
              </w:rPr>
              <w:t>74</w:t>
            </w:r>
          </w:p>
        </w:tc>
        <w:tc>
          <w:tcPr>
            <w:tcW w:w="960" w:type="dxa"/>
            <w:tcBorders>
              <w:top w:val="nil"/>
              <w:left w:val="nil"/>
              <w:bottom w:val="single" w:sz="4" w:space="0" w:color="auto"/>
              <w:right w:val="single" w:sz="4" w:space="0" w:color="auto"/>
            </w:tcBorders>
          </w:tcPr>
          <w:p w14:paraId="0F257F74" w14:textId="3BF600DE" w:rsidR="0078302F" w:rsidRPr="0078302F" w:rsidRDefault="0078302F" w:rsidP="0078302F">
            <w:pPr>
              <w:jc w:val="right"/>
              <w:rPr>
                <w:rFonts w:cs="Arial"/>
              </w:rPr>
            </w:pPr>
            <w:r w:rsidRPr="0078302F">
              <w:rPr>
                <w:rFonts w:cs="Arial"/>
              </w:rPr>
              <w:t>60</w:t>
            </w:r>
          </w:p>
        </w:tc>
      </w:tr>
      <w:tr w:rsidR="0078302F" w:rsidRPr="00C5395B" w14:paraId="3D14DE38" w14:textId="77777777" w:rsidTr="00A60308">
        <w:trPr>
          <w:trHeight w:val="255"/>
        </w:trPr>
        <w:tc>
          <w:tcPr>
            <w:tcW w:w="2080" w:type="dxa"/>
            <w:tcBorders>
              <w:top w:val="nil"/>
              <w:left w:val="single" w:sz="4" w:space="0" w:color="auto"/>
              <w:bottom w:val="single" w:sz="4" w:space="0" w:color="auto"/>
              <w:right w:val="single" w:sz="4" w:space="0" w:color="auto"/>
            </w:tcBorders>
            <w:noWrap/>
            <w:hideMark/>
          </w:tcPr>
          <w:p w14:paraId="4274BF46" w14:textId="77777777" w:rsidR="0078302F" w:rsidRPr="00C5395B" w:rsidRDefault="0078302F" w:rsidP="0078302F">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3DAC2D0" w14:textId="778B3875" w:rsidR="0078302F" w:rsidRDefault="0078302F" w:rsidP="0078302F">
            <w:pPr>
              <w:jc w:val="right"/>
              <w:rPr>
                <w:rFonts w:cs="Arial"/>
              </w:rPr>
            </w:pPr>
            <w:r w:rsidRPr="00B8398E">
              <w:rPr>
                <w:rFonts w:cs="Arial"/>
              </w:rPr>
              <w:t>42</w:t>
            </w:r>
          </w:p>
        </w:tc>
        <w:tc>
          <w:tcPr>
            <w:tcW w:w="960" w:type="dxa"/>
            <w:tcBorders>
              <w:top w:val="nil"/>
              <w:left w:val="nil"/>
              <w:bottom w:val="single" w:sz="4" w:space="0" w:color="auto"/>
              <w:right w:val="single" w:sz="4" w:space="0" w:color="auto"/>
            </w:tcBorders>
          </w:tcPr>
          <w:p w14:paraId="4A706BFF" w14:textId="678F8EAC" w:rsidR="0078302F" w:rsidRDefault="0078302F" w:rsidP="0078302F">
            <w:pPr>
              <w:jc w:val="right"/>
              <w:rPr>
                <w:rFonts w:cs="Arial"/>
              </w:rPr>
            </w:pPr>
            <w:r w:rsidRPr="00507B51">
              <w:rPr>
                <w:rFonts w:cs="Arial"/>
              </w:rPr>
              <w:t>18</w:t>
            </w:r>
          </w:p>
        </w:tc>
        <w:tc>
          <w:tcPr>
            <w:tcW w:w="960" w:type="dxa"/>
            <w:tcBorders>
              <w:top w:val="nil"/>
              <w:left w:val="nil"/>
              <w:bottom w:val="single" w:sz="4" w:space="0" w:color="auto"/>
              <w:right w:val="single" w:sz="4" w:space="0" w:color="auto"/>
            </w:tcBorders>
            <w:vAlign w:val="bottom"/>
          </w:tcPr>
          <w:p w14:paraId="55EBE596" w14:textId="746D5D4B" w:rsidR="0078302F" w:rsidRDefault="0078302F" w:rsidP="0078302F">
            <w:pPr>
              <w:jc w:val="right"/>
              <w:rPr>
                <w:rFonts w:cs="Arial"/>
              </w:rPr>
            </w:pPr>
            <w:r w:rsidRPr="002D275B">
              <w:rPr>
                <w:rFonts w:cs="Arial"/>
              </w:rPr>
              <w:t>20</w:t>
            </w:r>
          </w:p>
        </w:tc>
        <w:tc>
          <w:tcPr>
            <w:tcW w:w="960" w:type="dxa"/>
            <w:tcBorders>
              <w:top w:val="nil"/>
              <w:left w:val="nil"/>
              <w:bottom w:val="single" w:sz="4" w:space="0" w:color="auto"/>
              <w:right w:val="single" w:sz="4" w:space="0" w:color="auto"/>
            </w:tcBorders>
            <w:vAlign w:val="bottom"/>
          </w:tcPr>
          <w:p w14:paraId="55D37E10" w14:textId="1284C95D" w:rsidR="0078302F" w:rsidRPr="00B8398E" w:rsidRDefault="0078302F" w:rsidP="0078302F">
            <w:pPr>
              <w:jc w:val="right"/>
              <w:rPr>
                <w:rFonts w:cs="Arial"/>
              </w:rPr>
            </w:pPr>
            <w:r w:rsidRPr="00F832E3">
              <w:rPr>
                <w:rFonts w:cs="Arial"/>
              </w:rPr>
              <w:t>26</w:t>
            </w:r>
          </w:p>
        </w:tc>
        <w:tc>
          <w:tcPr>
            <w:tcW w:w="960" w:type="dxa"/>
            <w:tcBorders>
              <w:top w:val="nil"/>
              <w:left w:val="nil"/>
              <w:bottom w:val="single" w:sz="4" w:space="0" w:color="auto"/>
              <w:right w:val="single" w:sz="4" w:space="0" w:color="auto"/>
            </w:tcBorders>
          </w:tcPr>
          <w:p w14:paraId="2D980C19" w14:textId="034CCC2D" w:rsidR="0078302F" w:rsidRPr="0078302F" w:rsidRDefault="0078302F" w:rsidP="0078302F">
            <w:pPr>
              <w:jc w:val="right"/>
              <w:rPr>
                <w:rFonts w:cs="Arial"/>
              </w:rPr>
            </w:pPr>
            <w:r w:rsidRPr="0078302F">
              <w:rPr>
                <w:rFonts w:cs="Arial"/>
              </w:rPr>
              <w:t>41</w:t>
            </w:r>
          </w:p>
        </w:tc>
      </w:tr>
      <w:tr w:rsidR="0078302F" w:rsidRPr="00C5395B" w14:paraId="3EAF6D11" w14:textId="77777777" w:rsidTr="00A60308">
        <w:trPr>
          <w:trHeight w:val="255"/>
        </w:trPr>
        <w:tc>
          <w:tcPr>
            <w:tcW w:w="2080" w:type="dxa"/>
            <w:tcBorders>
              <w:top w:val="nil"/>
              <w:left w:val="single" w:sz="4" w:space="0" w:color="auto"/>
              <w:bottom w:val="single" w:sz="4" w:space="0" w:color="auto"/>
              <w:right w:val="single" w:sz="4" w:space="0" w:color="auto"/>
            </w:tcBorders>
            <w:noWrap/>
            <w:hideMark/>
          </w:tcPr>
          <w:p w14:paraId="649DDA97" w14:textId="77777777" w:rsidR="0078302F" w:rsidRPr="00C5395B" w:rsidRDefault="0078302F" w:rsidP="0078302F">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6D7C14D" w14:textId="7251FBDD" w:rsidR="0078302F" w:rsidRDefault="0078302F" w:rsidP="0078302F">
            <w:pPr>
              <w:jc w:val="right"/>
              <w:rPr>
                <w:rFonts w:cs="Arial"/>
                <w:b/>
                <w:bCs/>
              </w:rPr>
            </w:pPr>
            <w:r w:rsidRPr="00B8398E">
              <w:rPr>
                <w:rFonts w:cs="Arial"/>
                <w:b/>
                <w:bCs/>
              </w:rPr>
              <w:t>439</w:t>
            </w:r>
          </w:p>
        </w:tc>
        <w:tc>
          <w:tcPr>
            <w:tcW w:w="960" w:type="dxa"/>
            <w:tcBorders>
              <w:top w:val="nil"/>
              <w:left w:val="nil"/>
              <w:bottom w:val="single" w:sz="4" w:space="0" w:color="auto"/>
              <w:right w:val="single" w:sz="4" w:space="0" w:color="auto"/>
            </w:tcBorders>
          </w:tcPr>
          <w:p w14:paraId="6E1F76C5" w14:textId="5C8699AE" w:rsidR="0078302F" w:rsidRDefault="0078302F" w:rsidP="0078302F">
            <w:pPr>
              <w:jc w:val="right"/>
              <w:rPr>
                <w:rFonts w:cs="Arial"/>
                <w:b/>
                <w:bCs/>
              </w:rPr>
            </w:pPr>
            <w:r w:rsidRPr="00507B51">
              <w:rPr>
                <w:rFonts w:cs="Arial"/>
                <w:b/>
                <w:bCs/>
              </w:rPr>
              <w:t>331</w:t>
            </w:r>
          </w:p>
        </w:tc>
        <w:tc>
          <w:tcPr>
            <w:tcW w:w="960" w:type="dxa"/>
            <w:tcBorders>
              <w:top w:val="nil"/>
              <w:left w:val="nil"/>
              <w:bottom w:val="single" w:sz="4" w:space="0" w:color="auto"/>
              <w:right w:val="single" w:sz="4" w:space="0" w:color="auto"/>
            </w:tcBorders>
            <w:vAlign w:val="bottom"/>
          </w:tcPr>
          <w:p w14:paraId="481C4E90" w14:textId="6FE66623" w:rsidR="0078302F" w:rsidRDefault="0078302F" w:rsidP="0078302F">
            <w:pPr>
              <w:jc w:val="right"/>
              <w:rPr>
                <w:rFonts w:cs="Arial"/>
                <w:b/>
                <w:bCs/>
              </w:rPr>
            </w:pPr>
            <w:r w:rsidRPr="002D275B">
              <w:rPr>
                <w:rFonts w:cs="Arial"/>
                <w:b/>
                <w:bCs/>
              </w:rPr>
              <w:t>424</w:t>
            </w:r>
          </w:p>
        </w:tc>
        <w:tc>
          <w:tcPr>
            <w:tcW w:w="960" w:type="dxa"/>
            <w:tcBorders>
              <w:top w:val="nil"/>
              <w:left w:val="nil"/>
              <w:bottom w:val="single" w:sz="4" w:space="0" w:color="auto"/>
              <w:right w:val="single" w:sz="4" w:space="0" w:color="auto"/>
            </w:tcBorders>
            <w:vAlign w:val="bottom"/>
          </w:tcPr>
          <w:p w14:paraId="00FED2D7" w14:textId="30F7360F" w:rsidR="0078302F" w:rsidRPr="00B8398E" w:rsidRDefault="0078302F" w:rsidP="0078302F">
            <w:pPr>
              <w:jc w:val="right"/>
              <w:rPr>
                <w:rFonts w:cs="Arial"/>
                <w:b/>
                <w:bCs/>
              </w:rPr>
            </w:pPr>
            <w:r w:rsidRPr="00F832E3">
              <w:rPr>
                <w:rFonts w:cs="Arial"/>
                <w:b/>
                <w:bCs/>
              </w:rPr>
              <w:t>371</w:t>
            </w:r>
          </w:p>
        </w:tc>
        <w:tc>
          <w:tcPr>
            <w:tcW w:w="960" w:type="dxa"/>
            <w:tcBorders>
              <w:top w:val="nil"/>
              <w:left w:val="nil"/>
              <w:bottom w:val="single" w:sz="4" w:space="0" w:color="auto"/>
              <w:right w:val="single" w:sz="4" w:space="0" w:color="auto"/>
            </w:tcBorders>
          </w:tcPr>
          <w:p w14:paraId="4AEB447E" w14:textId="50EDB4B5" w:rsidR="0078302F" w:rsidRPr="0078302F" w:rsidRDefault="0078302F" w:rsidP="0078302F">
            <w:pPr>
              <w:jc w:val="right"/>
              <w:rPr>
                <w:rFonts w:cs="Arial"/>
                <w:b/>
                <w:bCs/>
              </w:rPr>
            </w:pPr>
            <w:r w:rsidRPr="0078302F">
              <w:rPr>
                <w:rFonts w:cs="Arial"/>
                <w:b/>
                <w:bCs/>
              </w:rPr>
              <w:t>365</w:t>
            </w:r>
          </w:p>
        </w:tc>
      </w:tr>
    </w:tbl>
    <w:p w14:paraId="6AF7FB91" w14:textId="77777777" w:rsidR="0078302F" w:rsidRPr="001B31E3" w:rsidRDefault="0078302F" w:rsidP="0078302F">
      <w:pPr>
        <w:ind w:left="-142" w:right="-425"/>
        <w:jc w:val="both"/>
        <w:rPr>
          <w:rFonts w:cs="Arial"/>
        </w:rPr>
      </w:pPr>
    </w:p>
    <w:p w14:paraId="1BB531F5" w14:textId="77777777" w:rsidR="00DD1B0A" w:rsidRPr="006524B7" w:rsidRDefault="00DD1B0A" w:rsidP="00D51DFA">
      <w:pPr>
        <w:pStyle w:val="Heading2"/>
      </w:pPr>
      <w:r w:rsidRPr="006524B7">
        <w:t>Conferences for Domestic Violence</w:t>
      </w:r>
      <w:r w:rsidR="00970A79" w:rsidRPr="006524B7">
        <w:t xml:space="preserve"> related matters</w:t>
      </w:r>
    </w:p>
    <w:p w14:paraId="114A4DF6" w14:textId="20FC386F" w:rsidR="00DD1B0A" w:rsidRDefault="00AE1804" w:rsidP="006524B7">
      <w:pPr>
        <w:ind w:left="-142" w:right="-425"/>
        <w:jc w:val="both"/>
        <w:rPr>
          <w:rFonts w:cs="Arial"/>
        </w:rPr>
      </w:pPr>
      <w:r>
        <w:rPr>
          <w:rFonts w:cs="Arial"/>
        </w:rPr>
        <w:t xml:space="preserve">As a subset of the total number of conferences conducted for the quarter, </w:t>
      </w:r>
      <w:r w:rsidR="003E57DB">
        <w:rPr>
          <w:rFonts w:cs="Arial"/>
        </w:rPr>
        <w:t>54</w:t>
      </w:r>
      <w:r w:rsidR="003E57DB"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3E57DB">
        <w:rPr>
          <w:rFonts w:cs="Arial"/>
        </w:rPr>
        <w:t xml:space="preserve"> decrease</w:t>
      </w:r>
      <w:r w:rsidR="00CA7D8F">
        <w:rPr>
          <w:rFonts w:cs="Arial"/>
        </w:rPr>
        <w:t xml:space="preserve"> </w:t>
      </w:r>
      <w:r w:rsidR="007A156D" w:rsidRPr="006524B7">
        <w:rPr>
          <w:rFonts w:cs="Arial"/>
        </w:rPr>
        <w:t xml:space="preserve">of </w:t>
      </w:r>
      <w:r w:rsidR="00BD0AB2">
        <w:rPr>
          <w:rFonts w:cs="Arial"/>
        </w:rPr>
        <w:t>1</w:t>
      </w:r>
      <w:r w:rsidR="003E57DB">
        <w:rPr>
          <w:rFonts w:cs="Arial"/>
        </w:rPr>
        <w:t>4</w:t>
      </w:r>
      <w:r w:rsidR="00BD0AB2"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FD77B7">
        <w:rPr>
          <w:rFonts w:cs="Arial"/>
        </w:rPr>
        <w:t>decreased</w:t>
      </w:r>
      <w:r w:rsidR="00FD77B7" w:rsidRPr="006524B7">
        <w:rPr>
          <w:rFonts w:cs="Arial"/>
        </w:rPr>
        <w:t xml:space="preserve"> </w:t>
      </w:r>
      <w:r w:rsidR="00AA43DD" w:rsidRPr="006524B7">
        <w:rPr>
          <w:rFonts w:cs="Arial"/>
        </w:rPr>
        <w:t xml:space="preserve">by </w:t>
      </w:r>
      <w:r w:rsidR="00BD0AB2">
        <w:rPr>
          <w:rFonts w:cs="Arial"/>
        </w:rPr>
        <w:t>1</w:t>
      </w:r>
      <w:r w:rsidR="00FD77B7">
        <w:rPr>
          <w:rFonts w:cs="Arial"/>
        </w:rPr>
        <w:t>9</w:t>
      </w:r>
      <w:r w:rsidR="00AA43DD" w:rsidRPr="006524B7">
        <w:rPr>
          <w:rFonts w:cs="Arial"/>
        </w:rPr>
        <w:t xml:space="preserve">, Coen </w:t>
      </w:r>
      <w:r w:rsidR="00FD77B7">
        <w:rPr>
          <w:rFonts w:cs="Arial"/>
        </w:rPr>
        <w:t>increased</w:t>
      </w:r>
      <w:r w:rsidR="00FD77B7" w:rsidRPr="006524B7">
        <w:rPr>
          <w:rFonts w:cs="Arial"/>
        </w:rPr>
        <w:t xml:space="preserve"> </w:t>
      </w:r>
      <w:r w:rsidR="00AA43DD" w:rsidRPr="006524B7">
        <w:rPr>
          <w:rFonts w:cs="Arial"/>
        </w:rPr>
        <w:t xml:space="preserve">by </w:t>
      </w:r>
      <w:r w:rsidR="00FD77B7">
        <w:rPr>
          <w:rFonts w:cs="Arial"/>
        </w:rPr>
        <w:t>9</w:t>
      </w:r>
      <w:r w:rsidR="001E2D68">
        <w:rPr>
          <w:rFonts w:cs="Arial"/>
        </w:rPr>
        <w:t>,</w:t>
      </w:r>
      <w:r w:rsidR="00F7181C">
        <w:rPr>
          <w:rFonts w:cs="Arial"/>
        </w:rPr>
        <w:t xml:space="preserve"> </w:t>
      </w:r>
      <w:r w:rsidR="00A524DA">
        <w:rPr>
          <w:rFonts w:cs="Arial"/>
        </w:rPr>
        <w:t>Hope Vale</w:t>
      </w:r>
      <w:r w:rsidR="001E2D68">
        <w:rPr>
          <w:rFonts w:cs="Arial"/>
        </w:rPr>
        <w:t xml:space="preserve"> decreased by 5</w:t>
      </w:r>
      <w:r w:rsidR="00A524DA">
        <w:rPr>
          <w:rFonts w:cs="Arial"/>
        </w:rPr>
        <w:t xml:space="preserve"> </w:t>
      </w:r>
      <w:r w:rsidR="00BD0AB2">
        <w:rPr>
          <w:rFonts w:cs="Arial"/>
        </w:rPr>
        <w:t xml:space="preserve">and Mossman Gorge </w:t>
      </w:r>
      <w:r w:rsidR="00B70E48">
        <w:rPr>
          <w:rFonts w:cs="Arial"/>
        </w:rPr>
        <w:t xml:space="preserve">increased </w:t>
      </w:r>
      <w:r w:rsidR="00A524DA">
        <w:rPr>
          <w:rFonts w:cs="Arial"/>
        </w:rPr>
        <w:t xml:space="preserve">by </w:t>
      </w:r>
      <w:r w:rsidR="001E2D68">
        <w:rPr>
          <w:rFonts w:cs="Arial"/>
        </w:rPr>
        <w:t>1</w:t>
      </w:r>
      <w:r w:rsidR="007A156D" w:rsidRPr="006524B7">
        <w:rPr>
          <w:rFonts w:cs="Arial"/>
        </w:rPr>
        <w:t>.</w:t>
      </w:r>
    </w:p>
    <w:p w14:paraId="2392E6C3" w14:textId="77777777" w:rsidR="00E46F27" w:rsidRDefault="00E46F27" w:rsidP="006524B7">
      <w:pPr>
        <w:ind w:left="-142" w:right="-425"/>
        <w:jc w:val="both"/>
        <w:rPr>
          <w:rFonts w:cs="Arial"/>
        </w:rPr>
      </w:pPr>
    </w:p>
    <w:p w14:paraId="5980D18E" w14:textId="25FB9B60" w:rsidR="0078302F" w:rsidRPr="00D925BE" w:rsidRDefault="0078302F" w:rsidP="0078302F">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Pr>
          <w:i w:val="0"/>
          <w:sz w:val="16"/>
        </w:rPr>
        <w:t>April 2020 to 30 June 2021</w:t>
      </w:r>
      <w:r w:rsidRPr="00A1458E">
        <w:rPr>
          <w:i w:val="0"/>
          <w:sz w:val="16"/>
        </w:rPr>
        <w:t>.</w:t>
      </w:r>
    </w:p>
    <w:tbl>
      <w:tblPr>
        <w:tblW w:w="6990" w:type="dxa"/>
        <w:tblInd w:w="93" w:type="dxa"/>
        <w:tblLook w:val="04A0" w:firstRow="1" w:lastRow="0" w:firstColumn="1" w:lastColumn="0" w:noHBand="0" w:noVBand="1"/>
      </w:tblPr>
      <w:tblGrid>
        <w:gridCol w:w="2029"/>
        <w:gridCol w:w="992"/>
        <w:gridCol w:w="992"/>
        <w:gridCol w:w="992"/>
        <w:gridCol w:w="992"/>
        <w:gridCol w:w="993"/>
      </w:tblGrid>
      <w:tr w:rsidR="0078302F" w:rsidRPr="00C5395B" w14:paraId="6015290C" w14:textId="77777777" w:rsidTr="00A6030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DF421E8" w14:textId="77777777" w:rsidR="0078302F" w:rsidRPr="00C5395B" w:rsidRDefault="0078302F" w:rsidP="0078302F">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9C59BA5" w14:textId="24AC2A37" w:rsidR="0078302F" w:rsidRDefault="0078302F" w:rsidP="0078302F">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0CF0E508" w14:textId="4BDC8816" w:rsidR="0078302F" w:rsidRDefault="0078302F" w:rsidP="0078302F">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108F2074" w14:textId="2EF16C39" w:rsidR="0078302F" w:rsidRDefault="0078302F" w:rsidP="0078302F">
            <w:pPr>
              <w:pStyle w:val="TableText"/>
              <w:jc w:val="right"/>
              <w:rPr>
                <w:b/>
                <w:lang w:eastAsia="en-AU"/>
              </w:rPr>
            </w:pPr>
            <w:r>
              <w:rPr>
                <w:b/>
                <w:lang w:eastAsia="en-AU"/>
              </w:rPr>
              <w:t>Qtr 50</w:t>
            </w:r>
          </w:p>
        </w:tc>
        <w:tc>
          <w:tcPr>
            <w:tcW w:w="992" w:type="dxa"/>
            <w:tcBorders>
              <w:top w:val="single" w:sz="4" w:space="0" w:color="auto"/>
              <w:left w:val="nil"/>
              <w:bottom w:val="single" w:sz="4" w:space="0" w:color="auto"/>
              <w:right w:val="single" w:sz="4" w:space="0" w:color="auto"/>
            </w:tcBorders>
          </w:tcPr>
          <w:p w14:paraId="5DDCACA0" w14:textId="4A06382C" w:rsidR="0078302F" w:rsidRDefault="0078302F" w:rsidP="0078302F">
            <w:pPr>
              <w:pStyle w:val="TableText"/>
              <w:jc w:val="right"/>
              <w:rPr>
                <w:b/>
                <w:lang w:eastAsia="en-AU"/>
              </w:rPr>
            </w:pPr>
            <w:r>
              <w:rPr>
                <w:b/>
                <w:lang w:eastAsia="en-AU"/>
              </w:rPr>
              <w:t>Qtr 51</w:t>
            </w:r>
          </w:p>
        </w:tc>
        <w:tc>
          <w:tcPr>
            <w:tcW w:w="993" w:type="dxa"/>
            <w:tcBorders>
              <w:top w:val="single" w:sz="4" w:space="0" w:color="auto"/>
              <w:left w:val="nil"/>
              <w:bottom w:val="single" w:sz="4" w:space="0" w:color="auto"/>
              <w:right w:val="single" w:sz="4" w:space="0" w:color="auto"/>
            </w:tcBorders>
          </w:tcPr>
          <w:p w14:paraId="75D74F96" w14:textId="364FE26B" w:rsidR="0078302F" w:rsidRDefault="0078302F" w:rsidP="0078302F">
            <w:pPr>
              <w:pStyle w:val="TableText"/>
              <w:jc w:val="right"/>
              <w:rPr>
                <w:b/>
                <w:lang w:eastAsia="en-AU"/>
              </w:rPr>
            </w:pPr>
            <w:r>
              <w:rPr>
                <w:b/>
                <w:lang w:eastAsia="en-AU"/>
              </w:rPr>
              <w:t>Qtr 52</w:t>
            </w:r>
          </w:p>
        </w:tc>
      </w:tr>
      <w:tr w:rsidR="0078302F" w:rsidRPr="00C5395B" w14:paraId="6D0FB9ED"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26D49F6E" w14:textId="77777777" w:rsidR="0078302F" w:rsidRPr="00C5395B" w:rsidRDefault="0078302F" w:rsidP="0078302F">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45F51248" w14:textId="50428C16" w:rsidR="0078302F" w:rsidRDefault="0078302F" w:rsidP="0078302F">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65CB2D65" w14:textId="6E8EA0C6" w:rsidR="0078302F" w:rsidRDefault="0078302F" w:rsidP="0078302F">
            <w:pPr>
              <w:jc w:val="right"/>
              <w:rPr>
                <w:rFonts w:cs="Arial"/>
              </w:rPr>
            </w:pPr>
            <w:r w:rsidRPr="00FB5CEB">
              <w:rPr>
                <w:rFonts w:cs="Arial"/>
              </w:rPr>
              <w:t>27</w:t>
            </w:r>
          </w:p>
        </w:tc>
        <w:tc>
          <w:tcPr>
            <w:tcW w:w="992" w:type="dxa"/>
            <w:tcBorders>
              <w:top w:val="nil"/>
              <w:left w:val="nil"/>
              <w:bottom w:val="single" w:sz="4" w:space="0" w:color="auto"/>
              <w:right w:val="single" w:sz="4" w:space="0" w:color="auto"/>
            </w:tcBorders>
          </w:tcPr>
          <w:p w14:paraId="3E996258" w14:textId="46C3624B" w:rsidR="0078302F" w:rsidRDefault="0078302F" w:rsidP="0078302F">
            <w:pPr>
              <w:jc w:val="right"/>
              <w:rPr>
                <w:rFonts w:cs="Arial"/>
              </w:rPr>
            </w:pPr>
            <w:r w:rsidRPr="00545DC0">
              <w:rPr>
                <w:rFonts w:cs="Arial"/>
              </w:rPr>
              <w:t>35</w:t>
            </w:r>
          </w:p>
        </w:tc>
        <w:tc>
          <w:tcPr>
            <w:tcW w:w="992" w:type="dxa"/>
            <w:tcBorders>
              <w:top w:val="nil"/>
              <w:left w:val="nil"/>
              <w:bottom w:val="single" w:sz="4" w:space="0" w:color="auto"/>
              <w:right w:val="single" w:sz="4" w:space="0" w:color="auto"/>
            </w:tcBorders>
            <w:vAlign w:val="bottom"/>
          </w:tcPr>
          <w:p w14:paraId="1D5E9DF7" w14:textId="70A0C5D2" w:rsidR="0078302F" w:rsidRPr="00B8398E" w:rsidRDefault="0078302F" w:rsidP="0078302F">
            <w:pPr>
              <w:jc w:val="right"/>
              <w:rPr>
                <w:rFonts w:cs="Arial"/>
              </w:rPr>
            </w:pPr>
            <w:r w:rsidRPr="00D35167">
              <w:rPr>
                <w:rFonts w:cs="Arial"/>
              </w:rPr>
              <w:t>46</w:t>
            </w:r>
          </w:p>
        </w:tc>
        <w:tc>
          <w:tcPr>
            <w:tcW w:w="993" w:type="dxa"/>
            <w:tcBorders>
              <w:top w:val="nil"/>
              <w:left w:val="nil"/>
              <w:bottom w:val="single" w:sz="4" w:space="0" w:color="auto"/>
              <w:right w:val="single" w:sz="4" w:space="0" w:color="auto"/>
            </w:tcBorders>
            <w:vAlign w:val="bottom"/>
          </w:tcPr>
          <w:p w14:paraId="51DED7F5" w14:textId="5FF18FAF" w:rsidR="0078302F" w:rsidRPr="0078302F" w:rsidRDefault="0078302F" w:rsidP="0078302F">
            <w:pPr>
              <w:jc w:val="right"/>
              <w:rPr>
                <w:rFonts w:cs="Arial"/>
              </w:rPr>
            </w:pPr>
            <w:r w:rsidRPr="0078302F">
              <w:rPr>
                <w:rFonts w:cs="Arial"/>
              </w:rPr>
              <w:t>27</w:t>
            </w:r>
          </w:p>
        </w:tc>
      </w:tr>
      <w:tr w:rsidR="0078302F" w:rsidRPr="00C5395B" w14:paraId="5D2911E3"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0F5CB6D5" w14:textId="77777777" w:rsidR="0078302F" w:rsidRPr="00C5395B" w:rsidRDefault="0078302F" w:rsidP="0078302F">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72DEB50F" w14:textId="2C281686" w:rsidR="0078302F" w:rsidRDefault="0078302F" w:rsidP="0078302F">
            <w:pPr>
              <w:jc w:val="right"/>
              <w:rPr>
                <w:rFonts w:cs="Arial"/>
              </w:rPr>
            </w:pPr>
            <w:r w:rsidRPr="00B8398E">
              <w:rPr>
                <w:rFonts w:cs="Arial"/>
              </w:rPr>
              <w:t>6</w:t>
            </w:r>
          </w:p>
        </w:tc>
        <w:tc>
          <w:tcPr>
            <w:tcW w:w="992" w:type="dxa"/>
            <w:tcBorders>
              <w:top w:val="nil"/>
              <w:left w:val="nil"/>
              <w:bottom w:val="single" w:sz="4" w:space="0" w:color="auto"/>
              <w:right w:val="single" w:sz="4" w:space="0" w:color="auto"/>
            </w:tcBorders>
          </w:tcPr>
          <w:p w14:paraId="64D4FCAE" w14:textId="07A995EA" w:rsidR="0078302F" w:rsidRDefault="0078302F" w:rsidP="0078302F">
            <w:pPr>
              <w:jc w:val="right"/>
              <w:rPr>
                <w:rFonts w:cs="Arial"/>
              </w:rPr>
            </w:pPr>
            <w:r w:rsidRPr="00FB5CEB">
              <w:rPr>
                <w:rFonts w:cs="Arial"/>
              </w:rPr>
              <w:t>0</w:t>
            </w:r>
          </w:p>
        </w:tc>
        <w:tc>
          <w:tcPr>
            <w:tcW w:w="992" w:type="dxa"/>
            <w:tcBorders>
              <w:top w:val="nil"/>
              <w:left w:val="nil"/>
              <w:bottom w:val="single" w:sz="4" w:space="0" w:color="auto"/>
              <w:right w:val="single" w:sz="4" w:space="0" w:color="auto"/>
            </w:tcBorders>
          </w:tcPr>
          <w:p w14:paraId="59EE7F58" w14:textId="745F7BBA" w:rsidR="0078302F" w:rsidRDefault="0078302F" w:rsidP="0078302F">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2D982E88" w14:textId="27F8E0E3" w:rsidR="0078302F" w:rsidRPr="00B8398E" w:rsidRDefault="0078302F" w:rsidP="0078302F">
            <w:pPr>
              <w:jc w:val="right"/>
              <w:rPr>
                <w:rFonts w:cs="Arial"/>
              </w:rPr>
            </w:pPr>
            <w:r w:rsidRPr="00D35167">
              <w:rPr>
                <w:rFonts w:cs="Arial"/>
              </w:rPr>
              <w:t>4</w:t>
            </w:r>
          </w:p>
        </w:tc>
        <w:tc>
          <w:tcPr>
            <w:tcW w:w="993" w:type="dxa"/>
            <w:tcBorders>
              <w:top w:val="nil"/>
              <w:left w:val="nil"/>
              <w:bottom w:val="single" w:sz="4" w:space="0" w:color="auto"/>
              <w:right w:val="single" w:sz="4" w:space="0" w:color="auto"/>
            </w:tcBorders>
            <w:vAlign w:val="bottom"/>
          </w:tcPr>
          <w:p w14:paraId="423DEFE6" w14:textId="25567466" w:rsidR="0078302F" w:rsidRPr="0078302F" w:rsidRDefault="0078302F" w:rsidP="0078302F">
            <w:pPr>
              <w:jc w:val="right"/>
              <w:rPr>
                <w:rFonts w:cs="Arial"/>
              </w:rPr>
            </w:pPr>
            <w:r w:rsidRPr="0078302F">
              <w:rPr>
                <w:rFonts w:cs="Arial"/>
              </w:rPr>
              <w:t>13</w:t>
            </w:r>
          </w:p>
        </w:tc>
      </w:tr>
      <w:tr w:rsidR="0078302F" w:rsidRPr="00C5395B" w14:paraId="23EB7CB0" w14:textId="77777777" w:rsidTr="00A60308">
        <w:trPr>
          <w:trHeight w:val="255"/>
        </w:trPr>
        <w:tc>
          <w:tcPr>
            <w:tcW w:w="2029" w:type="dxa"/>
            <w:tcBorders>
              <w:top w:val="nil"/>
              <w:left w:val="single" w:sz="4" w:space="0" w:color="auto"/>
              <w:bottom w:val="single" w:sz="4" w:space="0" w:color="auto"/>
              <w:right w:val="single" w:sz="4" w:space="0" w:color="auto"/>
            </w:tcBorders>
            <w:noWrap/>
          </w:tcPr>
          <w:p w14:paraId="0BA0084F" w14:textId="77777777" w:rsidR="0078302F" w:rsidRPr="00C5395B" w:rsidRDefault="0078302F" w:rsidP="0078302F">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156B862F" w14:textId="2EF2327C" w:rsidR="0078302F" w:rsidRDefault="0078302F" w:rsidP="0078302F">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5907777D" w14:textId="173802B4" w:rsidR="0078302F" w:rsidRDefault="0078302F" w:rsidP="0078302F">
            <w:pPr>
              <w:jc w:val="right"/>
              <w:rPr>
                <w:rFonts w:cs="Arial"/>
              </w:rPr>
            </w:pPr>
            <w:r w:rsidRPr="00FB5CEB">
              <w:rPr>
                <w:rFonts w:cs="Arial"/>
              </w:rPr>
              <w:t>3</w:t>
            </w:r>
          </w:p>
        </w:tc>
        <w:tc>
          <w:tcPr>
            <w:tcW w:w="992" w:type="dxa"/>
            <w:tcBorders>
              <w:top w:val="nil"/>
              <w:left w:val="nil"/>
              <w:bottom w:val="single" w:sz="4" w:space="0" w:color="auto"/>
              <w:right w:val="single" w:sz="4" w:space="0" w:color="auto"/>
            </w:tcBorders>
          </w:tcPr>
          <w:p w14:paraId="0E7FDC04" w14:textId="6EF7BFCB" w:rsidR="0078302F" w:rsidRDefault="0078302F" w:rsidP="0078302F">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5A28449E" w14:textId="70F1A508" w:rsidR="0078302F" w:rsidRPr="00B8398E" w:rsidRDefault="0078302F" w:rsidP="0078302F">
            <w:pPr>
              <w:jc w:val="right"/>
              <w:rPr>
                <w:rFonts w:cs="Arial"/>
              </w:rPr>
            </w:pPr>
            <w:r w:rsidRPr="00D35167">
              <w:rPr>
                <w:rFonts w:cs="Arial"/>
              </w:rPr>
              <w:t>10</w:t>
            </w:r>
          </w:p>
        </w:tc>
        <w:tc>
          <w:tcPr>
            <w:tcW w:w="993" w:type="dxa"/>
            <w:tcBorders>
              <w:top w:val="nil"/>
              <w:left w:val="nil"/>
              <w:bottom w:val="single" w:sz="4" w:space="0" w:color="auto"/>
              <w:right w:val="single" w:sz="4" w:space="0" w:color="auto"/>
            </w:tcBorders>
            <w:vAlign w:val="bottom"/>
          </w:tcPr>
          <w:p w14:paraId="55DD3FF5" w14:textId="51BF1373" w:rsidR="0078302F" w:rsidRPr="0078302F" w:rsidRDefault="0078302F" w:rsidP="0078302F">
            <w:pPr>
              <w:jc w:val="right"/>
              <w:rPr>
                <w:rFonts w:cs="Arial"/>
              </w:rPr>
            </w:pPr>
            <w:r w:rsidRPr="0078302F">
              <w:rPr>
                <w:rFonts w:cs="Arial"/>
              </w:rPr>
              <w:t>5</w:t>
            </w:r>
          </w:p>
        </w:tc>
      </w:tr>
      <w:tr w:rsidR="0078302F" w:rsidRPr="00C5395B" w14:paraId="123A0B21"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1C1B27E2" w14:textId="77777777" w:rsidR="0078302F" w:rsidRPr="00C5395B" w:rsidRDefault="0078302F" w:rsidP="0078302F">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58D5C891" w14:textId="37015E67" w:rsidR="0078302F" w:rsidRDefault="0078302F" w:rsidP="0078302F">
            <w:pPr>
              <w:jc w:val="right"/>
              <w:rPr>
                <w:rFonts w:cs="Arial"/>
              </w:rPr>
            </w:pPr>
            <w:r w:rsidRPr="00B8398E">
              <w:rPr>
                <w:rFonts w:cs="Arial"/>
              </w:rPr>
              <w:t>4</w:t>
            </w:r>
          </w:p>
        </w:tc>
        <w:tc>
          <w:tcPr>
            <w:tcW w:w="992" w:type="dxa"/>
            <w:tcBorders>
              <w:top w:val="nil"/>
              <w:left w:val="nil"/>
              <w:bottom w:val="single" w:sz="4" w:space="0" w:color="auto"/>
              <w:right w:val="single" w:sz="4" w:space="0" w:color="auto"/>
            </w:tcBorders>
          </w:tcPr>
          <w:p w14:paraId="1C7C36BF" w14:textId="7D24A32B" w:rsidR="0078302F" w:rsidRDefault="0078302F" w:rsidP="0078302F">
            <w:pPr>
              <w:jc w:val="right"/>
              <w:rPr>
                <w:rFonts w:cs="Arial"/>
              </w:rPr>
            </w:pPr>
            <w:r w:rsidRPr="00FB5CEB">
              <w:rPr>
                <w:rFonts w:cs="Arial"/>
              </w:rPr>
              <w:t>4</w:t>
            </w:r>
          </w:p>
        </w:tc>
        <w:tc>
          <w:tcPr>
            <w:tcW w:w="992" w:type="dxa"/>
            <w:tcBorders>
              <w:top w:val="nil"/>
              <w:left w:val="nil"/>
              <w:bottom w:val="single" w:sz="4" w:space="0" w:color="auto"/>
              <w:right w:val="single" w:sz="4" w:space="0" w:color="auto"/>
            </w:tcBorders>
          </w:tcPr>
          <w:p w14:paraId="644D0F95" w14:textId="3D6E4BCC" w:rsidR="0078302F" w:rsidRDefault="0078302F" w:rsidP="0078302F">
            <w:pPr>
              <w:jc w:val="right"/>
              <w:rPr>
                <w:rFonts w:cs="Arial"/>
              </w:rPr>
            </w:pPr>
            <w:r w:rsidRPr="00545DC0">
              <w:rPr>
                <w:rFonts w:cs="Arial"/>
              </w:rPr>
              <w:t>4</w:t>
            </w:r>
          </w:p>
        </w:tc>
        <w:tc>
          <w:tcPr>
            <w:tcW w:w="992" w:type="dxa"/>
            <w:tcBorders>
              <w:top w:val="nil"/>
              <w:left w:val="nil"/>
              <w:bottom w:val="single" w:sz="4" w:space="0" w:color="auto"/>
              <w:right w:val="single" w:sz="4" w:space="0" w:color="auto"/>
            </w:tcBorders>
            <w:vAlign w:val="bottom"/>
          </w:tcPr>
          <w:p w14:paraId="7B5BAAEE" w14:textId="0B71D6AA" w:rsidR="0078302F" w:rsidRPr="00B8398E" w:rsidRDefault="0078302F" w:rsidP="0078302F">
            <w:pPr>
              <w:jc w:val="right"/>
              <w:rPr>
                <w:rFonts w:cs="Arial"/>
              </w:rPr>
            </w:pPr>
            <w:r w:rsidRPr="00D35167">
              <w:rPr>
                <w:rFonts w:cs="Arial"/>
              </w:rPr>
              <w:t>8</w:t>
            </w:r>
          </w:p>
        </w:tc>
        <w:tc>
          <w:tcPr>
            <w:tcW w:w="993" w:type="dxa"/>
            <w:tcBorders>
              <w:top w:val="nil"/>
              <w:left w:val="nil"/>
              <w:bottom w:val="single" w:sz="4" w:space="0" w:color="auto"/>
              <w:right w:val="single" w:sz="4" w:space="0" w:color="auto"/>
            </w:tcBorders>
            <w:vAlign w:val="bottom"/>
          </w:tcPr>
          <w:p w14:paraId="06B96A92" w14:textId="5A064D7B" w:rsidR="0078302F" w:rsidRPr="0078302F" w:rsidRDefault="0078302F" w:rsidP="0078302F">
            <w:pPr>
              <w:jc w:val="right"/>
              <w:rPr>
                <w:rFonts w:cs="Arial"/>
              </w:rPr>
            </w:pPr>
            <w:r w:rsidRPr="0078302F">
              <w:rPr>
                <w:rFonts w:cs="Arial"/>
              </w:rPr>
              <w:t>9</w:t>
            </w:r>
          </w:p>
        </w:tc>
      </w:tr>
      <w:tr w:rsidR="0078302F" w:rsidRPr="00C5395B" w14:paraId="1A5815ED"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57C9AB48" w14:textId="77777777" w:rsidR="0078302F" w:rsidRPr="00C5395B" w:rsidRDefault="0078302F" w:rsidP="0078302F">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6EBCCF22" w14:textId="552C2105" w:rsidR="0078302F" w:rsidRDefault="0078302F" w:rsidP="0078302F">
            <w:pPr>
              <w:pStyle w:val="TableText"/>
              <w:jc w:val="right"/>
              <w:rPr>
                <w:b/>
                <w:lang w:eastAsia="en-AU"/>
              </w:rPr>
            </w:pPr>
            <w:r w:rsidRPr="00B8398E">
              <w:rPr>
                <w:rFonts w:cs="Arial"/>
                <w:b/>
                <w:bCs/>
              </w:rPr>
              <w:t>32</w:t>
            </w:r>
          </w:p>
        </w:tc>
        <w:tc>
          <w:tcPr>
            <w:tcW w:w="992" w:type="dxa"/>
            <w:tcBorders>
              <w:top w:val="nil"/>
              <w:left w:val="nil"/>
              <w:bottom w:val="single" w:sz="4" w:space="0" w:color="auto"/>
              <w:right w:val="single" w:sz="4" w:space="0" w:color="auto"/>
            </w:tcBorders>
          </w:tcPr>
          <w:p w14:paraId="5C632D5B" w14:textId="05C148DD" w:rsidR="0078302F" w:rsidRDefault="0078302F" w:rsidP="0078302F">
            <w:pPr>
              <w:pStyle w:val="TableText"/>
              <w:jc w:val="right"/>
              <w:rPr>
                <w:b/>
                <w:lang w:eastAsia="en-AU"/>
              </w:rPr>
            </w:pPr>
            <w:r w:rsidRPr="00FB5CEB">
              <w:rPr>
                <w:rFonts w:cs="Arial"/>
                <w:b/>
                <w:bCs/>
              </w:rPr>
              <w:t>34</w:t>
            </w:r>
          </w:p>
        </w:tc>
        <w:tc>
          <w:tcPr>
            <w:tcW w:w="992" w:type="dxa"/>
            <w:tcBorders>
              <w:top w:val="nil"/>
              <w:left w:val="nil"/>
              <w:bottom w:val="single" w:sz="4" w:space="0" w:color="auto"/>
              <w:right w:val="single" w:sz="4" w:space="0" w:color="auto"/>
            </w:tcBorders>
          </w:tcPr>
          <w:p w14:paraId="63CFEC60" w14:textId="373CF9D2" w:rsidR="0078302F" w:rsidRDefault="0078302F" w:rsidP="0078302F">
            <w:pPr>
              <w:pStyle w:val="TableText"/>
              <w:jc w:val="right"/>
              <w:rPr>
                <w:b/>
                <w:lang w:eastAsia="en-AU"/>
              </w:rPr>
            </w:pPr>
            <w:r w:rsidRPr="00545DC0">
              <w:rPr>
                <w:rFonts w:cs="Arial"/>
                <w:b/>
                <w:bCs/>
              </w:rPr>
              <w:t>51</w:t>
            </w:r>
          </w:p>
        </w:tc>
        <w:tc>
          <w:tcPr>
            <w:tcW w:w="992" w:type="dxa"/>
            <w:tcBorders>
              <w:top w:val="nil"/>
              <w:left w:val="nil"/>
              <w:bottom w:val="single" w:sz="4" w:space="0" w:color="auto"/>
              <w:right w:val="single" w:sz="4" w:space="0" w:color="auto"/>
            </w:tcBorders>
            <w:vAlign w:val="bottom"/>
          </w:tcPr>
          <w:p w14:paraId="3AAC036E" w14:textId="398D3D55" w:rsidR="0078302F" w:rsidRPr="00B8398E" w:rsidRDefault="0078302F" w:rsidP="0078302F">
            <w:pPr>
              <w:pStyle w:val="TableText"/>
              <w:jc w:val="right"/>
              <w:rPr>
                <w:rFonts w:cs="Arial"/>
                <w:b/>
                <w:bCs/>
              </w:rPr>
            </w:pPr>
            <w:r w:rsidRPr="00D35167">
              <w:rPr>
                <w:rFonts w:cs="Arial"/>
                <w:b/>
                <w:bCs/>
              </w:rPr>
              <w:t>68</w:t>
            </w:r>
          </w:p>
        </w:tc>
        <w:tc>
          <w:tcPr>
            <w:tcW w:w="993" w:type="dxa"/>
            <w:tcBorders>
              <w:top w:val="nil"/>
              <w:left w:val="nil"/>
              <w:bottom w:val="single" w:sz="4" w:space="0" w:color="auto"/>
              <w:right w:val="single" w:sz="4" w:space="0" w:color="auto"/>
            </w:tcBorders>
            <w:vAlign w:val="bottom"/>
          </w:tcPr>
          <w:p w14:paraId="740C63A8" w14:textId="6477D226" w:rsidR="0078302F" w:rsidRPr="0078302F" w:rsidRDefault="0078302F" w:rsidP="0078302F">
            <w:pPr>
              <w:pStyle w:val="TableText"/>
              <w:jc w:val="right"/>
              <w:rPr>
                <w:rFonts w:cs="Arial"/>
                <w:b/>
                <w:bCs/>
              </w:rPr>
            </w:pPr>
            <w:r w:rsidRPr="0078302F">
              <w:rPr>
                <w:rFonts w:cs="Arial"/>
                <w:b/>
                <w:bCs/>
              </w:rPr>
              <w:t>54</w:t>
            </w:r>
          </w:p>
        </w:tc>
      </w:tr>
    </w:tbl>
    <w:p w14:paraId="7CAE1F44" w14:textId="77777777" w:rsidR="0078302F" w:rsidRDefault="0078302F" w:rsidP="001748A5">
      <w:pPr>
        <w:spacing w:after="120" w:line="240" w:lineRule="auto"/>
        <w:ind w:left="794" w:hanging="794"/>
        <w:rPr>
          <w:b/>
          <w:sz w:val="16"/>
          <w:szCs w:val="16"/>
        </w:rPr>
      </w:pPr>
    </w:p>
    <w:p w14:paraId="3A5902A6" w14:textId="627E69B3" w:rsidR="001748A5" w:rsidRDefault="001748A5" w:rsidP="001748A5">
      <w:pPr>
        <w:spacing w:after="120" w:line="240" w:lineRule="auto"/>
        <w:ind w:left="794" w:hanging="794"/>
        <w:rPr>
          <w:sz w:val="16"/>
          <w:szCs w:val="16"/>
        </w:rPr>
      </w:pPr>
      <w:r w:rsidRPr="006C6A65">
        <w:rPr>
          <w:b/>
          <w:sz w:val="16"/>
          <w:szCs w:val="16"/>
        </w:rPr>
        <w:t xml:space="preserve">Table </w:t>
      </w:r>
      <w:r w:rsidR="0078302F">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2B731D">
        <w:rPr>
          <w:sz w:val="16"/>
          <w:szCs w:val="16"/>
        </w:rPr>
        <w:t>April</w:t>
      </w:r>
      <w:r w:rsidR="009A7C28">
        <w:rPr>
          <w:sz w:val="16"/>
          <w:szCs w:val="16"/>
        </w:rPr>
        <w:t xml:space="preserve"> 2021</w:t>
      </w:r>
      <w:r w:rsidR="00A41820">
        <w:rPr>
          <w:sz w:val="16"/>
          <w:szCs w:val="16"/>
        </w:rPr>
        <w:t xml:space="preserve"> to </w:t>
      </w:r>
      <w:r w:rsidR="00C02DC0">
        <w:rPr>
          <w:sz w:val="16"/>
          <w:szCs w:val="16"/>
        </w:rPr>
        <w:t>30 June</w:t>
      </w:r>
      <w:r w:rsidR="009A7C28">
        <w:rPr>
          <w:sz w:val="16"/>
          <w:szCs w:val="16"/>
        </w:rPr>
        <w:t xml:space="preserve"> 2021</w:t>
      </w:r>
      <w:r>
        <w:rPr>
          <w:sz w:val="16"/>
          <w:szCs w:val="16"/>
        </w:rPr>
        <w:t>.</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8B37CC" w:rsidRPr="0094558B" w14:paraId="2A713E69"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8B37CC" w:rsidRPr="00640E37" w:rsidRDefault="008B37CC" w:rsidP="008B37CC">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3ECEA9AF" w:rsidR="008B37CC" w:rsidRPr="0094558B" w:rsidRDefault="008B37CC" w:rsidP="008B37CC">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3C5F6C41" w:rsidR="008B37CC" w:rsidRPr="0094558B" w:rsidRDefault="008B37CC" w:rsidP="008B37CC">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6659A4D6" w14:textId="3842B363" w:rsidR="008B37CC" w:rsidRPr="0094558B" w:rsidRDefault="008B37CC" w:rsidP="008B37CC">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815A01A" w14:textId="04447658" w:rsidR="008B37CC" w:rsidRPr="0094558B" w:rsidRDefault="008B37CC" w:rsidP="008B37CC">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10ABD0AD" w14:textId="3A88FEEA" w:rsidR="008B37CC" w:rsidRPr="0094558B" w:rsidRDefault="008B37CC" w:rsidP="008B37CC">
            <w:pPr>
              <w:spacing w:line="240" w:lineRule="auto"/>
              <w:jc w:val="right"/>
              <w:rPr>
                <w:rFonts w:cs="Arial"/>
                <w:b/>
                <w:bCs/>
                <w:lang w:eastAsia="en-AU"/>
              </w:rPr>
            </w:pPr>
            <w:r>
              <w:rPr>
                <w:rFonts w:cs="Arial"/>
                <w:b/>
                <w:bCs/>
              </w:rPr>
              <w:t>2</w:t>
            </w:r>
          </w:p>
        </w:tc>
      </w:tr>
      <w:tr w:rsidR="008B37CC" w:rsidRPr="00650B45" w14:paraId="5725BEC2"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8B37CC" w:rsidRPr="00640E37" w:rsidRDefault="008B37CC" w:rsidP="008B37CC">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31A09AF0" w:rsidR="008B37CC" w:rsidRPr="0040594D" w:rsidRDefault="008B37CC" w:rsidP="008B37CC">
            <w:pPr>
              <w:spacing w:line="240" w:lineRule="auto"/>
              <w:jc w:val="right"/>
              <w:rPr>
                <w:rFonts w:cs="Arial"/>
                <w:lang w:eastAsia="en-AU"/>
              </w:rPr>
            </w:pPr>
            <w:r>
              <w:rPr>
                <w:rFonts w:cs="Arial"/>
              </w:rPr>
              <w:t>8</w:t>
            </w:r>
          </w:p>
        </w:tc>
        <w:tc>
          <w:tcPr>
            <w:tcW w:w="784" w:type="dxa"/>
            <w:tcBorders>
              <w:top w:val="nil"/>
              <w:left w:val="nil"/>
              <w:bottom w:val="single" w:sz="4" w:space="0" w:color="auto"/>
              <w:right w:val="single" w:sz="4" w:space="0" w:color="auto"/>
            </w:tcBorders>
            <w:shd w:val="clear" w:color="auto" w:fill="auto"/>
            <w:vAlign w:val="center"/>
          </w:tcPr>
          <w:p w14:paraId="3C97EB58" w14:textId="296137CE" w:rsidR="008B37CC" w:rsidRPr="0040594D" w:rsidRDefault="008B37CC" w:rsidP="008B37CC">
            <w:pPr>
              <w:spacing w:line="240" w:lineRule="auto"/>
              <w:jc w:val="right"/>
              <w:rPr>
                <w:rFonts w:cs="Arial"/>
                <w:lang w:eastAsia="en-AU"/>
              </w:rPr>
            </w:pPr>
            <w:r>
              <w:rPr>
                <w:rFonts w:cs="Arial"/>
              </w:rPr>
              <w:t>6</w:t>
            </w:r>
          </w:p>
        </w:tc>
        <w:tc>
          <w:tcPr>
            <w:tcW w:w="784" w:type="dxa"/>
            <w:tcBorders>
              <w:top w:val="nil"/>
              <w:left w:val="nil"/>
              <w:bottom w:val="single" w:sz="4" w:space="0" w:color="auto"/>
              <w:right w:val="single" w:sz="4" w:space="0" w:color="auto"/>
            </w:tcBorders>
            <w:vAlign w:val="center"/>
          </w:tcPr>
          <w:p w14:paraId="2B2C50D5" w14:textId="3E56FE6C" w:rsidR="008B37CC" w:rsidRDefault="008B37CC" w:rsidP="008B37CC">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5E25C841" w14:textId="733B0CC2" w:rsidR="008B37CC" w:rsidRDefault="008B37CC" w:rsidP="008B37CC">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6A804D63" w14:textId="3D765968" w:rsidR="008B37CC" w:rsidRPr="0094558B" w:rsidRDefault="008B37CC" w:rsidP="008B37CC">
            <w:pPr>
              <w:spacing w:line="240" w:lineRule="auto"/>
              <w:jc w:val="right"/>
              <w:rPr>
                <w:rFonts w:cs="Arial"/>
                <w:b/>
                <w:lang w:eastAsia="en-AU"/>
              </w:rPr>
            </w:pPr>
            <w:r>
              <w:rPr>
                <w:rFonts w:cs="Arial"/>
                <w:b/>
                <w:bCs/>
              </w:rPr>
              <w:t>18</w:t>
            </w:r>
          </w:p>
        </w:tc>
      </w:tr>
      <w:tr w:rsidR="008B37CC" w:rsidRPr="00650B45" w14:paraId="6D0F82C5"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8B37CC" w:rsidRPr="00640E37" w:rsidRDefault="008B37CC" w:rsidP="008B37CC">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34E48153" w:rsidR="008B37CC" w:rsidRPr="0040594D" w:rsidRDefault="008B37CC" w:rsidP="008B37CC">
            <w:pPr>
              <w:spacing w:line="240" w:lineRule="auto"/>
              <w:jc w:val="right"/>
              <w:rPr>
                <w:rFonts w:cs="Arial"/>
                <w:lang w:eastAsia="en-AU"/>
              </w:rPr>
            </w:pPr>
            <w:r>
              <w:rPr>
                <w:rFonts w:cs="Arial"/>
              </w:rPr>
              <w:t>18</w:t>
            </w:r>
          </w:p>
        </w:tc>
        <w:tc>
          <w:tcPr>
            <w:tcW w:w="784" w:type="dxa"/>
            <w:tcBorders>
              <w:top w:val="nil"/>
              <w:left w:val="nil"/>
              <w:bottom w:val="single" w:sz="4" w:space="0" w:color="auto"/>
              <w:right w:val="single" w:sz="4" w:space="0" w:color="auto"/>
            </w:tcBorders>
            <w:shd w:val="clear" w:color="auto" w:fill="auto"/>
            <w:vAlign w:val="center"/>
          </w:tcPr>
          <w:p w14:paraId="05EC430A" w14:textId="2B3B3CBA" w:rsidR="008B37CC" w:rsidRDefault="008B37CC" w:rsidP="008B37CC">
            <w:pPr>
              <w:spacing w:line="240" w:lineRule="auto"/>
              <w:jc w:val="right"/>
              <w:rPr>
                <w:rFonts w:cs="Arial"/>
                <w:lang w:eastAsia="en-AU"/>
              </w:rPr>
            </w:pPr>
            <w:r>
              <w:rPr>
                <w:rFonts w:cs="Arial"/>
              </w:rPr>
              <w:t>7</w:t>
            </w:r>
          </w:p>
        </w:tc>
        <w:tc>
          <w:tcPr>
            <w:tcW w:w="784" w:type="dxa"/>
            <w:tcBorders>
              <w:top w:val="nil"/>
              <w:left w:val="nil"/>
              <w:bottom w:val="single" w:sz="4" w:space="0" w:color="auto"/>
              <w:right w:val="single" w:sz="4" w:space="0" w:color="auto"/>
            </w:tcBorders>
            <w:vAlign w:val="center"/>
          </w:tcPr>
          <w:p w14:paraId="53D47FFE" w14:textId="700A39EA" w:rsidR="008B37CC" w:rsidRDefault="008B37CC" w:rsidP="008B37CC">
            <w:pPr>
              <w:spacing w:line="240" w:lineRule="auto"/>
              <w:jc w:val="right"/>
              <w:rPr>
                <w:rFonts w:cs="Arial"/>
                <w:lang w:eastAsia="en-AU"/>
              </w:rPr>
            </w:pPr>
            <w:r>
              <w:rPr>
                <w:rFonts w:cs="Arial"/>
              </w:rPr>
              <w:t>4</w:t>
            </w:r>
          </w:p>
        </w:tc>
        <w:tc>
          <w:tcPr>
            <w:tcW w:w="784" w:type="dxa"/>
            <w:tcBorders>
              <w:top w:val="nil"/>
              <w:left w:val="nil"/>
              <w:bottom w:val="single" w:sz="4" w:space="0" w:color="auto"/>
              <w:right w:val="single" w:sz="4" w:space="0" w:color="auto"/>
            </w:tcBorders>
            <w:vAlign w:val="center"/>
          </w:tcPr>
          <w:p w14:paraId="1A3F174E" w14:textId="29A2B1FD" w:rsidR="008B37CC" w:rsidRDefault="008B37CC" w:rsidP="008B37CC">
            <w:pPr>
              <w:spacing w:line="240" w:lineRule="auto"/>
              <w:jc w:val="right"/>
              <w:rPr>
                <w:rFonts w:cs="Arial"/>
                <w:lang w:eastAsia="en-AU"/>
              </w:rPr>
            </w:pPr>
            <w:r>
              <w:rPr>
                <w:rFonts w:cs="Arial"/>
              </w:rPr>
              <w:t>5</w:t>
            </w:r>
          </w:p>
        </w:tc>
        <w:tc>
          <w:tcPr>
            <w:tcW w:w="784" w:type="dxa"/>
            <w:tcBorders>
              <w:top w:val="nil"/>
              <w:left w:val="nil"/>
              <w:bottom w:val="single" w:sz="4" w:space="0" w:color="auto"/>
              <w:right w:val="single" w:sz="4" w:space="0" w:color="auto"/>
            </w:tcBorders>
            <w:vAlign w:val="center"/>
          </w:tcPr>
          <w:p w14:paraId="016DD19F" w14:textId="5F9222F7" w:rsidR="008B37CC" w:rsidRPr="0094558B" w:rsidRDefault="008B37CC" w:rsidP="008B37CC">
            <w:pPr>
              <w:spacing w:line="240" w:lineRule="auto"/>
              <w:jc w:val="right"/>
              <w:rPr>
                <w:rFonts w:cs="Arial"/>
                <w:b/>
                <w:lang w:eastAsia="en-AU"/>
              </w:rPr>
            </w:pPr>
            <w:r>
              <w:rPr>
                <w:rFonts w:cs="Arial"/>
                <w:b/>
                <w:bCs/>
              </w:rPr>
              <w:t>34</w:t>
            </w:r>
          </w:p>
        </w:tc>
      </w:tr>
      <w:tr w:rsidR="008B37CC" w:rsidRPr="00557E24" w14:paraId="63F8D415"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8B37CC" w:rsidRPr="00557E24" w:rsidRDefault="008B37CC" w:rsidP="008B37CC">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32E3D429" w:rsidR="008B37CC" w:rsidRPr="00557E24" w:rsidRDefault="008B37CC" w:rsidP="008B37CC">
            <w:pPr>
              <w:spacing w:line="240" w:lineRule="auto"/>
              <w:jc w:val="right"/>
              <w:rPr>
                <w:rFonts w:cs="Arial"/>
                <w:b/>
                <w:lang w:eastAsia="en-AU"/>
              </w:rPr>
            </w:pPr>
            <w:r>
              <w:rPr>
                <w:rFonts w:cs="Arial"/>
                <w:b/>
                <w:bCs/>
              </w:rPr>
              <w:t>27</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1839CBAF" w:rsidR="008B37CC" w:rsidRPr="00557E24" w:rsidRDefault="008B37CC" w:rsidP="008B37CC">
            <w:pPr>
              <w:spacing w:line="240" w:lineRule="auto"/>
              <w:jc w:val="right"/>
              <w:rPr>
                <w:rFonts w:cs="Arial"/>
                <w:b/>
                <w:lang w:eastAsia="en-AU"/>
              </w:rPr>
            </w:pPr>
            <w:r>
              <w:rPr>
                <w:rFonts w:cs="Arial"/>
                <w:b/>
                <w:bCs/>
              </w:rPr>
              <w:t>13</w:t>
            </w:r>
          </w:p>
        </w:tc>
        <w:tc>
          <w:tcPr>
            <w:tcW w:w="784" w:type="dxa"/>
            <w:tcBorders>
              <w:top w:val="single" w:sz="4" w:space="0" w:color="auto"/>
              <w:left w:val="nil"/>
              <w:bottom w:val="single" w:sz="4" w:space="0" w:color="auto"/>
              <w:right w:val="single" w:sz="4" w:space="0" w:color="auto"/>
            </w:tcBorders>
            <w:vAlign w:val="center"/>
          </w:tcPr>
          <w:p w14:paraId="1C15A840" w14:textId="6920EC88" w:rsidR="008B37CC" w:rsidRPr="00557E24" w:rsidRDefault="008B37CC" w:rsidP="008B37CC">
            <w:pPr>
              <w:spacing w:line="240" w:lineRule="auto"/>
              <w:jc w:val="right"/>
              <w:rPr>
                <w:rFonts w:cs="Arial"/>
                <w:b/>
                <w:lang w:eastAsia="en-AU"/>
              </w:rPr>
            </w:pPr>
            <w:r>
              <w:rPr>
                <w:rFonts w:cs="Arial"/>
                <w:b/>
                <w:bCs/>
              </w:rPr>
              <w:t>5</w:t>
            </w:r>
          </w:p>
        </w:tc>
        <w:tc>
          <w:tcPr>
            <w:tcW w:w="784" w:type="dxa"/>
            <w:tcBorders>
              <w:top w:val="single" w:sz="4" w:space="0" w:color="auto"/>
              <w:left w:val="nil"/>
              <w:bottom w:val="single" w:sz="4" w:space="0" w:color="auto"/>
              <w:right w:val="single" w:sz="4" w:space="0" w:color="auto"/>
            </w:tcBorders>
            <w:vAlign w:val="center"/>
          </w:tcPr>
          <w:p w14:paraId="05E4508F" w14:textId="57414108" w:rsidR="008B37CC" w:rsidRPr="00557E24" w:rsidRDefault="008B37CC" w:rsidP="008B37CC">
            <w:pPr>
              <w:spacing w:line="240" w:lineRule="auto"/>
              <w:jc w:val="right"/>
              <w:rPr>
                <w:rFonts w:cs="Arial"/>
                <w:b/>
                <w:lang w:eastAsia="en-AU"/>
              </w:rPr>
            </w:pPr>
            <w:r>
              <w:rPr>
                <w:rFonts w:cs="Arial"/>
                <w:b/>
                <w:bCs/>
              </w:rPr>
              <w:t>9</w:t>
            </w:r>
          </w:p>
        </w:tc>
        <w:tc>
          <w:tcPr>
            <w:tcW w:w="784" w:type="dxa"/>
            <w:tcBorders>
              <w:top w:val="single" w:sz="4" w:space="0" w:color="auto"/>
              <w:left w:val="nil"/>
              <w:bottom w:val="single" w:sz="4" w:space="0" w:color="auto"/>
              <w:right w:val="single" w:sz="4" w:space="0" w:color="auto"/>
            </w:tcBorders>
            <w:vAlign w:val="center"/>
          </w:tcPr>
          <w:p w14:paraId="22F31EFF" w14:textId="3760E6BA" w:rsidR="008B37CC" w:rsidRPr="0094558B" w:rsidRDefault="008B37CC" w:rsidP="008B37CC">
            <w:pPr>
              <w:spacing w:line="240" w:lineRule="auto"/>
              <w:jc w:val="right"/>
              <w:rPr>
                <w:rFonts w:cs="Arial"/>
                <w:b/>
                <w:lang w:eastAsia="en-AU"/>
              </w:rPr>
            </w:pPr>
            <w:r>
              <w:rPr>
                <w:rFonts w:cs="Arial"/>
                <w:b/>
                <w:bCs/>
              </w:rPr>
              <w:t>54</w:t>
            </w:r>
          </w:p>
        </w:tc>
      </w:tr>
    </w:tbl>
    <w:p w14:paraId="5BED135A" w14:textId="0E7B4F66" w:rsidR="001748A5" w:rsidRDefault="001748A5" w:rsidP="001748A5">
      <w:pPr>
        <w:ind w:left="-142" w:right="-425"/>
        <w:jc w:val="both"/>
        <w:rPr>
          <w:rFonts w:cs="Arial"/>
          <w:noProof/>
          <w:lang w:eastAsia="en-AU"/>
        </w:rPr>
      </w:pPr>
    </w:p>
    <w:p w14:paraId="60DB8A28" w14:textId="77777777" w:rsidR="0078302F" w:rsidRDefault="0078302F">
      <w:pPr>
        <w:spacing w:line="240" w:lineRule="auto"/>
        <w:rPr>
          <w:rFonts w:cs="Arial"/>
          <w:noProof/>
          <w:lang w:eastAsia="en-AU"/>
        </w:rPr>
      </w:pPr>
      <w:r>
        <w:rPr>
          <w:rFonts w:cs="Arial"/>
          <w:noProof/>
          <w:lang w:eastAsia="en-AU"/>
        </w:rPr>
        <w:br w:type="page"/>
      </w:r>
    </w:p>
    <w:p w14:paraId="17CBBA45" w14:textId="57303E8F" w:rsidR="00BA361D" w:rsidRPr="00BA361D" w:rsidRDefault="00BA361D" w:rsidP="00BA361D">
      <w:pPr>
        <w:spacing w:after="120" w:line="240" w:lineRule="auto"/>
        <w:ind w:left="794" w:hanging="794"/>
        <w:rPr>
          <w:sz w:val="16"/>
          <w:szCs w:val="16"/>
        </w:rPr>
      </w:pPr>
      <w:r w:rsidRPr="006C6A65">
        <w:rPr>
          <w:b/>
          <w:sz w:val="16"/>
          <w:szCs w:val="16"/>
        </w:rPr>
        <w:lastRenderedPageBreak/>
        <w:t xml:space="preserve">Table </w:t>
      </w:r>
      <w:r w:rsidR="00B03744">
        <w:rPr>
          <w:b/>
          <w:sz w:val="16"/>
          <w:szCs w:val="16"/>
        </w:rPr>
        <w:t>1</w:t>
      </w:r>
      <w:r w:rsidR="0078302F">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Pr>
          <w:rFonts w:cs="Arial"/>
          <w:sz w:val="16"/>
          <w:szCs w:val="16"/>
        </w:rPr>
        <w:t xml:space="preserve">1 </w:t>
      </w:r>
      <w:r w:rsidR="002B731D">
        <w:rPr>
          <w:rFonts w:cs="Arial"/>
          <w:sz w:val="16"/>
          <w:szCs w:val="16"/>
        </w:rPr>
        <w:t>April</w:t>
      </w:r>
      <w:r>
        <w:rPr>
          <w:rFonts w:cs="Arial"/>
          <w:sz w:val="16"/>
          <w:szCs w:val="16"/>
        </w:rPr>
        <w:t xml:space="preserve"> 2020 to </w:t>
      </w:r>
      <w:r w:rsidR="00C02DC0">
        <w:rPr>
          <w:rFonts w:cs="Arial"/>
          <w:sz w:val="16"/>
          <w:szCs w:val="16"/>
        </w:rPr>
        <w:t>30 June</w:t>
      </w:r>
      <w:r>
        <w:rPr>
          <w:rFonts w:cs="Arial"/>
          <w:sz w:val="16"/>
          <w:szCs w:val="16"/>
        </w:rPr>
        <w:t xml:space="preserve"> 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63787B"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63787B" w:rsidRPr="0040594D" w:rsidRDefault="0063787B" w:rsidP="0063787B">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4EBD6C22" w:rsidR="0063787B" w:rsidRPr="0040594D" w:rsidRDefault="0063787B" w:rsidP="0063787B">
            <w:pPr>
              <w:spacing w:line="240" w:lineRule="auto"/>
              <w:jc w:val="right"/>
              <w:rPr>
                <w:rFonts w:cs="Arial"/>
                <w:b/>
                <w:bCs/>
                <w:lang w:eastAsia="en-AU"/>
              </w:rPr>
            </w:pPr>
            <w:r>
              <w:rPr>
                <w:b/>
                <w:lang w:eastAsia="en-AU"/>
              </w:rPr>
              <w:t>Qtr 48</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5A93389E" w:rsidR="0063787B" w:rsidRPr="0040594D" w:rsidRDefault="0063787B" w:rsidP="0063787B">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tcPr>
          <w:p w14:paraId="1054C6DC" w14:textId="7B06054D" w:rsidR="0063787B" w:rsidRPr="0040594D" w:rsidRDefault="0063787B" w:rsidP="0063787B">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1F5DA131" w14:textId="5A8E8E68" w:rsidR="0063787B" w:rsidRPr="0040594D" w:rsidRDefault="0063787B" w:rsidP="0063787B">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65FDA246" w14:textId="03D693A0" w:rsidR="0063787B" w:rsidRPr="0040594D" w:rsidRDefault="0063787B" w:rsidP="0063787B">
            <w:pPr>
              <w:spacing w:line="240" w:lineRule="auto"/>
              <w:jc w:val="right"/>
              <w:rPr>
                <w:rFonts w:cs="Arial"/>
                <w:b/>
                <w:bCs/>
                <w:lang w:eastAsia="en-AU"/>
              </w:rPr>
            </w:pPr>
            <w:r>
              <w:rPr>
                <w:b/>
                <w:lang w:eastAsia="en-AU"/>
              </w:rPr>
              <w:t>Qtr 52</w:t>
            </w:r>
          </w:p>
        </w:tc>
      </w:tr>
      <w:tr w:rsidR="008B37CC" w:rsidRPr="0094558B" w14:paraId="7D13DCEB"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8B37CC" w:rsidRPr="00640E37" w:rsidRDefault="008B37CC" w:rsidP="008B37CC">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7C25E359" w:rsidR="008B37CC" w:rsidRPr="00BF08AE" w:rsidRDefault="008B37CC" w:rsidP="008B37CC">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29404FCD" w:rsidR="008B37CC" w:rsidRPr="00BF08AE" w:rsidRDefault="008B37CC" w:rsidP="008B37CC">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vAlign w:val="bottom"/>
          </w:tcPr>
          <w:p w14:paraId="4305F345" w14:textId="3CCF2940" w:rsidR="008B37CC" w:rsidRPr="00BF08AE" w:rsidRDefault="008B37CC" w:rsidP="008B37CC">
            <w:pPr>
              <w:spacing w:line="240" w:lineRule="auto"/>
              <w:jc w:val="right"/>
              <w:rPr>
                <w:rFonts w:cs="Arial"/>
                <w:bCs/>
                <w:lang w:eastAsia="en-AU"/>
              </w:rPr>
            </w:pPr>
            <w:r w:rsidRPr="00BF08AE">
              <w:rPr>
                <w:rFonts w:cs="Arial"/>
              </w:rPr>
              <w:t>2</w:t>
            </w:r>
          </w:p>
        </w:tc>
        <w:tc>
          <w:tcPr>
            <w:tcW w:w="784" w:type="dxa"/>
            <w:tcBorders>
              <w:top w:val="single" w:sz="4" w:space="0" w:color="auto"/>
              <w:left w:val="nil"/>
              <w:bottom w:val="single" w:sz="4" w:space="0" w:color="auto"/>
              <w:right w:val="single" w:sz="4" w:space="0" w:color="auto"/>
            </w:tcBorders>
            <w:vAlign w:val="bottom"/>
          </w:tcPr>
          <w:p w14:paraId="56527CC6" w14:textId="0ADE8514" w:rsidR="008B37CC" w:rsidRPr="00BF08AE" w:rsidRDefault="008B37CC" w:rsidP="008B37CC">
            <w:pPr>
              <w:spacing w:line="240" w:lineRule="auto"/>
              <w:jc w:val="right"/>
              <w:rPr>
                <w:rFonts w:cs="Arial"/>
                <w:bCs/>
                <w:lang w:eastAsia="en-AU"/>
              </w:rPr>
            </w:pPr>
            <w:r w:rsidRPr="00BF08AE">
              <w:rPr>
                <w:rFonts w:cs="Arial"/>
              </w:rPr>
              <w:t>3</w:t>
            </w:r>
          </w:p>
        </w:tc>
        <w:tc>
          <w:tcPr>
            <w:tcW w:w="784" w:type="dxa"/>
            <w:tcBorders>
              <w:top w:val="single" w:sz="4" w:space="0" w:color="auto"/>
              <w:left w:val="nil"/>
              <w:bottom w:val="single" w:sz="4" w:space="0" w:color="auto"/>
              <w:right w:val="single" w:sz="4" w:space="0" w:color="auto"/>
            </w:tcBorders>
            <w:vAlign w:val="bottom"/>
          </w:tcPr>
          <w:p w14:paraId="3589A88C" w14:textId="76AB9006" w:rsidR="008B37CC" w:rsidRPr="008B37CC" w:rsidRDefault="008B37CC" w:rsidP="008B37CC">
            <w:pPr>
              <w:spacing w:line="240" w:lineRule="auto"/>
              <w:jc w:val="right"/>
              <w:rPr>
                <w:rFonts w:cs="Arial"/>
                <w:b/>
                <w:bCs/>
                <w:lang w:eastAsia="en-AU"/>
              </w:rPr>
            </w:pPr>
            <w:r w:rsidRPr="008B37CC">
              <w:rPr>
                <w:rFonts w:cs="Arial"/>
              </w:rPr>
              <w:t>2</w:t>
            </w:r>
          </w:p>
        </w:tc>
      </w:tr>
      <w:tr w:rsidR="008B37CC" w:rsidRPr="00650B45" w14:paraId="72658614"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8B37CC" w:rsidRPr="00640E37" w:rsidRDefault="008B37CC" w:rsidP="008B37CC">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50C5DAF8" w:rsidR="008B37CC" w:rsidRPr="00BF08AE" w:rsidRDefault="008B37CC" w:rsidP="008B37CC">
            <w:pPr>
              <w:spacing w:line="240" w:lineRule="auto"/>
              <w:jc w:val="right"/>
              <w:rPr>
                <w:rFonts w:cs="Arial"/>
                <w:lang w:eastAsia="en-AU"/>
              </w:rPr>
            </w:pPr>
            <w:r w:rsidRPr="00BF08AE">
              <w:rPr>
                <w:rFonts w:cs="Arial"/>
              </w:rPr>
              <w:t>15</w:t>
            </w:r>
          </w:p>
        </w:tc>
        <w:tc>
          <w:tcPr>
            <w:tcW w:w="784" w:type="dxa"/>
            <w:tcBorders>
              <w:top w:val="nil"/>
              <w:left w:val="nil"/>
              <w:bottom w:val="single" w:sz="4" w:space="0" w:color="auto"/>
              <w:right w:val="single" w:sz="4" w:space="0" w:color="auto"/>
            </w:tcBorders>
            <w:shd w:val="clear" w:color="auto" w:fill="auto"/>
            <w:vAlign w:val="bottom"/>
          </w:tcPr>
          <w:p w14:paraId="216D33A7" w14:textId="0E6808DC" w:rsidR="008B37CC" w:rsidRPr="00BF08AE" w:rsidRDefault="008B37CC" w:rsidP="008B37CC">
            <w:pPr>
              <w:spacing w:line="240" w:lineRule="auto"/>
              <w:jc w:val="right"/>
              <w:rPr>
                <w:rFonts w:cs="Arial"/>
                <w:lang w:eastAsia="en-AU"/>
              </w:rPr>
            </w:pPr>
            <w:r w:rsidRPr="00BF08AE">
              <w:rPr>
                <w:rFonts w:cs="Arial"/>
              </w:rPr>
              <w:t>0</w:t>
            </w:r>
          </w:p>
        </w:tc>
        <w:tc>
          <w:tcPr>
            <w:tcW w:w="784" w:type="dxa"/>
            <w:tcBorders>
              <w:top w:val="nil"/>
              <w:left w:val="nil"/>
              <w:bottom w:val="single" w:sz="4" w:space="0" w:color="auto"/>
              <w:right w:val="single" w:sz="4" w:space="0" w:color="auto"/>
            </w:tcBorders>
            <w:vAlign w:val="bottom"/>
          </w:tcPr>
          <w:p w14:paraId="756351B3" w14:textId="56DC8B09" w:rsidR="008B37CC" w:rsidRPr="00BF08AE" w:rsidRDefault="008B37CC" w:rsidP="008B37CC">
            <w:pPr>
              <w:spacing w:line="240" w:lineRule="auto"/>
              <w:jc w:val="right"/>
              <w:rPr>
                <w:rFonts w:cs="Arial"/>
                <w:lang w:eastAsia="en-AU"/>
              </w:rPr>
            </w:pPr>
            <w:r w:rsidRPr="00BF08AE">
              <w:rPr>
                <w:rFonts w:cs="Arial"/>
              </w:rPr>
              <w:t>18</w:t>
            </w:r>
          </w:p>
        </w:tc>
        <w:tc>
          <w:tcPr>
            <w:tcW w:w="784" w:type="dxa"/>
            <w:tcBorders>
              <w:top w:val="nil"/>
              <w:left w:val="nil"/>
              <w:bottom w:val="single" w:sz="4" w:space="0" w:color="auto"/>
              <w:right w:val="single" w:sz="4" w:space="0" w:color="auto"/>
            </w:tcBorders>
            <w:vAlign w:val="bottom"/>
          </w:tcPr>
          <w:p w14:paraId="7E423D87" w14:textId="49BB3DFE" w:rsidR="008B37CC" w:rsidRPr="00BF08AE" w:rsidRDefault="008B37CC" w:rsidP="008B37CC">
            <w:pPr>
              <w:spacing w:line="240" w:lineRule="auto"/>
              <w:jc w:val="right"/>
              <w:rPr>
                <w:rFonts w:cs="Arial"/>
                <w:lang w:eastAsia="en-AU"/>
              </w:rPr>
            </w:pPr>
            <w:r w:rsidRPr="00BF08AE">
              <w:rPr>
                <w:rFonts w:cs="Arial"/>
              </w:rPr>
              <w:t>7</w:t>
            </w:r>
          </w:p>
        </w:tc>
        <w:tc>
          <w:tcPr>
            <w:tcW w:w="784" w:type="dxa"/>
            <w:tcBorders>
              <w:top w:val="nil"/>
              <w:left w:val="nil"/>
              <w:bottom w:val="single" w:sz="4" w:space="0" w:color="auto"/>
              <w:right w:val="single" w:sz="4" w:space="0" w:color="auto"/>
            </w:tcBorders>
            <w:vAlign w:val="bottom"/>
          </w:tcPr>
          <w:p w14:paraId="4E3F6DD6" w14:textId="458C7C8F" w:rsidR="008B37CC" w:rsidRPr="008B37CC" w:rsidRDefault="008B37CC" w:rsidP="008B37CC">
            <w:pPr>
              <w:spacing w:line="240" w:lineRule="auto"/>
              <w:jc w:val="right"/>
              <w:rPr>
                <w:rFonts w:cs="Arial"/>
                <w:b/>
                <w:lang w:eastAsia="en-AU"/>
              </w:rPr>
            </w:pPr>
            <w:r w:rsidRPr="008B37CC">
              <w:rPr>
                <w:rFonts w:cs="Arial"/>
              </w:rPr>
              <w:t>18</w:t>
            </w:r>
          </w:p>
        </w:tc>
      </w:tr>
      <w:tr w:rsidR="008B37CC" w:rsidRPr="00650B45" w14:paraId="25B410FB"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8B37CC" w:rsidRPr="00640E37" w:rsidRDefault="008B37CC" w:rsidP="008B37CC">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2FBC812C" w:rsidR="008B37CC" w:rsidRPr="00BF08AE" w:rsidRDefault="008B37CC" w:rsidP="008B37CC">
            <w:pPr>
              <w:spacing w:line="240" w:lineRule="auto"/>
              <w:jc w:val="right"/>
              <w:rPr>
                <w:rFonts w:cs="Arial"/>
                <w:lang w:eastAsia="en-AU"/>
              </w:rPr>
            </w:pPr>
            <w:r w:rsidRPr="00BF08AE">
              <w:rPr>
                <w:rFonts w:cs="Arial"/>
              </w:rPr>
              <w:t>17</w:t>
            </w:r>
          </w:p>
        </w:tc>
        <w:tc>
          <w:tcPr>
            <w:tcW w:w="784" w:type="dxa"/>
            <w:tcBorders>
              <w:top w:val="nil"/>
              <w:left w:val="nil"/>
              <w:bottom w:val="single" w:sz="4" w:space="0" w:color="auto"/>
              <w:right w:val="single" w:sz="4" w:space="0" w:color="auto"/>
            </w:tcBorders>
            <w:shd w:val="clear" w:color="auto" w:fill="auto"/>
            <w:vAlign w:val="bottom"/>
          </w:tcPr>
          <w:p w14:paraId="66883E4E" w14:textId="37581C4F" w:rsidR="008B37CC" w:rsidRPr="00BF08AE" w:rsidRDefault="008B37CC" w:rsidP="008B37CC">
            <w:pPr>
              <w:spacing w:line="240" w:lineRule="auto"/>
              <w:jc w:val="right"/>
              <w:rPr>
                <w:rFonts w:cs="Arial"/>
                <w:lang w:eastAsia="en-AU"/>
              </w:rPr>
            </w:pPr>
            <w:r w:rsidRPr="00BF08AE">
              <w:rPr>
                <w:rFonts w:cs="Arial"/>
              </w:rPr>
              <w:t>34</w:t>
            </w:r>
          </w:p>
        </w:tc>
        <w:tc>
          <w:tcPr>
            <w:tcW w:w="784" w:type="dxa"/>
            <w:tcBorders>
              <w:top w:val="nil"/>
              <w:left w:val="nil"/>
              <w:bottom w:val="single" w:sz="4" w:space="0" w:color="auto"/>
              <w:right w:val="single" w:sz="4" w:space="0" w:color="auto"/>
            </w:tcBorders>
            <w:vAlign w:val="bottom"/>
          </w:tcPr>
          <w:p w14:paraId="13CB2682" w14:textId="03835B41" w:rsidR="008B37CC" w:rsidRPr="00BF08AE" w:rsidRDefault="008B37CC" w:rsidP="008B37CC">
            <w:pPr>
              <w:spacing w:line="240" w:lineRule="auto"/>
              <w:jc w:val="right"/>
              <w:rPr>
                <w:rFonts w:cs="Arial"/>
                <w:lang w:eastAsia="en-AU"/>
              </w:rPr>
            </w:pPr>
            <w:r w:rsidRPr="00BF08AE">
              <w:rPr>
                <w:rFonts w:cs="Arial"/>
              </w:rPr>
              <w:t>31</w:t>
            </w:r>
          </w:p>
        </w:tc>
        <w:tc>
          <w:tcPr>
            <w:tcW w:w="784" w:type="dxa"/>
            <w:tcBorders>
              <w:top w:val="nil"/>
              <w:left w:val="nil"/>
              <w:bottom w:val="single" w:sz="4" w:space="0" w:color="auto"/>
              <w:right w:val="single" w:sz="4" w:space="0" w:color="auto"/>
            </w:tcBorders>
            <w:vAlign w:val="bottom"/>
          </w:tcPr>
          <w:p w14:paraId="7390F97A" w14:textId="69AD743F" w:rsidR="008B37CC" w:rsidRPr="00BF08AE" w:rsidRDefault="008B37CC" w:rsidP="008B37CC">
            <w:pPr>
              <w:spacing w:line="240" w:lineRule="auto"/>
              <w:jc w:val="right"/>
              <w:rPr>
                <w:rFonts w:cs="Arial"/>
                <w:lang w:eastAsia="en-AU"/>
              </w:rPr>
            </w:pPr>
            <w:r w:rsidRPr="00BF08AE">
              <w:rPr>
                <w:rFonts w:cs="Arial"/>
              </w:rPr>
              <w:t>58</w:t>
            </w:r>
          </w:p>
        </w:tc>
        <w:tc>
          <w:tcPr>
            <w:tcW w:w="784" w:type="dxa"/>
            <w:tcBorders>
              <w:top w:val="nil"/>
              <w:left w:val="nil"/>
              <w:bottom w:val="single" w:sz="4" w:space="0" w:color="auto"/>
              <w:right w:val="single" w:sz="4" w:space="0" w:color="auto"/>
            </w:tcBorders>
            <w:vAlign w:val="bottom"/>
          </w:tcPr>
          <w:p w14:paraId="1BBFBCA0" w14:textId="62786FC5" w:rsidR="008B37CC" w:rsidRPr="008B37CC" w:rsidRDefault="008B37CC" w:rsidP="008B37CC">
            <w:pPr>
              <w:spacing w:line="240" w:lineRule="auto"/>
              <w:jc w:val="right"/>
              <w:rPr>
                <w:rFonts w:cs="Arial"/>
                <w:b/>
                <w:lang w:eastAsia="en-AU"/>
              </w:rPr>
            </w:pPr>
            <w:r w:rsidRPr="008B37CC">
              <w:rPr>
                <w:rFonts w:cs="Arial"/>
              </w:rPr>
              <w:t>34</w:t>
            </w:r>
          </w:p>
        </w:tc>
      </w:tr>
      <w:tr w:rsidR="008B37CC" w:rsidRPr="00557E24" w14:paraId="6DD4ED1F"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8B37CC" w:rsidRPr="00557E24" w:rsidRDefault="008B37CC" w:rsidP="008B37CC">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5A24ECC9" w:rsidR="008B37CC" w:rsidRPr="00BF08AE" w:rsidRDefault="008B37CC" w:rsidP="008B37CC">
            <w:pPr>
              <w:spacing w:line="240" w:lineRule="auto"/>
              <w:jc w:val="right"/>
              <w:rPr>
                <w:rFonts w:cs="Arial"/>
                <w:b/>
                <w:lang w:eastAsia="en-AU"/>
              </w:rPr>
            </w:pPr>
            <w:r w:rsidRPr="00BF08AE">
              <w:rPr>
                <w:rFonts w:cs="Arial"/>
                <w:b/>
                <w:bCs/>
              </w:rPr>
              <w:t>32</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7A5150E1" w:rsidR="008B37CC" w:rsidRPr="00BF08AE" w:rsidRDefault="008B37CC" w:rsidP="008B37CC">
            <w:pPr>
              <w:spacing w:line="240" w:lineRule="auto"/>
              <w:jc w:val="right"/>
              <w:rPr>
                <w:rFonts w:cs="Arial"/>
                <w:b/>
                <w:lang w:eastAsia="en-AU"/>
              </w:rPr>
            </w:pPr>
            <w:r w:rsidRPr="00BF08AE">
              <w:rPr>
                <w:rFonts w:cs="Arial"/>
                <w:b/>
                <w:bCs/>
              </w:rPr>
              <w:t>34</w:t>
            </w:r>
          </w:p>
        </w:tc>
        <w:tc>
          <w:tcPr>
            <w:tcW w:w="784" w:type="dxa"/>
            <w:tcBorders>
              <w:top w:val="single" w:sz="4" w:space="0" w:color="auto"/>
              <w:left w:val="nil"/>
              <w:bottom w:val="single" w:sz="4" w:space="0" w:color="auto"/>
              <w:right w:val="single" w:sz="4" w:space="0" w:color="auto"/>
            </w:tcBorders>
            <w:vAlign w:val="bottom"/>
          </w:tcPr>
          <w:p w14:paraId="55F6868D" w14:textId="2D0A30FD" w:rsidR="008B37CC" w:rsidRPr="00BF08AE" w:rsidRDefault="008B37CC" w:rsidP="008B37CC">
            <w:pPr>
              <w:spacing w:line="240" w:lineRule="auto"/>
              <w:jc w:val="right"/>
              <w:rPr>
                <w:rFonts w:cs="Arial"/>
                <w:b/>
                <w:lang w:eastAsia="en-AU"/>
              </w:rPr>
            </w:pPr>
            <w:r w:rsidRPr="00BF08AE">
              <w:rPr>
                <w:rFonts w:cs="Arial"/>
                <w:b/>
                <w:bCs/>
              </w:rPr>
              <w:t>51</w:t>
            </w:r>
          </w:p>
        </w:tc>
        <w:tc>
          <w:tcPr>
            <w:tcW w:w="784" w:type="dxa"/>
            <w:tcBorders>
              <w:top w:val="single" w:sz="4" w:space="0" w:color="auto"/>
              <w:left w:val="nil"/>
              <w:bottom w:val="single" w:sz="4" w:space="0" w:color="auto"/>
              <w:right w:val="single" w:sz="4" w:space="0" w:color="auto"/>
            </w:tcBorders>
            <w:vAlign w:val="bottom"/>
          </w:tcPr>
          <w:p w14:paraId="6D94AB62" w14:textId="34BD63CC" w:rsidR="008B37CC" w:rsidRPr="00BF08AE" w:rsidRDefault="008B37CC" w:rsidP="008B37CC">
            <w:pPr>
              <w:spacing w:line="240" w:lineRule="auto"/>
              <w:jc w:val="right"/>
              <w:rPr>
                <w:rFonts w:cs="Arial"/>
                <w:b/>
                <w:lang w:eastAsia="en-AU"/>
              </w:rPr>
            </w:pPr>
            <w:r w:rsidRPr="00BF08AE">
              <w:rPr>
                <w:rFonts w:cs="Arial"/>
                <w:b/>
                <w:bCs/>
              </w:rPr>
              <w:t>68</w:t>
            </w:r>
          </w:p>
        </w:tc>
        <w:tc>
          <w:tcPr>
            <w:tcW w:w="784" w:type="dxa"/>
            <w:tcBorders>
              <w:top w:val="single" w:sz="4" w:space="0" w:color="auto"/>
              <w:left w:val="nil"/>
              <w:bottom w:val="single" w:sz="4" w:space="0" w:color="auto"/>
              <w:right w:val="single" w:sz="4" w:space="0" w:color="auto"/>
            </w:tcBorders>
            <w:vAlign w:val="bottom"/>
          </w:tcPr>
          <w:p w14:paraId="7B7FB879" w14:textId="532AC2C4" w:rsidR="008B37CC" w:rsidRPr="008B37CC" w:rsidRDefault="008B37CC" w:rsidP="008B37CC">
            <w:pPr>
              <w:spacing w:line="240" w:lineRule="auto"/>
              <w:jc w:val="right"/>
              <w:rPr>
                <w:rFonts w:cs="Arial"/>
                <w:b/>
                <w:lang w:eastAsia="en-AU"/>
              </w:rPr>
            </w:pPr>
            <w:r w:rsidRPr="008B37CC">
              <w:rPr>
                <w:rFonts w:cs="Arial"/>
                <w:b/>
                <w:bCs/>
              </w:rPr>
              <w:t>54</w:t>
            </w:r>
          </w:p>
        </w:tc>
      </w:tr>
    </w:tbl>
    <w:p w14:paraId="19D7B370" w14:textId="18EEF851" w:rsidR="006F3C25" w:rsidRDefault="006F3C25" w:rsidP="00DD1B0A">
      <w:pPr>
        <w:ind w:left="-142" w:right="-425"/>
        <w:jc w:val="both"/>
        <w:rPr>
          <w:rFonts w:cs="Arial"/>
        </w:rPr>
      </w:pPr>
    </w:p>
    <w:p w14:paraId="7BAE3B75" w14:textId="7C598C1A" w:rsidR="005A5B78" w:rsidRPr="002D4651" w:rsidRDefault="005A5B78" w:rsidP="00D51DFA">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34C6D597" w:rsidR="00C872F0" w:rsidRDefault="006F3F88" w:rsidP="00964A63">
      <w:pPr>
        <w:ind w:left="-142" w:right="-425"/>
        <w:jc w:val="both"/>
        <w:rPr>
          <w:rFonts w:cs="Arial"/>
        </w:rPr>
      </w:pPr>
      <w:r>
        <w:rPr>
          <w:rFonts w:cs="Arial"/>
        </w:rPr>
        <w:t xml:space="preserve">A total of 136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111D8A">
        <w:rPr>
          <w:rFonts w:cs="Arial"/>
        </w:rPr>
        <w:t>113</w:t>
      </w:r>
      <w:r w:rsidR="00111D8A" w:rsidRPr="003573E3">
        <w:rPr>
          <w:rFonts w:cs="Arial"/>
        </w:rPr>
        <w:t xml:space="preserve"> </w:t>
      </w:r>
      <w:r w:rsidR="001E5AFF" w:rsidRPr="003573E3">
        <w:rPr>
          <w:rFonts w:cs="Arial"/>
        </w:rPr>
        <w:t xml:space="preserve">clients </w:t>
      </w:r>
      <w:r>
        <w:rPr>
          <w:rFonts w:cs="Arial"/>
        </w:rPr>
        <w:t xml:space="preserve">were made in quarter 52, a </w:t>
      </w:r>
      <w:r w:rsidR="00111D8A">
        <w:rPr>
          <w:rFonts w:cs="Arial"/>
        </w:rPr>
        <w:t>decrease</w:t>
      </w:r>
      <w:r w:rsidR="00111D8A" w:rsidRPr="003573E3">
        <w:rPr>
          <w:rFonts w:cs="Arial"/>
        </w:rPr>
        <w:t xml:space="preserve"> </w:t>
      </w:r>
      <w:r w:rsidR="00FE0076" w:rsidRPr="003573E3">
        <w:rPr>
          <w:rFonts w:cs="Arial"/>
        </w:rPr>
        <w:t xml:space="preserve">from </w:t>
      </w:r>
      <w:r w:rsidR="00111D8A">
        <w:rPr>
          <w:rFonts w:cs="Arial"/>
        </w:rPr>
        <w:t>154</w:t>
      </w:r>
      <w:r w:rsidR="00111D8A" w:rsidRPr="003573E3">
        <w:rPr>
          <w:rFonts w:cs="Arial"/>
        </w:rPr>
        <w:t xml:space="preserve"> </w:t>
      </w:r>
      <w:r>
        <w:rPr>
          <w:rFonts w:cs="Arial"/>
        </w:rPr>
        <w:t xml:space="preserve">referrals </w:t>
      </w:r>
      <w:r w:rsidR="00FE0076" w:rsidRPr="003573E3">
        <w:rPr>
          <w:rFonts w:cs="Arial"/>
        </w:rPr>
        <w:t xml:space="preserve">in </w:t>
      </w:r>
      <w:r w:rsidR="000257CF" w:rsidRPr="003573E3">
        <w:rPr>
          <w:rFonts w:cs="Arial"/>
        </w:rPr>
        <w:t xml:space="preserve">quarter </w:t>
      </w:r>
      <w:r w:rsidR="000D0A4E">
        <w:rPr>
          <w:rFonts w:cs="Arial"/>
        </w:rPr>
        <w:t>51</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C755B0" w:rsidRPr="003573E3">
        <w:rPr>
          <w:rFonts w:cs="Arial"/>
        </w:rPr>
        <w:t>2</w:t>
      </w:r>
      <w:r w:rsidR="00111D8A">
        <w:rPr>
          <w:rFonts w:cs="Arial"/>
        </w:rPr>
        <w:t>65</w:t>
      </w:r>
      <w:r w:rsidR="00633907" w:rsidRPr="003573E3">
        <w:rPr>
          <w:rFonts w:cs="Arial"/>
        </w:rPr>
        <w:t xml:space="preserve"> clients</w:t>
      </w:r>
      <w:r w:rsidR="007E6EC6" w:rsidRPr="003573E3">
        <w:rPr>
          <w:rFonts w:cs="Arial"/>
        </w:rPr>
        <w:t xml:space="preserve"> </w:t>
      </w:r>
      <w:r w:rsidR="00EE3BD8" w:rsidRPr="003573E3">
        <w:rPr>
          <w:rFonts w:cs="Arial"/>
        </w:rPr>
        <w:t>(</w:t>
      </w:r>
      <w:r w:rsidR="00CF6A34">
        <w:rPr>
          <w:rFonts w:cs="Arial"/>
        </w:rPr>
        <w:t>6</w:t>
      </w:r>
      <w:r w:rsidR="00111D8A">
        <w:rPr>
          <w:rFonts w:cs="Arial"/>
        </w:rPr>
        <w:t>63</w:t>
      </w:r>
      <w:r w:rsidR="00CF6A34" w:rsidRPr="003573E3">
        <w:rPr>
          <w:rFonts w:cs="Arial"/>
        </w:rPr>
        <w:t xml:space="preserve"> </w:t>
      </w:r>
      <w:r w:rsidR="00EE3BD8" w:rsidRPr="003573E3">
        <w:rPr>
          <w:rFonts w:cs="Arial"/>
        </w:rPr>
        <w:t xml:space="preserve">female and </w:t>
      </w:r>
      <w:r w:rsidR="00111D8A">
        <w:rPr>
          <w:rFonts w:cs="Arial"/>
        </w:rPr>
        <w:t>602</w:t>
      </w:r>
      <w:r w:rsidR="00111D8A"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111D8A">
        <w:rPr>
          <w:rFonts w:cs="Arial"/>
        </w:rPr>
        <w:t>decreased</w:t>
      </w:r>
      <w:r w:rsidR="00111D8A" w:rsidRPr="0040025B">
        <w:rPr>
          <w:rFonts w:cs="Arial"/>
        </w:rPr>
        <w:t xml:space="preserve"> </w:t>
      </w:r>
      <w:r w:rsidR="00A27155" w:rsidRPr="0040025B">
        <w:rPr>
          <w:rFonts w:cs="Arial"/>
        </w:rPr>
        <w:t xml:space="preserve">by </w:t>
      </w:r>
      <w:r w:rsidR="00111D8A">
        <w:rPr>
          <w:rFonts w:cs="Arial"/>
        </w:rPr>
        <w:t>4</w:t>
      </w:r>
      <w:r w:rsidR="00C22D29">
        <w:rPr>
          <w:rFonts w:cs="Arial"/>
        </w:rPr>
        <w:t>3</w:t>
      </w:r>
      <w:r w:rsidR="001E5AFF">
        <w:rPr>
          <w:rFonts w:cs="Arial"/>
        </w:rPr>
        <w:t>,</w:t>
      </w:r>
      <w:r w:rsidR="005A5B78" w:rsidRPr="0040025B">
        <w:rPr>
          <w:rFonts w:cs="Arial"/>
        </w:rPr>
        <w:t xml:space="preserve"> Coen </w:t>
      </w:r>
      <w:r w:rsidR="004967D7">
        <w:rPr>
          <w:rFonts w:cs="Arial"/>
        </w:rPr>
        <w:t xml:space="preserve">increased </w:t>
      </w:r>
      <w:r w:rsidR="00F751CA">
        <w:rPr>
          <w:rFonts w:cs="Arial"/>
        </w:rPr>
        <w:t xml:space="preserve">by </w:t>
      </w:r>
      <w:r w:rsidR="004967D7">
        <w:rPr>
          <w:rFonts w:cs="Arial"/>
        </w:rPr>
        <w:t>9</w:t>
      </w:r>
      <w:r w:rsidR="001E5AFF">
        <w:rPr>
          <w:rFonts w:cs="Arial"/>
        </w:rPr>
        <w:t>,</w:t>
      </w:r>
      <w:r w:rsidR="005A5B78" w:rsidRPr="0040025B">
        <w:rPr>
          <w:rFonts w:cs="Arial"/>
        </w:rPr>
        <w:t xml:space="preserve"> </w:t>
      </w:r>
      <w:r w:rsidR="00CB55CE" w:rsidRPr="0040025B">
        <w:rPr>
          <w:rFonts w:cs="Arial"/>
        </w:rPr>
        <w:t xml:space="preserve">Doomadgee </w:t>
      </w:r>
      <w:r w:rsidR="004967D7">
        <w:rPr>
          <w:rFonts w:cs="Arial"/>
        </w:rPr>
        <w:t xml:space="preserve">increased </w:t>
      </w:r>
      <w:r w:rsidR="00533727">
        <w:rPr>
          <w:rFonts w:cs="Arial"/>
        </w:rPr>
        <w:t xml:space="preserve">by </w:t>
      </w:r>
      <w:r w:rsidR="004967D7">
        <w:rPr>
          <w:rFonts w:cs="Arial"/>
        </w:rPr>
        <w:t>4</w:t>
      </w:r>
      <w:r w:rsidR="001E5AFF">
        <w:rPr>
          <w:rFonts w:cs="Arial"/>
        </w:rPr>
        <w:t>,</w:t>
      </w:r>
      <w:r w:rsidR="00533727">
        <w:rPr>
          <w:rFonts w:cs="Arial"/>
        </w:rPr>
        <w:t xml:space="preserve"> </w:t>
      </w:r>
      <w:r w:rsidR="003C0891">
        <w:rPr>
          <w:rFonts w:cs="Arial"/>
        </w:rPr>
        <w:t xml:space="preserve">Hope Vale </w:t>
      </w:r>
      <w:r w:rsidR="00B0165E">
        <w:rPr>
          <w:rFonts w:cs="Arial"/>
        </w:rPr>
        <w:t xml:space="preserve">increased </w:t>
      </w:r>
      <w:r w:rsidR="00F45AA8">
        <w:rPr>
          <w:rFonts w:cs="Arial"/>
        </w:rPr>
        <w:t xml:space="preserve">by </w:t>
      </w:r>
      <w:r w:rsidR="004967D7">
        <w:rPr>
          <w:rFonts w:cs="Arial"/>
        </w:rPr>
        <w:t>5</w:t>
      </w:r>
      <w:r w:rsidR="00B0165E">
        <w:rPr>
          <w:rFonts w:cs="Arial"/>
        </w:rPr>
        <w:t xml:space="preserve"> </w:t>
      </w:r>
      <w:r w:rsidR="00604D65">
        <w:rPr>
          <w:rFonts w:cs="Arial"/>
        </w:rPr>
        <w:t xml:space="preserve">and Mossman Gorge </w:t>
      </w:r>
      <w:r w:rsidR="00C22D29">
        <w:rPr>
          <w:rFonts w:cs="Arial"/>
        </w:rPr>
        <w:t xml:space="preserve">increased </w:t>
      </w:r>
      <w:r w:rsidR="00F45AA8">
        <w:rPr>
          <w:rFonts w:cs="Arial"/>
        </w:rPr>
        <w:t xml:space="preserve">by </w:t>
      </w:r>
      <w:r w:rsidR="004967D7">
        <w:rPr>
          <w:rFonts w:cs="Arial"/>
        </w:rPr>
        <w:t>7</w:t>
      </w:r>
      <w:r w:rsidR="00604D65">
        <w:rPr>
          <w:rFonts w:cs="Arial"/>
        </w:rPr>
        <w:t>.</w:t>
      </w:r>
    </w:p>
    <w:p w14:paraId="4AFCDCBE" w14:textId="77777777" w:rsidR="007E5A38" w:rsidRDefault="007E5A38" w:rsidP="00964A63">
      <w:pPr>
        <w:ind w:left="-142" w:right="-425"/>
        <w:jc w:val="both"/>
        <w:rPr>
          <w:rFonts w:cs="Arial"/>
        </w:rPr>
      </w:pPr>
    </w:p>
    <w:p w14:paraId="03070AD3" w14:textId="7FFBEEE1" w:rsidR="007E5A38" w:rsidRPr="00D925BE" w:rsidRDefault="007E5A38" w:rsidP="007E5A38">
      <w:pPr>
        <w:pStyle w:val="TableCaption"/>
        <w:spacing w:before="0"/>
        <w:ind w:left="0" w:right="-425"/>
        <w:rPr>
          <w:b/>
          <w:i w:val="0"/>
          <w:sz w:val="16"/>
        </w:rPr>
      </w:pPr>
      <w:r>
        <w:rPr>
          <w:b/>
          <w:i w:val="0"/>
          <w:sz w:val="16"/>
        </w:rPr>
        <w:t>Table 17</w:t>
      </w:r>
      <w:r w:rsidRPr="00F85AA1">
        <w:rPr>
          <w:b/>
          <w:i w:val="0"/>
          <w:sz w:val="16"/>
        </w:rPr>
        <w:t xml:space="preserve">: </w:t>
      </w:r>
      <w:r w:rsidRPr="00F85AA1">
        <w:rPr>
          <w:i w:val="0"/>
          <w:sz w:val="16"/>
        </w:rPr>
        <w:t xml:space="preserve">Referral pathways by referral type and quarter 1 </w:t>
      </w:r>
      <w:r>
        <w:rPr>
          <w:i w:val="0"/>
          <w:sz w:val="16"/>
        </w:rPr>
        <w:t>April 2020 to 30 June 2021</w:t>
      </w:r>
      <w:r w:rsidRPr="00F85AA1">
        <w:rPr>
          <w:i w:val="0"/>
          <w:sz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7E5A38" w:rsidRPr="00C5395B" w14:paraId="6791980A" w14:textId="77777777" w:rsidTr="00A6030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03704C3" w14:textId="77777777" w:rsidR="007E5A38" w:rsidRPr="00C5395B" w:rsidRDefault="007E5A38" w:rsidP="007E5A38">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19BE8AF4" w14:textId="5C28CCEB" w:rsidR="007E5A38" w:rsidRDefault="007E5A38" w:rsidP="007E5A38">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3DE58284" w14:textId="4C704564" w:rsidR="007E5A38" w:rsidRDefault="007E5A38" w:rsidP="007E5A38">
            <w:pPr>
              <w:pStyle w:val="TableText"/>
              <w:jc w:val="right"/>
              <w:rPr>
                <w:b/>
                <w:lang w:eastAsia="en-AU"/>
              </w:rPr>
            </w:pPr>
            <w:r>
              <w:rPr>
                <w:b/>
                <w:lang w:eastAsia="en-AU"/>
              </w:rPr>
              <w:t>Qtr 49</w:t>
            </w:r>
          </w:p>
        </w:tc>
        <w:tc>
          <w:tcPr>
            <w:tcW w:w="1134" w:type="dxa"/>
            <w:tcBorders>
              <w:top w:val="single" w:sz="4" w:space="0" w:color="auto"/>
              <w:left w:val="nil"/>
              <w:bottom w:val="single" w:sz="4" w:space="0" w:color="auto"/>
              <w:right w:val="single" w:sz="4" w:space="0" w:color="auto"/>
            </w:tcBorders>
          </w:tcPr>
          <w:p w14:paraId="28CCCD8F" w14:textId="7B4CC8C9" w:rsidR="007E5A38" w:rsidRDefault="007E5A38" w:rsidP="007E5A38">
            <w:pPr>
              <w:pStyle w:val="TableText"/>
              <w:jc w:val="right"/>
              <w:rPr>
                <w:b/>
                <w:lang w:eastAsia="en-AU"/>
              </w:rPr>
            </w:pPr>
            <w:r>
              <w:rPr>
                <w:b/>
                <w:lang w:eastAsia="en-AU"/>
              </w:rPr>
              <w:t>Qtr 50</w:t>
            </w:r>
          </w:p>
        </w:tc>
        <w:tc>
          <w:tcPr>
            <w:tcW w:w="992" w:type="dxa"/>
            <w:tcBorders>
              <w:top w:val="single" w:sz="4" w:space="0" w:color="auto"/>
              <w:left w:val="nil"/>
              <w:bottom w:val="single" w:sz="4" w:space="0" w:color="auto"/>
              <w:right w:val="single" w:sz="4" w:space="0" w:color="auto"/>
            </w:tcBorders>
          </w:tcPr>
          <w:p w14:paraId="53F6A4FD" w14:textId="16593252" w:rsidR="007E5A38" w:rsidRDefault="007E5A38" w:rsidP="007E5A38">
            <w:pPr>
              <w:pStyle w:val="TableText"/>
              <w:jc w:val="right"/>
              <w:rPr>
                <w:b/>
                <w:lang w:eastAsia="en-AU"/>
              </w:rPr>
            </w:pPr>
            <w:r>
              <w:rPr>
                <w:b/>
                <w:lang w:eastAsia="en-AU"/>
              </w:rPr>
              <w:t>Qtr 51</w:t>
            </w:r>
          </w:p>
        </w:tc>
        <w:tc>
          <w:tcPr>
            <w:tcW w:w="993" w:type="dxa"/>
            <w:tcBorders>
              <w:top w:val="single" w:sz="4" w:space="0" w:color="auto"/>
              <w:left w:val="nil"/>
              <w:bottom w:val="single" w:sz="4" w:space="0" w:color="auto"/>
              <w:right w:val="single" w:sz="4" w:space="0" w:color="auto"/>
            </w:tcBorders>
          </w:tcPr>
          <w:p w14:paraId="38246709" w14:textId="2A6A4EAA" w:rsidR="007E5A38" w:rsidRDefault="007E5A38" w:rsidP="007E5A38">
            <w:pPr>
              <w:pStyle w:val="TableText"/>
              <w:jc w:val="right"/>
              <w:rPr>
                <w:b/>
                <w:lang w:eastAsia="en-AU"/>
              </w:rPr>
            </w:pPr>
            <w:r>
              <w:rPr>
                <w:b/>
                <w:lang w:eastAsia="en-AU"/>
              </w:rPr>
              <w:t>Qtr 52</w:t>
            </w:r>
          </w:p>
        </w:tc>
      </w:tr>
      <w:tr w:rsidR="007E5A38" w:rsidRPr="00C5395B" w14:paraId="12B712EF"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57829451" w14:textId="77777777" w:rsidR="007E5A38" w:rsidRPr="00C5395B" w:rsidRDefault="007E5A38" w:rsidP="007E5A38">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4780DBB7" w14:textId="5DC7C092" w:rsidR="007E5A38" w:rsidRPr="00AA5933" w:rsidRDefault="007E5A38" w:rsidP="007E5A38">
            <w:pPr>
              <w:jc w:val="right"/>
              <w:rPr>
                <w:rFonts w:cs="Arial"/>
              </w:rPr>
            </w:pPr>
            <w:r w:rsidRPr="00AA5933">
              <w:rPr>
                <w:rFonts w:cs="Arial"/>
              </w:rPr>
              <w:t>33</w:t>
            </w:r>
          </w:p>
        </w:tc>
        <w:tc>
          <w:tcPr>
            <w:tcW w:w="992" w:type="dxa"/>
            <w:tcBorders>
              <w:top w:val="nil"/>
              <w:left w:val="nil"/>
              <w:bottom w:val="single" w:sz="4" w:space="0" w:color="auto"/>
              <w:right w:val="single" w:sz="4" w:space="0" w:color="auto"/>
            </w:tcBorders>
            <w:vAlign w:val="bottom"/>
          </w:tcPr>
          <w:p w14:paraId="3579D1B9" w14:textId="7B0903DF" w:rsidR="007E5A38" w:rsidRPr="00AA5933" w:rsidRDefault="007E5A38" w:rsidP="007E5A38">
            <w:pPr>
              <w:jc w:val="right"/>
              <w:rPr>
                <w:rFonts w:cs="Arial"/>
              </w:rPr>
            </w:pPr>
            <w:r w:rsidRPr="00DF7212">
              <w:rPr>
                <w:rFonts w:cs="Arial"/>
              </w:rPr>
              <w:t>33</w:t>
            </w:r>
          </w:p>
        </w:tc>
        <w:tc>
          <w:tcPr>
            <w:tcW w:w="1134" w:type="dxa"/>
            <w:tcBorders>
              <w:top w:val="nil"/>
              <w:left w:val="nil"/>
              <w:bottom w:val="single" w:sz="4" w:space="0" w:color="auto"/>
              <w:right w:val="single" w:sz="4" w:space="0" w:color="auto"/>
            </w:tcBorders>
            <w:vAlign w:val="bottom"/>
          </w:tcPr>
          <w:p w14:paraId="1D6F82AC" w14:textId="59E26EF9" w:rsidR="007E5A38" w:rsidRPr="00AA5933" w:rsidRDefault="007E5A38" w:rsidP="007E5A38">
            <w:pPr>
              <w:jc w:val="right"/>
              <w:rPr>
                <w:rFonts w:cs="Arial"/>
              </w:rPr>
            </w:pPr>
            <w:r w:rsidRPr="00DF7212">
              <w:rPr>
                <w:rFonts w:cs="Arial"/>
              </w:rPr>
              <w:t>46</w:t>
            </w:r>
          </w:p>
        </w:tc>
        <w:tc>
          <w:tcPr>
            <w:tcW w:w="992" w:type="dxa"/>
            <w:tcBorders>
              <w:top w:val="nil"/>
              <w:left w:val="nil"/>
              <w:bottom w:val="single" w:sz="4" w:space="0" w:color="auto"/>
              <w:right w:val="single" w:sz="4" w:space="0" w:color="auto"/>
            </w:tcBorders>
            <w:vAlign w:val="bottom"/>
          </w:tcPr>
          <w:p w14:paraId="59F4B981" w14:textId="3F29EE2B" w:rsidR="007E5A38" w:rsidRPr="00DF7212" w:rsidRDefault="007E5A38" w:rsidP="007E5A38">
            <w:pPr>
              <w:jc w:val="right"/>
              <w:rPr>
                <w:rFonts w:cs="Arial"/>
              </w:rPr>
            </w:pPr>
            <w:r w:rsidRPr="00D35167">
              <w:rPr>
                <w:rFonts w:cs="Arial"/>
              </w:rPr>
              <w:t>99</w:t>
            </w:r>
          </w:p>
        </w:tc>
        <w:tc>
          <w:tcPr>
            <w:tcW w:w="993" w:type="dxa"/>
            <w:tcBorders>
              <w:top w:val="nil"/>
              <w:left w:val="nil"/>
              <w:bottom w:val="single" w:sz="4" w:space="0" w:color="auto"/>
              <w:right w:val="single" w:sz="4" w:space="0" w:color="auto"/>
            </w:tcBorders>
            <w:vAlign w:val="bottom"/>
          </w:tcPr>
          <w:p w14:paraId="1C7D6C79" w14:textId="46F5D92C" w:rsidR="007E5A38" w:rsidRPr="007E5A38" w:rsidRDefault="007E5A38" w:rsidP="007E5A38">
            <w:pPr>
              <w:jc w:val="right"/>
              <w:rPr>
                <w:rFonts w:cs="Arial"/>
              </w:rPr>
            </w:pPr>
            <w:r w:rsidRPr="007E5A38">
              <w:rPr>
                <w:rFonts w:cs="Arial"/>
              </w:rPr>
              <w:t>56</w:t>
            </w:r>
          </w:p>
        </w:tc>
      </w:tr>
      <w:tr w:rsidR="007E5A38" w:rsidRPr="00C5395B" w14:paraId="3D0F5EF9"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145E1E6A" w14:textId="77777777" w:rsidR="007E5A38" w:rsidRPr="00C5395B" w:rsidRDefault="007E5A38" w:rsidP="007E5A38">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79C175D6" w14:textId="6D5A783C" w:rsidR="007E5A38" w:rsidRPr="00AA5933" w:rsidRDefault="007E5A38" w:rsidP="007E5A38">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vAlign w:val="bottom"/>
          </w:tcPr>
          <w:p w14:paraId="0DD28ED4" w14:textId="61FA0B5E" w:rsidR="007E5A38" w:rsidRPr="00AA5933" w:rsidRDefault="007E5A38" w:rsidP="007E5A38">
            <w:pPr>
              <w:jc w:val="right"/>
              <w:rPr>
                <w:rFonts w:cs="Arial"/>
              </w:rPr>
            </w:pPr>
            <w:r w:rsidRPr="00DF7212">
              <w:rPr>
                <w:rFonts w:cs="Arial"/>
              </w:rPr>
              <w:t>8</w:t>
            </w:r>
          </w:p>
        </w:tc>
        <w:tc>
          <w:tcPr>
            <w:tcW w:w="1134" w:type="dxa"/>
            <w:tcBorders>
              <w:top w:val="nil"/>
              <w:left w:val="nil"/>
              <w:bottom w:val="single" w:sz="4" w:space="0" w:color="auto"/>
              <w:right w:val="single" w:sz="4" w:space="0" w:color="auto"/>
            </w:tcBorders>
            <w:vAlign w:val="bottom"/>
          </w:tcPr>
          <w:p w14:paraId="61BE06B2" w14:textId="313D4232" w:rsidR="007E5A38" w:rsidRPr="00AA5933" w:rsidRDefault="007E5A38" w:rsidP="007E5A38">
            <w:pPr>
              <w:jc w:val="right"/>
              <w:rPr>
                <w:rFonts w:cs="Arial"/>
              </w:rPr>
            </w:pPr>
            <w:r w:rsidRPr="00DF7212">
              <w:rPr>
                <w:rFonts w:cs="Arial"/>
              </w:rPr>
              <w:t>10</w:t>
            </w:r>
          </w:p>
        </w:tc>
        <w:tc>
          <w:tcPr>
            <w:tcW w:w="992" w:type="dxa"/>
            <w:tcBorders>
              <w:top w:val="nil"/>
              <w:left w:val="nil"/>
              <w:bottom w:val="single" w:sz="4" w:space="0" w:color="auto"/>
              <w:right w:val="single" w:sz="4" w:space="0" w:color="auto"/>
            </w:tcBorders>
            <w:vAlign w:val="bottom"/>
          </w:tcPr>
          <w:p w14:paraId="5213D6E5" w14:textId="12C1D6AD" w:rsidR="007E5A38" w:rsidRPr="00DF7212" w:rsidRDefault="007E5A38" w:rsidP="007E5A38">
            <w:pPr>
              <w:jc w:val="right"/>
              <w:rPr>
                <w:rFonts w:cs="Arial"/>
              </w:rPr>
            </w:pPr>
            <w:r w:rsidRPr="00D35167">
              <w:rPr>
                <w:rFonts w:cs="Arial"/>
              </w:rPr>
              <w:t>4</w:t>
            </w:r>
          </w:p>
        </w:tc>
        <w:tc>
          <w:tcPr>
            <w:tcW w:w="993" w:type="dxa"/>
            <w:tcBorders>
              <w:top w:val="nil"/>
              <w:left w:val="nil"/>
              <w:bottom w:val="single" w:sz="4" w:space="0" w:color="auto"/>
              <w:right w:val="single" w:sz="4" w:space="0" w:color="auto"/>
            </w:tcBorders>
            <w:vAlign w:val="bottom"/>
          </w:tcPr>
          <w:p w14:paraId="5E27EF2C" w14:textId="755E25E1" w:rsidR="007E5A38" w:rsidRPr="007E5A38" w:rsidRDefault="007E5A38" w:rsidP="007E5A38">
            <w:pPr>
              <w:jc w:val="right"/>
              <w:rPr>
                <w:rFonts w:cs="Arial"/>
              </w:rPr>
            </w:pPr>
            <w:r w:rsidRPr="007E5A38">
              <w:rPr>
                <w:rFonts w:cs="Arial"/>
              </w:rPr>
              <w:t>13</w:t>
            </w:r>
          </w:p>
        </w:tc>
      </w:tr>
      <w:tr w:rsidR="007E5A38" w:rsidRPr="00C5395B" w14:paraId="1B4F8DC0" w14:textId="77777777" w:rsidTr="00A60308">
        <w:trPr>
          <w:trHeight w:val="255"/>
        </w:trPr>
        <w:tc>
          <w:tcPr>
            <w:tcW w:w="2029" w:type="dxa"/>
            <w:tcBorders>
              <w:top w:val="nil"/>
              <w:left w:val="single" w:sz="4" w:space="0" w:color="auto"/>
              <w:bottom w:val="single" w:sz="4" w:space="0" w:color="auto"/>
              <w:right w:val="single" w:sz="4" w:space="0" w:color="auto"/>
            </w:tcBorders>
            <w:noWrap/>
          </w:tcPr>
          <w:p w14:paraId="11BB5731" w14:textId="77777777" w:rsidR="007E5A38" w:rsidRPr="00C5395B" w:rsidRDefault="007E5A38" w:rsidP="007E5A38">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tcPr>
          <w:p w14:paraId="5B0CB962" w14:textId="31641B18" w:rsidR="007E5A38" w:rsidRPr="00AA5933" w:rsidRDefault="007E5A38" w:rsidP="007E5A38">
            <w:pPr>
              <w:jc w:val="right"/>
              <w:rPr>
                <w:rFonts w:cs="Arial"/>
              </w:rPr>
            </w:pPr>
            <w:r w:rsidRPr="00AA5933">
              <w:rPr>
                <w:rFonts w:cs="Arial"/>
              </w:rPr>
              <w:t>29</w:t>
            </w:r>
          </w:p>
        </w:tc>
        <w:tc>
          <w:tcPr>
            <w:tcW w:w="992" w:type="dxa"/>
            <w:tcBorders>
              <w:top w:val="nil"/>
              <w:left w:val="nil"/>
              <w:bottom w:val="single" w:sz="4" w:space="0" w:color="auto"/>
              <w:right w:val="single" w:sz="4" w:space="0" w:color="auto"/>
            </w:tcBorders>
            <w:vAlign w:val="bottom"/>
          </w:tcPr>
          <w:p w14:paraId="1230C27D" w14:textId="35873D03" w:rsidR="007E5A38" w:rsidRPr="00AA5933" w:rsidRDefault="007E5A38" w:rsidP="007E5A38">
            <w:pPr>
              <w:jc w:val="right"/>
              <w:rPr>
                <w:rFonts w:cs="Arial"/>
              </w:rPr>
            </w:pPr>
            <w:r w:rsidRPr="00DF7212">
              <w:rPr>
                <w:rFonts w:cs="Arial"/>
              </w:rPr>
              <w:t>37</w:t>
            </w:r>
          </w:p>
        </w:tc>
        <w:tc>
          <w:tcPr>
            <w:tcW w:w="1134" w:type="dxa"/>
            <w:tcBorders>
              <w:top w:val="nil"/>
              <w:left w:val="nil"/>
              <w:bottom w:val="single" w:sz="4" w:space="0" w:color="auto"/>
              <w:right w:val="single" w:sz="4" w:space="0" w:color="auto"/>
            </w:tcBorders>
            <w:vAlign w:val="bottom"/>
          </w:tcPr>
          <w:p w14:paraId="73A1FFBC" w14:textId="468E4AC9" w:rsidR="007E5A38" w:rsidRPr="00AA5933" w:rsidRDefault="007E5A38" w:rsidP="007E5A38">
            <w:pPr>
              <w:jc w:val="right"/>
              <w:rPr>
                <w:rFonts w:cs="Arial"/>
              </w:rPr>
            </w:pPr>
            <w:r w:rsidRPr="00DF7212">
              <w:rPr>
                <w:rFonts w:cs="Arial"/>
              </w:rPr>
              <w:t>66</w:t>
            </w:r>
          </w:p>
        </w:tc>
        <w:tc>
          <w:tcPr>
            <w:tcW w:w="992" w:type="dxa"/>
            <w:tcBorders>
              <w:top w:val="nil"/>
              <w:left w:val="nil"/>
              <w:bottom w:val="single" w:sz="4" w:space="0" w:color="auto"/>
              <w:right w:val="single" w:sz="4" w:space="0" w:color="auto"/>
            </w:tcBorders>
            <w:vAlign w:val="bottom"/>
          </w:tcPr>
          <w:p w14:paraId="28DCD6B2" w14:textId="026CE1AD" w:rsidR="007E5A38" w:rsidRPr="00DF7212" w:rsidRDefault="007E5A38" w:rsidP="007E5A38">
            <w:pPr>
              <w:jc w:val="right"/>
              <w:rPr>
                <w:rFonts w:cs="Arial"/>
              </w:rPr>
            </w:pPr>
            <w:r w:rsidRPr="00D35167">
              <w:rPr>
                <w:rFonts w:cs="Arial"/>
              </w:rPr>
              <w:t>26</w:t>
            </w:r>
          </w:p>
        </w:tc>
        <w:tc>
          <w:tcPr>
            <w:tcW w:w="993" w:type="dxa"/>
            <w:tcBorders>
              <w:top w:val="nil"/>
              <w:left w:val="nil"/>
              <w:bottom w:val="single" w:sz="4" w:space="0" w:color="auto"/>
              <w:right w:val="single" w:sz="4" w:space="0" w:color="auto"/>
            </w:tcBorders>
            <w:vAlign w:val="bottom"/>
          </w:tcPr>
          <w:p w14:paraId="3B2526D5" w14:textId="2BC0AC32" w:rsidR="007E5A38" w:rsidRPr="007E5A38" w:rsidRDefault="007E5A38" w:rsidP="007E5A38">
            <w:pPr>
              <w:jc w:val="right"/>
              <w:rPr>
                <w:rFonts w:cs="Arial"/>
              </w:rPr>
            </w:pPr>
            <w:r w:rsidRPr="007E5A38">
              <w:rPr>
                <w:rFonts w:cs="Arial"/>
              </w:rPr>
              <w:t>30</w:t>
            </w:r>
          </w:p>
        </w:tc>
      </w:tr>
      <w:tr w:rsidR="007E5A38" w:rsidRPr="00C5395B" w14:paraId="526D399D" w14:textId="77777777" w:rsidTr="00A60308">
        <w:trPr>
          <w:trHeight w:val="255"/>
        </w:trPr>
        <w:tc>
          <w:tcPr>
            <w:tcW w:w="2029" w:type="dxa"/>
            <w:tcBorders>
              <w:top w:val="nil"/>
              <w:left w:val="single" w:sz="4" w:space="0" w:color="auto"/>
              <w:bottom w:val="single" w:sz="4" w:space="0" w:color="auto"/>
              <w:right w:val="single" w:sz="4" w:space="0" w:color="auto"/>
            </w:tcBorders>
            <w:noWrap/>
          </w:tcPr>
          <w:p w14:paraId="55FDC675" w14:textId="77777777" w:rsidR="007E5A38" w:rsidRPr="00C5395B" w:rsidRDefault="007E5A38" w:rsidP="007E5A38">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03B349D4" w14:textId="5CB1A85E" w:rsidR="007E5A38" w:rsidRPr="00AA5933" w:rsidRDefault="007E5A38" w:rsidP="007E5A38">
            <w:pPr>
              <w:jc w:val="right"/>
              <w:rPr>
                <w:rFonts w:cs="Arial"/>
              </w:rPr>
            </w:pPr>
            <w:r w:rsidRPr="00AA5933">
              <w:rPr>
                <w:rFonts w:cs="Arial"/>
              </w:rPr>
              <w:t>2</w:t>
            </w:r>
          </w:p>
        </w:tc>
        <w:tc>
          <w:tcPr>
            <w:tcW w:w="992" w:type="dxa"/>
            <w:tcBorders>
              <w:top w:val="nil"/>
              <w:left w:val="nil"/>
              <w:bottom w:val="single" w:sz="4" w:space="0" w:color="auto"/>
              <w:right w:val="single" w:sz="4" w:space="0" w:color="auto"/>
            </w:tcBorders>
            <w:vAlign w:val="bottom"/>
          </w:tcPr>
          <w:p w14:paraId="1023FCE5" w14:textId="3F1F525F" w:rsidR="007E5A38" w:rsidRPr="00AA5933" w:rsidRDefault="007E5A38" w:rsidP="007E5A38">
            <w:pPr>
              <w:jc w:val="right"/>
              <w:rPr>
                <w:rFonts w:cs="Arial"/>
              </w:rPr>
            </w:pPr>
            <w:r w:rsidRPr="00DF7212">
              <w:rPr>
                <w:rFonts w:cs="Arial"/>
              </w:rPr>
              <w:t>5</w:t>
            </w:r>
          </w:p>
        </w:tc>
        <w:tc>
          <w:tcPr>
            <w:tcW w:w="1134" w:type="dxa"/>
            <w:tcBorders>
              <w:top w:val="nil"/>
              <w:left w:val="nil"/>
              <w:bottom w:val="single" w:sz="4" w:space="0" w:color="auto"/>
              <w:right w:val="single" w:sz="4" w:space="0" w:color="auto"/>
            </w:tcBorders>
            <w:vAlign w:val="bottom"/>
          </w:tcPr>
          <w:p w14:paraId="4FA99D7B" w14:textId="55D27451" w:rsidR="007E5A38" w:rsidRPr="00AA5933" w:rsidRDefault="007E5A38" w:rsidP="007E5A38">
            <w:pPr>
              <w:jc w:val="right"/>
              <w:rPr>
                <w:rFonts w:cs="Arial"/>
              </w:rPr>
            </w:pPr>
            <w:r w:rsidRPr="00DF7212">
              <w:rPr>
                <w:rFonts w:cs="Arial"/>
              </w:rPr>
              <w:t>12</w:t>
            </w:r>
          </w:p>
        </w:tc>
        <w:tc>
          <w:tcPr>
            <w:tcW w:w="992" w:type="dxa"/>
            <w:tcBorders>
              <w:top w:val="nil"/>
              <w:left w:val="nil"/>
              <w:bottom w:val="single" w:sz="4" w:space="0" w:color="auto"/>
              <w:right w:val="single" w:sz="4" w:space="0" w:color="auto"/>
            </w:tcBorders>
            <w:vAlign w:val="bottom"/>
          </w:tcPr>
          <w:p w14:paraId="390B4BAE" w14:textId="76328407" w:rsidR="007E5A38" w:rsidRPr="00DF7212" w:rsidRDefault="007E5A38" w:rsidP="007E5A38">
            <w:pPr>
              <w:jc w:val="right"/>
              <w:rPr>
                <w:rFonts w:cs="Arial"/>
              </w:rPr>
            </w:pPr>
            <w:r w:rsidRPr="00D35167">
              <w:rPr>
                <w:rFonts w:cs="Arial"/>
              </w:rPr>
              <w:t>18</w:t>
            </w:r>
          </w:p>
        </w:tc>
        <w:tc>
          <w:tcPr>
            <w:tcW w:w="993" w:type="dxa"/>
            <w:tcBorders>
              <w:top w:val="nil"/>
              <w:left w:val="nil"/>
              <w:bottom w:val="single" w:sz="4" w:space="0" w:color="auto"/>
              <w:right w:val="single" w:sz="4" w:space="0" w:color="auto"/>
            </w:tcBorders>
            <w:vAlign w:val="bottom"/>
          </w:tcPr>
          <w:p w14:paraId="01631D71" w14:textId="61BBB371" w:rsidR="007E5A38" w:rsidRPr="007E5A38" w:rsidRDefault="007E5A38" w:rsidP="007E5A38">
            <w:pPr>
              <w:jc w:val="right"/>
              <w:rPr>
                <w:rFonts w:cs="Arial"/>
              </w:rPr>
            </w:pPr>
            <w:r w:rsidRPr="007E5A38">
              <w:rPr>
                <w:rFonts w:cs="Arial"/>
              </w:rPr>
              <w:t>23</w:t>
            </w:r>
          </w:p>
        </w:tc>
      </w:tr>
      <w:tr w:rsidR="007E5A38" w:rsidRPr="00C5395B" w14:paraId="14774295"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43481367" w14:textId="77777777" w:rsidR="007E5A38" w:rsidRPr="00C5395B" w:rsidRDefault="007E5A38" w:rsidP="007E5A38">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3F1D33C7" w14:textId="1954BAB5" w:rsidR="007E5A38" w:rsidRPr="00AA5933" w:rsidRDefault="007E5A38" w:rsidP="007E5A38">
            <w:pPr>
              <w:jc w:val="right"/>
              <w:rPr>
                <w:rFonts w:cs="Arial"/>
              </w:rPr>
            </w:pPr>
            <w:r w:rsidRPr="00AA5933">
              <w:rPr>
                <w:rFonts w:cs="Arial"/>
              </w:rPr>
              <w:t>8</w:t>
            </w:r>
          </w:p>
        </w:tc>
        <w:tc>
          <w:tcPr>
            <w:tcW w:w="992" w:type="dxa"/>
            <w:tcBorders>
              <w:top w:val="nil"/>
              <w:left w:val="nil"/>
              <w:bottom w:val="single" w:sz="4" w:space="0" w:color="auto"/>
              <w:right w:val="single" w:sz="4" w:space="0" w:color="auto"/>
            </w:tcBorders>
            <w:vAlign w:val="bottom"/>
          </w:tcPr>
          <w:p w14:paraId="5E583F92" w14:textId="1966B238" w:rsidR="007E5A38" w:rsidRPr="00AA5933" w:rsidRDefault="007E5A38" w:rsidP="007E5A38">
            <w:pPr>
              <w:jc w:val="right"/>
              <w:rPr>
                <w:rFonts w:cs="Arial"/>
              </w:rPr>
            </w:pPr>
            <w:r w:rsidRPr="00DF7212">
              <w:rPr>
                <w:rFonts w:cs="Arial"/>
              </w:rPr>
              <w:t>7</w:t>
            </w:r>
          </w:p>
        </w:tc>
        <w:tc>
          <w:tcPr>
            <w:tcW w:w="1134" w:type="dxa"/>
            <w:tcBorders>
              <w:top w:val="nil"/>
              <w:left w:val="nil"/>
              <w:bottom w:val="single" w:sz="4" w:space="0" w:color="auto"/>
              <w:right w:val="single" w:sz="4" w:space="0" w:color="auto"/>
            </w:tcBorders>
            <w:vAlign w:val="bottom"/>
          </w:tcPr>
          <w:p w14:paraId="7A8B9B8D" w14:textId="26CC6A20" w:rsidR="007E5A38" w:rsidRPr="00AA5933" w:rsidRDefault="007E5A38" w:rsidP="007E5A38">
            <w:pPr>
              <w:jc w:val="right"/>
              <w:rPr>
                <w:rFonts w:cs="Arial"/>
              </w:rPr>
            </w:pPr>
            <w:r w:rsidRPr="00DF7212">
              <w:rPr>
                <w:rFonts w:cs="Arial"/>
              </w:rPr>
              <w:t>5</w:t>
            </w:r>
          </w:p>
        </w:tc>
        <w:tc>
          <w:tcPr>
            <w:tcW w:w="992" w:type="dxa"/>
            <w:tcBorders>
              <w:top w:val="nil"/>
              <w:left w:val="nil"/>
              <w:bottom w:val="single" w:sz="4" w:space="0" w:color="auto"/>
              <w:right w:val="single" w:sz="4" w:space="0" w:color="auto"/>
            </w:tcBorders>
            <w:vAlign w:val="bottom"/>
          </w:tcPr>
          <w:p w14:paraId="58DB766B" w14:textId="0037F1EC" w:rsidR="007E5A38" w:rsidRPr="00DF7212" w:rsidRDefault="007E5A38" w:rsidP="007E5A38">
            <w:pPr>
              <w:jc w:val="right"/>
              <w:rPr>
                <w:rFonts w:cs="Arial"/>
              </w:rPr>
            </w:pPr>
            <w:r w:rsidRPr="00D35167">
              <w:rPr>
                <w:rFonts w:cs="Arial"/>
              </w:rPr>
              <w:t>7</w:t>
            </w:r>
          </w:p>
        </w:tc>
        <w:tc>
          <w:tcPr>
            <w:tcW w:w="993" w:type="dxa"/>
            <w:tcBorders>
              <w:top w:val="nil"/>
              <w:left w:val="nil"/>
              <w:bottom w:val="single" w:sz="4" w:space="0" w:color="auto"/>
              <w:right w:val="single" w:sz="4" w:space="0" w:color="auto"/>
            </w:tcBorders>
            <w:vAlign w:val="bottom"/>
          </w:tcPr>
          <w:p w14:paraId="765ACCFF" w14:textId="3FB272EB" w:rsidR="007E5A38" w:rsidRPr="007E5A38" w:rsidRDefault="007E5A38" w:rsidP="007E5A38">
            <w:pPr>
              <w:jc w:val="right"/>
              <w:rPr>
                <w:rFonts w:cs="Arial"/>
              </w:rPr>
            </w:pPr>
            <w:r w:rsidRPr="007E5A38">
              <w:rPr>
                <w:rFonts w:cs="Arial"/>
              </w:rPr>
              <w:t>14</w:t>
            </w:r>
          </w:p>
        </w:tc>
      </w:tr>
      <w:tr w:rsidR="007E5A38" w:rsidRPr="00C5395B" w14:paraId="0AAA3E0B"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3E420FFE" w14:textId="77777777" w:rsidR="007E5A38" w:rsidRPr="00C5395B" w:rsidRDefault="007E5A38" w:rsidP="007E5A38">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076C5027" w14:textId="66D8E48E" w:rsidR="007E5A38" w:rsidRPr="00AA5933" w:rsidRDefault="007E5A38" w:rsidP="007E5A38">
            <w:pPr>
              <w:pStyle w:val="TableText"/>
              <w:jc w:val="right"/>
              <w:rPr>
                <w:b/>
                <w:lang w:eastAsia="en-AU"/>
              </w:rPr>
            </w:pPr>
            <w:r w:rsidRPr="00AA5933">
              <w:rPr>
                <w:rFonts w:cs="Arial"/>
                <w:b/>
                <w:bCs/>
              </w:rPr>
              <w:t>104</w:t>
            </w:r>
          </w:p>
        </w:tc>
        <w:tc>
          <w:tcPr>
            <w:tcW w:w="992" w:type="dxa"/>
            <w:tcBorders>
              <w:top w:val="nil"/>
              <w:left w:val="nil"/>
              <w:bottom w:val="single" w:sz="4" w:space="0" w:color="auto"/>
              <w:right w:val="single" w:sz="4" w:space="0" w:color="auto"/>
            </w:tcBorders>
            <w:vAlign w:val="bottom"/>
          </w:tcPr>
          <w:p w14:paraId="614BA994" w14:textId="069D4A87" w:rsidR="007E5A38" w:rsidRPr="00AA5933" w:rsidRDefault="007E5A38" w:rsidP="007E5A38">
            <w:pPr>
              <w:pStyle w:val="TableText"/>
              <w:jc w:val="right"/>
              <w:rPr>
                <w:b/>
                <w:lang w:eastAsia="en-AU"/>
              </w:rPr>
            </w:pPr>
            <w:r w:rsidRPr="00DF7212">
              <w:rPr>
                <w:rFonts w:cs="Arial"/>
                <w:b/>
                <w:bCs/>
              </w:rPr>
              <w:t>90</w:t>
            </w:r>
          </w:p>
        </w:tc>
        <w:tc>
          <w:tcPr>
            <w:tcW w:w="1134" w:type="dxa"/>
            <w:tcBorders>
              <w:top w:val="nil"/>
              <w:left w:val="nil"/>
              <w:bottom w:val="single" w:sz="4" w:space="0" w:color="auto"/>
              <w:right w:val="single" w:sz="4" w:space="0" w:color="auto"/>
            </w:tcBorders>
            <w:vAlign w:val="bottom"/>
          </w:tcPr>
          <w:p w14:paraId="2EB5828F" w14:textId="622A3D5D" w:rsidR="007E5A38" w:rsidRPr="00AA5933" w:rsidRDefault="007E5A38" w:rsidP="007E5A38">
            <w:pPr>
              <w:pStyle w:val="TableText"/>
              <w:jc w:val="right"/>
              <w:rPr>
                <w:b/>
                <w:lang w:eastAsia="en-AU"/>
              </w:rPr>
            </w:pPr>
            <w:r w:rsidRPr="00DF7212">
              <w:rPr>
                <w:rFonts w:cs="Arial"/>
                <w:b/>
                <w:bCs/>
              </w:rPr>
              <w:t>139</w:t>
            </w:r>
          </w:p>
        </w:tc>
        <w:tc>
          <w:tcPr>
            <w:tcW w:w="992" w:type="dxa"/>
            <w:tcBorders>
              <w:top w:val="nil"/>
              <w:left w:val="nil"/>
              <w:bottom w:val="single" w:sz="4" w:space="0" w:color="auto"/>
              <w:right w:val="single" w:sz="4" w:space="0" w:color="auto"/>
            </w:tcBorders>
            <w:vAlign w:val="bottom"/>
          </w:tcPr>
          <w:p w14:paraId="045E8218" w14:textId="35E55366" w:rsidR="007E5A38" w:rsidRPr="00DF7212" w:rsidRDefault="007E5A38" w:rsidP="007E5A38">
            <w:pPr>
              <w:pStyle w:val="TableText"/>
              <w:jc w:val="right"/>
              <w:rPr>
                <w:rFonts w:cs="Arial"/>
                <w:b/>
                <w:bCs/>
              </w:rPr>
            </w:pPr>
            <w:r w:rsidRPr="00D35167">
              <w:rPr>
                <w:rFonts w:cs="Arial"/>
                <w:b/>
                <w:bCs/>
              </w:rPr>
              <w:t>154</w:t>
            </w:r>
          </w:p>
        </w:tc>
        <w:tc>
          <w:tcPr>
            <w:tcW w:w="993" w:type="dxa"/>
            <w:tcBorders>
              <w:top w:val="nil"/>
              <w:left w:val="nil"/>
              <w:bottom w:val="single" w:sz="4" w:space="0" w:color="auto"/>
              <w:right w:val="single" w:sz="4" w:space="0" w:color="auto"/>
            </w:tcBorders>
            <w:vAlign w:val="bottom"/>
          </w:tcPr>
          <w:p w14:paraId="38B1738A" w14:textId="6EC687BC" w:rsidR="007E5A38" w:rsidRPr="007E5A38" w:rsidRDefault="007E5A38" w:rsidP="007E5A38">
            <w:pPr>
              <w:pStyle w:val="TableText"/>
              <w:jc w:val="right"/>
              <w:rPr>
                <w:rFonts w:cs="Arial"/>
                <w:b/>
                <w:bCs/>
              </w:rPr>
            </w:pPr>
            <w:r w:rsidRPr="007E5A38">
              <w:rPr>
                <w:rFonts w:cs="Arial"/>
                <w:b/>
                <w:bCs/>
              </w:rPr>
              <w:t>136</w:t>
            </w:r>
          </w:p>
        </w:tc>
      </w:tr>
    </w:tbl>
    <w:p w14:paraId="401AD55B" w14:textId="77777777" w:rsidR="007E5A38" w:rsidRDefault="007E5A38" w:rsidP="007E5A38">
      <w:pPr>
        <w:pStyle w:val="Heading2"/>
      </w:pPr>
    </w:p>
    <w:p w14:paraId="1357C4B9" w14:textId="77777777" w:rsidR="002F3FD3" w:rsidRPr="006524B7" w:rsidRDefault="002F3FD3" w:rsidP="00D51DFA">
      <w:pPr>
        <w:pStyle w:val="Heading2"/>
      </w:pPr>
      <w:r>
        <w:t>Referrals</w:t>
      </w:r>
      <w:r w:rsidRPr="006524B7">
        <w:t xml:space="preserve"> for Domestic Violence related matters</w:t>
      </w:r>
    </w:p>
    <w:p w14:paraId="70D27E82" w14:textId="1E371937"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46163C">
        <w:rPr>
          <w:rFonts w:cs="Arial"/>
        </w:rPr>
        <w:t xml:space="preserve">26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46163C">
        <w:rPr>
          <w:rFonts w:cs="Arial"/>
        </w:rPr>
        <w:t xml:space="preserve"> decrease </w:t>
      </w:r>
      <w:r w:rsidR="000C098B">
        <w:rPr>
          <w:rFonts w:cs="Arial"/>
        </w:rPr>
        <w:t xml:space="preserve">of </w:t>
      </w:r>
      <w:r w:rsidR="0046163C">
        <w:rPr>
          <w:rFonts w:cs="Arial"/>
        </w:rPr>
        <w:t xml:space="preserve">24 </w:t>
      </w:r>
      <w:r w:rsidR="009D0578">
        <w:rPr>
          <w:rFonts w:cs="Arial"/>
        </w:rPr>
        <w:t>from</w:t>
      </w:r>
      <w:r w:rsidR="002F3FD3" w:rsidRPr="006524B7">
        <w:rPr>
          <w:rFonts w:cs="Arial"/>
        </w:rPr>
        <w:t xml:space="preserve"> quarter</w:t>
      </w:r>
      <w:r w:rsidR="000013AA">
        <w:rPr>
          <w:rFonts w:cs="Arial"/>
        </w:rPr>
        <w:t xml:space="preserve"> 51</w:t>
      </w:r>
      <w:r w:rsidR="002F3FD3" w:rsidRPr="006524B7">
        <w:rPr>
          <w:rFonts w:cs="Arial"/>
        </w:rPr>
        <w:t>.</w:t>
      </w:r>
      <w:r w:rsidR="00A66AAA">
        <w:rPr>
          <w:rFonts w:cs="Arial"/>
        </w:rPr>
        <w:t xml:space="preserve"> 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to address these behaviours. </w:t>
      </w:r>
      <w:r w:rsidR="00B307C5">
        <w:rPr>
          <w:rFonts w:cs="Arial"/>
        </w:rPr>
        <w:t xml:space="preserve">The broader social impacts of domestic and family violence </w:t>
      </w:r>
      <w:proofErr w:type="gramStart"/>
      <w:r w:rsidR="00B307C5">
        <w:rPr>
          <w:rFonts w:cs="Arial"/>
        </w:rPr>
        <w:t>is</w:t>
      </w:r>
      <w:proofErr w:type="gramEnd"/>
      <w:r w:rsidR="00B307C5">
        <w:rPr>
          <w:rFonts w:cs="Arial"/>
        </w:rPr>
        <w:t xml:space="preserve"> set out in</w:t>
      </w:r>
      <w:r w:rsidR="00D85A77">
        <w:rPr>
          <w:rFonts w:cs="Arial"/>
        </w:rPr>
        <w:t xml:space="preserve"> </w:t>
      </w:r>
      <w:r w:rsidR="00D85A77">
        <w:t>Table 2</w:t>
      </w:r>
      <w:r w:rsidR="00B307C5">
        <w:t xml:space="preserve"> with analysis on page </w:t>
      </w:r>
      <w:r w:rsidR="00036D2C" w:rsidRPr="00036D2C">
        <w:t>8</w:t>
      </w:r>
      <w:r w:rsidR="000013AA">
        <w:t>, i</w:t>
      </w:r>
      <w:r w:rsidR="00B307C5">
        <w:t>llustrat</w:t>
      </w:r>
      <w:r w:rsidR="000013AA">
        <w:t>ing</w:t>
      </w:r>
      <w:r w:rsidR="00B307C5">
        <w:t xml:space="preserve"> the nexus between </w:t>
      </w:r>
      <w:r w:rsidR="00D85A77">
        <w:t xml:space="preserve">Court convictions and domestic violence orders/breaches </w:t>
      </w:r>
      <w:r w:rsidR="00B307C5">
        <w:t>with</w:t>
      </w:r>
      <w:r w:rsidR="00D85A77">
        <w:t xml:space="preserve"> education and child safety issues</w:t>
      </w:r>
      <w:r w:rsidR="00B307C5">
        <w:t>.</w:t>
      </w:r>
    </w:p>
    <w:p w14:paraId="11BFC9AE" w14:textId="77777777" w:rsidR="00D40971" w:rsidRDefault="00D40971" w:rsidP="002F3FD3">
      <w:pPr>
        <w:ind w:left="-142" w:right="-425"/>
        <w:jc w:val="both"/>
        <w:rPr>
          <w:rFonts w:cs="Arial"/>
        </w:rPr>
      </w:pPr>
    </w:p>
    <w:p w14:paraId="26720818" w14:textId="36A39FA3" w:rsidR="007E5A38" w:rsidRPr="00D925BE" w:rsidRDefault="007E5A38" w:rsidP="007E5A38">
      <w:pPr>
        <w:pStyle w:val="TableCaption"/>
        <w:spacing w:before="0"/>
        <w:ind w:left="0" w:right="-425"/>
        <w:rPr>
          <w:b/>
          <w:i w:val="0"/>
          <w:sz w:val="16"/>
        </w:rPr>
      </w:pPr>
      <w:r>
        <w:rPr>
          <w:b/>
          <w:i w:val="0"/>
          <w:sz w:val="16"/>
        </w:rPr>
        <w:t>Table 18</w:t>
      </w:r>
      <w:r w:rsidRPr="00F85AA1">
        <w:rPr>
          <w:b/>
          <w:i w:val="0"/>
          <w:sz w:val="16"/>
        </w:rPr>
        <w:t xml:space="preserve">: </w:t>
      </w:r>
      <w:r w:rsidRPr="00DF7212">
        <w:rPr>
          <w:rFonts w:cs="Arial"/>
          <w:i w:val="0"/>
          <w:iCs/>
          <w:sz w:val="16"/>
          <w:szCs w:val="16"/>
        </w:rPr>
        <w:t xml:space="preserve">Domestic violence referrals by community and quarter 1 </w:t>
      </w:r>
      <w:r>
        <w:rPr>
          <w:rFonts w:cs="Arial"/>
          <w:i w:val="0"/>
          <w:iCs/>
          <w:sz w:val="16"/>
          <w:szCs w:val="16"/>
        </w:rPr>
        <w:t>April</w:t>
      </w:r>
      <w:r w:rsidRPr="00DF7212">
        <w:rPr>
          <w:rFonts w:cs="Arial"/>
          <w:i w:val="0"/>
          <w:iCs/>
          <w:sz w:val="16"/>
          <w:szCs w:val="16"/>
        </w:rPr>
        <w:t xml:space="preserve"> 20</w:t>
      </w:r>
      <w:r>
        <w:rPr>
          <w:rFonts w:cs="Arial"/>
          <w:i w:val="0"/>
          <w:iCs/>
          <w:sz w:val="16"/>
          <w:szCs w:val="16"/>
        </w:rPr>
        <w:t>20</w:t>
      </w:r>
      <w:r w:rsidRPr="00DF7212">
        <w:rPr>
          <w:rFonts w:cs="Arial"/>
          <w:i w:val="0"/>
          <w:iCs/>
          <w:sz w:val="16"/>
          <w:szCs w:val="16"/>
        </w:rPr>
        <w:t xml:space="preserve"> to 3</w:t>
      </w:r>
      <w:r>
        <w:rPr>
          <w:rFonts w:cs="Arial"/>
          <w:i w:val="0"/>
          <w:iCs/>
          <w:sz w:val="16"/>
          <w:szCs w:val="16"/>
        </w:rPr>
        <w:t xml:space="preserve">0 June </w:t>
      </w:r>
      <w:r w:rsidRPr="00DF7212">
        <w:rPr>
          <w:rFonts w:cs="Arial"/>
          <w:i w:val="0"/>
          <w:iCs/>
          <w:sz w:val="16"/>
          <w:szCs w:val="16"/>
        </w:rPr>
        <w:t>202</w:t>
      </w:r>
      <w:r>
        <w:rPr>
          <w:rFonts w:cs="Arial"/>
          <w:i w:val="0"/>
          <w:iCs/>
          <w:sz w:val="16"/>
          <w:szCs w:val="16"/>
        </w:rPr>
        <w:t>1</w:t>
      </w:r>
      <w:r w:rsidRPr="00DF7212">
        <w:rPr>
          <w:rFonts w:cs="Arial"/>
          <w:i w:val="0"/>
          <w:iCs/>
          <w:sz w:val="16"/>
          <w:szCs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7E5A38" w:rsidRPr="00C5395B" w14:paraId="3B88A953" w14:textId="77777777" w:rsidTr="00A6030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7FAD5010" w14:textId="77777777" w:rsidR="007E5A38" w:rsidRPr="00C5395B" w:rsidRDefault="007E5A38" w:rsidP="007E5A38">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36E583BA" w14:textId="6D0A7F91" w:rsidR="007E5A38" w:rsidRDefault="007E5A38" w:rsidP="007E5A38">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1DFB519C" w14:textId="3B775D59" w:rsidR="007E5A38" w:rsidRDefault="007E5A38" w:rsidP="007E5A38">
            <w:pPr>
              <w:pStyle w:val="TableText"/>
              <w:jc w:val="right"/>
              <w:rPr>
                <w:b/>
                <w:lang w:eastAsia="en-AU"/>
              </w:rPr>
            </w:pPr>
            <w:r>
              <w:rPr>
                <w:b/>
                <w:lang w:eastAsia="en-AU"/>
              </w:rPr>
              <w:t>Qtr 49</w:t>
            </w:r>
          </w:p>
        </w:tc>
        <w:tc>
          <w:tcPr>
            <w:tcW w:w="1134" w:type="dxa"/>
            <w:tcBorders>
              <w:top w:val="single" w:sz="4" w:space="0" w:color="auto"/>
              <w:left w:val="nil"/>
              <w:bottom w:val="single" w:sz="4" w:space="0" w:color="auto"/>
              <w:right w:val="single" w:sz="4" w:space="0" w:color="auto"/>
            </w:tcBorders>
          </w:tcPr>
          <w:p w14:paraId="4D769BBF" w14:textId="0B3471DB" w:rsidR="007E5A38" w:rsidRDefault="007E5A38" w:rsidP="007E5A38">
            <w:pPr>
              <w:pStyle w:val="TableText"/>
              <w:jc w:val="right"/>
              <w:rPr>
                <w:b/>
                <w:lang w:eastAsia="en-AU"/>
              </w:rPr>
            </w:pPr>
            <w:r>
              <w:rPr>
                <w:b/>
                <w:lang w:eastAsia="en-AU"/>
              </w:rPr>
              <w:t>Qtr 50</w:t>
            </w:r>
          </w:p>
        </w:tc>
        <w:tc>
          <w:tcPr>
            <w:tcW w:w="992" w:type="dxa"/>
            <w:tcBorders>
              <w:top w:val="single" w:sz="4" w:space="0" w:color="auto"/>
              <w:left w:val="nil"/>
              <w:bottom w:val="single" w:sz="4" w:space="0" w:color="auto"/>
              <w:right w:val="single" w:sz="4" w:space="0" w:color="auto"/>
            </w:tcBorders>
          </w:tcPr>
          <w:p w14:paraId="5A41D291" w14:textId="10FA5D68" w:rsidR="007E5A38" w:rsidRDefault="007E5A38" w:rsidP="007E5A38">
            <w:pPr>
              <w:pStyle w:val="TableText"/>
              <w:jc w:val="right"/>
              <w:rPr>
                <w:b/>
                <w:lang w:eastAsia="en-AU"/>
              </w:rPr>
            </w:pPr>
            <w:r>
              <w:rPr>
                <w:b/>
                <w:lang w:eastAsia="en-AU"/>
              </w:rPr>
              <w:t>Qtr 51</w:t>
            </w:r>
          </w:p>
        </w:tc>
        <w:tc>
          <w:tcPr>
            <w:tcW w:w="993" w:type="dxa"/>
            <w:tcBorders>
              <w:top w:val="single" w:sz="4" w:space="0" w:color="auto"/>
              <w:left w:val="nil"/>
              <w:bottom w:val="single" w:sz="4" w:space="0" w:color="auto"/>
              <w:right w:val="single" w:sz="4" w:space="0" w:color="auto"/>
            </w:tcBorders>
          </w:tcPr>
          <w:p w14:paraId="2A37D8E6" w14:textId="0A3052B7" w:rsidR="007E5A38" w:rsidRDefault="007E5A38" w:rsidP="007E5A38">
            <w:pPr>
              <w:pStyle w:val="TableText"/>
              <w:jc w:val="right"/>
              <w:rPr>
                <w:b/>
                <w:lang w:eastAsia="en-AU"/>
              </w:rPr>
            </w:pPr>
            <w:r>
              <w:rPr>
                <w:b/>
                <w:lang w:eastAsia="en-AU"/>
              </w:rPr>
              <w:t>Qtr 52</w:t>
            </w:r>
          </w:p>
        </w:tc>
      </w:tr>
      <w:tr w:rsidR="007E5A38" w:rsidRPr="00C5395B" w14:paraId="5399C2AD"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04D4B0B8" w14:textId="77777777" w:rsidR="007E5A38" w:rsidRPr="00C5395B" w:rsidRDefault="007E5A38" w:rsidP="007E5A38">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6E8C34F8" w14:textId="37F322AE" w:rsidR="007E5A38" w:rsidRPr="002F43C8" w:rsidRDefault="007E5A38" w:rsidP="007E5A38">
            <w:pPr>
              <w:jc w:val="right"/>
              <w:rPr>
                <w:rFonts w:cs="Arial"/>
              </w:rPr>
            </w:pPr>
            <w:r w:rsidRPr="002F43C8">
              <w:rPr>
                <w:rFonts w:cs="Arial"/>
              </w:rPr>
              <w:t>6</w:t>
            </w:r>
          </w:p>
        </w:tc>
        <w:tc>
          <w:tcPr>
            <w:tcW w:w="992" w:type="dxa"/>
            <w:tcBorders>
              <w:top w:val="nil"/>
              <w:left w:val="nil"/>
              <w:bottom w:val="single" w:sz="4" w:space="0" w:color="auto"/>
              <w:right w:val="single" w:sz="4" w:space="0" w:color="auto"/>
            </w:tcBorders>
            <w:vAlign w:val="bottom"/>
          </w:tcPr>
          <w:p w14:paraId="13D8FBCB" w14:textId="0AF9140E" w:rsidR="007E5A38" w:rsidRPr="002F43C8" w:rsidRDefault="007E5A38" w:rsidP="007E5A38">
            <w:pPr>
              <w:jc w:val="right"/>
              <w:rPr>
                <w:rFonts w:cs="Arial"/>
              </w:rPr>
            </w:pPr>
            <w:r w:rsidRPr="002F43C8">
              <w:rPr>
                <w:rFonts w:cs="Arial"/>
              </w:rPr>
              <w:t>16</w:t>
            </w:r>
          </w:p>
        </w:tc>
        <w:tc>
          <w:tcPr>
            <w:tcW w:w="1134" w:type="dxa"/>
            <w:tcBorders>
              <w:top w:val="nil"/>
              <w:left w:val="nil"/>
              <w:bottom w:val="single" w:sz="4" w:space="0" w:color="auto"/>
              <w:right w:val="single" w:sz="4" w:space="0" w:color="auto"/>
            </w:tcBorders>
            <w:vAlign w:val="bottom"/>
          </w:tcPr>
          <w:p w14:paraId="06404B3B" w14:textId="0E4A7F8F" w:rsidR="007E5A38" w:rsidRPr="002F43C8" w:rsidRDefault="007E5A38" w:rsidP="007E5A38">
            <w:pPr>
              <w:jc w:val="right"/>
              <w:rPr>
                <w:rFonts w:cs="Arial"/>
              </w:rPr>
            </w:pPr>
            <w:r w:rsidRPr="002F43C8">
              <w:rPr>
                <w:rFonts w:cs="Arial"/>
              </w:rPr>
              <w:t>12</w:t>
            </w:r>
          </w:p>
        </w:tc>
        <w:tc>
          <w:tcPr>
            <w:tcW w:w="992" w:type="dxa"/>
            <w:tcBorders>
              <w:top w:val="nil"/>
              <w:left w:val="nil"/>
              <w:bottom w:val="single" w:sz="4" w:space="0" w:color="auto"/>
              <w:right w:val="single" w:sz="4" w:space="0" w:color="auto"/>
            </w:tcBorders>
          </w:tcPr>
          <w:p w14:paraId="6B92B78D" w14:textId="004DDF6A" w:rsidR="007E5A38" w:rsidRPr="002F43C8" w:rsidRDefault="007E5A38" w:rsidP="007E5A38">
            <w:pPr>
              <w:jc w:val="right"/>
              <w:rPr>
                <w:rFonts w:cs="Arial"/>
              </w:rPr>
            </w:pPr>
            <w:r w:rsidRPr="00073A0B">
              <w:rPr>
                <w:rFonts w:cs="Arial"/>
              </w:rPr>
              <w:t>43</w:t>
            </w:r>
          </w:p>
        </w:tc>
        <w:tc>
          <w:tcPr>
            <w:tcW w:w="993" w:type="dxa"/>
            <w:tcBorders>
              <w:top w:val="nil"/>
              <w:left w:val="nil"/>
              <w:bottom w:val="single" w:sz="4" w:space="0" w:color="auto"/>
              <w:right w:val="single" w:sz="4" w:space="0" w:color="auto"/>
            </w:tcBorders>
            <w:vAlign w:val="bottom"/>
          </w:tcPr>
          <w:p w14:paraId="76988100" w14:textId="3C4A0E45" w:rsidR="007E5A38" w:rsidRPr="007E5A38" w:rsidRDefault="007E5A38" w:rsidP="007E5A38">
            <w:pPr>
              <w:jc w:val="right"/>
              <w:rPr>
                <w:rFonts w:cs="Arial"/>
              </w:rPr>
            </w:pPr>
            <w:r w:rsidRPr="007E5A38">
              <w:rPr>
                <w:rFonts w:cs="Arial"/>
              </w:rPr>
              <w:t>14</w:t>
            </w:r>
          </w:p>
        </w:tc>
      </w:tr>
      <w:tr w:rsidR="007E5A38" w:rsidRPr="00C5395B" w14:paraId="4E3A000C"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4CCE536B" w14:textId="77777777" w:rsidR="007E5A38" w:rsidRPr="00C5395B" w:rsidRDefault="007E5A38" w:rsidP="007E5A38">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22631148" w14:textId="4B2CB33E" w:rsidR="007E5A38" w:rsidRPr="002F43C8" w:rsidRDefault="007E5A38" w:rsidP="007E5A38">
            <w:pPr>
              <w:jc w:val="right"/>
              <w:rPr>
                <w:rFonts w:cs="Arial"/>
              </w:rPr>
            </w:pPr>
            <w:r w:rsidRPr="002F43C8">
              <w:rPr>
                <w:rFonts w:cs="Arial"/>
              </w:rPr>
              <w:t>8</w:t>
            </w:r>
          </w:p>
        </w:tc>
        <w:tc>
          <w:tcPr>
            <w:tcW w:w="992" w:type="dxa"/>
            <w:tcBorders>
              <w:top w:val="nil"/>
              <w:left w:val="nil"/>
              <w:bottom w:val="single" w:sz="4" w:space="0" w:color="auto"/>
              <w:right w:val="single" w:sz="4" w:space="0" w:color="auto"/>
            </w:tcBorders>
            <w:vAlign w:val="bottom"/>
          </w:tcPr>
          <w:p w14:paraId="4D9AAFBA" w14:textId="4E6CE414" w:rsidR="007E5A38" w:rsidRPr="002F43C8" w:rsidRDefault="007E5A38" w:rsidP="007E5A38">
            <w:pPr>
              <w:jc w:val="right"/>
              <w:rPr>
                <w:rFonts w:cs="Arial"/>
              </w:rPr>
            </w:pPr>
            <w:r w:rsidRPr="002F43C8">
              <w:rPr>
                <w:rFonts w:cs="Arial"/>
              </w:rPr>
              <w:t>0</w:t>
            </w:r>
          </w:p>
        </w:tc>
        <w:tc>
          <w:tcPr>
            <w:tcW w:w="1134" w:type="dxa"/>
            <w:tcBorders>
              <w:top w:val="nil"/>
              <w:left w:val="nil"/>
              <w:bottom w:val="single" w:sz="4" w:space="0" w:color="auto"/>
              <w:right w:val="single" w:sz="4" w:space="0" w:color="auto"/>
            </w:tcBorders>
            <w:vAlign w:val="bottom"/>
          </w:tcPr>
          <w:p w14:paraId="425451BB" w14:textId="5DD5F6BD" w:rsidR="007E5A38" w:rsidRPr="002F43C8" w:rsidRDefault="007E5A38" w:rsidP="007E5A38">
            <w:pPr>
              <w:jc w:val="right"/>
              <w:rPr>
                <w:rFonts w:cs="Arial"/>
              </w:rPr>
            </w:pPr>
            <w:r w:rsidRPr="002F43C8">
              <w:rPr>
                <w:rFonts w:cs="Arial"/>
              </w:rPr>
              <w:t>2</w:t>
            </w:r>
          </w:p>
        </w:tc>
        <w:tc>
          <w:tcPr>
            <w:tcW w:w="992" w:type="dxa"/>
            <w:tcBorders>
              <w:top w:val="nil"/>
              <w:left w:val="nil"/>
              <w:bottom w:val="single" w:sz="4" w:space="0" w:color="auto"/>
              <w:right w:val="single" w:sz="4" w:space="0" w:color="auto"/>
            </w:tcBorders>
          </w:tcPr>
          <w:p w14:paraId="37D040A3" w14:textId="446414B9" w:rsidR="007E5A38" w:rsidRPr="002F43C8" w:rsidRDefault="007E5A38" w:rsidP="007E5A38">
            <w:pPr>
              <w:jc w:val="right"/>
              <w:rPr>
                <w:rFonts w:cs="Arial"/>
              </w:rPr>
            </w:pPr>
            <w:r w:rsidRPr="00073A0B">
              <w:rPr>
                <w:rFonts w:cs="Arial"/>
              </w:rPr>
              <w:t>1</w:t>
            </w:r>
          </w:p>
        </w:tc>
        <w:tc>
          <w:tcPr>
            <w:tcW w:w="993" w:type="dxa"/>
            <w:tcBorders>
              <w:top w:val="nil"/>
              <w:left w:val="nil"/>
              <w:bottom w:val="single" w:sz="4" w:space="0" w:color="auto"/>
              <w:right w:val="single" w:sz="4" w:space="0" w:color="auto"/>
            </w:tcBorders>
            <w:vAlign w:val="bottom"/>
          </w:tcPr>
          <w:p w14:paraId="4B4C6E8D" w14:textId="586AC1A0" w:rsidR="007E5A38" w:rsidRPr="007E5A38" w:rsidRDefault="007E5A38" w:rsidP="007E5A38">
            <w:pPr>
              <w:jc w:val="right"/>
              <w:rPr>
                <w:rFonts w:cs="Arial"/>
              </w:rPr>
            </w:pPr>
            <w:r w:rsidRPr="007E5A38">
              <w:rPr>
                <w:rFonts w:cs="Arial"/>
              </w:rPr>
              <w:t>11</w:t>
            </w:r>
          </w:p>
        </w:tc>
      </w:tr>
      <w:tr w:rsidR="007E5A38" w:rsidRPr="00C5395B" w14:paraId="6253FC56" w14:textId="77777777" w:rsidTr="00A60308">
        <w:trPr>
          <w:trHeight w:val="255"/>
        </w:trPr>
        <w:tc>
          <w:tcPr>
            <w:tcW w:w="2029" w:type="dxa"/>
            <w:tcBorders>
              <w:top w:val="nil"/>
              <w:left w:val="single" w:sz="4" w:space="0" w:color="auto"/>
              <w:bottom w:val="single" w:sz="4" w:space="0" w:color="auto"/>
              <w:right w:val="single" w:sz="4" w:space="0" w:color="auto"/>
            </w:tcBorders>
            <w:noWrap/>
          </w:tcPr>
          <w:p w14:paraId="2220AA9F" w14:textId="77777777" w:rsidR="007E5A38" w:rsidRPr="00C5395B" w:rsidRDefault="007E5A38" w:rsidP="007E5A38">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5A3E5C91" w14:textId="7EED44ED" w:rsidR="007E5A38" w:rsidRPr="002F43C8" w:rsidRDefault="007E5A38" w:rsidP="007E5A38">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vAlign w:val="bottom"/>
          </w:tcPr>
          <w:p w14:paraId="25721978" w14:textId="3E10FC41" w:rsidR="007E5A38" w:rsidRPr="002F43C8" w:rsidRDefault="007E5A38" w:rsidP="007E5A38">
            <w:pPr>
              <w:jc w:val="right"/>
              <w:rPr>
                <w:rFonts w:cs="Arial"/>
              </w:rPr>
            </w:pPr>
            <w:r w:rsidRPr="002F43C8">
              <w:rPr>
                <w:rFonts w:cs="Arial"/>
              </w:rPr>
              <w:t>0</w:t>
            </w:r>
          </w:p>
        </w:tc>
        <w:tc>
          <w:tcPr>
            <w:tcW w:w="1134" w:type="dxa"/>
            <w:tcBorders>
              <w:top w:val="nil"/>
              <w:left w:val="nil"/>
              <w:bottom w:val="single" w:sz="4" w:space="0" w:color="auto"/>
              <w:right w:val="single" w:sz="4" w:space="0" w:color="auto"/>
            </w:tcBorders>
            <w:vAlign w:val="bottom"/>
          </w:tcPr>
          <w:p w14:paraId="2547CE90" w14:textId="17A0197C" w:rsidR="007E5A38" w:rsidRPr="002F43C8" w:rsidRDefault="007E5A38" w:rsidP="007E5A38">
            <w:pPr>
              <w:jc w:val="right"/>
              <w:rPr>
                <w:rFonts w:cs="Arial"/>
              </w:rPr>
            </w:pPr>
            <w:r w:rsidRPr="002F43C8">
              <w:rPr>
                <w:rFonts w:cs="Arial"/>
              </w:rPr>
              <w:t>2</w:t>
            </w:r>
          </w:p>
        </w:tc>
        <w:tc>
          <w:tcPr>
            <w:tcW w:w="992" w:type="dxa"/>
            <w:tcBorders>
              <w:top w:val="nil"/>
              <w:left w:val="nil"/>
              <w:bottom w:val="single" w:sz="4" w:space="0" w:color="auto"/>
              <w:right w:val="single" w:sz="4" w:space="0" w:color="auto"/>
            </w:tcBorders>
          </w:tcPr>
          <w:p w14:paraId="4ECC261B" w14:textId="03C0880A" w:rsidR="007E5A38" w:rsidRPr="002F43C8" w:rsidRDefault="007E5A38" w:rsidP="007E5A38">
            <w:pPr>
              <w:jc w:val="right"/>
              <w:rPr>
                <w:rFonts w:cs="Arial"/>
              </w:rPr>
            </w:pPr>
            <w:r w:rsidRPr="00073A0B">
              <w:rPr>
                <w:rFonts w:cs="Arial"/>
              </w:rPr>
              <w:t>4</w:t>
            </w:r>
          </w:p>
        </w:tc>
        <w:tc>
          <w:tcPr>
            <w:tcW w:w="993" w:type="dxa"/>
            <w:tcBorders>
              <w:top w:val="nil"/>
              <w:left w:val="nil"/>
              <w:bottom w:val="single" w:sz="4" w:space="0" w:color="auto"/>
              <w:right w:val="single" w:sz="4" w:space="0" w:color="auto"/>
            </w:tcBorders>
            <w:vAlign w:val="bottom"/>
          </w:tcPr>
          <w:p w14:paraId="08DEB1B4" w14:textId="2A838F6B" w:rsidR="007E5A38" w:rsidRPr="007E5A38" w:rsidRDefault="007E5A38" w:rsidP="007E5A38">
            <w:pPr>
              <w:jc w:val="right"/>
              <w:rPr>
                <w:rFonts w:cs="Arial"/>
              </w:rPr>
            </w:pPr>
            <w:r w:rsidRPr="007E5A38">
              <w:rPr>
                <w:rFonts w:cs="Arial"/>
              </w:rPr>
              <w:t>0</w:t>
            </w:r>
          </w:p>
        </w:tc>
      </w:tr>
      <w:tr w:rsidR="007E5A38" w:rsidRPr="00C5395B" w14:paraId="3D657583"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4B04670D" w14:textId="77777777" w:rsidR="007E5A38" w:rsidRPr="00C5395B" w:rsidRDefault="007E5A38" w:rsidP="007E5A38">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02F24893" w14:textId="1B4CBC9A" w:rsidR="007E5A38" w:rsidRPr="002F43C8" w:rsidRDefault="007E5A38" w:rsidP="007E5A38">
            <w:pPr>
              <w:jc w:val="right"/>
              <w:rPr>
                <w:rFonts w:cs="Arial"/>
              </w:rPr>
            </w:pPr>
            <w:r w:rsidRPr="002F43C8">
              <w:rPr>
                <w:rFonts w:cs="Arial"/>
              </w:rPr>
              <w:t>3</w:t>
            </w:r>
          </w:p>
        </w:tc>
        <w:tc>
          <w:tcPr>
            <w:tcW w:w="992" w:type="dxa"/>
            <w:tcBorders>
              <w:top w:val="nil"/>
              <w:left w:val="nil"/>
              <w:bottom w:val="single" w:sz="4" w:space="0" w:color="auto"/>
              <w:right w:val="single" w:sz="4" w:space="0" w:color="auto"/>
            </w:tcBorders>
            <w:vAlign w:val="bottom"/>
          </w:tcPr>
          <w:p w14:paraId="23D6E3A1" w14:textId="23A30606" w:rsidR="007E5A38" w:rsidRPr="002F43C8" w:rsidRDefault="007E5A38" w:rsidP="007E5A38">
            <w:pPr>
              <w:jc w:val="right"/>
              <w:rPr>
                <w:rFonts w:cs="Arial"/>
              </w:rPr>
            </w:pPr>
            <w:r w:rsidRPr="002F43C8">
              <w:rPr>
                <w:rFonts w:cs="Arial"/>
              </w:rPr>
              <w:t>1</w:t>
            </w:r>
          </w:p>
        </w:tc>
        <w:tc>
          <w:tcPr>
            <w:tcW w:w="1134" w:type="dxa"/>
            <w:tcBorders>
              <w:top w:val="nil"/>
              <w:left w:val="nil"/>
              <w:bottom w:val="single" w:sz="4" w:space="0" w:color="auto"/>
              <w:right w:val="single" w:sz="4" w:space="0" w:color="auto"/>
            </w:tcBorders>
            <w:vAlign w:val="bottom"/>
          </w:tcPr>
          <w:p w14:paraId="05E76220" w14:textId="491411D6" w:rsidR="007E5A38" w:rsidRPr="002F43C8" w:rsidRDefault="007E5A38" w:rsidP="007E5A38">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tcPr>
          <w:p w14:paraId="18AC0672" w14:textId="033DB97B" w:rsidR="007E5A38" w:rsidRPr="002F43C8" w:rsidRDefault="007E5A38" w:rsidP="007E5A38">
            <w:pPr>
              <w:jc w:val="right"/>
              <w:rPr>
                <w:rFonts w:cs="Arial"/>
              </w:rPr>
            </w:pPr>
            <w:r w:rsidRPr="00073A0B">
              <w:rPr>
                <w:rFonts w:cs="Arial"/>
              </w:rPr>
              <w:t>2</w:t>
            </w:r>
          </w:p>
        </w:tc>
        <w:tc>
          <w:tcPr>
            <w:tcW w:w="993" w:type="dxa"/>
            <w:tcBorders>
              <w:top w:val="nil"/>
              <w:left w:val="nil"/>
              <w:bottom w:val="single" w:sz="4" w:space="0" w:color="auto"/>
              <w:right w:val="single" w:sz="4" w:space="0" w:color="auto"/>
            </w:tcBorders>
            <w:vAlign w:val="bottom"/>
          </w:tcPr>
          <w:p w14:paraId="1A800C52" w14:textId="7149F633" w:rsidR="007E5A38" w:rsidRPr="007E5A38" w:rsidRDefault="007E5A38" w:rsidP="007E5A38">
            <w:pPr>
              <w:jc w:val="right"/>
              <w:rPr>
                <w:rFonts w:cs="Arial"/>
              </w:rPr>
            </w:pPr>
            <w:r w:rsidRPr="007E5A38">
              <w:rPr>
                <w:rFonts w:cs="Arial"/>
              </w:rPr>
              <w:t>1</w:t>
            </w:r>
          </w:p>
        </w:tc>
      </w:tr>
      <w:tr w:rsidR="007E5A38" w:rsidRPr="00C5395B" w14:paraId="4726B29A" w14:textId="77777777" w:rsidTr="00A60308">
        <w:trPr>
          <w:trHeight w:val="255"/>
        </w:trPr>
        <w:tc>
          <w:tcPr>
            <w:tcW w:w="2029" w:type="dxa"/>
            <w:tcBorders>
              <w:top w:val="nil"/>
              <w:left w:val="single" w:sz="4" w:space="0" w:color="auto"/>
              <w:bottom w:val="single" w:sz="4" w:space="0" w:color="auto"/>
              <w:right w:val="single" w:sz="4" w:space="0" w:color="auto"/>
            </w:tcBorders>
            <w:noWrap/>
            <w:hideMark/>
          </w:tcPr>
          <w:p w14:paraId="785A069E" w14:textId="77777777" w:rsidR="007E5A38" w:rsidRPr="00C5395B" w:rsidRDefault="007E5A38" w:rsidP="007E5A38">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30BCC80C" w14:textId="3857131F" w:rsidR="007E5A38" w:rsidRPr="002F43C8" w:rsidRDefault="007E5A38" w:rsidP="007E5A38">
            <w:pPr>
              <w:pStyle w:val="TableText"/>
              <w:jc w:val="right"/>
              <w:rPr>
                <w:b/>
                <w:lang w:eastAsia="en-AU"/>
              </w:rPr>
            </w:pPr>
            <w:r w:rsidRPr="002F43C8">
              <w:rPr>
                <w:rFonts w:cs="Arial"/>
                <w:b/>
                <w:bCs/>
              </w:rPr>
              <w:t>18</w:t>
            </w:r>
          </w:p>
        </w:tc>
        <w:tc>
          <w:tcPr>
            <w:tcW w:w="992" w:type="dxa"/>
            <w:tcBorders>
              <w:top w:val="nil"/>
              <w:left w:val="nil"/>
              <w:bottom w:val="single" w:sz="4" w:space="0" w:color="auto"/>
              <w:right w:val="single" w:sz="4" w:space="0" w:color="auto"/>
            </w:tcBorders>
            <w:vAlign w:val="bottom"/>
          </w:tcPr>
          <w:p w14:paraId="55533685" w14:textId="3AF88D23" w:rsidR="007E5A38" w:rsidRPr="002F43C8" w:rsidRDefault="007E5A38" w:rsidP="007E5A38">
            <w:pPr>
              <w:pStyle w:val="TableText"/>
              <w:jc w:val="right"/>
              <w:rPr>
                <w:b/>
                <w:lang w:eastAsia="en-AU"/>
              </w:rPr>
            </w:pPr>
            <w:r w:rsidRPr="002F43C8">
              <w:rPr>
                <w:rFonts w:cs="Arial"/>
                <w:b/>
                <w:bCs/>
              </w:rPr>
              <w:t>17</w:t>
            </w:r>
          </w:p>
        </w:tc>
        <w:tc>
          <w:tcPr>
            <w:tcW w:w="1134" w:type="dxa"/>
            <w:tcBorders>
              <w:top w:val="nil"/>
              <w:left w:val="nil"/>
              <w:bottom w:val="single" w:sz="4" w:space="0" w:color="auto"/>
              <w:right w:val="single" w:sz="4" w:space="0" w:color="auto"/>
            </w:tcBorders>
            <w:vAlign w:val="bottom"/>
          </w:tcPr>
          <w:p w14:paraId="745F7510" w14:textId="1E7F1D8A" w:rsidR="007E5A38" w:rsidRPr="002F43C8" w:rsidRDefault="007E5A38" w:rsidP="007E5A38">
            <w:pPr>
              <w:pStyle w:val="TableText"/>
              <w:jc w:val="right"/>
              <w:rPr>
                <w:b/>
                <w:lang w:eastAsia="en-AU"/>
              </w:rPr>
            </w:pPr>
            <w:r w:rsidRPr="002F43C8">
              <w:rPr>
                <w:rFonts w:cs="Arial"/>
                <w:b/>
                <w:bCs/>
              </w:rPr>
              <w:t>17</w:t>
            </w:r>
          </w:p>
        </w:tc>
        <w:tc>
          <w:tcPr>
            <w:tcW w:w="992" w:type="dxa"/>
            <w:tcBorders>
              <w:top w:val="nil"/>
              <w:left w:val="nil"/>
              <w:bottom w:val="single" w:sz="4" w:space="0" w:color="auto"/>
              <w:right w:val="single" w:sz="4" w:space="0" w:color="auto"/>
            </w:tcBorders>
            <w:vAlign w:val="bottom"/>
          </w:tcPr>
          <w:p w14:paraId="0D1AE478" w14:textId="59C41E9E" w:rsidR="007E5A38" w:rsidRPr="002F43C8" w:rsidRDefault="007E5A38" w:rsidP="007E5A38">
            <w:pPr>
              <w:pStyle w:val="TableText"/>
              <w:jc w:val="right"/>
              <w:rPr>
                <w:rFonts w:cs="Arial"/>
                <w:b/>
                <w:bCs/>
              </w:rPr>
            </w:pPr>
            <w:r w:rsidRPr="00073A0B">
              <w:rPr>
                <w:rFonts w:cs="Arial"/>
                <w:b/>
                <w:bCs/>
              </w:rPr>
              <w:t>50</w:t>
            </w:r>
          </w:p>
        </w:tc>
        <w:tc>
          <w:tcPr>
            <w:tcW w:w="993" w:type="dxa"/>
            <w:tcBorders>
              <w:top w:val="nil"/>
              <w:left w:val="nil"/>
              <w:bottom w:val="single" w:sz="4" w:space="0" w:color="auto"/>
              <w:right w:val="single" w:sz="4" w:space="0" w:color="auto"/>
            </w:tcBorders>
            <w:vAlign w:val="bottom"/>
          </w:tcPr>
          <w:p w14:paraId="5BBB9A98" w14:textId="18C4DC4A" w:rsidR="007E5A38" w:rsidRPr="007E5A38" w:rsidRDefault="007E5A38" w:rsidP="007E5A38">
            <w:pPr>
              <w:pStyle w:val="TableText"/>
              <w:jc w:val="right"/>
              <w:rPr>
                <w:rFonts w:cs="Arial"/>
                <w:b/>
                <w:bCs/>
              </w:rPr>
            </w:pPr>
            <w:r w:rsidRPr="007E5A38">
              <w:rPr>
                <w:rFonts w:cs="Arial"/>
                <w:b/>
                <w:bCs/>
              </w:rPr>
              <w:t>26</w:t>
            </w:r>
          </w:p>
        </w:tc>
      </w:tr>
    </w:tbl>
    <w:p w14:paraId="329EA1AD" w14:textId="77777777" w:rsidR="007E5A38" w:rsidRDefault="007E5A38" w:rsidP="007E5A38">
      <w:pPr>
        <w:pStyle w:val="Heading2"/>
      </w:pPr>
    </w:p>
    <w:p w14:paraId="3DA4D471" w14:textId="3D83B91D" w:rsidR="005A5B78" w:rsidRPr="00076ED0" w:rsidRDefault="005A5B78" w:rsidP="00D51DFA">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5EECC10" w14:textId="42CF24E1" w:rsidR="00DD2557" w:rsidRPr="00DD2557" w:rsidRDefault="00DD2557" w:rsidP="00DD2557">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The 2019-20 reporting period </w:t>
      </w:r>
      <w:r w:rsidR="00CB58DB" w:rsidRPr="00F859DE">
        <w:rPr>
          <w:rFonts w:cs="Arial"/>
          <w:lang w:val="en-GB"/>
        </w:rPr>
        <w:t>saw</w:t>
      </w:r>
      <w:r w:rsidRPr="00F859DE">
        <w:rPr>
          <w:rFonts w:cs="Arial"/>
          <w:lang w:val="en-GB"/>
        </w:rPr>
        <w:t xml:space="preserve"> </w:t>
      </w:r>
      <w:r w:rsidR="00F859DE">
        <w:rPr>
          <w:rFonts w:cs="Arial"/>
          <w:lang w:val="en-GB"/>
        </w:rPr>
        <w:t xml:space="preserve">165 clients placed on a CIM order compared to </w:t>
      </w:r>
      <w:r w:rsidR="00526C70">
        <w:rPr>
          <w:rFonts w:cs="Arial"/>
          <w:lang w:val="en-GB"/>
        </w:rPr>
        <w:t xml:space="preserve">90 </w:t>
      </w:r>
      <w:r w:rsidR="00F859DE">
        <w:rPr>
          <w:rFonts w:cs="Arial"/>
          <w:lang w:val="en-GB"/>
        </w:rPr>
        <w:t>in 2020-21</w:t>
      </w:r>
      <w:r w:rsidRPr="00F859DE">
        <w:rPr>
          <w:rFonts w:cs="Arial"/>
          <w:lang w:val="en-GB"/>
        </w:rPr>
        <w:t>.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672C145F" w14:textId="77777777" w:rsidR="00DD2557" w:rsidRDefault="00DD2557" w:rsidP="005A5B78">
      <w:pPr>
        <w:ind w:left="-142" w:right="-425"/>
        <w:jc w:val="both"/>
        <w:rPr>
          <w:rFonts w:cs="Arial"/>
        </w:rPr>
      </w:pPr>
    </w:p>
    <w:p w14:paraId="7776CF22" w14:textId="2C24A783" w:rsidR="005A5B78" w:rsidRDefault="00FE3120" w:rsidP="005A5B78">
      <w:pPr>
        <w:ind w:left="-142" w:right="-425"/>
        <w:jc w:val="both"/>
        <w:rPr>
          <w:rFonts w:cs="Arial"/>
        </w:rPr>
      </w:pPr>
      <w:r>
        <w:rPr>
          <w:rFonts w:cs="Arial"/>
        </w:rPr>
        <w:lastRenderedPageBreak/>
        <w:t xml:space="preserve">A total of </w:t>
      </w:r>
      <w:r w:rsidR="002E5903">
        <w:rPr>
          <w:rFonts w:cs="Arial"/>
        </w:rPr>
        <w:t xml:space="preserve">25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1E59F8">
        <w:rPr>
          <w:rFonts w:cs="Arial"/>
        </w:rPr>
        <w:t>relating to</w:t>
      </w:r>
      <w:r w:rsidR="00CD2E78">
        <w:rPr>
          <w:rFonts w:cs="Arial"/>
        </w:rPr>
        <w:t xml:space="preserve"> </w:t>
      </w:r>
      <w:r w:rsidR="002E5903">
        <w:rPr>
          <w:rFonts w:cs="Arial"/>
        </w:rPr>
        <w:t xml:space="preserve">25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0D0A4E">
        <w:rPr>
          <w:rFonts w:cs="Arial"/>
        </w:rPr>
        <w:t>52</w:t>
      </w:r>
      <w:r w:rsidR="005A5B78" w:rsidRPr="00306884">
        <w:rPr>
          <w:rFonts w:cs="Arial"/>
        </w:rPr>
        <w:t xml:space="preserve">, </w:t>
      </w:r>
      <w:r w:rsidR="00D1657C" w:rsidRPr="00D1657C">
        <w:rPr>
          <w:rFonts w:cs="Arial"/>
        </w:rPr>
        <w:t>a</w:t>
      </w:r>
      <w:r w:rsidR="002E5903">
        <w:rPr>
          <w:rFonts w:cs="Arial"/>
        </w:rPr>
        <w:t>n increase</w:t>
      </w:r>
      <w:r w:rsidR="00181E6A">
        <w:rPr>
          <w:rFonts w:cs="Arial"/>
        </w:rPr>
        <w:t xml:space="preserve"> </w:t>
      </w:r>
      <w:r w:rsidR="005A5B78" w:rsidRPr="00D1657C">
        <w:rPr>
          <w:rFonts w:cs="Arial"/>
        </w:rPr>
        <w:t>of</w:t>
      </w:r>
      <w:r w:rsidR="005A5B78" w:rsidRPr="007C135D">
        <w:rPr>
          <w:rFonts w:cs="Arial"/>
        </w:rPr>
        <w:t xml:space="preserve"> </w:t>
      </w:r>
      <w:r w:rsidR="00D014F4">
        <w:rPr>
          <w:rFonts w:cs="Arial"/>
        </w:rPr>
        <w:t>1</w:t>
      </w:r>
      <w:r w:rsidR="002E5903">
        <w:rPr>
          <w:rFonts w:cs="Arial"/>
        </w:rPr>
        <w:t>3</w:t>
      </w:r>
      <w:r w:rsidR="00D014F4"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0D0A4E">
        <w:rPr>
          <w:rFonts w:cs="Arial"/>
        </w:rPr>
        <w:t>51</w:t>
      </w:r>
      <w:r w:rsidR="00984127">
        <w:rPr>
          <w:rFonts w:cs="Arial"/>
        </w:rPr>
        <w:t>,</w:t>
      </w:r>
      <w:r w:rsidR="00C41FA3">
        <w:rPr>
          <w:rFonts w:cs="Arial"/>
        </w:rPr>
        <w:t xml:space="preserve"> with 80 percent at 60 percent </w:t>
      </w:r>
      <w:r w:rsidR="00984127">
        <w:rPr>
          <w:rFonts w:cs="Arial"/>
        </w:rPr>
        <w:t>conditional</w:t>
      </w:r>
      <w:r w:rsidR="00C41FA3">
        <w:rPr>
          <w:rFonts w:cs="Arial"/>
        </w:rPr>
        <w:t xml:space="preserve"> income management and 68 percent for a 6-month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C4793F">
        <w:rPr>
          <w:rFonts w:cs="Arial"/>
        </w:rPr>
        <w:t>9</w:t>
      </w:r>
      <w:r w:rsidR="002E5903">
        <w:rPr>
          <w:rFonts w:cs="Arial"/>
        </w:rPr>
        <w:t>71</w:t>
      </w:r>
      <w:r w:rsidR="00C4793F" w:rsidRPr="007C7A9E">
        <w:rPr>
          <w:rFonts w:cs="Arial"/>
        </w:rPr>
        <w:t xml:space="preserve"> </w:t>
      </w:r>
      <w:r w:rsidR="005A5B78" w:rsidRPr="007C7A9E">
        <w:rPr>
          <w:rFonts w:cs="Arial"/>
        </w:rPr>
        <w:t>clients</w:t>
      </w:r>
      <w:r w:rsidR="00932DF5">
        <w:rPr>
          <w:rFonts w:cs="Arial"/>
        </w:rPr>
        <w:t xml:space="preserve"> (</w:t>
      </w:r>
      <w:r w:rsidR="00C4793F">
        <w:rPr>
          <w:rFonts w:cs="Arial"/>
        </w:rPr>
        <w:t>55</w:t>
      </w:r>
      <w:r w:rsidR="002E5903">
        <w:rPr>
          <w:rFonts w:cs="Arial"/>
        </w:rPr>
        <w:t>8</w:t>
      </w:r>
      <w:r w:rsidR="00C4793F">
        <w:rPr>
          <w:rFonts w:cs="Arial"/>
        </w:rPr>
        <w:t xml:space="preserve"> </w:t>
      </w:r>
      <w:r w:rsidR="00932DF5">
        <w:rPr>
          <w:rFonts w:cs="Arial"/>
        </w:rPr>
        <w:t xml:space="preserve">female and </w:t>
      </w:r>
      <w:r w:rsidR="00C4793F">
        <w:rPr>
          <w:rFonts w:cs="Arial"/>
        </w:rPr>
        <w:t>4</w:t>
      </w:r>
      <w:r w:rsidR="002E5903">
        <w:rPr>
          <w:rFonts w:cs="Arial"/>
        </w:rPr>
        <w:t>13</w:t>
      </w:r>
      <w:r w:rsidR="00C4793F">
        <w:rPr>
          <w:rFonts w:cs="Arial"/>
        </w:rPr>
        <w:t xml:space="preserve"> </w:t>
      </w:r>
      <w:r w:rsidR="00932DF5">
        <w:rPr>
          <w:rFonts w:cs="Arial"/>
        </w:rPr>
        <w:t>male)</w:t>
      </w:r>
      <w:r w:rsidR="00127CEE">
        <w:rPr>
          <w:rFonts w:cs="Arial"/>
        </w:rPr>
        <w:t xml:space="preserve">. </w:t>
      </w:r>
      <w:r w:rsidR="00D570F8">
        <w:rPr>
          <w:rFonts w:cs="Arial"/>
        </w:rPr>
        <w:t xml:space="preserve">Increases </w:t>
      </w:r>
      <w:r w:rsidR="00D63035">
        <w:rPr>
          <w:rFonts w:cs="Arial"/>
        </w:rPr>
        <w:t xml:space="preserve">in quarter 52 </w:t>
      </w:r>
      <w:r w:rsidR="00596D78" w:rsidRPr="007C7A9E">
        <w:rPr>
          <w:rFonts w:cs="Arial"/>
        </w:rPr>
        <w:t>were seen in</w:t>
      </w:r>
      <w:r w:rsidR="00D014F4">
        <w:rPr>
          <w:rFonts w:cs="Arial"/>
        </w:rPr>
        <w:t xml:space="preserve"> </w:t>
      </w:r>
      <w:r w:rsidR="00C4793F">
        <w:rPr>
          <w:rFonts w:cs="Arial"/>
        </w:rPr>
        <w:t xml:space="preserve">Aurukun, </w:t>
      </w:r>
      <w:r w:rsidR="00D014F4">
        <w:rPr>
          <w:rFonts w:cs="Arial"/>
        </w:rPr>
        <w:t>Coen</w:t>
      </w:r>
      <w:r w:rsidR="00D570F8">
        <w:rPr>
          <w:rFonts w:cs="Arial"/>
        </w:rPr>
        <w:t>,</w:t>
      </w:r>
      <w:r w:rsidR="00C4793F">
        <w:rPr>
          <w:rFonts w:cs="Arial"/>
        </w:rPr>
        <w:t xml:space="preserve"> </w:t>
      </w:r>
      <w:proofErr w:type="gramStart"/>
      <w:r w:rsidR="00D014F4">
        <w:rPr>
          <w:rFonts w:cs="Arial"/>
        </w:rPr>
        <w:t>Doomadgee</w:t>
      </w:r>
      <w:proofErr w:type="gramEnd"/>
      <w:r w:rsidR="00D014F4" w:rsidRPr="007C7A9E">
        <w:rPr>
          <w:rFonts w:cs="Arial"/>
        </w:rPr>
        <w:t xml:space="preserve"> </w:t>
      </w:r>
      <w:r w:rsidR="00D570F8">
        <w:rPr>
          <w:rFonts w:cs="Arial"/>
        </w:rPr>
        <w:t xml:space="preserve">and Hope Vale </w:t>
      </w:r>
      <w:r w:rsidR="00596D78" w:rsidRPr="007C7A9E">
        <w:rPr>
          <w:rFonts w:cs="Arial"/>
        </w:rPr>
        <w:t xml:space="preserve">of </w:t>
      </w:r>
      <w:r w:rsidR="00D570F8">
        <w:rPr>
          <w:rFonts w:cs="Arial"/>
        </w:rPr>
        <w:t>4</w:t>
      </w:r>
      <w:r w:rsidR="00D014F4">
        <w:rPr>
          <w:rFonts w:cs="Arial"/>
        </w:rPr>
        <w:t xml:space="preserve">, </w:t>
      </w:r>
      <w:r w:rsidR="00D570F8">
        <w:rPr>
          <w:rFonts w:cs="Arial"/>
        </w:rPr>
        <w:t>3, 5</w:t>
      </w:r>
      <w:r w:rsidR="00C4793F">
        <w:rPr>
          <w:rFonts w:cs="Arial"/>
        </w:rPr>
        <w:t xml:space="preserve"> and</w:t>
      </w:r>
      <w:r w:rsidR="00D014F4">
        <w:rPr>
          <w:rFonts w:cs="Arial"/>
        </w:rPr>
        <w:t xml:space="preserve"> </w:t>
      </w:r>
      <w:r w:rsidR="00D570F8">
        <w:rPr>
          <w:rFonts w:cs="Arial"/>
        </w:rPr>
        <w:t>2</w:t>
      </w:r>
      <w:r w:rsidR="00492630">
        <w:rPr>
          <w:rFonts w:cs="Arial"/>
        </w:rPr>
        <w:t xml:space="preserve"> </w:t>
      </w:r>
      <w:r w:rsidR="004A53F2" w:rsidRPr="007C7A9E">
        <w:rPr>
          <w:rFonts w:cs="Arial"/>
        </w:rPr>
        <w:t>CIM</w:t>
      </w:r>
      <w:r w:rsidR="00492630">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whilst </w:t>
      </w:r>
      <w:r w:rsidR="00C4793F">
        <w:rPr>
          <w:rFonts w:cs="Arial"/>
        </w:rPr>
        <w:t xml:space="preserve">Mossman Gorge </w:t>
      </w:r>
      <w:r w:rsidR="00D570F8">
        <w:rPr>
          <w:rFonts w:cs="Arial"/>
        </w:rPr>
        <w:t xml:space="preserve">decreased </w:t>
      </w:r>
      <w:r w:rsidR="00C4793F">
        <w:rPr>
          <w:rFonts w:cs="Arial"/>
        </w:rPr>
        <w:t xml:space="preserve">by </w:t>
      </w:r>
      <w:r w:rsidR="00D570F8">
        <w:rPr>
          <w:rFonts w:cs="Arial"/>
        </w:rPr>
        <w:t>1</w:t>
      </w:r>
      <w:r w:rsidR="00C4793F">
        <w:rPr>
          <w:rFonts w:cs="Arial"/>
        </w:rPr>
        <w:t xml:space="preserve"> CIM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0CD6E8C6" w:rsidR="005A5B78" w:rsidRDefault="005A5B78" w:rsidP="005A5B78">
      <w:pPr>
        <w:ind w:left="-142" w:right="-425"/>
        <w:jc w:val="both"/>
        <w:rPr>
          <w:rFonts w:cs="Arial"/>
        </w:rPr>
      </w:pPr>
      <w:r w:rsidRPr="00C313D5">
        <w:rPr>
          <w:rFonts w:cs="Arial"/>
        </w:rPr>
        <w:t xml:space="preserve">As </w:t>
      </w:r>
      <w:proofErr w:type="gramStart"/>
      <w:r w:rsidRPr="00C313D5">
        <w:rPr>
          <w:rFonts w:cs="Arial"/>
        </w:rPr>
        <w:t>at</w:t>
      </w:r>
      <w:proofErr w:type="gramEnd"/>
      <w:r w:rsidRPr="00C313D5">
        <w:rPr>
          <w:rFonts w:cs="Arial"/>
        </w:rPr>
        <w:t xml:space="preserve"> </w:t>
      </w:r>
      <w:r w:rsidR="00C02DC0">
        <w:rPr>
          <w:rFonts w:cs="Arial"/>
        </w:rPr>
        <w:t>30 June</w:t>
      </w:r>
      <w:r w:rsidR="009A7C28">
        <w:rPr>
          <w:rFonts w:cs="Arial"/>
        </w:rPr>
        <w:t xml:space="preserve"> 2021</w:t>
      </w:r>
      <w:r w:rsidRPr="00C313D5">
        <w:rPr>
          <w:rFonts w:cs="Arial"/>
        </w:rPr>
        <w:t xml:space="preserve"> there were </w:t>
      </w:r>
      <w:r w:rsidR="00AE54FC">
        <w:rPr>
          <w:rFonts w:cs="Arial"/>
        </w:rPr>
        <w:t>65</w:t>
      </w:r>
      <w:r w:rsidR="00AE54FC"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984127">
        <w:rPr>
          <w:rFonts w:cs="Arial"/>
        </w:rPr>
        <w:t xml:space="preserve">, </w:t>
      </w:r>
      <w:bookmarkStart w:id="13" w:name="_Hlk80798728"/>
      <w:r w:rsidR="00984127">
        <w:rPr>
          <w:rFonts w:cs="Arial"/>
        </w:rPr>
        <w:t>with 54 percent at 60 percent conditional income management and 54 percent for a 12-month duration</w:t>
      </w:r>
      <w:r w:rsidR="00CE5828" w:rsidRPr="00C313D5">
        <w:rPr>
          <w:rFonts w:cs="Arial"/>
        </w:rPr>
        <w:t>.</w:t>
      </w:r>
      <w:r w:rsidR="0061573D">
        <w:rPr>
          <w:rFonts w:cs="Arial"/>
        </w:rPr>
        <w:t xml:space="preserve"> </w:t>
      </w:r>
      <w:bookmarkEnd w:id="13"/>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7C085B47" w14:textId="77777777" w:rsidR="001654E8" w:rsidRDefault="001654E8" w:rsidP="005A5B78">
      <w:pPr>
        <w:ind w:left="-142" w:right="-425"/>
        <w:jc w:val="both"/>
        <w:rPr>
          <w:rFonts w:cs="Arial"/>
        </w:rPr>
      </w:pPr>
    </w:p>
    <w:p w14:paraId="6F427BD9" w14:textId="6B44D439" w:rsidR="00F1223C" w:rsidRPr="00B01FE8" w:rsidRDefault="00F1223C" w:rsidP="00F1223C">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Pr>
          <w:i w:val="0"/>
          <w:sz w:val="16"/>
        </w:rPr>
        <w:t xml:space="preserve">April 2020 to 30 June </w:t>
      </w:r>
      <w:r w:rsidRPr="00B01FE8">
        <w:rPr>
          <w:i w:val="0"/>
          <w:sz w:val="16"/>
        </w:rPr>
        <w:t>20</w:t>
      </w:r>
      <w:r>
        <w:rPr>
          <w:i w:val="0"/>
          <w:sz w:val="16"/>
        </w:rPr>
        <w:t>21</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F1223C" w:rsidRPr="00C5395B" w14:paraId="777FE09A" w14:textId="77777777" w:rsidTr="00A6030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4961CF4" w14:textId="77777777" w:rsidR="00F1223C" w:rsidRPr="00C5395B" w:rsidRDefault="00F1223C" w:rsidP="00F1223C">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DE1B6D9" w14:textId="0514D25C" w:rsidR="00F1223C" w:rsidRDefault="00F1223C" w:rsidP="00F1223C">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0730867E" w14:textId="6B5FE552" w:rsidR="00F1223C" w:rsidRDefault="00F1223C" w:rsidP="00F1223C">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6BA4335D" w14:textId="27D6A7FE" w:rsidR="00F1223C" w:rsidRDefault="00F1223C" w:rsidP="00F1223C">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15535B58" w14:textId="630C8321" w:rsidR="00F1223C" w:rsidRDefault="00F1223C" w:rsidP="00F1223C">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39E3E974" w14:textId="6C1492D7" w:rsidR="00F1223C" w:rsidRDefault="00F1223C" w:rsidP="00F1223C">
            <w:pPr>
              <w:pStyle w:val="TableText"/>
              <w:jc w:val="right"/>
              <w:rPr>
                <w:b/>
                <w:lang w:eastAsia="en-AU"/>
              </w:rPr>
            </w:pPr>
            <w:r>
              <w:rPr>
                <w:b/>
                <w:lang w:eastAsia="en-AU"/>
              </w:rPr>
              <w:t>Qtr 52</w:t>
            </w:r>
          </w:p>
        </w:tc>
      </w:tr>
      <w:tr w:rsidR="00F1223C" w:rsidRPr="00C5395B" w14:paraId="2613D0A8"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7FD86F80" w14:textId="77777777" w:rsidR="00F1223C" w:rsidRPr="00C5395B" w:rsidRDefault="00F1223C" w:rsidP="00F1223C">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D3A6F92" w14:textId="5845B786" w:rsidR="00F1223C" w:rsidRDefault="00F1223C" w:rsidP="00F1223C">
            <w:pPr>
              <w:jc w:val="right"/>
              <w:rPr>
                <w:rFonts w:cs="Arial"/>
              </w:rPr>
            </w:pPr>
            <w:r w:rsidRPr="00EE6BD7">
              <w:rPr>
                <w:rFonts w:cs="Arial"/>
              </w:rPr>
              <w:t>35</w:t>
            </w:r>
          </w:p>
        </w:tc>
        <w:tc>
          <w:tcPr>
            <w:tcW w:w="960" w:type="dxa"/>
            <w:tcBorders>
              <w:top w:val="nil"/>
              <w:left w:val="nil"/>
              <w:bottom w:val="single" w:sz="4" w:space="0" w:color="auto"/>
              <w:right w:val="single" w:sz="4" w:space="0" w:color="auto"/>
            </w:tcBorders>
          </w:tcPr>
          <w:p w14:paraId="35D7076F" w14:textId="2C2E435D" w:rsidR="00F1223C" w:rsidRDefault="00F1223C" w:rsidP="00F1223C">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tcPr>
          <w:p w14:paraId="15450D89" w14:textId="42D5A7EB" w:rsidR="00F1223C" w:rsidRDefault="00F1223C" w:rsidP="00F1223C">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vAlign w:val="bottom"/>
          </w:tcPr>
          <w:p w14:paraId="1524FCF1" w14:textId="6BC344CE" w:rsidR="00F1223C" w:rsidRPr="00EE6BD7" w:rsidRDefault="00F1223C" w:rsidP="00F1223C">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4708578F" w14:textId="3E03ADA2" w:rsidR="00F1223C" w:rsidRPr="00F1223C" w:rsidRDefault="00F1223C" w:rsidP="00F1223C">
            <w:pPr>
              <w:jc w:val="right"/>
              <w:rPr>
                <w:rFonts w:cs="Arial"/>
              </w:rPr>
            </w:pPr>
            <w:r w:rsidRPr="00F1223C">
              <w:rPr>
                <w:rFonts w:cs="Arial"/>
              </w:rPr>
              <w:t>8</w:t>
            </w:r>
          </w:p>
        </w:tc>
      </w:tr>
      <w:tr w:rsidR="00F1223C" w:rsidRPr="00C5395B" w14:paraId="66BCA695"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6138905A" w14:textId="77777777" w:rsidR="00F1223C" w:rsidRPr="00C5395B" w:rsidRDefault="00F1223C" w:rsidP="00F1223C">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206A5EF" w14:textId="7DEA8065" w:rsidR="00F1223C" w:rsidRDefault="00F1223C" w:rsidP="00F1223C">
            <w:pPr>
              <w:jc w:val="right"/>
              <w:rPr>
                <w:rFonts w:cs="Arial"/>
              </w:rPr>
            </w:pPr>
            <w:r w:rsidRPr="00EE6BD7">
              <w:rPr>
                <w:rFonts w:cs="Arial"/>
              </w:rPr>
              <w:t>4</w:t>
            </w:r>
          </w:p>
        </w:tc>
        <w:tc>
          <w:tcPr>
            <w:tcW w:w="960" w:type="dxa"/>
            <w:tcBorders>
              <w:top w:val="nil"/>
              <w:left w:val="nil"/>
              <w:bottom w:val="single" w:sz="4" w:space="0" w:color="auto"/>
              <w:right w:val="single" w:sz="4" w:space="0" w:color="auto"/>
            </w:tcBorders>
          </w:tcPr>
          <w:p w14:paraId="6418A879" w14:textId="1E17E81E" w:rsidR="00F1223C" w:rsidRDefault="00F1223C" w:rsidP="00F1223C">
            <w:pPr>
              <w:jc w:val="right"/>
              <w:rPr>
                <w:rFonts w:cs="Arial"/>
              </w:rPr>
            </w:pPr>
            <w:r w:rsidRPr="003F75B5">
              <w:rPr>
                <w:rFonts w:cs="Arial"/>
              </w:rPr>
              <w:t>3</w:t>
            </w:r>
          </w:p>
        </w:tc>
        <w:tc>
          <w:tcPr>
            <w:tcW w:w="960" w:type="dxa"/>
            <w:tcBorders>
              <w:top w:val="nil"/>
              <w:left w:val="nil"/>
              <w:bottom w:val="single" w:sz="4" w:space="0" w:color="auto"/>
              <w:right w:val="single" w:sz="4" w:space="0" w:color="auto"/>
            </w:tcBorders>
          </w:tcPr>
          <w:p w14:paraId="21042451" w14:textId="5EBF106E" w:rsidR="00F1223C" w:rsidRDefault="00F1223C" w:rsidP="00F1223C">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36F202A8" w14:textId="35D43226" w:rsidR="00F1223C" w:rsidRPr="00EE6BD7" w:rsidRDefault="00F1223C" w:rsidP="00F1223C">
            <w:pPr>
              <w:jc w:val="right"/>
              <w:rPr>
                <w:rFonts w:cs="Arial"/>
              </w:rPr>
            </w:pPr>
            <w:r w:rsidRPr="00FB4759">
              <w:rPr>
                <w:rFonts w:cs="Arial"/>
              </w:rPr>
              <w:t>0</w:t>
            </w:r>
          </w:p>
        </w:tc>
        <w:tc>
          <w:tcPr>
            <w:tcW w:w="960" w:type="dxa"/>
            <w:tcBorders>
              <w:top w:val="nil"/>
              <w:left w:val="nil"/>
              <w:bottom w:val="single" w:sz="4" w:space="0" w:color="auto"/>
              <w:right w:val="single" w:sz="4" w:space="0" w:color="auto"/>
            </w:tcBorders>
          </w:tcPr>
          <w:p w14:paraId="7D5CA897" w14:textId="721D0E35" w:rsidR="00F1223C" w:rsidRPr="00F1223C" w:rsidRDefault="00F1223C" w:rsidP="00F1223C">
            <w:pPr>
              <w:jc w:val="right"/>
              <w:rPr>
                <w:rFonts w:cs="Arial"/>
              </w:rPr>
            </w:pPr>
            <w:r w:rsidRPr="00F1223C">
              <w:rPr>
                <w:rFonts w:cs="Arial"/>
              </w:rPr>
              <w:t>3</w:t>
            </w:r>
          </w:p>
        </w:tc>
      </w:tr>
      <w:tr w:rsidR="00F1223C" w:rsidRPr="00C5395B" w14:paraId="47C7E16C" w14:textId="77777777" w:rsidTr="00A60308">
        <w:trPr>
          <w:trHeight w:val="255"/>
        </w:trPr>
        <w:tc>
          <w:tcPr>
            <w:tcW w:w="2040" w:type="dxa"/>
            <w:tcBorders>
              <w:top w:val="nil"/>
              <w:left w:val="single" w:sz="4" w:space="0" w:color="auto"/>
              <w:bottom w:val="single" w:sz="4" w:space="0" w:color="auto"/>
              <w:right w:val="single" w:sz="4" w:space="0" w:color="auto"/>
            </w:tcBorders>
            <w:noWrap/>
          </w:tcPr>
          <w:p w14:paraId="6E4F9A89" w14:textId="77777777" w:rsidR="00F1223C" w:rsidRPr="00C5395B" w:rsidRDefault="00F1223C" w:rsidP="00F1223C">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EE875FF" w14:textId="6BAA70E1" w:rsidR="00F1223C" w:rsidRDefault="00F1223C" w:rsidP="00F1223C">
            <w:pPr>
              <w:jc w:val="right"/>
              <w:rPr>
                <w:rFonts w:cs="Arial"/>
              </w:rPr>
            </w:pPr>
            <w:r w:rsidRPr="00EE6BD7">
              <w:rPr>
                <w:rFonts w:cs="Arial"/>
              </w:rPr>
              <w:t>9</w:t>
            </w:r>
          </w:p>
        </w:tc>
        <w:tc>
          <w:tcPr>
            <w:tcW w:w="960" w:type="dxa"/>
            <w:tcBorders>
              <w:top w:val="nil"/>
              <w:left w:val="nil"/>
              <w:bottom w:val="single" w:sz="4" w:space="0" w:color="auto"/>
              <w:right w:val="single" w:sz="4" w:space="0" w:color="auto"/>
            </w:tcBorders>
          </w:tcPr>
          <w:p w14:paraId="3703BE22" w14:textId="55265921" w:rsidR="00F1223C" w:rsidRDefault="00F1223C" w:rsidP="00F1223C">
            <w:pPr>
              <w:jc w:val="right"/>
              <w:rPr>
                <w:rFonts w:cs="Arial"/>
              </w:rPr>
            </w:pPr>
            <w:r w:rsidRPr="003F75B5">
              <w:rPr>
                <w:rFonts w:cs="Arial"/>
              </w:rPr>
              <w:t>8</w:t>
            </w:r>
          </w:p>
        </w:tc>
        <w:tc>
          <w:tcPr>
            <w:tcW w:w="960" w:type="dxa"/>
            <w:tcBorders>
              <w:top w:val="nil"/>
              <w:left w:val="nil"/>
              <w:bottom w:val="single" w:sz="4" w:space="0" w:color="auto"/>
              <w:right w:val="single" w:sz="4" w:space="0" w:color="auto"/>
            </w:tcBorders>
          </w:tcPr>
          <w:p w14:paraId="25A1F9FE" w14:textId="2A64AAD9" w:rsidR="00F1223C" w:rsidRDefault="00F1223C" w:rsidP="00F1223C">
            <w:pPr>
              <w:jc w:val="right"/>
              <w:rPr>
                <w:rFonts w:cs="Arial"/>
              </w:rPr>
            </w:pPr>
            <w:r>
              <w:rPr>
                <w:rFonts w:cs="Arial"/>
              </w:rPr>
              <w:t>6</w:t>
            </w:r>
          </w:p>
        </w:tc>
        <w:tc>
          <w:tcPr>
            <w:tcW w:w="960" w:type="dxa"/>
            <w:tcBorders>
              <w:top w:val="nil"/>
              <w:left w:val="nil"/>
              <w:bottom w:val="single" w:sz="4" w:space="0" w:color="auto"/>
              <w:right w:val="single" w:sz="4" w:space="0" w:color="auto"/>
            </w:tcBorders>
            <w:vAlign w:val="bottom"/>
          </w:tcPr>
          <w:p w14:paraId="52003E5E" w14:textId="24ABB47B" w:rsidR="00F1223C" w:rsidRPr="00EE6BD7" w:rsidRDefault="00F1223C" w:rsidP="00F1223C">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6E6585B8" w14:textId="0952DFF3" w:rsidR="00F1223C" w:rsidRPr="00F1223C" w:rsidRDefault="00F1223C" w:rsidP="00F1223C">
            <w:pPr>
              <w:jc w:val="right"/>
              <w:rPr>
                <w:rFonts w:cs="Arial"/>
              </w:rPr>
            </w:pPr>
            <w:r w:rsidRPr="00F1223C">
              <w:rPr>
                <w:rFonts w:cs="Arial"/>
              </w:rPr>
              <w:t>7</w:t>
            </w:r>
          </w:p>
        </w:tc>
      </w:tr>
      <w:tr w:rsidR="00F1223C" w:rsidRPr="00C5395B" w14:paraId="1B90F216"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5A1FD68E" w14:textId="77777777" w:rsidR="00F1223C" w:rsidRPr="00C5395B" w:rsidRDefault="00F1223C" w:rsidP="00F1223C">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276FC20" w14:textId="7219826C" w:rsidR="00F1223C" w:rsidRDefault="00F1223C" w:rsidP="00F1223C">
            <w:pPr>
              <w:jc w:val="right"/>
              <w:rPr>
                <w:rFonts w:cs="Arial"/>
              </w:rPr>
            </w:pPr>
            <w:r w:rsidRPr="00EE6BD7">
              <w:rPr>
                <w:rFonts w:cs="Arial"/>
              </w:rPr>
              <w:t>0</w:t>
            </w:r>
          </w:p>
        </w:tc>
        <w:tc>
          <w:tcPr>
            <w:tcW w:w="960" w:type="dxa"/>
            <w:tcBorders>
              <w:top w:val="nil"/>
              <w:left w:val="nil"/>
              <w:bottom w:val="single" w:sz="4" w:space="0" w:color="auto"/>
              <w:right w:val="single" w:sz="4" w:space="0" w:color="auto"/>
            </w:tcBorders>
          </w:tcPr>
          <w:p w14:paraId="79B318BC" w14:textId="30909802" w:rsidR="00F1223C" w:rsidRDefault="00F1223C" w:rsidP="00F1223C">
            <w:pPr>
              <w:jc w:val="right"/>
              <w:rPr>
                <w:rFonts w:cs="Arial"/>
              </w:rPr>
            </w:pPr>
            <w:r w:rsidRPr="003F75B5">
              <w:rPr>
                <w:rFonts w:cs="Arial"/>
              </w:rPr>
              <w:t>6</w:t>
            </w:r>
          </w:p>
        </w:tc>
        <w:tc>
          <w:tcPr>
            <w:tcW w:w="960" w:type="dxa"/>
            <w:tcBorders>
              <w:top w:val="nil"/>
              <w:left w:val="nil"/>
              <w:bottom w:val="single" w:sz="4" w:space="0" w:color="auto"/>
              <w:right w:val="single" w:sz="4" w:space="0" w:color="auto"/>
            </w:tcBorders>
          </w:tcPr>
          <w:p w14:paraId="66C8DE94" w14:textId="29E2AE28" w:rsidR="00F1223C" w:rsidRDefault="00F1223C" w:rsidP="00F1223C">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430FBE64" w14:textId="473000D6" w:rsidR="00F1223C" w:rsidRPr="00EE6BD7" w:rsidRDefault="00F1223C" w:rsidP="00F1223C">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4E07C803" w14:textId="294DEEEA" w:rsidR="00F1223C" w:rsidRPr="00F1223C" w:rsidRDefault="00F1223C" w:rsidP="00F1223C">
            <w:pPr>
              <w:jc w:val="right"/>
              <w:rPr>
                <w:rFonts w:cs="Arial"/>
              </w:rPr>
            </w:pPr>
            <w:r w:rsidRPr="00F1223C">
              <w:rPr>
                <w:rFonts w:cs="Arial"/>
              </w:rPr>
              <w:t>4</w:t>
            </w:r>
          </w:p>
        </w:tc>
      </w:tr>
      <w:tr w:rsidR="00F1223C" w:rsidRPr="00C5395B" w14:paraId="49160BED"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22A3E50D" w14:textId="77777777" w:rsidR="00F1223C" w:rsidRPr="00C5395B" w:rsidRDefault="00F1223C" w:rsidP="00F1223C">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496D9E6" w14:textId="7C28AC3A" w:rsidR="00F1223C" w:rsidRDefault="00F1223C" w:rsidP="00F1223C">
            <w:pPr>
              <w:jc w:val="right"/>
              <w:rPr>
                <w:rFonts w:cs="Arial"/>
              </w:rPr>
            </w:pPr>
            <w:r w:rsidRPr="00EE6BD7">
              <w:rPr>
                <w:rFonts w:cs="Arial"/>
              </w:rPr>
              <w:t>3</w:t>
            </w:r>
          </w:p>
        </w:tc>
        <w:tc>
          <w:tcPr>
            <w:tcW w:w="960" w:type="dxa"/>
            <w:tcBorders>
              <w:top w:val="nil"/>
              <w:left w:val="nil"/>
              <w:bottom w:val="single" w:sz="4" w:space="0" w:color="auto"/>
              <w:right w:val="single" w:sz="4" w:space="0" w:color="auto"/>
            </w:tcBorders>
          </w:tcPr>
          <w:p w14:paraId="2A320C8C" w14:textId="7EBCC41B" w:rsidR="00F1223C" w:rsidRDefault="00F1223C" w:rsidP="00F1223C">
            <w:pPr>
              <w:jc w:val="right"/>
              <w:rPr>
                <w:rFonts w:cs="Arial"/>
              </w:rPr>
            </w:pPr>
            <w:r w:rsidRPr="003F75B5">
              <w:rPr>
                <w:rFonts w:cs="Arial"/>
              </w:rPr>
              <w:t>4</w:t>
            </w:r>
          </w:p>
        </w:tc>
        <w:tc>
          <w:tcPr>
            <w:tcW w:w="960" w:type="dxa"/>
            <w:tcBorders>
              <w:top w:val="nil"/>
              <w:left w:val="nil"/>
              <w:bottom w:val="single" w:sz="4" w:space="0" w:color="auto"/>
              <w:right w:val="single" w:sz="4" w:space="0" w:color="auto"/>
            </w:tcBorders>
          </w:tcPr>
          <w:p w14:paraId="5D180EFB" w14:textId="15158C37" w:rsidR="00F1223C" w:rsidRDefault="00F1223C" w:rsidP="00F1223C">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7F038EE4" w14:textId="76D27E2A" w:rsidR="00F1223C" w:rsidRPr="00EE6BD7" w:rsidRDefault="00F1223C" w:rsidP="00F1223C">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468DCD9E" w14:textId="1F1DAEB1" w:rsidR="00F1223C" w:rsidRPr="00F1223C" w:rsidRDefault="00F1223C" w:rsidP="00F1223C">
            <w:pPr>
              <w:jc w:val="right"/>
              <w:rPr>
                <w:rFonts w:cs="Arial"/>
              </w:rPr>
            </w:pPr>
            <w:r w:rsidRPr="00F1223C">
              <w:rPr>
                <w:rFonts w:cs="Arial"/>
              </w:rPr>
              <w:t>3</w:t>
            </w:r>
          </w:p>
        </w:tc>
      </w:tr>
      <w:tr w:rsidR="00F1223C" w:rsidRPr="00C5395B" w14:paraId="4A7F3CC8"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6DD461A8" w14:textId="77777777" w:rsidR="00F1223C" w:rsidRPr="00C5395B" w:rsidRDefault="00F1223C" w:rsidP="00F1223C">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7B34CB7" w14:textId="033FE59A" w:rsidR="00F1223C" w:rsidRDefault="00F1223C" w:rsidP="00F1223C">
            <w:pPr>
              <w:jc w:val="right"/>
              <w:rPr>
                <w:rFonts w:cs="Arial"/>
                <w:b/>
                <w:bCs/>
              </w:rPr>
            </w:pPr>
            <w:r w:rsidRPr="00EE6BD7">
              <w:rPr>
                <w:rFonts w:cs="Arial"/>
                <w:b/>
                <w:bCs/>
              </w:rPr>
              <w:t>51</w:t>
            </w:r>
          </w:p>
        </w:tc>
        <w:tc>
          <w:tcPr>
            <w:tcW w:w="960" w:type="dxa"/>
            <w:tcBorders>
              <w:top w:val="nil"/>
              <w:left w:val="nil"/>
              <w:bottom w:val="single" w:sz="4" w:space="0" w:color="auto"/>
              <w:right w:val="single" w:sz="4" w:space="0" w:color="auto"/>
            </w:tcBorders>
          </w:tcPr>
          <w:p w14:paraId="0492C481" w14:textId="5810995E" w:rsidR="00F1223C" w:rsidRDefault="00F1223C" w:rsidP="00F1223C">
            <w:pPr>
              <w:jc w:val="right"/>
              <w:rPr>
                <w:rFonts w:cs="Arial"/>
                <w:b/>
                <w:bCs/>
              </w:rPr>
            </w:pPr>
            <w:r w:rsidRPr="003F75B5">
              <w:rPr>
                <w:rFonts w:cs="Arial"/>
                <w:b/>
                <w:bCs/>
              </w:rPr>
              <w:t>35</w:t>
            </w:r>
          </w:p>
        </w:tc>
        <w:tc>
          <w:tcPr>
            <w:tcW w:w="960" w:type="dxa"/>
            <w:tcBorders>
              <w:top w:val="nil"/>
              <w:left w:val="nil"/>
              <w:bottom w:val="single" w:sz="4" w:space="0" w:color="auto"/>
              <w:right w:val="single" w:sz="4" w:space="0" w:color="auto"/>
            </w:tcBorders>
          </w:tcPr>
          <w:p w14:paraId="0D8928F0" w14:textId="039D4B1E" w:rsidR="00F1223C" w:rsidRDefault="00F1223C" w:rsidP="00F1223C">
            <w:pPr>
              <w:jc w:val="right"/>
              <w:rPr>
                <w:rFonts w:cs="Arial"/>
                <w:b/>
                <w:bCs/>
              </w:rPr>
            </w:pPr>
            <w:r>
              <w:rPr>
                <w:rFonts w:cs="Arial"/>
                <w:b/>
                <w:bCs/>
              </w:rPr>
              <w:t>22</w:t>
            </w:r>
          </w:p>
        </w:tc>
        <w:tc>
          <w:tcPr>
            <w:tcW w:w="960" w:type="dxa"/>
            <w:tcBorders>
              <w:top w:val="nil"/>
              <w:left w:val="nil"/>
              <w:bottom w:val="single" w:sz="4" w:space="0" w:color="auto"/>
              <w:right w:val="single" w:sz="4" w:space="0" w:color="auto"/>
            </w:tcBorders>
            <w:vAlign w:val="bottom"/>
          </w:tcPr>
          <w:p w14:paraId="61F428C5" w14:textId="67E4D5B8" w:rsidR="00F1223C" w:rsidRPr="00EE6BD7" w:rsidRDefault="00F1223C" w:rsidP="00F1223C">
            <w:pPr>
              <w:jc w:val="right"/>
              <w:rPr>
                <w:rFonts w:cs="Arial"/>
                <w:b/>
                <w:bCs/>
              </w:rPr>
            </w:pPr>
            <w:r w:rsidRPr="00FB4759">
              <w:rPr>
                <w:rFonts w:cs="Arial"/>
                <w:b/>
                <w:bCs/>
              </w:rPr>
              <w:t>12</w:t>
            </w:r>
          </w:p>
        </w:tc>
        <w:tc>
          <w:tcPr>
            <w:tcW w:w="960" w:type="dxa"/>
            <w:tcBorders>
              <w:top w:val="nil"/>
              <w:left w:val="nil"/>
              <w:bottom w:val="single" w:sz="4" w:space="0" w:color="auto"/>
              <w:right w:val="single" w:sz="4" w:space="0" w:color="auto"/>
            </w:tcBorders>
          </w:tcPr>
          <w:p w14:paraId="6ECD0680" w14:textId="751411EB" w:rsidR="00F1223C" w:rsidRPr="00F1223C" w:rsidRDefault="00F1223C" w:rsidP="00F1223C">
            <w:pPr>
              <w:jc w:val="right"/>
              <w:rPr>
                <w:rFonts w:cs="Arial"/>
                <w:b/>
                <w:bCs/>
              </w:rPr>
            </w:pPr>
            <w:r w:rsidRPr="00F1223C">
              <w:rPr>
                <w:rFonts w:cs="Arial"/>
                <w:b/>
                <w:bCs/>
              </w:rPr>
              <w:t>25</w:t>
            </w:r>
          </w:p>
        </w:tc>
      </w:tr>
    </w:tbl>
    <w:p w14:paraId="0E4BAE3C" w14:textId="77777777" w:rsidR="00F1223C" w:rsidRDefault="00F1223C" w:rsidP="00F1223C">
      <w:pPr>
        <w:pStyle w:val="Heading2"/>
      </w:pPr>
    </w:p>
    <w:p w14:paraId="0F4C8C26" w14:textId="77777777" w:rsidR="00D802EF" w:rsidRPr="00076ED0" w:rsidRDefault="00D802EF" w:rsidP="00D51DFA">
      <w:pPr>
        <w:pStyle w:val="Heading2"/>
      </w:pPr>
      <w:r w:rsidRPr="0021097A">
        <w:t>Conditional Income Management for Domestic Violence related matters</w:t>
      </w:r>
    </w:p>
    <w:p w14:paraId="06A9378B" w14:textId="69DF18E6" w:rsidR="00D802EF" w:rsidRDefault="00A40532" w:rsidP="00D802EF">
      <w:pPr>
        <w:ind w:left="-142" w:right="-425"/>
        <w:jc w:val="both"/>
        <w:rPr>
          <w:rFonts w:cs="Arial"/>
        </w:rPr>
      </w:pPr>
      <w:r w:rsidRPr="00280B6D">
        <w:rPr>
          <w:rFonts w:cs="Arial"/>
        </w:rPr>
        <w:t xml:space="preserve">As a subset of the total number of CIMs in the quarter, </w:t>
      </w:r>
      <w:r w:rsidR="00AE54FC">
        <w:rPr>
          <w:rFonts w:cs="Arial"/>
        </w:rPr>
        <w:t>3</w:t>
      </w:r>
      <w:r w:rsidR="00553F31" w:rsidRPr="00280B6D">
        <w:rPr>
          <w:rFonts w:cs="Arial"/>
        </w:rPr>
        <w:t xml:space="preserve"> </w:t>
      </w:r>
      <w:r w:rsidR="00D802EF" w:rsidRPr="00280B6D">
        <w:rPr>
          <w:rFonts w:cs="Arial"/>
        </w:rPr>
        <w:t>w</w:t>
      </w:r>
      <w:r w:rsidR="003F1C61">
        <w:rPr>
          <w:rFonts w:cs="Arial"/>
        </w:rPr>
        <w:t>ere</w:t>
      </w:r>
      <w:r w:rsidR="00D802EF" w:rsidRPr="00280B6D">
        <w:rPr>
          <w:rFonts w:cs="Arial"/>
        </w:rPr>
        <w:t xml:space="preserve"> made in relation to domestic violence conferences in </w:t>
      </w:r>
      <w:r w:rsidR="00856C85">
        <w:rPr>
          <w:rFonts w:cs="Arial"/>
        </w:rPr>
        <w:t xml:space="preserve">quarter </w:t>
      </w:r>
      <w:r w:rsidR="000D0A4E">
        <w:rPr>
          <w:rFonts w:cs="Arial"/>
        </w:rPr>
        <w:t>52</w:t>
      </w:r>
      <w:r w:rsidR="00D802EF" w:rsidRPr="00280B6D">
        <w:rPr>
          <w:rFonts w:cs="Arial"/>
        </w:rPr>
        <w:t>.</w:t>
      </w:r>
    </w:p>
    <w:p w14:paraId="24C489A4" w14:textId="4B2CDC60" w:rsidR="00433562" w:rsidRDefault="00433562" w:rsidP="00D51DFA">
      <w:pPr>
        <w:pStyle w:val="Heading2"/>
      </w:pPr>
    </w:p>
    <w:p w14:paraId="45973D4D" w14:textId="1033378A"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F1223C">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1 </w:t>
      </w:r>
      <w:r w:rsidR="002B731D">
        <w:rPr>
          <w:rFonts w:cs="Arial"/>
          <w:sz w:val="16"/>
          <w:szCs w:val="16"/>
        </w:rPr>
        <w:t>April</w:t>
      </w:r>
      <w:r>
        <w:rPr>
          <w:rFonts w:cs="Arial"/>
          <w:sz w:val="16"/>
          <w:szCs w:val="16"/>
        </w:rPr>
        <w:t xml:space="preserve"> 2020 to </w:t>
      </w:r>
      <w:r w:rsidR="00C02DC0">
        <w:rPr>
          <w:rFonts w:cs="Arial"/>
          <w:sz w:val="16"/>
          <w:szCs w:val="16"/>
        </w:rPr>
        <w:t>30 June</w:t>
      </w:r>
      <w:r>
        <w:rPr>
          <w:rFonts w:cs="Arial"/>
          <w:sz w:val="16"/>
          <w:szCs w:val="16"/>
        </w:rPr>
        <w:t xml:space="preserve"> 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63787B" w:rsidRPr="0040594D" w14:paraId="4F3E1B9E" w14:textId="77777777" w:rsidTr="00F10DE3">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63787B" w:rsidRPr="0040594D" w:rsidRDefault="0063787B" w:rsidP="0063787B">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16E7A701" w:rsidR="0063787B" w:rsidRPr="0040594D" w:rsidRDefault="0063787B" w:rsidP="0063787B">
            <w:pPr>
              <w:spacing w:line="240" w:lineRule="auto"/>
              <w:jc w:val="right"/>
              <w:rPr>
                <w:rFonts w:cs="Arial"/>
                <w:b/>
                <w:bCs/>
                <w:lang w:eastAsia="en-AU"/>
              </w:rPr>
            </w:pPr>
            <w:r>
              <w:rPr>
                <w:b/>
                <w:lang w:eastAsia="en-AU"/>
              </w:rPr>
              <w:t>Qtr 48</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7568792D" w:rsidR="0063787B" w:rsidRPr="0040594D" w:rsidRDefault="0063787B" w:rsidP="0063787B">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tcPr>
          <w:p w14:paraId="57C7CF2D" w14:textId="747F752E" w:rsidR="0063787B" w:rsidRPr="0040594D" w:rsidRDefault="0063787B" w:rsidP="0063787B">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2763DB99" w14:textId="3FB8CAB8" w:rsidR="0063787B" w:rsidRPr="0040594D" w:rsidRDefault="0063787B" w:rsidP="0063787B">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3CEC45CA" w14:textId="71499CD2" w:rsidR="0063787B" w:rsidRPr="0040594D" w:rsidRDefault="0063787B" w:rsidP="0063787B">
            <w:pPr>
              <w:spacing w:line="240" w:lineRule="auto"/>
              <w:jc w:val="right"/>
              <w:rPr>
                <w:rFonts w:cs="Arial"/>
                <w:b/>
                <w:bCs/>
                <w:lang w:eastAsia="en-AU"/>
              </w:rPr>
            </w:pPr>
            <w:r>
              <w:rPr>
                <w:b/>
                <w:lang w:eastAsia="en-AU"/>
              </w:rPr>
              <w:t>Qtr 52</w:t>
            </w:r>
          </w:p>
        </w:tc>
      </w:tr>
      <w:tr w:rsidR="0063787B" w:rsidRPr="0094558B" w14:paraId="2694F73B" w14:textId="77777777" w:rsidTr="00E66082">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63787B" w:rsidRPr="00640E37" w:rsidRDefault="0063787B" w:rsidP="0063787B">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tcPr>
          <w:p w14:paraId="1925BEB3" w14:textId="26306910" w:rsidR="0063787B" w:rsidRPr="00D44DFE" w:rsidRDefault="0063787B" w:rsidP="0063787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shd w:val="clear" w:color="auto" w:fill="auto"/>
          </w:tcPr>
          <w:p w14:paraId="58118CF4" w14:textId="42FE92F0" w:rsidR="0063787B" w:rsidRPr="00D44DFE" w:rsidRDefault="0063787B" w:rsidP="0063787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45941C3" w14:textId="3169B086" w:rsidR="0063787B" w:rsidRPr="00D44DFE" w:rsidRDefault="0063787B" w:rsidP="0063787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5F3C9680" w14:textId="78657361" w:rsidR="0063787B" w:rsidRPr="00D44DFE" w:rsidRDefault="0063787B" w:rsidP="0063787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266A356" w14:textId="635AAFB3" w:rsidR="0063787B" w:rsidRPr="00A34423" w:rsidRDefault="00AE54FC" w:rsidP="0063787B">
            <w:pPr>
              <w:spacing w:line="240" w:lineRule="auto"/>
              <w:jc w:val="right"/>
              <w:rPr>
                <w:rFonts w:cs="Arial"/>
                <w:lang w:eastAsia="en-AU"/>
              </w:rPr>
            </w:pPr>
            <w:r w:rsidRPr="00A34423">
              <w:rPr>
                <w:rFonts w:cs="Arial"/>
                <w:lang w:eastAsia="en-AU"/>
              </w:rPr>
              <w:t>0</w:t>
            </w:r>
          </w:p>
        </w:tc>
      </w:tr>
      <w:tr w:rsidR="0063787B" w:rsidRPr="0094558B" w14:paraId="338D0CE6"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63787B" w:rsidRPr="00640E37" w:rsidRDefault="0063787B" w:rsidP="0063787B">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tcPr>
          <w:p w14:paraId="353411C5" w14:textId="433F852D" w:rsidR="0063787B" w:rsidRPr="00D44DFE" w:rsidRDefault="0063787B" w:rsidP="0063787B">
            <w:pPr>
              <w:spacing w:line="240" w:lineRule="auto"/>
              <w:jc w:val="right"/>
              <w:rPr>
                <w:rFonts w:cs="Arial"/>
                <w:lang w:eastAsia="en-AU"/>
              </w:rPr>
            </w:pPr>
            <w:r w:rsidRPr="00D44DFE">
              <w:rPr>
                <w:rFonts w:cs="Arial"/>
              </w:rPr>
              <w:t>2</w:t>
            </w:r>
          </w:p>
        </w:tc>
        <w:tc>
          <w:tcPr>
            <w:tcW w:w="784" w:type="dxa"/>
            <w:tcBorders>
              <w:top w:val="nil"/>
              <w:left w:val="nil"/>
              <w:bottom w:val="single" w:sz="4" w:space="0" w:color="auto"/>
              <w:right w:val="single" w:sz="4" w:space="0" w:color="auto"/>
            </w:tcBorders>
            <w:shd w:val="clear" w:color="auto" w:fill="auto"/>
          </w:tcPr>
          <w:p w14:paraId="299A9087" w14:textId="4811B9C1"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9A75C58" w14:textId="5F7CEFEA"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148E5285" w14:textId="20CA6943"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330074C9" w14:textId="291343FD" w:rsidR="0063787B" w:rsidRPr="00A34423" w:rsidRDefault="00AE54FC" w:rsidP="0063787B">
            <w:pPr>
              <w:spacing w:line="240" w:lineRule="auto"/>
              <w:jc w:val="right"/>
              <w:rPr>
                <w:rFonts w:cs="Arial"/>
                <w:lang w:eastAsia="en-AU"/>
              </w:rPr>
            </w:pPr>
            <w:r w:rsidRPr="00A34423">
              <w:rPr>
                <w:rFonts w:cs="Arial"/>
                <w:lang w:eastAsia="en-AU"/>
              </w:rPr>
              <w:t>2</w:t>
            </w:r>
          </w:p>
        </w:tc>
      </w:tr>
      <w:tr w:rsidR="0063787B" w:rsidRPr="0094558B" w14:paraId="32ED62C4"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63787B" w:rsidRPr="00640E37" w:rsidRDefault="0063787B" w:rsidP="0063787B">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tcPr>
          <w:p w14:paraId="117C86E6" w14:textId="5ADF5BB7"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714FF0B5" w14:textId="16C606CF"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2D230B7" w14:textId="0899E5FC"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74A391C0" w14:textId="33D04168" w:rsidR="0063787B" w:rsidRPr="00D44DFE" w:rsidRDefault="0063787B" w:rsidP="0063787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421B7892" w14:textId="6ED22616" w:rsidR="0063787B" w:rsidRPr="00A34423" w:rsidRDefault="002379DA" w:rsidP="0063787B">
            <w:pPr>
              <w:spacing w:line="240" w:lineRule="auto"/>
              <w:jc w:val="right"/>
              <w:rPr>
                <w:rFonts w:cs="Arial"/>
                <w:lang w:eastAsia="en-AU"/>
              </w:rPr>
            </w:pPr>
            <w:r w:rsidRPr="00A34423">
              <w:rPr>
                <w:rFonts w:cs="Arial"/>
                <w:lang w:eastAsia="en-AU"/>
              </w:rPr>
              <w:t>0</w:t>
            </w:r>
          </w:p>
        </w:tc>
      </w:tr>
      <w:tr w:rsidR="0063787B" w:rsidRPr="0094558B" w14:paraId="25571DA3"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63787B" w:rsidRDefault="0063787B" w:rsidP="0063787B">
            <w:pPr>
              <w:spacing w:line="240" w:lineRule="auto"/>
            </w:pPr>
            <w:r>
              <w:t>Mossman Gorge</w:t>
            </w:r>
          </w:p>
        </w:tc>
        <w:tc>
          <w:tcPr>
            <w:tcW w:w="784" w:type="dxa"/>
            <w:tcBorders>
              <w:top w:val="nil"/>
              <w:left w:val="nil"/>
              <w:bottom w:val="single" w:sz="4" w:space="0" w:color="auto"/>
              <w:right w:val="single" w:sz="4" w:space="0" w:color="auto"/>
            </w:tcBorders>
            <w:shd w:val="clear" w:color="auto" w:fill="auto"/>
          </w:tcPr>
          <w:p w14:paraId="10DCFD57" w14:textId="164B7149" w:rsidR="0063787B" w:rsidRPr="00D44DFE" w:rsidRDefault="0063787B" w:rsidP="0063787B">
            <w:pPr>
              <w:spacing w:line="240" w:lineRule="auto"/>
              <w:jc w:val="right"/>
              <w:rPr>
                <w:rFonts w:cs="Arial"/>
              </w:rPr>
            </w:pPr>
            <w:r w:rsidRPr="00D44DFE">
              <w:rPr>
                <w:rFonts w:cs="Arial"/>
              </w:rPr>
              <w:t>1</w:t>
            </w:r>
          </w:p>
        </w:tc>
        <w:tc>
          <w:tcPr>
            <w:tcW w:w="784" w:type="dxa"/>
            <w:tcBorders>
              <w:top w:val="nil"/>
              <w:left w:val="nil"/>
              <w:bottom w:val="single" w:sz="4" w:space="0" w:color="auto"/>
              <w:right w:val="single" w:sz="4" w:space="0" w:color="auto"/>
            </w:tcBorders>
            <w:shd w:val="clear" w:color="auto" w:fill="auto"/>
          </w:tcPr>
          <w:p w14:paraId="08EFB78B" w14:textId="7BDCC7AE" w:rsidR="0063787B" w:rsidRPr="00D44DFE" w:rsidRDefault="0063787B" w:rsidP="0063787B">
            <w:pPr>
              <w:spacing w:line="240" w:lineRule="auto"/>
              <w:jc w:val="right"/>
              <w:rPr>
                <w:rFonts w:cs="Arial"/>
              </w:rPr>
            </w:pPr>
            <w:r w:rsidRPr="00D44DFE">
              <w:rPr>
                <w:rFonts w:cs="Arial"/>
              </w:rPr>
              <w:t>1</w:t>
            </w:r>
          </w:p>
        </w:tc>
        <w:tc>
          <w:tcPr>
            <w:tcW w:w="784" w:type="dxa"/>
            <w:tcBorders>
              <w:top w:val="nil"/>
              <w:left w:val="nil"/>
              <w:bottom w:val="single" w:sz="4" w:space="0" w:color="auto"/>
              <w:right w:val="single" w:sz="4" w:space="0" w:color="auto"/>
            </w:tcBorders>
          </w:tcPr>
          <w:p w14:paraId="6F61072A" w14:textId="7B13B4E4" w:rsidR="0063787B" w:rsidRPr="00D44DFE" w:rsidRDefault="0063787B" w:rsidP="0063787B">
            <w:pPr>
              <w:spacing w:line="240" w:lineRule="auto"/>
              <w:jc w:val="right"/>
              <w:rPr>
                <w:rFonts w:cs="Arial"/>
              </w:rPr>
            </w:pPr>
            <w:r w:rsidRPr="00D44DFE">
              <w:rPr>
                <w:rFonts w:cs="Arial"/>
              </w:rPr>
              <w:t>0</w:t>
            </w:r>
          </w:p>
        </w:tc>
        <w:tc>
          <w:tcPr>
            <w:tcW w:w="784" w:type="dxa"/>
            <w:tcBorders>
              <w:top w:val="nil"/>
              <w:left w:val="nil"/>
              <w:bottom w:val="single" w:sz="4" w:space="0" w:color="auto"/>
              <w:right w:val="single" w:sz="4" w:space="0" w:color="auto"/>
            </w:tcBorders>
          </w:tcPr>
          <w:p w14:paraId="785CD4E2" w14:textId="77A6C3CA" w:rsidR="0063787B" w:rsidRPr="00D44DFE" w:rsidRDefault="0063787B" w:rsidP="0063787B">
            <w:pPr>
              <w:spacing w:line="240" w:lineRule="auto"/>
              <w:jc w:val="right"/>
              <w:rPr>
                <w:rFonts w:cs="Arial"/>
              </w:rPr>
            </w:pPr>
            <w:r w:rsidRPr="00D44DFE">
              <w:rPr>
                <w:rFonts w:cs="Arial"/>
              </w:rPr>
              <w:t>2</w:t>
            </w:r>
          </w:p>
        </w:tc>
        <w:tc>
          <w:tcPr>
            <w:tcW w:w="784" w:type="dxa"/>
            <w:tcBorders>
              <w:top w:val="nil"/>
              <w:left w:val="nil"/>
              <w:bottom w:val="single" w:sz="4" w:space="0" w:color="auto"/>
              <w:right w:val="single" w:sz="4" w:space="0" w:color="auto"/>
            </w:tcBorders>
          </w:tcPr>
          <w:p w14:paraId="1C5FE168" w14:textId="0F0C0A50" w:rsidR="0063787B" w:rsidRPr="00A34423" w:rsidRDefault="002379DA" w:rsidP="0063787B">
            <w:pPr>
              <w:spacing w:line="240" w:lineRule="auto"/>
              <w:jc w:val="right"/>
              <w:rPr>
                <w:rFonts w:cs="Arial"/>
              </w:rPr>
            </w:pPr>
            <w:r w:rsidRPr="00A34423">
              <w:rPr>
                <w:rFonts w:cs="Arial"/>
              </w:rPr>
              <w:t>1</w:t>
            </w:r>
          </w:p>
        </w:tc>
      </w:tr>
      <w:tr w:rsidR="0063787B" w:rsidRPr="0094558B" w14:paraId="66769C8F" w14:textId="77777777" w:rsidTr="00E66082">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63787B" w:rsidRPr="00557E24" w:rsidRDefault="0063787B" w:rsidP="0063787B">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tcPr>
          <w:p w14:paraId="15896D5C" w14:textId="706D35ED" w:rsidR="0063787B" w:rsidRPr="00D44DFE" w:rsidRDefault="0063787B" w:rsidP="0063787B">
            <w:pPr>
              <w:spacing w:line="240" w:lineRule="auto"/>
              <w:jc w:val="right"/>
              <w:rPr>
                <w:rFonts w:cs="Arial"/>
                <w:b/>
                <w:lang w:eastAsia="en-AU"/>
              </w:rPr>
            </w:pPr>
            <w:r w:rsidRPr="00D44DFE">
              <w:rPr>
                <w:rFonts w:cs="Arial"/>
                <w:b/>
                <w:bCs/>
              </w:rPr>
              <w:t>4</w:t>
            </w:r>
          </w:p>
        </w:tc>
        <w:tc>
          <w:tcPr>
            <w:tcW w:w="784" w:type="dxa"/>
            <w:tcBorders>
              <w:top w:val="single" w:sz="4" w:space="0" w:color="auto"/>
              <w:left w:val="nil"/>
              <w:bottom w:val="single" w:sz="4" w:space="0" w:color="auto"/>
              <w:right w:val="single" w:sz="4" w:space="0" w:color="auto"/>
            </w:tcBorders>
            <w:shd w:val="clear" w:color="auto" w:fill="auto"/>
          </w:tcPr>
          <w:p w14:paraId="54350CFB" w14:textId="1FE81008" w:rsidR="0063787B" w:rsidRPr="00D44DFE" w:rsidRDefault="0063787B" w:rsidP="0063787B">
            <w:pPr>
              <w:spacing w:line="240" w:lineRule="auto"/>
              <w:jc w:val="right"/>
              <w:rPr>
                <w:rFonts w:cs="Arial"/>
                <w:b/>
                <w:lang w:eastAsia="en-AU"/>
              </w:rPr>
            </w:pPr>
            <w:r w:rsidRPr="00D44DFE">
              <w:rPr>
                <w:rFonts w:cs="Arial"/>
                <w:b/>
                <w:bCs/>
              </w:rPr>
              <w:t>2</w:t>
            </w:r>
          </w:p>
        </w:tc>
        <w:tc>
          <w:tcPr>
            <w:tcW w:w="784" w:type="dxa"/>
            <w:tcBorders>
              <w:top w:val="single" w:sz="4" w:space="0" w:color="auto"/>
              <w:left w:val="nil"/>
              <w:bottom w:val="single" w:sz="4" w:space="0" w:color="auto"/>
              <w:right w:val="single" w:sz="4" w:space="0" w:color="auto"/>
            </w:tcBorders>
          </w:tcPr>
          <w:p w14:paraId="123FD99F" w14:textId="50873CD1" w:rsidR="0063787B" w:rsidRPr="00D44DFE" w:rsidRDefault="0063787B" w:rsidP="0063787B">
            <w:pPr>
              <w:spacing w:line="240" w:lineRule="auto"/>
              <w:jc w:val="right"/>
              <w:rPr>
                <w:rFonts w:cs="Arial"/>
                <w:b/>
                <w:lang w:eastAsia="en-AU"/>
              </w:rPr>
            </w:pPr>
            <w:r w:rsidRPr="00D44DFE">
              <w:rPr>
                <w:rFonts w:cs="Arial"/>
                <w:b/>
                <w:bCs/>
              </w:rPr>
              <w:t>1</w:t>
            </w:r>
          </w:p>
        </w:tc>
        <w:tc>
          <w:tcPr>
            <w:tcW w:w="784" w:type="dxa"/>
            <w:tcBorders>
              <w:top w:val="single" w:sz="4" w:space="0" w:color="auto"/>
              <w:left w:val="nil"/>
              <w:bottom w:val="single" w:sz="4" w:space="0" w:color="auto"/>
              <w:right w:val="single" w:sz="4" w:space="0" w:color="auto"/>
            </w:tcBorders>
          </w:tcPr>
          <w:p w14:paraId="368C5379" w14:textId="5DC44F5E" w:rsidR="0063787B" w:rsidRPr="00D44DFE" w:rsidRDefault="0063787B" w:rsidP="0063787B">
            <w:pPr>
              <w:spacing w:line="240" w:lineRule="auto"/>
              <w:jc w:val="right"/>
              <w:rPr>
                <w:rFonts w:cs="Arial"/>
                <w:b/>
                <w:lang w:eastAsia="en-AU"/>
              </w:rPr>
            </w:pPr>
            <w:r w:rsidRPr="00D44DFE">
              <w:rPr>
                <w:rFonts w:cs="Arial"/>
                <w:b/>
                <w:bCs/>
              </w:rPr>
              <w:t>3</w:t>
            </w:r>
          </w:p>
        </w:tc>
        <w:tc>
          <w:tcPr>
            <w:tcW w:w="784" w:type="dxa"/>
            <w:tcBorders>
              <w:top w:val="single" w:sz="4" w:space="0" w:color="auto"/>
              <w:left w:val="nil"/>
              <w:bottom w:val="single" w:sz="4" w:space="0" w:color="auto"/>
              <w:right w:val="single" w:sz="4" w:space="0" w:color="auto"/>
            </w:tcBorders>
          </w:tcPr>
          <w:p w14:paraId="406B10F7" w14:textId="5BF45D54" w:rsidR="0063787B" w:rsidRPr="00D44DFE" w:rsidRDefault="002379DA" w:rsidP="0063787B">
            <w:pPr>
              <w:spacing w:line="240" w:lineRule="auto"/>
              <w:jc w:val="right"/>
              <w:rPr>
                <w:rFonts w:cs="Arial"/>
                <w:b/>
                <w:lang w:eastAsia="en-AU"/>
              </w:rPr>
            </w:pPr>
            <w:r>
              <w:rPr>
                <w:rFonts w:cs="Arial"/>
                <w:b/>
                <w:lang w:eastAsia="en-AU"/>
              </w:rPr>
              <w:t>3</w:t>
            </w:r>
          </w:p>
        </w:tc>
      </w:tr>
    </w:tbl>
    <w:p w14:paraId="5EFCCF6A" w14:textId="77777777" w:rsidR="007460C6" w:rsidRPr="007460C6" w:rsidRDefault="007460C6" w:rsidP="007460C6"/>
    <w:p w14:paraId="36B5CDB3" w14:textId="6F3DDB06" w:rsidR="00AC7F6B" w:rsidRPr="002D4651" w:rsidRDefault="00AC7F6B" w:rsidP="00D51DFA">
      <w:pPr>
        <w:pStyle w:val="Heading2"/>
      </w:pPr>
      <w:r>
        <w:t>Voluntary self-r</w:t>
      </w:r>
      <w:r w:rsidRPr="002D4651">
        <w:t>eferrals</w:t>
      </w:r>
      <w:r>
        <w:t xml:space="preserve"> from clients to the Commission</w:t>
      </w:r>
    </w:p>
    <w:p w14:paraId="77A10D70" w14:textId="3E308341"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w:t>
      </w:r>
      <w:r w:rsidR="000D0A4E">
        <w:rPr>
          <w:rFonts w:cs="Arial"/>
        </w:rPr>
        <w:t>52</w:t>
      </w:r>
      <w:r w:rsidR="00F45BD7">
        <w:rPr>
          <w:rFonts w:cs="Arial"/>
        </w:rPr>
        <w:t>,</w:t>
      </w:r>
      <w:r>
        <w:rPr>
          <w:rFonts w:cs="Arial"/>
        </w:rPr>
        <w:t xml:space="preserve"> </w:t>
      </w:r>
      <w:r w:rsidR="0057265F">
        <w:rPr>
          <w:rFonts w:cs="Arial"/>
        </w:rPr>
        <w:t xml:space="preserve">6 </w:t>
      </w:r>
      <w:r>
        <w:rPr>
          <w:rFonts w:cs="Arial"/>
        </w:rPr>
        <w:t xml:space="preserve">voluntary agreements were entered into for clients to attend community support services under a case plan. Although the number of clients who have engaged with the FRC on a voluntary basis remains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654755D2" w14:textId="77777777" w:rsidR="00AC7F6B" w:rsidRDefault="00AC7F6B" w:rsidP="00D51DFA">
      <w:pPr>
        <w:pStyle w:val="Heading2"/>
      </w:pPr>
    </w:p>
    <w:p w14:paraId="21435433" w14:textId="788D717A" w:rsidR="00EC3C3E" w:rsidRPr="006524B7" w:rsidRDefault="00D802EF" w:rsidP="00D51DFA">
      <w:pPr>
        <w:pStyle w:val="Heading2"/>
      </w:pPr>
      <w:r w:rsidRPr="00113244">
        <w:t>Voluntary</w:t>
      </w:r>
      <w:r w:rsidR="00EC3C3E" w:rsidRPr="00113244">
        <w:t xml:space="preserve"> </w:t>
      </w:r>
      <w:r w:rsidR="00334F4D">
        <w:t>Income Management</w:t>
      </w:r>
    </w:p>
    <w:p w14:paraId="2F01F04F" w14:textId="79EAD29A"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57265F">
        <w:rPr>
          <w:rFonts w:cs="Arial"/>
        </w:rPr>
        <w:t xml:space="preserve">67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with 79 percent at 60 percent voluntary income management and 51 percent for a 12-month duration. S</w:t>
      </w:r>
      <w:r w:rsidR="00D802EF">
        <w:rPr>
          <w:rFonts w:cs="Arial"/>
        </w:rPr>
        <w:t xml:space="preserve">ince the commencement of the Commission in 2008, </w:t>
      </w:r>
      <w:r w:rsidR="0057265F">
        <w:rPr>
          <w:rFonts w:cs="Arial"/>
        </w:rPr>
        <w:t xml:space="preserve">228 </w:t>
      </w:r>
      <w:r w:rsidR="00D802EF">
        <w:rPr>
          <w:rFonts w:cs="Arial"/>
        </w:rPr>
        <w:t>clients</w:t>
      </w:r>
      <w:r w:rsidR="00E26269">
        <w:rPr>
          <w:rFonts w:cs="Arial"/>
        </w:rPr>
        <w:t xml:space="preserve"> </w:t>
      </w:r>
      <w:r w:rsidR="00B32201" w:rsidRPr="007C7A9E">
        <w:rPr>
          <w:rFonts w:cs="Arial"/>
        </w:rPr>
        <w:t>(</w:t>
      </w:r>
      <w:r w:rsidR="0057265F">
        <w:rPr>
          <w:rFonts w:cs="Arial"/>
        </w:rPr>
        <w:t xml:space="preserve">148 </w:t>
      </w:r>
      <w:r w:rsidR="00794683">
        <w:rPr>
          <w:rFonts w:cs="Arial"/>
        </w:rPr>
        <w:t xml:space="preserve">female and </w:t>
      </w:r>
      <w:r w:rsidR="0057265F">
        <w:rPr>
          <w:rFonts w:cs="Arial"/>
        </w:rPr>
        <w:t xml:space="preserve">80 </w:t>
      </w:r>
      <w:r w:rsidR="00794683">
        <w:rPr>
          <w:rFonts w:cs="Arial"/>
        </w:rPr>
        <w:t xml:space="preserve">male) </w:t>
      </w:r>
      <w:r w:rsidR="00D802EF">
        <w:rPr>
          <w:rFonts w:cs="Arial"/>
        </w:rPr>
        <w:t>have had an active VIM agreement</w:t>
      </w:r>
      <w:r w:rsidR="005A6206">
        <w:rPr>
          <w:rFonts w:cs="Arial"/>
        </w:rPr>
        <w:t xml:space="preserve">. </w:t>
      </w:r>
      <w:r w:rsidR="00D30730" w:rsidRPr="00C313D5">
        <w:rPr>
          <w:rFonts w:cs="Arial"/>
        </w:rPr>
        <w:t xml:space="preserve">As </w:t>
      </w:r>
      <w:proofErr w:type="gramStart"/>
      <w:r w:rsidR="00D30730" w:rsidRPr="00C313D5">
        <w:rPr>
          <w:rFonts w:cs="Arial"/>
        </w:rPr>
        <w:t>at</w:t>
      </w:r>
      <w:proofErr w:type="gramEnd"/>
      <w:r w:rsidR="00D30730" w:rsidRPr="00C313D5">
        <w:rPr>
          <w:rFonts w:cs="Arial"/>
        </w:rPr>
        <w:t xml:space="preserve"> </w:t>
      </w:r>
      <w:r w:rsidR="00C02DC0">
        <w:rPr>
          <w:rFonts w:cs="Arial"/>
        </w:rPr>
        <w:t>30 June</w:t>
      </w:r>
      <w:r w:rsidR="009A7C28">
        <w:rPr>
          <w:rFonts w:cs="Arial"/>
        </w:rPr>
        <w:t xml:space="preserve"> 2021</w:t>
      </w:r>
      <w:r w:rsidR="00D30730" w:rsidRPr="00C313D5">
        <w:rPr>
          <w:rFonts w:cs="Arial"/>
        </w:rPr>
        <w:t xml:space="preserve"> there were </w:t>
      </w:r>
      <w:r w:rsidR="0090190C">
        <w:rPr>
          <w:rFonts w:cs="Arial"/>
        </w:rPr>
        <w:t>79</w:t>
      </w:r>
      <w:r w:rsidR="0057265F" w:rsidRPr="00C313D5">
        <w:rPr>
          <w:rFonts w:cs="Arial"/>
        </w:rPr>
        <w:t xml:space="preserve"> </w:t>
      </w:r>
      <w:r w:rsidR="00D30730" w:rsidRPr="00C313D5">
        <w:rPr>
          <w:rFonts w:cs="Arial"/>
        </w:rPr>
        <w:t xml:space="preserve">clients </w:t>
      </w:r>
      <w:r w:rsidR="00D30730">
        <w:rPr>
          <w:rFonts w:cs="Arial"/>
        </w:rPr>
        <w:t>on</w:t>
      </w:r>
      <w:r w:rsidR="00D30730" w:rsidRPr="00C313D5">
        <w:rPr>
          <w:rFonts w:cs="Arial"/>
        </w:rPr>
        <w:t xml:space="preserve"> a current </w:t>
      </w:r>
      <w:r w:rsidR="00D30730">
        <w:rPr>
          <w:rFonts w:cs="Arial"/>
        </w:rPr>
        <w:lastRenderedPageBreak/>
        <w:t>VIM</w:t>
      </w:r>
      <w:r w:rsidR="00D30730" w:rsidRPr="00C313D5">
        <w:rPr>
          <w:rFonts w:cs="Arial"/>
        </w:rPr>
        <w:t xml:space="preserve"> </w:t>
      </w:r>
      <w:r w:rsidR="00D30730">
        <w:rPr>
          <w:rFonts w:cs="Arial"/>
        </w:rPr>
        <w:t>agreement</w:t>
      </w:r>
      <w:r w:rsidR="00D45605">
        <w:rPr>
          <w:rFonts w:cs="Arial"/>
        </w:rPr>
        <w:t xml:space="preserve">, with </w:t>
      </w:r>
      <w:bookmarkStart w:id="14" w:name="_Hlk80798775"/>
      <w:r w:rsidR="00D45605">
        <w:rPr>
          <w:rFonts w:cs="Arial"/>
        </w:rPr>
        <w:t>75 percent at 60 percent voluntary income management and 5</w:t>
      </w:r>
      <w:r w:rsidR="0090190C">
        <w:rPr>
          <w:rFonts w:cs="Arial"/>
        </w:rPr>
        <w:t>3</w:t>
      </w:r>
      <w:r w:rsidR="00D45605">
        <w:rPr>
          <w:rFonts w:cs="Arial"/>
        </w:rPr>
        <w:t xml:space="preserve"> percent for a 12-month duration</w:t>
      </w:r>
      <w:r w:rsidR="00D30730" w:rsidRPr="00C313D5">
        <w:rPr>
          <w:rFonts w:cs="Arial"/>
        </w:rPr>
        <w:t>.</w:t>
      </w:r>
      <w:r w:rsidR="00D30730">
        <w:rPr>
          <w:rFonts w:cs="Arial"/>
        </w:rPr>
        <w:t xml:space="preserve"> </w:t>
      </w:r>
      <w:bookmarkEnd w:id="14"/>
      <w:r w:rsidR="00D802EF">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6B6030" w:rsidRPr="000837FA">
        <w:rPr>
          <w:rFonts w:cs="Arial"/>
        </w:rPr>
        <w:t xml:space="preserve">VIM agreements are </w:t>
      </w:r>
      <w:r w:rsidR="006B6030">
        <w:rPr>
          <w:rFonts w:cs="Arial"/>
        </w:rPr>
        <w:t xml:space="preserve">also </w:t>
      </w:r>
      <w:r w:rsidR="006B6030" w:rsidRPr="000837FA">
        <w:rPr>
          <w:rFonts w:cs="Arial"/>
        </w:rPr>
        <w:t>a useful tool to assist elderly community members (who have not otherwise been referred to the FRC) to ensure their welfare payments are expended on their own needs</w:t>
      </w:r>
      <w:r w:rsidR="009C639D">
        <w:rPr>
          <w:rFonts w:cs="Arial"/>
        </w:rPr>
        <w:t>.</w:t>
      </w:r>
    </w:p>
    <w:p w14:paraId="45432E30" w14:textId="77777777" w:rsidR="006B6030" w:rsidRDefault="006B6030" w:rsidP="005A02C1">
      <w:pPr>
        <w:ind w:left="-142" w:right="-425"/>
        <w:jc w:val="both"/>
        <w:rPr>
          <w:rFonts w:cs="Arial"/>
        </w:rPr>
      </w:pPr>
    </w:p>
    <w:p w14:paraId="1159CB03" w14:textId="3BCE2675" w:rsidR="009466F4" w:rsidRPr="00076ED0" w:rsidRDefault="009466F4" w:rsidP="00D51DFA">
      <w:pPr>
        <w:pStyle w:val="Heading2"/>
      </w:pPr>
      <w:r w:rsidRPr="00076ED0">
        <w:t>Case Management</w:t>
      </w:r>
    </w:p>
    <w:p w14:paraId="3CCDEF88" w14:textId="3830FC70" w:rsidR="009466F4" w:rsidRDefault="009466F4" w:rsidP="009466F4">
      <w:pPr>
        <w:ind w:left="-142" w:right="-425"/>
        <w:jc w:val="both"/>
        <w:rPr>
          <w:rFonts w:cs="Arial"/>
        </w:rPr>
      </w:pPr>
      <w:r w:rsidRPr="00350FFE">
        <w:rPr>
          <w:rFonts w:cs="Arial"/>
        </w:rPr>
        <w:t xml:space="preserve">As </w:t>
      </w:r>
      <w:proofErr w:type="gramStart"/>
      <w:r w:rsidRPr="00350FFE">
        <w:rPr>
          <w:rFonts w:cs="Arial"/>
        </w:rPr>
        <w:t>at</w:t>
      </w:r>
      <w:proofErr w:type="gramEnd"/>
      <w:r w:rsidRPr="00350FFE">
        <w:rPr>
          <w:rFonts w:cs="Arial"/>
        </w:rPr>
        <w:t xml:space="preserve"> </w:t>
      </w:r>
      <w:r w:rsidR="00C02DC0">
        <w:rPr>
          <w:rFonts w:cs="Arial"/>
        </w:rPr>
        <w:t>30 June</w:t>
      </w:r>
      <w:r w:rsidR="009A7C28">
        <w:rPr>
          <w:rFonts w:cs="Arial"/>
        </w:rPr>
        <w:t xml:space="preserve"> 2021</w:t>
      </w:r>
      <w:r w:rsidRPr="00303C40">
        <w:rPr>
          <w:rFonts w:cs="Arial"/>
        </w:rPr>
        <w:t xml:space="preserve">, </w:t>
      </w:r>
      <w:r w:rsidR="0057265F">
        <w:rPr>
          <w:rFonts w:cs="Arial"/>
        </w:rPr>
        <w:t>288</w:t>
      </w:r>
      <w:r w:rsidR="0057265F" w:rsidRPr="00303C40">
        <w:rPr>
          <w:rFonts w:cs="Arial"/>
        </w:rPr>
        <w:t xml:space="preserve"> </w:t>
      </w:r>
      <w:r w:rsidRPr="00303C40">
        <w:rPr>
          <w:rFonts w:cs="Arial"/>
        </w:rPr>
        <w:t>clients were being case</w:t>
      </w:r>
      <w:r>
        <w:rPr>
          <w:rFonts w:cs="Arial"/>
        </w:rPr>
        <w:t>-</w:t>
      </w:r>
      <w:r w:rsidRPr="00303C40">
        <w:rPr>
          <w:rFonts w:cs="Arial"/>
        </w:rPr>
        <w:t>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4A72B4">
        <w:rPr>
          <w:rFonts w:cs="Arial"/>
        </w:rPr>
        <w:t xml:space="preserve"> decrease</w:t>
      </w:r>
      <w:r>
        <w:rPr>
          <w:rFonts w:cs="Arial"/>
        </w:rPr>
        <w:t xml:space="preserve"> </w:t>
      </w:r>
      <w:r w:rsidR="00A836AD">
        <w:rPr>
          <w:rFonts w:cs="Arial"/>
        </w:rPr>
        <w:t xml:space="preserve">of </w:t>
      </w:r>
      <w:r w:rsidR="0057265F">
        <w:rPr>
          <w:rFonts w:cs="Arial"/>
        </w:rPr>
        <w:t xml:space="preserve">30 </w:t>
      </w:r>
      <w:r w:rsidR="00A836AD">
        <w:rPr>
          <w:rFonts w:cs="Arial"/>
        </w:rPr>
        <w:t>from</w:t>
      </w:r>
      <w:r w:rsidRPr="00303C40">
        <w:rPr>
          <w:rFonts w:cs="Arial"/>
        </w:rPr>
        <w:t xml:space="preserve"> </w:t>
      </w:r>
      <w:r>
        <w:rPr>
          <w:rFonts w:cs="Arial"/>
        </w:rPr>
        <w:t xml:space="preserve">quarter </w:t>
      </w:r>
      <w:r w:rsidR="000D0A4E">
        <w:rPr>
          <w:rFonts w:cs="Arial"/>
        </w:rPr>
        <w:t>51</w:t>
      </w:r>
      <w:r>
        <w:rPr>
          <w:rFonts w:cs="Arial"/>
        </w:rPr>
        <w:t>.</w:t>
      </w:r>
      <w:r w:rsidRPr="00303C40">
        <w:rPr>
          <w:rFonts w:cs="Arial"/>
        </w:rPr>
        <w:t xml:space="preserve"> </w:t>
      </w:r>
      <w:r w:rsidR="004D5E96">
        <w:rPr>
          <w:rFonts w:cs="Arial"/>
        </w:rPr>
        <w:t xml:space="preserve">Decreases </w:t>
      </w:r>
      <w:r>
        <w:rPr>
          <w:rFonts w:cs="Arial"/>
        </w:rPr>
        <w:t xml:space="preserve">were seen in Aurukun, </w:t>
      </w:r>
      <w:r w:rsidR="006D19CC">
        <w:rPr>
          <w:rFonts w:cs="Arial"/>
        </w:rPr>
        <w:t>Coen</w:t>
      </w:r>
      <w:r w:rsidR="00A836AD">
        <w:rPr>
          <w:rFonts w:cs="Arial"/>
        </w:rPr>
        <w:t xml:space="preserve">, </w:t>
      </w:r>
      <w:r w:rsidR="00A12484">
        <w:rPr>
          <w:rFonts w:cs="Arial"/>
        </w:rPr>
        <w:t xml:space="preserve">and </w:t>
      </w:r>
      <w:r>
        <w:rPr>
          <w:rFonts w:cs="Arial"/>
        </w:rPr>
        <w:t>Doomadgee</w:t>
      </w:r>
      <w:r w:rsidR="004D5E96">
        <w:rPr>
          <w:rFonts w:cs="Arial"/>
        </w:rPr>
        <w:t xml:space="preserve"> of </w:t>
      </w:r>
      <w:r w:rsidR="00A12484">
        <w:rPr>
          <w:rFonts w:cs="Arial"/>
        </w:rPr>
        <w:t>10</w:t>
      </w:r>
      <w:r w:rsidR="004D5E96">
        <w:rPr>
          <w:rFonts w:cs="Arial"/>
        </w:rPr>
        <w:t xml:space="preserve">, </w:t>
      </w:r>
      <w:r w:rsidR="00A12484">
        <w:rPr>
          <w:rFonts w:cs="Arial"/>
        </w:rPr>
        <w:t>10</w:t>
      </w:r>
      <w:r w:rsidR="00FC48D2">
        <w:rPr>
          <w:rFonts w:cs="Arial"/>
        </w:rPr>
        <w:t xml:space="preserve"> </w:t>
      </w:r>
      <w:r w:rsidR="004D5E96">
        <w:rPr>
          <w:rFonts w:cs="Arial"/>
        </w:rPr>
        <w:t xml:space="preserve">and </w:t>
      </w:r>
      <w:r w:rsidR="00A12484">
        <w:rPr>
          <w:rFonts w:cs="Arial"/>
        </w:rPr>
        <w:t xml:space="preserve">21 </w:t>
      </w:r>
      <w:r w:rsidR="004D5E96">
        <w:rPr>
          <w:rFonts w:cs="Arial"/>
        </w:rPr>
        <w:t xml:space="preserve">respectively, whilst Hope Vale increased by </w:t>
      </w:r>
      <w:r w:rsidR="001D25FC">
        <w:rPr>
          <w:rFonts w:cs="Arial"/>
        </w:rPr>
        <w:t>11 and Mossman Gorge remained the same with 20 clients being case managed at the end of the quarter</w:t>
      </w:r>
      <w:r>
        <w:rPr>
          <w:rFonts w:cs="Arial"/>
        </w:rPr>
        <w:t>.</w:t>
      </w:r>
    </w:p>
    <w:p w14:paraId="671396A6" w14:textId="77777777" w:rsidR="007A6883" w:rsidRDefault="007A6883" w:rsidP="00E2657A">
      <w:pPr>
        <w:ind w:left="-142" w:right="-425"/>
        <w:jc w:val="both"/>
        <w:rPr>
          <w:rFonts w:cs="Arial"/>
        </w:rPr>
      </w:pPr>
    </w:p>
    <w:p w14:paraId="6544B717" w14:textId="05D302E9" w:rsidR="005A5B78" w:rsidRPr="00076ED0" w:rsidRDefault="005A5B78" w:rsidP="00D51DFA">
      <w:pPr>
        <w:pStyle w:val="Heading2"/>
      </w:pPr>
      <w:r w:rsidRPr="00076ED0">
        <w:t>Applications to Amend or End Agreements or Orders</w:t>
      </w:r>
      <w:r w:rsidR="008E2BAB">
        <w:t xml:space="preserve"> inclusive of Voluntary Agreements</w:t>
      </w:r>
    </w:p>
    <w:p w14:paraId="4BEB1E36" w14:textId="306F1066" w:rsidR="004E7166" w:rsidRDefault="00417D81" w:rsidP="005A5B78">
      <w:pPr>
        <w:ind w:left="-142" w:right="-425"/>
        <w:jc w:val="both"/>
        <w:rPr>
          <w:rFonts w:cs="Arial"/>
        </w:rPr>
      </w:pPr>
      <w:r>
        <w:rPr>
          <w:rFonts w:cs="Arial"/>
        </w:rPr>
        <w:t xml:space="preserve">Three </w:t>
      </w:r>
      <w:r w:rsidR="00735BF1">
        <w:rPr>
          <w:rFonts w:cs="Arial"/>
        </w:rPr>
        <w:t>a</w:t>
      </w:r>
      <w:r w:rsidR="005A5B78" w:rsidRPr="009E1D38">
        <w:rPr>
          <w:rFonts w:cs="Arial"/>
        </w:rPr>
        <w:t xml:space="preserve">pplications </w:t>
      </w:r>
      <w:r w:rsidR="00DA5E39">
        <w:rPr>
          <w:rFonts w:cs="Arial"/>
        </w:rPr>
        <w:t>(</w:t>
      </w:r>
      <w:r w:rsidR="0008247E">
        <w:rPr>
          <w:rFonts w:cs="Arial"/>
        </w:rPr>
        <w:t xml:space="preserve">relating to </w:t>
      </w:r>
      <w:r>
        <w:rPr>
          <w:rFonts w:cs="Arial"/>
        </w:rPr>
        <w:t>2</w:t>
      </w:r>
      <w:r w:rsidR="0008247E">
        <w:rPr>
          <w:rFonts w:cs="Arial"/>
        </w:rPr>
        <w:t xml:space="preserve"> </w:t>
      </w:r>
      <w:r w:rsidR="002C2423">
        <w:rPr>
          <w:rFonts w:cs="Arial"/>
        </w:rPr>
        <w:t>female</w:t>
      </w:r>
      <w:r w:rsidR="00A005B2">
        <w:rPr>
          <w:rFonts w:cs="Arial"/>
        </w:rPr>
        <w:t>s and</w:t>
      </w:r>
      <w:r w:rsidR="002C2423">
        <w:rPr>
          <w:rFonts w:cs="Arial"/>
        </w:rPr>
        <w:t xml:space="preserve"> </w:t>
      </w:r>
      <w:r>
        <w:rPr>
          <w:rFonts w:cs="Arial"/>
        </w:rPr>
        <w:t>1</w:t>
      </w:r>
      <w:r w:rsidR="002C2423">
        <w:rPr>
          <w:rFonts w:cs="Arial"/>
        </w:rPr>
        <w:t xml:space="preserve"> male</w:t>
      </w:r>
      <w:r w:rsidR="0008247E">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Agreement</w:t>
      </w:r>
      <w:r w:rsidR="00AB7866">
        <w:rPr>
          <w:rFonts w:cs="Arial"/>
        </w:rPr>
        <w:t xml:space="preserve">, </w:t>
      </w:r>
      <w:r w:rsidR="005A5B78" w:rsidRPr="009E1D38">
        <w:rPr>
          <w:rFonts w:cs="Arial"/>
        </w:rPr>
        <w:t xml:space="preserve">Order </w:t>
      </w:r>
      <w:r w:rsidR="00AB7866">
        <w:rPr>
          <w:rFonts w:cs="Arial"/>
        </w:rPr>
        <w:t xml:space="preserve">or Voluntary Agreement </w:t>
      </w:r>
      <w:r w:rsidR="005A5B78">
        <w:rPr>
          <w:rFonts w:cs="Arial"/>
        </w:rPr>
        <w:t xml:space="preserve">were </w:t>
      </w:r>
      <w:r w:rsidR="005A5B78" w:rsidRPr="009E1D38">
        <w:rPr>
          <w:rFonts w:cs="Arial"/>
        </w:rPr>
        <w:t xml:space="preserve">received in </w:t>
      </w:r>
      <w:r w:rsidR="00856C85">
        <w:rPr>
          <w:rFonts w:cs="Arial"/>
        </w:rPr>
        <w:t xml:space="preserve">quarter </w:t>
      </w:r>
      <w:r w:rsidR="000D0A4E">
        <w:rPr>
          <w:rFonts w:cs="Arial"/>
        </w:rPr>
        <w:t>52</w:t>
      </w:r>
      <w:r w:rsidR="005A5B78">
        <w:rPr>
          <w:rFonts w:cs="Arial"/>
        </w:rPr>
        <w:t xml:space="preserve">, </w:t>
      </w:r>
      <w:r w:rsidR="000068E7">
        <w:rPr>
          <w:rFonts w:cs="Arial"/>
        </w:rPr>
        <w:t>a</w:t>
      </w:r>
      <w:r w:rsidR="00CD0412">
        <w:rPr>
          <w:rFonts w:cs="Arial"/>
        </w:rPr>
        <w:t xml:space="preserve"> decrease </w:t>
      </w:r>
      <w:r w:rsidR="00807B13" w:rsidRPr="009D1AAB">
        <w:rPr>
          <w:rFonts w:cs="Arial"/>
        </w:rPr>
        <w:t xml:space="preserve">of </w:t>
      </w:r>
      <w:r w:rsidR="00CD0412">
        <w:rPr>
          <w:rFonts w:cs="Arial"/>
        </w:rPr>
        <w:t>9</w:t>
      </w:r>
      <w:r w:rsidR="00115A55" w:rsidRPr="009D1AAB">
        <w:rPr>
          <w:rFonts w:cs="Arial"/>
        </w:rPr>
        <w:t xml:space="preserve"> </w:t>
      </w:r>
      <w:r w:rsidR="0008247E">
        <w:rPr>
          <w:rFonts w:cs="Arial"/>
        </w:rPr>
        <w:t xml:space="preserve">applications </w:t>
      </w:r>
      <w:r w:rsidR="00807B13" w:rsidRPr="009D1AAB">
        <w:rPr>
          <w:rFonts w:cs="Arial"/>
        </w:rPr>
        <w:t>from</w:t>
      </w:r>
      <w:r w:rsidR="00807B13">
        <w:rPr>
          <w:rFonts w:cs="Arial"/>
        </w:rPr>
        <w:t xml:space="preserve"> </w:t>
      </w:r>
      <w:r w:rsidR="005A4629">
        <w:rPr>
          <w:rFonts w:cs="Arial"/>
        </w:rPr>
        <w:t xml:space="preserve">the previous </w:t>
      </w:r>
      <w:r w:rsidR="000257CF">
        <w:t>quarter</w:t>
      </w:r>
      <w:r w:rsidR="005A5B78" w:rsidRPr="00AF2C25">
        <w:rPr>
          <w:rFonts w:cs="Arial"/>
        </w:rPr>
        <w:t>.</w:t>
      </w:r>
      <w:r w:rsidR="006528A9">
        <w:rPr>
          <w:rFonts w:cs="Arial"/>
        </w:rPr>
        <w:t xml:space="preserve"> </w:t>
      </w:r>
      <w:r w:rsidR="00DE3D33">
        <w:rPr>
          <w:rFonts w:cs="Arial"/>
        </w:rPr>
        <w:t>It should be n</w:t>
      </w:r>
      <w:r w:rsidR="006528A9">
        <w:rPr>
          <w:rFonts w:cs="Arial"/>
        </w:rPr>
        <w:t>ot</w:t>
      </w:r>
      <w:r w:rsidR="00DE3D33">
        <w:rPr>
          <w:rFonts w:cs="Arial"/>
        </w:rPr>
        <w:t>ed that</w:t>
      </w:r>
      <w:r w:rsidR="006528A9">
        <w:rPr>
          <w:rFonts w:cs="Arial"/>
        </w:rPr>
        <w:t xml:space="preserve"> a client may apply to amend or end their </w:t>
      </w:r>
      <w:r w:rsidR="001B735E">
        <w:rPr>
          <w:rFonts w:cs="Arial"/>
        </w:rPr>
        <w:t>Family Responsibilities A</w:t>
      </w:r>
      <w:r w:rsidR="006528A9">
        <w:rPr>
          <w:rFonts w:cs="Arial"/>
        </w:rPr>
        <w:t>greement</w:t>
      </w:r>
      <w:r w:rsidR="001B735E">
        <w:rPr>
          <w:rFonts w:cs="Arial"/>
        </w:rPr>
        <w:t>, Family Responsibilities O</w:t>
      </w:r>
      <w:r w:rsidR="006528A9">
        <w:rPr>
          <w:rFonts w:cs="Arial"/>
        </w:rPr>
        <w:t xml:space="preserve">rder </w:t>
      </w:r>
      <w:r w:rsidR="001B735E">
        <w:rPr>
          <w:rFonts w:cs="Arial"/>
        </w:rPr>
        <w:t xml:space="preserve">or Voluntary Agreement </w:t>
      </w:r>
      <w:r w:rsidR="006528A9">
        <w:rPr>
          <w:rFonts w:cs="Arial"/>
        </w:rPr>
        <w:t>on multiple occasions throughout a quarter.</w:t>
      </w:r>
    </w:p>
    <w:p w14:paraId="6E1B1A80" w14:textId="77777777" w:rsidR="0077006E" w:rsidRDefault="0077006E" w:rsidP="005A5B78">
      <w:pPr>
        <w:ind w:left="-142" w:right="-425"/>
        <w:jc w:val="both"/>
        <w:rPr>
          <w:rFonts w:cs="Arial"/>
        </w:rPr>
      </w:pPr>
    </w:p>
    <w:p w14:paraId="40A096D3" w14:textId="69519C00" w:rsidR="00F1223C" w:rsidRPr="008E49AE" w:rsidRDefault="00F1223C" w:rsidP="00F1223C">
      <w:pPr>
        <w:pStyle w:val="TableCaption"/>
        <w:spacing w:before="0"/>
        <w:ind w:left="0" w:right="-425"/>
        <w:rPr>
          <w:b/>
          <w:i w:val="0"/>
          <w:sz w:val="16"/>
        </w:rPr>
      </w:pPr>
      <w:r w:rsidRPr="008E49AE">
        <w:rPr>
          <w:b/>
          <w:i w:val="0"/>
          <w:sz w:val="16"/>
        </w:rPr>
        <w:t xml:space="preserve">Table </w:t>
      </w:r>
      <w:r>
        <w:rPr>
          <w:b/>
          <w:i w:val="0"/>
          <w:sz w:val="16"/>
        </w:rPr>
        <w:t>2</w:t>
      </w:r>
      <w:r w:rsidR="00CF3070">
        <w:rPr>
          <w:b/>
          <w:i w:val="0"/>
          <w:sz w:val="16"/>
        </w:rPr>
        <w:t>1</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April 2020 to 30 June </w:t>
      </w:r>
      <w:r w:rsidRPr="008E49AE">
        <w:rPr>
          <w:i w:val="0"/>
          <w:sz w:val="16"/>
        </w:rPr>
        <w:t>20</w:t>
      </w:r>
      <w:r>
        <w:rPr>
          <w:i w:val="0"/>
          <w:sz w:val="16"/>
        </w:rPr>
        <w:t>21</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F1223C" w:rsidRPr="00C5395B" w14:paraId="18CA77E4" w14:textId="77777777" w:rsidTr="00A6030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BC6F969" w14:textId="77777777" w:rsidR="00F1223C" w:rsidRPr="00C5395B" w:rsidRDefault="00F1223C" w:rsidP="00F1223C">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B5B2C67" w14:textId="5BC65263" w:rsidR="00F1223C" w:rsidRPr="00C5395B" w:rsidRDefault="00F1223C" w:rsidP="00F1223C">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03C33D9E" w14:textId="3B17FB9B" w:rsidR="00F1223C" w:rsidRPr="00C5395B" w:rsidRDefault="00F1223C" w:rsidP="00F1223C">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741F93D6" w14:textId="32570E52" w:rsidR="00F1223C" w:rsidRDefault="00F1223C" w:rsidP="00F1223C">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7A7776D8" w14:textId="6B87AE66" w:rsidR="00F1223C" w:rsidRDefault="00F1223C" w:rsidP="00F1223C">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54173148" w14:textId="2EA53403" w:rsidR="00F1223C" w:rsidRDefault="00F1223C" w:rsidP="00F1223C">
            <w:pPr>
              <w:pStyle w:val="TableText"/>
              <w:jc w:val="right"/>
              <w:rPr>
                <w:b/>
                <w:lang w:eastAsia="en-AU"/>
              </w:rPr>
            </w:pPr>
            <w:r>
              <w:rPr>
                <w:b/>
                <w:lang w:eastAsia="en-AU"/>
              </w:rPr>
              <w:t>Qtr 52</w:t>
            </w:r>
          </w:p>
        </w:tc>
      </w:tr>
      <w:tr w:rsidR="00F1223C" w:rsidRPr="00C5395B" w14:paraId="2B8C4840"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2A662C6A" w14:textId="77777777" w:rsidR="00F1223C" w:rsidRPr="00C5395B" w:rsidRDefault="00F1223C" w:rsidP="00F1223C">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CC29608" w14:textId="12369878" w:rsidR="00F1223C" w:rsidRDefault="00F1223C" w:rsidP="00F1223C">
            <w:pPr>
              <w:jc w:val="right"/>
              <w:rPr>
                <w:rFonts w:cs="Arial"/>
              </w:rPr>
            </w:pPr>
            <w:r w:rsidRPr="00550A24">
              <w:rPr>
                <w:rFonts w:cs="Arial"/>
              </w:rPr>
              <w:t>6</w:t>
            </w:r>
          </w:p>
        </w:tc>
        <w:tc>
          <w:tcPr>
            <w:tcW w:w="960" w:type="dxa"/>
            <w:tcBorders>
              <w:top w:val="nil"/>
              <w:left w:val="nil"/>
              <w:bottom w:val="single" w:sz="4" w:space="0" w:color="auto"/>
              <w:right w:val="single" w:sz="4" w:space="0" w:color="auto"/>
            </w:tcBorders>
          </w:tcPr>
          <w:p w14:paraId="40027B3C" w14:textId="06025230" w:rsidR="00F1223C" w:rsidRDefault="00F1223C" w:rsidP="00F1223C">
            <w:pPr>
              <w:jc w:val="right"/>
              <w:rPr>
                <w:rFonts w:cs="Arial"/>
              </w:rPr>
            </w:pPr>
            <w:r w:rsidRPr="00DE1099">
              <w:rPr>
                <w:rFonts w:cs="Arial"/>
              </w:rPr>
              <w:t>3</w:t>
            </w:r>
          </w:p>
        </w:tc>
        <w:tc>
          <w:tcPr>
            <w:tcW w:w="960" w:type="dxa"/>
            <w:tcBorders>
              <w:top w:val="nil"/>
              <w:left w:val="nil"/>
              <w:bottom w:val="single" w:sz="4" w:space="0" w:color="auto"/>
              <w:right w:val="single" w:sz="4" w:space="0" w:color="auto"/>
            </w:tcBorders>
          </w:tcPr>
          <w:p w14:paraId="3A3E8DD4" w14:textId="04419A4B" w:rsidR="00F1223C" w:rsidRDefault="00F1223C" w:rsidP="00F1223C">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0CD3E07A" w14:textId="2B3615D2" w:rsidR="00F1223C" w:rsidRPr="00550A24" w:rsidRDefault="00F1223C" w:rsidP="00F1223C">
            <w:pPr>
              <w:jc w:val="right"/>
              <w:rPr>
                <w:rFonts w:cs="Arial"/>
              </w:rPr>
            </w:pPr>
            <w:r w:rsidRPr="00DD04C0">
              <w:rPr>
                <w:rFonts w:cs="Arial"/>
              </w:rPr>
              <w:t>7</w:t>
            </w:r>
          </w:p>
        </w:tc>
        <w:tc>
          <w:tcPr>
            <w:tcW w:w="960" w:type="dxa"/>
            <w:tcBorders>
              <w:top w:val="nil"/>
              <w:left w:val="nil"/>
              <w:bottom w:val="single" w:sz="4" w:space="0" w:color="auto"/>
              <w:right w:val="single" w:sz="4" w:space="0" w:color="auto"/>
            </w:tcBorders>
            <w:vAlign w:val="bottom"/>
          </w:tcPr>
          <w:p w14:paraId="37574F5C" w14:textId="68C3628B" w:rsidR="00F1223C" w:rsidRPr="00F1223C" w:rsidRDefault="00F1223C" w:rsidP="00F1223C">
            <w:pPr>
              <w:jc w:val="right"/>
              <w:rPr>
                <w:rFonts w:cs="Arial"/>
              </w:rPr>
            </w:pPr>
            <w:r w:rsidRPr="00F1223C">
              <w:rPr>
                <w:rFonts w:cs="Arial"/>
              </w:rPr>
              <w:t>3</w:t>
            </w:r>
          </w:p>
        </w:tc>
      </w:tr>
      <w:tr w:rsidR="00F1223C" w:rsidRPr="00C5395B" w14:paraId="43217D3A"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3FBC9232" w14:textId="77777777" w:rsidR="00F1223C" w:rsidRPr="00C5395B" w:rsidRDefault="00F1223C" w:rsidP="00F1223C">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04164ED" w14:textId="14A826A7" w:rsidR="00F1223C" w:rsidRDefault="00F1223C" w:rsidP="00F1223C">
            <w:pPr>
              <w:jc w:val="right"/>
              <w:rPr>
                <w:rFonts w:cs="Arial"/>
              </w:rPr>
            </w:pPr>
            <w:r w:rsidRPr="00550A24">
              <w:rPr>
                <w:rFonts w:cs="Arial"/>
              </w:rPr>
              <w:t>0</w:t>
            </w:r>
          </w:p>
        </w:tc>
        <w:tc>
          <w:tcPr>
            <w:tcW w:w="960" w:type="dxa"/>
            <w:tcBorders>
              <w:top w:val="nil"/>
              <w:left w:val="nil"/>
              <w:bottom w:val="single" w:sz="4" w:space="0" w:color="auto"/>
              <w:right w:val="single" w:sz="4" w:space="0" w:color="auto"/>
            </w:tcBorders>
          </w:tcPr>
          <w:p w14:paraId="27C9ACFE" w14:textId="4B3F7988" w:rsidR="00F1223C" w:rsidRDefault="00F1223C" w:rsidP="00F1223C">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7EFE5E64" w14:textId="1BDC60A8" w:rsidR="00F1223C" w:rsidRDefault="00F1223C" w:rsidP="00F1223C">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vAlign w:val="bottom"/>
          </w:tcPr>
          <w:p w14:paraId="7F782586" w14:textId="4E0C3EBB" w:rsidR="00F1223C" w:rsidRPr="00550A24" w:rsidRDefault="00F1223C" w:rsidP="00F1223C">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3F4487FB" w14:textId="17D4726D" w:rsidR="00F1223C" w:rsidRPr="00F1223C" w:rsidRDefault="00F1223C" w:rsidP="00F1223C">
            <w:pPr>
              <w:jc w:val="right"/>
              <w:rPr>
                <w:rFonts w:cs="Arial"/>
              </w:rPr>
            </w:pPr>
            <w:r w:rsidRPr="00F1223C">
              <w:rPr>
                <w:rFonts w:cs="Arial"/>
              </w:rPr>
              <w:t>0</w:t>
            </w:r>
          </w:p>
        </w:tc>
      </w:tr>
      <w:tr w:rsidR="00F1223C" w:rsidRPr="00C5395B" w14:paraId="6E854E30" w14:textId="77777777" w:rsidTr="00A60308">
        <w:trPr>
          <w:trHeight w:val="255"/>
        </w:trPr>
        <w:tc>
          <w:tcPr>
            <w:tcW w:w="2040" w:type="dxa"/>
            <w:tcBorders>
              <w:top w:val="nil"/>
              <w:left w:val="single" w:sz="4" w:space="0" w:color="auto"/>
              <w:bottom w:val="single" w:sz="4" w:space="0" w:color="auto"/>
              <w:right w:val="single" w:sz="4" w:space="0" w:color="auto"/>
            </w:tcBorders>
            <w:noWrap/>
          </w:tcPr>
          <w:p w14:paraId="76CDFA20" w14:textId="77777777" w:rsidR="00F1223C" w:rsidRPr="00C5395B" w:rsidRDefault="00F1223C" w:rsidP="00F1223C">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7019895" w14:textId="1B6F4666" w:rsidR="00F1223C" w:rsidRDefault="00F1223C" w:rsidP="00F1223C">
            <w:pPr>
              <w:jc w:val="right"/>
              <w:rPr>
                <w:rFonts w:cs="Arial"/>
              </w:rPr>
            </w:pPr>
            <w:r w:rsidRPr="00550A24">
              <w:rPr>
                <w:rFonts w:cs="Arial"/>
              </w:rPr>
              <w:t>1</w:t>
            </w:r>
          </w:p>
        </w:tc>
        <w:tc>
          <w:tcPr>
            <w:tcW w:w="960" w:type="dxa"/>
            <w:tcBorders>
              <w:top w:val="nil"/>
              <w:left w:val="nil"/>
              <w:bottom w:val="single" w:sz="4" w:space="0" w:color="auto"/>
              <w:right w:val="single" w:sz="4" w:space="0" w:color="auto"/>
            </w:tcBorders>
          </w:tcPr>
          <w:p w14:paraId="734768D0" w14:textId="0B154329" w:rsidR="00F1223C" w:rsidRDefault="00F1223C" w:rsidP="00F1223C">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158CE7DB" w14:textId="232E7E87" w:rsidR="00F1223C" w:rsidRDefault="00F1223C" w:rsidP="00F1223C">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59A76C70" w14:textId="4F1756CC" w:rsidR="00F1223C" w:rsidRPr="00550A24" w:rsidRDefault="00F1223C" w:rsidP="00F1223C">
            <w:pPr>
              <w:jc w:val="right"/>
              <w:rPr>
                <w:rFonts w:cs="Arial"/>
              </w:rPr>
            </w:pPr>
            <w:r w:rsidRPr="00DD04C0">
              <w:rPr>
                <w:rFonts w:cs="Arial"/>
              </w:rPr>
              <w:t>3</w:t>
            </w:r>
          </w:p>
        </w:tc>
        <w:tc>
          <w:tcPr>
            <w:tcW w:w="960" w:type="dxa"/>
            <w:tcBorders>
              <w:top w:val="nil"/>
              <w:left w:val="nil"/>
              <w:bottom w:val="single" w:sz="4" w:space="0" w:color="auto"/>
              <w:right w:val="single" w:sz="4" w:space="0" w:color="auto"/>
            </w:tcBorders>
            <w:vAlign w:val="bottom"/>
          </w:tcPr>
          <w:p w14:paraId="06F7E127" w14:textId="5F81F63A" w:rsidR="00F1223C" w:rsidRPr="00F1223C" w:rsidRDefault="00F1223C" w:rsidP="00F1223C">
            <w:pPr>
              <w:jc w:val="right"/>
              <w:rPr>
                <w:rFonts w:cs="Arial"/>
              </w:rPr>
            </w:pPr>
            <w:r w:rsidRPr="00F1223C">
              <w:rPr>
                <w:rFonts w:cs="Arial"/>
              </w:rPr>
              <w:t>0</w:t>
            </w:r>
          </w:p>
        </w:tc>
      </w:tr>
      <w:tr w:rsidR="00F1223C" w:rsidRPr="00C5395B" w14:paraId="7E520A3F"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0B156A0C" w14:textId="77777777" w:rsidR="00F1223C" w:rsidRPr="00C5395B" w:rsidRDefault="00F1223C" w:rsidP="00F1223C">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F920355" w14:textId="69D79EE1" w:rsidR="00F1223C" w:rsidRDefault="00F1223C" w:rsidP="00F1223C">
            <w:pPr>
              <w:jc w:val="right"/>
              <w:rPr>
                <w:rFonts w:cs="Arial"/>
              </w:rPr>
            </w:pPr>
            <w:r w:rsidRPr="00550A24">
              <w:rPr>
                <w:rFonts w:cs="Arial"/>
              </w:rPr>
              <w:t>3</w:t>
            </w:r>
          </w:p>
        </w:tc>
        <w:tc>
          <w:tcPr>
            <w:tcW w:w="960" w:type="dxa"/>
            <w:tcBorders>
              <w:top w:val="nil"/>
              <w:left w:val="nil"/>
              <w:bottom w:val="single" w:sz="4" w:space="0" w:color="auto"/>
              <w:right w:val="single" w:sz="4" w:space="0" w:color="auto"/>
            </w:tcBorders>
          </w:tcPr>
          <w:p w14:paraId="2F96BDD4" w14:textId="12116898" w:rsidR="00F1223C" w:rsidRDefault="00F1223C" w:rsidP="00F1223C">
            <w:pPr>
              <w:jc w:val="right"/>
              <w:rPr>
                <w:rFonts w:cs="Arial"/>
              </w:rPr>
            </w:pPr>
            <w:r w:rsidRPr="00DE1099">
              <w:rPr>
                <w:rFonts w:cs="Arial"/>
              </w:rPr>
              <w:t>4</w:t>
            </w:r>
          </w:p>
        </w:tc>
        <w:tc>
          <w:tcPr>
            <w:tcW w:w="960" w:type="dxa"/>
            <w:tcBorders>
              <w:top w:val="nil"/>
              <w:left w:val="nil"/>
              <w:bottom w:val="single" w:sz="4" w:space="0" w:color="auto"/>
              <w:right w:val="single" w:sz="4" w:space="0" w:color="auto"/>
            </w:tcBorders>
          </w:tcPr>
          <w:p w14:paraId="44FD41B6" w14:textId="5D8AED79" w:rsidR="00F1223C" w:rsidRDefault="00F1223C" w:rsidP="00F1223C">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42CEB8D6" w14:textId="6487EA1B" w:rsidR="00F1223C" w:rsidRPr="00550A24" w:rsidRDefault="00F1223C" w:rsidP="00F1223C">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0F95BBCB" w14:textId="23120BAC" w:rsidR="00F1223C" w:rsidRPr="00F1223C" w:rsidRDefault="00F1223C" w:rsidP="00F1223C">
            <w:pPr>
              <w:jc w:val="right"/>
              <w:rPr>
                <w:rFonts w:cs="Arial"/>
              </w:rPr>
            </w:pPr>
            <w:r w:rsidRPr="00F1223C">
              <w:rPr>
                <w:rFonts w:cs="Arial"/>
              </w:rPr>
              <w:t>0</w:t>
            </w:r>
          </w:p>
        </w:tc>
      </w:tr>
      <w:tr w:rsidR="00F1223C" w:rsidRPr="00C5395B" w14:paraId="04B66511"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2C60193C" w14:textId="77777777" w:rsidR="00F1223C" w:rsidRPr="00C5395B" w:rsidRDefault="00F1223C" w:rsidP="00F1223C">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DB4E07E" w14:textId="540C5FEF" w:rsidR="00F1223C" w:rsidRDefault="00F1223C" w:rsidP="00F1223C">
            <w:pPr>
              <w:jc w:val="right"/>
              <w:rPr>
                <w:rFonts w:cs="Arial"/>
              </w:rPr>
            </w:pPr>
            <w:r w:rsidRPr="00550A24">
              <w:rPr>
                <w:rFonts w:cs="Arial"/>
              </w:rPr>
              <w:t>2</w:t>
            </w:r>
          </w:p>
        </w:tc>
        <w:tc>
          <w:tcPr>
            <w:tcW w:w="960" w:type="dxa"/>
            <w:tcBorders>
              <w:top w:val="nil"/>
              <w:left w:val="nil"/>
              <w:bottom w:val="single" w:sz="4" w:space="0" w:color="auto"/>
              <w:right w:val="single" w:sz="4" w:space="0" w:color="auto"/>
            </w:tcBorders>
          </w:tcPr>
          <w:p w14:paraId="1F154FD7" w14:textId="378D518D" w:rsidR="00F1223C" w:rsidRDefault="00F1223C" w:rsidP="00F1223C">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0FA4AD92" w14:textId="5F6BAD86" w:rsidR="00F1223C" w:rsidRDefault="00F1223C" w:rsidP="00F1223C">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3BA371F0" w14:textId="58023BBA" w:rsidR="00F1223C" w:rsidRPr="00550A24" w:rsidRDefault="00F1223C" w:rsidP="00F1223C">
            <w:pPr>
              <w:jc w:val="right"/>
              <w:rPr>
                <w:rFonts w:cs="Arial"/>
              </w:rPr>
            </w:pPr>
            <w:r w:rsidRPr="00DD04C0">
              <w:rPr>
                <w:rFonts w:cs="Arial"/>
              </w:rPr>
              <w:t>0</w:t>
            </w:r>
          </w:p>
        </w:tc>
        <w:tc>
          <w:tcPr>
            <w:tcW w:w="960" w:type="dxa"/>
            <w:tcBorders>
              <w:top w:val="nil"/>
              <w:left w:val="nil"/>
              <w:bottom w:val="single" w:sz="4" w:space="0" w:color="auto"/>
              <w:right w:val="single" w:sz="4" w:space="0" w:color="auto"/>
            </w:tcBorders>
            <w:vAlign w:val="bottom"/>
          </w:tcPr>
          <w:p w14:paraId="0856CB00" w14:textId="43CF08F6" w:rsidR="00F1223C" w:rsidRPr="00F1223C" w:rsidRDefault="00F1223C" w:rsidP="00F1223C">
            <w:pPr>
              <w:jc w:val="right"/>
              <w:rPr>
                <w:rFonts w:cs="Arial"/>
              </w:rPr>
            </w:pPr>
            <w:r w:rsidRPr="00F1223C">
              <w:rPr>
                <w:rFonts w:cs="Arial"/>
              </w:rPr>
              <w:t>0</w:t>
            </w:r>
          </w:p>
        </w:tc>
      </w:tr>
      <w:tr w:rsidR="00F1223C" w:rsidRPr="00C5395B" w14:paraId="58919E61" w14:textId="77777777" w:rsidTr="00A60308">
        <w:trPr>
          <w:trHeight w:val="255"/>
        </w:trPr>
        <w:tc>
          <w:tcPr>
            <w:tcW w:w="2040" w:type="dxa"/>
            <w:tcBorders>
              <w:top w:val="nil"/>
              <w:left w:val="single" w:sz="4" w:space="0" w:color="auto"/>
              <w:bottom w:val="single" w:sz="4" w:space="0" w:color="auto"/>
              <w:right w:val="single" w:sz="4" w:space="0" w:color="auto"/>
            </w:tcBorders>
            <w:noWrap/>
            <w:hideMark/>
          </w:tcPr>
          <w:p w14:paraId="644FFB24" w14:textId="77777777" w:rsidR="00F1223C" w:rsidRPr="00C5395B" w:rsidRDefault="00F1223C" w:rsidP="00F1223C">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6B62763B" w14:textId="4A790120" w:rsidR="00F1223C" w:rsidRDefault="00F1223C" w:rsidP="00F1223C">
            <w:pPr>
              <w:jc w:val="right"/>
              <w:rPr>
                <w:rFonts w:cs="Arial"/>
                <w:b/>
                <w:bCs/>
              </w:rPr>
            </w:pPr>
            <w:r w:rsidRPr="00550A24">
              <w:rPr>
                <w:rFonts w:cs="Arial"/>
                <w:b/>
                <w:bCs/>
              </w:rPr>
              <w:t>12</w:t>
            </w:r>
          </w:p>
        </w:tc>
        <w:tc>
          <w:tcPr>
            <w:tcW w:w="960" w:type="dxa"/>
            <w:tcBorders>
              <w:top w:val="nil"/>
              <w:left w:val="nil"/>
              <w:bottom w:val="single" w:sz="4" w:space="0" w:color="auto"/>
              <w:right w:val="single" w:sz="4" w:space="0" w:color="auto"/>
            </w:tcBorders>
          </w:tcPr>
          <w:p w14:paraId="3B5EB3B0" w14:textId="1B9F2E19" w:rsidR="00F1223C" w:rsidRDefault="00F1223C" w:rsidP="00F1223C">
            <w:pPr>
              <w:jc w:val="right"/>
              <w:rPr>
                <w:rFonts w:cs="Arial"/>
                <w:b/>
                <w:bCs/>
              </w:rPr>
            </w:pPr>
            <w:r w:rsidRPr="00DE1099">
              <w:rPr>
                <w:rFonts w:cs="Arial"/>
                <w:b/>
                <w:bCs/>
              </w:rPr>
              <w:t>8</w:t>
            </w:r>
          </w:p>
        </w:tc>
        <w:tc>
          <w:tcPr>
            <w:tcW w:w="960" w:type="dxa"/>
            <w:tcBorders>
              <w:top w:val="nil"/>
              <w:left w:val="nil"/>
              <w:bottom w:val="single" w:sz="4" w:space="0" w:color="auto"/>
              <w:right w:val="single" w:sz="4" w:space="0" w:color="auto"/>
            </w:tcBorders>
          </w:tcPr>
          <w:p w14:paraId="3B204353" w14:textId="67A84B3D" w:rsidR="00F1223C" w:rsidRDefault="00F1223C" w:rsidP="00F1223C">
            <w:pPr>
              <w:jc w:val="right"/>
              <w:rPr>
                <w:rFonts w:cs="Arial"/>
                <w:b/>
                <w:bCs/>
              </w:rPr>
            </w:pPr>
            <w:r>
              <w:rPr>
                <w:rFonts w:cs="Arial"/>
                <w:b/>
                <w:bCs/>
              </w:rPr>
              <w:t>6</w:t>
            </w:r>
          </w:p>
        </w:tc>
        <w:tc>
          <w:tcPr>
            <w:tcW w:w="960" w:type="dxa"/>
            <w:tcBorders>
              <w:top w:val="nil"/>
              <w:left w:val="nil"/>
              <w:bottom w:val="single" w:sz="4" w:space="0" w:color="auto"/>
              <w:right w:val="single" w:sz="4" w:space="0" w:color="auto"/>
            </w:tcBorders>
            <w:vAlign w:val="bottom"/>
          </w:tcPr>
          <w:p w14:paraId="5FC39F91" w14:textId="52F9F8B7" w:rsidR="00F1223C" w:rsidRPr="00550A24" w:rsidRDefault="00F1223C" w:rsidP="00F1223C">
            <w:pPr>
              <w:jc w:val="right"/>
              <w:rPr>
                <w:rFonts w:cs="Arial"/>
                <w:b/>
                <w:bCs/>
              </w:rPr>
            </w:pPr>
            <w:r w:rsidRPr="00DD04C0">
              <w:rPr>
                <w:rFonts w:cs="Arial"/>
                <w:b/>
                <w:bCs/>
              </w:rPr>
              <w:t>12</w:t>
            </w:r>
          </w:p>
        </w:tc>
        <w:tc>
          <w:tcPr>
            <w:tcW w:w="960" w:type="dxa"/>
            <w:tcBorders>
              <w:top w:val="nil"/>
              <w:left w:val="nil"/>
              <w:bottom w:val="single" w:sz="4" w:space="0" w:color="auto"/>
              <w:right w:val="single" w:sz="4" w:space="0" w:color="auto"/>
            </w:tcBorders>
            <w:vAlign w:val="bottom"/>
          </w:tcPr>
          <w:p w14:paraId="6ECD6466" w14:textId="6E3629BB" w:rsidR="00F1223C" w:rsidRPr="00F1223C" w:rsidRDefault="00F1223C" w:rsidP="00F1223C">
            <w:pPr>
              <w:jc w:val="right"/>
              <w:rPr>
                <w:rFonts w:cs="Arial"/>
                <w:b/>
                <w:bCs/>
              </w:rPr>
            </w:pPr>
            <w:r w:rsidRPr="00F1223C">
              <w:rPr>
                <w:rFonts w:cs="Arial"/>
                <w:b/>
                <w:bCs/>
              </w:rPr>
              <w:t>3</w:t>
            </w:r>
          </w:p>
        </w:tc>
      </w:tr>
    </w:tbl>
    <w:p w14:paraId="6575DCDB" w14:textId="77777777" w:rsidR="00F1223C" w:rsidRDefault="00F1223C" w:rsidP="00F1223C">
      <w:pPr>
        <w:ind w:left="-142" w:right="-425"/>
        <w:jc w:val="both"/>
        <w:rPr>
          <w:rFonts w:cs="Arial"/>
        </w:rPr>
      </w:pPr>
    </w:p>
    <w:p w14:paraId="0C44E9B8" w14:textId="1488CE9F" w:rsidR="004E7166" w:rsidRPr="00076ED0" w:rsidRDefault="004E7166" w:rsidP="00D51DFA">
      <w:pPr>
        <w:pStyle w:val="Heading2"/>
      </w:pPr>
      <w:r w:rsidRPr="00076ED0">
        <w:t>Application</w:t>
      </w:r>
      <w:r>
        <w:t xml:space="preserve"> </w:t>
      </w:r>
      <w:r w:rsidR="005A4629">
        <w:t>o</w:t>
      </w:r>
      <w:r w:rsidR="00BF36AA">
        <w:t>utcomes</w:t>
      </w:r>
    </w:p>
    <w:p w14:paraId="181814BC" w14:textId="0CAB7116" w:rsidR="00FD09DB" w:rsidRDefault="00FB0392" w:rsidP="005A5B78">
      <w:pPr>
        <w:ind w:left="-142" w:right="-425"/>
        <w:jc w:val="both"/>
        <w:rPr>
          <w:rFonts w:cs="Arial"/>
        </w:rPr>
      </w:pPr>
      <w:r>
        <w:rPr>
          <w:rFonts w:cs="Arial"/>
        </w:rPr>
        <w:t>To provide further clarity regard</w:t>
      </w:r>
      <w:r w:rsidR="000950F0">
        <w:rPr>
          <w:rFonts w:cs="Arial"/>
        </w:rPr>
        <w:t>ing</w:t>
      </w:r>
      <w:r>
        <w:rPr>
          <w:rFonts w:cs="Arial"/>
        </w:rPr>
        <w:t xml:space="preserve"> the types of decisions made by Commissioners, application hearing decisions </w:t>
      </w:r>
      <w:r w:rsidR="00FD09DB">
        <w:rPr>
          <w:rFonts w:cs="Arial"/>
        </w:rPr>
        <w:t>are</w:t>
      </w:r>
      <w:r>
        <w:rPr>
          <w:rFonts w:cs="Arial"/>
        </w:rPr>
        <w:t xml:space="preserve"> reported separately</w:t>
      </w:r>
      <w:r w:rsidR="00B0071D">
        <w:rPr>
          <w:rFonts w:cs="Arial"/>
        </w:rPr>
        <w:t xml:space="preserve"> from conference </w:t>
      </w:r>
      <w:r w:rsidR="00BF36AA">
        <w:rPr>
          <w:rFonts w:cs="Arial"/>
        </w:rPr>
        <w:t>decisions</w:t>
      </w:r>
      <w:r>
        <w:rPr>
          <w:rFonts w:cs="Arial"/>
        </w:rPr>
        <w:t xml:space="preserve">. In past reports decisions delivered upon the hearing of </w:t>
      </w:r>
      <w:r w:rsidR="0067560F">
        <w:rPr>
          <w:rFonts w:cs="Arial"/>
        </w:rPr>
        <w:t>amend</w:t>
      </w:r>
      <w:r>
        <w:rPr>
          <w:rFonts w:cs="Arial"/>
        </w:rPr>
        <w:t>/</w:t>
      </w:r>
      <w:r w:rsidR="0067560F">
        <w:rPr>
          <w:rFonts w:cs="Arial"/>
        </w:rPr>
        <w:t xml:space="preserve">end applications were counted in the </w:t>
      </w:r>
      <w:r w:rsidR="003E70D2">
        <w:rPr>
          <w:rFonts w:cs="Arial"/>
        </w:rPr>
        <w:t xml:space="preserve">overall </w:t>
      </w:r>
      <w:r w:rsidR="0067560F">
        <w:rPr>
          <w:rFonts w:cs="Arial"/>
        </w:rPr>
        <w:t>conference count.</w:t>
      </w:r>
    </w:p>
    <w:p w14:paraId="52092AB9" w14:textId="77777777" w:rsidR="00875278" w:rsidRDefault="00875278" w:rsidP="00875278">
      <w:pPr>
        <w:ind w:left="-142" w:right="-425"/>
        <w:jc w:val="both"/>
        <w:rPr>
          <w:rFonts w:cs="Arial"/>
        </w:rPr>
      </w:pPr>
    </w:p>
    <w:p w14:paraId="39FDCD74" w14:textId="529E2967" w:rsidR="006F7B1B" w:rsidRDefault="00BF36AA" w:rsidP="00BF36AA">
      <w:pPr>
        <w:ind w:left="-142" w:right="-425"/>
        <w:jc w:val="both"/>
        <w:rPr>
          <w:rFonts w:cs="Arial"/>
        </w:rPr>
      </w:pPr>
      <w:r>
        <w:rPr>
          <w:rFonts w:cs="Arial"/>
        </w:rPr>
        <w:t>One amend/end application for a voluntary agreement was accepted and the voluntary income management agreement ended</w:t>
      </w:r>
      <w:r w:rsidR="004F5DD7">
        <w:rPr>
          <w:rFonts w:cs="Arial"/>
        </w:rPr>
        <w:t>, whilst</w:t>
      </w:r>
      <w:r>
        <w:rPr>
          <w:rFonts w:cs="Arial"/>
        </w:rPr>
        <w:t xml:space="preserve"> one application hearing for a Family Responsibilities Order was held resulting in a decision to end the CIM. A more detailed description of the o</w:t>
      </w:r>
      <w:r w:rsidRPr="009E1D38">
        <w:rPr>
          <w:rFonts w:cs="Arial"/>
        </w:rPr>
        <w:t xml:space="preserve">utcomes of the </w:t>
      </w:r>
      <w:r>
        <w:rPr>
          <w:rFonts w:cs="Arial"/>
        </w:rPr>
        <w:t>3</w:t>
      </w:r>
      <w:r w:rsidRPr="009E1D38">
        <w:rPr>
          <w:rFonts w:cs="Arial"/>
        </w:rPr>
        <w:t xml:space="preserve"> applications received are as follows:</w:t>
      </w:r>
    </w:p>
    <w:p w14:paraId="612A883D" w14:textId="77777777" w:rsidR="00141140" w:rsidRDefault="00141140" w:rsidP="00BF36AA">
      <w:pPr>
        <w:ind w:left="-142" w:right="-425"/>
        <w:jc w:val="both"/>
        <w:rPr>
          <w:rFonts w:cs="Arial"/>
        </w:rPr>
      </w:pPr>
    </w:p>
    <w:p w14:paraId="58BFAAA3" w14:textId="77777777" w:rsidR="00BF36AA" w:rsidRPr="00AA7E19" w:rsidRDefault="00BF36AA" w:rsidP="00BF36AA">
      <w:pPr>
        <w:tabs>
          <w:tab w:val="decimal" w:pos="426"/>
          <w:tab w:val="decimal" w:pos="454"/>
          <w:tab w:val="decimal" w:pos="567"/>
        </w:tabs>
        <w:ind w:left="425" w:right="-425" w:hanging="567"/>
        <w:rPr>
          <w:rFonts w:cs="Arial"/>
        </w:rPr>
      </w:pPr>
      <w:r>
        <w:rPr>
          <w:rFonts w:cs="Arial"/>
        </w:rPr>
        <w:tab/>
        <w:t>1</w:t>
      </w:r>
      <w:r w:rsidRPr="00AA7E19">
        <w:rPr>
          <w:rFonts w:cs="Arial"/>
        </w:rPr>
        <w:t xml:space="preserve"> Application accepted and </w:t>
      </w:r>
      <w:r>
        <w:rPr>
          <w:rFonts w:cs="Arial"/>
        </w:rPr>
        <w:t xml:space="preserve">voluntary </w:t>
      </w:r>
      <w:r w:rsidRPr="00AA7E19">
        <w:rPr>
          <w:rFonts w:cs="Arial"/>
        </w:rPr>
        <w:t xml:space="preserve">income management </w:t>
      </w:r>
      <w:r>
        <w:rPr>
          <w:rFonts w:cs="Arial"/>
        </w:rPr>
        <w:t>agreement</w:t>
      </w:r>
      <w:r w:rsidRPr="00AA7E19">
        <w:rPr>
          <w:rFonts w:cs="Arial"/>
        </w:rPr>
        <w:t xml:space="preserve"> ended</w:t>
      </w:r>
    </w:p>
    <w:p w14:paraId="69BC7680" w14:textId="6B366121" w:rsidR="00B74951" w:rsidRPr="00AA7E19" w:rsidRDefault="00B74951" w:rsidP="00BA0564">
      <w:pPr>
        <w:tabs>
          <w:tab w:val="decimal" w:pos="426"/>
          <w:tab w:val="decimal" w:pos="454"/>
          <w:tab w:val="decimal" w:pos="567"/>
        </w:tabs>
        <w:ind w:left="425" w:right="-425" w:hanging="567"/>
        <w:rPr>
          <w:rFonts w:cs="Arial"/>
        </w:rPr>
      </w:pPr>
      <w:r w:rsidRPr="00AA7E19">
        <w:rPr>
          <w:rFonts w:cs="Arial"/>
        </w:rPr>
        <w:tab/>
      </w:r>
      <w:r w:rsidR="00D60814">
        <w:rPr>
          <w:rFonts w:cs="Arial"/>
        </w:rPr>
        <w:t>1</w:t>
      </w:r>
      <w:r w:rsidRPr="00AA7E19">
        <w:rPr>
          <w:rFonts w:cs="Arial"/>
        </w:rPr>
        <w:t xml:space="preserve"> Application accepted and </w:t>
      </w:r>
      <w:r w:rsidR="00D60814">
        <w:rPr>
          <w:rFonts w:cs="Arial"/>
        </w:rPr>
        <w:t xml:space="preserve">conditional </w:t>
      </w:r>
      <w:r w:rsidR="00D60814" w:rsidRPr="00AA7E19">
        <w:rPr>
          <w:rFonts w:cs="Arial"/>
        </w:rPr>
        <w:t>income management order ended</w:t>
      </w:r>
    </w:p>
    <w:p w14:paraId="33CDE497" w14:textId="7CA243F1" w:rsidR="00970EFB" w:rsidRPr="00AA7E19" w:rsidRDefault="00970EFB" w:rsidP="00BA0564">
      <w:pPr>
        <w:tabs>
          <w:tab w:val="decimal" w:pos="426"/>
          <w:tab w:val="decimal" w:pos="454"/>
          <w:tab w:val="decimal" w:pos="567"/>
        </w:tabs>
        <w:ind w:left="425" w:right="-425" w:hanging="567"/>
        <w:rPr>
          <w:rFonts w:cs="Arial"/>
        </w:rPr>
      </w:pPr>
      <w:r w:rsidRPr="00AA7E19">
        <w:rPr>
          <w:rFonts w:cs="Arial"/>
        </w:rPr>
        <w:tab/>
      </w:r>
      <w:r w:rsidR="0054553C">
        <w:rPr>
          <w:rFonts w:cs="Arial"/>
        </w:rPr>
        <w:t>1</w:t>
      </w:r>
      <w:r w:rsidR="0054553C" w:rsidRPr="00AA7E19">
        <w:rPr>
          <w:rFonts w:cs="Arial"/>
        </w:rPr>
        <w:t xml:space="preserve"> </w:t>
      </w:r>
      <w:r w:rsidRPr="00AA7E19">
        <w:rPr>
          <w:rFonts w:cs="Arial"/>
        </w:rPr>
        <w:t>Application</w:t>
      </w:r>
      <w:r w:rsidR="0054553C">
        <w:rPr>
          <w:rFonts w:cs="Arial"/>
        </w:rPr>
        <w:t xml:space="preserve"> </w:t>
      </w:r>
      <w:r w:rsidR="00AD59FC">
        <w:rPr>
          <w:rFonts w:cs="Arial"/>
        </w:rPr>
        <w:t>received at the end of the quarter, decision pending</w:t>
      </w:r>
      <w:r w:rsidR="004126E4">
        <w:rPr>
          <w:rFonts w:cs="Arial"/>
        </w:rPr>
        <w:t>.</w:t>
      </w:r>
    </w:p>
    <w:p w14:paraId="662F5E2F" w14:textId="77777777" w:rsidR="00BF36AA" w:rsidRDefault="00BF36AA" w:rsidP="005A5B78">
      <w:pPr>
        <w:ind w:left="-142" w:right="-425"/>
        <w:jc w:val="both"/>
      </w:pPr>
    </w:p>
    <w:p w14:paraId="69D6C633" w14:textId="751FF60E" w:rsidR="005A5B78" w:rsidRDefault="00353EB2" w:rsidP="005A5B78">
      <w:pPr>
        <w:ind w:left="-142" w:right="-425"/>
        <w:jc w:val="both"/>
      </w:pPr>
      <w:r>
        <w:t>Th</w:t>
      </w:r>
      <w:r w:rsidR="005A5B78" w:rsidRPr="00E34093">
        <w:t>e Commission continues to encourage clients to participa</w:t>
      </w:r>
      <w:r w:rsidR="0061573D">
        <w:t>te in the Amend or End process.</w:t>
      </w:r>
      <w:r w:rsidR="005A5B78" w:rsidRPr="00E34093">
        <w:t xml:space="preserve"> </w:t>
      </w:r>
      <w:proofErr w:type="gramStart"/>
      <w:r w:rsidR="005A5B78" w:rsidRPr="00E34093">
        <w:t>Commissioners</w:t>
      </w:r>
      <w:proofErr w:type="gramEnd"/>
      <w:r w:rsidR="005A5B78" w:rsidRPr="00E34093">
        <w:t xml:space="preserve"> report increasing client confidence to question decisions and the reasons behind decisions, both for decisions delivered by the Commission and decisions delivered by external agencies and bodies.</w:t>
      </w:r>
    </w:p>
    <w:p w14:paraId="509A101D" w14:textId="77777777" w:rsidR="00714AFB" w:rsidRPr="00E34093" w:rsidRDefault="00714AFB" w:rsidP="005A5B78">
      <w:pPr>
        <w:ind w:left="-142" w:right="-425"/>
        <w:jc w:val="both"/>
      </w:pPr>
    </w:p>
    <w:p w14:paraId="0FE2B299" w14:textId="77777777" w:rsidR="00A60308" w:rsidRDefault="00A60308">
      <w:pPr>
        <w:spacing w:line="240" w:lineRule="auto"/>
        <w:rPr>
          <w:rFonts w:cs="Arial"/>
          <w:b/>
          <w:bCs/>
          <w:spacing w:val="-4"/>
          <w:kern w:val="28"/>
        </w:rPr>
      </w:pPr>
      <w:bookmarkStart w:id="15" w:name="_Toc222226583"/>
      <w:bookmarkStart w:id="16" w:name="_Toc304386232"/>
      <w:bookmarkStart w:id="17" w:name="_Toc304386309"/>
      <w:bookmarkStart w:id="18" w:name="_Toc306011182"/>
      <w:r>
        <w:br w:type="page"/>
      </w:r>
    </w:p>
    <w:p w14:paraId="0CA7602F" w14:textId="08751CE8" w:rsidR="0013112F" w:rsidRDefault="0013112F" w:rsidP="00D51DFA">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314C813B" w:rsidR="0013112F" w:rsidRDefault="0013112F" w:rsidP="0013112F">
      <w:pPr>
        <w:ind w:left="-142"/>
        <w:jc w:val="both"/>
      </w:pPr>
      <w:r w:rsidRPr="006C6A65">
        <w:rPr>
          <w:b/>
          <w:sz w:val="16"/>
          <w:szCs w:val="16"/>
        </w:rPr>
        <w:t>Table</w:t>
      </w:r>
      <w:r w:rsidR="00A60308">
        <w:rPr>
          <w:b/>
          <w:sz w:val="16"/>
          <w:szCs w:val="16"/>
        </w:rPr>
        <w:t xml:space="preserve"> 2</w:t>
      </w:r>
      <w:r w:rsidR="00CF3070">
        <w:rPr>
          <w:b/>
          <w:sz w:val="16"/>
          <w:szCs w:val="16"/>
        </w:rPr>
        <w:t>2</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 xml:space="preserve">1 </w:t>
      </w:r>
      <w:r w:rsidR="002B731D">
        <w:rPr>
          <w:sz w:val="16"/>
          <w:szCs w:val="16"/>
        </w:rPr>
        <w:t>April</w:t>
      </w:r>
      <w:r w:rsidR="009A7C28">
        <w:rPr>
          <w:sz w:val="16"/>
          <w:szCs w:val="16"/>
        </w:rPr>
        <w:t xml:space="preserve"> 2021</w:t>
      </w:r>
      <w:r w:rsidR="00FC7F2E">
        <w:rPr>
          <w:sz w:val="16"/>
          <w:szCs w:val="16"/>
        </w:rPr>
        <w:t xml:space="preserve"> to </w:t>
      </w:r>
      <w:r w:rsidR="00C02DC0">
        <w:rPr>
          <w:sz w:val="16"/>
          <w:szCs w:val="16"/>
        </w:rPr>
        <w:t>30 June</w:t>
      </w:r>
      <w:r w:rsidR="009A7C28">
        <w:rPr>
          <w:sz w:val="16"/>
          <w:szCs w:val="16"/>
        </w:rPr>
        <w:t xml:space="preserve"> 2021</w:t>
      </w:r>
      <w:r w:rsidR="00FC7F2E">
        <w:rPr>
          <w:sz w:val="16"/>
          <w:szCs w:val="16"/>
        </w:rPr>
        <w:t>.</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925DD5" w14:paraId="0C5B3812" w14:textId="77777777" w:rsidTr="00925DD5">
        <w:tc>
          <w:tcPr>
            <w:tcW w:w="5127" w:type="dxa"/>
          </w:tcPr>
          <w:p w14:paraId="465196A7" w14:textId="2741AD5F" w:rsidR="00925DD5" w:rsidRDefault="00925DD5" w:rsidP="006930E8">
            <w:pPr>
              <w:spacing w:line="240" w:lineRule="auto"/>
            </w:pPr>
            <w:r>
              <w:t xml:space="preserve">Clients </w:t>
            </w:r>
            <w:r w:rsidR="007C762F">
              <w:t>for whom a</w:t>
            </w:r>
            <w:r>
              <w:t xml:space="preserve"> notice </w:t>
            </w:r>
            <w:r w:rsidR="007C762F">
              <w:t>was received</w:t>
            </w:r>
            <w:r>
              <w:rPr>
                <w:rStyle w:val="FootnoteReference"/>
              </w:rPr>
              <w:footnoteReference w:id="11"/>
            </w:r>
          </w:p>
        </w:tc>
        <w:tc>
          <w:tcPr>
            <w:tcW w:w="1026" w:type="dxa"/>
            <w:vAlign w:val="center"/>
          </w:tcPr>
          <w:p w14:paraId="430D610E" w14:textId="1C97CC50" w:rsidR="00925DD5" w:rsidRPr="000C1273" w:rsidRDefault="008B6D8E" w:rsidP="00925DD5">
            <w:pPr>
              <w:spacing w:line="240" w:lineRule="auto"/>
              <w:jc w:val="right"/>
            </w:pPr>
            <w:r>
              <w:t>34</w:t>
            </w:r>
            <w:r w:rsidR="006E2315">
              <w:t>7</w:t>
            </w:r>
          </w:p>
        </w:tc>
        <w:tc>
          <w:tcPr>
            <w:tcW w:w="875" w:type="dxa"/>
            <w:vAlign w:val="center"/>
          </w:tcPr>
          <w:p w14:paraId="73512E80" w14:textId="2F19E56B" w:rsidR="00925DD5" w:rsidRPr="000C1273" w:rsidRDefault="008B6D8E" w:rsidP="00925DD5">
            <w:pPr>
              <w:spacing w:line="240" w:lineRule="auto"/>
              <w:jc w:val="right"/>
            </w:pPr>
            <w:r>
              <w:t>220</w:t>
            </w:r>
          </w:p>
        </w:tc>
        <w:tc>
          <w:tcPr>
            <w:tcW w:w="463" w:type="dxa"/>
            <w:vAlign w:val="center"/>
          </w:tcPr>
          <w:p w14:paraId="0C71CB3B" w14:textId="3FB83C2E" w:rsidR="00925DD5" w:rsidRPr="00C670F3" w:rsidRDefault="00925DD5" w:rsidP="00925DD5">
            <w:pPr>
              <w:spacing w:line="240" w:lineRule="auto"/>
              <w:jc w:val="right"/>
            </w:pPr>
          </w:p>
        </w:tc>
        <w:tc>
          <w:tcPr>
            <w:tcW w:w="1140" w:type="dxa"/>
            <w:vAlign w:val="center"/>
          </w:tcPr>
          <w:p w14:paraId="048E4B1D" w14:textId="2DC9B624" w:rsidR="00925DD5" w:rsidRPr="000C1273" w:rsidRDefault="008B6D8E" w:rsidP="00925DD5">
            <w:pPr>
              <w:spacing w:line="240" w:lineRule="auto"/>
              <w:jc w:val="right"/>
            </w:pPr>
            <w:r>
              <w:t>38</w:t>
            </w:r>
          </w:p>
        </w:tc>
        <w:tc>
          <w:tcPr>
            <w:tcW w:w="1140" w:type="dxa"/>
            <w:vAlign w:val="center"/>
          </w:tcPr>
          <w:p w14:paraId="61E43F3F" w14:textId="4E8EB75F" w:rsidR="00925DD5" w:rsidRPr="000C1273" w:rsidRDefault="008B6D8E" w:rsidP="00925DD5">
            <w:pPr>
              <w:spacing w:line="240" w:lineRule="auto"/>
              <w:jc w:val="right"/>
            </w:pPr>
            <w:r>
              <w:t>38</w:t>
            </w:r>
          </w:p>
        </w:tc>
      </w:tr>
      <w:tr w:rsidR="00925DD5" w14:paraId="0C43D4D1" w14:textId="77777777" w:rsidTr="00925DD5">
        <w:tc>
          <w:tcPr>
            <w:tcW w:w="5127" w:type="dxa"/>
          </w:tcPr>
          <w:p w14:paraId="2282B866" w14:textId="3960C31B" w:rsidR="00925DD5" w:rsidRDefault="00925DD5" w:rsidP="006930E8">
            <w:pPr>
              <w:spacing w:line="240" w:lineRule="auto"/>
            </w:pPr>
            <w:r>
              <w:t>Clients who conferenced</w:t>
            </w:r>
            <w:r>
              <w:rPr>
                <w:rStyle w:val="FootnoteReference"/>
              </w:rPr>
              <w:footnoteReference w:id="12"/>
            </w:r>
          </w:p>
        </w:tc>
        <w:tc>
          <w:tcPr>
            <w:tcW w:w="1026" w:type="dxa"/>
            <w:vAlign w:val="center"/>
          </w:tcPr>
          <w:p w14:paraId="0BE8DAD4" w14:textId="2E8092EA" w:rsidR="00925DD5" w:rsidRPr="000C1273" w:rsidRDefault="008B6D8E" w:rsidP="00925DD5">
            <w:pPr>
              <w:spacing w:line="240" w:lineRule="auto"/>
              <w:jc w:val="right"/>
            </w:pPr>
            <w:r>
              <w:t>180</w:t>
            </w:r>
          </w:p>
        </w:tc>
        <w:tc>
          <w:tcPr>
            <w:tcW w:w="875" w:type="dxa"/>
            <w:vAlign w:val="center"/>
          </w:tcPr>
          <w:p w14:paraId="7F1FAC36" w14:textId="48AB2911" w:rsidR="00925DD5" w:rsidRPr="000C1273" w:rsidRDefault="008B6D8E" w:rsidP="00925DD5">
            <w:pPr>
              <w:spacing w:line="240" w:lineRule="auto"/>
              <w:jc w:val="right"/>
            </w:pPr>
            <w:r>
              <w:t>109</w:t>
            </w:r>
          </w:p>
        </w:tc>
        <w:tc>
          <w:tcPr>
            <w:tcW w:w="463" w:type="dxa"/>
            <w:vAlign w:val="center"/>
          </w:tcPr>
          <w:p w14:paraId="7D1E9278" w14:textId="7E3911E0" w:rsidR="00925DD5" w:rsidRPr="00C670F3" w:rsidRDefault="00925DD5" w:rsidP="00925DD5">
            <w:pPr>
              <w:spacing w:line="240" w:lineRule="auto"/>
              <w:jc w:val="right"/>
            </w:pPr>
          </w:p>
        </w:tc>
        <w:tc>
          <w:tcPr>
            <w:tcW w:w="1140" w:type="dxa"/>
            <w:vAlign w:val="center"/>
          </w:tcPr>
          <w:p w14:paraId="18E5F35E" w14:textId="3CCA9A9B" w:rsidR="00925DD5" w:rsidRPr="000C1273" w:rsidRDefault="008B6D8E" w:rsidP="00925DD5">
            <w:pPr>
              <w:spacing w:line="240" w:lineRule="auto"/>
              <w:jc w:val="right"/>
            </w:pPr>
            <w:r>
              <w:t>37</w:t>
            </w:r>
          </w:p>
        </w:tc>
        <w:tc>
          <w:tcPr>
            <w:tcW w:w="1140" w:type="dxa"/>
            <w:vAlign w:val="center"/>
          </w:tcPr>
          <w:p w14:paraId="48B614AC" w14:textId="077A6B04" w:rsidR="00925DD5" w:rsidRPr="000C1273" w:rsidRDefault="008B6D8E" w:rsidP="00925DD5">
            <w:pPr>
              <w:spacing w:line="240" w:lineRule="auto"/>
              <w:jc w:val="right"/>
            </w:pPr>
            <w:r>
              <w:t>38</w:t>
            </w:r>
          </w:p>
        </w:tc>
      </w:tr>
      <w:tr w:rsidR="00925DD5" w14:paraId="11CAB223" w14:textId="77777777" w:rsidTr="00925DD5">
        <w:tc>
          <w:tcPr>
            <w:tcW w:w="5127" w:type="dxa"/>
          </w:tcPr>
          <w:p w14:paraId="21481099" w14:textId="063848D4" w:rsidR="00925DD5" w:rsidRPr="00C6538C" w:rsidRDefault="00423006" w:rsidP="006930E8">
            <w:pPr>
              <w:spacing w:line="240" w:lineRule="auto"/>
            </w:pPr>
            <w:r w:rsidRPr="00423006">
              <w:t xml:space="preserve">Clients who had an application hearing </w:t>
            </w:r>
            <w:proofErr w:type="gramStart"/>
            <w:r w:rsidRPr="00423006">
              <w:t>for  Family</w:t>
            </w:r>
            <w:proofErr w:type="gramEnd"/>
            <w:r w:rsidRPr="00423006">
              <w:t xml:space="preserve"> Responsibilities Agreements and Family Responsibilities Orders</w:t>
            </w:r>
            <w:r w:rsidR="00925DD5" w:rsidRPr="00C6538C">
              <w:rPr>
                <w:rStyle w:val="FootnoteReference"/>
              </w:rPr>
              <w:footnoteReference w:id="13"/>
            </w:r>
          </w:p>
        </w:tc>
        <w:tc>
          <w:tcPr>
            <w:tcW w:w="1026" w:type="dxa"/>
            <w:vAlign w:val="center"/>
          </w:tcPr>
          <w:p w14:paraId="64B179AC" w14:textId="7E681D3D" w:rsidR="00925DD5" w:rsidRPr="000C1273" w:rsidRDefault="008B6D8E" w:rsidP="00925DD5">
            <w:pPr>
              <w:spacing w:line="240" w:lineRule="auto"/>
              <w:jc w:val="right"/>
            </w:pPr>
            <w:r>
              <w:t>1</w:t>
            </w:r>
          </w:p>
        </w:tc>
        <w:tc>
          <w:tcPr>
            <w:tcW w:w="875" w:type="dxa"/>
            <w:vAlign w:val="center"/>
          </w:tcPr>
          <w:p w14:paraId="0795AF41" w14:textId="7B36B47A" w:rsidR="00925DD5" w:rsidRPr="000C1273" w:rsidRDefault="008B6D8E" w:rsidP="00925DD5">
            <w:pPr>
              <w:spacing w:line="240" w:lineRule="auto"/>
              <w:jc w:val="right"/>
            </w:pPr>
            <w:r>
              <w:t>0</w:t>
            </w:r>
          </w:p>
        </w:tc>
        <w:tc>
          <w:tcPr>
            <w:tcW w:w="463" w:type="dxa"/>
            <w:vAlign w:val="center"/>
          </w:tcPr>
          <w:p w14:paraId="1470F615" w14:textId="1C8A5ACD" w:rsidR="00925DD5" w:rsidRPr="00C6538C" w:rsidRDefault="00925DD5" w:rsidP="00925DD5">
            <w:pPr>
              <w:spacing w:line="240" w:lineRule="auto"/>
              <w:jc w:val="right"/>
            </w:pPr>
          </w:p>
        </w:tc>
        <w:tc>
          <w:tcPr>
            <w:tcW w:w="1140" w:type="dxa"/>
            <w:vAlign w:val="center"/>
          </w:tcPr>
          <w:p w14:paraId="4C9D3036" w14:textId="55293396" w:rsidR="00925DD5" w:rsidRPr="000C1273" w:rsidRDefault="008B6D8E" w:rsidP="00925DD5">
            <w:pPr>
              <w:spacing w:line="240" w:lineRule="auto"/>
              <w:jc w:val="right"/>
            </w:pPr>
            <w:r>
              <w:t>28</w:t>
            </w:r>
          </w:p>
        </w:tc>
        <w:tc>
          <w:tcPr>
            <w:tcW w:w="1140" w:type="dxa"/>
            <w:vAlign w:val="center"/>
          </w:tcPr>
          <w:p w14:paraId="454F6461" w14:textId="28ACF5EF" w:rsidR="00925DD5" w:rsidRPr="000C1273" w:rsidRDefault="008B6D8E" w:rsidP="00925DD5">
            <w:pPr>
              <w:spacing w:line="240" w:lineRule="auto"/>
              <w:jc w:val="right"/>
            </w:pPr>
            <w:r>
              <w:t>0</w:t>
            </w:r>
          </w:p>
        </w:tc>
      </w:tr>
      <w:tr w:rsidR="00925DD5" w14:paraId="4205C91F" w14:textId="77777777" w:rsidTr="00925DD5">
        <w:tc>
          <w:tcPr>
            <w:tcW w:w="5127" w:type="dxa"/>
          </w:tcPr>
          <w:p w14:paraId="2820947A" w14:textId="0B2D1E31" w:rsidR="00925DD5" w:rsidRDefault="00423006" w:rsidP="006930E8">
            <w:pPr>
              <w:spacing w:line="240" w:lineRule="auto"/>
            </w:pPr>
            <w:r w:rsidRPr="00423006">
              <w:t>Clients referred through Family Responsibilities Agreements and Family Responsibilities Orders</w:t>
            </w:r>
            <w:r w:rsidR="00925DD5">
              <w:rPr>
                <w:rStyle w:val="FootnoteReference"/>
              </w:rPr>
              <w:footnoteReference w:id="14"/>
            </w:r>
          </w:p>
        </w:tc>
        <w:tc>
          <w:tcPr>
            <w:tcW w:w="1026" w:type="dxa"/>
            <w:vAlign w:val="center"/>
          </w:tcPr>
          <w:p w14:paraId="04ECC2CC" w14:textId="6547FD0B" w:rsidR="00925DD5" w:rsidRPr="000C1273" w:rsidRDefault="008B6D8E" w:rsidP="00925DD5">
            <w:pPr>
              <w:spacing w:line="240" w:lineRule="auto"/>
              <w:jc w:val="right"/>
            </w:pPr>
            <w:r>
              <w:t>75</w:t>
            </w:r>
          </w:p>
        </w:tc>
        <w:tc>
          <w:tcPr>
            <w:tcW w:w="875" w:type="dxa"/>
            <w:vAlign w:val="center"/>
          </w:tcPr>
          <w:p w14:paraId="09F9C19D" w14:textId="086DDF51" w:rsidR="00925DD5" w:rsidRPr="000C1273" w:rsidRDefault="008B6D8E" w:rsidP="00925DD5">
            <w:pPr>
              <w:spacing w:line="240" w:lineRule="auto"/>
              <w:jc w:val="right"/>
            </w:pPr>
            <w:r>
              <w:t>38</w:t>
            </w:r>
          </w:p>
        </w:tc>
        <w:tc>
          <w:tcPr>
            <w:tcW w:w="463" w:type="dxa"/>
            <w:vAlign w:val="center"/>
          </w:tcPr>
          <w:p w14:paraId="4D854BAC" w14:textId="17999EDB" w:rsidR="00925DD5" w:rsidRPr="00C670F3" w:rsidRDefault="00925DD5" w:rsidP="00925DD5">
            <w:pPr>
              <w:spacing w:line="240" w:lineRule="auto"/>
              <w:jc w:val="right"/>
            </w:pPr>
          </w:p>
        </w:tc>
        <w:tc>
          <w:tcPr>
            <w:tcW w:w="1140" w:type="dxa"/>
            <w:vAlign w:val="center"/>
          </w:tcPr>
          <w:p w14:paraId="0DB4E2B3" w14:textId="41EE4CEC" w:rsidR="00925DD5" w:rsidRPr="000C1273" w:rsidRDefault="008B6D8E" w:rsidP="00925DD5">
            <w:pPr>
              <w:spacing w:line="240" w:lineRule="auto"/>
              <w:jc w:val="right"/>
            </w:pPr>
            <w:r>
              <w:t>39</w:t>
            </w:r>
          </w:p>
        </w:tc>
        <w:tc>
          <w:tcPr>
            <w:tcW w:w="1140" w:type="dxa"/>
            <w:vAlign w:val="center"/>
          </w:tcPr>
          <w:p w14:paraId="6F699F00" w14:textId="0BEF2A18" w:rsidR="00925DD5" w:rsidRPr="000C1273" w:rsidRDefault="008B6D8E" w:rsidP="00925DD5">
            <w:pPr>
              <w:spacing w:line="240" w:lineRule="auto"/>
              <w:jc w:val="right"/>
            </w:pPr>
            <w:r>
              <w:t>36</w:t>
            </w:r>
          </w:p>
        </w:tc>
      </w:tr>
      <w:tr w:rsidR="00D605A2" w14:paraId="70BB454E" w14:textId="77777777" w:rsidTr="00A242DD">
        <w:tc>
          <w:tcPr>
            <w:tcW w:w="5127" w:type="dxa"/>
          </w:tcPr>
          <w:p w14:paraId="5B5E85C7" w14:textId="7C85BD17" w:rsidR="00D605A2" w:rsidRPr="00C6538C" w:rsidRDefault="00423006" w:rsidP="006930E8">
            <w:pPr>
              <w:spacing w:line="240" w:lineRule="auto"/>
            </w:pPr>
            <w:r w:rsidRPr="00423006">
              <w:t>Clients placed on CIM</w:t>
            </w:r>
            <w:r w:rsidR="00D605A2" w:rsidRPr="00C6538C">
              <w:rPr>
                <w:rStyle w:val="FootnoteReference"/>
              </w:rPr>
              <w:footnoteReference w:id="15"/>
            </w:r>
          </w:p>
        </w:tc>
        <w:tc>
          <w:tcPr>
            <w:tcW w:w="1026" w:type="dxa"/>
            <w:vAlign w:val="center"/>
          </w:tcPr>
          <w:p w14:paraId="543F073F" w14:textId="1FDD3A17" w:rsidR="00D605A2" w:rsidRPr="000C1273" w:rsidRDefault="008B6D8E" w:rsidP="00A242DD">
            <w:pPr>
              <w:spacing w:line="240" w:lineRule="auto"/>
              <w:jc w:val="right"/>
              <w:rPr>
                <w:rFonts w:cs="Arial"/>
              </w:rPr>
            </w:pPr>
            <w:r>
              <w:rPr>
                <w:rFonts w:cs="Arial"/>
              </w:rPr>
              <w:t>13</w:t>
            </w:r>
          </w:p>
        </w:tc>
        <w:tc>
          <w:tcPr>
            <w:tcW w:w="875" w:type="dxa"/>
            <w:vAlign w:val="center"/>
          </w:tcPr>
          <w:p w14:paraId="1105ED08" w14:textId="73D91161" w:rsidR="00D605A2" w:rsidRPr="000C1273" w:rsidRDefault="008B6D8E" w:rsidP="00A242DD">
            <w:pPr>
              <w:spacing w:line="240" w:lineRule="auto"/>
              <w:jc w:val="right"/>
              <w:rPr>
                <w:rFonts w:cs="Arial"/>
              </w:rPr>
            </w:pPr>
            <w:r>
              <w:rPr>
                <w:rFonts w:cs="Arial"/>
              </w:rPr>
              <w:t>12</w:t>
            </w:r>
          </w:p>
        </w:tc>
        <w:tc>
          <w:tcPr>
            <w:tcW w:w="463" w:type="dxa"/>
            <w:vAlign w:val="center"/>
          </w:tcPr>
          <w:p w14:paraId="2B630A06" w14:textId="77777777" w:rsidR="00D605A2" w:rsidRPr="00C6538C" w:rsidRDefault="00D605A2" w:rsidP="00A242DD">
            <w:pPr>
              <w:spacing w:line="240" w:lineRule="auto"/>
              <w:jc w:val="right"/>
              <w:rPr>
                <w:rFonts w:cs="Arial"/>
              </w:rPr>
            </w:pPr>
          </w:p>
        </w:tc>
        <w:tc>
          <w:tcPr>
            <w:tcW w:w="1140" w:type="dxa"/>
            <w:vAlign w:val="center"/>
          </w:tcPr>
          <w:p w14:paraId="118451EA" w14:textId="2A993537" w:rsidR="00D605A2" w:rsidRPr="000C1273" w:rsidRDefault="008B6D8E" w:rsidP="00A242DD">
            <w:pPr>
              <w:spacing w:line="240" w:lineRule="auto"/>
              <w:jc w:val="right"/>
              <w:rPr>
                <w:rFonts w:cs="Arial"/>
              </w:rPr>
            </w:pPr>
            <w:r>
              <w:rPr>
                <w:rFonts w:cs="Arial"/>
              </w:rPr>
              <w:t>34</w:t>
            </w:r>
          </w:p>
        </w:tc>
        <w:tc>
          <w:tcPr>
            <w:tcW w:w="1140" w:type="dxa"/>
            <w:vAlign w:val="center"/>
          </w:tcPr>
          <w:p w14:paraId="1C47274C" w14:textId="2D017E15" w:rsidR="00D605A2" w:rsidRPr="000C1273" w:rsidRDefault="008B6D8E" w:rsidP="00A242DD">
            <w:pPr>
              <w:spacing w:line="240" w:lineRule="auto"/>
              <w:jc w:val="right"/>
              <w:rPr>
                <w:rFonts w:cs="Arial"/>
              </w:rPr>
            </w:pPr>
            <w:r>
              <w:rPr>
                <w:rFonts w:cs="Arial"/>
              </w:rPr>
              <w:t>37</w:t>
            </w:r>
          </w:p>
        </w:tc>
      </w:tr>
      <w:tr w:rsidR="00925DD5" w14:paraId="5BC6E4C0" w14:textId="77777777" w:rsidTr="00925DD5">
        <w:tc>
          <w:tcPr>
            <w:tcW w:w="5127" w:type="dxa"/>
          </w:tcPr>
          <w:p w14:paraId="1F3A9B4D" w14:textId="68F637B4" w:rsidR="00925DD5" w:rsidRDefault="00423006" w:rsidP="006930E8">
            <w:pPr>
              <w:spacing w:line="240" w:lineRule="auto"/>
            </w:pPr>
            <w:r w:rsidRPr="00423006">
              <w:t>Clients referred through a Voluntary Agreement</w:t>
            </w:r>
            <w:r w:rsidR="005E5567">
              <w:t xml:space="preserve"> for a case plan</w:t>
            </w:r>
            <w:r w:rsidR="00925DD5">
              <w:rPr>
                <w:rStyle w:val="FootnoteReference"/>
              </w:rPr>
              <w:footnoteReference w:id="16"/>
            </w:r>
          </w:p>
        </w:tc>
        <w:tc>
          <w:tcPr>
            <w:tcW w:w="1026" w:type="dxa"/>
            <w:vAlign w:val="center"/>
          </w:tcPr>
          <w:p w14:paraId="26649358" w14:textId="697CAA60" w:rsidR="00925DD5" w:rsidRPr="000C1273" w:rsidRDefault="008B6D8E" w:rsidP="00925DD5">
            <w:pPr>
              <w:spacing w:line="240" w:lineRule="auto"/>
              <w:jc w:val="right"/>
            </w:pPr>
            <w:r>
              <w:t>6</w:t>
            </w:r>
          </w:p>
        </w:tc>
        <w:tc>
          <w:tcPr>
            <w:tcW w:w="875" w:type="dxa"/>
            <w:vAlign w:val="center"/>
          </w:tcPr>
          <w:p w14:paraId="7B755D8C" w14:textId="6EA113B1" w:rsidR="00925DD5" w:rsidRPr="000C1273" w:rsidRDefault="008B6D8E" w:rsidP="00925DD5">
            <w:pPr>
              <w:spacing w:line="240" w:lineRule="auto"/>
              <w:jc w:val="right"/>
            </w:pPr>
            <w:r>
              <w:t>0</w:t>
            </w:r>
          </w:p>
        </w:tc>
        <w:tc>
          <w:tcPr>
            <w:tcW w:w="463" w:type="dxa"/>
          </w:tcPr>
          <w:p w14:paraId="6092C81B" w14:textId="77777777" w:rsidR="00925DD5" w:rsidRDefault="00925DD5" w:rsidP="00925DD5">
            <w:pPr>
              <w:spacing w:line="240" w:lineRule="auto"/>
              <w:jc w:val="right"/>
            </w:pPr>
          </w:p>
        </w:tc>
        <w:tc>
          <w:tcPr>
            <w:tcW w:w="1140" w:type="dxa"/>
            <w:vAlign w:val="center"/>
          </w:tcPr>
          <w:p w14:paraId="7A13A493" w14:textId="40A16DC9" w:rsidR="00925DD5" w:rsidRPr="000C1273" w:rsidRDefault="008B6D8E" w:rsidP="00925DD5">
            <w:pPr>
              <w:spacing w:line="240" w:lineRule="auto"/>
              <w:jc w:val="right"/>
            </w:pPr>
            <w:r>
              <w:t>42</w:t>
            </w:r>
          </w:p>
        </w:tc>
        <w:tc>
          <w:tcPr>
            <w:tcW w:w="1140" w:type="dxa"/>
            <w:vAlign w:val="center"/>
          </w:tcPr>
          <w:p w14:paraId="5E9D8367" w14:textId="0BFD8D37" w:rsidR="00925DD5" w:rsidRPr="000C1273" w:rsidRDefault="008B6D8E" w:rsidP="00925DD5">
            <w:pPr>
              <w:spacing w:line="240" w:lineRule="auto"/>
              <w:jc w:val="right"/>
            </w:pPr>
            <w:r>
              <w:t>0</w:t>
            </w:r>
          </w:p>
        </w:tc>
      </w:tr>
      <w:tr w:rsidR="00D605A2" w14:paraId="323DBB29" w14:textId="77777777" w:rsidTr="00925DD5">
        <w:tc>
          <w:tcPr>
            <w:tcW w:w="5127" w:type="dxa"/>
          </w:tcPr>
          <w:p w14:paraId="2B63FDBC" w14:textId="0B2D08D4" w:rsidR="00D605A2" w:rsidRDefault="00EB1F9E" w:rsidP="006930E8">
            <w:pPr>
              <w:spacing w:line="240" w:lineRule="auto"/>
            </w:pPr>
            <w:r w:rsidRPr="00EB1F9E">
              <w:t>Clients who chose to participate in VIM</w:t>
            </w:r>
            <w:r w:rsidR="00627328">
              <w:rPr>
                <w:rStyle w:val="FootnoteReference"/>
              </w:rPr>
              <w:footnoteReference w:id="17"/>
            </w:r>
          </w:p>
        </w:tc>
        <w:tc>
          <w:tcPr>
            <w:tcW w:w="1026" w:type="dxa"/>
            <w:vAlign w:val="center"/>
          </w:tcPr>
          <w:p w14:paraId="3609E59F" w14:textId="48D67718" w:rsidR="00D605A2" w:rsidRPr="000C1273" w:rsidRDefault="008B6D8E" w:rsidP="00925DD5">
            <w:pPr>
              <w:spacing w:line="240" w:lineRule="auto"/>
              <w:jc w:val="right"/>
              <w:rPr>
                <w:rFonts w:cs="Arial"/>
              </w:rPr>
            </w:pPr>
            <w:r>
              <w:rPr>
                <w:rFonts w:cs="Arial"/>
              </w:rPr>
              <w:t>47</w:t>
            </w:r>
          </w:p>
        </w:tc>
        <w:tc>
          <w:tcPr>
            <w:tcW w:w="875" w:type="dxa"/>
            <w:vAlign w:val="center"/>
          </w:tcPr>
          <w:p w14:paraId="34BAD3D0" w14:textId="2F184634" w:rsidR="00D605A2" w:rsidRPr="000C1273" w:rsidRDefault="008B6D8E" w:rsidP="00925DD5">
            <w:pPr>
              <w:spacing w:line="240" w:lineRule="auto"/>
              <w:jc w:val="right"/>
              <w:rPr>
                <w:rFonts w:cs="Arial"/>
              </w:rPr>
            </w:pPr>
            <w:r>
              <w:rPr>
                <w:rFonts w:cs="Arial"/>
              </w:rPr>
              <w:t>20</w:t>
            </w:r>
          </w:p>
        </w:tc>
        <w:tc>
          <w:tcPr>
            <w:tcW w:w="463" w:type="dxa"/>
          </w:tcPr>
          <w:p w14:paraId="7E5C9E3D" w14:textId="77777777" w:rsidR="00D605A2" w:rsidRDefault="00D605A2" w:rsidP="00925DD5">
            <w:pPr>
              <w:spacing w:line="240" w:lineRule="auto"/>
              <w:jc w:val="right"/>
            </w:pPr>
          </w:p>
        </w:tc>
        <w:tc>
          <w:tcPr>
            <w:tcW w:w="1140" w:type="dxa"/>
            <w:vAlign w:val="center"/>
          </w:tcPr>
          <w:p w14:paraId="422F7588" w14:textId="5EB1D963" w:rsidR="00D605A2" w:rsidRPr="000C1273" w:rsidRDefault="008B6D8E" w:rsidP="00925DD5">
            <w:pPr>
              <w:spacing w:line="240" w:lineRule="auto"/>
              <w:jc w:val="right"/>
              <w:rPr>
                <w:rFonts w:cs="Arial"/>
              </w:rPr>
            </w:pPr>
            <w:r>
              <w:rPr>
                <w:rFonts w:cs="Arial"/>
              </w:rPr>
              <w:t>50</w:t>
            </w:r>
          </w:p>
        </w:tc>
        <w:tc>
          <w:tcPr>
            <w:tcW w:w="1140" w:type="dxa"/>
            <w:vAlign w:val="center"/>
          </w:tcPr>
          <w:p w14:paraId="31BCC77C" w14:textId="1E93BE6F" w:rsidR="00D605A2" w:rsidRPr="000C1273" w:rsidRDefault="008B6D8E" w:rsidP="00925DD5">
            <w:pPr>
              <w:spacing w:line="240" w:lineRule="auto"/>
              <w:jc w:val="right"/>
              <w:rPr>
                <w:rFonts w:cs="Arial"/>
              </w:rPr>
            </w:pPr>
            <w:r>
              <w:rPr>
                <w:rFonts w:cs="Arial"/>
              </w:rPr>
              <w:t>52</w:t>
            </w:r>
          </w:p>
        </w:tc>
      </w:tr>
      <w:tr w:rsidR="00423006" w14:paraId="444AB815" w14:textId="77777777" w:rsidTr="00925DD5">
        <w:tc>
          <w:tcPr>
            <w:tcW w:w="5127" w:type="dxa"/>
          </w:tcPr>
          <w:p w14:paraId="018D049C" w14:textId="2D915E58" w:rsidR="00423006" w:rsidRPr="00423006" w:rsidRDefault="00423006" w:rsidP="006930E8">
            <w:pPr>
              <w:spacing w:line="240" w:lineRule="auto"/>
            </w:pPr>
            <w:r w:rsidRPr="00423006">
              <w:t>Clients who submitted an amend/end application</w:t>
            </w:r>
            <w:r w:rsidR="004C7880">
              <w:rPr>
                <w:rStyle w:val="FootnoteReference"/>
              </w:rPr>
              <w:footnoteReference w:id="18"/>
            </w:r>
          </w:p>
        </w:tc>
        <w:tc>
          <w:tcPr>
            <w:tcW w:w="1026" w:type="dxa"/>
            <w:vAlign w:val="center"/>
          </w:tcPr>
          <w:p w14:paraId="19F68514" w14:textId="5149F6A1" w:rsidR="00423006" w:rsidRPr="000C1273" w:rsidRDefault="008B6D8E" w:rsidP="00925DD5">
            <w:pPr>
              <w:spacing w:line="240" w:lineRule="auto"/>
              <w:jc w:val="right"/>
              <w:rPr>
                <w:rFonts w:cs="Arial"/>
              </w:rPr>
            </w:pPr>
            <w:r>
              <w:rPr>
                <w:rFonts w:cs="Arial"/>
              </w:rPr>
              <w:t>2</w:t>
            </w:r>
          </w:p>
        </w:tc>
        <w:tc>
          <w:tcPr>
            <w:tcW w:w="875" w:type="dxa"/>
            <w:vAlign w:val="center"/>
          </w:tcPr>
          <w:p w14:paraId="215C10C8" w14:textId="1D87721B" w:rsidR="00423006" w:rsidRPr="000C1273" w:rsidRDefault="008B6D8E" w:rsidP="00925DD5">
            <w:pPr>
              <w:spacing w:line="240" w:lineRule="auto"/>
              <w:jc w:val="right"/>
              <w:rPr>
                <w:rFonts w:cs="Arial"/>
              </w:rPr>
            </w:pPr>
            <w:r>
              <w:rPr>
                <w:rFonts w:cs="Arial"/>
              </w:rPr>
              <w:t>1</w:t>
            </w:r>
          </w:p>
        </w:tc>
        <w:tc>
          <w:tcPr>
            <w:tcW w:w="463" w:type="dxa"/>
          </w:tcPr>
          <w:p w14:paraId="63FC96B1" w14:textId="77777777" w:rsidR="00423006" w:rsidRDefault="00423006" w:rsidP="00925DD5">
            <w:pPr>
              <w:spacing w:line="240" w:lineRule="auto"/>
              <w:jc w:val="right"/>
            </w:pPr>
          </w:p>
        </w:tc>
        <w:tc>
          <w:tcPr>
            <w:tcW w:w="1140" w:type="dxa"/>
            <w:vAlign w:val="center"/>
          </w:tcPr>
          <w:p w14:paraId="6C2DF82D" w14:textId="265E7D28" w:rsidR="00423006" w:rsidRPr="000C1273" w:rsidRDefault="008B6D8E" w:rsidP="00925DD5">
            <w:pPr>
              <w:spacing w:line="240" w:lineRule="auto"/>
              <w:jc w:val="right"/>
              <w:rPr>
                <w:rFonts w:cs="Arial"/>
              </w:rPr>
            </w:pPr>
            <w:r>
              <w:rPr>
                <w:rFonts w:cs="Arial"/>
              </w:rPr>
              <w:t>48</w:t>
            </w:r>
          </w:p>
        </w:tc>
        <w:tc>
          <w:tcPr>
            <w:tcW w:w="1140" w:type="dxa"/>
            <w:vAlign w:val="center"/>
          </w:tcPr>
          <w:p w14:paraId="3A96BFD9" w14:textId="5E917851" w:rsidR="00423006" w:rsidRPr="000C1273" w:rsidRDefault="008B6D8E" w:rsidP="00925DD5">
            <w:pPr>
              <w:spacing w:line="240" w:lineRule="auto"/>
              <w:jc w:val="right"/>
              <w:rPr>
                <w:rFonts w:cs="Arial"/>
              </w:rPr>
            </w:pPr>
            <w:r>
              <w:rPr>
                <w:rFonts w:cs="Arial"/>
              </w:rPr>
              <w:t>31</w:t>
            </w:r>
          </w:p>
        </w:tc>
      </w:tr>
    </w:tbl>
    <w:p w14:paraId="620932BA" w14:textId="77777777" w:rsidR="000A10F8" w:rsidRDefault="000A10F8" w:rsidP="00D51DFA">
      <w:pPr>
        <w:pStyle w:val="Heading2"/>
      </w:pPr>
    </w:p>
    <w:p w14:paraId="1585C490" w14:textId="77777777" w:rsidR="000A10F8" w:rsidRDefault="000A10F8">
      <w:pPr>
        <w:spacing w:line="240" w:lineRule="auto"/>
        <w:rPr>
          <w:rFonts w:cs="Arial"/>
          <w:b/>
          <w:spacing w:val="-4"/>
          <w:kern w:val="28"/>
        </w:rPr>
      </w:pPr>
      <w:r>
        <w:br w:type="page"/>
      </w:r>
    </w:p>
    <w:p w14:paraId="0EE0119D" w14:textId="15EBE390" w:rsidR="00F500CF" w:rsidRPr="00F500CF" w:rsidRDefault="00F500CF" w:rsidP="00D51DFA">
      <w:pPr>
        <w:pStyle w:val="Heading2"/>
      </w:pPr>
      <w:r w:rsidRPr="00F500CF">
        <w:lastRenderedPageBreak/>
        <w:t>Estimated resident populations:</w:t>
      </w:r>
    </w:p>
    <w:p w14:paraId="45106CC2" w14:textId="77777777" w:rsidR="00F500CF" w:rsidRDefault="00F500CF" w:rsidP="00EC14C1">
      <w:pPr>
        <w:spacing w:line="240" w:lineRule="auto"/>
        <w:ind w:left="-142" w:right="-425"/>
        <w:jc w:val="both"/>
      </w:pPr>
    </w:p>
    <w:p w14:paraId="22291536" w14:textId="16A26C06"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3C04FA">
        <w:t>50</w:t>
      </w:r>
      <w:r w:rsidR="00F500CF" w:rsidRPr="008E7494">
        <w:t xml:space="preserve"> people as </w:t>
      </w:r>
      <w:proofErr w:type="gramStart"/>
      <w:r w:rsidR="00F500CF" w:rsidRPr="008E7494">
        <w:t>at</w:t>
      </w:r>
      <w:proofErr w:type="gramEnd"/>
      <w:r w:rsidR="00F500CF" w:rsidRPr="008E7494">
        <w:t xml:space="preserve"> 30 June </w:t>
      </w:r>
      <w:bookmarkStart w:id="19" w:name="_Ref362343764"/>
      <w:bookmarkStart w:id="20" w:name="_Ref459716764"/>
      <w:r w:rsidR="00F500CF" w:rsidRPr="008E7494">
        <w:t>201</w:t>
      </w:r>
      <w:r w:rsidR="003C04FA">
        <w:t>9</w:t>
      </w:r>
      <w:bookmarkStart w:id="21" w:name="_Ref64367928"/>
      <w:r w:rsidR="00F500CF" w:rsidRPr="00F500CF">
        <w:rPr>
          <w:vertAlign w:val="superscript"/>
        </w:rPr>
        <w:footnoteReference w:id="19"/>
      </w:r>
      <w:bookmarkEnd w:id="19"/>
      <w:bookmarkEnd w:id="20"/>
      <w:bookmarkEnd w:id="21"/>
      <w:r w:rsidR="00F500CF" w:rsidRPr="00F500CF">
        <w:rPr>
          <w:vertAlign w:val="superscript"/>
        </w:rPr>
        <w:t>,</w:t>
      </w:r>
      <w:bookmarkStart w:id="22" w:name="_Ref459716829"/>
      <w:r w:rsidR="00F500CF" w:rsidRPr="00F500CF">
        <w:rPr>
          <w:vertAlign w:val="superscript"/>
        </w:rPr>
        <w:footnoteReference w:id="20"/>
      </w:r>
      <w:bookmarkEnd w:id="22"/>
      <w:r w:rsidR="00F500CF" w:rsidRPr="008E7494">
        <w:t>.</w:t>
      </w:r>
    </w:p>
    <w:p w14:paraId="1D1F7E14" w14:textId="77777777" w:rsidR="00F500CF" w:rsidRDefault="00F500CF" w:rsidP="00EC14C1">
      <w:pPr>
        <w:spacing w:line="240" w:lineRule="auto"/>
        <w:ind w:left="-142" w:right="-425"/>
        <w:jc w:val="both"/>
      </w:pPr>
    </w:p>
    <w:p w14:paraId="5C34875A" w14:textId="2E51D203"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3" w:name="_Ref459717187"/>
      <w:r w:rsidR="00F500CF">
        <w:t>2</w:t>
      </w:r>
      <w:r w:rsidR="003C04FA">
        <w:t>60</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3D357C">
        <w:rPr>
          <w:vertAlign w:val="superscript"/>
        </w:rPr>
        <w:fldChar w:fldCharType="begin"/>
      </w:r>
      <w:r w:rsidR="003D357C">
        <w:instrText xml:space="preserve"> NOTEREF _Ref64367928 \h </w:instrText>
      </w:r>
      <w:r w:rsidR="003D357C">
        <w:rPr>
          <w:vertAlign w:val="superscript"/>
        </w:rPr>
      </w:r>
      <w:r w:rsidR="003D357C">
        <w:rPr>
          <w:vertAlign w:val="superscript"/>
        </w:rPr>
        <w:fldChar w:fldCharType="separate"/>
      </w:r>
      <w:r w:rsidR="003D357C">
        <w:t>18</w:t>
      </w:r>
      <w:r w:rsidR="003D357C">
        <w:rPr>
          <w:vertAlign w:val="superscript"/>
        </w:rPr>
        <w:fldChar w:fldCharType="end"/>
      </w:r>
      <w:r w:rsidR="00EF15F5">
        <w:rPr>
          <w:vertAlign w:val="superscript"/>
        </w:rPr>
        <w:fldChar w:fldCharType="begin"/>
      </w:r>
      <w:r w:rsidR="00EF15F5">
        <w:rPr>
          <w:vertAlign w:val="superscript"/>
        </w:rPr>
        <w:instrText xml:space="preserve"> NOTEREF _Ref64367928 \h </w:instrText>
      </w:r>
      <w:r w:rsidR="00EF15F5">
        <w:rPr>
          <w:vertAlign w:val="superscript"/>
        </w:rPr>
      </w:r>
      <w:r w:rsidR="00EF15F5">
        <w:rPr>
          <w:vertAlign w:val="superscript"/>
        </w:rPr>
        <w:fldChar w:fldCharType="separate"/>
      </w:r>
      <w:r w:rsidR="00EF15F5">
        <w:rPr>
          <w:vertAlign w:val="superscript"/>
        </w:rPr>
        <w:t>19</w:t>
      </w:r>
      <w:r w:rsidR="00EF15F5">
        <w:rPr>
          <w:vertAlign w:val="superscript"/>
        </w:rPr>
        <w:fldChar w:fldCharType="end"/>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end"/>
      </w:r>
      <w:r w:rsidR="00F500CF" w:rsidRPr="00F500CF">
        <w:rPr>
          <w:vertAlign w:val="superscript"/>
        </w:rPr>
        <w:t>,</w:t>
      </w:r>
      <w:bookmarkStart w:id="24" w:name="_Ref74754871"/>
      <w:r w:rsidR="00F500CF" w:rsidRPr="00F500CF">
        <w:rPr>
          <w:vertAlign w:val="superscript"/>
        </w:rPr>
        <w:footnoteReference w:id="21"/>
      </w:r>
      <w:bookmarkEnd w:id="23"/>
      <w:bookmarkEnd w:id="24"/>
      <w:r w:rsidR="00F500CF" w:rsidRPr="008E7494">
        <w:t>.</w:t>
      </w:r>
    </w:p>
    <w:p w14:paraId="6639697A" w14:textId="77777777" w:rsidR="00F500CF" w:rsidRDefault="00F500CF" w:rsidP="00EC14C1">
      <w:pPr>
        <w:spacing w:line="240" w:lineRule="auto"/>
        <w:ind w:left="-142" w:right="-425"/>
        <w:jc w:val="both"/>
      </w:pPr>
    </w:p>
    <w:p w14:paraId="439048BC" w14:textId="39E8A4DF"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w:t>
      </w:r>
      <w:r w:rsidR="003C04FA">
        <w:t>9</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3D357C">
        <w:rPr>
          <w:vertAlign w:val="superscript"/>
        </w:rPr>
        <w:fldChar w:fldCharType="begin"/>
      </w:r>
      <w:r w:rsidR="003D357C">
        <w:rPr>
          <w:vertAlign w:val="superscript"/>
        </w:rPr>
        <w:instrText xml:space="preserve"> NOTEREF _Ref459716829 \h </w:instrText>
      </w:r>
      <w:r w:rsidR="003D357C">
        <w:rPr>
          <w:vertAlign w:val="superscript"/>
        </w:rPr>
      </w:r>
      <w:r w:rsidR="003D357C">
        <w:rPr>
          <w:vertAlign w:val="superscript"/>
        </w:rPr>
        <w:fldChar w:fldCharType="separate"/>
      </w:r>
      <w:r w:rsidR="003D357C">
        <w:rPr>
          <w:vertAlign w:val="superscript"/>
        </w:rPr>
        <w:t>19</w:t>
      </w:r>
      <w:r w:rsidR="003D357C">
        <w:rPr>
          <w:vertAlign w:val="superscript"/>
        </w:rPr>
        <w:fldChar w:fldCharType="end"/>
      </w:r>
      <w:r w:rsidR="00EF15F5">
        <w:rPr>
          <w:vertAlign w:val="superscript"/>
        </w:rPr>
        <w:t>,</w:t>
      </w:r>
      <w:r w:rsidR="00EF15F5">
        <w:rPr>
          <w:vertAlign w:val="superscript"/>
        </w:rPr>
        <w:fldChar w:fldCharType="begin"/>
      </w:r>
      <w:r w:rsidR="00EF15F5">
        <w:rPr>
          <w:vertAlign w:val="superscript"/>
        </w:rPr>
        <w:instrText xml:space="preserve"> NOTEREF _Ref459716829 \h </w:instrText>
      </w:r>
      <w:r w:rsidR="00EF15F5">
        <w:rPr>
          <w:vertAlign w:val="superscript"/>
        </w:rPr>
      </w:r>
      <w:r w:rsidR="00EF15F5">
        <w:rPr>
          <w:vertAlign w:val="superscript"/>
        </w:rPr>
        <w:fldChar w:fldCharType="separate"/>
      </w:r>
      <w:r w:rsidR="00EF15F5">
        <w:rPr>
          <w:vertAlign w:val="superscript"/>
        </w:rPr>
        <w:t>20</w:t>
      </w:r>
      <w:r w:rsidR="00EF15F5">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346E062E"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3C04FA">
        <w:t>35</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EF15F5">
        <w:rPr>
          <w:vertAlign w:val="superscript"/>
        </w:rPr>
        <w:fldChar w:fldCharType="begin"/>
      </w:r>
      <w:r w:rsidR="00EF15F5">
        <w:rPr>
          <w:vertAlign w:val="superscript"/>
        </w:rPr>
        <w:instrText xml:space="preserve"> NOTEREF _Ref459716829 \h </w:instrText>
      </w:r>
      <w:r w:rsidR="00EF15F5">
        <w:rPr>
          <w:vertAlign w:val="superscript"/>
        </w:rPr>
      </w:r>
      <w:r w:rsidR="00EF15F5">
        <w:rPr>
          <w:vertAlign w:val="superscript"/>
        </w:rPr>
        <w:fldChar w:fldCharType="separate"/>
      </w:r>
      <w:r w:rsidR="00EF15F5">
        <w:rPr>
          <w:vertAlign w:val="superscript"/>
        </w:rPr>
        <w:t>19</w:t>
      </w:r>
      <w:r w:rsidR="00EF15F5">
        <w:rPr>
          <w:vertAlign w:val="superscript"/>
        </w:rPr>
        <w:fldChar w:fldCharType="end"/>
      </w:r>
      <w:r w:rsidR="00EF15F5">
        <w:rPr>
          <w:vertAlign w:val="superscript"/>
        </w:rPr>
        <w:t>,</w:t>
      </w:r>
      <w:r w:rsidR="00EF15F5">
        <w:rPr>
          <w:vertAlign w:val="superscript"/>
        </w:rPr>
        <w:fldChar w:fldCharType="begin"/>
      </w:r>
      <w:r w:rsidR="00EF15F5">
        <w:rPr>
          <w:vertAlign w:val="superscript"/>
        </w:rPr>
        <w:instrText xml:space="preserve"> NOTEREF _Ref459716829 \h </w:instrText>
      </w:r>
      <w:r w:rsidR="00EF15F5">
        <w:rPr>
          <w:vertAlign w:val="superscript"/>
        </w:rPr>
      </w:r>
      <w:r w:rsidR="00EF15F5">
        <w:rPr>
          <w:vertAlign w:val="superscript"/>
        </w:rPr>
        <w:fldChar w:fldCharType="separate"/>
      </w:r>
      <w:r w:rsidR="00EF15F5">
        <w:rPr>
          <w:vertAlign w:val="superscript"/>
        </w:rPr>
        <w:t>20</w:t>
      </w:r>
      <w:r w:rsidR="00EF15F5">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06FE0DCB"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EF15F5" w:rsidRPr="00EF15F5">
        <w:rPr>
          <w:vertAlign w:val="superscript"/>
        </w:rPr>
        <w:fldChar w:fldCharType="begin"/>
      </w:r>
      <w:r w:rsidR="00EF15F5" w:rsidRPr="00EF15F5">
        <w:rPr>
          <w:vertAlign w:val="superscript"/>
        </w:rPr>
        <w:instrText xml:space="preserve"> NOTEREF _Ref64367928 \h  \* MERGEFORMAT </w:instrText>
      </w:r>
      <w:r w:rsidR="00EF15F5" w:rsidRPr="00EF15F5">
        <w:rPr>
          <w:vertAlign w:val="superscript"/>
        </w:rPr>
      </w:r>
      <w:r w:rsidR="00EF15F5" w:rsidRPr="00EF15F5">
        <w:rPr>
          <w:vertAlign w:val="superscript"/>
        </w:rPr>
        <w:fldChar w:fldCharType="separate"/>
      </w:r>
      <w:r w:rsidR="00EF15F5" w:rsidRPr="00EF15F5">
        <w:rPr>
          <w:vertAlign w:val="superscript"/>
        </w:rPr>
        <w:t>19</w:t>
      </w:r>
      <w:r w:rsidR="00EF15F5" w:rsidRPr="00EF15F5">
        <w:rPr>
          <w:vertAlign w:val="superscript"/>
        </w:rPr>
        <w:fldChar w:fldCharType="end"/>
      </w:r>
      <w:r w:rsidR="002D3AC0">
        <w:rPr>
          <w:vertAlign w:val="superscript"/>
        </w:rPr>
        <w:t>,</w:t>
      </w:r>
      <w:r w:rsidR="00F500CF" w:rsidRPr="00F500CF">
        <w:rPr>
          <w:vertAlign w:val="superscript"/>
        </w:rPr>
        <w:footnoteReference w:id="22"/>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59EC391E" w:rsidR="005A5B78" w:rsidRPr="00E34093" w:rsidRDefault="005A5B78" w:rsidP="005A5B78">
      <w:pPr>
        <w:pStyle w:val="Heading1"/>
        <w:ind w:left="-142" w:right="-426"/>
      </w:pPr>
      <w:bookmarkStart w:id="25" w:name="_Toc39657992"/>
      <w:r w:rsidRPr="00E34093">
        <w:lastRenderedPageBreak/>
        <w:t>2.  Future Direction</w:t>
      </w:r>
      <w:bookmarkEnd w:id="15"/>
      <w:bookmarkEnd w:id="16"/>
      <w:bookmarkEnd w:id="17"/>
      <w:bookmarkEnd w:id="18"/>
      <w:r w:rsidRPr="00E34093">
        <w:t xml:space="preserve"> and Challenges</w:t>
      </w:r>
      <w:bookmarkEnd w:id="25"/>
    </w:p>
    <w:p w14:paraId="66A68EAB" w14:textId="1D2F2EAE" w:rsidR="005A5B78" w:rsidRDefault="005A5B78" w:rsidP="005A5B78">
      <w:pPr>
        <w:ind w:left="-142" w:right="-425"/>
        <w:jc w:val="both"/>
        <w:rPr>
          <w:rFonts w:cs="Arial"/>
          <w:b/>
          <w:sz w:val="16"/>
          <w:szCs w:val="16"/>
        </w:rPr>
      </w:pPr>
    </w:p>
    <w:p w14:paraId="361E9AF5" w14:textId="77777777" w:rsidR="000D0A4E" w:rsidRDefault="000D0A4E" w:rsidP="005A5B78">
      <w:pPr>
        <w:ind w:left="-142" w:right="-425"/>
        <w:jc w:val="both"/>
        <w:rPr>
          <w:rFonts w:cs="Arial"/>
          <w:b/>
          <w:sz w:val="16"/>
          <w:szCs w:val="16"/>
        </w:rPr>
      </w:pPr>
    </w:p>
    <w:p w14:paraId="5DBD6CFF" w14:textId="77777777" w:rsidR="007A613D" w:rsidRPr="007A613D" w:rsidRDefault="007A613D" w:rsidP="007A613D">
      <w:pPr>
        <w:ind w:left="-142" w:right="-425"/>
        <w:jc w:val="both"/>
        <w:rPr>
          <w:rFonts w:cs="Arial"/>
          <w:b/>
          <w:bCs/>
        </w:rPr>
      </w:pPr>
      <w:r w:rsidRPr="007A613D">
        <w:rPr>
          <w:rFonts w:cs="Arial"/>
          <w:b/>
          <w:bCs/>
        </w:rPr>
        <w:t>Local Commissioner appointments</w:t>
      </w:r>
    </w:p>
    <w:p w14:paraId="470B6CFF" w14:textId="196F7133" w:rsidR="007A613D" w:rsidRPr="007A613D" w:rsidRDefault="007A613D" w:rsidP="007A613D">
      <w:pPr>
        <w:ind w:left="-142" w:right="-425"/>
        <w:jc w:val="both"/>
        <w:rPr>
          <w:rFonts w:cs="Arial"/>
        </w:rPr>
      </w:pPr>
      <w:r w:rsidRPr="007A613D">
        <w:rPr>
          <w:rFonts w:cs="Arial"/>
        </w:rPr>
        <w:t xml:space="preserve">In May 2021 the Commission sought approval from DSDSATSIP for the appointment of new Local Commissioners for </w:t>
      </w:r>
      <w:r w:rsidR="00E70A3D">
        <w:rPr>
          <w:rFonts w:cs="Arial"/>
        </w:rPr>
        <w:t xml:space="preserve">the </w:t>
      </w:r>
      <w:r w:rsidRPr="007A613D">
        <w:rPr>
          <w:rFonts w:cs="Arial"/>
        </w:rPr>
        <w:t>communit</w:t>
      </w:r>
      <w:r w:rsidR="00E70A3D">
        <w:rPr>
          <w:rFonts w:cs="Arial"/>
        </w:rPr>
        <w:t>ies of Aurukun, Doomadgee, Hope Vale and Mossman Gorge</w:t>
      </w:r>
      <w:r w:rsidRPr="007A613D">
        <w:rPr>
          <w:rFonts w:cs="Arial"/>
        </w:rPr>
        <w:t>. Twelve new Local Commissioner applications were forwarded for consideration to mitigate natural attrition and to target more appropriate gender and age diversity.</w:t>
      </w:r>
    </w:p>
    <w:p w14:paraId="03E8D893" w14:textId="77777777" w:rsidR="007A613D" w:rsidRDefault="007A613D" w:rsidP="007A613D">
      <w:pPr>
        <w:ind w:left="-142" w:right="-425"/>
        <w:jc w:val="both"/>
        <w:rPr>
          <w:rFonts w:cs="Arial"/>
        </w:rPr>
      </w:pPr>
    </w:p>
    <w:p w14:paraId="1C613DDE" w14:textId="282A9026" w:rsidR="007A613D" w:rsidRPr="007A613D" w:rsidRDefault="007A613D" w:rsidP="007A613D">
      <w:pPr>
        <w:ind w:left="-142" w:right="-425"/>
        <w:jc w:val="both"/>
        <w:rPr>
          <w:rFonts w:cs="Arial"/>
        </w:rPr>
      </w:pPr>
      <w:r w:rsidRPr="007A613D">
        <w:rPr>
          <w:rFonts w:cs="Arial"/>
        </w:rPr>
        <w:t>Section 50A of the FRC Act allows for a conference to be constituted by three Local Commissioners.</w:t>
      </w:r>
    </w:p>
    <w:p w14:paraId="41A5DCE8" w14:textId="77777777" w:rsidR="007A613D" w:rsidRDefault="007A613D" w:rsidP="007A613D">
      <w:pPr>
        <w:ind w:left="-142" w:right="-425"/>
        <w:jc w:val="both"/>
        <w:rPr>
          <w:rFonts w:cs="Arial"/>
        </w:rPr>
      </w:pPr>
    </w:p>
    <w:p w14:paraId="598F2F36" w14:textId="16C93FEB" w:rsidR="007A613D" w:rsidRPr="00976594" w:rsidRDefault="007A613D" w:rsidP="00A9191E">
      <w:pPr>
        <w:ind w:left="284" w:right="-425"/>
        <w:jc w:val="both"/>
        <w:rPr>
          <w:rFonts w:cs="Arial"/>
          <w:i/>
          <w:iCs/>
        </w:rPr>
      </w:pPr>
      <w:r w:rsidRPr="00976594">
        <w:rPr>
          <w:rFonts w:cs="Arial"/>
          <w:i/>
          <w:iCs/>
        </w:rPr>
        <w:t xml:space="preserve">“Constitution of Commission for particular conference </w:t>
      </w:r>
    </w:p>
    <w:p w14:paraId="312C8547" w14:textId="77777777" w:rsidR="007A613D" w:rsidRPr="00976594" w:rsidRDefault="007A613D" w:rsidP="007A613D">
      <w:pPr>
        <w:ind w:left="-142" w:right="-425"/>
        <w:jc w:val="both"/>
        <w:rPr>
          <w:rFonts w:cs="Arial"/>
          <w:i/>
          <w:iCs/>
        </w:rPr>
      </w:pPr>
    </w:p>
    <w:p w14:paraId="651301FB" w14:textId="13189583" w:rsidR="007A613D" w:rsidRPr="00976594" w:rsidRDefault="007A613D" w:rsidP="007A613D">
      <w:pPr>
        <w:ind w:left="284" w:right="567"/>
        <w:jc w:val="both"/>
        <w:rPr>
          <w:rFonts w:cs="Arial"/>
          <w:i/>
          <w:iCs/>
        </w:rPr>
      </w:pPr>
      <w:r w:rsidRPr="00976594">
        <w:rPr>
          <w:rFonts w:cs="Arial"/>
          <w:i/>
          <w:iCs/>
        </w:rPr>
        <w:t xml:space="preserve">If the Commissioner considers it appropriate in the circumstances, the Commissioner may, for a particular conference, direct the Commission to be constituted by 3 Local Commissioners appointed for the welfare reform community area in which the Commissioner considers the person the subject of the conference lives or lived.” </w:t>
      </w:r>
    </w:p>
    <w:p w14:paraId="2A9AD093" w14:textId="77777777" w:rsidR="007A613D" w:rsidRDefault="007A613D" w:rsidP="007A613D">
      <w:pPr>
        <w:ind w:left="-142" w:right="-425"/>
        <w:jc w:val="both"/>
        <w:rPr>
          <w:rFonts w:cs="Arial"/>
        </w:rPr>
      </w:pPr>
    </w:p>
    <w:p w14:paraId="253FF272" w14:textId="5EEC4EE0" w:rsidR="007A613D" w:rsidRPr="007A613D" w:rsidRDefault="007A613D" w:rsidP="007A613D">
      <w:pPr>
        <w:ind w:left="-142" w:right="-425"/>
        <w:jc w:val="both"/>
        <w:rPr>
          <w:rFonts w:cs="Arial"/>
        </w:rPr>
      </w:pPr>
      <w:r w:rsidRPr="007A613D">
        <w:rPr>
          <w:rFonts w:cs="Arial"/>
        </w:rPr>
        <w:t xml:space="preserve">This is a particularly crucial section of the FRC Act which allows for Indigenous authority to be exercised </w:t>
      </w:r>
      <w:proofErr w:type="gramStart"/>
      <w:r w:rsidRPr="007A613D">
        <w:rPr>
          <w:rFonts w:cs="Arial"/>
        </w:rPr>
        <w:t>in order to</w:t>
      </w:r>
      <w:proofErr w:type="gramEnd"/>
      <w:r w:rsidRPr="007A613D">
        <w:rPr>
          <w:rFonts w:cs="Arial"/>
        </w:rPr>
        <w:t xml:space="preserve"> meet one of the FRC Act’s main objects </w:t>
      </w:r>
      <w:r w:rsidRPr="00976594">
        <w:rPr>
          <w:rFonts w:cs="Arial"/>
          <w:i/>
          <w:iCs/>
        </w:rPr>
        <w:t xml:space="preserve">– “…to support the restoration of socially responsible standards of behaviour and </w:t>
      </w:r>
      <w:r w:rsidRPr="00976594">
        <w:rPr>
          <w:rFonts w:cs="Arial"/>
          <w:b/>
          <w:bCs/>
          <w:i/>
          <w:iCs/>
        </w:rPr>
        <w:t>local authority</w:t>
      </w:r>
      <w:r w:rsidRPr="00976594">
        <w:rPr>
          <w:rFonts w:cs="Arial"/>
          <w:i/>
          <w:iCs/>
        </w:rPr>
        <w:t xml:space="preserve"> in welfare reform community areas…”</w:t>
      </w:r>
    </w:p>
    <w:p w14:paraId="6E7986A7" w14:textId="77777777" w:rsidR="00976594" w:rsidRDefault="00976594" w:rsidP="007A613D">
      <w:pPr>
        <w:ind w:left="-142" w:right="-425"/>
        <w:jc w:val="both"/>
        <w:rPr>
          <w:rFonts w:cs="Arial"/>
        </w:rPr>
      </w:pPr>
    </w:p>
    <w:p w14:paraId="2144C759" w14:textId="5D430090" w:rsidR="007A613D" w:rsidRPr="007A613D" w:rsidRDefault="007A613D" w:rsidP="007A613D">
      <w:pPr>
        <w:ind w:left="-142" w:right="-425"/>
        <w:jc w:val="both"/>
        <w:rPr>
          <w:rFonts w:cs="Arial"/>
        </w:rPr>
      </w:pPr>
      <w:r w:rsidRPr="007A613D">
        <w:rPr>
          <w:rFonts w:cs="Arial"/>
        </w:rPr>
        <w:t>The Commission experiences difficulties on frequent occasions, particularly with Mossman Gorge and Coen, in securing the attendance of three Local Commissioners to meet the requirements of holding s50A conferences. The following information was provided to DSDSATSIP for consideration.</w:t>
      </w:r>
    </w:p>
    <w:p w14:paraId="52770479" w14:textId="77777777" w:rsidR="00976594" w:rsidRDefault="00976594" w:rsidP="007A613D">
      <w:pPr>
        <w:ind w:left="-142" w:right="-425"/>
        <w:jc w:val="both"/>
        <w:rPr>
          <w:rFonts w:cs="Arial"/>
        </w:rPr>
      </w:pPr>
    </w:p>
    <w:p w14:paraId="66A06331" w14:textId="2B2FEDD4" w:rsidR="007A613D" w:rsidRPr="00976594"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976594">
        <w:rPr>
          <w:rFonts w:ascii="Verdana" w:hAnsi="Verdana" w:cs="Arial"/>
          <w:sz w:val="20"/>
          <w:szCs w:val="20"/>
        </w:rPr>
        <w:t xml:space="preserve">The Commission advised that one of the Mossman Gorge Local Commissioners was not seeking reappointment, leaving only two Local Commissioners appointed for the community to conduct conferences. This situation </w:t>
      </w:r>
      <w:r w:rsidR="00240EE3">
        <w:rPr>
          <w:rFonts w:ascii="Verdana" w:hAnsi="Verdana" w:cs="Arial"/>
          <w:sz w:val="20"/>
          <w:szCs w:val="20"/>
        </w:rPr>
        <w:t>will</w:t>
      </w:r>
      <w:r w:rsidR="00240EE3" w:rsidRPr="00976594">
        <w:rPr>
          <w:rFonts w:ascii="Verdana" w:hAnsi="Verdana" w:cs="Arial"/>
          <w:sz w:val="20"/>
          <w:szCs w:val="20"/>
        </w:rPr>
        <w:t xml:space="preserve"> </w:t>
      </w:r>
      <w:r w:rsidRPr="00976594">
        <w:rPr>
          <w:rFonts w:ascii="Verdana" w:hAnsi="Verdana" w:cs="Arial"/>
          <w:sz w:val="20"/>
          <w:szCs w:val="20"/>
        </w:rPr>
        <w:t>necessitate the assistance of Commissioner Williams or Deputy Commissioner Curtin to sit in conference with the Mossman Gorge Commissioners on every occasion. Conferences under s50A are unable to be held in Mossman Gorge.</w:t>
      </w:r>
    </w:p>
    <w:p w14:paraId="320A420B" w14:textId="77777777"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Of the current Local Commissioners most have work obligations which affect their availability to sit in conference. Of those Local Commissioners who are employed in their communities, many have fulltime responsibilities and must request leave from their employer to attend conference. Several have work commitments that take them out of community on frequent occasions which can make them difficult to contact.</w:t>
      </w:r>
    </w:p>
    <w:p w14:paraId="4E946168" w14:textId="7F1835E4"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Although only three Local Commissioners are required to sit in conference</w:t>
      </w:r>
      <w:r w:rsidR="00141140">
        <w:rPr>
          <w:rFonts w:ascii="Verdana" w:hAnsi="Verdana" w:cs="Arial"/>
          <w:sz w:val="20"/>
          <w:szCs w:val="20"/>
        </w:rPr>
        <w:t xml:space="preserve"> under s50A</w:t>
      </w:r>
      <w:r w:rsidRPr="00A9191E">
        <w:rPr>
          <w:rFonts w:ascii="Verdana" w:hAnsi="Verdana" w:cs="Arial"/>
          <w:sz w:val="20"/>
          <w:szCs w:val="20"/>
        </w:rPr>
        <w:t xml:space="preserve">, in larger communities it is necessary that different clans are represented in those Commissioners present, therefore it is necessary on many occasions to have a pool of Commissioners available for conferencing. </w:t>
      </w:r>
    </w:p>
    <w:p w14:paraId="2D69C293" w14:textId="72324FF0"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 xml:space="preserve">Gender diversity is an important element in conferencing as cultural protocols </w:t>
      </w:r>
      <w:r w:rsidR="001E5527">
        <w:rPr>
          <w:rFonts w:ascii="Verdana" w:hAnsi="Verdana" w:cs="Arial"/>
          <w:sz w:val="20"/>
          <w:szCs w:val="20"/>
        </w:rPr>
        <w:t xml:space="preserve">can </w:t>
      </w:r>
      <w:r w:rsidRPr="00A9191E">
        <w:rPr>
          <w:rFonts w:ascii="Verdana" w:hAnsi="Verdana" w:cs="Arial"/>
          <w:sz w:val="20"/>
          <w:szCs w:val="20"/>
        </w:rPr>
        <w:t xml:space="preserve">require that women and men interact in particular ways in particular circumstances. Of the 26 </w:t>
      </w:r>
      <w:r w:rsidR="00141140">
        <w:rPr>
          <w:rFonts w:ascii="Verdana" w:hAnsi="Verdana" w:cs="Arial"/>
          <w:sz w:val="20"/>
          <w:szCs w:val="20"/>
        </w:rPr>
        <w:t xml:space="preserve">Local </w:t>
      </w:r>
      <w:r w:rsidRPr="00A9191E">
        <w:rPr>
          <w:rFonts w:ascii="Verdana" w:hAnsi="Verdana" w:cs="Arial"/>
          <w:sz w:val="20"/>
          <w:szCs w:val="20"/>
        </w:rPr>
        <w:t>Commissioners appointed from 1 July 2021, 20 are female and only 6 are male.</w:t>
      </w:r>
    </w:p>
    <w:p w14:paraId="4D5A5B8A" w14:textId="12C44EE0"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 xml:space="preserve">Age diversity for Local Commissioners is lacking in most communities and it would be beneficial to have younger </w:t>
      </w:r>
      <w:r w:rsidR="00141140">
        <w:rPr>
          <w:rFonts w:ascii="Verdana" w:hAnsi="Verdana" w:cs="Arial"/>
          <w:sz w:val="20"/>
          <w:szCs w:val="20"/>
        </w:rPr>
        <w:t xml:space="preserve">Local </w:t>
      </w:r>
      <w:r w:rsidRPr="00A9191E">
        <w:rPr>
          <w:rFonts w:ascii="Verdana" w:hAnsi="Verdana" w:cs="Arial"/>
          <w:sz w:val="20"/>
          <w:szCs w:val="20"/>
        </w:rPr>
        <w:t xml:space="preserve">Commissioners in each community who are able to identify with, and more easily engage with, younger clients and those with young children (particularly in Aurukun). It is crucial that we capture the experience of our long-standing </w:t>
      </w:r>
      <w:r w:rsidR="005043E7">
        <w:rPr>
          <w:rFonts w:ascii="Verdana" w:hAnsi="Verdana" w:cs="Arial"/>
          <w:sz w:val="20"/>
          <w:szCs w:val="20"/>
        </w:rPr>
        <w:t xml:space="preserve">Local </w:t>
      </w:r>
      <w:r w:rsidRPr="00A9191E">
        <w:rPr>
          <w:rFonts w:ascii="Verdana" w:hAnsi="Verdana" w:cs="Arial"/>
          <w:sz w:val="20"/>
          <w:szCs w:val="20"/>
        </w:rPr>
        <w:t>Commissioners and provide every opportunity for them to impart their considerable knowledge and expertise to these emerging community leaders.</w:t>
      </w:r>
    </w:p>
    <w:p w14:paraId="1E76AAAE" w14:textId="61547D76"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 xml:space="preserve">Across the communities more than half of the </w:t>
      </w:r>
      <w:r w:rsidR="005043E7">
        <w:rPr>
          <w:rFonts w:ascii="Verdana" w:hAnsi="Verdana" w:cs="Arial"/>
          <w:sz w:val="20"/>
          <w:szCs w:val="20"/>
        </w:rPr>
        <w:t xml:space="preserve">Local </w:t>
      </w:r>
      <w:r w:rsidRPr="00A9191E">
        <w:rPr>
          <w:rFonts w:ascii="Verdana" w:hAnsi="Verdana" w:cs="Arial"/>
          <w:sz w:val="20"/>
          <w:szCs w:val="20"/>
        </w:rPr>
        <w:t>Commissioners are either elderly or have health concerns which affect their lives and their availability for conferencing.</w:t>
      </w:r>
    </w:p>
    <w:p w14:paraId="497E9E1E" w14:textId="309FAF87"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lastRenderedPageBreak/>
        <w:t xml:space="preserve">Many of the Local Commissioners have been with the Commission since 2008. As has been previously reported, the work of the Local Commissioners is such that their responsibilities do not finish when they leave conference for the day. They live every day in </w:t>
      </w:r>
      <w:r w:rsidR="005043E7">
        <w:rPr>
          <w:rFonts w:ascii="Verdana" w:hAnsi="Verdana" w:cs="Arial"/>
          <w:sz w:val="20"/>
          <w:szCs w:val="20"/>
        </w:rPr>
        <w:t xml:space="preserve">their </w:t>
      </w:r>
      <w:r w:rsidRPr="00A9191E">
        <w:rPr>
          <w:rFonts w:ascii="Verdana" w:hAnsi="Verdana" w:cs="Arial"/>
          <w:sz w:val="20"/>
          <w:szCs w:val="20"/>
        </w:rPr>
        <w:t>communities with the clients they have dealt with at conference; celebrating the achievements of the clients, and sometimes suffering criticism and abuse for the decisions they have made. Many have stated they would take a break from conferencing were there a sufficient pool of Commissioners to service conferencing requirements.</w:t>
      </w:r>
    </w:p>
    <w:p w14:paraId="1984B4A0" w14:textId="4023CEDE"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 xml:space="preserve">Where an extra Local Commissioner is available to collect clients to attend on conference days, client attendance improves greatly. A Local Commissioner has the authority and influence on community members to direct </w:t>
      </w:r>
      <w:r w:rsidR="005043E7">
        <w:rPr>
          <w:rFonts w:ascii="Verdana" w:hAnsi="Verdana" w:cs="Arial"/>
          <w:sz w:val="20"/>
          <w:szCs w:val="20"/>
        </w:rPr>
        <w:t>their attendance</w:t>
      </w:r>
      <w:r w:rsidRPr="00A9191E">
        <w:rPr>
          <w:rFonts w:ascii="Verdana" w:hAnsi="Verdana" w:cs="Arial"/>
          <w:sz w:val="20"/>
          <w:szCs w:val="20"/>
        </w:rPr>
        <w:t>.</w:t>
      </w:r>
    </w:p>
    <w:p w14:paraId="13121BCB" w14:textId="33A8E108" w:rsidR="007A613D" w:rsidRPr="00A9191E" w:rsidRDefault="007A613D" w:rsidP="00141140">
      <w:pPr>
        <w:pStyle w:val="ListParagraph"/>
        <w:numPr>
          <w:ilvl w:val="0"/>
          <w:numId w:val="8"/>
        </w:numPr>
        <w:spacing w:line="288" w:lineRule="auto"/>
        <w:ind w:left="572" w:right="-425" w:hanging="357"/>
        <w:jc w:val="both"/>
        <w:rPr>
          <w:rFonts w:ascii="Verdana" w:hAnsi="Verdana" w:cs="Arial"/>
          <w:sz w:val="20"/>
          <w:szCs w:val="20"/>
        </w:rPr>
      </w:pPr>
      <w:r w:rsidRPr="00A9191E">
        <w:rPr>
          <w:rFonts w:ascii="Verdana" w:hAnsi="Verdana" w:cs="Arial"/>
          <w:sz w:val="20"/>
          <w:szCs w:val="20"/>
        </w:rPr>
        <w:t xml:space="preserve">The Commission reported the resignation of three Local Commissioners during this reporting period, Local Commissioner Port from Coen, Local Commissioner Jupiter from </w:t>
      </w:r>
      <w:proofErr w:type="gramStart"/>
      <w:r w:rsidRPr="00A9191E">
        <w:rPr>
          <w:rFonts w:ascii="Verdana" w:hAnsi="Verdana" w:cs="Arial"/>
          <w:sz w:val="20"/>
          <w:szCs w:val="20"/>
        </w:rPr>
        <w:t>Doomadgee</w:t>
      </w:r>
      <w:proofErr w:type="gramEnd"/>
      <w:r w:rsidRPr="00A9191E">
        <w:rPr>
          <w:rFonts w:ascii="Verdana" w:hAnsi="Verdana" w:cs="Arial"/>
          <w:sz w:val="20"/>
          <w:szCs w:val="20"/>
        </w:rPr>
        <w:t xml:space="preserve"> and Local Commissioner Shuan from Mossman Gorge.</w:t>
      </w:r>
    </w:p>
    <w:p w14:paraId="190B6253" w14:textId="77777777" w:rsidR="006A6D4B" w:rsidRDefault="006A6D4B" w:rsidP="007A613D">
      <w:pPr>
        <w:ind w:left="-142" w:right="-425"/>
        <w:jc w:val="both"/>
        <w:rPr>
          <w:rFonts w:cs="Arial"/>
        </w:rPr>
      </w:pPr>
    </w:p>
    <w:p w14:paraId="38C10108" w14:textId="1983A2D0" w:rsidR="007A613D" w:rsidRPr="007A613D" w:rsidRDefault="007A613D" w:rsidP="007A613D">
      <w:pPr>
        <w:ind w:left="-142" w:right="-425"/>
        <w:jc w:val="both"/>
        <w:rPr>
          <w:rFonts w:cs="Arial"/>
        </w:rPr>
      </w:pPr>
      <w:r w:rsidRPr="007A613D">
        <w:rPr>
          <w:rFonts w:cs="Arial"/>
        </w:rPr>
        <w:t xml:space="preserve">DSDSATSIP advised at the FR Board meeting held on 4 May 2021 that the proposed nominations of additional Local Commissioners </w:t>
      </w:r>
      <w:proofErr w:type="gramStart"/>
      <w:r w:rsidRPr="007A613D">
        <w:rPr>
          <w:rFonts w:cs="Arial"/>
        </w:rPr>
        <w:t>was</w:t>
      </w:r>
      <w:proofErr w:type="gramEnd"/>
      <w:r w:rsidRPr="007A613D">
        <w:rPr>
          <w:rFonts w:cs="Arial"/>
        </w:rPr>
        <w:t xml:space="preserve"> noted, and tha</w:t>
      </w:r>
      <w:r w:rsidR="00E70A3D">
        <w:rPr>
          <w:rFonts w:cs="Arial"/>
        </w:rPr>
        <w:t>t</w:t>
      </w:r>
      <w:r w:rsidRPr="007A613D">
        <w:rPr>
          <w:rFonts w:cs="Arial"/>
        </w:rPr>
        <w:t xml:space="preserve"> subject to a new Memorandum of Understanding being agreed between the Queensland </w:t>
      </w:r>
      <w:r w:rsidR="00E70A3D">
        <w:rPr>
          <w:rFonts w:cs="Arial"/>
        </w:rPr>
        <w:t>and</w:t>
      </w:r>
      <w:r w:rsidRPr="007A613D">
        <w:rPr>
          <w:rFonts w:cs="Arial"/>
        </w:rPr>
        <w:t xml:space="preserve"> Australian Government</w:t>
      </w:r>
      <w:r w:rsidR="00E70A3D">
        <w:rPr>
          <w:rFonts w:cs="Arial"/>
        </w:rPr>
        <w:t>s</w:t>
      </w:r>
      <w:r w:rsidRPr="007A613D">
        <w:rPr>
          <w:rFonts w:cs="Arial"/>
        </w:rPr>
        <w:t>, new appointments may be considered in the first quarter of a new FRC funding term.</w:t>
      </w:r>
    </w:p>
    <w:p w14:paraId="233A3347" w14:textId="77777777" w:rsidR="006A6D4B" w:rsidRDefault="006A6D4B" w:rsidP="007A613D">
      <w:pPr>
        <w:ind w:left="-142" w:right="-425"/>
        <w:jc w:val="both"/>
        <w:rPr>
          <w:rFonts w:cs="Arial"/>
        </w:rPr>
      </w:pPr>
    </w:p>
    <w:p w14:paraId="5F5151EB" w14:textId="694C6AC4" w:rsidR="007A613D" w:rsidRDefault="007A613D" w:rsidP="007A613D">
      <w:pPr>
        <w:ind w:left="-142" w:right="-425"/>
        <w:jc w:val="both"/>
        <w:rPr>
          <w:rFonts w:cs="Arial"/>
        </w:rPr>
      </w:pPr>
      <w:r w:rsidRPr="007A613D">
        <w:rPr>
          <w:rFonts w:cs="Arial"/>
        </w:rPr>
        <w:t xml:space="preserve">The Commission considers it crucial that not only should natural attrition be matched by recruitment, but new appointments should be made </w:t>
      </w:r>
      <w:proofErr w:type="gramStart"/>
      <w:r w:rsidRPr="007A613D">
        <w:rPr>
          <w:rFonts w:cs="Arial"/>
        </w:rPr>
        <w:t>in order to</w:t>
      </w:r>
      <w:proofErr w:type="gramEnd"/>
      <w:r w:rsidRPr="007A613D">
        <w:rPr>
          <w:rFonts w:cs="Arial"/>
        </w:rPr>
        <w:t xml:space="preserve"> maintain operational efficiencies, support business continuity and client engagement, and promote local Indigenous authority.</w:t>
      </w:r>
    </w:p>
    <w:p w14:paraId="5B37C5ED" w14:textId="77777777" w:rsidR="00917A0B" w:rsidRDefault="00917A0B" w:rsidP="00917A0B">
      <w:pPr>
        <w:ind w:left="-142" w:right="-425"/>
        <w:jc w:val="both"/>
        <w:rPr>
          <w:rFonts w:cs="Arial"/>
        </w:rPr>
      </w:pPr>
    </w:p>
    <w:p w14:paraId="3D4807FF" w14:textId="0621904A" w:rsidR="00A47367" w:rsidRPr="00A47367" w:rsidRDefault="00A47367" w:rsidP="00917A0B">
      <w:pPr>
        <w:ind w:left="-142" w:right="-425"/>
        <w:jc w:val="both"/>
        <w:rPr>
          <w:rFonts w:cs="Arial"/>
          <w:b/>
          <w:bCs/>
        </w:rPr>
      </w:pPr>
      <w:r w:rsidRPr="00A47367">
        <w:rPr>
          <w:rFonts w:cs="Arial"/>
          <w:b/>
          <w:bCs/>
        </w:rPr>
        <w:t>Memorandum of Understanding</w:t>
      </w:r>
    </w:p>
    <w:p w14:paraId="586F28E3" w14:textId="70CDC519" w:rsidR="00917A0B" w:rsidRDefault="00917A0B" w:rsidP="00917A0B">
      <w:pPr>
        <w:ind w:left="-142" w:right="-425"/>
        <w:jc w:val="both"/>
        <w:rPr>
          <w:rFonts w:cs="Arial"/>
        </w:rPr>
      </w:pPr>
      <w:r w:rsidRPr="00917A0B">
        <w:rPr>
          <w:rFonts w:cs="Arial"/>
        </w:rPr>
        <w:t>The Commission’s strategic partners in Welfare Reform, the Queensland Government, Australian Government and Cape York Institute, continue their discussions on the future of Welfare Reform and the Commission.</w:t>
      </w:r>
      <w:r w:rsidR="006A6D4B">
        <w:rPr>
          <w:rFonts w:cs="Arial"/>
        </w:rPr>
        <w:t xml:space="preserve"> </w:t>
      </w:r>
      <w:r w:rsidRPr="00917A0B">
        <w:rPr>
          <w:rFonts w:cs="Arial"/>
        </w:rPr>
        <w:t>Currently there is no agreement between the parties beyond 30 June 2021, however, there is no current stated intention to cease operations of the Commission. The Australian Government has released advice stating its support for an extension of the Commission for a period of three years to 30 June 2024, whilst the Queensland Government has confirmed an extension of twelve months to 30 June 2022.</w:t>
      </w:r>
    </w:p>
    <w:p w14:paraId="6FBC67FA" w14:textId="77777777" w:rsidR="00F04DD0" w:rsidRPr="00917A0B" w:rsidRDefault="00F04DD0" w:rsidP="00917A0B">
      <w:pPr>
        <w:ind w:left="-142" w:right="-425"/>
        <w:jc w:val="both"/>
        <w:rPr>
          <w:rFonts w:cs="Arial"/>
        </w:rPr>
      </w:pPr>
    </w:p>
    <w:p w14:paraId="5167E435" w14:textId="20F06B9A" w:rsidR="00A47367" w:rsidRPr="00A47367" w:rsidRDefault="00A47367" w:rsidP="00917A0B">
      <w:pPr>
        <w:ind w:left="-142" w:right="-425"/>
        <w:jc w:val="both"/>
        <w:rPr>
          <w:rFonts w:cs="Arial"/>
          <w:b/>
          <w:bCs/>
        </w:rPr>
      </w:pPr>
      <w:r w:rsidRPr="00A47367">
        <w:rPr>
          <w:rFonts w:cs="Arial"/>
          <w:b/>
          <w:bCs/>
        </w:rPr>
        <w:t>A review of the FRC</w:t>
      </w:r>
    </w:p>
    <w:p w14:paraId="0000C8A5" w14:textId="391E1066" w:rsidR="00A47367" w:rsidRDefault="00917A0B" w:rsidP="00917A0B">
      <w:pPr>
        <w:ind w:left="-142" w:right="-425"/>
        <w:jc w:val="both"/>
        <w:rPr>
          <w:rFonts w:cs="Arial"/>
        </w:rPr>
      </w:pPr>
      <w:r w:rsidRPr="00917A0B">
        <w:rPr>
          <w:rFonts w:cs="Arial"/>
        </w:rPr>
        <w:t xml:space="preserve">The Commission has been advised by the Honourable Craig Crawford MP, Minister for Seniors and Disability Services and Minister for Aboriginal and Torres Strait Islander Partnerships of an upcoming independent review that DSDSATSIP will be commissioning of the FRC, including the governance mechanisms provided by the Family Responsibilities Board during the extension period to inform decision making on the future of the FRC. The Minister further advised, </w:t>
      </w:r>
      <w:r w:rsidRPr="00917A0B">
        <w:rPr>
          <w:rFonts w:cs="Arial"/>
          <w:i/>
          <w:iCs/>
        </w:rPr>
        <w:t>“The review will include community engagement with the FRC, its clients and other community members in each of the five Welfare Reform communities, as well as local service providers, to ensure the outcomes of the review are reflective of community views, aspirations and needs. Broader stakeholder engagement will be undertaken with notifying agencies and the National Indigenous Australians Agency (NIAA) and Cape York Institute (CYI)</w:t>
      </w:r>
      <w:r w:rsidRPr="00917A0B">
        <w:rPr>
          <w:rFonts w:cs="Arial"/>
        </w:rPr>
        <w:t>.</w:t>
      </w:r>
    </w:p>
    <w:p w14:paraId="3B8075D1" w14:textId="3FC0F7C2" w:rsidR="00917A0B" w:rsidRPr="00917A0B" w:rsidRDefault="00917A0B" w:rsidP="00917A0B">
      <w:pPr>
        <w:ind w:left="-142" w:right="-425"/>
        <w:jc w:val="both"/>
        <w:rPr>
          <w:rFonts w:cs="Arial"/>
        </w:rPr>
      </w:pPr>
    </w:p>
    <w:p w14:paraId="4A34953D" w14:textId="60CD519E" w:rsidR="00917A0B" w:rsidRPr="00917A0B" w:rsidRDefault="00917A0B" w:rsidP="00917A0B">
      <w:pPr>
        <w:ind w:left="-142" w:right="-425"/>
        <w:jc w:val="both"/>
        <w:rPr>
          <w:rFonts w:cs="Arial"/>
        </w:rPr>
      </w:pPr>
      <w:r w:rsidRPr="00917A0B">
        <w:rPr>
          <w:rFonts w:cs="Arial"/>
        </w:rPr>
        <w:t xml:space="preserve">The Commission looks forward to assisting with the review as deemed appropriate and recognises the importance of ensuring that its strategic objectives </w:t>
      </w:r>
      <w:proofErr w:type="gramStart"/>
      <w:r w:rsidRPr="00917A0B">
        <w:rPr>
          <w:rFonts w:cs="Arial"/>
        </w:rPr>
        <w:t>are able to</w:t>
      </w:r>
      <w:proofErr w:type="gramEnd"/>
      <w:r w:rsidRPr="00917A0B">
        <w:rPr>
          <w:rFonts w:cs="Arial"/>
        </w:rPr>
        <w:t xml:space="preserve"> reflect changing social dynamics and take advantage of opportunities to more fully address and/or expand its mandate. The FRC’s model is governed by a unique legislative framework which enshrines Indigenous self-determination. It is a key initiative enabling tangible and measurable outcomes in keeping children safe, impeding the escalation of serious offending behaviour, improving social </w:t>
      </w:r>
      <w:proofErr w:type="gramStart"/>
      <w:r w:rsidRPr="00917A0B">
        <w:rPr>
          <w:rFonts w:cs="Arial"/>
        </w:rPr>
        <w:t>responsibility</w:t>
      </w:r>
      <w:proofErr w:type="gramEnd"/>
      <w:r w:rsidRPr="00917A0B">
        <w:rPr>
          <w:rFonts w:cs="Arial"/>
        </w:rPr>
        <w:t xml:space="preserve"> and restoring local Indigenous authority as attested to in the </w:t>
      </w:r>
      <w:r w:rsidR="006A6D4B">
        <w:rPr>
          <w:rFonts w:cs="Arial"/>
        </w:rPr>
        <w:t>s</w:t>
      </w:r>
      <w:r w:rsidRPr="00917A0B">
        <w:rPr>
          <w:rFonts w:cs="Arial"/>
        </w:rPr>
        <w:t xml:space="preserve">ignificant events and achievements section of this report. It is a scalable model </w:t>
      </w:r>
      <w:r w:rsidRPr="00917A0B">
        <w:rPr>
          <w:rFonts w:cs="Arial"/>
        </w:rPr>
        <w:lastRenderedPageBreak/>
        <w:t>suitable for expansion into other communities that recognise the benefits afforded by the FRC model of social change.</w:t>
      </w:r>
    </w:p>
    <w:p w14:paraId="62A46979" w14:textId="77777777" w:rsidR="00917A0B" w:rsidRPr="007A613D" w:rsidRDefault="00917A0B" w:rsidP="007A613D">
      <w:pPr>
        <w:ind w:left="-142" w:right="-425"/>
        <w:jc w:val="both"/>
        <w:rPr>
          <w:rFonts w:cs="Arial"/>
        </w:rPr>
      </w:pPr>
    </w:p>
    <w:p w14:paraId="20C7BBD8" w14:textId="645B49C0" w:rsidR="000D0A4E" w:rsidRDefault="000D0A4E">
      <w:pPr>
        <w:spacing w:line="240" w:lineRule="auto"/>
        <w:rPr>
          <w:rFonts w:cs="Arial"/>
          <w:b/>
          <w:sz w:val="16"/>
          <w:szCs w:val="16"/>
        </w:rPr>
      </w:pPr>
      <w:r>
        <w:rPr>
          <w:rFonts w:cs="Arial"/>
          <w:b/>
          <w:sz w:val="16"/>
          <w:szCs w:val="16"/>
        </w:rPr>
        <w:br w:type="page"/>
      </w:r>
    </w:p>
    <w:p w14:paraId="59FA8724" w14:textId="55F36592" w:rsidR="005A5B78" w:rsidRPr="00E34093" w:rsidRDefault="005A5B78" w:rsidP="005A5B78">
      <w:pPr>
        <w:pStyle w:val="Heading1"/>
        <w:ind w:left="-142" w:right="-426"/>
      </w:pPr>
      <w:bookmarkStart w:id="26" w:name="RANGE!A4:I20"/>
      <w:bookmarkStart w:id="27" w:name="_Toc39657993"/>
      <w:bookmarkEnd w:id="26"/>
      <w:r w:rsidRPr="00E34093">
        <w:lastRenderedPageBreak/>
        <w:t xml:space="preserve">3.  </w:t>
      </w:r>
      <w:r w:rsidR="000541CA">
        <w:t>Governance</w:t>
      </w:r>
      <w:bookmarkEnd w:id="27"/>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51DFA">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091CCC72" w:rsidR="005A5B78" w:rsidRPr="00836B08" w:rsidRDefault="00731629" w:rsidP="00FC008A">
      <w:pPr>
        <w:pStyle w:val="ListBullet"/>
        <w:ind w:left="2863" w:hanging="3005"/>
      </w:pPr>
      <w:r>
        <w:t>Dr Chris Sarra</w:t>
      </w:r>
      <w:r w:rsidR="005A5B78" w:rsidRPr="00E34093">
        <w:tab/>
        <w:t xml:space="preserve">Director-General, Department of </w:t>
      </w:r>
      <w:r w:rsidR="000A3D78">
        <w:t xml:space="preserve">Senior, Disability Services and </w:t>
      </w:r>
      <w:r w:rsidR="005A5B78" w:rsidRPr="00E34093">
        <w:t xml:space="preserve">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D51DFA">
      <w:pPr>
        <w:pStyle w:val="Heading2"/>
      </w:pPr>
    </w:p>
    <w:p w14:paraId="660BA16D" w14:textId="4D44E116" w:rsidR="00320827" w:rsidRPr="00E34093" w:rsidRDefault="00320827" w:rsidP="00D51DFA">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w:t>
      </w:r>
      <w:proofErr w:type="gramStart"/>
      <w:r w:rsidRPr="00E34093">
        <w:rPr>
          <w:rFonts w:cs="Arial"/>
        </w:rPr>
        <w:t>Commissioners</w:t>
      </w:r>
      <w:proofErr w:type="gramEnd"/>
      <w:r w:rsidRPr="00E34093">
        <w:rPr>
          <w:rFonts w:cs="Arial"/>
        </w:rPr>
        <w:t xml:space="preserve">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8" w:name="_Toc39657994"/>
      <w:r>
        <w:lastRenderedPageBreak/>
        <w:t>4</w:t>
      </w:r>
      <w:r w:rsidRPr="00E34093">
        <w:t>.  Financial Operations</w:t>
      </w:r>
      <w:bookmarkEnd w:id="28"/>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D51DFA">
      <w:pPr>
        <w:pStyle w:val="Heading3"/>
      </w:pPr>
      <w:r w:rsidRPr="00BF1639">
        <w:t>Income:</w:t>
      </w:r>
    </w:p>
    <w:p w14:paraId="6D17618C" w14:textId="7865DB90"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2B731D">
        <w:t>April</w:t>
      </w:r>
      <w:r w:rsidR="009A7C28">
        <w:t xml:space="preserve"> 2021</w:t>
      </w:r>
      <w:r w:rsidRPr="008E6DBA">
        <w:t xml:space="preserve"> to </w:t>
      </w:r>
      <w:r w:rsidR="00C02DC0">
        <w:t>30 June</w:t>
      </w:r>
      <w:r w:rsidR="009A7C28">
        <w:t xml:space="preserve"> 2021</w:t>
      </w:r>
      <w:r w:rsidRPr="008E6DBA">
        <w:t xml:space="preserve"> totalled $</w:t>
      </w:r>
      <w:r w:rsidR="009F3C63">
        <w:t>1,046,050</w:t>
      </w:r>
      <w:r w:rsidR="00A504A2" w:rsidRPr="009D3335">
        <w:t>.</w:t>
      </w:r>
      <w:r w:rsidR="00CE6E33" w:rsidRPr="008E6DBA">
        <w:t xml:space="preserve"> </w:t>
      </w:r>
      <w:r w:rsidRPr="008E6DBA">
        <w:t>This income consisted of:</w:t>
      </w:r>
    </w:p>
    <w:p w14:paraId="350616B8" w14:textId="015E868B" w:rsidR="009F0A67" w:rsidRPr="00FE0240" w:rsidRDefault="009F0A67" w:rsidP="009F0A67">
      <w:pPr>
        <w:pStyle w:val="ListBullet2"/>
      </w:pPr>
      <w:r w:rsidRPr="00A253AB">
        <w:t>$</w:t>
      </w:r>
      <w:r w:rsidR="009D3335" w:rsidRPr="00FE0240">
        <w:t>426,500</w:t>
      </w:r>
      <w:r w:rsidRPr="00FE0240">
        <w:t xml:space="preserve"> Queensland Government funding</w:t>
      </w:r>
    </w:p>
    <w:p w14:paraId="45A2692F" w14:textId="225C2CFC" w:rsidR="009F0A67" w:rsidRPr="00FE0240" w:rsidRDefault="009F0A67" w:rsidP="009F0A67">
      <w:pPr>
        <w:pStyle w:val="ListBullet2"/>
      </w:pPr>
      <w:r w:rsidRPr="00FE0240">
        <w:t>$</w:t>
      </w:r>
      <w:r w:rsidR="009D3335" w:rsidRPr="00FE0240">
        <w:t>163,250</w:t>
      </w:r>
      <w:r w:rsidR="00EB73D5" w:rsidRPr="00FE0240">
        <w:t xml:space="preserve"> </w:t>
      </w:r>
      <w:r w:rsidRPr="00FE0240">
        <w:t>Queensland Government</w:t>
      </w:r>
      <w:r w:rsidR="003300AB" w:rsidRPr="00FE0240">
        <w:t xml:space="preserve"> funding – Doomadgee</w:t>
      </w:r>
    </w:p>
    <w:p w14:paraId="02AA0FD6" w14:textId="7EAEF0C4" w:rsidR="009F0A67" w:rsidRPr="00850051" w:rsidRDefault="009F0A67" w:rsidP="009F0A67">
      <w:pPr>
        <w:pStyle w:val="ListBullet2"/>
      </w:pPr>
      <w:r w:rsidRPr="00FE0240">
        <w:t>$</w:t>
      </w:r>
      <w:r w:rsidR="00A253AB" w:rsidRPr="00FE0240">
        <w:t>450,000</w:t>
      </w:r>
      <w:r w:rsidR="00932339" w:rsidRPr="00850051">
        <w:t xml:space="preserve"> </w:t>
      </w:r>
      <w:r w:rsidRPr="00850051">
        <w:t>Australian Government funding</w:t>
      </w:r>
    </w:p>
    <w:p w14:paraId="512E3D76" w14:textId="6C1940CC" w:rsidR="009F0A67" w:rsidRDefault="009F0A67" w:rsidP="009F0A67">
      <w:pPr>
        <w:pStyle w:val="ListBullet2"/>
      </w:pPr>
      <w:r w:rsidRPr="00850051">
        <w:t>$</w:t>
      </w:r>
      <w:r w:rsidR="009F3C63">
        <w:t xml:space="preserve">6,145 </w:t>
      </w:r>
      <w:r w:rsidRPr="00850051">
        <w:t>interest received</w:t>
      </w:r>
    </w:p>
    <w:p w14:paraId="1FD7CA72" w14:textId="7C87BD3A" w:rsidR="009F3C63" w:rsidRPr="00850051" w:rsidRDefault="009F3C63" w:rsidP="009F0A67">
      <w:pPr>
        <w:pStyle w:val="ListBullet2"/>
      </w:pPr>
      <w:r>
        <w:t>$155 sundry income</w:t>
      </w:r>
    </w:p>
    <w:p w14:paraId="63A91431" w14:textId="35630BAA" w:rsidR="009F0A67" w:rsidRDefault="009F0A67" w:rsidP="009F0A67">
      <w:pPr>
        <w:ind w:left="-142" w:right="-425"/>
        <w:jc w:val="both"/>
        <w:rPr>
          <w:rFonts w:cs="Arial"/>
        </w:rPr>
      </w:pPr>
      <w:r w:rsidRPr="0073709D">
        <w:rPr>
          <w:rFonts w:cs="Arial"/>
        </w:rPr>
        <w:t xml:space="preserve">The balance of available funds in the bank as </w:t>
      </w:r>
      <w:proofErr w:type="gramStart"/>
      <w:r w:rsidRPr="0073709D">
        <w:rPr>
          <w:rFonts w:cs="Arial"/>
        </w:rPr>
        <w:t>at</w:t>
      </w:r>
      <w:proofErr w:type="gramEnd"/>
      <w:r w:rsidRPr="0073709D">
        <w:rPr>
          <w:rFonts w:cs="Arial"/>
        </w:rPr>
        <w:t xml:space="preserve"> </w:t>
      </w:r>
      <w:r w:rsidR="00C02DC0">
        <w:rPr>
          <w:rFonts w:cs="Arial"/>
        </w:rPr>
        <w:t>30 June</w:t>
      </w:r>
      <w:r w:rsidR="009A7C28">
        <w:rPr>
          <w:rFonts w:cs="Arial"/>
        </w:rPr>
        <w:t xml:space="preserve"> 2021</w:t>
      </w:r>
      <w:r w:rsidRPr="0073709D">
        <w:rPr>
          <w:rFonts w:cs="Arial"/>
        </w:rPr>
        <w:t xml:space="preserve"> </w:t>
      </w:r>
      <w:r w:rsidRPr="008E6DBA">
        <w:rPr>
          <w:rFonts w:cs="Arial"/>
        </w:rPr>
        <w:t>is $</w:t>
      </w:r>
      <w:r w:rsidR="009F3C63">
        <w:rPr>
          <w:rFonts w:cs="Arial"/>
        </w:rPr>
        <w:t>3,541,004</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D51DFA">
      <w:pPr>
        <w:pStyle w:val="Heading3"/>
      </w:pPr>
      <w:r w:rsidRPr="00BF1639">
        <w:t>Expenditure:</w:t>
      </w:r>
    </w:p>
    <w:p w14:paraId="1DC8DF62" w14:textId="238B0CA8" w:rsidR="00C74BF5" w:rsidRPr="001720D5" w:rsidRDefault="00C74BF5" w:rsidP="00C74BF5">
      <w:pPr>
        <w:pStyle w:val="ListBullet"/>
        <w:ind w:left="2863" w:hanging="3005"/>
      </w:pPr>
      <w:r w:rsidRPr="00BD380A">
        <w:t xml:space="preserve">Expenditure for the period 1 </w:t>
      </w:r>
      <w:r w:rsidR="002B731D">
        <w:t>April</w:t>
      </w:r>
      <w:r w:rsidR="009A7C28">
        <w:t xml:space="preserve"> 2021</w:t>
      </w:r>
      <w:r w:rsidRPr="00BD380A">
        <w:t xml:space="preserve"> to </w:t>
      </w:r>
      <w:r w:rsidR="00C02DC0">
        <w:t>30 June</w:t>
      </w:r>
      <w:r w:rsidR="009A7C28">
        <w:t xml:space="preserve"> 2021</w:t>
      </w:r>
      <w:r w:rsidRPr="00BD380A">
        <w:t xml:space="preserve"> was $</w:t>
      </w:r>
      <w:r w:rsidR="009F3C63">
        <w:t>1,009,602</w:t>
      </w:r>
      <w:r>
        <w:t>.</w:t>
      </w:r>
    </w:p>
    <w:p w14:paraId="4555CA86" w14:textId="07475910" w:rsidR="00D840DE" w:rsidRDefault="00D840DE" w:rsidP="009F0A67">
      <w:pPr>
        <w:ind w:left="-142" w:right="-425"/>
        <w:jc w:val="both"/>
        <w:rPr>
          <w:rFonts w:cs="Arial"/>
        </w:rPr>
      </w:pPr>
    </w:p>
    <w:p w14:paraId="40442581" w14:textId="14E11AE7" w:rsidR="00EB0526" w:rsidRDefault="00EB0526" w:rsidP="009D766A">
      <w:pPr>
        <w:ind w:left="-142" w:right="-425"/>
        <w:jc w:val="both"/>
        <w:rPr>
          <w:rFonts w:cs="Arial"/>
          <w:sz w:val="16"/>
          <w:szCs w:val="16"/>
        </w:rPr>
      </w:pPr>
      <w:r w:rsidRPr="009D766A">
        <w:rPr>
          <w:rFonts w:cs="Arial"/>
          <w:b/>
          <w:sz w:val="16"/>
          <w:szCs w:val="16"/>
        </w:rPr>
        <w:t xml:space="preserve">Table </w:t>
      </w:r>
      <w:r w:rsidR="00A60308">
        <w:rPr>
          <w:rFonts w:cs="Arial"/>
          <w:b/>
          <w:sz w:val="16"/>
          <w:szCs w:val="16"/>
        </w:rPr>
        <w:t>2</w:t>
      </w:r>
      <w:r w:rsidR="00CF3070">
        <w:rPr>
          <w:rFonts w:cs="Arial"/>
          <w:b/>
          <w:sz w:val="16"/>
          <w:szCs w:val="16"/>
        </w:rPr>
        <w:t>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0D0A4E">
        <w:rPr>
          <w:rFonts w:cs="Arial"/>
          <w:sz w:val="16"/>
          <w:szCs w:val="16"/>
        </w:rPr>
        <w:t>52</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3B173DEB" w:rsidR="009F0A67" w:rsidRPr="00872CBA" w:rsidRDefault="00297D13" w:rsidP="009F55E0">
            <w:pPr>
              <w:pStyle w:val="StyleTableTextBoldCentered"/>
              <w:rPr>
                <w:lang w:eastAsia="en-AU"/>
              </w:rPr>
            </w:pPr>
            <w:r>
              <w:rPr>
                <w:lang w:eastAsia="en-AU"/>
              </w:rPr>
              <w:t xml:space="preserve">1 </w:t>
            </w:r>
            <w:r w:rsidR="002B731D">
              <w:rPr>
                <w:lang w:eastAsia="en-AU"/>
              </w:rPr>
              <w:t>April</w:t>
            </w:r>
            <w:r w:rsidR="009A7C28">
              <w:rPr>
                <w:lang w:eastAsia="en-AU"/>
              </w:rPr>
              <w:t xml:space="preserve"> 2021</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2DA10391" w:rsidR="009F0A67" w:rsidRPr="00872CBA" w:rsidRDefault="00297D13" w:rsidP="009F55E0">
            <w:pPr>
              <w:pStyle w:val="StyleTableTextBoldCentered"/>
              <w:rPr>
                <w:lang w:eastAsia="en-AU"/>
              </w:rPr>
            </w:pPr>
            <w:r>
              <w:rPr>
                <w:lang w:eastAsia="en-AU"/>
              </w:rPr>
              <w:t xml:space="preserve">1 </w:t>
            </w:r>
            <w:r w:rsidR="002B731D">
              <w:rPr>
                <w:lang w:eastAsia="en-AU"/>
              </w:rPr>
              <w:t>April</w:t>
            </w:r>
            <w:r w:rsidR="009A7C28">
              <w:rPr>
                <w:lang w:eastAsia="en-AU"/>
              </w:rPr>
              <w:t xml:space="preserve"> 2021</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1A867EB7" w:rsidR="009F0A67" w:rsidRPr="00872CBA" w:rsidRDefault="00C02DC0" w:rsidP="009F55E0">
            <w:pPr>
              <w:pStyle w:val="StyleTableTextBoldCentered"/>
              <w:rPr>
                <w:lang w:eastAsia="en-AU"/>
              </w:rPr>
            </w:pPr>
            <w:r>
              <w:rPr>
                <w:lang w:eastAsia="en-AU"/>
              </w:rPr>
              <w:t>30 June</w:t>
            </w:r>
            <w:r w:rsidR="009A7C28">
              <w:rPr>
                <w:lang w:eastAsia="en-AU"/>
              </w:rPr>
              <w:t xml:space="preserve"> 2021</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B8C9BEA" w:rsidR="009F0A67" w:rsidRPr="00872CBA" w:rsidRDefault="009F0A67" w:rsidP="004F7197">
            <w:pPr>
              <w:pStyle w:val="StyleTableTextBoldCentered"/>
              <w:rPr>
                <w:lang w:eastAsia="en-AU"/>
              </w:rPr>
            </w:pPr>
            <w:r w:rsidRPr="00872CBA">
              <w:rPr>
                <w:lang w:eastAsia="en-AU"/>
              </w:rPr>
              <w:t xml:space="preserve">Qtr </w:t>
            </w:r>
            <w:r w:rsidR="000D0A4E">
              <w:rPr>
                <w:lang w:eastAsia="en-AU"/>
              </w:rPr>
              <w:t>52</w:t>
            </w:r>
          </w:p>
        </w:tc>
        <w:tc>
          <w:tcPr>
            <w:tcW w:w="2552" w:type="dxa"/>
            <w:tcBorders>
              <w:top w:val="nil"/>
              <w:left w:val="nil"/>
              <w:bottom w:val="nil"/>
              <w:right w:val="single" w:sz="4" w:space="0" w:color="FFFFFF"/>
            </w:tcBorders>
            <w:shd w:val="clear" w:color="auto" w:fill="000000"/>
            <w:noWrap/>
            <w:vAlign w:val="bottom"/>
          </w:tcPr>
          <w:p w14:paraId="7FB7D45D" w14:textId="107BDCF8" w:rsidR="009F0A67" w:rsidRPr="00872CBA" w:rsidRDefault="00C02DC0" w:rsidP="009F55E0">
            <w:pPr>
              <w:pStyle w:val="StyleTableTextBoldCentered"/>
              <w:rPr>
                <w:lang w:eastAsia="en-AU"/>
              </w:rPr>
            </w:pPr>
            <w:r>
              <w:rPr>
                <w:lang w:eastAsia="en-AU"/>
              </w:rPr>
              <w:t>30 June</w:t>
            </w:r>
            <w:r w:rsidR="009A7C28">
              <w:rPr>
                <w:lang w:eastAsia="en-AU"/>
              </w:rPr>
              <w:t xml:space="preserve"> 2021</w:t>
            </w:r>
          </w:p>
        </w:tc>
        <w:tc>
          <w:tcPr>
            <w:tcW w:w="1701" w:type="dxa"/>
            <w:tcBorders>
              <w:top w:val="nil"/>
              <w:left w:val="nil"/>
              <w:bottom w:val="nil"/>
              <w:right w:val="nil"/>
            </w:tcBorders>
            <w:shd w:val="clear" w:color="auto" w:fill="000000"/>
            <w:noWrap/>
            <w:vAlign w:val="bottom"/>
          </w:tcPr>
          <w:p w14:paraId="4A5AEAEC" w14:textId="147B170F" w:rsidR="009F0A67" w:rsidRPr="00872CBA" w:rsidRDefault="009F0A67" w:rsidP="004F7197">
            <w:pPr>
              <w:pStyle w:val="StyleTableTextBoldCentered"/>
              <w:rPr>
                <w:lang w:eastAsia="en-AU"/>
              </w:rPr>
            </w:pPr>
            <w:r w:rsidRPr="00872CBA">
              <w:rPr>
                <w:lang w:eastAsia="en-AU"/>
              </w:rPr>
              <w:t xml:space="preserve">Qtr </w:t>
            </w:r>
            <w:r w:rsidR="000D0A4E">
              <w:rPr>
                <w:lang w:eastAsia="en-AU"/>
              </w:rPr>
              <w:t>52</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3F870CD2" w:rsidR="009F0A67" w:rsidRPr="007F7AD6" w:rsidRDefault="009F3C63" w:rsidP="002E59A0">
            <w:pPr>
              <w:jc w:val="right"/>
            </w:pPr>
            <w:r>
              <w:t>510,5</w:t>
            </w:r>
            <w:r w:rsidR="00504FDE">
              <w:t>6</w:t>
            </w:r>
            <w:r>
              <w:t>6</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7F7AD6" w:rsidRDefault="00161960" w:rsidP="009F0A67">
            <w:pPr>
              <w:pStyle w:val="TableText"/>
            </w:pPr>
            <w:r w:rsidRPr="007F7AD6">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12CCC9CE" w:rsidR="009F0A67" w:rsidRPr="007F7AD6" w:rsidRDefault="009F3C63" w:rsidP="002E59A0">
            <w:pPr>
              <w:jc w:val="right"/>
            </w:pPr>
            <w:r>
              <w:t>55,721</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77483CDC" w:rsidR="009F0A67" w:rsidRPr="007F7AD6" w:rsidRDefault="009F3C63" w:rsidP="002E59A0">
            <w:pPr>
              <w:jc w:val="right"/>
            </w:pPr>
            <w:r>
              <w:t>109,975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7F7AD6" w:rsidRDefault="00161960" w:rsidP="009F0A67">
            <w:pPr>
              <w:pStyle w:val="TableText"/>
            </w:pPr>
            <w:r w:rsidRPr="007F7AD6">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049B7AD2" w:rsidR="009F0A67" w:rsidRPr="007F7AD6" w:rsidRDefault="009F3C63" w:rsidP="002E59A0">
            <w:pPr>
              <w:jc w:val="right"/>
            </w:pPr>
            <w:r>
              <w:t>10,251</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493EAA44" w:rsidR="009F0A67" w:rsidRPr="007F7AD6" w:rsidRDefault="009F3C63" w:rsidP="002E59A0">
            <w:pPr>
              <w:jc w:val="right"/>
            </w:pPr>
            <w:r>
              <w:t>99,153</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7F7AD6" w:rsidRDefault="00161960" w:rsidP="009F0A67">
            <w:pPr>
              <w:pStyle w:val="TableText"/>
            </w:pPr>
            <w:r w:rsidRPr="007F7AD6">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3087D693" w:rsidR="009F0A67" w:rsidRPr="007F7AD6" w:rsidRDefault="009F3C63" w:rsidP="002E59A0">
            <w:pPr>
              <w:jc w:val="right"/>
            </w:pPr>
            <w:r>
              <w:t>43,142</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1A057846" w:rsidR="009F0A67" w:rsidRPr="007F7AD6" w:rsidRDefault="009F3C63" w:rsidP="002E59A0">
            <w:pPr>
              <w:jc w:val="right"/>
            </w:pPr>
            <w:r>
              <w:t>15,901</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7F7AD6" w:rsidRDefault="00161960" w:rsidP="009F0A67">
            <w:pPr>
              <w:pStyle w:val="TableText"/>
            </w:pPr>
            <w:r w:rsidRPr="007F7AD6">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6F79E153" w:rsidR="009F0A67" w:rsidRPr="007F7AD6" w:rsidRDefault="009F3C63" w:rsidP="002E59A0">
            <w:pPr>
              <w:jc w:val="right"/>
            </w:pPr>
            <w:r>
              <w:t>85,702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606DF223" w:rsidR="009F0A67" w:rsidRPr="007F7AD6" w:rsidRDefault="009F3C63" w:rsidP="002E59A0">
            <w:pPr>
              <w:jc w:val="right"/>
            </w:pPr>
            <w:r>
              <w:t>1,809</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7F7AD6" w:rsidRDefault="00161960" w:rsidP="009F0A67">
            <w:pPr>
              <w:pStyle w:val="TableText"/>
            </w:pPr>
            <w:r w:rsidRPr="007F7AD6">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129D5E74" w:rsidR="009F0A67" w:rsidRPr="007F7AD6" w:rsidRDefault="009F3C63" w:rsidP="002E59A0">
            <w:pPr>
              <w:jc w:val="right"/>
            </w:pPr>
            <w:r>
              <w:t>48,482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565E7BD9" w:rsidR="007966F3" w:rsidRPr="007F7AD6" w:rsidRDefault="009F3C63" w:rsidP="002E59A0">
            <w:pPr>
              <w:jc w:val="right"/>
            </w:pPr>
            <w:r>
              <w:t>3,514</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7F7AD6" w:rsidRDefault="00161960" w:rsidP="009F0A67">
            <w:pPr>
              <w:pStyle w:val="TableText"/>
            </w:pPr>
            <w:r w:rsidRPr="007F7AD6">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5CA7A1D6" w:rsidR="007966F3" w:rsidRPr="007F7AD6" w:rsidRDefault="009F3C63" w:rsidP="002E59A0">
            <w:pPr>
              <w:jc w:val="right"/>
            </w:pPr>
            <w:r>
              <w:t>25,386</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1B0608B0" w:rsidR="009F0A67" w:rsidRPr="007F7AD6" w:rsidRDefault="009F3C63" w:rsidP="002E59A0">
            <w:pPr>
              <w:jc w:val="right"/>
              <w:rPr>
                <w:b/>
              </w:rPr>
            </w:pPr>
            <w:r>
              <w:rPr>
                <w:b/>
              </w:rPr>
              <w:t>1,009,602</w:t>
            </w:r>
          </w:p>
        </w:tc>
      </w:tr>
    </w:tbl>
    <w:p w14:paraId="6D40801D" w14:textId="11BE9B99" w:rsidR="00994941" w:rsidRDefault="00994941" w:rsidP="00994941">
      <w:pPr>
        <w:ind w:left="-142" w:right="-425"/>
        <w:jc w:val="both"/>
        <w:rPr>
          <w:rFonts w:cs="Arial"/>
        </w:rPr>
      </w:pPr>
    </w:p>
    <w:p w14:paraId="18775980" w14:textId="249BD0CA" w:rsidR="00D770E9" w:rsidRDefault="00C14FC9" w:rsidP="00D770E9">
      <w:pPr>
        <w:ind w:left="-142" w:right="-425"/>
        <w:jc w:val="both"/>
        <w:rPr>
          <w:rFonts w:cs="Arial"/>
        </w:rPr>
      </w:pPr>
      <w:r w:rsidRPr="0020608D">
        <w:rPr>
          <w:rFonts w:cs="Arial"/>
        </w:rPr>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w:t>
      </w:r>
      <w:proofErr w:type="gramStart"/>
      <w:r w:rsidRPr="00D770E9">
        <w:rPr>
          <w:rFonts w:ascii="Verdana" w:hAnsi="Verdana" w:cs="Arial"/>
          <w:sz w:val="20"/>
          <w:szCs w:val="20"/>
        </w:rPr>
        <w:t>training</w:t>
      </w:r>
      <w:proofErr w:type="gramEnd"/>
      <w:r w:rsidRPr="00D770E9">
        <w:rPr>
          <w:rFonts w:ascii="Verdana" w:hAnsi="Verdana" w:cs="Arial"/>
          <w:sz w:val="20"/>
          <w:szCs w:val="20"/>
        </w:rPr>
        <w:t xml:space="preserve"> and other administrative functions to ensure the effective and efficient operations of the Commission.</w:t>
      </w:r>
    </w:p>
    <w:p w14:paraId="591C86B2" w14:textId="5F3694C5"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w:t>
      </w:r>
      <w:r w:rsidR="00886949">
        <w:rPr>
          <w:rFonts w:ascii="Verdana" w:hAnsi="Verdana" w:cs="Arial"/>
          <w:sz w:val="20"/>
          <w:szCs w:val="20"/>
        </w:rPr>
        <w:t xml:space="preserve"> and hearings</w:t>
      </w:r>
      <w:r w:rsidRPr="00D770E9">
        <w:rPr>
          <w:rFonts w:ascii="Verdana" w:hAnsi="Verdana" w:cs="Arial"/>
          <w:sz w:val="20"/>
          <w:szCs w:val="20"/>
        </w:rPr>
        <w:t>, prepare and monitor case plans for clients for attendance at community support services and prepare and monitor income management orders.</w:t>
      </w:r>
    </w:p>
    <w:p w14:paraId="36682ECF" w14:textId="2DE23482"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 xml:space="preserve">Conference </w:t>
      </w:r>
      <w:r w:rsidR="00290202">
        <w:rPr>
          <w:rFonts w:ascii="Verdana" w:hAnsi="Verdana" w:cs="Arial"/>
          <w:b/>
          <w:sz w:val="20"/>
          <w:szCs w:val="20"/>
        </w:rPr>
        <w:t xml:space="preserve">and Hearing </w:t>
      </w:r>
      <w:r w:rsidRPr="00D770E9">
        <w:rPr>
          <w:rFonts w:ascii="Verdana" w:hAnsi="Verdana" w:cs="Arial"/>
          <w:b/>
          <w:sz w:val="20"/>
          <w:szCs w:val="20"/>
        </w:rPr>
        <w:t>Facilitation:</w:t>
      </w:r>
      <w:r w:rsidRPr="00D770E9">
        <w:rPr>
          <w:rFonts w:ascii="Verdana" w:hAnsi="Verdana" w:cs="Arial"/>
          <w:sz w:val="20"/>
          <w:szCs w:val="20"/>
        </w:rPr>
        <w:t xml:space="preserve"> including to facilitate the holding of conferences</w:t>
      </w:r>
      <w:r w:rsidR="00290202">
        <w:rPr>
          <w:rFonts w:ascii="Verdana" w:hAnsi="Verdana" w:cs="Arial"/>
          <w:sz w:val="20"/>
          <w:szCs w:val="20"/>
        </w:rPr>
        <w:t xml:space="preserve"> and hearings</w:t>
      </w:r>
      <w:r w:rsidRPr="00D770E9">
        <w:rPr>
          <w:rFonts w:ascii="Verdana" w:hAnsi="Verdana" w:cs="Arial"/>
          <w:sz w:val="20"/>
          <w:szCs w:val="20"/>
        </w:rPr>
        <w:t xml:space="preserve">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w:t>
      </w:r>
      <w:r w:rsidR="00886949">
        <w:rPr>
          <w:rFonts w:ascii="Verdana" w:hAnsi="Verdana" w:cs="Arial"/>
          <w:sz w:val="20"/>
          <w:szCs w:val="20"/>
        </w:rPr>
        <w:t xml:space="preserve"> and hearings</w:t>
      </w:r>
      <w:r w:rsidRPr="00D770E9">
        <w:rPr>
          <w:rFonts w:ascii="Verdana" w:hAnsi="Verdana" w:cs="Arial"/>
          <w:sz w:val="20"/>
          <w:szCs w:val="20"/>
        </w:rPr>
        <w:t>,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62E73E17"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oordinators and twenty-</w:t>
      </w:r>
      <w:r w:rsidR="003018E5" w:rsidRPr="00E343C8">
        <w:rPr>
          <w:rFonts w:cs="Arial"/>
        </w:rPr>
        <w:t>nine</w:t>
      </w:r>
      <w:r w:rsidRPr="0020608D">
        <w:rPr>
          <w:rFonts w:cs="Arial"/>
        </w:rPr>
        <w:t xml:space="preserve"> Local Commissioners, resident in their respective communities, and are paid as sessional sitting Commission members for conferencing, serving notices, </w:t>
      </w:r>
      <w:proofErr w:type="gramStart"/>
      <w:r w:rsidRPr="0020608D">
        <w:rPr>
          <w:rFonts w:cs="Arial"/>
        </w:rPr>
        <w:t>meetings</w:t>
      </w:r>
      <w:proofErr w:type="gramEnd"/>
      <w:r w:rsidRPr="0020608D">
        <w:rPr>
          <w:rFonts w:cs="Arial"/>
        </w:rPr>
        <w:t xml:space="preserve"> and professional development.</w:t>
      </w:r>
    </w:p>
    <w:p w14:paraId="5863E544" w14:textId="34B56F8B" w:rsidR="00C14FC9" w:rsidRDefault="00C14FC9" w:rsidP="00994941">
      <w:pPr>
        <w:ind w:left="-142" w:right="-425"/>
        <w:jc w:val="both"/>
        <w:rPr>
          <w:rFonts w:cs="Arial"/>
        </w:rPr>
      </w:pPr>
    </w:p>
    <w:p w14:paraId="0C7A0A97" w14:textId="77777777" w:rsidR="002D6888" w:rsidRDefault="002D6888">
      <w:pPr>
        <w:spacing w:line="240" w:lineRule="auto"/>
        <w:rPr>
          <w:rFonts w:cs="Arial"/>
        </w:rPr>
      </w:pPr>
      <w:r>
        <w:rPr>
          <w:rFonts w:cs="Arial"/>
        </w:rPr>
        <w:br w:type="page"/>
      </w:r>
    </w:p>
    <w:p w14:paraId="1988F4D6" w14:textId="40F50611" w:rsidR="00C14FC9" w:rsidRDefault="00C14FC9" w:rsidP="0020608D">
      <w:pPr>
        <w:ind w:left="-142" w:right="-425"/>
        <w:jc w:val="both"/>
        <w:rPr>
          <w:rFonts w:cs="Arial"/>
        </w:rPr>
      </w:pPr>
      <w:r w:rsidRPr="0020608D">
        <w:rPr>
          <w:rFonts w:cs="Arial"/>
        </w:rPr>
        <w:lastRenderedPageBreak/>
        <w:t xml:space="preserve">The allocation of the FRC’s costs </w:t>
      </w:r>
      <w:r w:rsidR="00C74BF5">
        <w:rPr>
          <w:rFonts w:cs="Arial"/>
        </w:rPr>
        <w:t>i</w:t>
      </w:r>
      <w:r w:rsidR="00D770E9">
        <w:rPr>
          <w:rFonts w:cs="Arial"/>
        </w:rPr>
        <w:t xml:space="preserve">n quarter </w:t>
      </w:r>
      <w:r w:rsidR="000D0A4E">
        <w:rPr>
          <w:rFonts w:cs="Arial"/>
        </w:rPr>
        <w:t>52</w:t>
      </w:r>
      <w:r w:rsidR="007914E0">
        <w:rPr>
          <w:rFonts w:cs="Arial"/>
        </w:rPr>
        <w:t xml:space="preserve"> </w:t>
      </w:r>
      <w:r w:rsidRPr="0020608D">
        <w:rPr>
          <w:rFonts w:cs="Arial"/>
        </w:rPr>
        <w:t>based on the above core functions is:</w:t>
      </w:r>
    </w:p>
    <w:p w14:paraId="12F69165" w14:textId="77777777" w:rsidR="002D6888" w:rsidRDefault="002D6888" w:rsidP="0020608D">
      <w:pPr>
        <w:ind w:left="-142" w:right="-425"/>
        <w:jc w:val="both"/>
        <w:rPr>
          <w:rFonts w:cs="Arial"/>
        </w:rPr>
      </w:pPr>
    </w:p>
    <w:p w14:paraId="11E19B58" w14:textId="00245E9F" w:rsidR="009A048A" w:rsidRPr="00E37B61" w:rsidRDefault="009A048A" w:rsidP="009A048A">
      <w:pPr>
        <w:pStyle w:val="TableCaption"/>
        <w:spacing w:before="0"/>
        <w:ind w:left="0" w:right="-425"/>
        <w:rPr>
          <w:b/>
          <w:i w:val="0"/>
          <w:sz w:val="16"/>
        </w:rPr>
      </w:pPr>
      <w:r w:rsidRPr="00E37B61">
        <w:rPr>
          <w:b/>
          <w:i w:val="0"/>
          <w:sz w:val="16"/>
        </w:rPr>
        <w:t xml:space="preserve">Table </w:t>
      </w:r>
      <w:r>
        <w:rPr>
          <w:b/>
          <w:i w:val="0"/>
          <w:sz w:val="16"/>
        </w:rPr>
        <w:t>2</w:t>
      </w:r>
      <w:r w:rsidR="00CF3070">
        <w:rPr>
          <w:b/>
          <w:i w:val="0"/>
          <w:sz w:val="16"/>
        </w:rPr>
        <w:t>4</w:t>
      </w:r>
      <w:r w:rsidRPr="00E37B61">
        <w:rPr>
          <w:b/>
          <w:i w:val="0"/>
          <w:sz w:val="16"/>
        </w:rPr>
        <w:t xml:space="preserve">: </w:t>
      </w:r>
      <w:r>
        <w:rPr>
          <w:i w:val="0"/>
          <w:sz w:val="16"/>
        </w:rPr>
        <w:t>Allocation of expenses</w:t>
      </w:r>
      <w:r w:rsidRPr="00E37B61">
        <w:rPr>
          <w:i w:val="0"/>
          <w:sz w:val="16"/>
        </w:rPr>
        <w:t xml:space="preserve"> 1 </w:t>
      </w:r>
      <w:r w:rsidR="002D6888">
        <w:rPr>
          <w:i w:val="0"/>
          <w:sz w:val="16"/>
        </w:rPr>
        <w:t>April</w:t>
      </w:r>
      <w:r>
        <w:rPr>
          <w:i w:val="0"/>
          <w:sz w:val="16"/>
        </w:rPr>
        <w:t xml:space="preserve"> 2021 to 3</w:t>
      </w:r>
      <w:r w:rsidR="002D6888">
        <w:rPr>
          <w:i w:val="0"/>
          <w:sz w:val="16"/>
        </w:rPr>
        <w:t xml:space="preserve">0 June </w:t>
      </w:r>
      <w:r w:rsidRPr="00E37B61">
        <w:rPr>
          <w:i w:val="0"/>
          <w:sz w:val="16"/>
        </w:rPr>
        <w:t>20</w:t>
      </w:r>
      <w:r>
        <w:rPr>
          <w:i w:val="0"/>
          <w:sz w:val="16"/>
        </w:rPr>
        <w:t>21</w:t>
      </w:r>
      <w:r w:rsidRPr="00E37B61">
        <w:rPr>
          <w:i w:val="0"/>
          <w:sz w:val="16"/>
        </w:rPr>
        <w:t>.</w:t>
      </w:r>
    </w:p>
    <w:tbl>
      <w:tblPr>
        <w:tblW w:w="4155" w:type="dxa"/>
        <w:tblInd w:w="93" w:type="dxa"/>
        <w:tblLook w:val="04A0" w:firstRow="1" w:lastRow="0" w:firstColumn="1" w:lastColumn="0" w:noHBand="0" w:noVBand="1"/>
      </w:tblPr>
      <w:tblGrid>
        <w:gridCol w:w="2596"/>
        <w:gridCol w:w="1559"/>
      </w:tblGrid>
      <w:tr w:rsidR="009A048A" w:rsidRPr="00920636" w14:paraId="71CEA055" w14:textId="77777777" w:rsidTr="008C0DF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17113538" w14:textId="77777777" w:rsidR="009A048A" w:rsidRPr="000F130C" w:rsidRDefault="009A048A" w:rsidP="008C0DF2">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0A336C4E" w14:textId="77777777" w:rsidR="009A048A" w:rsidRDefault="009A048A" w:rsidP="008C0DF2">
            <w:pPr>
              <w:pStyle w:val="TableText"/>
              <w:jc w:val="right"/>
              <w:rPr>
                <w:b/>
                <w:lang w:eastAsia="en-AU"/>
              </w:rPr>
            </w:pPr>
            <w:r>
              <w:rPr>
                <w:b/>
                <w:lang w:eastAsia="en-AU"/>
              </w:rPr>
              <w:t>Percentage of Allocated Expenses</w:t>
            </w:r>
          </w:p>
        </w:tc>
      </w:tr>
      <w:tr w:rsidR="009A048A" w:rsidRPr="00920636" w14:paraId="0B99EBF5" w14:textId="77777777" w:rsidTr="008C0DF2">
        <w:trPr>
          <w:trHeight w:val="255"/>
        </w:trPr>
        <w:tc>
          <w:tcPr>
            <w:tcW w:w="2596" w:type="dxa"/>
            <w:tcBorders>
              <w:top w:val="nil"/>
              <w:left w:val="single" w:sz="4" w:space="0" w:color="auto"/>
              <w:bottom w:val="single" w:sz="4" w:space="0" w:color="auto"/>
              <w:right w:val="single" w:sz="4" w:space="0" w:color="auto"/>
            </w:tcBorders>
            <w:noWrap/>
          </w:tcPr>
          <w:p w14:paraId="1EE9DF55" w14:textId="77777777" w:rsidR="009A048A" w:rsidRPr="00E72DFB" w:rsidRDefault="009A048A" w:rsidP="008C0DF2">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0D297C80" w14:textId="7B96C3D4" w:rsidR="009A048A" w:rsidRDefault="009A048A" w:rsidP="008C0DF2">
            <w:pPr>
              <w:pStyle w:val="TableText"/>
              <w:jc w:val="right"/>
              <w:rPr>
                <w:lang w:eastAsia="en-AU"/>
              </w:rPr>
            </w:pPr>
            <w:r>
              <w:rPr>
                <w:lang w:eastAsia="en-AU"/>
              </w:rPr>
              <w:t>25.</w:t>
            </w:r>
            <w:r w:rsidR="002D6888">
              <w:rPr>
                <w:lang w:eastAsia="en-AU"/>
              </w:rPr>
              <w:t>84</w:t>
            </w:r>
            <w:r>
              <w:rPr>
                <w:lang w:eastAsia="en-AU"/>
              </w:rPr>
              <w:t>%</w:t>
            </w:r>
          </w:p>
        </w:tc>
      </w:tr>
      <w:tr w:rsidR="009A048A" w:rsidRPr="00920636" w14:paraId="561BBC02" w14:textId="77777777" w:rsidTr="008C0DF2">
        <w:trPr>
          <w:trHeight w:val="255"/>
        </w:trPr>
        <w:tc>
          <w:tcPr>
            <w:tcW w:w="2596" w:type="dxa"/>
            <w:tcBorders>
              <w:top w:val="nil"/>
              <w:left w:val="single" w:sz="4" w:space="0" w:color="auto"/>
              <w:bottom w:val="single" w:sz="4" w:space="0" w:color="auto"/>
              <w:right w:val="single" w:sz="4" w:space="0" w:color="auto"/>
            </w:tcBorders>
            <w:noWrap/>
            <w:hideMark/>
          </w:tcPr>
          <w:p w14:paraId="2AFDC4FC" w14:textId="2E84ADD4" w:rsidR="009A048A" w:rsidRPr="00E72DFB" w:rsidRDefault="009A048A" w:rsidP="008C0DF2">
            <w:pPr>
              <w:pStyle w:val="TableText"/>
              <w:ind w:left="49"/>
              <w:rPr>
                <w:lang w:eastAsia="en-AU"/>
              </w:rPr>
            </w:pPr>
            <w:r w:rsidRPr="00E72DFB">
              <w:rPr>
                <w:lang w:eastAsia="en-AU"/>
              </w:rPr>
              <w:t xml:space="preserve">Conference </w:t>
            </w:r>
            <w:r w:rsidR="002D6888">
              <w:rPr>
                <w:lang w:eastAsia="en-AU"/>
              </w:rPr>
              <w:t xml:space="preserve">and Hearing </w:t>
            </w:r>
            <w:r w:rsidRPr="00E72DFB">
              <w:rPr>
                <w:lang w:eastAsia="en-AU"/>
              </w:rPr>
              <w:t>Facilitation</w:t>
            </w:r>
          </w:p>
        </w:tc>
        <w:tc>
          <w:tcPr>
            <w:tcW w:w="1559" w:type="dxa"/>
            <w:tcBorders>
              <w:top w:val="nil"/>
              <w:left w:val="nil"/>
              <w:bottom w:val="single" w:sz="4" w:space="0" w:color="auto"/>
              <w:right w:val="single" w:sz="4" w:space="0" w:color="auto"/>
            </w:tcBorders>
          </w:tcPr>
          <w:p w14:paraId="647ACD1D" w14:textId="0289A4D7" w:rsidR="009A048A" w:rsidRDefault="002D6888" w:rsidP="008C0DF2">
            <w:pPr>
              <w:pStyle w:val="TableText"/>
              <w:jc w:val="right"/>
              <w:rPr>
                <w:lang w:eastAsia="en-AU"/>
              </w:rPr>
            </w:pPr>
            <w:r>
              <w:rPr>
                <w:lang w:eastAsia="en-AU"/>
              </w:rPr>
              <w:t>26.95</w:t>
            </w:r>
            <w:r w:rsidR="009A048A">
              <w:rPr>
                <w:lang w:eastAsia="en-AU"/>
              </w:rPr>
              <w:t>%</w:t>
            </w:r>
          </w:p>
        </w:tc>
      </w:tr>
      <w:tr w:rsidR="009A048A" w:rsidRPr="00920636" w14:paraId="3EE8217E" w14:textId="77777777" w:rsidTr="008C0DF2">
        <w:trPr>
          <w:trHeight w:val="255"/>
        </w:trPr>
        <w:tc>
          <w:tcPr>
            <w:tcW w:w="2596" w:type="dxa"/>
            <w:tcBorders>
              <w:top w:val="nil"/>
              <w:left w:val="single" w:sz="4" w:space="0" w:color="auto"/>
              <w:bottom w:val="single" w:sz="4" w:space="0" w:color="auto"/>
              <w:right w:val="single" w:sz="4" w:space="0" w:color="auto"/>
            </w:tcBorders>
            <w:noWrap/>
            <w:hideMark/>
          </w:tcPr>
          <w:p w14:paraId="010876D7" w14:textId="77777777" w:rsidR="009A048A" w:rsidRPr="00E72DFB" w:rsidRDefault="009A048A" w:rsidP="008C0DF2">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3CC3CEFA" w14:textId="7ACAB9E1" w:rsidR="009A048A" w:rsidRDefault="009A048A" w:rsidP="008C0DF2">
            <w:pPr>
              <w:pStyle w:val="TableText"/>
              <w:jc w:val="right"/>
              <w:rPr>
                <w:lang w:eastAsia="en-AU"/>
              </w:rPr>
            </w:pPr>
            <w:r>
              <w:rPr>
                <w:lang w:eastAsia="en-AU"/>
              </w:rPr>
              <w:t>4</w:t>
            </w:r>
            <w:r w:rsidR="002D6888">
              <w:rPr>
                <w:lang w:eastAsia="en-AU"/>
              </w:rPr>
              <w:t>7.21</w:t>
            </w:r>
            <w:r>
              <w:rPr>
                <w:lang w:eastAsia="en-AU"/>
              </w:rPr>
              <w:t>%</w:t>
            </w:r>
          </w:p>
        </w:tc>
      </w:tr>
      <w:tr w:rsidR="009A048A" w:rsidRPr="00920636" w14:paraId="3CB8B02F" w14:textId="77777777" w:rsidTr="008C0DF2">
        <w:trPr>
          <w:trHeight w:val="255"/>
        </w:trPr>
        <w:tc>
          <w:tcPr>
            <w:tcW w:w="2596" w:type="dxa"/>
            <w:tcBorders>
              <w:top w:val="nil"/>
              <w:left w:val="single" w:sz="4" w:space="0" w:color="auto"/>
              <w:bottom w:val="single" w:sz="4" w:space="0" w:color="auto"/>
              <w:right w:val="single" w:sz="4" w:space="0" w:color="auto"/>
            </w:tcBorders>
            <w:noWrap/>
            <w:hideMark/>
          </w:tcPr>
          <w:p w14:paraId="6A59A774" w14:textId="77777777" w:rsidR="009A048A" w:rsidRPr="000F130C" w:rsidRDefault="009A048A" w:rsidP="008C0DF2">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0C79EE53" w14:textId="77777777" w:rsidR="009A048A" w:rsidRDefault="009A048A" w:rsidP="008C0DF2">
            <w:pPr>
              <w:pStyle w:val="TableText"/>
              <w:jc w:val="right"/>
              <w:rPr>
                <w:b/>
                <w:lang w:eastAsia="en-AU"/>
              </w:rPr>
            </w:pPr>
            <w:r>
              <w:rPr>
                <w:b/>
                <w:lang w:eastAsia="en-AU"/>
              </w:rPr>
              <w:t>100.00%</w:t>
            </w:r>
          </w:p>
        </w:tc>
      </w:tr>
    </w:tbl>
    <w:p w14:paraId="144BC03C" w14:textId="77777777" w:rsidR="009A048A" w:rsidRDefault="009A048A" w:rsidP="009A048A">
      <w:pPr>
        <w:ind w:left="-142" w:right="-425"/>
        <w:jc w:val="both"/>
        <w:rPr>
          <w:rFonts w:cs="Arial"/>
          <w:b/>
          <w:sz w:val="16"/>
          <w:szCs w:val="16"/>
        </w:rPr>
      </w:pPr>
    </w:p>
    <w:p w14:paraId="391A8A60" w14:textId="77777777" w:rsidR="009A048A" w:rsidRDefault="009A048A" w:rsidP="009A048A">
      <w:pPr>
        <w:ind w:left="-142" w:right="-425"/>
        <w:jc w:val="both"/>
        <w:rPr>
          <w:rFonts w:cs="Arial"/>
        </w:rPr>
      </w:pPr>
      <w:r>
        <w:rPr>
          <w:rFonts w:cs="Arial"/>
        </w:rPr>
        <w:t>R</w:t>
      </w:r>
      <w:r w:rsidRPr="00190B3A">
        <w:rPr>
          <w:rFonts w:cs="Arial"/>
        </w:rPr>
        <w:t>egional operational expenditure by location and quarter</w:t>
      </w:r>
      <w:r>
        <w:rPr>
          <w:rFonts w:cs="Arial"/>
        </w:rPr>
        <w:t>.</w:t>
      </w:r>
    </w:p>
    <w:p w14:paraId="4A3B50C7" w14:textId="77777777" w:rsidR="009A048A" w:rsidRDefault="009A048A" w:rsidP="009A048A">
      <w:pPr>
        <w:ind w:left="-142" w:right="-425"/>
        <w:jc w:val="both"/>
        <w:rPr>
          <w:rFonts w:cs="Arial"/>
        </w:rPr>
      </w:pPr>
    </w:p>
    <w:p w14:paraId="6096BC35" w14:textId="7A505ABA" w:rsidR="009A048A" w:rsidRPr="00E37B61" w:rsidRDefault="009A048A" w:rsidP="009A048A">
      <w:pPr>
        <w:pStyle w:val="TableCaption"/>
        <w:spacing w:before="0"/>
        <w:ind w:left="0" w:right="-425"/>
        <w:rPr>
          <w:b/>
          <w:i w:val="0"/>
          <w:sz w:val="16"/>
        </w:rPr>
      </w:pPr>
      <w:r w:rsidRPr="00E37B61">
        <w:rPr>
          <w:b/>
          <w:i w:val="0"/>
          <w:sz w:val="16"/>
        </w:rPr>
        <w:t xml:space="preserve">Table </w:t>
      </w:r>
      <w:r>
        <w:rPr>
          <w:b/>
          <w:i w:val="0"/>
          <w:sz w:val="16"/>
        </w:rPr>
        <w:t>2</w:t>
      </w:r>
      <w:r w:rsidR="00CF3070">
        <w:rPr>
          <w:b/>
          <w:i w:val="0"/>
          <w:sz w:val="16"/>
        </w:rPr>
        <w:t>5</w:t>
      </w:r>
      <w:r w:rsidRPr="00E37B61">
        <w:rPr>
          <w:b/>
          <w:i w:val="0"/>
          <w:sz w:val="16"/>
        </w:rPr>
        <w:t xml:space="preserve">: </w:t>
      </w:r>
      <w:r w:rsidRPr="00E37B61">
        <w:rPr>
          <w:i w:val="0"/>
          <w:sz w:val="16"/>
        </w:rPr>
        <w:t xml:space="preserve">Operating costs by remote location 1 </w:t>
      </w:r>
      <w:r w:rsidR="002D6888">
        <w:rPr>
          <w:i w:val="0"/>
          <w:sz w:val="16"/>
        </w:rPr>
        <w:t>April</w:t>
      </w:r>
      <w:r>
        <w:rPr>
          <w:i w:val="0"/>
          <w:sz w:val="16"/>
        </w:rPr>
        <w:t xml:space="preserve"> 2020 to 3</w:t>
      </w:r>
      <w:r w:rsidR="002D6888">
        <w:rPr>
          <w:i w:val="0"/>
          <w:sz w:val="16"/>
        </w:rPr>
        <w:t xml:space="preserve">0 June </w:t>
      </w:r>
      <w:r w:rsidRPr="00E37B61">
        <w:rPr>
          <w:i w:val="0"/>
          <w:sz w:val="16"/>
        </w:rPr>
        <w:t>20</w:t>
      </w:r>
      <w:r>
        <w:rPr>
          <w:i w:val="0"/>
          <w:sz w:val="16"/>
        </w:rPr>
        <w:t>21</w:t>
      </w:r>
      <w:r w:rsidRPr="00E37B61">
        <w:rPr>
          <w:i w:val="0"/>
          <w:sz w:val="16"/>
        </w:rPr>
        <w:t>.</w:t>
      </w:r>
    </w:p>
    <w:tbl>
      <w:tblPr>
        <w:tblW w:w="8805" w:type="dxa"/>
        <w:tblInd w:w="93" w:type="dxa"/>
        <w:tblLook w:val="04A0" w:firstRow="1" w:lastRow="0" w:firstColumn="1" w:lastColumn="0" w:noHBand="0" w:noVBand="1"/>
      </w:tblPr>
      <w:tblGrid>
        <w:gridCol w:w="2596"/>
        <w:gridCol w:w="1241"/>
        <w:gridCol w:w="1242"/>
        <w:gridCol w:w="1242"/>
        <w:gridCol w:w="1242"/>
        <w:gridCol w:w="1242"/>
      </w:tblGrid>
      <w:tr w:rsidR="00D339E0" w:rsidRPr="000F130C" w14:paraId="186EA6FE" w14:textId="77777777" w:rsidTr="008C0DF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11BF15E6" w14:textId="77777777" w:rsidR="00D339E0" w:rsidRPr="000F130C" w:rsidRDefault="00D339E0" w:rsidP="00D339E0">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tcPr>
          <w:p w14:paraId="6AB7C775" w14:textId="669200F3" w:rsidR="00D339E0" w:rsidRDefault="00D339E0" w:rsidP="00D339E0">
            <w:pPr>
              <w:pStyle w:val="TableText"/>
              <w:jc w:val="right"/>
              <w:rPr>
                <w:b/>
                <w:lang w:eastAsia="en-AU"/>
              </w:rPr>
            </w:pPr>
            <w:r>
              <w:rPr>
                <w:b/>
                <w:lang w:eastAsia="en-AU"/>
              </w:rPr>
              <w:t>Qtr 48</w:t>
            </w:r>
          </w:p>
        </w:tc>
        <w:tc>
          <w:tcPr>
            <w:tcW w:w="1242" w:type="dxa"/>
            <w:tcBorders>
              <w:top w:val="single" w:sz="4" w:space="0" w:color="auto"/>
              <w:left w:val="nil"/>
              <w:bottom w:val="single" w:sz="4" w:space="0" w:color="auto"/>
              <w:right w:val="single" w:sz="4" w:space="0" w:color="auto"/>
            </w:tcBorders>
          </w:tcPr>
          <w:p w14:paraId="276BC878" w14:textId="20F88A52" w:rsidR="00D339E0" w:rsidRDefault="00D339E0" w:rsidP="00D339E0">
            <w:pPr>
              <w:pStyle w:val="TableText"/>
              <w:jc w:val="right"/>
              <w:rPr>
                <w:b/>
                <w:lang w:eastAsia="en-AU"/>
              </w:rPr>
            </w:pPr>
            <w:r>
              <w:rPr>
                <w:b/>
                <w:lang w:eastAsia="en-AU"/>
              </w:rPr>
              <w:t>Qtr 49</w:t>
            </w:r>
          </w:p>
        </w:tc>
        <w:tc>
          <w:tcPr>
            <w:tcW w:w="1242" w:type="dxa"/>
            <w:tcBorders>
              <w:top w:val="single" w:sz="4" w:space="0" w:color="auto"/>
              <w:left w:val="nil"/>
              <w:bottom w:val="single" w:sz="4" w:space="0" w:color="auto"/>
              <w:right w:val="single" w:sz="4" w:space="0" w:color="auto"/>
            </w:tcBorders>
          </w:tcPr>
          <w:p w14:paraId="6CF66BD2" w14:textId="00CA995A" w:rsidR="00D339E0" w:rsidRDefault="00D339E0" w:rsidP="00D339E0">
            <w:pPr>
              <w:pStyle w:val="TableText"/>
              <w:jc w:val="right"/>
              <w:rPr>
                <w:b/>
                <w:lang w:eastAsia="en-AU"/>
              </w:rPr>
            </w:pPr>
            <w:r>
              <w:rPr>
                <w:b/>
                <w:lang w:eastAsia="en-AU"/>
              </w:rPr>
              <w:t>Qtr 50</w:t>
            </w:r>
          </w:p>
        </w:tc>
        <w:tc>
          <w:tcPr>
            <w:tcW w:w="1242" w:type="dxa"/>
            <w:tcBorders>
              <w:top w:val="single" w:sz="4" w:space="0" w:color="auto"/>
              <w:left w:val="nil"/>
              <w:bottom w:val="single" w:sz="4" w:space="0" w:color="auto"/>
              <w:right w:val="single" w:sz="4" w:space="0" w:color="auto"/>
            </w:tcBorders>
          </w:tcPr>
          <w:p w14:paraId="44935B63" w14:textId="2FBDFAA9" w:rsidR="00D339E0" w:rsidRDefault="00D339E0" w:rsidP="00D339E0">
            <w:pPr>
              <w:pStyle w:val="TableText"/>
              <w:jc w:val="right"/>
              <w:rPr>
                <w:b/>
                <w:lang w:eastAsia="en-AU"/>
              </w:rPr>
            </w:pPr>
            <w:r>
              <w:rPr>
                <w:b/>
                <w:lang w:eastAsia="en-AU"/>
              </w:rPr>
              <w:t>Qtr 51</w:t>
            </w:r>
          </w:p>
        </w:tc>
        <w:tc>
          <w:tcPr>
            <w:tcW w:w="1242" w:type="dxa"/>
            <w:tcBorders>
              <w:top w:val="single" w:sz="4" w:space="0" w:color="auto"/>
              <w:left w:val="nil"/>
              <w:bottom w:val="single" w:sz="4" w:space="0" w:color="auto"/>
              <w:right w:val="single" w:sz="4" w:space="0" w:color="auto"/>
            </w:tcBorders>
          </w:tcPr>
          <w:p w14:paraId="6425C7CB" w14:textId="6843F67C" w:rsidR="00D339E0" w:rsidRDefault="00D339E0" w:rsidP="00D339E0">
            <w:pPr>
              <w:pStyle w:val="TableText"/>
              <w:jc w:val="right"/>
              <w:rPr>
                <w:b/>
                <w:lang w:eastAsia="en-AU"/>
              </w:rPr>
            </w:pPr>
            <w:r>
              <w:rPr>
                <w:b/>
                <w:lang w:eastAsia="en-AU"/>
              </w:rPr>
              <w:t>Qtr 52</w:t>
            </w:r>
          </w:p>
        </w:tc>
      </w:tr>
      <w:tr w:rsidR="00D339E0" w:rsidRPr="000F130C" w14:paraId="75EF4BB7" w14:textId="77777777" w:rsidTr="0050745E">
        <w:trPr>
          <w:trHeight w:val="255"/>
        </w:trPr>
        <w:tc>
          <w:tcPr>
            <w:tcW w:w="2596" w:type="dxa"/>
            <w:tcBorders>
              <w:top w:val="nil"/>
              <w:left w:val="single" w:sz="4" w:space="0" w:color="auto"/>
              <w:bottom w:val="single" w:sz="4" w:space="0" w:color="auto"/>
              <w:right w:val="single" w:sz="4" w:space="0" w:color="auto"/>
            </w:tcBorders>
            <w:noWrap/>
            <w:hideMark/>
          </w:tcPr>
          <w:p w14:paraId="6809157E" w14:textId="77777777" w:rsidR="00D339E0" w:rsidRPr="000F130C" w:rsidRDefault="00D339E0" w:rsidP="00D339E0">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vAlign w:val="bottom"/>
          </w:tcPr>
          <w:p w14:paraId="3F8A7DF5" w14:textId="6247218B" w:rsidR="00D339E0" w:rsidRDefault="00D339E0" w:rsidP="00D339E0">
            <w:pPr>
              <w:pStyle w:val="TableText"/>
              <w:jc w:val="right"/>
              <w:rPr>
                <w:lang w:eastAsia="en-AU"/>
              </w:rPr>
            </w:pPr>
            <w:r w:rsidRPr="00346120">
              <w:rPr>
                <w:color w:val="000000"/>
              </w:rPr>
              <w:t>$117K</w:t>
            </w:r>
          </w:p>
        </w:tc>
        <w:tc>
          <w:tcPr>
            <w:tcW w:w="1242" w:type="dxa"/>
            <w:tcBorders>
              <w:top w:val="nil"/>
              <w:left w:val="nil"/>
              <w:bottom w:val="single" w:sz="4" w:space="0" w:color="auto"/>
              <w:right w:val="single" w:sz="4" w:space="0" w:color="auto"/>
            </w:tcBorders>
            <w:vAlign w:val="bottom"/>
          </w:tcPr>
          <w:p w14:paraId="3F0EEB28" w14:textId="42E40DF7" w:rsidR="00D339E0" w:rsidRDefault="00D339E0" w:rsidP="00D339E0">
            <w:pPr>
              <w:pStyle w:val="TableText"/>
              <w:jc w:val="right"/>
              <w:rPr>
                <w:lang w:eastAsia="en-AU"/>
              </w:rPr>
            </w:pPr>
            <w:r>
              <w:rPr>
                <w:rFonts w:cs="Calibri"/>
                <w:color w:val="000000"/>
              </w:rPr>
              <w:t>$</w:t>
            </w:r>
            <w:r w:rsidRPr="00705863">
              <w:rPr>
                <w:rFonts w:cs="Calibri"/>
                <w:color w:val="000000"/>
              </w:rPr>
              <w:t>82K</w:t>
            </w:r>
          </w:p>
        </w:tc>
        <w:tc>
          <w:tcPr>
            <w:tcW w:w="1242" w:type="dxa"/>
            <w:tcBorders>
              <w:top w:val="nil"/>
              <w:left w:val="nil"/>
              <w:bottom w:val="single" w:sz="4" w:space="0" w:color="auto"/>
              <w:right w:val="single" w:sz="4" w:space="0" w:color="auto"/>
            </w:tcBorders>
            <w:vAlign w:val="bottom"/>
          </w:tcPr>
          <w:p w14:paraId="3A603E7D" w14:textId="78FA2D9B" w:rsidR="00D339E0" w:rsidRDefault="00D339E0" w:rsidP="00D339E0">
            <w:pPr>
              <w:pStyle w:val="TableText"/>
              <w:jc w:val="right"/>
              <w:rPr>
                <w:lang w:eastAsia="en-AU"/>
              </w:rPr>
            </w:pPr>
            <w:r>
              <w:rPr>
                <w:rFonts w:cs="Calibri"/>
                <w:color w:val="000000"/>
              </w:rPr>
              <w:t>$104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194A1CE6" w14:textId="1727C165" w:rsidR="00D339E0" w:rsidRPr="00346120" w:rsidRDefault="00D339E0" w:rsidP="00D339E0">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B437514" w14:textId="0E923F1C" w:rsidR="00D339E0" w:rsidRPr="00705863" w:rsidRDefault="00D339E0" w:rsidP="00D339E0">
            <w:pPr>
              <w:pStyle w:val="TableText"/>
              <w:jc w:val="right"/>
              <w:rPr>
                <w:color w:val="000000"/>
              </w:rPr>
            </w:pPr>
            <w:r>
              <w:rPr>
                <w:rFonts w:cs="Calibri"/>
                <w:color w:val="000000"/>
              </w:rPr>
              <w:t>$124</w:t>
            </w:r>
            <w:r w:rsidRPr="00705863">
              <w:rPr>
                <w:rFonts w:cs="Calibri"/>
                <w:color w:val="000000"/>
              </w:rPr>
              <w:t>K</w:t>
            </w:r>
          </w:p>
        </w:tc>
      </w:tr>
      <w:tr w:rsidR="00D339E0" w:rsidRPr="000F130C" w14:paraId="0F8F7271" w14:textId="77777777" w:rsidTr="0050745E">
        <w:trPr>
          <w:trHeight w:val="255"/>
        </w:trPr>
        <w:tc>
          <w:tcPr>
            <w:tcW w:w="2596" w:type="dxa"/>
            <w:tcBorders>
              <w:top w:val="nil"/>
              <w:left w:val="single" w:sz="4" w:space="0" w:color="auto"/>
              <w:bottom w:val="single" w:sz="4" w:space="0" w:color="auto"/>
              <w:right w:val="single" w:sz="4" w:space="0" w:color="auto"/>
            </w:tcBorders>
            <w:noWrap/>
            <w:hideMark/>
          </w:tcPr>
          <w:p w14:paraId="7838A84F" w14:textId="77777777" w:rsidR="00D339E0" w:rsidRPr="000F130C" w:rsidRDefault="00D339E0" w:rsidP="00D339E0">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vAlign w:val="bottom"/>
          </w:tcPr>
          <w:p w14:paraId="309DD038" w14:textId="202B41D1" w:rsidR="00D339E0" w:rsidRDefault="00D339E0" w:rsidP="00D339E0">
            <w:pPr>
              <w:pStyle w:val="TableText"/>
              <w:jc w:val="right"/>
              <w:rPr>
                <w:lang w:eastAsia="en-AU"/>
              </w:rPr>
            </w:pPr>
            <w:r w:rsidRPr="00346120">
              <w:rPr>
                <w:color w:val="000000"/>
              </w:rPr>
              <w:t>$16K</w:t>
            </w:r>
          </w:p>
        </w:tc>
        <w:tc>
          <w:tcPr>
            <w:tcW w:w="1242" w:type="dxa"/>
            <w:tcBorders>
              <w:top w:val="nil"/>
              <w:left w:val="nil"/>
              <w:bottom w:val="single" w:sz="4" w:space="0" w:color="auto"/>
              <w:right w:val="single" w:sz="4" w:space="0" w:color="auto"/>
            </w:tcBorders>
            <w:vAlign w:val="bottom"/>
          </w:tcPr>
          <w:p w14:paraId="3149AF04" w14:textId="34E782C7" w:rsidR="00D339E0" w:rsidRDefault="00D339E0" w:rsidP="00D339E0">
            <w:pPr>
              <w:pStyle w:val="TableText"/>
              <w:jc w:val="right"/>
              <w:rPr>
                <w:lang w:eastAsia="en-AU"/>
              </w:rPr>
            </w:pPr>
            <w:r>
              <w:rPr>
                <w:rFonts w:cs="Calibri"/>
                <w:color w:val="000000"/>
              </w:rPr>
              <w:t>$</w:t>
            </w:r>
            <w:r w:rsidRPr="00705863">
              <w:rPr>
                <w:rFonts w:cs="Calibri"/>
                <w:color w:val="000000"/>
              </w:rPr>
              <w:t>30K</w:t>
            </w:r>
          </w:p>
        </w:tc>
        <w:tc>
          <w:tcPr>
            <w:tcW w:w="1242" w:type="dxa"/>
            <w:tcBorders>
              <w:top w:val="nil"/>
              <w:left w:val="nil"/>
              <w:bottom w:val="single" w:sz="4" w:space="0" w:color="auto"/>
              <w:right w:val="single" w:sz="4" w:space="0" w:color="auto"/>
            </w:tcBorders>
            <w:vAlign w:val="bottom"/>
          </w:tcPr>
          <w:p w14:paraId="72CBE88B" w14:textId="40A8C5BB" w:rsidR="00D339E0" w:rsidRDefault="00D339E0" w:rsidP="00D339E0">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13A51043" w14:textId="653914C5" w:rsidR="00D339E0" w:rsidRPr="00346120" w:rsidRDefault="00D339E0" w:rsidP="00D339E0">
            <w:pPr>
              <w:pStyle w:val="TableText"/>
              <w:jc w:val="right"/>
              <w:rPr>
                <w:lang w:eastAsia="en-AU"/>
              </w:rPr>
            </w:pPr>
            <w:r>
              <w:rPr>
                <w:rFonts w:cs="Calibri"/>
                <w:color w:val="000000"/>
              </w:rPr>
              <w:t>$28</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E6DA63E" w14:textId="7F721AE5" w:rsidR="00D339E0" w:rsidRPr="00705863" w:rsidRDefault="00D339E0" w:rsidP="00D339E0">
            <w:pPr>
              <w:pStyle w:val="TableText"/>
              <w:jc w:val="right"/>
              <w:rPr>
                <w:color w:val="000000"/>
              </w:rPr>
            </w:pPr>
            <w:r>
              <w:rPr>
                <w:rFonts w:cs="Calibri"/>
                <w:color w:val="000000"/>
              </w:rPr>
              <w:t>$40</w:t>
            </w:r>
            <w:r w:rsidRPr="00705863">
              <w:rPr>
                <w:rFonts w:cs="Calibri"/>
                <w:color w:val="000000"/>
              </w:rPr>
              <w:t>K</w:t>
            </w:r>
          </w:p>
        </w:tc>
      </w:tr>
      <w:tr w:rsidR="00D339E0" w:rsidRPr="000F130C" w14:paraId="438EEEF5" w14:textId="77777777" w:rsidTr="0050745E">
        <w:trPr>
          <w:trHeight w:val="255"/>
        </w:trPr>
        <w:tc>
          <w:tcPr>
            <w:tcW w:w="2596" w:type="dxa"/>
            <w:tcBorders>
              <w:top w:val="nil"/>
              <w:left w:val="single" w:sz="4" w:space="0" w:color="auto"/>
              <w:bottom w:val="single" w:sz="4" w:space="0" w:color="auto"/>
              <w:right w:val="single" w:sz="4" w:space="0" w:color="auto"/>
            </w:tcBorders>
            <w:noWrap/>
          </w:tcPr>
          <w:p w14:paraId="0D260B55" w14:textId="77777777" w:rsidR="00D339E0" w:rsidRPr="000F130C" w:rsidRDefault="00D339E0" w:rsidP="00D339E0">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vAlign w:val="bottom"/>
          </w:tcPr>
          <w:p w14:paraId="078D6ACA" w14:textId="4F464666" w:rsidR="00D339E0" w:rsidRDefault="00D339E0" w:rsidP="00D339E0">
            <w:pPr>
              <w:pStyle w:val="TableText"/>
              <w:jc w:val="right"/>
              <w:rPr>
                <w:lang w:eastAsia="en-AU"/>
              </w:rPr>
            </w:pPr>
            <w:r w:rsidRPr="00346120">
              <w:rPr>
                <w:color w:val="000000"/>
              </w:rPr>
              <w:t>$123K</w:t>
            </w:r>
          </w:p>
        </w:tc>
        <w:tc>
          <w:tcPr>
            <w:tcW w:w="1242" w:type="dxa"/>
            <w:tcBorders>
              <w:top w:val="nil"/>
              <w:left w:val="nil"/>
              <w:bottom w:val="single" w:sz="4" w:space="0" w:color="auto"/>
              <w:right w:val="single" w:sz="4" w:space="0" w:color="auto"/>
            </w:tcBorders>
            <w:vAlign w:val="bottom"/>
          </w:tcPr>
          <w:p w14:paraId="57466F9E" w14:textId="7B59F258" w:rsidR="00D339E0" w:rsidRDefault="00D339E0" w:rsidP="00D339E0">
            <w:pPr>
              <w:pStyle w:val="TableText"/>
              <w:jc w:val="right"/>
              <w:rPr>
                <w:lang w:eastAsia="en-AU"/>
              </w:rPr>
            </w:pPr>
            <w:r>
              <w:rPr>
                <w:rFonts w:cs="Calibri"/>
                <w:color w:val="000000"/>
              </w:rPr>
              <w:t>$</w:t>
            </w:r>
            <w:r w:rsidRPr="00705863">
              <w:rPr>
                <w:rFonts w:cs="Calibri"/>
                <w:color w:val="000000"/>
              </w:rPr>
              <w:t>187K</w:t>
            </w:r>
          </w:p>
        </w:tc>
        <w:tc>
          <w:tcPr>
            <w:tcW w:w="1242" w:type="dxa"/>
            <w:tcBorders>
              <w:top w:val="nil"/>
              <w:left w:val="nil"/>
              <w:bottom w:val="single" w:sz="4" w:space="0" w:color="auto"/>
              <w:right w:val="single" w:sz="4" w:space="0" w:color="auto"/>
            </w:tcBorders>
            <w:vAlign w:val="bottom"/>
          </w:tcPr>
          <w:p w14:paraId="4434EEFE" w14:textId="237638F6" w:rsidR="00D339E0" w:rsidRDefault="00D339E0" w:rsidP="00D339E0">
            <w:pPr>
              <w:pStyle w:val="TableText"/>
              <w:jc w:val="right"/>
              <w:rPr>
                <w:lang w:eastAsia="en-AU"/>
              </w:rPr>
            </w:pPr>
            <w:r>
              <w:rPr>
                <w:rFonts w:cs="Calibri"/>
                <w:color w:val="000000"/>
              </w:rPr>
              <w:t>$20</w:t>
            </w:r>
            <w:r w:rsidRPr="00705863">
              <w:rPr>
                <w:rFonts w:cs="Calibri"/>
                <w:color w:val="000000"/>
              </w:rPr>
              <w:t>7K</w:t>
            </w:r>
          </w:p>
        </w:tc>
        <w:tc>
          <w:tcPr>
            <w:tcW w:w="1242" w:type="dxa"/>
            <w:tcBorders>
              <w:top w:val="nil"/>
              <w:left w:val="nil"/>
              <w:bottom w:val="single" w:sz="4" w:space="0" w:color="auto"/>
              <w:right w:val="single" w:sz="4" w:space="0" w:color="auto"/>
            </w:tcBorders>
            <w:vAlign w:val="bottom"/>
          </w:tcPr>
          <w:p w14:paraId="3DC16402" w14:textId="414ABA86" w:rsidR="00D339E0" w:rsidRPr="00346120" w:rsidRDefault="00D339E0" w:rsidP="00D339E0">
            <w:pPr>
              <w:pStyle w:val="TableText"/>
              <w:jc w:val="right"/>
              <w:rPr>
                <w:lang w:eastAsia="en-AU"/>
              </w:rPr>
            </w:pPr>
            <w:r>
              <w:rPr>
                <w:rFonts w:cs="Calibri"/>
                <w:color w:val="000000"/>
              </w:rPr>
              <w:t>$163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F26837C" w14:textId="73D2C95F" w:rsidR="00D339E0" w:rsidRPr="00705863" w:rsidRDefault="00D339E0" w:rsidP="00D339E0">
            <w:pPr>
              <w:pStyle w:val="TableText"/>
              <w:jc w:val="right"/>
              <w:rPr>
                <w:color w:val="000000"/>
              </w:rPr>
            </w:pPr>
            <w:r>
              <w:rPr>
                <w:rFonts w:cs="Calibri"/>
                <w:color w:val="000000"/>
              </w:rPr>
              <w:t>$177</w:t>
            </w:r>
            <w:r w:rsidRPr="00705863">
              <w:rPr>
                <w:rFonts w:cs="Calibri"/>
                <w:color w:val="000000"/>
              </w:rPr>
              <w:t>K</w:t>
            </w:r>
          </w:p>
        </w:tc>
      </w:tr>
      <w:tr w:rsidR="00D339E0" w:rsidRPr="000F130C" w14:paraId="101F0DDB" w14:textId="77777777" w:rsidTr="0050745E">
        <w:trPr>
          <w:trHeight w:val="255"/>
        </w:trPr>
        <w:tc>
          <w:tcPr>
            <w:tcW w:w="2596" w:type="dxa"/>
            <w:tcBorders>
              <w:top w:val="nil"/>
              <w:left w:val="single" w:sz="4" w:space="0" w:color="auto"/>
              <w:bottom w:val="single" w:sz="4" w:space="0" w:color="auto"/>
              <w:right w:val="single" w:sz="4" w:space="0" w:color="auto"/>
            </w:tcBorders>
            <w:noWrap/>
            <w:hideMark/>
          </w:tcPr>
          <w:p w14:paraId="5D720EB5" w14:textId="77777777" w:rsidR="00D339E0" w:rsidRPr="000F130C" w:rsidRDefault="00D339E0" w:rsidP="00D339E0">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vAlign w:val="bottom"/>
          </w:tcPr>
          <w:p w14:paraId="7BAB308F" w14:textId="10A54641" w:rsidR="00D339E0" w:rsidRDefault="00D339E0" w:rsidP="00D339E0">
            <w:pPr>
              <w:pStyle w:val="TableText"/>
              <w:jc w:val="right"/>
              <w:rPr>
                <w:lang w:eastAsia="en-AU"/>
              </w:rPr>
            </w:pPr>
            <w:r w:rsidRPr="00346120">
              <w:rPr>
                <w:color w:val="000000"/>
              </w:rPr>
              <w:t>$49K</w:t>
            </w:r>
          </w:p>
        </w:tc>
        <w:tc>
          <w:tcPr>
            <w:tcW w:w="1242" w:type="dxa"/>
            <w:tcBorders>
              <w:top w:val="nil"/>
              <w:left w:val="nil"/>
              <w:bottom w:val="single" w:sz="4" w:space="0" w:color="auto"/>
              <w:right w:val="single" w:sz="4" w:space="0" w:color="auto"/>
            </w:tcBorders>
            <w:vAlign w:val="bottom"/>
          </w:tcPr>
          <w:p w14:paraId="7172D2FC" w14:textId="1AF5DE6C" w:rsidR="00D339E0" w:rsidRDefault="00D339E0" w:rsidP="00D339E0">
            <w:pPr>
              <w:pStyle w:val="TableText"/>
              <w:jc w:val="right"/>
              <w:rPr>
                <w:lang w:eastAsia="en-AU"/>
              </w:rPr>
            </w:pPr>
            <w:r>
              <w:rPr>
                <w:rFonts w:cs="Calibri"/>
                <w:color w:val="000000"/>
              </w:rPr>
              <w:t>$</w:t>
            </w:r>
            <w:r w:rsidRPr="00705863">
              <w:rPr>
                <w:rFonts w:cs="Calibri"/>
                <w:color w:val="000000"/>
              </w:rPr>
              <w:t>67K</w:t>
            </w:r>
          </w:p>
        </w:tc>
        <w:tc>
          <w:tcPr>
            <w:tcW w:w="1242" w:type="dxa"/>
            <w:tcBorders>
              <w:top w:val="nil"/>
              <w:left w:val="nil"/>
              <w:bottom w:val="single" w:sz="4" w:space="0" w:color="auto"/>
              <w:right w:val="single" w:sz="4" w:space="0" w:color="auto"/>
            </w:tcBorders>
            <w:vAlign w:val="bottom"/>
          </w:tcPr>
          <w:p w14:paraId="5D150342" w14:textId="119EEEB9" w:rsidR="00D339E0" w:rsidRDefault="00D339E0" w:rsidP="00D339E0">
            <w:pPr>
              <w:pStyle w:val="TableText"/>
              <w:jc w:val="right"/>
              <w:rPr>
                <w:lang w:eastAsia="en-AU"/>
              </w:rPr>
            </w:pPr>
            <w:r>
              <w:rPr>
                <w:rFonts w:cs="Calibri"/>
                <w:color w:val="000000"/>
              </w:rPr>
              <w:t>$</w:t>
            </w:r>
            <w:r w:rsidRPr="00705863">
              <w:rPr>
                <w:rFonts w:cs="Calibri"/>
                <w:color w:val="000000"/>
              </w:rPr>
              <w:t>6</w:t>
            </w:r>
            <w:r>
              <w:rPr>
                <w:rFonts w:cs="Calibri"/>
                <w:color w:val="000000"/>
              </w:rPr>
              <w:t>2</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A2AE29B" w14:textId="354371EC" w:rsidR="00D339E0" w:rsidRPr="00346120" w:rsidRDefault="00D339E0" w:rsidP="00D339E0">
            <w:pPr>
              <w:pStyle w:val="TableText"/>
              <w:jc w:val="right"/>
              <w:rPr>
                <w:lang w:eastAsia="en-AU"/>
              </w:rPr>
            </w:pPr>
            <w:r>
              <w:rPr>
                <w:rFonts w:cs="Calibri"/>
                <w:color w:val="000000"/>
              </w:rPr>
              <w:t>$73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A440FCE" w14:textId="01DBBFB8" w:rsidR="00D339E0" w:rsidRPr="00705863" w:rsidRDefault="00D339E0" w:rsidP="00D339E0">
            <w:pPr>
              <w:pStyle w:val="TableText"/>
              <w:jc w:val="right"/>
              <w:rPr>
                <w:color w:val="000000"/>
              </w:rPr>
            </w:pPr>
            <w:r>
              <w:rPr>
                <w:rFonts w:cs="Calibri"/>
                <w:color w:val="000000"/>
              </w:rPr>
              <w:t>$90</w:t>
            </w:r>
            <w:r w:rsidRPr="00705863">
              <w:rPr>
                <w:rFonts w:cs="Calibri"/>
                <w:color w:val="000000"/>
              </w:rPr>
              <w:t>K</w:t>
            </w:r>
          </w:p>
        </w:tc>
      </w:tr>
      <w:tr w:rsidR="00D339E0" w:rsidRPr="000F130C" w14:paraId="1260B819" w14:textId="77777777" w:rsidTr="0050745E">
        <w:trPr>
          <w:trHeight w:val="255"/>
        </w:trPr>
        <w:tc>
          <w:tcPr>
            <w:tcW w:w="2596" w:type="dxa"/>
            <w:tcBorders>
              <w:top w:val="nil"/>
              <w:left w:val="single" w:sz="4" w:space="0" w:color="auto"/>
              <w:bottom w:val="single" w:sz="4" w:space="0" w:color="auto"/>
              <w:right w:val="single" w:sz="4" w:space="0" w:color="auto"/>
            </w:tcBorders>
            <w:noWrap/>
            <w:hideMark/>
          </w:tcPr>
          <w:p w14:paraId="126350FF" w14:textId="77777777" w:rsidR="00D339E0" w:rsidRPr="000F130C" w:rsidRDefault="00D339E0" w:rsidP="00D339E0">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vAlign w:val="bottom"/>
          </w:tcPr>
          <w:p w14:paraId="0726F03A" w14:textId="0C68AD27" w:rsidR="00D339E0" w:rsidRDefault="00D339E0" w:rsidP="00D339E0">
            <w:pPr>
              <w:pStyle w:val="TableText"/>
              <w:jc w:val="right"/>
              <w:rPr>
                <w:lang w:eastAsia="en-AU"/>
              </w:rPr>
            </w:pPr>
            <w:r w:rsidRPr="00346120">
              <w:rPr>
                <w:color w:val="000000"/>
              </w:rPr>
              <w:t>$25K</w:t>
            </w:r>
          </w:p>
        </w:tc>
        <w:tc>
          <w:tcPr>
            <w:tcW w:w="1242" w:type="dxa"/>
            <w:tcBorders>
              <w:top w:val="nil"/>
              <w:left w:val="nil"/>
              <w:bottom w:val="single" w:sz="4" w:space="0" w:color="auto"/>
              <w:right w:val="single" w:sz="4" w:space="0" w:color="auto"/>
            </w:tcBorders>
            <w:vAlign w:val="bottom"/>
          </w:tcPr>
          <w:p w14:paraId="7BDA8D46" w14:textId="485077ED" w:rsidR="00D339E0" w:rsidRDefault="00D339E0" w:rsidP="00D339E0">
            <w:pPr>
              <w:pStyle w:val="TableText"/>
              <w:jc w:val="right"/>
              <w:rPr>
                <w:lang w:eastAsia="en-AU"/>
              </w:rPr>
            </w:pPr>
            <w:r>
              <w:rPr>
                <w:rFonts w:cs="Calibri"/>
                <w:color w:val="000000"/>
              </w:rPr>
              <w:t>$</w:t>
            </w:r>
            <w:r w:rsidRPr="00705863">
              <w:rPr>
                <w:rFonts w:cs="Calibri"/>
                <w:color w:val="000000"/>
              </w:rPr>
              <w:t>32K</w:t>
            </w:r>
          </w:p>
        </w:tc>
        <w:tc>
          <w:tcPr>
            <w:tcW w:w="1242" w:type="dxa"/>
            <w:tcBorders>
              <w:top w:val="nil"/>
              <w:left w:val="nil"/>
              <w:bottom w:val="single" w:sz="4" w:space="0" w:color="auto"/>
              <w:right w:val="single" w:sz="4" w:space="0" w:color="auto"/>
            </w:tcBorders>
            <w:vAlign w:val="bottom"/>
          </w:tcPr>
          <w:p w14:paraId="0A6ABD14" w14:textId="22A734B4" w:rsidR="00D339E0" w:rsidRDefault="00D339E0" w:rsidP="00D339E0">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BE46B7A" w14:textId="53EA2B59" w:rsidR="00D339E0" w:rsidRPr="00346120" w:rsidRDefault="00D339E0" w:rsidP="00D339E0">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4FBFE89" w14:textId="4F7CEE48" w:rsidR="00D339E0" w:rsidRPr="00705863" w:rsidRDefault="00D339E0" w:rsidP="00D339E0">
            <w:pPr>
              <w:pStyle w:val="TableText"/>
              <w:jc w:val="right"/>
              <w:rPr>
                <w:color w:val="000000"/>
              </w:rPr>
            </w:pPr>
            <w:r>
              <w:rPr>
                <w:rFonts w:cs="Calibri"/>
                <w:color w:val="000000"/>
              </w:rPr>
              <w:t>$46</w:t>
            </w:r>
            <w:r w:rsidRPr="00705863">
              <w:rPr>
                <w:rFonts w:cs="Calibri"/>
                <w:color w:val="000000"/>
              </w:rPr>
              <w:t>K</w:t>
            </w:r>
          </w:p>
        </w:tc>
      </w:tr>
      <w:tr w:rsidR="00D339E0" w:rsidRPr="000F130C" w14:paraId="7D36DB81" w14:textId="77777777" w:rsidTr="0050745E">
        <w:trPr>
          <w:trHeight w:val="255"/>
        </w:trPr>
        <w:tc>
          <w:tcPr>
            <w:tcW w:w="2596" w:type="dxa"/>
            <w:tcBorders>
              <w:top w:val="nil"/>
              <w:left w:val="single" w:sz="4" w:space="0" w:color="auto"/>
              <w:bottom w:val="single" w:sz="4" w:space="0" w:color="auto"/>
              <w:right w:val="single" w:sz="4" w:space="0" w:color="auto"/>
            </w:tcBorders>
            <w:noWrap/>
            <w:hideMark/>
          </w:tcPr>
          <w:p w14:paraId="238340E5" w14:textId="77777777" w:rsidR="00D339E0" w:rsidRPr="000F130C" w:rsidRDefault="00D339E0" w:rsidP="00D339E0">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vAlign w:val="bottom"/>
          </w:tcPr>
          <w:p w14:paraId="7D5D524D" w14:textId="30575C66" w:rsidR="00D339E0" w:rsidRDefault="00D339E0" w:rsidP="00D339E0">
            <w:pPr>
              <w:pStyle w:val="TableText"/>
              <w:jc w:val="right"/>
              <w:rPr>
                <w:b/>
                <w:lang w:eastAsia="en-AU"/>
              </w:rPr>
            </w:pPr>
            <w:r w:rsidRPr="00346120">
              <w:rPr>
                <w:b/>
                <w:bCs/>
                <w:color w:val="000000"/>
              </w:rPr>
              <w:t>$330K</w:t>
            </w:r>
          </w:p>
        </w:tc>
        <w:tc>
          <w:tcPr>
            <w:tcW w:w="1242" w:type="dxa"/>
            <w:tcBorders>
              <w:top w:val="nil"/>
              <w:left w:val="nil"/>
              <w:bottom w:val="single" w:sz="4" w:space="0" w:color="auto"/>
              <w:right w:val="single" w:sz="4" w:space="0" w:color="auto"/>
            </w:tcBorders>
            <w:vAlign w:val="bottom"/>
          </w:tcPr>
          <w:p w14:paraId="002B4E43" w14:textId="37A947DE" w:rsidR="00D339E0" w:rsidRDefault="00D339E0" w:rsidP="00D339E0">
            <w:pPr>
              <w:pStyle w:val="TableText"/>
              <w:jc w:val="right"/>
              <w:rPr>
                <w:b/>
                <w:lang w:eastAsia="en-AU"/>
              </w:rPr>
            </w:pPr>
            <w:r>
              <w:rPr>
                <w:rFonts w:cs="Calibri"/>
                <w:b/>
                <w:bCs/>
                <w:color w:val="000000"/>
              </w:rPr>
              <w:t>$</w:t>
            </w:r>
            <w:r w:rsidRPr="00705863">
              <w:rPr>
                <w:rFonts w:cs="Calibri"/>
                <w:b/>
                <w:bCs/>
                <w:color w:val="000000"/>
              </w:rPr>
              <w:t>398K</w:t>
            </w:r>
          </w:p>
        </w:tc>
        <w:tc>
          <w:tcPr>
            <w:tcW w:w="1242" w:type="dxa"/>
            <w:tcBorders>
              <w:top w:val="nil"/>
              <w:left w:val="nil"/>
              <w:bottom w:val="single" w:sz="4" w:space="0" w:color="auto"/>
              <w:right w:val="single" w:sz="4" w:space="0" w:color="auto"/>
            </w:tcBorders>
            <w:vAlign w:val="bottom"/>
          </w:tcPr>
          <w:p w14:paraId="1865FE3D" w14:textId="767D968D" w:rsidR="00D339E0" w:rsidRDefault="00D339E0" w:rsidP="00D339E0">
            <w:pPr>
              <w:pStyle w:val="TableText"/>
              <w:jc w:val="right"/>
              <w:rPr>
                <w:b/>
                <w:lang w:eastAsia="en-AU"/>
              </w:rPr>
            </w:pPr>
            <w:r>
              <w:rPr>
                <w:rFonts w:cs="Calibri"/>
                <w:b/>
                <w:bCs/>
                <w:color w:val="000000"/>
              </w:rPr>
              <w:t>$434</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1BD72FD9" w14:textId="2DA019F0" w:rsidR="00D339E0" w:rsidRPr="00346120" w:rsidRDefault="00D339E0" w:rsidP="00D339E0">
            <w:pPr>
              <w:pStyle w:val="TableText"/>
              <w:jc w:val="right"/>
              <w:rPr>
                <w:b/>
                <w:bCs/>
                <w:lang w:eastAsia="en-AU"/>
              </w:rPr>
            </w:pPr>
            <w:r>
              <w:rPr>
                <w:rFonts w:cs="Calibri"/>
                <w:b/>
                <w:bCs/>
                <w:color w:val="000000"/>
              </w:rPr>
              <w:t>$408</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295356D4" w14:textId="4D326491" w:rsidR="00D339E0" w:rsidRPr="00705863" w:rsidRDefault="00D339E0" w:rsidP="00D339E0">
            <w:pPr>
              <w:pStyle w:val="TableText"/>
              <w:jc w:val="right"/>
              <w:rPr>
                <w:b/>
                <w:bCs/>
                <w:color w:val="000000"/>
              </w:rPr>
            </w:pPr>
            <w:r>
              <w:rPr>
                <w:rFonts w:cs="Calibri"/>
                <w:b/>
                <w:bCs/>
                <w:color w:val="000000"/>
              </w:rPr>
              <w:t>$477</w:t>
            </w:r>
            <w:r w:rsidRPr="00705863">
              <w:rPr>
                <w:rFonts w:cs="Calibri"/>
                <w:b/>
                <w:bCs/>
                <w:color w:val="000000"/>
              </w:rPr>
              <w:t>K</w:t>
            </w:r>
          </w:p>
        </w:tc>
      </w:tr>
    </w:tbl>
    <w:p w14:paraId="3C8FD18F" w14:textId="77777777" w:rsidR="009A048A" w:rsidRDefault="009A048A" w:rsidP="009A048A">
      <w:pPr>
        <w:ind w:left="-142" w:right="-425"/>
        <w:jc w:val="both"/>
        <w:rPr>
          <w:rFonts w:cs="Arial"/>
        </w:rPr>
      </w:pPr>
    </w:p>
    <w:p w14:paraId="746731CA" w14:textId="005E658D" w:rsidR="009A048A" w:rsidRDefault="009A048A" w:rsidP="009A048A">
      <w:pPr>
        <w:ind w:left="-142" w:right="-425"/>
        <w:jc w:val="both"/>
        <w:rPr>
          <w:rFonts w:cs="Arial"/>
        </w:rPr>
      </w:pPr>
      <w:r>
        <w:rPr>
          <w:rFonts w:cs="Arial"/>
        </w:rPr>
        <w:t>Cairns expenditure for quarter 5</w:t>
      </w:r>
      <w:r w:rsidR="002D6888">
        <w:rPr>
          <w:rFonts w:cs="Arial"/>
        </w:rPr>
        <w:t>2</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35EE003B" w14:textId="77777777" w:rsidR="009A048A" w:rsidRDefault="009A048A" w:rsidP="009A048A">
      <w:pPr>
        <w:ind w:left="-142" w:right="-425"/>
        <w:jc w:val="both"/>
        <w:rPr>
          <w:rFonts w:cs="Arial"/>
        </w:rPr>
      </w:pPr>
    </w:p>
    <w:p w14:paraId="068B9601" w14:textId="0D0FA25C" w:rsidR="009A048A" w:rsidRPr="00E37B61" w:rsidRDefault="009A048A" w:rsidP="009A048A">
      <w:pPr>
        <w:pStyle w:val="TableCaption"/>
        <w:spacing w:before="0"/>
        <w:ind w:left="0" w:right="-425"/>
        <w:rPr>
          <w:b/>
          <w:i w:val="0"/>
          <w:sz w:val="16"/>
        </w:rPr>
      </w:pPr>
      <w:r w:rsidRPr="00E37B61">
        <w:rPr>
          <w:b/>
          <w:i w:val="0"/>
          <w:sz w:val="16"/>
        </w:rPr>
        <w:t>Table 2</w:t>
      </w:r>
      <w:r w:rsidR="00CF3070">
        <w:rPr>
          <w:b/>
          <w:i w:val="0"/>
          <w:sz w:val="16"/>
        </w:rPr>
        <w:t>6</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sidR="002D6888">
        <w:rPr>
          <w:i w:val="0"/>
          <w:sz w:val="16"/>
        </w:rPr>
        <w:t>April</w:t>
      </w:r>
      <w:r>
        <w:rPr>
          <w:i w:val="0"/>
          <w:sz w:val="16"/>
        </w:rPr>
        <w:t xml:space="preserve"> 2020 to 3</w:t>
      </w:r>
      <w:r w:rsidR="002D6888">
        <w:rPr>
          <w:i w:val="0"/>
          <w:sz w:val="16"/>
        </w:rPr>
        <w:t xml:space="preserve">0 June </w:t>
      </w:r>
      <w:r w:rsidRPr="00E37B61">
        <w:rPr>
          <w:i w:val="0"/>
          <w:sz w:val="16"/>
        </w:rPr>
        <w:t>20</w:t>
      </w:r>
      <w:r>
        <w:rPr>
          <w:i w:val="0"/>
          <w:sz w:val="16"/>
        </w:rPr>
        <w:t>21.</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D339E0" w:rsidRPr="00920636" w14:paraId="1DD07224" w14:textId="77777777" w:rsidTr="008C0DF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4064B2D" w14:textId="77777777" w:rsidR="00D339E0" w:rsidRPr="000F130C" w:rsidRDefault="00D339E0" w:rsidP="00D339E0">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707EDAA1" w14:textId="398BA34D" w:rsidR="00D339E0" w:rsidRDefault="00D339E0" w:rsidP="00D339E0">
            <w:pPr>
              <w:pStyle w:val="TableText"/>
              <w:jc w:val="right"/>
              <w:rPr>
                <w:b/>
                <w:lang w:eastAsia="en-AU"/>
              </w:rPr>
            </w:pPr>
            <w:r>
              <w:rPr>
                <w:b/>
                <w:lang w:eastAsia="en-AU"/>
              </w:rPr>
              <w:t>Qtr 48</w:t>
            </w:r>
          </w:p>
        </w:tc>
        <w:tc>
          <w:tcPr>
            <w:tcW w:w="1250" w:type="dxa"/>
            <w:tcBorders>
              <w:top w:val="single" w:sz="4" w:space="0" w:color="auto"/>
              <w:left w:val="nil"/>
              <w:bottom w:val="single" w:sz="4" w:space="0" w:color="auto"/>
              <w:right w:val="single" w:sz="4" w:space="0" w:color="auto"/>
            </w:tcBorders>
          </w:tcPr>
          <w:p w14:paraId="4D965829" w14:textId="7374DD96" w:rsidR="00D339E0" w:rsidRDefault="00D339E0" w:rsidP="00D339E0">
            <w:pPr>
              <w:pStyle w:val="TableText"/>
              <w:jc w:val="right"/>
              <w:rPr>
                <w:b/>
                <w:lang w:eastAsia="en-AU"/>
              </w:rPr>
            </w:pPr>
            <w:r>
              <w:rPr>
                <w:b/>
                <w:lang w:eastAsia="en-AU"/>
              </w:rPr>
              <w:t>Qtr 49</w:t>
            </w:r>
          </w:p>
        </w:tc>
        <w:tc>
          <w:tcPr>
            <w:tcW w:w="1250" w:type="dxa"/>
            <w:tcBorders>
              <w:top w:val="single" w:sz="4" w:space="0" w:color="auto"/>
              <w:left w:val="nil"/>
              <w:bottom w:val="single" w:sz="4" w:space="0" w:color="auto"/>
              <w:right w:val="single" w:sz="4" w:space="0" w:color="auto"/>
            </w:tcBorders>
          </w:tcPr>
          <w:p w14:paraId="1BC0F889" w14:textId="0B8FFB4F" w:rsidR="00D339E0" w:rsidRDefault="00D339E0" w:rsidP="00D339E0">
            <w:pPr>
              <w:pStyle w:val="TableText"/>
              <w:jc w:val="right"/>
              <w:rPr>
                <w:b/>
                <w:lang w:eastAsia="en-AU"/>
              </w:rPr>
            </w:pPr>
            <w:r>
              <w:rPr>
                <w:b/>
                <w:lang w:eastAsia="en-AU"/>
              </w:rPr>
              <w:t>Qtr 50</w:t>
            </w:r>
          </w:p>
        </w:tc>
        <w:tc>
          <w:tcPr>
            <w:tcW w:w="1250" w:type="dxa"/>
            <w:tcBorders>
              <w:top w:val="single" w:sz="4" w:space="0" w:color="auto"/>
              <w:left w:val="nil"/>
              <w:bottom w:val="single" w:sz="4" w:space="0" w:color="auto"/>
              <w:right w:val="single" w:sz="4" w:space="0" w:color="auto"/>
            </w:tcBorders>
          </w:tcPr>
          <w:p w14:paraId="550B58DD" w14:textId="3DE5D8BC" w:rsidR="00D339E0" w:rsidRDefault="00D339E0" w:rsidP="00D339E0">
            <w:pPr>
              <w:pStyle w:val="TableText"/>
              <w:jc w:val="right"/>
              <w:rPr>
                <w:b/>
                <w:lang w:eastAsia="en-AU"/>
              </w:rPr>
            </w:pPr>
            <w:r>
              <w:rPr>
                <w:b/>
                <w:lang w:eastAsia="en-AU"/>
              </w:rPr>
              <w:t>Qtr 51</w:t>
            </w:r>
          </w:p>
        </w:tc>
        <w:tc>
          <w:tcPr>
            <w:tcW w:w="1250" w:type="dxa"/>
            <w:tcBorders>
              <w:top w:val="single" w:sz="4" w:space="0" w:color="auto"/>
              <w:left w:val="nil"/>
              <w:bottom w:val="single" w:sz="4" w:space="0" w:color="auto"/>
              <w:right w:val="single" w:sz="4" w:space="0" w:color="auto"/>
            </w:tcBorders>
          </w:tcPr>
          <w:p w14:paraId="2F5CFFDC" w14:textId="36A83274" w:rsidR="00D339E0" w:rsidRDefault="00D339E0" w:rsidP="00D339E0">
            <w:pPr>
              <w:pStyle w:val="TableText"/>
              <w:jc w:val="right"/>
              <w:rPr>
                <w:b/>
                <w:lang w:eastAsia="en-AU"/>
              </w:rPr>
            </w:pPr>
            <w:r>
              <w:rPr>
                <w:b/>
                <w:lang w:eastAsia="en-AU"/>
              </w:rPr>
              <w:t>Qtr 52</w:t>
            </w:r>
          </w:p>
        </w:tc>
      </w:tr>
      <w:tr w:rsidR="00D339E0" w:rsidRPr="00920636" w14:paraId="7CB99A4B" w14:textId="77777777" w:rsidTr="00F57033">
        <w:trPr>
          <w:trHeight w:val="255"/>
        </w:trPr>
        <w:tc>
          <w:tcPr>
            <w:tcW w:w="2596" w:type="dxa"/>
            <w:tcBorders>
              <w:top w:val="nil"/>
              <w:left w:val="single" w:sz="4" w:space="0" w:color="auto"/>
              <w:bottom w:val="single" w:sz="4" w:space="0" w:color="auto"/>
              <w:right w:val="single" w:sz="4" w:space="0" w:color="auto"/>
            </w:tcBorders>
            <w:noWrap/>
          </w:tcPr>
          <w:p w14:paraId="60B79309" w14:textId="77777777" w:rsidR="00D339E0" w:rsidRPr="00E72DFB" w:rsidRDefault="00D339E0" w:rsidP="00D339E0">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7D90B6CD" w14:textId="008CC4BF" w:rsidR="00D339E0" w:rsidRDefault="00D339E0" w:rsidP="00D339E0">
            <w:pPr>
              <w:pStyle w:val="TableText"/>
              <w:jc w:val="right"/>
              <w:rPr>
                <w:lang w:eastAsia="en-AU"/>
              </w:rPr>
            </w:pPr>
            <w:r>
              <w:rPr>
                <w:lang w:eastAsia="en-AU"/>
              </w:rPr>
              <w:t>$</w:t>
            </w:r>
            <w:r w:rsidRPr="00EB7A8F">
              <w:rPr>
                <w:lang w:eastAsia="en-AU"/>
              </w:rPr>
              <w:t>264K</w:t>
            </w:r>
          </w:p>
        </w:tc>
        <w:tc>
          <w:tcPr>
            <w:tcW w:w="1250" w:type="dxa"/>
            <w:tcBorders>
              <w:top w:val="nil"/>
              <w:left w:val="nil"/>
              <w:bottom w:val="single" w:sz="4" w:space="0" w:color="auto"/>
              <w:right w:val="single" w:sz="4" w:space="0" w:color="auto"/>
            </w:tcBorders>
            <w:vAlign w:val="center"/>
          </w:tcPr>
          <w:p w14:paraId="33C1E450" w14:textId="321543C7" w:rsidR="00D339E0" w:rsidRDefault="00D339E0" w:rsidP="00D339E0">
            <w:pPr>
              <w:pStyle w:val="TableText"/>
              <w:jc w:val="right"/>
              <w:rPr>
                <w:lang w:eastAsia="en-AU"/>
              </w:rPr>
            </w:pPr>
            <w:r>
              <w:rPr>
                <w:rFonts w:cs="Arial"/>
              </w:rPr>
              <w:t>$</w:t>
            </w:r>
            <w:r w:rsidRPr="0074086C">
              <w:rPr>
                <w:rFonts w:cs="Arial"/>
              </w:rPr>
              <w:t>260K</w:t>
            </w:r>
          </w:p>
        </w:tc>
        <w:tc>
          <w:tcPr>
            <w:tcW w:w="1250" w:type="dxa"/>
            <w:tcBorders>
              <w:top w:val="nil"/>
              <w:left w:val="nil"/>
              <w:bottom w:val="single" w:sz="4" w:space="0" w:color="auto"/>
              <w:right w:val="single" w:sz="4" w:space="0" w:color="auto"/>
            </w:tcBorders>
            <w:vAlign w:val="center"/>
          </w:tcPr>
          <w:p w14:paraId="3060A50F" w14:textId="51F6A8F1" w:rsidR="00D339E0" w:rsidRDefault="00D339E0" w:rsidP="00D339E0">
            <w:pPr>
              <w:pStyle w:val="TableText"/>
              <w:jc w:val="right"/>
              <w:rPr>
                <w:lang w:eastAsia="en-AU"/>
              </w:rPr>
            </w:pPr>
            <w:r>
              <w:rPr>
                <w:rFonts w:cs="Arial"/>
              </w:rPr>
              <w:t>$</w:t>
            </w:r>
            <w:r w:rsidRPr="0074086C">
              <w:rPr>
                <w:rFonts w:cs="Arial"/>
              </w:rPr>
              <w:t>2</w:t>
            </w:r>
            <w:r>
              <w:rPr>
                <w:rFonts w:cs="Arial"/>
              </w:rPr>
              <w:t>75</w:t>
            </w:r>
            <w:r w:rsidRPr="0074086C">
              <w:rPr>
                <w:rFonts w:cs="Arial"/>
              </w:rPr>
              <w:t>K</w:t>
            </w:r>
          </w:p>
        </w:tc>
        <w:tc>
          <w:tcPr>
            <w:tcW w:w="1250" w:type="dxa"/>
            <w:tcBorders>
              <w:top w:val="nil"/>
              <w:left w:val="nil"/>
              <w:bottom w:val="single" w:sz="4" w:space="0" w:color="auto"/>
              <w:right w:val="single" w:sz="4" w:space="0" w:color="auto"/>
            </w:tcBorders>
            <w:vAlign w:val="center"/>
          </w:tcPr>
          <w:p w14:paraId="06A8FBAE" w14:textId="0BF9BFBF" w:rsidR="00D339E0" w:rsidRDefault="00D339E0" w:rsidP="00D339E0">
            <w:pPr>
              <w:pStyle w:val="TableText"/>
              <w:jc w:val="right"/>
              <w:rPr>
                <w:lang w:eastAsia="en-AU"/>
              </w:rPr>
            </w:pPr>
            <w:r>
              <w:rPr>
                <w:rFonts w:cs="Arial"/>
              </w:rPr>
              <w:t>$</w:t>
            </w:r>
            <w:r w:rsidRPr="0074086C">
              <w:rPr>
                <w:rFonts w:cs="Arial"/>
              </w:rPr>
              <w:t>2</w:t>
            </w:r>
            <w:r>
              <w:rPr>
                <w:rFonts w:cs="Arial"/>
              </w:rPr>
              <w:t>48</w:t>
            </w:r>
            <w:r w:rsidRPr="0074086C">
              <w:rPr>
                <w:rFonts w:cs="Arial"/>
              </w:rPr>
              <w:t>K</w:t>
            </w:r>
          </w:p>
        </w:tc>
        <w:tc>
          <w:tcPr>
            <w:tcW w:w="1250" w:type="dxa"/>
            <w:tcBorders>
              <w:top w:val="nil"/>
              <w:left w:val="nil"/>
              <w:bottom w:val="single" w:sz="4" w:space="0" w:color="auto"/>
              <w:right w:val="single" w:sz="4" w:space="0" w:color="auto"/>
            </w:tcBorders>
            <w:vAlign w:val="center"/>
          </w:tcPr>
          <w:p w14:paraId="1BCC03C7" w14:textId="428CBB9F" w:rsidR="00D339E0" w:rsidRPr="0074086C" w:rsidRDefault="00D339E0" w:rsidP="00D339E0">
            <w:pPr>
              <w:pStyle w:val="TableText"/>
              <w:jc w:val="right"/>
              <w:rPr>
                <w:lang w:eastAsia="en-AU"/>
              </w:rPr>
            </w:pPr>
            <w:r>
              <w:rPr>
                <w:rFonts w:cs="Arial"/>
              </w:rPr>
              <w:t>$</w:t>
            </w:r>
            <w:r w:rsidRPr="0074086C">
              <w:rPr>
                <w:rFonts w:cs="Arial"/>
              </w:rPr>
              <w:t>2</w:t>
            </w:r>
            <w:r>
              <w:rPr>
                <w:rFonts w:cs="Arial"/>
              </w:rPr>
              <w:t>61</w:t>
            </w:r>
            <w:r w:rsidRPr="0074086C">
              <w:rPr>
                <w:rFonts w:cs="Arial"/>
              </w:rPr>
              <w:t>K</w:t>
            </w:r>
          </w:p>
        </w:tc>
      </w:tr>
      <w:tr w:rsidR="00D339E0" w:rsidRPr="00920636" w14:paraId="6E0CA460" w14:textId="77777777" w:rsidTr="00F57033">
        <w:trPr>
          <w:trHeight w:val="255"/>
        </w:trPr>
        <w:tc>
          <w:tcPr>
            <w:tcW w:w="2596" w:type="dxa"/>
            <w:tcBorders>
              <w:top w:val="nil"/>
              <w:left w:val="single" w:sz="4" w:space="0" w:color="auto"/>
              <w:bottom w:val="single" w:sz="4" w:space="0" w:color="auto"/>
              <w:right w:val="single" w:sz="4" w:space="0" w:color="auto"/>
            </w:tcBorders>
            <w:noWrap/>
            <w:hideMark/>
          </w:tcPr>
          <w:p w14:paraId="77612781" w14:textId="77777777" w:rsidR="00D339E0" w:rsidRPr="00E72DFB" w:rsidRDefault="00D339E0" w:rsidP="00D339E0">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65356E3B" w14:textId="66CFA170" w:rsidR="00D339E0" w:rsidRDefault="00D339E0" w:rsidP="00D339E0">
            <w:pPr>
              <w:pStyle w:val="TableText"/>
              <w:jc w:val="right"/>
              <w:rPr>
                <w:lang w:eastAsia="en-AU"/>
              </w:rPr>
            </w:pPr>
            <w:r>
              <w:rPr>
                <w:lang w:eastAsia="en-AU"/>
              </w:rPr>
              <w:t>$</w:t>
            </w:r>
            <w:r w:rsidRPr="00EB7A8F">
              <w:rPr>
                <w:lang w:eastAsia="en-AU"/>
              </w:rPr>
              <w:t>309K</w:t>
            </w:r>
          </w:p>
        </w:tc>
        <w:tc>
          <w:tcPr>
            <w:tcW w:w="1250" w:type="dxa"/>
            <w:tcBorders>
              <w:top w:val="nil"/>
              <w:left w:val="nil"/>
              <w:bottom w:val="single" w:sz="4" w:space="0" w:color="auto"/>
              <w:right w:val="single" w:sz="4" w:space="0" w:color="auto"/>
            </w:tcBorders>
            <w:vAlign w:val="center"/>
          </w:tcPr>
          <w:p w14:paraId="4DD2BCB4" w14:textId="7D63093F" w:rsidR="00D339E0" w:rsidRDefault="00D339E0" w:rsidP="00D339E0">
            <w:pPr>
              <w:pStyle w:val="TableText"/>
              <w:jc w:val="right"/>
              <w:rPr>
                <w:lang w:eastAsia="en-AU"/>
              </w:rPr>
            </w:pPr>
            <w:r>
              <w:rPr>
                <w:rFonts w:cs="Arial"/>
              </w:rPr>
              <w:t>$</w:t>
            </w:r>
            <w:r w:rsidRPr="0074086C">
              <w:rPr>
                <w:rFonts w:cs="Arial"/>
              </w:rPr>
              <w:t>250K</w:t>
            </w:r>
          </w:p>
        </w:tc>
        <w:tc>
          <w:tcPr>
            <w:tcW w:w="1250" w:type="dxa"/>
            <w:tcBorders>
              <w:top w:val="nil"/>
              <w:left w:val="nil"/>
              <w:bottom w:val="single" w:sz="4" w:space="0" w:color="auto"/>
              <w:right w:val="single" w:sz="4" w:space="0" w:color="auto"/>
            </w:tcBorders>
            <w:vAlign w:val="center"/>
          </w:tcPr>
          <w:p w14:paraId="289E151E" w14:textId="0C30FB74" w:rsidR="00D339E0" w:rsidRDefault="00D339E0" w:rsidP="00D339E0">
            <w:pPr>
              <w:pStyle w:val="TableText"/>
              <w:jc w:val="right"/>
              <w:rPr>
                <w:lang w:eastAsia="en-AU"/>
              </w:rPr>
            </w:pPr>
            <w:r>
              <w:rPr>
                <w:rFonts w:cs="Arial"/>
              </w:rPr>
              <w:t>$</w:t>
            </w:r>
            <w:r w:rsidRPr="0074086C">
              <w:rPr>
                <w:rFonts w:cs="Arial"/>
              </w:rPr>
              <w:t>2</w:t>
            </w:r>
            <w:r>
              <w:rPr>
                <w:rFonts w:cs="Arial"/>
              </w:rPr>
              <w:t>39</w:t>
            </w:r>
            <w:r w:rsidRPr="0074086C">
              <w:rPr>
                <w:rFonts w:cs="Arial"/>
              </w:rPr>
              <w:t>K</w:t>
            </w:r>
          </w:p>
        </w:tc>
        <w:tc>
          <w:tcPr>
            <w:tcW w:w="1250" w:type="dxa"/>
            <w:tcBorders>
              <w:top w:val="nil"/>
              <w:left w:val="nil"/>
              <w:bottom w:val="single" w:sz="4" w:space="0" w:color="auto"/>
              <w:right w:val="single" w:sz="4" w:space="0" w:color="auto"/>
            </w:tcBorders>
            <w:vAlign w:val="center"/>
          </w:tcPr>
          <w:p w14:paraId="539CDD90" w14:textId="6E3EC432" w:rsidR="00D339E0" w:rsidRDefault="00D339E0" w:rsidP="00D339E0">
            <w:pPr>
              <w:pStyle w:val="TableText"/>
              <w:jc w:val="right"/>
              <w:rPr>
                <w:lang w:eastAsia="en-AU"/>
              </w:rPr>
            </w:pPr>
            <w:r>
              <w:rPr>
                <w:rFonts w:cs="Arial"/>
              </w:rPr>
              <w:t>$308</w:t>
            </w:r>
            <w:r w:rsidRPr="0074086C">
              <w:rPr>
                <w:rFonts w:cs="Arial"/>
              </w:rPr>
              <w:t>K</w:t>
            </w:r>
          </w:p>
        </w:tc>
        <w:tc>
          <w:tcPr>
            <w:tcW w:w="1250" w:type="dxa"/>
            <w:tcBorders>
              <w:top w:val="nil"/>
              <w:left w:val="nil"/>
              <w:bottom w:val="single" w:sz="4" w:space="0" w:color="auto"/>
              <w:right w:val="single" w:sz="4" w:space="0" w:color="auto"/>
            </w:tcBorders>
            <w:vAlign w:val="center"/>
          </w:tcPr>
          <w:p w14:paraId="43ECC9F5" w14:textId="470237D1" w:rsidR="00D339E0" w:rsidRPr="0074086C" w:rsidRDefault="00D339E0" w:rsidP="00D339E0">
            <w:pPr>
              <w:pStyle w:val="TableText"/>
              <w:jc w:val="right"/>
              <w:rPr>
                <w:lang w:eastAsia="en-AU"/>
              </w:rPr>
            </w:pPr>
            <w:r>
              <w:rPr>
                <w:rFonts w:cs="Arial"/>
              </w:rPr>
              <w:t>$272</w:t>
            </w:r>
            <w:r w:rsidRPr="0074086C">
              <w:rPr>
                <w:rFonts w:cs="Arial"/>
              </w:rPr>
              <w:t>K</w:t>
            </w:r>
          </w:p>
        </w:tc>
      </w:tr>
      <w:tr w:rsidR="00D339E0" w:rsidRPr="00920636" w14:paraId="0C47B64E" w14:textId="77777777" w:rsidTr="00F57033">
        <w:trPr>
          <w:trHeight w:val="255"/>
        </w:trPr>
        <w:tc>
          <w:tcPr>
            <w:tcW w:w="2596" w:type="dxa"/>
            <w:tcBorders>
              <w:top w:val="nil"/>
              <w:left w:val="single" w:sz="4" w:space="0" w:color="auto"/>
              <w:bottom w:val="single" w:sz="4" w:space="0" w:color="auto"/>
              <w:right w:val="single" w:sz="4" w:space="0" w:color="auto"/>
            </w:tcBorders>
            <w:noWrap/>
            <w:hideMark/>
          </w:tcPr>
          <w:p w14:paraId="760AF80C" w14:textId="77777777" w:rsidR="00D339E0" w:rsidRPr="000F130C" w:rsidRDefault="00D339E0" w:rsidP="00D339E0">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1DDAEA42" w14:textId="1C230A02" w:rsidR="00D339E0" w:rsidRDefault="00D339E0" w:rsidP="00D339E0">
            <w:pPr>
              <w:pStyle w:val="TableText"/>
              <w:jc w:val="right"/>
              <w:rPr>
                <w:b/>
                <w:lang w:eastAsia="en-AU"/>
              </w:rPr>
            </w:pPr>
            <w:r>
              <w:rPr>
                <w:b/>
                <w:bCs/>
                <w:lang w:eastAsia="en-AU"/>
              </w:rPr>
              <w:t>$</w:t>
            </w:r>
            <w:r w:rsidRPr="00EB7A8F">
              <w:rPr>
                <w:b/>
                <w:bCs/>
                <w:lang w:eastAsia="en-AU"/>
              </w:rPr>
              <w:t>573</w:t>
            </w:r>
            <w:r>
              <w:rPr>
                <w:b/>
                <w:bCs/>
                <w:lang w:eastAsia="en-AU"/>
              </w:rPr>
              <w:t>K</w:t>
            </w:r>
          </w:p>
        </w:tc>
        <w:tc>
          <w:tcPr>
            <w:tcW w:w="1250" w:type="dxa"/>
            <w:tcBorders>
              <w:top w:val="nil"/>
              <w:left w:val="nil"/>
              <w:bottom w:val="single" w:sz="4" w:space="0" w:color="auto"/>
              <w:right w:val="single" w:sz="4" w:space="0" w:color="auto"/>
            </w:tcBorders>
            <w:vAlign w:val="center"/>
          </w:tcPr>
          <w:p w14:paraId="7259B03A" w14:textId="49257164" w:rsidR="00D339E0" w:rsidRDefault="00D339E0" w:rsidP="00D339E0">
            <w:pPr>
              <w:pStyle w:val="TableText"/>
              <w:jc w:val="right"/>
              <w:rPr>
                <w:b/>
                <w:lang w:eastAsia="en-AU"/>
              </w:rPr>
            </w:pPr>
            <w:r>
              <w:rPr>
                <w:rFonts w:cs="Arial"/>
                <w:b/>
                <w:bCs/>
              </w:rPr>
              <w:t>$</w:t>
            </w:r>
            <w:r w:rsidRPr="0074086C">
              <w:rPr>
                <w:rFonts w:cs="Arial"/>
                <w:b/>
                <w:bCs/>
              </w:rPr>
              <w:t>510</w:t>
            </w:r>
            <w:r>
              <w:rPr>
                <w:rFonts w:cs="Arial"/>
                <w:b/>
                <w:bCs/>
              </w:rPr>
              <w:t>K</w:t>
            </w:r>
          </w:p>
        </w:tc>
        <w:tc>
          <w:tcPr>
            <w:tcW w:w="1250" w:type="dxa"/>
            <w:tcBorders>
              <w:top w:val="nil"/>
              <w:left w:val="nil"/>
              <w:bottom w:val="single" w:sz="4" w:space="0" w:color="auto"/>
              <w:right w:val="single" w:sz="4" w:space="0" w:color="auto"/>
            </w:tcBorders>
            <w:vAlign w:val="center"/>
          </w:tcPr>
          <w:p w14:paraId="75CAA17F" w14:textId="76008EB9" w:rsidR="00D339E0" w:rsidRDefault="00D339E0" w:rsidP="00D339E0">
            <w:pPr>
              <w:pStyle w:val="TableText"/>
              <w:jc w:val="right"/>
              <w:rPr>
                <w:b/>
                <w:lang w:eastAsia="en-AU"/>
              </w:rPr>
            </w:pPr>
            <w:r>
              <w:rPr>
                <w:rFonts w:cs="Arial"/>
                <w:b/>
                <w:bCs/>
              </w:rPr>
              <w:t>$</w:t>
            </w:r>
            <w:r w:rsidRPr="0074086C">
              <w:rPr>
                <w:rFonts w:cs="Arial"/>
                <w:b/>
                <w:bCs/>
              </w:rPr>
              <w:t>51</w:t>
            </w:r>
            <w:r>
              <w:rPr>
                <w:rFonts w:cs="Arial"/>
                <w:b/>
                <w:bCs/>
              </w:rPr>
              <w:t>4K</w:t>
            </w:r>
          </w:p>
        </w:tc>
        <w:tc>
          <w:tcPr>
            <w:tcW w:w="1250" w:type="dxa"/>
            <w:tcBorders>
              <w:top w:val="nil"/>
              <w:left w:val="nil"/>
              <w:bottom w:val="single" w:sz="4" w:space="0" w:color="auto"/>
              <w:right w:val="single" w:sz="4" w:space="0" w:color="auto"/>
            </w:tcBorders>
            <w:vAlign w:val="center"/>
          </w:tcPr>
          <w:p w14:paraId="79A26BDC" w14:textId="0569C37B" w:rsidR="00D339E0" w:rsidRPr="00EB7A8F" w:rsidRDefault="00D339E0" w:rsidP="00D339E0">
            <w:pPr>
              <w:pStyle w:val="TableText"/>
              <w:jc w:val="right"/>
              <w:rPr>
                <w:b/>
                <w:bCs/>
                <w:lang w:eastAsia="en-AU"/>
              </w:rPr>
            </w:pPr>
            <w:r>
              <w:rPr>
                <w:rFonts w:cs="Arial"/>
                <w:b/>
                <w:bCs/>
              </w:rPr>
              <w:t>$</w:t>
            </w:r>
            <w:r w:rsidRPr="0074086C">
              <w:rPr>
                <w:rFonts w:cs="Arial"/>
                <w:b/>
                <w:bCs/>
              </w:rPr>
              <w:t>5</w:t>
            </w:r>
            <w:r>
              <w:rPr>
                <w:rFonts w:cs="Arial"/>
                <w:b/>
                <w:bCs/>
              </w:rPr>
              <w:t>56K</w:t>
            </w:r>
          </w:p>
        </w:tc>
        <w:tc>
          <w:tcPr>
            <w:tcW w:w="1250" w:type="dxa"/>
            <w:tcBorders>
              <w:top w:val="nil"/>
              <w:left w:val="nil"/>
              <w:bottom w:val="single" w:sz="4" w:space="0" w:color="auto"/>
              <w:right w:val="single" w:sz="4" w:space="0" w:color="auto"/>
            </w:tcBorders>
            <w:vAlign w:val="center"/>
          </w:tcPr>
          <w:p w14:paraId="6710D852" w14:textId="7C8A623D" w:rsidR="00D339E0" w:rsidRPr="0074086C" w:rsidRDefault="00D339E0" w:rsidP="00D339E0">
            <w:pPr>
              <w:pStyle w:val="TableText"/>
              <w:jc w:val="right"/>
              <w:rPr>
                <w:b/>
                <w:bCs/>
                <w:lang w:eastAsia="en-AU"/>
              </w:rPr>
            </w:pPr>
            <w:r>
              <w:rPr>
                <w:rFonts w:cs="Arial"/>
                <w:b/>
                <w:bCs/>
              </w:rPr>
              <w:t>$</w:t>
            </w:r>
            <w:r w:rsidRPr="0074086C">
              <w:rPr>
                <w:rFonts w:cs="Arial"/>
                <w:b/>
                <w:bCs/>
              </w:rPr>
              <w:t>5</w:t>
            </w:r>
            <w:r>
              <w:rPr>
                <w:rFonts w:cs="Arial"/>
                <w:b/>
                <w:bCs/>
              </w:rPr>
              <w:t>33K</w:t>
            </w:r>
          </w:p>
        </w:tc>
      </w:tr>
    </w:tbl>
    <w:p w14:paraId="3629931F" w14:textId="77777777" w:rsidR="009A048A" w:rsidRDefault="009A048A" w:rsidP="009A048A">
      <w:pPr>
        <w:ind w:left="-142" w:right="-425"/>
        <w:jc w:val="both"/>
        <w:rPr>
          <w:rFonts w:cs="Arial"/>
        </w:rPr>
      </w:pPr>
    </w:p>
    <w:p w14:paraId="041417CC" w14:textId="77777777" w:rsidR="009A048A" w:rsidRDefault="009A048A" w:rsidP="0020608D">
      <w:pPr>
        <w:ind w:left="-142" w:right="-425"/>
        <w:jc w:val="both"/>
        <w:rPr>
          <w:rFonts w:cs="Arial"/>
        </w:rPr>
      </w:pPr>
    </w:p>
    <w:p w14:paraId="553AC359" w14:textId="77777777" w:rsidR="000541CA" w:rsidRDefault="000541CA">
      <w:pPr>
        <w:spacing w:line="240" w:lineRule="auto"/>
        <w:rPr>
          <w:rFonts w:cs="Arial"/>
        </w:rPr>
      </w:pPr>
      <w:r>
        <w:rPr>
          <w:rFonts w:cs="Arial"/>
        </w:rPr>
        <w:br w:type="page"/>
      </w:r>
    </w:p>
    <w:p w14:paraId="0CFC51BD" w14:textId="113E22F7"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06616E68"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3E008538" w:rsidR="00D017C0" w:rsidRPr="0056129C" w:rsidRDefault="00AD1CD5" w:rsidP="00E37E96">
            <w:pPr>
              <w:jc w:val="center"/>
              <w:rPr>
                <w:rFonts w:ascii="Arial Narrow" w:hAnsi="Arial Narrow" w:cs="Arial"/>
                <w:b/>
                <w:bCs/>
              </w:rPr>
            </w:pPr>
            <w:r>
              <w:rPr>
                <w:rFonts w:ascii="Arial" w:hAnsi="Arial" w:cs="Arial"/>
                <w:b/>
                <w:bCs/>
                <w:noProof/>
                <w:lang w:val="en-US"/>
              </w:rPr>
              <w:t>1 January 2021 to 30 June 2021</w:t>
            </w:r>
          </w:p>
        </w:tc>
        <w:tc>
          <w:tcPr>
            <w:tcW w:w="1817" w:type="dxa"/>
            <w:tcBorders>
              <w:top w:val="nil"/>
              <w:left w:val="nil"/>
              <w:bottom w:val="single" w:sz="18" w:space="0" w:color="auto"/>
              <w:right w:val="nil"/>
            </w:tcBorders>
            <w:shd w:val="clear" w:color="auto" w:fill="auto"/>
            <w:vAlign w:val="center"/>
          </w:tcPr>
          <w:p w14:paraId="79EDD674" w14:textId="62D5427A"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4CB3A2B0" w:rsidR="00EB0D94" w:rsidRPr="00A634FA" w:rsidRDefault="00F10DE3" w:rsidP="00EB0D94">
            <w:pPr>
              <w:jc w:val="center"/>
              <w:rPr>
                <w:rFonts w:ascii="Arial Narrow" w:hAnsi="Arial Narrow" w:cs="Arial"/>
                <w:sz w:val="16"/>
                <w:szCs w:val="16"/>
              </w:rPr>
            </w:pPr>
            <w:r>
              <w:rPr>
                <w:rFonts w:ascii="Arial Narrow" w:hAnsi="Arial Narrow" w:cs="Arial"/>
                <w:sz w:val="16"/>
                <w:szCs w:val="16"/>
              </w:rPr>
              <w:t>4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805E5" w:rsidRDefault="00EB0D94"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EB0D94" w:rsidRPr="00BC2C5D" w14:paraId="7C66C142" w14:textId="77777777" w:rsidTr="005C3C04">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A2384F5"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1</w:t>
            </w:r>
            <w:r w:rsidR="00F10DE3">
              <w:rPr>
                <w:rFonts w:ascii="Arial Narrow" w:hAnsi="Arial Narrow" w:cs="Arial"/>
                <w:sz w:val="16"/>
                <w:szCs w:val="16"/>
              </w:rPr>
              <w:t>1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D9D9D9"/>
            <w:vAlign w:val="center"/>
          </w:tcPr>
          <w:p w14:paraId="1E99A741"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2A85C949" w:rsidR="00EB0D94" w:rsidRPr="007B3063"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4BAABC37" w:rsidR="00EB0D94"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C45F66" w:rsidRPr="00BC2C5D" w14:paraId="5BA53CBD" w14:textId="77777777" w:rsidTr="00BE7187">
        <w:trPr>
          <w:trHeight w:val="615"/>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5CD6393E" w:rsidR="00C45F66" w:rsidRPr="00A634FA" w:rsidRDefault="00C45F66" w:rsidP="00EB0D94">
            <w:pPr>
              <w:jc w:val="center"/>
              <w:rPr>
                <w:rFonts w:ascii="Arial Narrow" w:hAnsi="Arial Narrow" w:cs="Arial"/>
                <w:sz w:val="16"/>
                <w:szCs w:val="16"/>
              </w:rPr>
            </w:pPr>
            <w:r>
              <w:rPr>
                <w:rFonts w:ascii="Arial Narrow" w:hAnsi="Arial Narrow" w:cs="Arial"/>
                <w:sz w:val="16"/>
                <w:szCs w:val="16"/>
              </w:rPr>
              <w:t>18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24A35D13" w:rsidR="00C45F66" w:rsidRPr="00F10DE3" w:rsidRDefault="00C45F66" w:rsidP="00EB0D94">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0C907594" w:rsidR="00C45F66" w:rsidRPr="00F10DE3" w:rsidRDefault="00C45F66" w:rsidP="00193311">
            <w:pPr>
              <w:jc w:val="center"/>
              <w:rPr>
                <w:rFonts w:ascii="Arial Narrow" w:hAnsi="Arial Narrow" w:cs="Arial"/>
                <w:b/>
                <w:bCs/>
                <w:sz w:val="16"/>
                <w:szCs w:val="16"/>
              </w:rPr>
            </w:pPr>
          </w:p>
        </w:tc>
        <w:tc>
          <w:tcPr>
            <w:tcW w:w="1162" w:type="dxa"/>
            <w:tcBorders>
              <w:top w:val="single" w:sz="18" w:space="0" w:color="BFBFBF"/>
              <w:left w:val="single" w:sz="18" w:space="0" w:color="BFBFBF"/>
              <w:right w:val="single" w:sz="18" w:space="0" w:color="C0C0C0"/>
            </w:tcBorders>
            <w:shd w:val="clear" w:color="auto" w:fill="53D2FF"/>
            <w:vAlign w:val="center"/>
          </w:tcPr>
          <w:p w14:paraId="7A536749" w14:textId="168E20FF" w:rsidR="00C45F66" w:rsidRPr="00F10DE3" w:rsidRDefault="003F5A4A" w:rsidP="00EB0D94">
            <w:pPr>
              <w:jc w:val="center"/>
              <w:rPr>
                <w:rFonts w:ascii="Arial Narrow" w:hAnsi="Arial Narrow" w:cs="Arial"/>
                <w:b/>
                <w:bCs/>
                <w:sz w:val="16"/>
                <w:szCs w:val="16"/>
              </w:rPr>
            </w:pPr>
            <w:r>
              <w:rPr>
                <w:rFonts w:ascii="Arial Narrow" w:hAnsi="Arial Narrow" w:cs="Arial"/>
                <w:b/>
                <w:bCs/>
                <w:sz w:val="16"/>
                <w:szCs w:val="16"/>
              </w:rPr>
              <w:t>20</w:t>
            </w:r>
          </w:p>
        </w:tc>
        <w:tc>
          <w:tcPr>
            <w:tcW w:w="1162" w:type="dxa"/>
            <w:tcBorders>
              <w:top w:val="single" w:sz="18" w:space="0" w:color="BFBFBF"/>
              <w:left w:val="single" w:sz="18" w:space="0" w:color="C0C0C0"/>
              <w:right w:val="single" w:sz="18" w:space="0" w:color="C0C0C0"/>
            </w:tcBorders>
            <w:shd w:val="clear" w:color="auto" w:fill="53D2FF"/>
            <w:vAlign w:val="center"/>
          </w:tcPr>
          <w:p w14:paraId="6CAE5B32" w14:textId="0D6C78C1" w:rsidR="00C45F66" w:rsidRPr="00F10DE3" w:rsidRDefault="003F5A4A" w:rsidP="00EB0D94">
            <w:pPr>
              <w:jc w:val="center"/>
              <w:rPr>
                <w:rFonts w:ascii="Arial Narrow" w:hAnsi="Arial Narrow" w:cs="Arial"/>
                <w:b/>
                <w:bCs/>
                <w:sz w:val="16"/>
                <w:szCs w:val="16"/>
              </w:rPr>
            </w:pPr>
            <w:r>
              <w:rPr>
                <w:rFonts w:ascii="Arial Narrow" w:hAnsi="Arial Narrow" w:cs="Arial"/>
                <w:b/>
                <w:bCs/>
                <w:sz w:val="16"/>
                <w:szCs w:val="16"/>
              </w:rPr>
              <w:t>21</w:t>
            </w:r>
          </w:p>
        </w:tc>
        <w:tc>
          <w:tcPr>
            <w:tcW w:w="1162" w:type="dxa"/>
            <w:tcBorders>
              <w:top w:val="single" w:sz="18" w:space="0" w:color="BFBFBF"/>
              <w:left w:val="single" w:sz="18" w:space="0" w:color="C0C0C0"/>
              <w:right w:val="single" w:sz="18" w:space="0" w:color="auto"/>
            </w:tcBorders>
            <w:shd w:val="clear" w:color="auto" w:fill="53D2FF"/>
            <w:vAlign w:val="center"/>
          </w:tcPr>
          <w:p w14:paraId="77ED7AC8" w14:textId="4FF7327F" w:rsidR="00C45F66" w:rsidRPr="003F5A4A" w:rsidRDefault="003F5A4A" w:rsidP="00EB0D94">
            <w:pPr>
              <w:jc w:val="center"/>
              <w:rPr>
                <w:rFonts w:ascii="Arial Narrow" w:hAnsi="Arial Narrow" w:cs="Arial"/>
                <w:b/>
                <w:bCs/>
                <w:sz w:val="16"/>
                <w:szCs w:val="16"/>
              </w:rPr>
            </w:pPr>
            <w:r w:rsidRPr="003F5A4A">
              <w:rPr>
                <w:rFonts w:ascii="Arial Narrow" w:hAnsi="Arial Narrow" w:cs="Arial"/>
                <w:b/>
                <w:bCs/>
                <w:sz w:val="16"/>
                <w:szCs w:val="16"/>
              </w:rPr>
              <w:t>22</w:t>
            </w: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6FE2A80"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Local Registry Coordinator and Local Commissioner Workshop</w:t>
            </w:r>
          </w:p>
          <w:p w14:paraId="6C8C40F7" w14:textId="1FB13EA7" w:rsidR="00C45F66" w:rsidRPr="008805E5" w:rsidRDefault="008805E5" w:rsidP="008805E5">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C45F66" w:rsidRPr="00BC2C5D" w14:paraId="3FC520FE" w14:textId="77777777" w:rsidTr="005C3C04">
        <w:trPr>
          <w:trHeight w:val="615"/>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512CAD15" w:rsidR="00C45F66" w:rsidRPr="00A634FA" w:rsidRDefault="00C45F66" w:rsidP="00EB0D94">
            <w:pPr>
              <w:jc w:val="center"/>
              <w:rPr>
                <w:rFonts w:ascii="Arial Narrow" w:hAnsi="Arial Narrow" w:cs="Arial"/>
                <w:sz w:val="16"/>
                <w:szCs w:val="16"/>
              </w:rPr>
            </w:pPr>
            <w:r>
              <w:rPr>
                <w:rFonts w:ascii="Arial Narrow" w:hAnsi="Arial Narrow" w:cs="Arial"/>
                <w:sz w:val="16"/>
                <w:szCs w:val="16"/>
              </w:rPr>
              <w:t>25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4D14B982" w:rsidR="00C45F66" w:rsidRPr="00F10DE3" w:rsidRDefault="00C45F66"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D9D9D9"/>
            <w:vAlign w:val="center"/>
          </w:tcPr>
          <w:p w14:paraId="211F9DD8" w14:textId="6987C936" w:rsidR="00C45F66" w:rsidRPr="00F10DE3" w:rsidRDefault="00C45F66" w:rsidP="00193311">
            <w:pPr>
              <w:jc w:val="center"/>
              <w:rPr>
                <w:rFonts w:ascii="Arial Narrow" w:hAnsi="Arial Narrow" w:cs="Arial"/>
                <w:b/>
                <w:bCs/>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BFBFBF"/>
              <w:right w:val="single" w:sz="18" w:space="0" w:color="C0C0C0"/>
            </w:tcBorders>
            <w:shd w:val="clear" w:color="auto" w:fill="auto"/>
            <w:vAlign w:val="center"/>
          </w:tcPr>
          <w:p w14:paraId="54F73A57" w14:textId="73BDED24" w:rsidR="00C45F66" w:rsidRPr="00F10DE3" w:rsidRDefault="00C45F66" w:rsidP="00EB0D94">
            <w:pPr>
              <w:jc w:val="center"/>
              <w:rPr>
                <w:rFonts w:ascii="Arial Narrow" w:hAnsi="Arial Narrow" w:cs="Arial"/>
                <w:b/>
                <w:bCs/>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2B85F166" w14:textId="1CFB677D" w:rsidR="00C45F66" w:rsidRPr="00F10DE3" w:rsidRDefault="00C45F66" w:rsidP="00EB0D94">
            <w:pPr>
              <w:jc w:val="center"/>
              <w:rPr>
                <w:rFonts w:ascii="Arial Narrow" w:hAnsi="Arial Narrow" w:cs="Arial"/>
                <w:b/>
                <w:bCs/>
                <w:sz w:val="16"/>
                <w:szCs w:val="16"/>
              </w:rPr>
            </w:pPr>
          </w:p>
        </w:tc>
        <w:tc>
          <w:tcPr>
            <w:tcW w:w="1162" w:type="dxa"/>
            <w:tcBorders>
              <w:top w:val="single" w:sz="18" w:space="0" w:color="BFBFBF"/>
              <w:left w:val="single" w:sz="18" w:space="0" w:color="C0C0C0"/>
              <w:right w:val="single" w:sz="18" w:space="0" w:color="auto"/>
            </w:tcBorders>
            <w:shd w:val="clear" w:color="auto" w:fill="auto"/>
            <w:vAlign w:val="center"/>
          </w:tcPr>
          <w:p w14:paraId="4C8AAF12" w14:textId="6BB98184" w:rsidR="00C45F66" w:rsidRPr="00F10DE3" w:rsidRDefault="00C45F66" w:rsidP="00EB0D94">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A692BE1" w14:textId="552D5008" w:rsidR="00C45F66" w:rsidRPr="008805E5" w:rsidRDefault="008805E5" w:rsidP="00EB0D94">
            <w:pPr>
              <w:jc w:val="center"/>
              <w:rPr>
                <w:rFonts w:ascii="Arial Narrow" w:hAnsi="Arial Narrow" w:cs="Arial"/>
                <w:sz w:val="16"/>
                <w:szCs w:val="16"/>
              </w:rPr>
            </w:pPr>
            <w:r w:rsidRPr="008805E5">
              <w:rPr>
                <w:rFonts w:ascii="Arial Narrow" w:hAnsi="Arial Narrow" w:cs="Arial"/>
                <w:color w:val="244061"/>
                <w:sz w:val="16"/>
                <w:szCs w:val="16"/>
                <w:highlight w:val="yellow"/>
              </w:rPr>
              <w:t>26 Australia Day Public Holiday</w:t>
            </w:r>
          </w:p>
        </w:tc>
      </w:tr>
      <w:tr w:rsidR="00C45F66" w:rsidRPr="00BC2C5D" w14:paraId="20327535" w14:textId="77777777" w:rsidTr="00193311">
        <w:trPr>
          <w:trHeight w:val="615"/>
        </w:trPr>
        <w:tc>
          <w:tcPr>
            <w:tcW w:w="1526" w:type="dxa"/>
            <w:tcBorders>
              <w:top w:val="single" w:sz="18" w:space="0" w:color="auto"/>
              <w:left w:val="single" w:sz="18" w:space="0" w:color="auto"/>
              <w:right w:val="single" w:sz="18" w:space="0" w:color="C0C0C0"/>
            </w:tcBorders>
            <w:shd w:val="clear" w:color="auto" w:fill="auto"/>
            <w:vAlign w:val="center"/>
          </w:tcPr>
          <w:p w14:paraId="088F8A57" w14:textId="7A2524D9" w:rsidR="00C45F66" w:rsidRPr="00A634FA" w:rsidRDefault="00C45F66" w:rsidP="00EB0D94">
            <w:pPr>
              <w:jc w:val="center"/>
              <w:rPr>
                <w:rFonts w:ascii="Arial Narrow" w:hAnsi="Arial Narrow" w:cs="Arial"/>
                <w:sz w:val="16"/>
                <w:szCs w:val="16"/>
              </w:rPr>
            </w:pPr>
            <w:r>
              <w:rPr>
                <w:rFonts w:ascii="Arial Narrow" w:hAnsi="Arial Narrow" w:cs="Arial"/>
                <w:sz w:val="16"/>
                <w:szCs w:val="16"/>
              </w:rPr>
              <w:t>1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EF5A450" w14:textId="0C9C25C0"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60AD86C6" w14:textId="74D43903" w:rsidR="00C45F66" w:rsidRPr="00F10DE3" w:rsidRDefault="00C45F66" w:rsidP="00EB0D94">
            <w:pPr>
              <w:jc w:val="center"/>
              <w:rPr>
                <w:rFonts w:ascii="Arial Narrow" w:hAnsi="Arial Narrow" w:cs="Arial"/>
                <w:b/>
                <w:bCs/>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13CE8515" w:rsidR="00C45F66" w:rsidRPr="00F10DE3" w:rsidRDefault="00C45F66" w:rsidP="00193311">
            <w:pPr>
              <w:jc w:val="center"/>
              <w:rPr>
                <w:rFonts w:ascii="Arial Narrow" w:hAnsi="Arial Narrow" w:cs="Arial"/>
                <w:b/>
                <w:bCs/>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45F66" w:rsidRPr="00F10DE3" w:rsidRDefault="00C45F66" w:rsidP="00EB0D94">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03CFEF3C" w:rsidR="00C45F66"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5C3C04" w:rsidRPr="00BC2C5D" w14:paraId="34AF6A84" w14:textId="77777777" w:rsidTr="004B46D8">
        <w:trPr>
          <w:trHeight w:val="30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DB70A72" w:rsidR="005C3C04" w:rsidRDefault="005C3C04" w:rsidP="00EB0D94">
            <w:pPr>
              <w:jc w:val="center"/>
              <w:rPr>
                <w:rFonts w:ascii="Arial Narrow" w:hAnsi="Arial Narrow" w:cs="Arial"/>
                <w:sz w:val="16"/>
                <w:szCs w:val="16"/>
              </w:rPr>
            </w:pPr>
            <w:r>
              <w:rPr>
                <w:rFonts w:ascii="Arial Narrow" w:hAnsi="Arial Narrow" w:cs="Arial"/>
                <w:sz w:val="16"/>
                <w:szCs w:val="16"/>
              </w:rPr>
              <w:t>8 February</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5C3C04" w:rsidRPr="00F10DE3" w:rsidRDefault="005C3C04" w:rsidP="00EB0D94">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34B4531E" w14:textId="303CC605" w:rsidR="005C3C04" w:rsidRPr="00F10DE3" w:rsidRDefault="005C3C04" w:rsidP="00193311">
            <w:pPr>
              <w:jc w:val="center"/>
              <w:rPr>
                <w:rFonts w:ascii="Arial Narrow" w:hAnsi="Arial Narrow" w:cs="Arial"/>
                <w:b/>
                <w:bCs/>
                <w:sz w:val="16"/>
                <w:szCs w:val="16"/>
              </w:rPr>
            </w:pPr>
            <w:r>
              <w:rPr>
                <w:rFonts w:ascii="Arial Narrow" w:hAnsi="Arial Narrow" w:cs="Arial"/>
                <w:b/>
                <w:bCs/>
                <w:sz w:val="16"/>
                <w:szCs w:val="16"/>
              </w:rPr>
              <w:t>9</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173582A6"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45BCAB04"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22CF6656" w:rsidR="005C3C04" w:rsidRPr="008805E5" w:rsidRDefault="008805E5" w:rsidP="002B2062">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5C3C04" w:rsidRPr="00BC2C5D" w14:paraId="20E0F9D5" w14:textId="77777777" w:rsidTr="004B46D8">
        <w:trPr>
          <w:trHeight w:val="307"/>
        </w:trPr>
        <w:tc>
          <w:tcPr>
            <w:tcW w:w="1526" w:type="dxa"/>
            <w:vMerge/>
            <w:tcBorders>
              <w:left w:val="single" w:sz="18" w:space="0" w:color="auto"/>
              <w:right w:val="single" w:sz="18" w:space="0" w:color="C0C0C0"/>
            </w:tcBorders>
            <w:shd w:val="clear" w:color="auto" w:fill="auto"/>
            <w:vAlign w:val="center"/>
          </w:tcPr>
          <w:p w14:paraId="522454B1"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6D1D980" w14:textId="77777777" w:rsidR="005C3C04" w:rsidRPr="00F10DE3" w:rsidRDefault="005C3C04" w:rsidP="00EB0D94">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0000"/>
            <w:vAlign w:val="center"/>
          </w:tcPr>
          <w:p w14:paraId="4B91DD1D" w14:textId="77777777" w:rsidR="005C3C04" w:rsidRDefault="005C3C04" w:rsidP="00193311">
            <w:pPr>
              <w:jc w:val="center"/>
              <w:rPr>
                <w:rFonts w:ascii="Arial Narrow" w:hAnsi="Arial Narrow" w:cs="Arial"/>
                <w:b/>
                <w:bCs/>
                <w:sz w:val="16"/>
                <w:szCs w:val="16"/>
              </w:rPr>
            </w:pPr>
          </w:p>
        </w:tc>
        <w:tc>
          <w:tcPr>
            <w:tcW w:w="1162" w:type="dxa"/>
            <w:tcBorders>
              <w:top w:val="nil"/>
              <w:left w:val="single" w:sz="18" w:space="0" w:color="BFBFBF"/>
              <w:bottom w:val="single" w:sz="18" w:space="0" w:color="C0C0C0"/>
              <w:right w:val="single" w:sz="18" w:space="0" w:color="BFBFBF"/>
            </w:tcBorders>
            <w:shd w:val="clear" w:color="auto" w:fill="769245"/>
            <w:vAlign w:val="center"/>
          </w:tcPr>
          <w:p w14:paraId="35DC84AB" w14:textId="0D43265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10</w:t>
            </w:r>
          </w:p>
        </w:tc>
        <w:tc>
          <w:tcPr>
            <w:tcW w:w="1162" w:type="dxa"/>
            <w:tcBorders>
              <w:top w:val="nil"/>
              <w:left w:val="single" w:sz="18" w:space="0" w:color="BFBFBF"/>
              <w:bottom w:val="single" w:sz="18" w:space="0" w:color="C0C0C0"/>
              <w:right w:val="single" w:sz="18" w:space="0" w:color="C0C0C0"/>
            </w:tcBorders>
            <w:shd w:val="clear" w:color="auto" w:fill="769245"/>
            <w:vAlign w:val="center"/>
          </w:tcPr>
          <w:p w14:paraId="67DA5382" w14:textId="4B2DD9B8"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tcBorders>
              <w:left w:val="single" w:sz="18" w:space="0" w:color="C0C0C0"/>
              <w:right w:val="single" w:sz="18" w:space="0" w:color="auto"/>
            </w:tcBorders>
            <w:shd w:val="clear" w:color="auto" w:fill="auto"/>
            <w:vAlign w:val="center"/>
          </w:tcPr>
          <w:p w14:paraId="3DC295B1"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CF57D9E" w14:textId="77777777" w:rsidR="005C3C04" w:rsidRPr="008805E5" w:rsidRDefault="005C3C04" w:rsidP="002B2062">
            <w:pPr>
              <w:jc w:val="center"/>
              <w:rPr>
                <w:rFonts w:ascii="Arial Narrow" w:hAnsi="Arial Narrow"/>
                <w:color w:val="31849B"/>
                <w:sz w:val="16"/>
                <w:szCs w:val="16"/>
              </w:rPr>
            </w:pPr>
          </w:p>
        </w:tc>
      </w:tr>
      <w:tr w:rsidR="005C3C04" w:rsidRPr="00BC2C5D" w14:paraId="2980BC10" w14:textId="77777777" w:rsidTr="004B46D8">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038B51F3" w:rsidR="005C3C04" w:rsidRPr="00A634FA" w:rsidRDefault="005C3C04" w:rsidP="00EB0D94">
            <w:pPr>
              <w:jc w:val="center"/>
              <w:rPr>
                <w:rFonts w:ascii="Arial Narrow" w:hAnsi="Arial Narrow" w:cs="Arial"/>
                <w:sz w:val="16"/>
                <w:szCs w:val="16"/>
              </w:rPr>
            </w:pPr>
            <w:r>
              <w:rPr>
                <w:rFonts w:ascii="Arial Narrow" w:hAnsi="Arial Narrow" w:cs="Arial"/>
                <w:sz w:val="16"/>
                <w:szCs w:val="16"/>
              </w:rPr>
              <w:t>15 February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5C3C04" w:rsidRPr="00F10DE3" w:rsidRDefault="005C3C04"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1BD711E" w14:textId="7C74A9BC"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1</w:t>
            </w:r>
            <w:r w:rsidR="008805E5">
              <w:rPr>
                <w:rFonts w:ascii="Arial Narrow" w:hAnsi="Arial Narrow" w:cs="Arial"/>
                <w:b/>
                <w:bCs/>
                <w:sz w:val="16"/>
                <w:szCs w:val="16"/>
              </w:rPr>
              <w:t>6</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727C985E"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17</w:t>
            </w:r>
          </w:p>
        </w:tc>
        <w:tc>
          <w:tcPr>
            <w:tcW w:w="1162" w:type="dxa"/>
            <w:vMerge w:val="restart"/>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719EBC8E" w14:textId="3D2493C7"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5C3C04" w:rsidRPr="008805E5" w:rsidRDefault="005C3C04" w:rsidP="00EB0D94">
            <w:pPr>
              <w:jc w:val="center"/>
              <w:rPr>
                <w:rFonts w:ascii="Arial Narrow" w:hAnsi="Arial Narrow"/>
                <w:sz w:val="16"/>
                <w:szCs w:val="16"/>
              </w:rPr>
            </w:pPr>
          </w:p>
        </w:tc>
      </w:tr>
      <w:tr w:rsidR="005C3C04" w:rsidRPr="00BC2C5D" w14:paraId="7E16FBEE" w14:textId="77777777" w:rsidTr="004B46D8">
        <w:trPr>
          <w:trHeight w:val="284"/>
        </w:trPr>
        <w:tc>
          <w:tcPr>
            <w:tcW w:w="1526" w:type="dxa"/>
            <w:vMerge/>
            <w:tcBorders>
              <w:left w:val="single" w:sz="18" w:space="0" w:color="auto"/>
              <w:right w:val="single" w:sz="18" w:space="0" w:color="C0C0C0"/>
            </w:tcBorders>
            <w:shd w:val="clear" w:color="auto" w:fill="auto"/>
            <w:vAlign w:val="center"/>
          </w:tcPr>
          <w:p w14:paraId="52364570"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712A97D" w14:textId="77777777" w:rsidR="005C3C04" w:rsidRPr="00F10DE3" w:rsidRDefault="005C3C04"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71FCE50B" w14:textId="47C5B645" w:rsidR="005C3C04" w:rsidRPr="00F10DE3" w:rsidRDefault="005C3C04" w:rsidP="00193311">
            <w:pPr>
              <w:jc w:val="center"/>
              <w:rPr>
                <w:rFonts w:ascii="Arial Narrow" w:hAnsi="Arial Narrow" w:cs="Arial"/>
                <w:b/>
                <w:bCs/>
                <w:sz w:val="16"/>
                <w:szCs w:val="16"/>
              </w:rPr>
            </w:pPr>
            <w:r>
              <w:rPr>
                <w:rFonts w:ascii="Arial Narrow" w:hAnsi="Arial Narrow" w:cs="Arial"/>
                <w:b/>
                <w:bCs/>
                <w:sz w:val="16"/>
                <w:szCs w:val="16"/>
              </w:rPr>
              <w:t>16</w:t>
            </w:r>
          </w:p>
        </w:tc>
        <w:tc>
          <w:tcPr>
            <w:tcW w:w="1162" w:type="dxa"/>
            <w:vMerge/>
            <w:tcBorders>
              <w:left w:val="single" w:sz="18" w:space="0" w:color="BFBFBF"/>
              <w:right w:val="single" w:sz="18" w:space="0" w:color="C0C0C0"/>
            </w:tcBorders>
            <w:shd w:val="clear" w:color="auto" w:fill="A972A9"/>
            <w:vAlign w:val="center"/>
          </w:tcPr>
          <w:p w14:paraId="0DEBBF86" w14:textId="77777777" w:rsidR="005C3C04" w:rsidRPr="00F10DE3" w:rsidRDefault="005C3C04" w:rsidP="00EB0D94">
            <w:pPr>
              <w:jc w:val="center"/>
              <w:rPr>
                <w:rFonts w:ascii="Arial Narrow" w:hAnsi="Arial Narrow" w:cs="Arial"/>
                <w:b/>
                <w:bCs/>
                <w:sz w:val="16"/>
                <w:szCs w:val="16"/>
              </w:rPr>
            </w:pPr>
          </w:p>
        </w:tc>
        <w:tc>
          <w:tcPr>
            <w:tcW w:w="1162" w:type="dxa"/>
            <w:vMerge/>
            <w:tcBorders>
              <w:top w:val="single" w:sz="18" w:space="0" w:color="FFFFFF"/>
              <w:left w:val="single" w:sz="18" w:space="0" w:color="C0C0C0"/>
              <w:bottom w:val="single" w:sz="18" w:space="0" w:color="C0C0C0"/>
              <w:right w:val="single" w:sz="18" w:space="0" w:color="C0C0C0"/>
            </w:tcBorders>
            <w:shd w:val="thinDiagCross" w:color="auto" w:fill="A972A9"/>
            <w:vAlign w:val="center"/>
          </w:tcPr>
          <w:p w14:paraId="281F3A25" w14:textId="77777777" w:rsidR="005C3C04" w:rsidRPr="00F10DE3" w:rsidRDefault="005C3C04" w:rsidP="00193311">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51065556"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7B04B169" w14:textId="77777777" w:rsidR="005C3C04" w:rsidRPr="008805E5" w:rsidRDefault="005C3C04" w:rsidP="00EB0D94">
            <w:pPr>
              <w:jc w:val="center"/>
              <w:rPr>
                <w:rFonts w:ascii="Arial Narrow" w:hAnsi="Arial Narrow"/>
                <w:sz w:val="16"/>
                <w:szCs w:val="16"/>
              </w:rPr>
            </w:pPr>
          </w:p>
        </w:tc>
      </w:tr>
      <w:tr w:rsidR="005C3C04" w:rsidRPr="00BC2C5D" w14:paraId="3066009B" w14:textId="77777777" w:rsidTr="004B46D8">
        <w:trPr>
          <w:trHeight w:val="308"/>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0D5E51AE" w:rsidR="005C3C04" w:rsidRPr="00A634FA" w:rsidRDefault="005C3C04" w:rsidP="00EB0D94">
            <w:pPr>
              <w:jc w:val="center"/>
              <w:rPr>
                <w:rFonts w:ascii="Arial Narrow" w:hAnsi="Arial Narrow" w:cs="Arial"/>
                <w:sz w:val="16"/>
                <w:szCs w:val="16"/>
              </w:rPr>
            </w:pPr>
            <w:r>
              <w:rPr>
                <w:rFonts w:ascii="Arial Narrow" w:hAnsi="Arial Narrow" w:cs="Arial"/>
                <w:sz w:val="16"/>
                <w:szCs w:val="16"/>
              </w:rPr>
              <w:t>22 February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5C3C04" w:rsidRPr="00F10DE3" w:rsidRDefault="005C3C04" w:rsidP="00EB0D94">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63E8B25A" w14:textId="7B64D308"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23</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10F20E7" w14:textId="4B1DC616"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24</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C6E2192" w14:textId="05E2BAD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3EAE6954"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7A4EDE1A" w:rsidR="005C3C04"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5C3C04" w:rsidRPr="00BC2C5D" w14:paraId="719E8F24" w14:textId="77777777" w:rsidTr="008805E5">
        <w:trPr>
          <w:trHeight w:val="284"/>
        </w:trPr>
        <w:tc>
          <w:tcPr>
            <w:tcW w:w="1526" w:type="dxa"/>
            <w:vMerge/>
            <w:tcBorders>
              <w:left w:val="single" w:sz="18" w:space="0" w:color="auto"/>
              <w:bottom w:val="single" w:sz="18" w:space="0" w:color="auto"/>
              <w:right w:val="single" w:sz="18" w:space="0" w:color="C0C0C0"/>
            </w:tcBorders>
            <w:shd w:val="clear" w:color="auto" w:fill="auto"/>
            <w:vAlign w:val="center"/>
          </w:tcPr>
          <w:p w14:paraId="680D9037"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6B627D2C" w14:textId="77777777" w:rsidR="005C3C04" w:rsidRPr="00F10DE3" w:rsidRDefault="005C3C04"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C68F01B" w14:textId="1DBE4529"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23</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20CFFDAC" w14:textId="77777777" w:rsidR="005C3C04" w:rsidRPr="00F10DE3" w:rsidRDefault="005C3C04"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45"/>
            <w:vAlign w:val="center"/>
          </w:tcPr>
          <w:p w14:paraId="66437C5C" w14:textId="0C024B8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tcBorders>
              <w:left w:val="single" w:sz="18" w:space="0" w:color="C0C0C0"/>
              <w:bottom w:val="single" w:sz="18" w:space="0" w:color="auto"/>
              <w:right w:val="single" w:sz="18" w:space="0" w:color="auto"/>
            </w:tcBorders>
            <w:shd w:val="clear" w:color="auto" w:fill="auto"/>
            <w:vAlign w:val="center"/>
          </w:tcPr>
          <w:p w14:paraId="4606BD33"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0B9516F6" w14:textId="77777777" w:rsidR="005C3C04" w:rsidRPr="008805E5" w:rsidRDefault="005C3C04" w:rsidP="00EB0D94">
            <w:pPr>
              <w:jc w:val="center"/>
              <w:rPr>
                <w:rFonts w:ascii="Arial Narrow" w:hAnsi="Arial Narrow"/>
                <w:color w:val="31849B"/>
                <w:sz w:val="16"/>
                <w:szCs w:val="16"/>
              </w:rPr>
            </w:pPr>
          </w:p>
        </w:tc>
      </w:tr>
      <w:tr w:rsidR="00C45F66" w:rsidRPr="00BC2C5D" w14:paraId="4F42726F" w14:textId="77777777" w:rsidTr="008805E5">
        <w:trPr>
          <w:trHeight w:val="615"/>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547AAE0E" w14:textId="45725801" w:rsidR="00C45F66" w:rsidRPr="00A634FA" w:rsidRDefault="00C45F66" w:rsidP="00EB0D94">
            <w:pPr>
              <w:jc w:val="center"/>
              <w:rPr>
                <w:rFonts w:ascii="Arial Narrow" w:hAnsi="Arial Narrow" w:cs="Arial"/>
                <w:sz w:val="16"/>
                <w:szCs w:val="16"/>
              </w:rPr>
            </w:pPr>
            <w:r>
              <w:rPr>
                <w:rFonts w:ascii="Arial Narrow" w:hAnsi="Arial Narrow" w:cs="Arial"/>
                <w:sz w:val="16"/>
                <w:szCs w:val="16"/>
              </w:rPr>
              <w:t>1 March</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01743E49" w14:textId="77777777"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A972A9"/>
            <w:vAlign w:val="center"/>
          </w:tcPr>
          <w:p w14:paraId="638618E9" w14:textId="4F195303" w:rsidR="00C45F66"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2A768ACC" w14:textId="19927E6C" w:rsidR="00C45F66" w:rsidRPr="00F10DE3" w:rsidRDefault="00A42988" w:rsidP="00EB0D94">
            <w:pPr>
              <w:jc w:val="center"/>
              <w:rPr>
                <w:rFonts w:ascii="Arial Narrow" w:hAnsi="Arial Narrow" w:cs="Arial"/>
                <w:b/>
                <w:bCs/>
                <w:sz w:val="16"/>
                <w:szCs w:val="16"/>
              </w:rPr>
            </w:pPr>
            <w:r>
              <w:rPr>
                <w:rFonts w:ascii="Arial Narrow" w:hAnsi="Arial Narrow" w:cs="Arial"/>
                <w:b/>
                <w:bCs/>
                <w:sz w:val="16"/>
                <w:szCs w:val="16"/>
              </w:rPr>
              <w:t>3</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thinDiagCross" w:color="auto" w:fill="A972A9"/>
            <w:vAlign w:val="center"/>
          </w:tcPr>
          <w:p w14:paraId="20B7857C" w14:textId="2408B107" w:rsidR="00C45F66" w:rsidRPr="00F10DE3" w:rsidRDefault="00A42988" w:rsidP="00193311">
            <w:pPr>
              <w:jc w:val="center"/>
              <w:rPr>
                <w:rFonts w:ascii="Arial Narrow" w:hAnsi="Arial Narrow" w:cs="Arial"/>
                <w:b/>
                <w:bCs/>
                <w:color w:val="000000"/>
                <w:sz w:val="16"/>
                <w:szCs w:val="16"/>
              </w:rPr>
            </w:pPr>
            <w:r>
              <w:rPr>
                <w:rFonts w:ascii="Arial Narrow" w:hAnsi="Arial Narrow" w:cs="Arial"/>
                <w:b/>
                <w:bCs/>
                <w:color w:val="000000"/>
                <w:sz w:val="16"/>
                <w:szCs w:val="16"/>
              </w:rPr>
              <w:t>4</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3B88A390" w14:textId="77777777" w:rsidR="00C45F66" w:rsidRPr="00F10DE3" w:rsidRDefault="00C45F66"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3F7AA07" w14:textId="31FBE494" w:rsidR="00C45F66" w:rsidRPr="008805E5" w:rsidRDefault="008805E5" w:rsidP="00EB0D94">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5C3C04" w:rsidRPr="00BC2C5D" w14:paraId="1709D6A1" w14:textId="77777777" w:rsidTr="008805E5">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1BF0A00" w14:textId="3834448C" w:rsidR="005C3C04" w:rsidRPr="00390B39" w:rsidRDefault="005C3C04" w:rsidP="00390B39">
            <w:pPr>
              <w:jc w:val="center"/>
              <w:rPr>
                <w:rFonts w:ascii="Arial Narrow" w:hAnsi="Arial Narrow" w:cs="Arial"/>
                <w:sz w:val="16"/>
                <w:szCs w:val="16"/>
              </w:rPr>
            </w:pPr>
            <w:r>
              <w:rPr>
                <w:rFonts w:ascii="Arial Narrow" w:hAnsi="Arial Narrow" w:cs="Arial"/>
                <w:sz w:val="16"/>
                <w:szCs w:val="16"/>
              </w:rPr>
              <w:t>8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8EF7F10" w14:textId="77777777" w:rsidR="005C3C04" w:rsidRPr="00F10DE3" w:rsidRDefault="005C3C04" w:rsidP="00EB0D94">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6EA5338" w14:textId="26857B72"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66874CFB" w14:textId="7155AB99"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10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6FA11784" w14:textId="43814BA3"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12101718"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E52BC2E" w14:textId="26BD991C" w:rsidR="005C3C04" w:rsidRPr="008805E5" w:rsidRDefault="008805E5" w:rsidP="002B2062">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5C3C04" w:rsidRPr="00BC2C5D" w14:paraId="701F2BE1"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BDCA7E5"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B21F38E" w14:textId="77777777" w:rsidR="005C3C04" w:rsidRPr="00F10DE3" w:rsidRDefault="005C3C04" w:rsidP="00EB0D94">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0000"/>
            <w:vAlign w:val="center"/>
          </w:tcPr>
          <w:p w14:paraId="20894FA0" w14:textId="77777777" w:rsidR="005C3C04" w:rsidRDefault="005C3C04" w:rsidP="00EB0D94">
            <w:pPr>
              <w:jc w:val="center"/>
              <w:rPr>
                <w:rFonts w:ascii="Arial Narrow" w:hAnsi="Arial Narrow" w:cs="Arial"/>
                <w:b/>
                <w:bCs/>
                <w:color w:val="000000"/>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4EC07A13" w14:textId="77777777" w:rsidR="005C3C04" w:rsidRDefault="005C3C04"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491819A5" w14:textId="68C4A73D"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11</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3C9CBA9D"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3AFF38C" w14:textId="77777777" w:rsidR="005C3C04" w:rsidRPr="008805E5" w:rsidRDefault="005C3C04" w:rsidP="002B2062">
            <w:pPr>
              <w:jc w:val="center"/>
              <w:rPr>
                <w:rFonts w:ascii="Arial Narrow" w:hAnsi="Arial Narrow"/>
                <w:color w:val="31849B"/>
                <w:sz w:val="16"/>
                <w:szCs w:val="16"/>
              </w:rPr>
            </w:pPr>
          </w:p>
        </w:tc>
      </w:tr>
      <w:tr w:rsidR="005C3C04" w:rsidRPr="00BC2C5D" w14:paraId="73DF2101" w14:textId="77777777" w:rsidTr="004B46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0B66A6F3" w:rsidR="005C3C04" w:rsidRPr="00390B39" w:rsidRDefault="005C3C04" w:rsidP="00390B39">
            <w:pPr>
              <w:jc w:val="center"/>
              <w:rPr>
                <w:rFonts w:ascii="Arial Narrow" w:hAnsi="Arial Narrow" w:cs="Arial"/>
                <w:sz w:val="16"/>
                <w:szCs w:val="16"/>
              </w:rPr>
            </w:pPr>
            <w:r>
              <w:rPr>
                <w:rFonts w:ascii="Arial Narrow" w:hAnsi="Arial Narrow" w:cs="Arial"/>
                <w:sz w:val="16"/>
                <w:szCs w:val="16"/>
              </w:rPr>
              <w:t>15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5C3C04" w:rsidRPr="00F10DE3" w:rsidRDefault="005C3C04"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464CB32A"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16</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27641272"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17</w:t>
            </w:r>
          </w:p>
        </w:tc>
        <w:tc>
          <w:tcPr>
            <w:tcW w:w="1162" w:type="dxa"/>
            <w:vMerge w:val="restart"/>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0D6D0741" w14:textId="21A8D72B"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6191EF09" w:rsidR="005C3C04" w:rsidRPr="008805E5" w:rsidRDefault="005C3C04" w:rsidP="00EB0D94">
            <w:pPr>
              <w:jc w:val="center"/>
              <w:rPr>
                <w:rFonts w:ascii="Arial Narrow" w:hAnsi="Arial Narrow"/>
                <w:color w:val="31849B"/>
                <w:sz w:val="16"/>
                <w:szCs w:val="16"/>
              </w:rPr>
            </w:pPr>
          </w:p>
        </w:tc>
      </w:tr>
      <w:tr w:rsidR="005C3C04" w:rsidRPr="00BC2C5D" w14:paraId="7427F9BD"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D24D082"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685FFFE3" w14:textId="77777777" w:rsidR="005C3C04" w:rsidRPr="00F10DE3" w:rsidRDefault="005C3C04"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45E8A08D" w14:textId="0058A051"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16</w:t>
            </w: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08640915" w14:textId="77777777" w:rsidR="005C3C04" w:rsidRPr="00F10DE3" w:rsidRDefault="005C3C04" w:rsidP="00EB0D94">
            <w:pPr>
              <w:jc w:val="center"/>
              <w:rPr>
                <w:rFonts w:ascii="Arial Narrow" w:hAnsi="Arial Narrow" w:cs="Arial"/>
                <w:b/>
                <w:bCs/>
                <w:color w:val="000000"/>
                <w:sz w:val="16"/>
                <w:szCs w:val="16"/>
              </w:rPr>
            </w:pPr>
          </w:p>
        </w:tc>
        <w:tc>
          <w:tcPr>
            <w:tcW w:w="1162" w:type="dxa"/>
            <w:vMerge/>
            <w:tcBorders>
              <w:top w:val="single" w:sz="18" w:space="0" w:color="FFFFFF"/>
              <w:left w:val="single" w:sz="18" w:space="0" w:color="C0C0C0"/>
              <w:bottom w:val="single" w:sz="18" w:space="0" w:color="C0C0C0"/>
              <w:right w:val="single" w:sz="18" w:space="0" w:color="C0C0C0"/>
            </w:tcBorders>
            <w:shd w:val="thinDiagCross" w:color="auto" w:fill="A972A9"/>
            <w:vAlign w:val="center"/>
          </w:tcPr>
          <w:p w14:paraId="00BD2587" w14:textId="77777777" w:rsidR="005C3C04" w:rsidRPr="00F10DE3" w:rsidRDefault="005C3C04" w:rsidP="00EB0D94">
            <w:pPr>
              <w:jc w:val="center"/>
              <w:rPr>
                <w:rFonts w:ascii="Arial Narrow" w:hAnsi="Arial Narrow" w:cs="Arial"/>
                <w:b/>
                <w:bCs/>
                <w:color w:val="000000"/>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35556AD"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2BEB1240" w14:textId="77777777" w:rsidR="005C3C04" w:rsidRPr="008805E5" w:rsidRDefault="005C3C04" w:rsidP="00EB0D94">
            <w:pPr>
              <w:jc w:val="center"/>
              <w:rPr>
                <w:rFonts w:ascii="Arial Narrow" w:hAnsi="Arial Narrow"/>
                <w:color w:val="31849B"/>
                <w:sz w:val="16"/>
                <w:szCs w:val="16"/>
              </w:rPr>
            </w:pPr>
          </w:p>
        </w:tc>
      </w:tr>
      <w:tr w:rsidR="005C3C04" w:rsidRPr="00BC2C5D" w14:paraId="307A9FC1" w14:textId="77777777" w:rsidTr="004B46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2B22EE06" w:rsidR="005C3C04" w:rsidRPr="00390B39" w:rsidRDefault="005C3C04" w:rsidP="00390B39">
            <w:pPr>
              <w:jc w:val="center"/>
              <w:rPr>
                <w:rFonts w:ascii="Arial Narrow" w:hAnsi="Arial Narrow" w:cs="Arial"/>
                <w:sz w:val="16"/>
                <w:szCs w:val="16"/>
              </w:rPr>
            </w:pPr>
            <w:r>
              <w:rPr>
                <w:rFonts w:ascii="Arial Narrow" w:hAnsi="Arial Narrow" w:cs="Arial"/>
                <w:sz w:val="16"/>
                <w:szCs w:val="16"/>
              </w:rPr>
              <w:t>22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5C3C04" w:rsidRPr="00A634FA" w:rsidRDefault="005C3C04" w:rsidP="00EB0D94">
            <w:pPr>
              <w:jc w:val="center"/>
              <w:rPr>
                <w:rFonts w:ascii="Arial Narrow" w:hAnsi="Arial Narrow" w:cs="Arial"/>
                <w:color w:val="000000"/>
                <w:sz w:val="16"/>
                <w:szCs w:val="16"/>
              </w:rPr>
            </w:pPr>
          </w:p>
        </w:tc>
        <w:tc>
          <w:tcPr>
            <w:tcW w:w="1162" w:type="dxa"/>
            <w:vMerge w:val="restart"/>
            <w:tcBorders>
              <w:top w:val="single" w:sz="18" w:space="0" w:color="BFBFBF"/>
              <w:left w:val="single" w:sz="18" w:space="0" w:color="C0C0C0"/>
              <w:right w:val="single" w:sz="18" w:space="0" w:color="BFBFBF"/>
            </w:tcBorders>
            <w:shd w:val="clear" w:color="auto" w:fill="FF0000"/>
            <w:vAlign w:val="center"/>
          </w:tcPr>
          <w:p w14:paraId="7C5A4051" w14:textId="1809D405" w:rsidR="005C3C04" w:rsidRPr="005C3C04" w:rsidRDefault="005C3C04" w:rsidP="00EB0D94">
            <w:pPr>
              <w:jc w:val="center"/>
              <w:rPr>
                <w:rFonts w:ascii="Arial Narrow" w:hAnsi="Arial Narrow" w:cs="Arial"/>
                <w:b/>
                <w:bCs/>
                <w:color w:val="000000"/>
                <w:sz w:val="16"/>
                <w:szCs w:val="16"/>
              </w:rPr>
            </w:pPr>
            <w:r w:rsidRPr="005C3C04">
              <w:rPr>
                <w:rFonts w:ascii="Arial Narrow" w:hAnsi="Arial Narrow" w:cs="Arial"/>
                <w:b/>
                <w:bCs/>
                <w:color w:val="000000"/>
                <w:sz w:val="16"/>
                <w:szCs w:val="16"/>
              </w:rPr>
              <w:t>23</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3B1A4BFD" w:rsidR="005C3C04" w:rsidRPr="005C3C04" w:rsidRDefault="005C3C04" w:rsidP="00EB0D94">
            <w:pPr>
              <w:jc w:val="center"/>
              <w:rPr>
                <w:rFonts w:ascii="Arial Narrow" w:hAnsi="Arial Narrow" w:cs="Arial"/>
                <w:b/>
                <w:bCs/>
                <w:color w:val="000000"/>
                <w:sz w:val="16"/>
                <w:szCs w:val="16"/>
              </w:rPr>
            </w:pPr>
            <w:r w:rsidRPr="005C3C04">
              <w:rPr>
                <w:rFonts w:ascii="Arial Narrow" w:hAnsi="Arial Narrow" w:cs="Arial"/>
                <w:b/>
                <w:bCs/>
                <w:color w:val="000000"/>
                <w:sz w:val="16"/>
                <w:szCs w:val="16"/>
              </w:rPr>
              <w:t>24</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1F3F07A" w14:textId="49ABA444" w:rsidR="005C3C04" w:rsidRPr="005C3C04"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25</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5C3C04" w:rsidRPr="00A634FA"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5B2C24D" w:rsidR="005C3C04" w:rsidRPr="008805E5" w:rsidRDefault="008805E5" w:rsidP="00EB0D94">
            <w:pPr>
              <w:jc w:val="center"/>
              <w:rPr>
                <w:rFonts w:ascii="Arial Narrow" w:hAnsi="Arial Narrow"/>
                <w:sz w:val="16"/>
                <w:szCs w:val="16"/>
              </w:rPr>
            </w:pPr>
            <w:r w:rsidRPr="008805E5">
              <w:rPr>
                <w:rFonts w:ascii="Arial Narrow" w:hAnsi="Arial Narrow"/>
                <w:color w:val="31849B"/>
                <w:sz w:val="16"/>
                <w:szCs w:val="16"/>
              </w:rPr>
              <w:t>Doomadgee – Gulf Circuit</w:t>
            </w:r>
          </w:p>
        </w:tc>
      </w:tr>
      <w:tr w:rsidR="005C3C04" w:rsidRPr="00BC2C5D" w14:paraId="2EA53E51"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7CBA43AC"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10C323FC" w14:textId="77777777" w:rsidR="005C3C04" w:rsidRPr="00A634FA" w:rsidRDefault="005C3C04" w:rsidP="00EB0D94">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0000"/>
            <w:vAlign w:val="center"/>
          </w:tcPr>
          <w:p w14:paraId="29482FD3" w14:textId="77777777" w:rsidR="005C3C04" w:rsidRPr="005C3C04" w:rsidRDefault="005C3C04" w:rsidP="00EB0D94">
            <w:pPr>
              <w:jc w:val="center"/>
              <w:rPr>
                <w:rFonts w:ascii="Arial Narrow" w:hAnsi="Arial Narrow" w:cs="Arial"/>
                <w:b/>
                <w:bCs/>
                <w:color w:val="000000"/>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515F6ABF" w14:textId="77777777" w:rsidR="005C3C04" w:rsidRPr="005C3C04" w:rsidRDefault="005C3C04"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548F0AF6" w14:textId="4A07C9D7" w:rsidR="005C3C04" w:rsidRPr="005C3C04"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25</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EA45696" w14:textId="77777777" w:rsidR="005C3C04" w:rsidRPr="00A634FA"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519A7C74" w14:textId="77777777" w:rsidR="005C3C04" w:rsidRPr="008805E5" w:rsidRDefault="005C3C04" w:rsidP="00EB0D94">
            <w:pPr>
              <w:jc w:val="center"/>
              <w:rPr>
                <w:rFonts w:ascii="Arial Narrow" w:hAnsi="Arial Narrow"/>
                <w:sz w:val="16"/>
                <w:szCs w:val="16"/>
              </w:rPr>
            </w:pPr>
          </w:p>
        </w:tc>
      </w:tr>
      <w:tr w:rsidR="00F22B87" w:rsidRPr="00BC2C5D" w14:paraId="04B98309" w14:textId="77777777" w:rsidTr="00F22B87">
        <w:trPr>
          <w:trHeight w:val="615"/>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0FD8FE5E" w:rsidR="00F22B87" w:rsidRPr="00390B39" w:rsidRDefault="00F22B87" w:rsidP="00390B39">
            <w:pPr>
              <w:jc w:val="center"/>
              <w:rPr>
                <w:rFonts w:ascii="Arial Narrow" w:hAnsi="Arial Narrow" w:cs="Arial"/>
                <w:sz w:val="16"/>
                <w:szCs w:val="16"/>
              </w:rPr>
            </w:pPr>
            <w:r>
              <w:rPr>
                <w:rFonts w:ascii="Arial Narrow" w:hAnsi="Arial Narrow" w:cs="Arial"/>
                <w:sz w:val="16"/>
                <w:szCs w:val="16"/>
              </w:rPr>
              <w:t>29 March</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642C16FC" w14:textId="77777777" w:rsidR="00F22B87" w:rsidRPr="00A634FA" w:rsidRDefault="00F22B87"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FFFF00"/>
            <w:vAlign w:val="center"/>
          </w:tcPr>
          <w:p w14:paraId="0A7AAF2C" w14:textId="7FA0ACDD" w:rsidR="00F22B87" w:rsidRPr="005C3C04" w:rsidRDefault="00F22B87" w:rsidP="00294AA0">
            <w:pPr>
              <w:jc w:val="center"/>
              <w:rPr>
                <w:rFonts w:ascii="Arial Narrow" w:hAnsi="Arial Narrow" w:cs="Arial"/>
                <w:b/>
                <w:bCs/>
                <w:color w:val="000000"/>
                <w:sz w:val="16"/>
                <w:szCs w:val="16"/>
              </w:rPr>
            </w:pPr>
            <w:r>
              <w:rPr>
                <w:rFonts w:ascii="Arial Narrow" w:hAnsi="Arial Narrow" w:cs="Arial"/>
                <w:b/>
                <w:bCs/>
                <w:color w:val="000000"/>
                <w:sz w:val="16"/>
                <w:szCs w:val="16"/>
              </w:rPr>
              <w:t>30</w:t>
            </w:r>
          </w:p>
        </w:tc>
        <w:tc>
          <w:tcPr>
            <w:tcW w:w="1162" w:type="dxa"/>
            <w:tcBorders>
              <w:top w:val="single" w:sz="18" w:space="0" w:color="BFBFBF" w:themeColor="background1" w:themeShade="BF"/>
              <w:left w:val="single" w:sz="18" w:space="0" w:color="BFBFBF"/>
              <w:right w:val="single" w:sz="18" w:space="0" w:color="C0C0C0"/>
            </w:tcBorders>
            <w:shd w:val="clear" w:color="auto" w:fill="A972A9"/>
            <w:vAlign w:val="center"/>
          </w:tcPr>
          <w:p w14:paraId="1F9ED47F" w14:textId="451C8402" w:rsidR="00F22B87" w:rsidRPr="005C3C04" w:rsidRDefault="00F22B87" w:rsidP="00EB0D94">
            <w:pPr>
              <w:jc w:val="center"/>
              <w:rPr>
                <w:rFonts w:ascii="Arial Narrow" w:hAnsi="Arial Narrow" w:cs="Arial"/>
                <w:b/>
                <w:bCs/>
                <w:color w:val="000000"/>
                <w:sz w:val="16"/>
                <w:szCs w:val="16"/>
              </w:rPr>
            </w:pPr>
            <w:r>
              <w:rPr>
                <w:rFonts w:ascii="Arial Narrow" w:hAnsi="Arial Narrow" w:cs="Arial"/>
                <w:b/>
                <w:bCs/>
                <w:color w:val="000000"/>
                <w:sz w:val="16"/>
                <w:szCs w:val="16"/>
              </w:rPr>
              <w:t>31</w:t>
            </w:r>
          </w:p>
        </w:tc>
        <w:tc>
          <w:tcPr>
            <w:tcW w:w="1162" w:type="dxa"/>
            <w:tcBorders>
              <w:top w:val="single" w:sz="18" w:space="0" w:color="C0C0C0"/>
              <w:left w:val="single" w:sz="18" w:space="0" w:color="C0C0C0"/>
              <w:right w:val="single" w:sz="18" w:space="0" w:color="C0C0C0"/>
            </w:tcBorders>
            <w:shd w:val="clear" w:color="auto" w:fill="auto"/>
            <w:vAlign w:val="center"/>
          </w:tcPr>
          <w:p w14:paraId="2B4AD7BE" w14:textId="77777777" w:rsidR="00F22B87" w:rsidRPr="005C3C04" w:rsidRDefault="00F22B87" w:rsidP="00EB0D94">
            <w:pPr>
              <w:jc w:val="center"/>
              <w:rPr>
                <w:rFonts w:ascii="Arial Narrow" w:hAnsi="Arial Narrow" w:cs="Arial"/>
                <w:b/>
                <w:bCs/>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193F18B3" w:rsidR="00F22B87" w:rsidRPr="00A634FA" w:rsidRDefault="00F22B87"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3EB018F0" w14:textId="5C017109" w:rsidR="00F22B87" w:rsidRPr="008805E5" w:rsidRDefault="00F22B87" w:rsidP="00EB0D94">
            <w:pPr>
              <w:jc w:val="center"/>
              <w:rPr>
                <w:rFonts w:ascii="Arial Narrow" w:hAnsi="Arial Narrow"/>
                <w:sz w:val="16"/>
                <w:szCs w:val="16"/>
              </w:rPr>
            </w:pPr>
            <w:r w:rsidRPr="008805E5">
              <w:rPr>
                <w:rFonts w:ascii="Arial Narrow" w:hAnsi="Arial Narrow" w:cs="Arial"/>
                <w:color w:val="244061"/>
                <w:sz w:val="16"/>
                <w:szCs w:val="16"/>
                <w:highlight w:val="yellow"/>
              </w:rPr>
              <w:t>2 Good Friday</w:t>
            </w:r>
          </w:p>
        </w:tc>
      </w:tr>
      <w:tr w:rsidR="00F65FFD" w:rsidRPr="00BC2C5D" w14:paraId="1920F1D5" w14:textId="77777777" w:rsidTr="004B46D8">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2BE8F129" w:rsidR="00F65FFD" w:rsidRPr="00A634FA" w:rsidRDefault="00F65FFD" w:rsidP="00390B39">
            <w:pPr>
              <w:jc w:val="center"/>
              <w:rPr>
                <w:rFonts w:ascii="Arial Narrow" w:hAnsi="Arial Narrow" w:cs="Arial"/>
                <w:sz w:val="16"/>
                <w:szCs w:val="16"/>
              </w:rPr>
            </w:pPr>
            <w:r w:rsidRPr="00390B39">
              <w:rPr>
                <w:rFonts w:ascii="Arial Narrow" w:hAnsi="Arial Narrow" w:cs="Arial"/>
                <w:sz w:val="16"/>
                <w:szCs w:val="16"/>
              </w:rPr>
              <w:t xml:space="preserve">5 </w:t>
            </w:r>
            <w:r w:rsidR="00362B60">
              <w:rPr>
                <w:rFonts w:ascii="Arial Narrow" w:hAnsi="Arial Narrow" w:cs="Arial"/>
                <w:sz w:val="16"/>
                <w:szCs w:val="16"/>
              </w:rPr>
              <w:t>April</w:t>
            </w:r>
          </w:p>
        </w:tc>
        <w:tc>
          <w:tcPr>
            <w:tcW w:w="1051" w:type="dxa"/>
            <w:tcBorders>
              <w:top w:val="single" w:sz="18" w:space="0" w:color="auto"/>
              <w:left w:val="single" w:sz="18" w:space="0" w:color="C0C0C0"/>
              <w:right w:val="single" w:sz="18" w:space="0" w:color="C0C0C0"/>
            </w:tcBorders>
            <w:shd w:val="clear" w:color="auto" w:fill="D9D9D9"/>
            <w:vAlign w:val="center"/>
          </w:tcPr>
          <w:p w14:paraId="56638F21" w14:textId="4AD8749C" w:rsidR="00F65FFD" w:rsidRPr="00A634FA" w:rsidRDefault="008D4D8C"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D9D9D9"/>
            <w:vAlign w:val="center"/>
          </w:tcPr>
          <w:p w14:paraId="4476C160" w14:textId="48888BC1"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D9D9D9"/>
            <w:vAlign w:val="center"/>
          </w:tcPr>
          <w:p w14:paraId="1AE5584B" w14:textId="3BDAF397" w:rsidR="00F65FFD" w:rsidRPr="00D8497C" w:rsidRDefault="00F65FFD"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right w:val="single" w:sz="18" w:space="0" w:color="C0C0C0"/>
            </w:tcBorders>
            <w:shd w:val="clear" w:color="auto" w:fill="D9D9D9"/>
            <w:vAlign w:val="center"/>
          </w:tcPr>
          <w:p w14:paraId="6B78F59B" w14:textId="0AA37562"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C0C0C0"/>
              <w:right w:val="single" w:sz="18" w:space="0" w:color="auto"/>
            </w:tcBorders>
            <w:shd w:val="clear" w:color="auto" w:fill="D9D9D9"/>
            <w:vAlign w:val="center"/>
          </w:tcPr>
          <w:p w14:paraId="1A733CA3" w14:textId="77777777" w:rsidR="00F65FFD" w:rsidRPr="00A634FA" w:rsidRDefault="00F65FFD"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D9D9D9"/>
            <w:vAlign w:val="center"/>
          </w:tcPr>
          <w:p w14:paraId="5D4521D7" w14:textId="77777777" w:rsidR="008805E5" w:rsidRPr="008805E5" w:rsidRDefault="008805E5" w:rsidP="008805E5">
            <w:pPr>
              <w:jc w:val="center"/>
              <w:rPr>
                <w:rFonts w:ascii="Arial Narrow" w:hAnsi="Arial Narrow" w:cs="Arial"/>
                <w:color w:val="244061"/>
                <w:sz w:val="16"/>
                <w:szCs w:val="16"/>
              </w:rPr>
            </w:pPr>
            <w:r w:rsidRPr="008805E5">
              <w:rPr>
                <w:rFonts w:ascii="Arial Narrow" w:hAnsi="Arial Narrow" w:cs="Arial"/>
                <w:color w:val="244061"/>
                <w:sz w:val="16"/>
                <w:szCs w:val="16"/>
                <w:highlight w:val="yellow"/>
              </w:rPr>
              <w:t>5 Easter Monday</w:t>
            </w:r>
          </w:p>
          <w:p w14:paraId="51EA0079" w14:textId="40300C53" w:rsidR="00F65FFD" w:rsidRPr="008805E5" w:rsidRDefault="008805E5" w:rsidP="008805E5">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A42988" w:rsidRPr="00BC2C5D" w14:paraId="3D55130B" w14:textId="77777777" w:rsidTr="00A42988">
        <w:trPr>
          <w:trHeight w:val="615"/>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79E4E537" w:rsidR="00A42988" w:rsidRPr="00A634FA" w:rsidRDefault="00A42988" w:rsidP="00EB0D94">
            <w:pPr>
              <w:jc w:val="center"/>
              <w:rPr>
                <w:rFonts w:ascii="Arial Narrow" w:hAnsi="Arial Narrow" w:cs="Arial"/>
                <w:sz w:val="16"/>
                <w:szCs w:val="16"/>
              </w:rPr>
            </w:pPr>
            <w:r w:rsidRPr="00390B39">
              <w:rPr>
                <w:rFonts w:ascii="Arial Narrow" w:hAnsi="Arial Narrow" w:cs="Arial"/>
                <w:sz w:val="16"/>
                <w:szCs w:val="16"/>
              </w:rPr>
              <w:t xml:space="preserve">12 </w:t>
            </w:r>
            <w:r>
              <w:rPr>
                <w:rFonts w:ascii="Arial Narrow" w:hAnsi="Arial Narrow" w:cs="Arial"/>
                <w:sz w:val="16"/>
                <w:szCs w:val="16"/>
              </w:rPr>
              <w:t>April</w:t>
            </w:r>
          </w:p>
        </w:tc>
        <w:tc>
          <w:tcPr>
            <w:tcW w:w="1051" w:type="dxa"/>
            <w:tcBorders>
              <w:top w:val="single" w:sz="18" w:space="0" w:color="C0C0C0"/>
              <w:left w:val="single" w:sz="18" w:space="0" w:color="C0C0C0"/>
              <w:right w:val="single" w:sz="18" w:space="0" w:color="C0C0C0"/>
            </w:tcBorders>
            <w:shd w:val="clear" w:color="auto" w:fill="D9D9D9"/>
            <w:vAlign w:val="center"/>
          </w:tcPr>
          <w:p w14:paraId="3BBBD21F" w14:textId="77777777" w:rsidR="00A42988" w:rsidRPr="00A634FA" w:rsidRDefault="00A42988"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2F78CCA0" w14:textId="1AD429F7" w:rsidR="00A42988" w:rsidRPr="00D8497C" w:rsidRDefault="00A42988" w:rsidP="00193311">
            <w:pPr>
              <w:jc w:val="center"/>
              <w:rPr>
                <w:rFonts w:ascii="Arial Narrow" w:hAnsi="Arial Narrow" w:cs="Arial"/>
                <w:b/>
                <w:bCs/>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484ED60A" w14:textId="28F003F2" w:rsidR="00A42988" w:rsidRPr="00D8497C" w:rsidRDefault="00A42988" w:rsidP="00EB0D94">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13761527" w14:textId="59BFAA2A" w:rsidR="00A42988" w:rsidRPr="00D8497C" w:rsidRDefault="00A42988" w:rsidP="00193311">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341632A4" w14:textId="77777777" w:rsidR="00A42988" w:rsidRPr="00A634FA" w:rsidRDefault="00A42988" w:rsidP="00EB0D94">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184F82AE" w14:textId="78F91C8D" w:rsidR="00A42988" w:rsidRPr="008805E5" w:rsidRDefault="008805E5" w:rsidP="002B2062">
            <w:pPr>
              <w:jc w:val="center"/>
              <w:rPr>
                <w:rFonts w:ascii="Arial Narrow" w:hAnsi="Arial Narrow"/>
                <w:sz w:val="16"/>
                <w:szCs w:val="16"/>
              </w:rPr>
            </w:pPr>
            <w:r w:rsidRPr="008805E5">
              <w:rPr>
                <w:rFonts w:ascii="Arial Narrow" w:hAnsi="Arial Narrow"/>
                <w:color w:val="31849B"/>
                <w:sz w:val="16"/>
                <w:szCs w:val="16"/>
              </w:rPr>
              <w:t>Aurukun Cape B Circuit</w:t>
            </w:r>
          </w:p>
        </w:tc>
      </w:tr>
      <w:tr w:rsidR="003F5A4A" w:rsidRPr="00BC2C5D" w14:paraId="172CB696" w14:textId="77777777" w:rsidTr="004B46D8">
        <w:trPr>
          <w:trHeight w:val="308"/>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0FCA4F89" w:rsidR="003F5A4A" w:rsidRPr="00A634FA" w:rsidRDefault="003F5A4A" w:rsidP="00EB0D94">
            <w:pPr>
              <w:jc w:val="center"/>
              <w:rPr>
                <w:rFonts w:ascii="Arial Narrow" w:hAnsi="Arial Narrow" w:cs="Arial"/>
                <w:sz w:val="16"/>
                <w:szCs w:val="16"/>
              </w:rPr>
            </w:pPr>
            <w:r>
              <w:rPr>
                <w:rFonts w:ascii="Arial Narrow" w:hAnsi="Arial Narrow" w:cs="Arial"/>
                <w:sz w:val="16"/>
                <w:szCs w:val="16"/>
              </w:rPr>
              <w:t>19 April</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8390FC0" w:rsidR="003F5A4A" w:rsidRPr="00A634FA" w:rsidRDefault="003F5A4A"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7181D4EC" w:rsidR="003F5A4A" w:rsidRPr="00D8497C" w:rsidRDefault="003F5A4A" w:rsidP="00193311">
            <w:pPr>
              <w:jc w:val="center"/>
              <w:rPr>
                <w:rFonts w:ascii="Arial Narrow" w:hAnsi="Arial Narrow" w:cs="Arial"/>
                <w:b/>
                <w:bCs/>
                <w:color w:val="000000"/>
                <w:sz w:val="16"/>
                <w:szCs w:val="16"/>
              </w:rPr>
            </w:pPr>
            <w:r>
              <w:rPr>
                <w:rFonts w:ascii="Arial Narrow" w:hAnsi="Arial Narrow" w:cs="Arial"/>
                <w:b/>
                <w:bCs/>
                <w:color w:val="000000"/>
                <w:sz w:val="16"/>
                <w:szCs w:val="16"/>
              </w:rPr>
              <w:t>20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4C439A1C" w:rsidR="003F5A4A" w:rsidRPr="00D8497C" w:rsidRDefault="003F5A4A" w:rsidP="00EB0D94">
            <w:pPr>
              <w:jc w:val="center"/>
              <w:rPr>
                <w:rFonts w:ascii="Arial Narrow" w:hAnsi="Arial Narrow" w:cs="Arial"/>
                <w:b/>
                <w:bCs/>
                <w:sz w:val="16"/>
                <w:szCs w:val="16"/>
              </w:rPr>
            </w:pPr>
            <w:r>
              <w:rPr>
                <w:rFonts w:ascii="Arial Narrow" w:hAnsi="Arial Narrow" w:cs="Arial"/>
                <w:b/>
                <w:bCs/>
                <w:sz w:val="16"/>
                <w:szCs w:val="16"/>
              </w:rPr>
              <w:t>21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27622F8C"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60E46DC5" w:rsidR="003F5A4A" w:rsidRPr="008805E5" w:rsidRDefault="008805E5" w:rsidP="00EB0D94">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3F5A4A" w:rsidRPr="00BC2C5D" w14:paraId="5D228ED8" w14:textId="77777777" w:rsidTr="004B46D8">
        <w:trPr>
          <w:trHeight w:val="284"/>
        </w:trPr>
        <w:tc>
          <w:tcPr>
            <w:tcW w:w="1526" w:type="dxa"/>
            <w:vMerge/>
            <w:tcBorders>
              <w:left w:val="single" w:sz="18" w:space="0" w:color="auto"/>
              <w:right w:val="single" w:sz="18" w:space="0" w:color="C0C0C0"/>
            </w:tcBorders>
            <w:shd w:val="clear" w:color="auto" w:fill="auto"/>
            <w:vAlign w:val="center"/>
          </w:tcPr>
          <w:p w14:paraId="2FA91802" w14:textId="77777777" w:rsidR="003F5A4A" w:rsidRDefault="003F5A4A"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50ADBDF" w14:textId="77777777" w:rsidR="003F5A4A" w:rsidRPr="00A634FA" w:rsidRDefault="003F5A4A"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0CA1B702" w14:textId="7CEA9DCD" w:rsidR="003F5A4A" w:rsidRPr="00D8497C" w:rsidRDefault="003F5A4A" w:rsidP="00193311">
            <w:pPr>
              <w:jc w:val="center"/>
              <w:rPr>
                <w:rFonts w:ascii="Arial Narrow" w:hAnsi="Arial Narrow" w:cs="Arial"/>
                <w:b/>
                <w:bCs/>
                <w:color w:val="000000"/>
                <w:sz w:val="16"/>
                <w:szCs w:val="16"/>
              </w:rPr>
            </w:pPr>
            <w:r>
              <w:rPr>
                <w:rFonts w:ascii="Arial Narrow" w:hAnsi="Arial Narrow" w:cs="Arial"/>
                <w:b/>
                <w:bCs/>
                <w:color w:val="000000"/>
                <w:sz w:val="16"/>
                <w:szCs w:val="16"/>
              </w:rPr>
              <w:t>20</w:t>
            </w:r>
          </w:p>
        </w:tc>
        <w:tc>
          <w:tcPr>
            <w:tcW w:w="1162" w:type="dxa"/>
            <w:vMerge/>
            <w:tcBorders>
              <w:left w:val="single" w:sz="18" w:space="0" w:color="BFBFBF"/>
              <w:right w:val="single" w:sz="18" w:space="0" w:color="C0C0C0"/>
            </w:tcBorders>
            <w:shd w:val="clear" w:color="auto" w:fill="auto"/>
            <w:vAlign w:val="center"/>
          </w:tcPr>
          <w:p w14:paraId="32F675A9" w14:textId="77777777" w:rsidR="003F5A4A" w:rsidRPr="00D8497C" w:rsidRDefault="003F5A4A"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40C9522" w14:textId="77777777" w:rsidR="003F5A4A" w:rsidRPr="00D8497C" w:rsidRDefault="003F5A4A" w:rsidP="00EB0D94">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61C210CB"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6D0B149C" w14:textId="77777777" w:rsidR="003F5A4A" w:rsidRPr="008805E5" w:rsidRDefault="003F5A4A" w:rsidP="00EB0D94">
            <w:pPr>
              <w:jc w:val="center"/>
              <w:rPr>
                <w:rFonts w:ascii="Arial Narrow" w:hAnsi="Arial Narrow" w:cs="Arial"/>
                <w:sz w:val="16"/>
                <w:szCs w:val="16"/>
              </w:rPr>
            </w:pPr>
          </w:p>
        </w:tc>
      </w:tr>
      <w:tr w:rsidR="003F5A4A" w:rsidRPr="00BC2C5D" w14:paraId="512E60FF" w14:textId="77777777" w:rsidTr="004B46D8">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40EA42D4" w14:textId="532E9D04" w:rsidR="003F5A4A" w:rsidRPr="00A634FA" w:rsidRDefault="003F5A4A" w:rsidP="00EB0D94">
            <w:pPr>
              <w:jc w:val="center"/>
              <w:rPr>
                <w:rFonts w:ascii="Arial Narrow" w:hAnsi="Arial Narrow" w:cs="Arial"/>
                <w:sz w:val="16"/>
                <w:szCs w:val="16"/>
              </w:rPr>
            </w:pPr>
            <w:r>
              <w:rPr>
                <w:rFonts w:ascii="Arial Narrow" w:hAnsi="Arial Narrow" w:cs="Arial"/>
                <w:sz w:val="16"/>
                <w:szCs w:val="16"/>
              </w:rPr>
              <w:t>26 April</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7612969B" w14:textId="069DA08E" w:rsidR="003F5A4A" w:rsidRPr="00A634FA" w:rsidRDefault="003F5A4A"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vMerge w:val="restart"/>
            <w:tcBorders>
              <w:top w:val="single" w:sz="18" w:space="0" w:color="C0C0C0"/>
              <w:left w:val="single" w:sz="18" w:space="0" w:color="C0C0C0"/>
              <w:bottom w:val="single" w:sz="18" w:space="0" w:color="auto"/>
              <w:right w:val="single" w:sz="18" w:space="0" w:color="BFBFBF"/>
            </w:tcBorders>
            <w:shd w:val="clear" w:color="auto" w:fill="auto"/>
            <w:vAlign w:val="center"/>
          </w:tcPr>
          <w:p w14:paraId="42289F1C" w14:textId="2E01E8DA" w:rsidR="003F5A4A" w:rsidRPr="00A42988" w:rsidRDefault="003F5A4A" w:rsidP="00A42988">
            <w:pPr>
              <w:ind w:left="1440" w:hanging="1440"/>
              <w:jc w:val="center"/>
              <w:rPr>
                <w:rFonts w:ascii="Arial Narrow" w:hAnsi="Arial Narrow" w:cs="Arial"/>
                <w:b/>
                <w:bCs/>
                <w:sz w:val="16"/>
                <w:szCs w:val="16"/>
              </w:rPr>
            </w:pP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2B6CD71B" w14:textId="3A3789B2" w:rsidR="003F5A4A" w:rsidRPr="00D8497C" w:rsidRDefault="003F5A4A" w:rsidP="00A57D22">
            <w:pPr>
              <w:ind w:left="1440" w:hanging="1440"/>
              <w:jc w:val="center"/>
              <w:rPr>
                <w:rFonts w:ascii="Arial Narrow" w:hAnsi="Arial Narrow" w:cs="Arial"/>
                <w:b/>
                <w:bCs/>
                <w:sz w:val="16"/>
                <w:szCs w:val="16"/>
              </w:rPr>
            </w:pPr>
            <w:r>
              <w:rPr>
                <w:rFonts w:ascii="Arial Narrow" w:hAnsi="Arial Narrow" w:cs="Arial"/>
                <w:b/>
                <w:bCs/>
                <w:sz w:val="16"/>
                <w:szCs w:val="16"/>
              </w:rPr>
              <w:t>28</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984E9CC" w14:textId="422DF066"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29</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B09F96C"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58B2748E" w14:textId="19D07638" w:rsidR="003F5A4A" w:rsidRPr="008805E5" w:rsidRDefault="008805E5" w:rsidP="00EB0D94">
            <w:pPr>
              <w:jc w:val="center"/>
              <w:rPr>
                <w:rFonts w:ascii="Arial Narrow" w:hAnsi="Arial Narrow" w:cs="Arial"/>
                <w:sz w:val="16"/>
                <w:szCs w:val="16"/>
              </w:rPr>
            </w:pPr>
            <w:r w:rsidRPr="008805E5">
              <w:rPr>
                <w:rFonts w:ascii="Arial Narrow" w:hAnsi="Arial Narrow" w:cs="Arial"/>
                <w:color w:val="244061"/>
                <w:sz w:val="16"/>
                <w:szCs w:val="16"/>
                <w:highlight w:val="yellow"/>
              </w:rPr>
              <w:t>26 Anzac Day Public Holiday</w:t>
            </w:r>
          </w:p>
        </w:tc>
      </w:tr>
      <w:tr w:rsidR="003F5A4A" w:rsidRPr="00BC2C5D" w14:paraId="57E6C7C5" w14:textId="77777777" w:rsidTr="004B46D8">
        <w:trPr>
          <w:trHeight w:val="284"/>
        </w:trPr>
        <w:tc>
          <w:tcPr>
            <w:tcW w:w="1526" w:type="dxa"/>
            <w:vMerge/>
            <w:tcBorders>
              <w:left w:val="single" w:sz="18" w:space="0" w:color="auto"/>
              <w:bottom w:val="single" w:sz="18" w:space="0" w:color="auto"/>
              <w:right w:val="single" w:sz="18" w:space="0" w:color="C0C0C0"/>
            </w:tcBorders>
            <w:shd w:val="clear" w:color="auto" w:fill="auto"/>
            <w:vAlign w:val="center"/>
          </w:tcPr>
          <w:p w14:paraId="71FA8FE6" w14:textId="77777777" w:rsidR="003F5A4A" w:rsidRDefault="003F5A4A"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346F6164" w14:textId="77777777" w:rsidR="003F5A4A" w:rsidRPr="004E471D" w:rsidRDefault="003F5A4A" w:rsidP="00EB0D94">
            <w:pPr>
              <w:jc w:val="center"/>
              <w:rPr>
                <w:rFonts w:ascii="Arial Narrow" w:hAnsi="Arial Narrow" w:cs="Arial"/>
                <w:color w:val="FF0000"/>
                <w:sz w:val="16"/>
                <w:szCs w:val="16"/>
                <w:highlight w:val="yellow"/>
              </w:rPr>
            </w:pPr>
          </w:p>
        </w:tc>
        <w:tc>
          <w:tcPr>
            <w:tcW w:w="1162" w:type="dxa"/>
            <w:vMerge/>
            <w:tcBorders>
              <w:top w:val="single" w:sz="18" w:space="0" w:color="FFFFFF"/>
              <w:left w:val="single" w:sz="18" w:space="0" w:color="C0C0C0"/>
              <w:bottom w:val="single" w:sz="18" w:space="0" w:color="auto"/>
              <w:right w:val="single" w:sz="18" w:space="0" w:color="BFBFBF"/>
            </w:tcBorders>
            <w:shd w:val="clear" w:color="auto" w:fill="auto"/>
            <w:vAlign w:val="center"/>
          </w:tcPr>
          <w:p w14:paraId="2FF81677" w14:textId="77777777" w:rsidR="003F5A4A" w:rsidRPr="00A42988" w:rsidRDefault="003F5A4A" w:rsidP="00A42988">
            <w:pPr>
              <w:ind w:left="1440" w:hanging="1440"/>
              <w:jc w:val="center"/>
              <w:rPr>
                <w:rFonts w:ascii="Arial Narrow" w:hAnsi="Arial Narrow" w:cs="Arial"/>
                <w:b/>
                <w:bCs/>
                <w:sz w:val="16"/>
                <w:szCs w:val="16"/>
              </w:rPr>
            </w:pPr>
          </w:p>
        </w:tc>
        <w:tc>
          <w:tcPr>
            <w:tcW w:w="1162" w:type="dxa"/>
            <w:tcBorders>
              <w:top w:val="nil"/>
              <w:left w:val="single" w:sz="18" w:space="0" w:color="BFBFBF"/>
              <w:bottom w:val="single" w:sz="18" w:space="0" w:color="auto"/>
              <w:right w:val="single" w:sz="18" w:space="0" w:color="BFBFBF"/>
            </w:tcBorders>
            <w:shd w:val="clear" w:color="auto" w:fill="769245"/>
            <w:vAlign w:val="center"/>
          </w:tcPr>
          <w:p w14:paraId="5B82A49A" w14:textId="11CBEBD5" w:rsidR="003F5A4A" w:rsidRPr="00D8497C" w:rsidRDefault="003F5A4A" w:rsidP="00A57D22">
            <w:pPr>
              <w:ind w:left="1440" w:hanging="1440"/>
              <w:jc w:val="center"/>
              <w:rPr>
                <w:rFonts w:ascii="Arial Narrow" w:hAnsi="Arial Narrow" w:cs="Arial"/>
                <w:b/>
                <w:bCs/>
                <w:sz w:val="16"/>
                <w:szCs w:val="16"/>
              </w:rPr>
            </w:pPr>
            <w:r>
              <w:rPr>
                <w:rFonts w:ascii="Arial Narrow" w:hAnsi="Arial Narrow" w:cs="Arial"/>
                <w:b/>
                <w:bCs/>
                <w:sz w:val="16"/>
                <w:szCs w:val="16"/>
              </w:rPr>
              <w:t>28</w:t>
            </w:r>
          </w:p>
        </w:tc>
        <w:tc>
          <w:tcPr>
            <w:tcW w:w="1162" w:type="dxa"/>
            <w:tcBorders>
              <w:top w:val="nil"/>
              <w:left w:val="single" w:sz="18" w:space="0" w:color="BFBFBF"/>
              <w:bottom w:val="single" w:sz="18" w:space="0" w:color="auto"/>
              <w:right w:val="single" w:sz="18" w:space="0" w:color="C0C0C0"/>
            </w:tcBorders>
            <w:shd w:val="clear" w:color="auto" w:fill="769245"/>
            <w:vAlign w:val="center"/>
          </w:tcPr>
          <w:p w14:paraId="3DF18BD3" w14:textId="20D29C79"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29 ½ day</w:t>
            </w:r>
          </w:p>
        </w:tc>
        <w:tc>
          <w:tcPr>
            <w:tcW w:w="1162" w:type="dxa"/>
            <w:vMerge/>
            <w:tcBorders>
              <w:left w:val="single" w:sz="18" w:space="0" w:color="C0C0C0"/>
              <w:bottom w:val="single" w:sz="18" w:space="0" w:color="auto"/>
              <w:right w:val="single" w:sz="18" w:space="0" w:color="auto"/>
            </w:tcBorders>
            <w:shd w:val="clear" w:color="auto" w:fill="auto"/>
            <w:vAlign w:val="center"/>
          </w:tcPr>
          <w:p w14:paraId="768DFC5C"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4017460A" w14:textId="77777777" w:rsidR="003F5A4A" w:rsidRPr="008E728C" w:rsidRDefault="003F5A4A" w:rsidP="00EB0D94">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A42988" w:rsidRPr="00BC2C5D" w14:paraId="0CE321A3" w14:textId="77777777" w:rsidTr="004B46D8">
        <w:trPr>
          <w:trHeight w:val="613"/>
        </w:trPr>
        <w:tc>
          <w:tcPr>
            <w:tcW w:w="1526" w:type="dxa"/>
            <w:tcBorders>
              <w:top w:val="single" w:sz="18" w:space="0" w:color="C0C0C0"/>
              <w:left w:val="single" w:sz="18" w:space="0" w:color="auto"/>
              <w:right w:val="single" w:sz="18" w:space="0" w:color="C0C0C0"/>
            </w:tcBorders>
            <w:shd w:val="clear" w:color="auto" w:fill="auto"/>
            <w:vAlign w:val="center"/>
          </w:tcPr>
          <w:p w14:paraId="696DAD36" w14:textId="523296AA" w:rsidR="00A42988" w:rsidRPr="00390B39" w:rsidRDefault="003F5A4A" w:rsidP="00C5507C">
            <w:pPr>
              <w:jc w:val="center"/>
              <w:rPr>
                <w:rFonts w:ascii="Arial Narrow" w:hAnsi="Arial Narrow" w:cs="Arial"/>
                <w:sz w:val="16"/>
                <w:szCs w:val="16"/>
              </w:rPr>
            </w:pPr>
            <w:r>
              <w:rPr>
                <w:rFonts w:ascii="Arial Narrow" w:hAnsi="Arial Narrow" w:cs="Arial"/>
                <w:sz w:val="16"/>
                <w:szCs w:val="16"/>
              </w:rPr>
              <w:t>3</w:t>
            </w:r>
            <w:r w:rsidR="00A42988">
              <w:rPr>
                <w:rFonts w:ascii="Arial Narrow" w:hAnsi="Arial Narrow" w:cs="Arial"/>
                <w:sz w:val="16"/>
                <w:szCs w:val="16"/>
              </w:rPr>
              <w:t xml:space="preserve"> May</w:t>
            </w:r>
          </w:p>
        </w:tc>
        <w:tc>
          <w:tcPr>
            <w:tcW w:w="1051" w:type="dxa"/>
            <w:tcBorders>
              <w:top w:val="single" w:sz="18" w:space="0" w:color="C0C0C0"/>
              <w:left w:val="single" w:sz="18" w:space="0" w:color="C0C0C0"/>
              <w:right w:val="single" w:sz="18" w:space="0" w:color="C0C0C0"/>
            </w:tcBorders>
            <w:shd w:val="clear" w:color="auto" w:fill="auto"/>
            <w:vAlign w:val="center"/>
          </w:tcPr>
          <w:p w14:paraId="2F9AEB6D" w14:textId="001E0C86" w:rsidR="00A42988" w:rsidRPr="006C79D3" w:rsidRDefault="003F5A4A" w:rsidP="00C5507C">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auto"/>
            <w:vAlign w:val="center"/>
          </w:tcPr>
          <w:p w14:paraId="65468345" w14:textId="1AA307C4" w:rsidR="00A42988" w:rsidRPr="00D8497C" w:rsidRDefault="00A42988" w:rsidP="00193311">
            <w:pPr>
              <w:jc w:val="center"/>
              <w:rPr>
                <w:rFonts w:ascii="Arial Narrow" w:hAnsi="Arial Narrow" w:cs="Arial"/>
                <w:b/>
                <w:bCs/>
                <w:sz w:val="16"/>
                <w:szCs w:val="16"/>
              </w:rPr>
            </w:pPr>
          </w:p>
        </w:tc>
        <w:tc>
          <w:tcPr>
            <w:tcW w:w="1162" w:type="dxa"/>
            <w:tcBorders>
              <w:top w:val="single" w:sz="18" w:space="0" w:color="C0C0C0"/>
              <w:left w:val="single" w:sz="18" w:space="0" w:color="BFBFBF"/>
              <w:right w:val="single" w:sz="18" w:space="0" w:color="C0C0C0"/>
            </w:tcBorders>
            <w:shd w:val="clear" w:color="auto" w:fill="FF0000"/>
            <w:vAlign w:val="center"/>
          </w:tcPr>
          <w:p w14:paraId="5D26E3A1" w14:textId="1033E55A" w:rsidR="00A42988" w:rsidRPr="00D8497C" w:rsidRDefault="003F5A4A" w:rsidP="00C5507C">
            <w:pPr>
              <w:jc w:val="center"/>
              <w:rPr>
                <w:rFonts w:ascii="Arial Narrow" w:hAnsi="Arial Narrow" w:cs="Arial"/>
                <w:b/>
                <w:bCs/>
                <w:sz w:val="16"/>
                <w:szCs w:val="16"/>
              </w:rPr>
            </w:pPr>
            <w:r>
              <w:rPr>
                <w:rFonts w:ascii="Arial Narrow" w:hAnsi="Arial Narrow" w:cs="Arial"/>
                <w:b/>
                <w:bCs/>
                <w:sz w:val="16"/>
                <w:szCs w:val="16"/>
              </w:rPr>
              <w:t>5</w:t>
            </w:r>
          </w:p>
        </w:tc>
        <w:tc>
          <w:tcPr>
            <w:tcW w:w="1162" w:type="dxa"/>
            <w:tcBorders>
              <w:top w:val="single" w:sz="18" w:space="0" w:color="C0C0C0"/>
              <w:left w:val="single" w:sz="18" w:space="0" w:color="C0C0C0"/>
              <w:bottom w:val="single" w:sz="18" w:space="0" w:color="C0C0C0"/>
              <w:right w:val="single" w:sz="18" w:space="0" w:color="C0C0C0"/>
            </w:tcBorders>
            <w:shd w:val="clear" w:color="auto" w:fill="FF0000"/>
            <w:vAlign w:val="center"/>
          </w:tcPr>
          <w:p w14:paraId="37F7711A" w14:textId="31F26C30" w:rsidR="00A42988" w:rsidRPr="00D8497C" w:rsidRDefault="003F5A4A" w:rsidP="00C5507C">
            <w:pPr>
              <w:jc w:val="center"/>
              <w:rPr>
                <w:rFonts w:ascii="Arial Narrow" w:hAnsi="Arial Narrow" w:cs="Arial"/>
                <w:b/>
                <w:bCs/>
                <w:sz w:val="16"/>
                <w:szCs w:val="16"/>
              </w:rPr>
            </w:pPr>
            <w:r>
              <w:rPr>
                <w:rFonts w:ascii="Arial Narrow" w:hAnsi="Arial Narrow" w:cs="Arial"/>
                <w:b/>
                <w:bCs/>
                <w:sz w:val="16"/>
                <w:szCs w:val="16"/>
              </w:rPr>
              <w:t>6</w:t>
            </w:r>
          </w:p>
        </w:tc>
        <w:tc>
          <w:tcPr>
            <w:tcW w:w="1162" w:type="dxa"/>
            <w:tcBorders>
              <w:top w:val="single" w:sz="18" w:space="0" w:color="C0C0C0"/>
              <w:left w:val="single" w:sz="18" w:space="0" w:color="C0C0C0"/>
              <w:right w:val="single" w:sz="18" w:space="0" w:color="auto"/>
            </w:tcBorders>
            <w:shd w:val="clear" w:color="auto" w:fill="auto"/>
            <w:vAlign w:val="center"/>
          </w:tcPr>
          <w:p w14:paraId="2ABAD594" w14:textId="77777777" w:rsidR="00A42988" w:rsidRPr="00A634FA" w:rsidRDefault="00A42988"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3492AC94" w14:textId="77777777" w:rsidR="008805E5" w:rsidRPr="008805E5" w:rsidRDefault="008805E5" w:rsidP="008805E5">
            <w:pPr>
              <w:jc w:val="center"/>
              <w:rPr>
                <w:rFonts w:ascii="Arial Narrow" w:hAnsi="Arial Narrow" w:cs="Arial"/>
                <w:color w:val="244061"/>
                <w:sz w:val="16"/>
                <w:szCs w:val="16"/>
                <w:highlight w:val="yellow"/>
              </w:rPr>
            </w:pPr>
            <w:r w:rsidRPr="008805E5">
              <w:rPr>
                <w:rFonts w:ascii="Arial Narrow" w:hAnsi="Arial Narrow" w:cs="Arial"/>
                <w:color w:val="244061"/>
                <w:sz w:val="16"/>
                <w:szCs w:val="16"/>
                <w:highlight w:val="yellow"/>
              </w:rPr>
              <w:t>3 Labour Day</w:t>
            </w:r>
          </w:p>
          <w:p w14:paraId="5CA04E27" w14:textId="79F37BA9" w:rsidR="00A42988"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3F5A4A" w:rsidRPr="00BC2C5D" w14:paraId="3EA964B8" w14:textId="77777777" w:rsidTr="00211D14">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A6385D6" w14:textId="769DD7D1" w:rsidR="003F5A4A" w:rsidRPr="00390B39" w:rsidRDefault="003F5A4A" w:rsidP="00C5507C">
            <w:pPr>
              <w:jc w:val="center"/>
              <w:rPr>
                <w:rFonts w:ascii="Arial Narrow" w:hAnsi="Arial Narrow" w:cs="Arial"/>
                <w:sz w:val="16"/>
                <w:szCs w:val="16"/>
              </w:rPr>
            </w:pPr>
            <w:r>
              <w:rPr>
                <w:rFonts w:ascii="Arial Narrow" w:hAnsi="Arial Narrow" w:cs="Arial"/>
                <w:sz w:val="16"/>
                <w:szCs w:val="16"/>
              </w:rPr>
              <w:t>10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3F5A4A" w:rsidRPr="006C79D3" w:rsidRDefault="003F5A4A"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23F982CF"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05A7C8EF" w14:textId="69CC41EC"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12</w:t>
            </w:r>
          </w:p>
        </w:tc>
        <w:tc>
          <w:tcPr>
            <w:tcW w:w="1162" w:type="dxa"/>
            <w:tcBorders>
              <w:top w:val="single" w:sz="18" w:space="0" w:color="C0C0C0"/>
              <w:left w:val="single" w:sz="18" w:space="0" w:color="C0C0C0"/>
              <w:bottom w:val="nil"/>
              <w:right w:val="single" w:sz="18" w:space="0" w:color="C0C0C0"/>
            </w:tcBorders>
            <w:shd w:val="thinDiagCross" w:color="auto" w:fill="A972A9"/>
            <w:vAlign w:val="center"/>
          </w:tcPr>
          <w:p w14:paraId="10D421D0" w14:textId="031B1B53"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3F5A4A" w:rsidRPr="00A634FA" w:rsidRDefault="003F5A4A"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11145A3" w14:textId="390515CB" w:rsidR="003F5A4A" w:rsidRPr="008805E5" w:rsidRDefault="008805E5" w:rsidP="00C5507C">
            <w:pPr>
              <w:jc w:val="center"/>
              <w:rPr>
                <w:rFonts w:ascii="Arial Narrow" w:hAnsi="Arial Narrow" w:cs="Arial"/>
                <w:sz w:val="16"/>
                <w:szCs w:val="16"/>
                <w:highlight w:val="yellow"/>
              </w:rPr>
            </w:pPr>
            <w:r w:rsidRPr="008805E5">
              <w:rPr>
                <w:rFonts w:ascii="Arial Narrow" w:hAnsi="Arial Narrow"/>
                <w:color w:val="31849B"/>
                <w:sz w:val="16"/>
                <w:szCs w:val="16"/>
              </w:rPr>
              <w:t>Aurukun Cape B &amp; Coen Cape A Circuit</w:t>
            </w:r>
          </w:p>
        </w:tc>
      </w:tr>
      <w:tr w:rsidR="003F5A4A" w:rsidRPr="00BC2C5D" w14:paraId="5DBEDFF6" w14:textId="77777777" w:rsidTr="00211D14">
        <w:trPr>
          <w:trHeight w:val="284"/>
        </w:trPr>
        <w:tc>
          <w:tcPr>
            <w:tcW w:w="1526" w:type="dxa"/>
            <w:vMerge/>
            <w:tcBorders>
              <w:left w:val="single" w:sz="18" w:space="0" w:color="auto"/>
              <w:right w:val="single" w:sz="18" w:space="0" w:color="C0C0C0"/>
            </w:tcBorders>
            <w:shd w:val="clear" w:color="auto" w:fill="auto"/>
            <w:vAlign w:val="center"/>
          </w:tcPr>
          <w:p w14:paraId="310696BF" w14:textId="77777777" w:rsidR="003F5A4A" w:rsidRDefault="003F5A4A"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D1E16B" w14:textId="77777777" w:rsidR="003F5A4A" w:rsidRPr="006C79D3" w:rsidRDefault="003F5A4A"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62C1C360" w14:textId="4667FF65"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tcBorders>
              <w:left w:val="single" w:sz="18" w:space="0" w:color="BFBFBF"/>
              <w:right w:val="single" w:sz="18" w:space="0" w:color="C0C0C0"/>
            </w:tcBorders>
            <w:shd w:val="clear" w:color="auto" w:fill="auto"/>
            <w:vAlign w:val="center"/>
          </w:tcPr>
          <w:p w14:paraId="3E711D3B" w14:textId="77777777" w:rsidR="003F5A4A" w:rsidRPr="00D8497C" w:rsidRDefault="003F5A4A" w:rsidP="00C5507C">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147B34BB" w14:textId="3F5775B8"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tcBorders>
              <w:left w:val="single" w:sz="18" w:space="0" w:color="C0C0C0"/>
              <w:right w:val="single" w:sz="18" w:space="0" w:color="auto"/>
            </w:tcBorders>
            <w:shd w:val="clear" w:color="auto" w:fill="auto"/>
            <w:vAlign w:val="center"/>
          </w:tcPr>
          <w:p w14:paraId="55A2AAAC" w14:textId="77777777" w:rsidR="003F5A4A" w:rsidRPr="00A634FA" w:rsidRDefault="003F5A4A"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C7A5FED" w14:textId="77777777" w:rsidR="003F5A4A" w:rsidRPr="008805E5" w:rsidRDefault="003F5A4A" w:rsidP="00C5507C">
            <w:pPr>
              <w:jc w:val="center"/>
              <w:rPr>
                <w:rFonts w:ascii="Arial Narrow" w:hAnsi="Arial Narrow"/>
                <w:color w:val="31849B"/>
                <w:sz w:val="16"/>
                <w:szCs w:val="16"/>
              </w:rPr>
            </w:pPr>
          </w:p>
        </w:tc>
      </w:tr>
      <w:tr w:rsidR="003F5A4A" w:rsidRPr="00BC2C5D" w14:paraId="3766C4CB" w14:textId="77777777" w:rsidTr="00211D14">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7C6E10C1" w:rsidR="003F5A4A" w:rsidRDefault="003F5A4A" w:rsidP="00390B39">
            <w:pPr>
              <w:jc w:val="center"/>
              <w:rPr>
                <w:rFonts w:ascii="Arial Narrow" w:hAnsi="Arial Narrow" w:cs="Arial"/>
                <w:sz w:val="16"/>
                <w:szCs w:val="16"/>
              </w:rPr>
            </w:pPr>
            <w:r>
              <w:rPr>
                <w:rFonts w:ascii="Arial Narrow" w:hAnsi="Arial Narrow" w:cs="Arial"/>
                <w:sz w:val="16"/>
                <w:szCs w:val="16"/>
              </w:rPr>
              <w:t>17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15BE7F65" w:rsidR="003F5A4A" w:rsidRPr="006C79D3" w:rsidRDefault="003F5A4A" w:rsidP="00390B39">
            <w:pPr>
              <w:jc w:val="center"/>
              <w:rPr>
                <w:rFonts w:ascii="Arial Narrow" w:hAnsi="Arial Narrow" w:cs="Arial"/>
                <w:sz w:val="16"/>
                <w:szCs w:val="16"/>
                <w:highlight w:val="yellow"/>
              </w:rPr>
            </w:pPr>
            <w:r w:rsidRPr="00C45F66">
              <w:rPr>
                <w:rFonts w:ascii="Arial Narrow" w:hAnsi="Arial Narrow" w:cs="Arial"/>
                <w:sz w:val="16"/>
                <w:szCs w:val="16"/>
                <w:highlight w:val="yellow"/>
              </w:rPr>
              <w:t>Public Holiday</w:t>
            </w: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0B66694" w:rsidR="003F5A4A" w:rsidRPr="00D8497C" w:rsidRDefault="00C71944"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0638F45F" w:rsidR="003F5A4A" w:rsidRPr="00D8497C" w:rsidRDefault="00C71944" w:rsidP="00390B39">
            <w:pPr>
              <w:jc w:val="center"/>
              <w:rPr>
                <w:rFonts w:ascii="Arial Narrow" w:hAnsi="Arial Narrow" w:cs="Arial"/>
                <w:b/>
                <w:bCs/>
                <w:sz w:val="16"/>
                <w:szCs w:val="16"/>
              </w:rPr>
            </w:pPr>
            <w:r>
              <w:rPr>
                <w:rFonts w:ascii="Arial Narrow" w:hAnsi="Arial Narrow" w:cs="Arial"/>
                <w:b/>
                <w:bCs/>
                <w:sz w:val="16"/>
                <w:szCs w:val="16"/>
              </w:rPr>
              <w:t>19</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E61EDBE" w14:textId="6FF4CFB3" w:rsidR="003F5A4A"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3F5A4A" w:rsidRPr="00A634FA" w:rsidRDefault="003F5A4A"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9F66223"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highlight w:val="yellow"/>
              </w:rPr>
              <w:t>17 Hope Vale Evacuation Day</w:t>
            </w:r>
          </w:p>
          <w:p w14:paraId="7E9BBB20" w14:textId="7C1FC821" w:rsidR="003F5A4A"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3F5A4A" w:rsidRPr="00BC2C5D" w14:paraId="34633262" w14:textId="77777777" w:rsidTr="00211D14">
        <w:trPr>
          <w:trHeight w:val="284"/>
        </w:trPr>
        <w:tc>
          <w:tcPr>
            <w:tcW w:w="1526" w:type="dxa"/>
            <w:vMerge/>
            <w:tcBorders>
              <w:left w:val="single" w:sz="18" w:space="0" w:color="auto"/>
              <w:right w:val="single" w:sz="18" w:space="0" w:color="C0C0C0"/>
            </w:tcBorders>
            <w:shd w:val="clear" w:color="auto" w:fill="auto"/>
            <w:vAlign w:val="center"/>
          </w:tcPr>
          <w:p w14:paraId="63F75E4D" w14:textId="77777777" w:rsidR="003F5A4A" w:rsidRDefault="003F5A4A"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E9A370" w14:textId="77777777" w:rsidR="003F5A4A" w:rsidRPr="00C45F66" w:rsidRDefault="003F5A4A"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52FD601" w14:textId="72E98538" w:rsidR="003F5A4A" w:rsidRPr="00D8497C" w:rsidRDefault="00C71944"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tcBorders>
              <w:left w:val="single" w:sz="18" w:space="0" w:color="BFBFBF"/>
              <w:right w:val="single" w:sz="18" w:space="0" w:color="C0C0C0"/>
            </w:tcBorders>
            <w:shd w:val="clear" w:color="auto" w:fill="auto"/>
            <w:vAlign w:val="center"/>
          </w:tcPr>
          <w:p w14:paraId="2731C7CC" w14:textId="77777777" w:rsidR="003F5A4A" w:rsidRPr="00D8497C" w:rsidRDefault="003F5A4A" w:rsidP="00390B39">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3BCA9202" w14:textId="77777777" w:rsidR="003F5A4A" w:rsidRPr="00D8497C" w:rsidRDefault="003F5A4A"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55039B4" w14:textId="77777777" w:rsidR="003F5A4A" w:rsidRPr="00A634FA" w:rsidRDefault="003F5A4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1C2AC92" w14:textId="77777777" w:rsidR="003F5A4A" w:rsidRPr="008805E5" w:rsidRDefault="003F5A4A" w:rsidP="00390B39">
            <w:pPr>
              <w:jc w:val="center"/>
              <w:rPr>
                <w:rFonts w:ascii="Arial Narrow" w:hAnsi="Arial Narrow" w:cs="Arial"/>
                <w:sz w:val="16"/>
                <w:szCs w:val="16"/>
                <w:highlight w:val="yellow"/>
              </w:rPr>
            </w:pPr>
          </w:p>
        </w:tc>
      </w:tr>
      <w:tr w:rsidR="0005429E" w:rsidRPr="00BC2C5D" w14:paraId="2952A691" w14:textId="77777777" w:rsidTr="004B46D8">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74069359" w:rsidR="0005429E" w:rsidRPr="00A634FA" w:rsidRDefault="003F5A4A" w:rsidP="00390B39">
            <w:pPr>
              <w:jc w:val="center"/>
              <w:rPr>
                <w:rFonts w:ascii="Arial Narrow" w:hAnsi="Arial Narrow" w:cs="Arial"/>
                <w:sz w:val="16"/>
                <w:szCs w:val="16"/>
              </w:rPr>
            </w:pPr>
            <w:r>
              <w:rPr>
                <w:rFonts w:ascii="Arial Narrow" w:hAnsi="Arial Narrow" w:cs="Arial"/>
                <w:sz w:val="16"/>
                <w:szCs w:val="16"/>
              </w:rPr>
              <w:t>24 May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05429E" w:rsidRPr="00A634FA" w:rsidRDefault="0005429E" w:rsidP="00390B3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A972A9"/>
            <w:vAlign w:val="center"/>
          </w:tcPr>
          <w:p w14:paraId="4423C25E" w14:textId="76E8549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6484AE3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26</w:t>
            </w:r>
          </w:p>
        </w:tc>
        <w:tc>
          <w:tcPr>
            <w:tcW w:w="1162" w:type="dxa"/>
            <w:tcBorders>
              <w:top w:val="single" w:sz="18" w:space="0" w:color="C0C0C0"/>
              <w:left w:val="single" w:sz="18" w:space="0" w:color="C0C0C0"/>
              <w:bottom w:val="nil"/>
              <w:right w:val="single" w:sz="18" w:space="0" w:color="C0C0C0"/>
            </w:tcBorders>
            <w:shd w:val="thinDiagCross" w:color="auto" w:fill="A972A9"/>
            <w:vAlign w:val="center"/>
          </w:tcPr>
          <w:p w14:paraId="158F79EF" w14:textId="6098AF4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27</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4A5B443B" w:rsidR="0005429E" w:rsidRPr="008805E5" w:rsidRDefault="0005429E" w:rsidP="00390B39">
            <w:pPr>
              <w:jc w:val="center"/>
              <w:rPr>
                <w:rFonts w:ascii="Arial Narrow" w:hAnsi="Arial Narrow" w:cs="Arial"/>
                <w:sz w:val="16"/>
                <w:szCs w:val="16"/>
              </w:rPr>
            </w:pPr>
          </w:p>
        </w:tc>
      </w:tr>
      <w:tr w:rsidR="0005429E" w:rsidRPr="00BC2C5D" w14:paraId="2E729446" w14:textId="77777777" w:rsidTr="004B46D8">
        <w:trPr>
          <w:trHeight w:val="285"/>
        </w:trPr>
        <w:tc>
          <w:tcPr>
            <w:tcW w:w="1526" w:type="dxa"/>
            <w:vMerge/>
            <w:tcBorders>
              <w:left w:val="single" w:sz="18" w:space="0" w:color="auto"/>
              <w:right w:val="single" w:sz="18" w:space="0" w:color="C0C0C0"/>
            </w:tcBorders>
            <w:shd w:val="clear" w:color="auto" w:fill="auto"/>
            <w:vAlign w:val="center"/>
          </w:tcPr>
          <w:p w14:paraId="7B12232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1DB08CE"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4AED6987" w14:textId="77777777" w:rsidR="0005429E" w:rsidRPr="00D8497C" w:rsidRDefault="0005429E" w:rsidP="00390B39">
            <w:pPr>
              <w:jc w:val="center"/>
              <w:rPr>
                <w:rFonts w:ascii="Arial Narrow" w:hAnsi="Arial Narrow" w:cs="Arial"/>
                <w:b/>
                <w:bCs/>
                <w:sz w:val="16"/>
                <w:szCs w:val="16"/>
              </w:rPr>
            </w:pPr>
          </w:p>
        </w:tc>
        <w:tc>
          <w:tcPr>
            <w:tcW w:w="1162" w:type="dxa"/>
            <w:vMerge/>
            <w:tcBorders>
              <w:left w:val="single" w:sz="18" w:space="0" w:color="BFBFBF"/>
              <w:right w:val="single" w:sz="18" w:space="0" w:color="C0C0C0"/>
            </w:tcBorders>
            <w:shd w:val="clear" w:color="auto" w:fill="auto"/>
            <w:vAlign w:val="center"/>
          </w:tcPr>
          <w:p w14:paraId="10F63DB5" w14:textId="77777777" w:rsidR="0005429E" w:rsidRPr="00D8497C" w:rsidRDefault="0005429E" w:rsidP="00390B39">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51AA152E" w14:textId="2ACA2316"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27</w:t>
            </w:r>
          </w:p>
        </w:tc>
        <w:tc>
          <w:tcPr>
            <w:tcW w:w="1162" w:type="dxa"/>
            <w:vMerge/>
            <w:tcBorders>
              <w:left w:val="single" w:sz="18" w:space="0" w:color="C0C0C0"/>
              <w:right w:val="single" w:sz="18" w:space="0" w:color="auto"/>
            </w:tcBorders>
            <w:shd w:val="clear" w:color="auto" w:fill="auto"/>
            <w:vAlign w:val="center"/>
          </w:tcPr>
          <w:p w14:paraId="04FB6A0B"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C1FE3CA" w14:textId="77777777" w:rsidR="0005429E" w:rsidRPr="008805E5" w:rsidRDefault="0005429E" w:rsidP="00390B39">
            <w:pPr>
              <w:jc w:val="center"/>
              <w:rPr>
                <w:rFonts w:ascii="Arial Narrow" w:hAnsi="Arial Narrow" w:cs="Arial"/>
                <w:sz w:val="16"/>
                <w:szCs w:val="16"/>
              </w:rPr>
            </w:pPr>
          </w:p>
        </w:tc>
      </w:tr>
      <w:tr w:rsidR="00F22B87" w:rsidRPr="00BC2C5D" w14:paraId="1CA5194F" w14:textId="77777777" w:rsidTr="00F22B87">
        <w:trPr>
          <w:trHeight w:val="613"/>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421FBD71" w:rsidR="00F22B87" w:rsidRPr="00A634FA" w:rsidRDefault="00F22B87" w:rsidP="00390B39">
            <w:pPr>
              <w:jc w:val="center"/>
              <w:rPr>
                <w:rFonts w:ascii="Arial Narrow" w:hAnsi="Arial Narrow" w:cs="Arial"/>
                <w:sz w:val="16"/>
                <w:szCs w:val="16"/>
              </w:rPr>
            </w:pPr>
            <w:r w:rsidRPr="00390B39">
              <w:rPr>
                <w:rFonts w:ascii="Arial Narrow" w:hAnsi="Arial Narrow" w:cs="Arial"/>
                <w:sz w:val="16"/>
                <w:szCs w:val="16"/>
              </w:rPr>
              <w:t>3</w:t>
            </w:r>
            <w:r>
              <w:rPr>
                <w:rFonts w:ascii="Arial Narrow" w:hAnsi="Arial Narrow" w:cs="Arial"/>
                <w:sz w:val="16"/>
                <w:szCs w:val="16"/>
              </w:rPr>
              <w:t>1 May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F22B87" w:rsidRPr="00A634FA" w:rsidRDefault="00F22B87"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FFFF00"/>
            <w:vAlign w:val="center"/>
          </w:tcPr>
          <w:p w14:paraId="5280C7F2" w14:textId="547B3937" w:rsidR="00F22B87" w:rsidRPr="00D8497C" w:rsidRDefault="00F22B87" w:rsidP="00294AA0">
            <w:pPr>
              <w:jc w:val="center"/>
              <w:rPr>
                <w:rFonts w:ascii="Arial Narrow" w:hAnsi="Arial Narrow" w:cs="Arial"/>
                <w:b/>
                <w:bCs/>
                <w:color w:val="000000"/>
                <w:sz w:val="16"/>
                <w:szCs w:val="16"/>
              </w:rPr>
            </w:pPr>
            <w:r>
              <w:rPr>
                <w:rFonts w:ascii="Arial Narrow" w:hAnsi="Arial Narrow" w:cs="Arial"/>
                <w:b/>
                <w:bCs/>
                <w:color w:val="000000"/>
                <w:sz w:val="16"/>
                <w:szCs w:val="16"/>
              </w:rPr>
              <w:t>1</w:t>
            </w:r>
          </w:p>
        </w:tc>
        <w:tc>
          <w:tcPr>
            <w:tcW w:w="1162" w:type="dxa"/>
            <w:tcBorders>
              <w:top w:val="single" w:sz="18" w:space="0" w:color="BFBFBF" w:themeColor="background1" w:themeShade="BF"/>
              <w:left w:val="single" w:sz="18" w:space="0" w:color="BFBFBF"/>
              <w:right w:val="single" w:sz="18" w:space="0" w:color="C0C0C0"/>
            </w:tcBorders>
            <w:shd w:val="clear" w:color="auto" w:fill="auto"/>
            <w:vAlign w:val="center"/>
          </w:tcPr>
          <w:p w14:paraId="31836070" w14:textId="24F96DAF" w:rsidR="00F22B87" w:rsidRPr="00D8497C" w:rsidRDefault="00F22B87" w:rsidP="00390B39">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18177425" w14:textId="2EF11DA6" w:rsidR="00F22B87" w:rsidRPr="00D8497C" w:rsidRDefault="00F22B87" w:rsidP="00F22B87">
            <w:pPr>
              <w:rPr>
                <w:rFonts w:ascii="Arial Narrow" w:hAnsi="Arial Narrow" w:cs="Arial"/>
                <w:b/>
                <w:bCs/>
                <w:sz w:val="16"/>
                <w:szCs w:val="16"/>
              </w:rPr>
            </w:pPr>
            <w:r w:rsidRPr="00C45F66">
              <w:rPr>
                <w:rFonts w:ascii="Arial Narrow" w:hAnsi="Arial Narrow" w:cs="Arial"/>
                <w:sz w:val="16"/>
                <w:szCs w:val="16"/>
                <w:highlight w:val="yellow"/>
              </w:rPr>
              <w:t>Public Holiday</w:t>
            </w: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F22B87" w:rsidRPr="00A634FA" w:rsidRDefault="00F22B87" w:rsidP="00390B3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79079BDB" w14:textId="7794DEE8" w:rsidR="00F22B87" w:rsidRPr="008805E5" w:rsidRDefault="00F22B87" w:rsidP="008805E5">
            <w:pPr>
              <w:jc w:val="center"/>
              <w:rPr>
                <w:rFonts w:ascii="Arial Narrow" w:hAnsi="Arial Narrow"/>
                <w:sz w:val="16"/>
                <w:szCs w:val="16"/>
              </w:rPr>
            </w:pPr>
            <w:r w:rsidRPr="008805E5">
              <w:rPr>
                <w:rFonts w:ascii="Arial Narrow" w:hAnsi="Arial Narrow"/>
                <w:sz w:val="16"/>
                <w:szCs w:val="16"/>
                <w:highlight w:val="yellow"/>
              </w:rPr>
              <w:t>3 Mabo Day</w:t>
            </w:r>
            <w:r w:rsidR="00FD40E8">
              <w:rPr>
                <w:rFonts w:ascii="Arial Narrow" w:hAnsi="Arial Narrow"/>
                <w:sz w:val="16"/>
                <w:szCs w:val="16"/>
              </w:rPr>
              <w:t xml:space="preserve"> - DM</w:t>
            </w:r>
          </w:p>
          <w:p w14:paraId="6C9148DC" w14:textId="33F322C9" w:rsidR="00F22B87" w:rsidRPr="008805E5" w:rsidRDefault="00F22B87"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3F5A4A" w:rsidRPr="00BC2C5D" w14:paraId="6A282D96" w14:textId="77777777" w:rsidTr="00211D14">
        <w:trPr>
          <w:trHeight w:val="284"/>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6D86D990" w14:textId="764E379B" w:rsidR="003F5A4A" w:rsidRPr="00A634FA" w:rsidRDefault="003F5A4A" w:rsidP="00313AD9">
            <w:pPr>
              <w:jc w:val="center"/>
              <w:rPr>
                <w:rFonts w:ascii="Arial Narrow" w:hAnsi="Arial Narrow" w:cs="Arial"/>
                <w:sz w:val="16"/>
                <w:szCs w:val="16"/>
              </w:rPr>
            </w:pPr>
            <w:r>
              <w:rPr>
                <w:rFonts w:ascii="Arial Narrow" w:hAnsi="Arial Narrow" w:cs="Arial"/>
                <w:sz w:val="16"/>
                <w:szCs w:val="16"/>
              </w:rPr>
              <w:t>7 June</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95555CE" w14:textId="61BB7C07" w:rsidR="003F5A4A" w:rsidRPr="00A634FA" w:rsidRDefault="003F5A4A"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09C9C0A4" w14:textId="496D454F"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8</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1BF01046" w14:textId="0008C537"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val="restart"/>
            <w:tcBorders>
              <w:top w:val="single" w:sz="18" w:space="0" w:color="auto"/>
              <w:left w:val="single" w:sz="18" w:space="0" w:color="C0C0C0"/>
              <w:bottom w:val="single" w:sz="18" w:space="0" w:color="C0C0C0"/>
              <w:right w:val="single" w:sz="18" w:space="0" w:color="C0C0C0"/>
            </w:tcBorders>
            <w:shd w:val="thinDiagCross" w:color="auto" w:fill="A972A9"/>
            <w:vAlign w:val="center"/>
          </w:tcPr>
          <w:p w14:paraId="63AD05D9" w14:textId="0707A8E0" w:rsidR="003F5A4A" w:rsidRPr="00D8497C" w:rsidRDefault="00C71944" w:rsidP="00313AD9">
            <w:pPr>
              <w:jc w:val="center"/>
              <w:rPr>
                <w:rFonts w:ascii="Arial Narrow" w:hAnsi="Arial Narrow" w:cs="Arial"/>
                <w:b/>
                <w:bCs/>
                <w:sz w:val="16"/>
                <w:szCs w:val="16"/>
              </w:rPr>
            </w:pPr>
            <w:r>
              <w:rPr>
                <w:rFonts w:ascii="Arial Narrow" w:hAnsi="Arial Narrow" w:cs="Arial"/>
                <w:b/>
                <w:bCs/>
                <w:sz w:val="16"/>
                <w:szCs w:val="16"/>
              </w:rPr>
              <w:t>10</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7FC64D6A" w14:textId="77777777" w:rsidR="003F5A4A" w:rsidRPr="00A634FA" w:rsidRDefault="003F5A4A" w:rsidP="00313AD9">
            <w:pPr>
              <w:jc w:val="center"/>
              <w:rPr>
                <w:rFonts w:ascii="Arial Narrow" w:hAnsi="Arial Narrow" w:cs="Arial"/>
                <w:sz w:val="16"/>
                <w:szCs w:val="16"/>
                <w:highlight w:val="yellow"/>
              </w:rPr>
            </w:pPr>
          </w:p>
        </w:tc>
        <w:tc>
          <w:tcPr>
            <w:tcW w:w="3633" w:type="dxa"/>
            <w:vMerge w:val="restart"/>
            <w:tcBorders>
              <w:top w:val="single" w:sz="18" w:space="0" w:color="auto"/>
              <w:left w:val="single" w:sz="18" w:space="0" w:color="auto"/>
              <w:right w:val="single" w:sz="18" w:space="0" w:color="auto"/>
            </w:tcBorders>
            <w:shd w:val="clear" w:color="auto" w:fill="auto"/>
            <w:vAlign w:val="center"/>
          </w:tcPr>
          <w:p w14:paraId="24C0F620"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11 Reconciliation Re-enactment Commemoration</w:t>
            </w:r>
          </w:p>
          <w:p w14:paraId="7594D7D0" w14:textId="19AEE558" w:rsidR="003F5A4A" w:rsidRPr="008805E5" w:rsidRDefault="008805E5" w:rsidP="008805E5">
            <w:pPr>
              <w:jc w:val="center"/>
              <w:rPr>
                <w:rFonts w:ascii="Arial Narrow" w:hAnsi="Arial Narrow"/>
                <w:sz w:val="16"/>
                <w:szCs w:val="16"/>
              </w:rPr>
            </w:pPr>
            <w:r w:rsidRPr="008805E5">
              <w:rPr>
                <w:rFonts w:ascii="Arial Narrow" w:hAnsi="Arial Narrow"/>
                <w:color w:val="31849B"/>
                <w:sz w:val="16"/>
                <w:szCs w:val="16"/>
              </w:rPr>
              <w:t>Aurukun Cape B Circuit</w:t>
            </w:r>
          </w:p>
        </w:tc>
      </w:tr>
      <w:tr w:rsidR="003F5A4A" w:rsidRPr="00BC2C5D" w14:paraId="18A1C8FC" w14:textId="77777777" w:rsidTr="00211D14">
        <w:trPr>
          <w:trHeight w:val="284"/>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4D648DF" w14:textId="77777777" w:rsidR="003F5A4A" w:rsidRDefault="003F5A4A" w:rsidP="00313AD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BB643F0"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31849B"/>
            <w:vAlign w:val="center"/>
          </w:tcPr>
          <w:p w14:paraId="1A593F7B" w14:textId="4BE63B04"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8</w:t>
            </w: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6CE51DBC" w14:textId="5A72F7A5"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2CB29D26" w14:textId="77777777" w:rsidR="003F5A4A" w:rsidRPr="00D8497C" w:rsidRDefault="003F5A4A" w:rsidP="00313AD9">
            <w:pPr>
              <w:jc w:val="center"/>
              <w:rPr>
                <w:rFonts w:ascii="Arial Narrow" w:hAnsi="Arial Narrow" w:cs="Arial"/>
                <w:b/>
                <w:bCs/>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5B438B5A" w14:textId="77777777" w:rsidR="003F5A4A" w:rsidRPr="00A634FA" w:rsidRDefault="003F5A4A" w:rsidP="00313AD9">
            <w:pPr>
              <w:jc w:val="center"/>
              <w:rPr>
                <w:rFonts w:ascii="Arial Narrow" w:hAnsi="Arial Narrow" w:cs="Arial"/>
                <w:sz w:val="16"/>
                <w:szCs w:val="16"/>
                <w:highlight w:val="yellow"/>
              </w:rPr>
            </w:pPr>
          </w:p>
        </w:tc>
        <w:tc>
          <w:tcPr>
            <w:tcW w:w="3633"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4945DFA6" w14:textId="77777777" w:rsidR="003F5A4A" w:rsidRPr="008805E5" w:rsidRDefault="003F5A4A" w:rsidP="008D4D8C">
            <w:pPr>
              <w:jc w:val="center"/>
              <w:rPr>
                <w:rFonts w:ascii="Arial Narrow" w:hAnsi="Arial Narrow" w:cs="Arial"/>
                <w:sz w:val="16"/>
                <w:szCs w:val="16"/>
              </w:rPr>
            </w:pPr>
          </w:p>
        </w:tc>
      </w:tr>
      <w:tr w:rsidR="003F5A4A" w:rsidRPr="00BC2C5D" w14:paraId="5AD4A603" w14:textId="77777777" w:rsidTr="004B46D8">
        <w:trPr>
          <w:trHeight w:val="27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5DD6144C" w:rsidR="003F5A4A" w:rsidRDefault="003F5A4A" w:rsidP="00313AD9">
            <w:pPr>
              <w:jc w:val="center"/>
              <w:rPr>
                <w:rFonts w:ascii="Arial Narrow" w:hAnsi="Arial Narrow" w:cs="Arial"/>
                <w:sz w:val="16"/>
                <w:szCs w:val="16"/>
              </w:rPr>
            </w:pPr>
            <w:r>
              <w:rPr>
                <w:rFonts w:ascii="Arial Narrow" w:hAnsi="Arial Narrow" w:cs="Arial"/>
                <w:sz w:val="16"/>
                <w:szCs w:val="16"/>
              </w:rPr>
              <w:t>14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6101D748" w14:textId="3C727B9A"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15</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EACD015" w14:textId="091AFF19"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16</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6B770D2" w14:textId="33F8FD97" w:rsidR="003F5A4A" w:rsidRPr="00C71944" w:rsidRDefault="00C71944" w:rsidP="004B316F">
            <w:pPr>
              <w:jc w:val="center"/>
              <w:rPr>
                <w:rFonts w:ascii="Arial Narrow" w:hAnsi="Arial Narrow" w:cs="Arial"/>
                <w:b/>
                <w:bCs/>
                <w:sz w:val="16"/>
                <w:szCs w:val="16"/>
              </w:rPr>
            </w:pPr>
            <w:r w:rsidRPr="00C71944">
              <w:rPr>
                <w:rFonts w:ascii="Arial Narrow" w:hAnsi="Arial Narrow" w:cs="Arial"/>
                <w:b/>
                <w:bCs/>
                <w:sz w:val="16"/>
                <w:szCs w:val="16"/>
              </w:rPr>
              <w:t>17</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3F5A4A" w:rsidRPr="00A634FA" w:rsidRDefault="003F5A4A" w:rsidP="00313AD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B76F0EA"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18-19 Mount Isa Show</w:t>
            </w:r>
          </w:p>
          <w:p w14:paraId="7D052E2D" w14:textId="77777777" w:rsidR="008805E5" w:rsidRPr="008805E5" w:rsidRDefault="008805E5" w:rsidP="008805E5">
            <w:pPr>
              <w:jc w:val="center"/>
              <w:rPr>
                <w:rFonts w:ascii="Arial Narrow" w:hAnsi="Arial Narrow" w:cs="Arial"/>
                <w:sz w:val="16"/>
                <w:szCs w:val="16"/>
              </w:rPr>
            </w:pPr>
            <w:r w:rsidRPr="008805E5">
              <w:rPr>
                <w:rFonts w:ascii="Arial Narrow" w:hAnsi="Arial Narrow" w:cs="Arial"/>
                <w:sz w:val="16"/>
                <w:szCs w:val="16"/>
              </w:rPr>
              <w:t>18- 20 Cooktown Discovery Festival</w:t>
            </w:r>
          </w:p>
          <w:p w14:paraId="34E89CD0" w14:textId="4AC96723" w:rsidR="003F5A4A" w:rsidRPr="008805E5" w:rsidRDefault="008805E5"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3F5A4A" w:rsidRPr="00BC2C5D" w14:paraId="2CA91FCD" w14:textId="77777777" w:rsidTr="004B46D8">
        <w:trPr>
          <w:trHeight w:val="277"/>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78A608A" w14:textId="77777777" w:rsidR="003F5A4A" w:rsidRDefault="003F5A4A" w:rsidP="00313AD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2A63984"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2DF95D50" w14:textId="1FBEF1B8"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15</w:t>
            </w: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527D902A" w14:textId="77777777" w:rsidR="003F5A4A" w:rsidRDefault="003F5A4A" w:rsidP="00313AD9">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6108DC0" w14:textId="77777777" w:rsidR="003F5A4A" w:rsidRDefault="003F5A4A" w:rsidP="004B316F">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341AC735" w14:textId="77777777" w:rsidR="003F5A4A" w:rsidRPr="00A634FA" w:rsidRDefault="003F5A4A" w:rsidP="00313AD9">
            <w:pPr>
              <w:jc w:val="center"/>
              <w:rPr>
                <w:rFonts w:ascii="Arial Narrow" w:hAnsi="Arial Narrow" w:cs="Arial"/>
                <w:sz w:val="16"/>
                <w:szCs w:val="16"/>
                <w:highlight w:val="yellow"/>
              </w:rPr>
            </w:pPr>
          </w:p>
        </w:tc>
        <w:tc>
          <w:tcPr>
            <w:tcW w:w="3633"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02590889" w14:textId="77777777" w:rsidR="003F5A4A" w:rsidRPr="008805E5" w:rsidRDefault="003F5A4A" w:rsidP="002F0FCC">
            <w:pPr>
              <w:jc w:val="center"/>
              <w:rPr>
                <w:rFonts w:ascii="Arial Narrow" w:hAnsi="Arial Narrow"/>
                <w:sz w:val="16"/>
                <w:szCs w:val="16"/>
              </w:rPr>
            </w:pPr>
          </w:p>
        </w:tc>
      </w:tr>
      <w:tr w:rsidR="002B2062" w:rsidRPr="00BC2C5D" w14:paraId="358400C0" w14:textId="77777777" w:rsidTr="004B46D8">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08021336" w:rsidR="002B2062" w:rsidRDefault="002B2062" w:rsidP="002B2062">
            <w:pPr>
              <w:jc w:val="center"/>
              <w:rPr>
                <w:rFonts w:ascii="Arial Narrow" w:hAnsi="Arial Narrow" w:cs="Arial"/>
                <w:sz w:val="16"/>
                <w:szCs w:val="16"/>
              </w:rPr>
            </w:pPr>
            <w:r>
              <w:rPr>
                <w:rFonts w:ascii="Arial Narrow" w:hAnsi="Arial Narrow" w:cs="Arial"/>
                <w:sz w:val="16"/>
                <w:szCs w:val="16"/>
              </w:rPr>
              <w:t xml:space="preserve">21 </w:t>
            </w:r>
            <w:r w:rsidR="00362B60">
              <w:rPr>
                <w:rFonts w:ascii="Arial Narrow" w:hAnsi="Arial Narrow" w:cs="Arial"/>
                <w:sz w:val="16"/>
                <w:szCs w:val="16"/>
              </w:rPr>
              <w:t>June</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53D2FF"/>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53D2FF"/>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53D2FF"/>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53D2FF"/>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53D2FF"/>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5A84D8F4" w14:textId="70C99F49" w:rsidR="002B2062" w:rsidRPr="008805E5" w:rsidRDefault="008805E5" w:rsidP="002B2062">
            <w:pPr>
              <w:jc w:val="center"/>
              <w:rPr>
                <w:rFonts w:ascii="Arial Narrow" w:hAnsi="Arial Narrow"/>
                <w:sz w:val="16"/>
                <w:szCs w:val="16"/>
              </w:rPr>
            </w:pPr>
            <w:r w:rsidRPr="008805E5">
              <w:rPr>
                <w:rFonts w:ascii="Arial Narrow" w:hAnsi="Arial Narrow"/>
                <w:sz w:val="16"/>
                <w:szCs w:val="16"/>
              </w:rPr>
              <w:t>Local Commissioner Development Week</w:t>
            </w:r>
          </w:p>
        </w:tc>
      </w:tr>
      <w:tr w:rsidR="002B2062" w:rsidRPr="00BC2C5D" w14:paraId="454096CA" w14:textId="77777777" w:rsidTr="00C5507C">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4A5C9220" w:rsidR="002B2062" w:rsidRDefault="002B2062" w:rsidP="002B2062">
            <w:pPr>
              <w:jc w:val="center"/>
              <w:rPr>
                <w:rFonts w:ascii="Arial Narrow" w:hAnsi="Arial Narrow" w:cs="Arial"/>
                <w:sz w:val="16"/>
                <w:szCs w:val="16"/>
              </w:rPr>
            </w:pPr>
            <w:r>
              <w:rPr>
                <w:rFonts w:ascii="Arial Narrow" w:hAnsi="Arial Narrow" w:cs="Arial"/>
                <w:sz w:val="16"/>
                <w:szCs w:val="16"/>
              </w:rPr>
              <w:t xml:space="preserve">28 </w:t>
            </w:r>
            <w:r w:rsidR="00362B60">
              <w:rPr>
                <w:rFonts w:ascii="Arial Narrow" w:hAnsi="Arial Narrow" w:cs="Arial"/>
                <w:sz w:val="16"/>
                <w:szCs w:val="16"/>
              </w:rPr>
              <w:t>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13F2AAA4"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26E552F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684BF69B" w14:textId="46ADA799" w:rsidR="002B2062" w:rsidRPr="008E728C" w:rsidRDefault="002B2062" w:rsidP="002B2062">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F10DE3">
        <w:tc>
          <w:tcPr>
            <w:tcW w:w="710"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2693"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F10DE3">
        <w:trPr>
          <w:trHeight w:val="284"/>
        </w:trPr>
        <w:tc>
          <w:tcPr>
            <w:tcW w:w="3686"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308"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1"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53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75"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61495AE" w14:textId="77777777" w:rsidTr="00F10DE3">
        <w:trPr>
          <w:trHeight w:val="284"/>
        </w:trPr>
        <w:tc>
          <w:tcPr>
            <w:tcW w:w="3686" w:type="dxa"/>
            <w:shd w:val="clear" w:color="auto" w:fill="auto"/>
            <w:vAlign w:val="center"/>
          </w:tcPr>
          <w:p w14:paraId="162B3C56" w14:textId="4D607764" w:rsidR="00B60E22" w:rsidRPr="00E67BBC" w:rsidRDefault="00B60E22" w:rsidP="00E67BBC">
            <w:pPr>
              <w:rPr>
                <w:rFonts w:ascii="Arial" w:hAnsi="Arial" w:cs="Arial"/>
              </w:rPr>
            </w:pPr>
            <w:r>
              <w:rPr>
                <w:rFonts w:ascii="Arial" w:hAnsi="Arial" w:cs="Arial"/>
              </w:rPr>
              <w:t>Cairns – Deputy Commissioner</w:t>
            </w:r>
          </w:p>
        </w:tc>
        <w:tc>
          <w:tcPr>
            <w:tcW w:w="2308" w:type="dxa"/>
            <w:shd w:val="clear" w:color="auto" w:fill="auto"/>
            <w:vAlign w:val="center"/>
          </w:tcPr>
          <w:p w14:paraId="13B665B8" w14:textId="5B851FD8" w:rsidR="00B60E22" w:rsidRPr="00E67BBC" w:rsidRDefault="00B60E22" w:rsidP="00E67BBC">
            <w:pPr>
              <w:rPr>
                <w:rFonts w:ascii="Arial" w:hAnsi="Arial" w:cs="Arial"/>
              </w:rPr>
            </w:pPr>
            <w:r>
              <w:rPr>
                <w:rFonts w:ascii="Arial" w:hAnsi="Arial" w:cs="Arial"/>
              </w:rPr>
              <w:t>Mr Rod Curtin</w:t>
            </w:r>
          </w:p>
        </w:tc>
        <w:tc>
          <w:tcPr>
            <w:tcW w:w="1261" w:type="dxa"/>
            <w:shd w:val="clear" w:color="auto" w:fill="auto"/>
            <w:vAlign w:val="center"/>
          </w:tcPr>
          <w:p w14:paraId="5768F957" w14:textId="3C879442" w:rsidR="00B60E22" w:rsidRPr="00E67BBC" w:rsidRDefault="00B60E22" w:rsidP="00E67BBC">
            <w:pPr>
              <w:jc w:val="center"/>
              <w:rPr>
                <w:rFonts w:ascii="Arial" w:hAnsi="Arial" w:cs="Arial"/>
              </w:rPr>
            </w:pPr>
            <w:r>
              <w:rPr>
                <w:rFonts w:ascii="Arial" w:hAnsi="Arial" w:cs="Arial"/>
              </w:rPr>
              <w:t>4081 8410</w:t>
            </w:r>
          </w:p>
        </w:tc>
        <w:tc>
          <w:tcPr>
            <w:tcW w:w="1535" w:type="dxa"/>
            <w:shd w:val="clear" w:color="auto" w:fill="auto"/>
            <w:vAlign w:val="center"/>
          </w:tcPr>
          <w:p w14:paraId="713272F7" w14:textId="484957E6" w:rsidR="00B60E22" w:rsidRPr="00E67BBC" w:rsidRDefault="00B60E22" w:rsidP="00E67BBC">
            <w:pPr>
              <w:jc w:val="center"/>
              <w:rPr>
                <w:rFonts w:ascii="Arial" w:hAnsi="Arial" w:cs="Arial"/>
              </w:rPr>
            </w:pPr>
            <w:r>
              <w:rPr>
                <w:rFonts w:ascii="Arial" w:hAnsi="Arial" w:cs="Arial"/>
              </w:rPr>
              <w:t>0419 647 948</w:t>
            </w:r>
          </w:p>
        </w:tc>
        <w:tc>
          <w:tcPr>
            <w:tcW w:w="1275" w:type="dxa"/>
            <w:shd w:val="clear" w:color="auto" w:fill="auto"/>
            <w:vAlign w:val="center"/>
          </w:tcPr>
          <w:p w14:paraId="3771714E" w14:textId="38978160" w:rsidR="00B60E22" w:rsidRPr="00E67BBC" w:rsidRDefault="00B60E22" w:rsidP="00E67BBC">
            <w:pPr>
              <w:jc w:val="center"/>
              <w:rPr>
                <w:rFonts w:ascii="Arial" w:hAnsi="Arial" w:cs="Arial"/>
              </w:rPr>
            </w:pPr>
            <w:r>
              <w:rPr>
                <w:rFonts w:ascii="Arial" w:hAnsi="Arial" w:cs="Arial"/>
              </w:rPr>
              <w:t>4041 0974</w:t>
            </w:r>
          </w:p>
        </w:tc>
      </w:tr>
      <w:tr w:rsidR="00E67BBC" w:rsidRPr="00D83311" w14:paraId="4AE1FE76" w14:textId="77777777" w:rsidTr="00F10DE3">
        <w:trPr>
          <w:trHeight w:val="284"/>
        </w:trPr>
        <w:tc>
          <w:tcPr>
            <w:tcW w:w="3686"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308"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1"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53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75"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F10DE3">
        <w:trPr>
          <w:trHeight w:val="284"/>
        </w:trPr>
        <w:tc>
          <w:tcPr>
            <w:tcW w:w="3686"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308"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1"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53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75"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F10DE3" w:rsidRPr="00D83311" w14:paraId="0EC7D371" w14:textId="77777777" w:rsidTr="00F10DE3">
        <w:trPr>
          <w:trHeight w:val="284"/>
        </w:trPr>
        <w:tc>
          <w:tcPr>
            <w:tcW w:w="3686" w:type="dxa"/>
            <w:shd w:val="clear" w:color="auto" w:fill="auto"/>
            <w:vAlign w:val="center"/>
          </w:tcPr>
          <w:p w14:paraId="1BF012FA" w14:textId="057222EE" w:rsidR="00F10DE3" w:rsidRPr="00E67BBC" w:rsidRDefault="00F10DE3" w:rsidP="00E67BBC">
            <w:pPr>
              <w:rPr>
                <w:rFonts w:ascii="Arial" w:hAnsi="Arial" w:cs="Arial"/>
              </w:rPr>
            </w:pPr>
            <w:r>
              <w:rPr>
                <w:rFonts w:ascii="Arial" w:hAnsi="Arial" w:cs="Arial"/>
              </w:rPr>
              <w:t>Acting Client Manager</w:t>
            </w:r>
          </w:p>
        </w:tc>
        <w:tc>
          <w:tcPr>
            <w:tcW w:w="2308" w:type="dxa"/>
            <w:shd w:val="clear" w:color="auto" w:fill="auto"/>
            <w:vAlign w:val="center"/>
          </w:tcPr>
          <w:p w14:paraId="6414AEC0" w14:textId="4A2AA154" w:rsidR="00F10DE3" w:rsidRPr="00E67BBC" w:rsidRDefault="00F10DE3" w:rsidP="00E67BBC">
            <w:pPr>
              <w:rPr>
                <w:rFonts w:ascii="Arial" w:hAnsi="Arial" w:cs="Arial"/>
              </w:rPr>
            </w:pPr>
            <w:r>
              <w:rPr>
                <w:rFonts w:ascii="Arial" w:hAnsi="Arial" w:cs="Arial"/>
              </w:rPr>
              <w:t>Ms Sandi Rye</w:t>
            </w:r>
          </w:p>
        </w:tc>
        <w:tc>
          <w:tcPr>
            <w:tcW w:w="1261" w:type="dxa"/>
            <w:shd w:val="clear" w:color="auto" w:fill="auto"/>
            <w:vAlign w:val="center"/>
          </w:tcPr>
          <w:p w14:paraId="0880E2DB" w14:textId="3FDDD41F" w:rsidR="00F10DE3" w:rsidRPr="00E67BBC" w:rsidRDefault="00F10DE3" w:rsidP="00E67BBC">
            <w:pPr>
              <w:jc w:val="center"/>
              <w:rPr>
                <w:rFonts w:ascii="Arial" w:hAnsi="Arial" w:cs="Arial"/>
              </w:rPr>
            </w:pPr>
            <w:r>
              <w:rPr>
                <w:rFonts w:ascii="Arial" w:hAnsi="Arial" w:cs="Arial"/>
              </w:rPr>
              <w:t>4081 8410</w:t>
            </w:r>
          </w:p>
        </w:tc>
        <w:tc>
          <w:tcPr>
            <w:tcW w:w="1535" w:type="dxa"/>
            <w:shd w:val="clear" w:color="auto" w:fill="auto"/>
            <w:vAlign w:val="center"/>
          </w:tcPr>
          <w:p w14:paraId="538B9CA3" w14:textId="6BFDD1CA" w:rsidR="00F10DE3" w:rsidRPr="00E67BBC" w:rsidRDefault="00F10DE3" w:rsidP="00E67BBC">
            <w:pPr>
              <w:jc w:val="center"/>
              <w:rPr>
                <w:rFonts w:ascii="Arial" w:hAnsi="Arial" w:cs="Arial"/>
              </w:rPr>
            </w:pPr>
            <w:r>
              <w:rPr>
                <w:rFonts w:ascii="Arial" w:hAnsi="Arial" w:cs="Arial"/>
              </w:rPr>
              <w:t>0438 195 342</w:t>
            </w:r>
          </w:p>
        </w:tc>
        <w:tc>
          <w:tcPr>
            <w:tcW w:w="1275" w:type="dxa"/>
            <w:shd w:val="clear" w:color="auto" w:fill="auto"/>
            <w:vAlign w:val="center"/>
          </w:tcPr>
          <w:p w14:paraId="2E04F215" w14:textId="0D4203D1" w:rsidR="00F10DE3" w:rsidRPr="00E67BBC" w:rsidRDefault="00F10DE3" w:rsidP="00E67BBC">
            <w:pPr>
              <w:jc w:val="center"/>
              <w:rPr>
                <w:rFonts w:ascii="Arial" w:hAnsi="Arial" w:cs="Arial"/>
              </w:rPr>
            </w:pPr>
            <w:r>
              <w:rPr>
                <w:rFonts w:ascii="Arial" w:hAnsi="Arial" w:cs="Arial"/>
              </w:rPr>
              <w:t>4041 0974</w:t>
            </w:r>
          </w:p>
        </w:tc>
      </w:tr>
      <w:tr w:rsidR="00E67BBC" w:rsidRPr="00D83311" w14:paraId="0AA468FE" w14:textId="77777777" w:rsidTr="00F10DE3">
        <w:trPr>
          <w:trHeight w:val="284"/>
        </w:trPr>
        <w:tc>
          <w:tcPr>
            <w:tcW w:w="3686"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308"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1"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53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75"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F10DE3">
        <w:trPr>
          <w:trHeight w:val="284"/>
        </w:trPr>
        <w:tc>
          <w:tcPr>
            <w:tcW w:w="3686" w:type="dxa"/>
            <w:shd w:val="clear" w:color="auto" w:fill="auto"/>
            <w:vAlign w:val="center"/>
          </w:tcPr>
          <w:p w14:paraId="605C8262" w14:textId="0EA9027C" w:rsidR="00E67BBC" w:rsidRPr="00E67BBC" w:rsidRDefault="00F10DE3" w:rsidP="00E67BBC">
            <w:pPr>
              <w:rPr>
                <w:rFonts w:ascii="Arial" w:hAnsi="Arial" w:cs="Arial"/>
              </w:rPr>
            </w:pPr>
            <w:r>
              <w:rPr>
                <w:rFonts w:ascii="Arial" w:hAnsi="Arial" w:cs="Arial"/>
              </w:rPr>
              <w:t xml:space="preserve">Acting </w:t>
            </w:r>
            <w:r w:rsidR="00E67BBC" w:rsidRPr="00E67BBC">
              <w:rPr>
                <w:rFonts w:ascii="Arial" w:hAnsi="Arial" w:cs="Arial"/>
              </w:rPr>
              <w:t xml:space="preserve">Coen Local </w:t>
            </w:r>
            <w:r w:rsidR="00310942">
              <w:rPr>
                <w:rFonts w:ascii="Arial" w:hAnsi="Arial" w:cs="Arial"/>
              </w:rPr>
              <w:t xml:space="preserve">Registry </w:t>
            </w:r>
            <w:r w:rsidR="00E67BBC" w:rsidRPr="00E67BBC">
              <w:rPr>
                <w:rFonts w:ascii="Arial" w:hAnsi="Arial" w:cs="Arial"/>
              </w:rPr>
              <w:t>Coordinator</w:t>
            </w:r>
          </w:p>
        </w:tc>
        <w:tc>
          <w:tcPr>
            <w:tcW w:w="2308" w:type="dxa"/>
            <w:shd w:val="clear" w:color="auto" w:fill="auto"/>
            <w:vAlign w:val="center"/>
          </w:tcPr>
          <w:p w14:paraId="5802C696" w14:textId="7142D123" w:rsidR="00E67BBC" w:rsidRPr="00E67BBC" w:rsidRDefault="00F10DE3" w:rsidP="00E67BBC">
            <w:pPr>
              <w:rPr>
                <w:rFonts w:ascii="Arial" w:hAnsi="Arial" w:cs="Arial"/>
              </w:rPr>
            </w:pPr>
            <w:r>
              <w:rPr>
                <w:rFonts w:ascii="Arial" w:hAnsi="Arial" w:cs="Arial"/>
              </w:rPr>
              <w:t>Mr Simeon Miglioranza</w:t>
            </w:r>
          </w:p>
        </w:tc>
        <w:tc>
          <w:tcPr>
            <w:tcW w:w="1261"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53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75"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F10DE3">
        <w:trPr>
          <w:trHeight w:val="284"/>
        </w:trPr>
        <w:tc>
          <w:tcPr>
            <w:tcW w:w="3686" w:type="dxa"/>
            <w:shd w:val="clear" w:color="auto" w:fill="auto"/>
            <w:vAlign w:val="center"/>
          </w:tcPr>
          <w:p w14:paraId="364D4494" w14:textId="09EB5D33" w:rsidR="00E67BBC" w:rsidRPr="00E67BBC" w:rsidRDefault="00E67BBC" w:rsidP="00E67BBC">
            <w:pPr>
              <w:rPr>
                <w:rFonts w:ascii="Arial" w:hAnsi="Arial" w:cs="Arial"/>
              </w:rPr>
            </w:pPr>
            <w:r w:rsidRPr="00E67BBC">
              <w:rPr>
                <w:rFonts w:ascii="Arial" w:hAnsi="Arial" w:cs="Arial"/>
              </w:rPr>
              <w:t xml:space="preserve">Doomadgee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1"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53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75"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F10DE3">
        <w:trPr>
          <w:trHeight w:val="284"/>
        </w:trPr>
        <w:tc>
          <w:tcPr>
            <w:tcW w:w="3686" w:type="dxa"/>
            <w:shd w:val="clear" w:color="auto" w:fill="auto"/>
            <w:vAlign w:val="center"/>
          </w:tcPr>
          <w:p w14:paraId="7D09B19F" w14:textId="25631C82" w:rsidR="00E67BBC" w:rsidRPr="00E67BBC" w:rsidRDefault="00E67BBC" w:rsidP="00E67BBC">
            <w:pPr>
              <w:rPr>
                <w:rFonts w:ascii="Arial" w:hAnsi="Arial" w:cs="Arial"/>
              </w:rPr>
            </w:pPr>
            <w:r w:rsidRPr="00E67BBC">
              <w:rPr>
                <w:rFonts w:ascii="Arial" w:hAnsi="Arial" w:cs="Arial"/>
              </w:rPr>
              <w:t xml:space="preserve">Hope Vale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1"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53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75"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4311B17" w14:textId="77777777" w:rsidTr="00F10DE3">
        <w:trPr>
          <w:trHeight w:val="284"/>
        </w:trPr>
        <w:tc>
          <w:tcPr>
            <w:tcW w:w="3686" w:type="dxa"/>
            <w:shd w:val="clear" w:color="auto" w:fill="auto"/>
            <w:vAlign w:val="center"/>
          </w:tcPr>
          <w:p w14:paraId="73107646" w14:textId="575D58F7" w:rsidR="00B60E22" w:rsidRPr="00E67BBC" w:rsidRDefault="00F10DE3" w:rsidP="00B60E22">
            <w:pPr>
              <w:rPr>
                <w:rFonts w:ascii="Arial" w:hAnsi="Arial" w:cs="Arial"/>
              </w:rPr>
            </w:pPr>
            <w:r>
              <w:rPr>
                <w:rFonts w:ascii="Arial" w:hAnsi="Arial" w:cs="Arial"/>
              </w:rPr>
              <w:t xml:space="preserve">Acting </w:t>
            </w:r>
            <w:r w:rsidR="00B60E22" w:rsidRPr="00E67BBC">
              <w:rPr>
                <w:rFonts w:ascii="Arial" w:hAnsi="Arial" w:cs="Arial"/>
              </w:rPr>
              <w:t xml:space="preserve">Mossman Gorge Local </w:t>
            </w:r>
            <w:r w:rsidR="00B60E22">
              <w:rPr>
                <w:rFonts w:ascii="Arial" w:hAnsi="Arial" w:cs="Arial"/>
              </w:rPr>
              <w:t xml:space="preserve">Registry </w:t>
            </w:r>
            <w:r w:rsidR="00B60E22" w:rsidRPr="00E67BBC">
              <w:rPr>
                <w:rFonts w:ascii="Arial" w:hAnsi="Arial" w:cs="Arial"/>
              </w:rPr>
              <w:t>Coordinator</w:t>
            </w:r>
          </w:p>
        </w:tc>
        <w:tc>
          <w:tcPr>
            <w:tcW w:w="2308" w:type="dxa"/>
            <w:shd w:val="clear" w:color="auto" w:fill="auto"/>
            <w:vAlign w:val="center"/>
          </w:tcPr>
          <w:p w14:paraId="59965F87" w14:textId="22849820" w:rsidR="00B60E22" w:rsidRPr="00E67BBC" w:rsidRDefault="00F10DE3" w:rsidP="00B60E22">
            <w:pPr>
              <w:rPr>
                <w:rFonts w:ascii="Arial" w:hAnsi="Arial" w:cs="Arial"/>
              </w:rPr>
            </w:pPr>
            <w:r>
              <w:rPr>
                <w:rFonts w:ascii="Arial" w:hAnsi="Arial" w:cs="Arial"/>
              </w:rPr>
              <w:t>Mr Simeon Miglioranza</w:t>
            </w:r>
          </w:p>
        </w:tc>
        <w:tc>
          <w:tcPr>
            <w:tcW w:w="1261" w:type="dxa"/>
            <w:shd w:val="clear" w:color="auto" w:fill="auto"/>
            <w:vAlign w:val="center"/>
          </w:tcPr>
          <w:p w14:paraId="78DBA0DF" w14:textId="77777777" w:rsidR="00B60E22" w:rsidRPr="00E67BBC" w:rsidRDefault="00B60E22" w:rsidP="00B60E22">
            <w:pPr>
              <w:jc w:val="center"/>
              <w:rPr>
                <w:rFonts w:ascii="Arial" w:hAnsi="Arial" w:cs="Arial"/>
              </w:rPr>
            </w:pPr>
          </w:p>
        </w:tc>
        <w:tc>
          <w:tcPr>
            <w:tcW w:w="1535" w:type="dxa"/>
            <w:shd w:val="clear" w:color="auto" w:fill="auto"/>
            <w:vAlign w:val="center"/>
          </w:tcPr>
          <w:p w14:paraId="1CB77B42" w14:textId="34E21ABB" w:rsidR="00B60E22" w:rsidRPr="00E67BBC" w:rsidRDefault="00B60E22" w:rsidP="00B60E22">
            <w:pPr>
              <w:jc w:val="center"/>
              <w:rPr>
                <w:rFonts w:ascii="Arial" w:hAnsi="Arial" w:cs="Arial"/>
              </w:rPr>
            </w:pPr>
            <w:r w:rsidRPr="00E67BBC">
              <w:rPr>
                <w:rFonts w:ascii="Arial" w:hAnsi="Arial" w:cs="Arial"/>
              </w:rPr>
              <w:t>0417 798 392</w:t>
            </w:r>
          </w:p>
        </w:tc>
        <w:tc>
          <w:tcPr>
            <w:tcW w:w="1275" w:type="dxa"/>
            <w:shd w:val="clear" w:color="auto" w:fill="auto"/>
            <w:vAlign w:val="center"/>
          </w:tcPr>
          <w:p w14:paraId="46004A59" w14:textId="62742EFF" w:rsidR="00B60E22" w:rsidRPr="00E67BBC" w:rsidRDefault="00B60E22" w:rsidP="00B60E22">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337355">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CD477" w14:textId="77777777" w:rsidR="00A60308" w:rsidRDefault="00A60308">
      <w:r>
        <w:separator/>
      </w:r>
    </w:p>
  </w:endnote>
  <w:endnote w:type="continuationSeparator" w:id="0">
    <w:p w14:paraId="0426C44A" w14:textId="77777777" w:rsidR="00A60308" w:rsidRDefault="00A60308">
      <w:r>
        <w:continuationSeparator/>
      </w:r>
    </w:p>
  </w:endnote>
  <w:endnote w:type="continuationNotice" w:id="1">
    <w:p w14:paraId="15E217FD" w14:textId="77777777" w:rsidR="00A60308" w:rsidRDefault="00A60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5B26" w14:textId="77777777" w:rsidR="00A60308" w:rsidRDefault="00A60308"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A60308" w:rsidRDefault="00A60308"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23E" w14:textId="77777777" w:rsidR="00A60308" w:rsidRDefault="00A60308"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A60308" w:rsidRDefault="00A60308"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EC2" w14:textId="77777777" w:rsidR="00A60308" w:rsidRDefault="00A60308"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F62CE" w14:textId="77777777" w:rsidR="00A60308" w:rsidRDefault="00A60308">
      <w:r>
        <w:separator/>
      </w:r>
    </w:p>
  </w:footnote>
  <w:footnote w:type="continuationSeparator" w:id="0">
    <w:p w14:paraId="2CE6C496" w14:textId="77777777" w:rsidR="00A60308" w:rsidRDefault="00A60308">
      <w:r>
        <w:continuationSeparator/>
      </w:r>
    </w:p>
  </w:footnote>
  <w:footnote w:type="continuationNotice" w:id="1">
    <w:p w14:paraId="0D4304FB" w14:textId="77777777" w:rsidR="00A60308" w:rsidRDefault="00A60308">
      <w:pPr>
        <w:spacing w:line="240" w:lineRule="auto"/>
      </w:pPr>
    </w:p>
  </w:footnote>
  <w:footnote w:id="2">
    <w:p w14:paraId="0E53FAAB" w14:textId="2D309F62" w:rsidR="00A60308" w:rsidRPr="00504360" w:rsidRDefault="00A60308"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w:t>
      </w:r>
      <w:proofErr w:type="gramStart"/>
      <w:r w:rsidRPr="00504360">
        <w:rPr>
          <w:sz w:val="16"/>
          <w:szCs w:val="16"/>
        </w:rPr>
        <w:t>notice  (</w:t>
      </w:r>
      <w:proofErr w:type="gramEnd"/>
      <w:r w:rsidRPr="00504360">
        <w:rPr>
          <w:sz w:val="16"/>
          <w:szCs w:val="16"/>
        </w:rPr>
        <w:t>e.g. a Child Safety and Welfare notice relating to two parents is counted as two notices and if three children from one family have an unexplained absence on one day, it is counted as three individual School Attendance notices).</w:t>
      </w:r>
    </w:p>
  </w:footnote>
  <w:footnote w:id="3">
    <w:p w14:paraId="264E5477" w14:textId="16D708B1" w:rsidR="00A60308" w:rsidRPr="00504360" w:rsidRDefault="00A60308"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 xml:space="preserve">where a </w:t>
      </w:r>
      <w:proofErr w:type="gramStart"/>
      <w:r>
        <w:rPr>
          <w:sz w:val="16"/>
          <w:szCs w:val="16"/>
        </w:rPr>
        <w:t>service providers</w:t>
      </w:r>
      <w:proofErr w:type="gramEnd"/>
      <w:r>
        <w:rPr>
          <w:sz w:val="16"/>
          <w:szCs w:val="16"/>
        </w:rPr>
        <w:t xml:space="preserve"> has multiple programs.</w:t>
      </w:r>
    </w:p>
  </w:footnote>
  <w:footnote w:id="4">
    <w:p w14:paraId="1192E573" w14:textId="7E86C3A7" w:rsidR="00A60308" w:rsidRPr="00E25F7C" w:rsidRDefault="00A60308">
      <w:pPr>
        <w:pStyle w:val="FootnoteText"/>
        <w:rPr>
          <w:sz w:val="16"/>
          <w:szCs w:val="16"/>
          <w:lang w:val="en-US"/>
        </w:rPr>
      </w:pPr>
      <w:r w:rsidRPr="00E25F7C">
        <w:rPr>
          <w:rStyle w:val="FootnoteReference"/>
          <w:sz w:val="16"/>
          <w:szCs w:val="16"/>
        </w:rPr>
        <w:footnoteRef/>
      </w:r>
      <w:r w:rsidRPr="00E25F7C">
        <w:rPr>
          <w:sz w:val="16"/>
          <w:szCs w:val="16"/>
        </w:rPr>
        <w:t xml:space="preserve"> </w:t>
      </w:r>
      <w:r w:rsidRPr="00E25F7C">
        <w:rPr>
          <w:rFonts w:cs="Arial"/>
          <w:sz w:val="16"/>
          <w:szCs w:val="16"/>
        </w:rPr>
        <w:t>Application received at the end of the quarter, decision pending.</w:t>
      </w:r>
    </w:p>
  </w:footnote>
  <w:footnote w:id="5">
    <w:p w14:paraId="386D72C0" w14:textId="24767E85" w:rsidR="00A60308" w:rsidRPr="00993F41" w:rsidRDefault="00A60308">
      <w:pPr>
        <w:pStyle w:val="FootnoteText"/>
        <w:rPr>
          <w:sz w:val="16"/>
          <w:szCs w:val="16"/>
        </w:rPr>
      </w:pPr>
      <w:r w:rsidRPr="00993F41">
        <w:rPr>
          <w:rStyle w:val="FootnoteReference"/>
          <w:sz w:val="16"/>
          <w:szCs w:val="16"/>
        </w:rPr>
        <w:footnoteRef/>
      </w:r>
      <w:r w:rsidRPr="00993F41">
        <w:rPr>
          <w:sz w:val="16"/>
          <w:szCs w:val="16"/>
        </w:rPr>
        <w:t xml:space="preserve"> Refer to the descriptions of abbreviations on page </w:t>
      </w:r>
      <w:r>
        <w:rPr>
          <w:sz w:val="16"/>
          <w:szCs w:val="16"/>
        </w:rPr>
        <w:t>6</w:t>
      </w:r>
      <w:r w:rsidRPr="00993F41">
        <w:rPr>
          <w:sz w:val="16"/>
          <w:szCs w:val="16"/>
        </w:rPr>
        <w:t>.</w:t>
      </w:r>
    </w:p>
  </w:footnote>
  <w:footnote w:id="6">
    <w:p w14:paraId="255B35DE" w14:textId="6E3C6E6C" w:rsidR="00A60308" w:rsidRDefault="00A60308">
      <w:pPr>
        <w:pStyle w:val="FootnoteText"/>
      </w:pPr>
      <w:r>
        <w:rPr>
          <w:rStyle w:val="FootnoteReference"/>
        </w:rPr>
        <w:footnoteRef/>
      </w:r>
      <w:r>
        <w:t xml:space="preserve"> </w:t>
      </w:r>
      <w:r w:rsidRPr="00F106B3">
        <w:rPr>
          <w:sz w:val="16"/>
          <w:szCs w:val="16"/>
        </w:rPr>
        <w:t xml:space="preserve">Refer to the descriptions of abbreviations on page </w:t>
      </w:r>
      <w:r>
        <w:rPr>
          <w:sz w:val="16"/>
          <w:szCs w:val="16"/>
        </w:rPr>
        <w:t>6</w:t>
      </w:r>
      <w:r w:rsidRPr="00F106B3">
        <w:rPr>
          <w:sz w:val="16"/>
          <w:szCs w:val="16"/>
        </w:rPr>
        <w:t>.</w:t>
      </w:r>
    </w:p>
  </w:footnote>
  <w:footnote w:id="7">
    <w:p w14:paraId="53066497" w14:textId="207428A3" w:rsidR="00A60308" w:rsidRPr="00792412" w:rsidRDefault="00A60308">
      <w:pPr>
        <w:pStyle w:val="FootnoteText"/>
        <w:rPr>
          <w:lang w:val="en-US"/>
        </w:rPr>
      </w:pPr>
      <w:r w:rsidRPr="00792412">
        <w:rPr>
          <w:rStyle w:val="FootnoteReference"/>
          <w:sz w:val="16"/>
          <w:szCs w:val="16"/>
        </w:rPr>
        <w:footnoteRef/>
      </w:r>
      <w:r>
        <w:t xml:space="preserve"> </w:t>
      </w:r>
      <w:r w:rsidRPr="00F106B3">
        <w:rPr>
          <w:sz w:val="16"/>
          <w:szCs w:val="16"/>
        </w:rPr>
        <w:t xml:space="preserve">Refer to the descriptions of abbreviations on page </w:t>
      </w:r>
      <w:r>
        <w:rPr>
          <w:sz w:val="16"/>
          <w:szCs w:val="16"/>
        </w:rPr>
        <w:t>6</w:t>
      </w:r>
      <w:r w:rsidRPr="00F106B3">
        <w:rPr>
          <w:sz w:val="16"/>
          <w:szCs w:val="16"/>
        </w:rPr>
        <w:t>.</w:t>
      </w:r>
    </w:p>
  </w:footnote>
  <w:footnote w:id="8">
    <w:p w14:paraId="621C3F9F" w14:textId="77777777" w:rsidR="00A60308" w:rsidRPr="00850FF3" w:rsidRDefault="00A60308"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9">
    <w:p w14:paraId="0902E148" w14:textId="30AC1DA5" w:rsidR="00A60308" w:rsidRDefault="00A60308">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70C1A401" w14:textId="77777777" w:rsidR="00A60308" w:rsidRPr="004B50DF" w:rsidRDefault="00A60308"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A60308" w:rsidRDefault="00A60308"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A60308" w:rsidRDefault="00A60308"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4B536E73" w14:textId="0792E01D" w:rsidR="00A60308" w:rsidRDefault="00A60308"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w:t>
      </w:r>
      <w:r>
        <w:rPr>
          <w:sz w:val="16"/>
          <w:szCs w:val="16"/>
        </w:rPr>
        <w:t>n</w:t>
      </w:r>
      <w:r w:rsidRPr="004C7880">
        <w:rPr>
          <w:rStyle w:val="FootnoteReference"/>
          <w:sz w:val="16"/>
          <w:szCs w:val="16"/>
          <w:vertAlign w:val="baseline"/>
        </w:rPr>
        <w:t xml:space="preserve"> application hearing client for the quarter is calculated at the date of the first application hearing held for the client during the quarter.</w:t>
      </w:r>
    </w:p>
  </w:footnote>
  <w:footnote w:id="14">
    <w:p w14:paraId="5AC10446" w14:textId="4BCBC3CF" w:rsidR="00A60308" w:rsidRDefault="00A60308"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5">
    <w:p w14:paraId="5B5EB21A" w14:textId="7DC240A2" w:rsidR="00A60308" w:rsidRPr="004C7880" w:rsidRDefault="00A60308"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6">
    <w:p w14:paraId="5014099E" w14:textId="0B6B0C8B" w:rsidR="00A60308" w:rsidRDefault="00A60308">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7">
    <w:p w14:paraId="4AA50FB0" w14:textId="769D9026" w:rsidR="00A60308" w:rsidRDefault="00A60308">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8">
    <w:p w14:paraId="7CE1A087" w14:textId="49542CF8" w:rsidR="00A60308" w:rsidRDefault="00A60308">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9">
    <w:p w14:paraId="15716F00" w14:textId="26382896" w:rsidR="00A60308" w:rsidRDefault="00A60308"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0">
    <w:p w14:paraId="3BBC0E7E" w14:textId="41F30A76" w:rsidR="00A60308" w:rsidRDefault="00A60308"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1">
    <w:p w14:paraId="3884DA28" w14:textId="23E533ED" w:rsidR="00A60308" w:rsidRDefault="00A60308"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2">
    <w:p w14:paraId="5BB1F6F6" w14:textId="2B05C385" w:rsidR="00A60308" w:rsidRDefault="00A60308"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82A3" w14:textId="65FBE856" w:rsidR="00A60308" w:rsidRDefault="00A60308">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A60308" w:rsidRDefault="00A6030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A60308" w:rsidRDefault="00A6030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A60308" w:rsidRDefault="00A6030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A60308" w:rsidRDefault="00A6030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CF0E" w14:textId="03823C9E" w:rsidR="00A60308" w:rsidRDefault="00A6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8980" w14:textId="795D9FC9" w:rsidR="00A60308" w:rsidRDefault="00A60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CF548E4"/>
    <w:multiLevelType w:val="hybridMultilevel"/>
    <w:tmpl w:val="2EA6F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803A9"/>
    <w:multiLevelType w:val="hybridMultilevel"/>
    <w:tmpl w:val="448E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0104CC"/>
    <w:multiLevelType w:val="hybridMultilevel"/>
    <w:tmpl w:val="4C7817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E0210"/>
    <w:multiLevelType w:val="hybridMultilevel"/>
    <w:tmpl w:val="82C4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562E19"/>
    <w:multiLevelType w:val="hybridMultilevel"/>
    <w:tmpl w:val="2464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F32AC6"/>
    <w:multiLevelType w:val="hybridMultilevel"/>
    <w:tmpl w:val="3F6EF1E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8"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B599D"/>
    <w:multiLevelType w:val="hybridMultilevel"/>
    <w:tmpl w:val="A8F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1"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B45EAF"/>
    <w:multiLevelType w:val="hybridMultilevel"/>
    <w:tmpl w:val="702CD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7F23A7A"/>
    <w:multiLevelType w:val="hybridMultilevel"/>
    <w:tmpl w:val="10EEBDAC"/>
    <w:lvl w:ilvl="0" w:tplc="0C09000F">
      <w:start w:val="1"/>
      <w:numFmt w:val="decimal"/>
      <w:lvlText w:val="%1."/>
      <w:lvlJc w:val="left"/>
      <w:pPr>
        <w:ind w:left="720" w:hanging="360"/>
      </w:pPr>
      <w:rPr>
        <w:rFonts w:hint="default"/>
      </w:rPr>
    </w:lvl>
    <w:lvl w:ilvl="1" w:tplc="44168EB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5" w15:restartNumberingAfterBreak="0">
    <w:nsid w:val="5C2D614A"/>
    <w:multiLevelType w:val="hybridMultilevel"/>
    <w:tmpl w:val="56A4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7"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B015B6"/>
    <w:multiLevelType w:val="hybridMultilevel"/>
    <w:tmpl w:val="48A444D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BA30D9"/>
    <w:multiLevelType w:val="hybridMultilevel"/>
    <w:tmpl w:val="5AAE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E97123"/>
    <w:multiLevelType w:val="hybridMultilevel"/>
    <w:tmpl w:val="E31A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5407658"/>
    <w:multiLevelType w:val="hybridMultilevel"/>
    <w:tmpl w:val="89F6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39"/>
  </w:num>
  <w:num w:numId="3">
    <w:abstractNumId w:val="12"/>
  </w:num>
  <w:num w:numId="4">
    <w:abstractNumId w:val="42"/>
  </w:num>
  <w:num w:numId="5">
    <w:abstractNumId w:val="46"/>
  </w:num>
  <w:num w:numId="6">
    <w:abstractNumId w:val="1"/>
  </w:num>
  <w:num w:numId="7">
    <w:abstractNumId w:val="18"/>
  </w:num>
  <w:num w:numId="8">
    <w:abstractNumId w:val="3"/>
  </w:num>
  <w:num w:numId="9">
    <w:abstractNumId w:val="24"/>
  </w:num>
  <w:num w:numId="10">
    <w:abstractNumId w:val="25"/>
  </w:num>
  <w:num w:numId="11">
    <w:abstractNumId w:val="45"/>
  </w:num>
  <w:num w:numId="12">
    <w:abstractNumId w:val="19"/>
  </w:num>
  <w:num w:numId="13">
    <w:abstractNumId w:val="43"/>
  </w:num>
  <w:num w:numId="14">
    <w:abstractNumId w:val="11"/>
  </w:num>
  <w:num w:numId="15">
    <w:abstractNumId w:val="6"/>
  </w:num>
  <w:num w:numId="16">
    <w:abstractNumId w:val="4"/>
  </w:num>
  <w:num w:numId="17">
    <w:abstractNumId w:val="13"/>
  </w:num>
  <w:num w:numId="18">
    <w:abstractNumId w:val="36"/>
  </w:num>
  <w:num w:numId="19">
    <w:abstractNumId w:val="34"/>
  </w:num>
  <w:num w:numId="20">
    <w:abstractNumId w:val="17"/>
  </w:num>
  <w:num w:numId="21">
    <w:abstractNumId w:val="8"/>
  </w:num>
  <w:num w:numId="22">
    <w:abstractNumId w:val="1"/>
  </w:num>
  <w:num w:numId="23">
    <w:abstractNumId w:val="1"/>
  </w:num>
  <w:num w:numId="24">
    <w:abstractNumId w:val="9"/>
  </w:num>
  <w:num w:numId="25">
    <w:abstractNumId w:val="30"/>
  </w:num>
  <w:num w:numId="26">
    <w:abstractNumId w:val="27"/>
  </w:num>
  <w:num w:numId="27">
    <w:abstractNumId w:val="0"/>
  </w:num>
  <w:num w:numId="28">
    <w:abstractNumId w:val="14"/>
  </w:num>
  <w:num w:numId="29">
    <w:abstractNumId w:val="28"/>
  </w:num>
  <w:num w:numId="30">
    <w:abstractNumId w:val="29"/>
  </w:num>
  <w:num w:numId="31">
    <w:abstractNumId w:val="37"/>
  </w:num>
  <w:num w:numId="32">
    <w:abstractNumId w:val="44"/>
  </w:num>
  <w:num w:numId="33">
    <w:abstractNumId w:val="15"/>
  </w:num>
  <w:num w:numId="34">
    <w:abstractNumId w:val="20"/>
  </w:num>
  <w:num w:numId="35">
    <w:abstractNumId w:val="35"/>
  </w:num>
  <w:num w:numId="36">
    <w:abstractNumId w:val="10"/>
  </w:num>
  <w:num w:numId="37">
    <w:abstractNumId w:val="21"/>
  </w:num>
  <w:num w:numId="38">
    <w:abstractNumId w:val="41"/>
  </w:num>
  <w:num w:numId="39">
    <w:abstractNumId w:val="40"/>
  </w:num>
  <w:num w:numId="40">
    <w:abstractNumId w:val="23"/>
  </w:num>
  <w:num w:numId="41">
    <w:abstractNumId w:val="31"/>
  </w:num>
  <w:num w:numId="42">
    <w:abstractNumId w:val="22"/>
  </w:num>
  <w:num w:numId="43">
    <w:abstractNumId w:val="38"/>
  </w:num>
  <w:num w:numId="44">
    <w:abstractNumId w:val="26"/>
  </w:num>
  <w:num w:numId="45">
    <w:abstractNumId w:val="33"/>
  </w:num>
  <w:num w:numId="46">
    <w:abstractNumId w:val="5"/>
  </w:num>
  <w:num w:numId="47">
    <w:abstractNumId w:val="7"/>
  </w:num>
  <w:num w:numId="48">
    <w:abstractNumId w:val="32"/>
  </w:num>
  <w:num w:numId="4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B81"/>
    <w:rsid w:val="00006CA5"/>
    <w:rsid w:val="00006F38"/>
    <w:rsid w:val="000072FE"/>
    <w:rsid w:val="00007930"/>
    <w:rsid w:val="00007A59"/>
    <w:rsid w:val="00007B00"/>
    <w:rsid w:val="00007BA5"/>
    <w:rsid w:val="00007BA9"/>
    <w:rsid w:val="000102C9"/>
    <w:rsid w:val="00010328"/>
    <w:rsid w:val="000108AD"/>
    <w:rsid w:val="0001094E"/>
    <w:rsid w:val="00010BBF"/>
    <w:rsid w:val="00010EF3"/>
    <w:rsid w:val="000111F9"/>
    <w:rsid w:val="0001136D"/>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9D0"/>
    <w:rsid w:val="00014B53"/>
    <w:rsid w:val="00014C9A"/>
    <w:rsid w:val="00014EB6"/>
    <w:rsid w:val="00014F68"/>
    <w:rsid w:val="000152F9"/>
    <w:rsid w:val="000153CE"/>
    <w:rsid w:val="0001550D"/>
    <w:rsid w:val="000156CD"/>
    <w:rsid w:val="0001572D"/>
    <w:rsid w:val="00015759"/>
    <w:rsid w:val="000157CE"/>
    <w:rsid w:val="00015CAD"/>
    <w:rsid w:val="00015DF4"/>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5A"/>
    <w:rsid w:val="000219BE"/>
    <w:rsid w:val="00021FD3"/>
    <w:rsid w:val="00021FED"/>
    <w:rsid w:val="00022690"/>
    <w:rsid w:val="00022A61"/>
    <w:rsid w:val="00023090"/>
    <w:rsid w:val="00023110"/>
    <w:rsid w:val="00023277"/>
    <w:rsid w:val="000232D9"/>
    <w:rsid w:val="0002375F"/>
    <w:rsid w:val="000238CF"/>
    <w:rsid w:val="00023EA1"/>
    <w:rsid w:val="00024039"/>
    <w:rsid w:val="00024088"/>
    <w:rsid w:val="0002417B"/>
    <w:rsid w:val="000242AA"/>
    <w:rsid w:val="000243EF"/>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2E7C"/>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733"/>
    <w:rsid w:val="00060863"/>
    <w:rsid w:val="00060C99"/>
    <w:rsid w:val="000612F5"/>
    <w:rsid w:val="00061307"/>
    <w:rsid w:val="00061780"/>
    <w:rsid w:val="00061B71"/>
    <w:rsid w:val="00061DDC"/>
    <w:rsid w:val="00061EE8"/>
    <w:rsid w:val="00062332"/>
    <w:rsid w:val="00062612"/>
    <w:rsid w:val="000627DE"/>
    <w:rsid w:val="000628DC"/>
    <w:rsid w:val="00062A30"/>
    <w:rsid w:val="00062C5A"/>
    <w:rsid w:val="000630B4"/>
    <w:rsid w:val="00063231"/>
    <w:rsid w:val="0006382E"/>
    <w:rsid w:val="00063A31"/>
    <w:rsid w:val="00063B44"/>
    <w:rsid w:val="00063C4B"/>
    <w:rsid w:val="0006411B"/>
    <w:rsid w:val="00064419"/>
    <w:rsid w:val="000646F9"/>
    <w:rsid w:val="00064A70"/>
    <w:rsid w:val="00064D55"/>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3F4"/>
    <w:rsid w:val="00074403"/>
    <w:rsid w:val="000745D1"/>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1CF"/>
    <w:rsid w:val="00080235"/>
    <w:rsid w:val="0008053E"/>
    <w:rsid w:val="0008069E"/>
    <w:rsid w:val="000806FF"/>
    <w:rsid w:val="00080A6A"/>
    <w:rsid w:val="00080CC6"/>
    <w:rsid w:val="00080E0C"/>
    <w:rsid w:val="00080FE0"/>
    <w:rsid w:val="0008114B"/>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6E91"/>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362"/>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A37"/>
    <w:rsid w:val="000E028F"/>
    <w:rsid w:val="000E0AD8"/>
    <w:rsid w:val="000E0C2F"/>
    <w:rsid w:val="000E0C5F"/>
    <w:rsid w:val="000E0FEA"/>
    <w:rsid w:val="000E1050"/>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FC6"/>
    <w:rsid w:val="000E410D"/>
    <w:rsid w:val="000E4145"/>
    <w:rsid w:val="000E415A"/>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C67"/>
    <w:rsid w:val="000F1CC5"/>
    <w:rsid w:val="000F1E2D"/>
    <w:rsid w:val="000F1E82"/>
    <w:rsid w:val="000F1EFA"/>
    <w:rsid w:val="000F1F81"/>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1B0"/>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B27"/>
    <w:rsid w:val="00111D8A"/>
    <w:rsid w:val="00111E4B"/>
    <w:rsid w:val="00111F45"/>
    <w:rsid w:val="0011233B"/>
    <w:rsid w:val="0011234B"/>
    <w:rsid w:val="001123DA"/>
    <w:rsid w:val="00112614"/>
    <w:rsid w:val="00112797"/>
    <w:rsid w:val="0011298A"/>
    <w:rsid w:val="001129EF"/>
    <w:rsid w:val="00112D16"/>
    <w:rsid w:val="00112D3E"/>
    <w:rsid w:val="00112EDE"/>
    <w:rsid w:val="00112EEC"/>
    <w:rsid w:val="00112EF3"/>
    <w:rsid w:val="00113244"/>
    <w:rsid w:val="001132B5"/>
    <w:rsid w:val="001133BC"/>
    <w:rsid w:val="00113BB7"/>
    <w:rsid w:val="00113EA2"/>
    <w:rsid w:val="00113EB7"/>
    <w:rsid w:val="00113F5A"/>
    <w:rsid w:val="00113FEA"/>
    <w:rsid w:val="00114354"/>
    <w:rsid w:val="0011440D"/>
    <w:rsid w:val="001147B1"/>
    <w:rsid w:val="0011499D"/>
    <w:rsid w:val="00114B59"/>
    <w:rsid w:val="00114B63"/>
    <w:rsid w:val="00114C5E"/>
    <w:rsid w:val="00114D1D"/>
    <w:rsid w:val="00114DA7"/>
    <w:rsid w:val="00114ED1"/>
    <w:rsid w:val="00114F51"/>
    <w:rsid w:val="001151C6"/>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3C9"/>
    <w:rsid w:val="001176F5"/>
    <w:rsid w:val="001179BE"/>
    <w:rsid w:val="00117C54"/>
    <w:rsid w:val="00117DD2"/>
    <w:rsid w:val="00117F5F"/>
    <w:rsid w:val="0012005D"/>
    <w:rsid w:val="00120068"/>
    <w:rsid w:val="001200DF"/>
    <w:rsid w:val="00120380"/>
    <w:rsid w:val="001204F2"/>
    <w:rsid w:val="0012076E"/>
    <w:rsid w:val="001209F3"/>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19C"/>
    <w:rsid w:val="00124281"/>
    <w:rsid w:val="00124579"/>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64C"/>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D1A"/>
    <w:rsid w:val="00142EF0"/>
    <w:rsid w:val="001430F9"/>
    <w:rsid w:val="001431C4"/>
    <w:rsid w:val="0014335A"/>
    <w:rsid w:val="001433C8"/>
    <w:rsid w:val="0014343E"/>
    <w:rsid w:val="001434A1"/>
    <w:rsid w:val="001438AC"/>
    <w:rsid w:val="00143C4D"/>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1E"/>
    <w:rsid w:val="00152C24"/>
    <w:rsid w:val="00152CFB"/>
    <w:rsid w:val="00152D32"/>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A39"/>
    <w:rsid w:val="00165FAB"/>
    <w:rsid w:val="0016605D"/>
    <w:rsid w:val="00166102"/>
    <w:rsid w:val="00166EDA"/>
    <w:rsid w:val="0016719F"/>
    <w:rsid w:val="00167496"/>
    <w:rsid w:val="00167CEF"/>
    <w:rsid w:val="00167D59"/>
    <w:rsid w:val="00167F73"/>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89"/>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696"/>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E6E"/>
    <w:rsid w:val="001B6EFB"/>
    <w:rsid w:val="001B71D4"/>
    <w:rsid w:val="001B735E"/>
    <w:rsid w:val="001B7397"/>
    <w:rsid w:val="001B73D1"/>
    <w:rsid w:val="001B7473"/>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FD"/>
    <w:rsid w:val="001C11CC"/>
    <w:rsid w:val="001C1468"/>
    <w:rsid w:val="001C181A"/>
    <w:rsid w:val="001C1821"/>
    <w:rsid w:val="001C186F"/>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A3F"/>
    <w:rsid w:val="001E2C8F"/>
    <w:rsid w:val="001E2C9A"/>
    <w:rsid w:val="001E2D68"/>
    <w:rsid w:val="001E2EB9"/>
    <w:rsid w:val="001E2F2C"/>
    <w:rsid w:val="001E32EB"/>
    <w:rsid w:val="001E3446"/>
    <w:rsid w:val="001E3455"/>
    <w:rsid w:val="001E349B"/>
    <w:rsid w:val="001E384E"/>
    <w:rsid w:val="001E3C39"/>
    <w:rsid w:val="001E4163"/>
    <w:rsid w:val="001E44CB"/>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63FB"/>
    <w:rsid w:val="001E64D4"/>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DB"/>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679"/>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44A"/>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1B9A"/>
    <w:rsid w:val="0022208F"/>
    <w:rsid w:val="002220BA"/>
    <w:rsid w:val="002222C3"/>
    <w:rsid w:val="00222300"/>
    <w:rsid w:val="0022232B"/>
    <w:rsid w:val="00222473"/>
    <w:rsid w:val="00222633"/>
    <w:rsid w:val="00222B82"/>
    <w:rsid w:val="00222FB3"/>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E8C"/>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8AE"/>
    <w:rsid w:val="002379DA"/>
    <w:rsid w:val="00237AB1"/>
    <w:rsid w:val="00237C84"/>
    <w:rsid w:val="00237F45"/>
    <w:rsid w:val="00237F83"/>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83E"/>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373"/>
    <w:rsid w:val="002455F7"/>
    <w:rsid w:val="002459C6"/>
    <w:rsid w:val="00245A2B"/>
    <w:rsid w:val="00245C15"/>
    <w:rsid w:val="00245CC2"/>
    <w:rsid w:val="00245DEC"/>
    <w:rsid w:val="00245F85"/>
    <w:rsid w:val="00246234"/>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97A"/>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C1A"/>
    <w:rsid w:val="00261CF4"/>
    <w:rsid w:val="00261EEC"/>
    <w:rsid w:val="00261F6F"/>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E7"/>
    <w:rsid w:val="0026615C"/>
    <w:rsid w:val="00266A6B"/>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729"/>
    <w:rsid w:val="00271824"/>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87FD5"/>
    <w:rsid w:val="00290202"/>
    <w:rsid w:val="00290677"/>
    <w:rsid w:val="00290943"/>
    <w:rsid w:val="00290F7D"/>
    <w:rsid w:val="00290F99"/>
    <w:rsid w:val="0029104A"/>
    <w:rsid w:val="002911E2"/>
    <w:rsid w:val="002914BA"/>
    <w:rsid w:val="00291A00"/>
    <w:rsid w:val="00291B72"/>
    <w:rsid w:val="00291BB3"/>
    <w:rsid w:val="00291CC0"/>
    <w:rsid w:val="00291DF7"/>
    <w:rsid w:val="00292050"/>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A0053"/>
    <w:rsid w:val="002A0093"/>
    <w:rsid w:val="002A01E9"/>
    <w:rsid w:val="002A0223"/>
    <w:rsid w:val="002A038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88"/>
    <w:rsid w:val="002D68E1"/>
    <w:rsid w:val="002D6BEE"/>
    <w:rsid w:val="002D6D93"/>
    <w:rsid w:val="002D70E1"/>
    <w:rsid w:val="002D70E8"/>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CB4"/>
    <w:rsid w:val="002F3E73"/>
    <w:rsid w:val="002F3FD3"/>
    <w:rsid w:val="002F4011"/>
    <w:rsid w:val="002F40AB"/>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BD"/>
    <w:rsid w:val="00320DD9"/>
    <w:rsid w:val="00320DDD"/>
    <w:rsid w:val="00320E07"/>
    <w:rsid w:val="00320EEC"/>
    <w:rsid w:val="00321146"/>
    <w:rsid w:val="00321256"/>
    <w:rsid w:val="003212A6"/>
    <w:rsid w:val="0032146D"/>
    <w:rsid w:val="00321773"/>
    <w:rsid w:val="00321A3E"/>
    <w:rsid w:val="00321C29"/>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5E3A"/>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989"/>
    <w:rsid w:val="003309E2"/>
    <w:rsid w:val="00330A43"/>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164"/>
    <w:rsid w:val="00334241"/>
    <w:rsid w:val="0033436E"/>
    <w:rsid w:val="003343BA"/>
    <w:rsid w:val="00334534"/>
    <w:rsid w:val="00334C7C"/>
    <w:rsid w:val="00334CD6"/>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55"/>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70A"/>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5A7"/>
    <w:rsid w:val="003625B9"/>
    <w:rsid w:val="00362B60"/>
    <w:rsid w:val="00362C52"/>
    <w:rsid w:val="00362F87"/>
    <w:rsid w:val="00362FA9"/>
    <w:rsid w:val="003633A3"/>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A74"/>
    <w:rsid w:val="00383EB1"/>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9C8"/>
    <w:rsid w:val="00385B7E"/>
    <w:rsid w:val="00385BA9"/>
    <w:rsid w:val="00385D4D"/>
    <w:rsid w:val="00385E8A"/>
    <w:rsid w:val="00385FC8"/>
    <w:rsid w:val="003861A4"/>
    <w:rsid w:val="00386427"/>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1A"/>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30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2F"/>
    <w:rsid w:val="003A52F9"/>
    <w:rsid w:val="003A547F"/>
    <w:rsid w:val="003A5679"/>
    <w:rsid w:val="003A5745"/>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85E"/>
    <w:rsid w:val="003A7AF5"/>
    <w:rsid w:val="003A7FFC"/>
    <w:rsid w:val="003B0097"/>
    <w:rsid w:val="003B00BB"/>
    <w:rsid w:val="003B02AF"/>
    <w:rsid w:val="003B047C"/>
    <w:rsid w:val="003B05FA"/>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54"/>
    <w:rsid w:val="003B4769"/>
    <w:rsid w:val="003B4817"/>
    <w:rsid w:val="003B48BD"/>
    <w:rsid w:val="003B4F6C"/>
    <w:rsid w:val="003B5074"/>
    <w:rsid w:val="003B50E4"/>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2AB1"/>
    <w:rsid w:val="003C2EAF"/>
    <w:rsid w:val="003C2F5B"/>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327"/>
    <w:rsid w:val="003C536A"/>
    <w:rsid w:val="003C5377"/>
    <w:rsid w:val="003C56D8"/>
    <w:rsid w:val="003C58C6"/>
    <w:rsid w:val="003C597C"/>
    <w:rsid w:val="003C5B89"/>
    <w:rsid w:val="003C5D3F"/>
    <w:rsid w:val="003C5E17"/>
    <w:rsid w:val="003C6459"/>
    <w:rsid w:val="003C64B1"/>
    <w:rsid w:val="003C65BB"/>
    <w:rsid w:val="003C6852"/>
    <w:rsid w:val="003C68BB"/>
    <w:rsid w:val="003C68D8"/>
    <w:rsid w:val="003C68D9"/>
    <w:rsid w:val="003C6C01"/>
    <w:rsid w:val="003C702B"/>
    <w:rsid w:val="003C7118"/>
    <w:rsid w:val="003C71F1"/>
    <w:rsid w:val="003C73C3"/>
    <w:rsid w:val="003C7545"/>
    <w:rsid w:val="003C7722"/>
    <w:rsid w:val="003C7736"/>
    <w:rsid w:val="003C7AD0"/>
    <w:rsid w:val="003C7C8A"/>
    <w:rsid w:val="003C7E28"/>
    <w:rsid w:val="003C7E32"/>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977"/>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4DE0"/>
    <w:rsid w:val="003E5002"/>
    <w:rsid w:val="003E532B"/>
    <w:rsid w:val="003E5362"/>
    <w:rsid w:val="003E536C"/>
    <w:rsid w:val="003E54FB"/>
    <w:rsid w:val="003E5702"/>
    <w:rsid w:val="003E57DB"/>
    <w:rsid w:val="003E5E7A"/>
    <w:rsid w:val="003E6169"/>
    <w:rsid w:val="003E620B"/>
    <w:rsid w:val="003E6634"/>
    <w:rsid w:val="003E6914"/>
    <w:rsid w:val="003E6E18"/>
    <w:rsid w:val="003E70D2"/>
    <w:rsid w:val="003E71B2"/>
    <w:rsid w:val="003E743C"/>
    <w:rsid w:val="003E74FE"/>
    <w:rsid w:val="003E76CB"/>
    <w:rsid w:val="003E779A"/>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27"/>
    <w:rsid w:val="003F1592"/>
    <w:rsid w:val="003F175F"/>
    <w:rsid w:val="003F1B1D"/>
    <w:rsid w:val="003F1C61"/>
    <w:rsid w:val="003F1CE1"/>
    <w:rsid w:val="003F201B"/>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38D"/>
    <w:rsid w:val="003F6452"/>
    <w:rsid w:val="003F664A"/>
    <w:rsid w:val="003F66D9"/>
    <w:rsid w:val="003F6759"/>
    <w:rsid w:val="003F699C"/>
    <w:rsid w:val="003F69A0"/>
    <w:rsid w:val="003F6AA9"/>
    <w:rsid w:val="003F6AC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370"/>
    <w:rsid w:val="00403806"/>
    <w:rsid w:val="004038CE"/>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101FD"/>
    <w:rsid w:val="0041033B"/>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61B"/>
    <w:rsid w:val="0041369E"/>
    <w:rsid w:val="004139E3"/>
    <w:rsid w:val="00413CF3"/>
    <w:rsid w:val="00414138"/>
    <w:rsid w:val="004141D5"/>
    <w:rsid w:val="00414295"/>
    <w:rsid w:val="00414377"/>
    <w:rsid w:val="004143F3"/>
    <w:rsid w:val="004144DB"/>
    <w:rsid w:val="00414777"/>
    <w:rsid w:val="004148A2"/>
    <w:rsid w:val="00414A10"/>
    <w:rsid w:val="00414A65"/>
    <w:rsid w:val="00414C74"/>
    <w:rsid w:val="00414DE0"/>
    <w:rsid w:val="00414E46"/>
    <w:rsid w:val="00414FA8"/>
    <w:rsid w:val="0041508C"/>
    <w:rsid w:val="004150DF"/>
    <w:rsid w:val="0041525B"/>
    <w:rsid w:val="00415562"/>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4A0"/>
    <w:rsid w:val="0042256B"/>
    <w:rsid w:val="0042279A"/>
    <w:rsid w:val="004228C4"/>
    <w:rsid w:val="00422A88"/>
    <w:rsid w:val="00422C01"/>
    <w:rsid w:val="00422D4D"/>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936"/>
    <w:rsid w:val="00427A16"/>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E31"/>
    <w:rsid w:val="00431FBF"/>
    <w:rsid w:val="00432066"/>
    <w:rsid w:val="0043225E"/>
    <w:rsid w:val="00432360"/>
    <w:rsid w:val="0043260A"/>
    <w:rsid w:val="0043261E"/>
    <w:rsid w:val="0043286C"/>
    <w:rsid w:val="00432BFD"/>
    <w:rsid w:val="00432E0D"/>
    <w:rsid w:val="00433124"/>
    <w:rsid w:val="004333A2"/>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2E4"/>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CB"/>
    <w:rsid w:val="0045431E"/>
    <w:rsid w:val="00454343"/>
    <w:rsid w:val="00454602"/>
    <w:rsid w:val="00454779"/>
    <w:rsid w:val="0045485E"/>
    <w:rsid w:val="00454A2C"/>
    <w:rsid w:val="00454DCF"/>
    <w:rsid w:val="00454FE1"/>
    <w:rsid w:val="00455209"/>
    <w:rsid w:val="0045533F"/>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C4"/>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6A1"/>
    <w:rsid w:val="00463C5D"/>
    <w:rsid w:val="00463DF6"/>
    <w:rsid w:val="00463E4B"/>
    <w:rsid w:val="0046401E"/>
    <w:rsid w:val="0046444F"/>
    <w:rsid w:val="00464609"/>
    <w:rsid w:val="004647A0"/>
    <w:rsid w:val="00464890"/>
    <w:rsid w:val="00464BE4"/>
    <w:rsid w:val="00464CD6"/>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E0E"/>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5B3"/>
    <w:rsid w:val="004967D7"/>
    <w:rsid w:val="0049695C"/>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6D8"/>
    <w:rsid w:val="004B4800"/>
    <w:rsid w:val="004B49E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C29"/>
    <w:rsid w:val="004C3EA5"/>
    <w:rsid w:val="004C3F72"/>
    <w:rsid w:val="004C40A9"/>
    <w:rsid w:val="004C43E0"/>
    <w:rsid w:val="004C45F5"/>
    <w:rsid w:val="004C46CF"/>
    <w:rsid w:val="004C47B2"/>
    <w:rsid w:val="004C489F"/>
    <w:rsid w:val="004C48FC"/>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80"/>
    <w:rsid w:val="004C78AB"/>
    <w:rsid w:val="004C7A65"/>
    <w:rsid w:val="004C7E09"/>
    <w:rsid w:val="004C7F5B"/>
    <w:rsid w:val="004C7F77"/>
    <w:rsid w:val="004C7F98"/>
    <w:rsid w:val="004D015E"/>
    <w:rsid w:val="004D0508"/>
    <w:rsid w:val="004D0775"/>
    <w:rsid w:val="004D07FA"/>
    <w:rsid w:val="004D0A4F"/>
    <w:rsid w:val="004D0BDC"/>
    <w:rsid w:val="004D0CE5"/>
    <w:rsid w:val="004D0E00"/>
    <w:rsid w:val="004D10CE"/>
    <w:rsid w:val="004D113E"/>
    <w:rsid w:val="004D1326"/>
    <w:rsid w:val="004D1406"/>
    <w:rsid w:val="004D1736"/>
    <w:rsid w:val="004D1A34"/>
    <w:rsid w:val="004D1C6D"/>
    <w:rsid w:val="004D1D12"/>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96"/>
    <w:rsid w:val="004D5EFB"/>
    <w:rsid w:val="004D6382"/>
    <w:rsid w:val="004D649B"/>
    <w:rsid w:val="004D65A9"/>
    <w:rsid w:val="004D6815"/>
    <w:rsid w:val="004D6B5A"/>
    <w:rsid w:val="004D6C15"/>
    <w:rsid w:val="004D6EAD"/>
    <w:rsid w:val="004D71D0"/>
    <w:rsid w:val="004D71DD"/>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CE3"/>
    <w:rsid w:val="004E32B4"/>
    <w:rsid w:val="004E3431"/>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673"/>
    <w:rsid w:val="004E567B"/>
    <w:rsid w:val="004E579B"/>
    <w:rsid w:val="004E587D"/>
    <w:rsid w:val="004E5984"/>
    <w:rsid w:val="004E5BFA"/>
    <w:rsid w:val="004E5C0A"/>
    <w:rsid w:val="004E5E0D"/>
    <w:rsid w:val="004E5E30"/>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7F5"/>
    <w:rsid w:val="004E7904"/>
    <w:rsid w:val="004E7A5A"/>
    <w:rsid w:val="004E7C55"/>
    <w:rsid w:val="004E7C90"/>
    <w:rsid w:val="004E7D48"/>
    <w:rsid w:val="004E7D80"/>
    <w:rsid w:val="004E7E73"/>
    <w:rsid w:val="004E7EA2"/>
    <w:rsid w:val="004F0248"/>
    <w:rsid w:val="004F0397"/>
    <w:rsid w:val="004F04E7"/>
    <w:rsid w:val="004F05E5"/>
    <w:rsid w:val="004F0661"/>
    <w:rsid w:val="004F089D"/>
    <w:rsid w:val="004F0AD1"/>
    <w:rsid w:val="004F0AF0"/>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33AE"/>
    <w:rsid w:val="004F34C9"/>
    <w:rsid w:val="004F3686"/>
    <w:rsid w:val="004F3787"/>
    <w:rsid w:val="004F3CFE"/>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DE5"/>
    <w:rsid w:val="00501124"/>
    <w:rsid w:val="005013FE"/>
    <w:rsid w:val="0050160E"/>
    <w:rsid w:val="005019E2"/>
    <w:rsid w:val="00501AD8"/>
    <w:rsid w:val="00501C00"/>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E25"/>
    <w:rsid w:val="00514E54"/>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23"/>
    <w:rsid w:val="00516A59"/>
    <w:rsid w:val="00516D1E"/>
    <w:rsid w:val="00516F6E"/>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5EC"/>
    <w:rsid w:val="00521C85"/>
    <w:rsid w:val="00521C88"/>
    <w:rsid w:val="00521CB6"/>
    <w:rsid w:val="00521D17"/>
    <w:rsid w:val="00522525"/>
    <w:rsid w:val="005226A4"/>
    <w:rsid w:val="00522862"/>
    <w:rsid w:val="00522C00"/>
    <w:rsid w:val="00522C52"/>
    <w:rsid w:val="005230C5"/>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258"/>
    <w:rsid w:val="00525347"/>
    <w:rsid w:val="00525560"/>
    <w:rsid w:val="005256E7"/>
    <w:rsid w:val="00525951"/>
    <w:rsid w:val="0052595B"/>
    <w:rsid w:val="00525A97"/>
    <w:rsid w:val="00525B5C"/>
    <w:rsid w:val="00525BDF"/>
    <w:rsid w:val="00525D65"/>
    <w:rsid w:val="00525E17"/>
    <w:rsid w:val="00525FEB"/>
    <w:rsid w:val="00526087"/>
    <w:rsid w:val="005265FF"/>
    <w:rsid w:val="00526713"/>
    <w:rsid w:val="00526875"/>
    <w:rsid w:val="0052691D"/>
    <w:rsid w:val="00526AA6"/>
    <w:rsid w:val="00526B0D"/>
    <w:rsid w:val="00526B5B"/>
    <w:rsid w:val="00526C70"/>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31F"/>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584"/>
    <w:rsid w:val="005377BE"/>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3C"/>
    <w:rsid w:val="005455B5"/>
    <w:rsid w:val="00545875"/>
    <w:rsid w:val="0054587A"/>
    <w:rsid w:val="00545A2D"/>
    <w:rsid w:val="00545F0C"/>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F72"/>
    <w:rsid w:val="00546FD0"/>
    <w:rsid w:val="00547200"/>
    <w:rsid w:val="005472F7"/>
    <w:rsid w:val="00547481"/>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807"/>
    <w:rsid w:val="00552DDF"/>
    <w:rsid w:val="00552F89"/>
    <w:rsid w:val="005530C6"/>
    <w:rsid w:val="005534A5"/>
    <w:rsid w:val="005534CA"/>
    <w:rsid w:val="005535BB"/>
    <w:rsid w:val="0055389F"/>
    <w:rsid w:val="00553AB7"/>
    <w:rsid w:val="00553B1C"/>
    <w:rsid w:val="00553BC8"/>
    <w:rsid w:val="00553D84"/>
    <w:rsid w:val="00553F31"/>
    <w:rsid w:val="00554212"/>
    <w:rsid w:val="00554517"/>
    <w:rsid w:val="0055458D"/>
    <w:rsid w:val="005545B0"/>
    <w:rsid w:val="005546E4"/>
    <w:rsid w:val="0055483A"/>
    <w:rsid w:val="00554FF4"/>
    <w:rsid w:val="0055510F"/>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B0D"/>
    <w:rsid w:val="00573BF2"/>
    <w:rsid w:val="00573D65"/>
    <w:rsid w:val="00573EBB"/>
    <w:rsid w:val="00573FF1"/>
    <w:rsid w:val="00574006"/>
    <w:rsid w:val="0057413E"/>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5B"/>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DC6"/>
    <w:rsid w:val="00590EC7"/>
    <w:rsid w:val="0059107E"/>
    <w:rsid w:val="005911A8"/>
    <w:rsid w:val="005911FB"/>
    <w:rsid w:val="0059137F"/>
    <w:rsid w:val="005913AD"/>
    <w:rsid w:val="005915E7"/>
    <w:rsid w:val="0059166C"/>
    <w:rsid w:val="00591897"/>
    <w:rsid w:val="005918B9"/>
    <w:rsid w:val="005918CD"/>
    <w:rsid w:val="00591C16"/>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3F8"/>
    <w:rsid w:val="005B15CC"/>
    <w:rsid w:val="005B15FA"/>
    <w:rsid w:val="005B1811"/>
    <w:rsid w:val="005B1C36"/>
    <w:rsid w:val="005B1E97"/>
    <w:rsid w:val="005B1F91"/>
    <w:rsid w:val="005B20CF"/>
    <w:rsid w:val="005B2213"/>
    <w:rsid w:val="005B255D"/>
    <w:rsid w:val="005B2590"/>
    <w:rsid w:val="005B293D"/>
    <w:rsid w:val="005B2AFE"/>
    <w:rsid w:val="005B2CE4"/>
    <w:rsid w:val="005B2E82"/>
    <w:rsid w:val="005B2E83"/>
    <w:rsid w:val="005B2EEF"/>
    <w:rsid w:val="005B2F74"/>
    <w:rsid w:val="005B3184"/>
    <w:rsid w:val="005B3811"/>
    <w:rsid w:val="005B38B1"/>
    <w:rsid w:val="005B3A84"/>
    <w:rsid w:val="005B3BB2"/>
    <w:rsid w:val="005B3D72"/>
    <w:rsid w:val="005B4075"/>
    <w:rsid w:val="005B4312"/>
    <w:rsid w:val="005B4404"/>
    <w:rsid w:val="005B47F9"/>
    <w:rsid w:val="005B4896"/>
    <w:rsid w:val="005B49DA"/>
    <w:rsid w:val="005B4EDF"/>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41F0"/>
    <w:rsid w:val="005D4772"/>
    <w:rsid w:val="005D4916"/>
    <w:rsid w:val="005D49E8"/>
    <w:rsid w:val="005D4A57"/>
    <w:rsid w:val="005D4AAB"/>
    <w:rsid w:val="005D4F0A"/>
    <w:rsid w:val="005D5013"/>
    <w:rsid w:val="005D509B"/>
    <w:rsid w:val="005D5597"/>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5D"/>
    <w:rsid w:val="005E40B9"/>
    <w:rsid w:val="005E422E"/>
    <w:rsid w:val="005E4274"/>
    <w:rsid w:val="005E42C5"/>
    <w:rsid w:val="005E42EC"/>
    <w:rsid w:val="005E4425"/>
    <w:rsid w:val="005E445C"/>
    <w:rsid w:val="005E46FC"/>
    <w:rsid w:val="005E4720"/>
    <w:rsid w:val="005E489E"/>
    <w:rsid w:val="005E48F1"/>
    <w:rsid w:val="005E4C2E"/>
    <w:rsid w:val="005E5216"/>
    <w:rsid w:val="005E522C"/>
    <w:rsid w:val="005E5412"/>
    <w:rsid w:val="005E5567"/>
    <w:rsid w:val="005E5754"/>
    <w:rsid w:val="005E5755"/>
    <w:rsid w:val="005E57AA"/>
    <w:rsid w:val="005E5BAE"/>
    <w:rsid w:val="005E5DCB"/>
    <w:rsid w:val="005E5E58"/>
    <w:rsid w:val="005E5EB7"/>
    <w:rsid w:val="005E5F26"/>
    <w:rsid w:val="005E6058"/>
    <w:rsid w:val="005E621C"/>
    <w:rsid w:val="005E62A6"/>
    <w:rsid w:val="005E677A"/>
    <w:rsid w:val="005E69DE"/>
    <w:rsid w:val="005E6B28"/>
    <w:rsid w:val="005E70B6"/>
    <w:rsid w:val="005E715F"/>
    <w:rsid w:val="005E726B"/>
    <w:rsid w:val="005E7285"/>
    <w:rsid w:val="005E729B"/>
    <w:rsid w:val="005E7477"/>
    <w:rsid w:val="005E76ED"/>
    <w:rsid w:val="005E7A41"/>
    <w:rsid w:val="005E7AC1"/>
    <w:rsid w:val="005E7C75"/>
    <w:rsid w:val="005E7E9E"/>
    <w:rsid w:val="005E7F2F"/>
    <w:rsid w:val="005E7F96"/>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72"/>
    <w:rsid w:val="005F2E8C"/>
    <w:rsid w:val="005F2FE8"/>
    <w:rsid w:val="005F3063"/>
    <w:rsid w:val="005F315D"/>
    <w:rsid w:val="005F330D"/>
    <w:rsid w:val="005F33AB"/>
    <w:rsid w:val="005F33D5"/>
    <w:rsid w:val="005F397B"/>
    <w:rsid w:val="005F3C30"/>
    <w:rsid w:val="005F3D99"/>
    <w:rsid w:val="005F3EB4"/>
    <w:rsid w:val="005F4BFA"/>
    <w:rsid w:val="005F5321"/>
    <w:rsid w:val="005F544B"/>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328"/>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50"/>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D9A"/>
    <w:rsid w:val="00646F86"/>
    <w:rsid w:val="00647294"/>
    <w:rsid w:val="0064729C"/>
    <w:rsid w:val="00647300"/>
    <w:rsid w:val="00647469"/>
    <w:rsid w:val="006474FD"/>
    <w:rsid w:val="0064769C"/>
    <w:rsid w:val="00647861"/>
    <w:rsid w:val="00647AB8"/>
    <w:rsid w:val="00647FD8"/>
    <w:rsid w:val="006503F1"/>
    <w:rsid w:val="00650501"/>
    <w:rsid w:val="006505E9"/>
    <w:rsid w:val="006507D1"/>
    <w:rsid w:val="00650B45"/>
    <w:rsid w:val="00650CC7"/>
    <w:rsid w:val="00650D7D"/>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D4"/>
    <w:rsid w:val="00665D69"/>
    <w:rsid w:val="00665F6E"/>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0FF"/>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D2B"/>
    <w:rsid w:val="00692FBD"/>
    <w:rsid w:val="006930E8"/>
    <w:rsid w:val="006932EB"/>
    <w:rsid w:val="0069335C"/>
    <w:rsid w:val="006933DE"/>
    <w:rsid w:val="00693472"/>
    <w:rsid w:val="006939FB"/>
    <w:rsid w:val="00693B38"/>
    <w:rsid w:val="00693F9E"/>
    <w:rsid w:val="00694048"/>
    <w:rsid w:val="006943C5"/>
    <w:rsid w:val="00694627"/>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6DE"/>
    <w:rsid w:val="006A69DD"/>
    <w:rsid w:val="006A6A5C"/>
    <w:rsid w:val="006A6C1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FD2"/>
    <w:rsid w:val="006D21B9"/>
    <w:rsid w:val="006D227C"/>
    <w:rsid w:val="006D24F9"/>
    <w:rsid w:val="006D2546"/>
    <w:rsid w:val="006D25F8"/>
    <w:rsid w:val="006D27D5"/>
    <w:rsid w:val="006D27FD"/>
    <w:rsid w:val="006D2A88"/>
    <w:rsid w:val="006D3286"/>
    <w:rsid w:val="006D344D"/>
    <w:rsid w:val="006D359E"/>
    <w:rsid w:val="006D396E"/>
    <w:rsid w:val="006D3E99"/>
    <w:rsid w:val="006D4303"/>
    <w:rsid w:val="006D432A"/>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405"/>
    <w:rsid w:val="006E042D"/>
    <w:rsid w:val="006E061B"/>
    <w:rsid w:val="006E06CF"/>
    <w:rsid w:val="006E0716"/>
    <w:rsid w:val="006E07D9"/>
    <w:rsid w:val="006E0877"/>
    <w:rsid w:val="006E0A1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AC0"/>
    <w:rsid w:val="006F2B54"/>
    <w:rsid w:val="006F2E1B"/>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91"/>
    <w:rsid w:val="00700B5D"/>
    <w:rsid w:val="00700F3A"/>
    <w:rsid w:val="00700F85"/>
    <w:rsid w:val="007013FA"/>
    <w:rsid w:val="007014FA"/>
    <w:rsid w:val="00701672"/>
    <w:rsid w:val="007016B0"/>
    <w:rsid w:val="007018FB"/>
    <w:rsid w:val="00701D8F"/>
    <w:rsid w:val="00701DEE"/>
    <w:rsid w:val="00701E5F"/>
    <w:rsid w:val="007020C2"/>
    <w:rsid w:val="0070211E"/>
    <w:rsid w:val="00702324"/>
    <w:rsid w:val="00702537"/>
    <w:rsid w:val="0070292C"/>
    <w:rsid w:val="00702AE8"/>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A85"/>
    <w:rsid w:val="00714AFB"/>
    <w:rsid w:val="00714B44"/>
    <w:rsid w:val="00714B4E"/>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04"/>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0FD"/>
    <w:rsid w:val="00732733"/>
    <w:rsid w:val="007327BE"/>
    <w:rsid w:val="00732847"/>
    <w:rsid w:val="007328FF"/>
    <w:rsid w:val="00733050"/>
    <w:rsid w:val="007330EB"/>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983"/>
    <w:rsid w:val="00742BB4"/>
    <w:rsid w:val="00742C03"/>
    <w:rsid w:val="00742C12"/>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B2D"/>
    <w:rsid w:val="00753C4D"/>
    <w:rsid w:val="00753C6D"/>
    <w:rsid w:val="00753D39"/>
    <w:rsid w:val="00753D46"/>
    <w:rsid w:val="00753D54"/>
    <w:rsid w:val="00753DBB"/>
    <w:rsid w:val="0075410C"/>
    <w:rsid w:val="007545ED"/>
    <w:rsid w:val="007548D4"/>
    <w:rsid w:val="00754A78"/>
    <w:rsid w:val="00754BCD"/>
    <w:rsid w:val="00754CCE"/>
    <w:rsid w:val="00754F94"/>
    <w:rsid w:val="007551CD"/>
    <w:rsid w:val="00755215"/>
    <w:rsid w:val="00755291"/>
    <w:rsid w:val="007557B6"/>
    <w:rsid w:val="00755AF9"/>
    <w:rsid w:val="00755CB2"/>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4A0"/>
    <w:rsid w:val="007707FF"/>
    <w:rsid w:val="007708E7"/>
    <w:rsid w:val="0077094D"/>
    <w:rsid w:val="00770A62"/>
    <w:rsid w:val="00770A90"/>
    <w:rsid w:val="00770A9C"/>
    <w:rsid w:val="00770B89"/>
    <w:rsid w:val="00770CE0"/>
    <w:rsid w:val="0077111B"/>
    <w:rsid w:val="0077142B"/>
    <w:rsid w:val="00771466"/>
    <w:rsid w:val="0077157F"/>
    <w:rsid w:val="0077171B"/>
    <w:rsid w:val="0077183E"/>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1B4"/>
    <w:rsid w:val="007824C0"/>
    <w:rsid w:val="007826E3"/>
    <w:rsid w:val="007826FF"/>
    <w:rsid w:val="00782A0B"/>
    <w:rsid w:val="00782B14"/>
    <w:rsid w:val="00782C46"/>
    <w:rsid w:val="00782D19"/>
    <w:rsid w:val="00782DC6"/>
    <w:rsid w:val="00782DCA"/>
    <w:rsid w:val="0078302F"/>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4E0"/>
    <w:rsid w:val="00791587"/>
    <w:rsid w:val="007916AC"/>
    <w:rsid w:val="00791820"/>
    <w:rsid w:val="00791C76"/>
    <w:rsid w:val="00791E02"/>
    <w:rsid w:val="00791E1C"/>
    <w:rsid w:val="00791E1F"/>
    <w:rsid w:val="0079214B"/>
    <w:rsid w:val="00792185"/>
    <w:rsid w:val="00792412"/>
    <w:rsid w:val="007924E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652"/>
    <w:rsid w:val="007976B9"/>
    <w:rsid w:val="00797813"/>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B71"/>
    <w:rsid w:val="007A7CAE"/>
    <w:rsid w:val="007A7D0C"/>
    <w:rsid w:val="007A7EE4"/>
    <w:rsid w:val="007B00FE"/>
    <w:rsid w:val="007B01B5"/>
    <w:rsid w:val="007B0206"/>
    <w:rsid w:val="007B07DF"/>
    <w:rsid w:val="007B0AE6"/>
    <w:rsid w:val="007B0C34"/>
    <w:rsid w:val="007B0C99"/>
    <w:rsid w:val="007B0EB4"/>
    <w:rsid w:val="007B0EC3"/>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D95"/>
    <w:rsid w:val="007B2EB0"/>
    <w:rsid w:val="007B3062"/>
    <w:rsid w:val="007B3063"/>
    <w:rsid w:val="007B3114"/>
    <w:rsid w:val="007B4165"/>
    <w:rsid w:val="007B43AD"/>
    <w:rsid w:val="007B43BC"/>
    <w:rsid w:val="007B43E3"/>
    <w:rsid w:val="007B461D"/>
    <w:rsid w:val="007B46DF"/>
    <w:rsid w:val="007B48AF"/>
    <w:rsid w:val="007B48ED"/>
    <w:rsid w:val="007B496F"/>
    <w:rsid w:val="007B4DBF"/>
    <w:rsid w:val="007B4E92"/>
    <w:rsid w:val="007B4F86"/>
    <w:rsid w:val="007B543F"/>
    <w:rsid w:val="007B546C"/>
    <w:rsid w:val="007B5510"/>
    <w:rsid w:val="007B5641"/>
    <w:rsid w:val="007B595B"/>
    <w:rsid w:val="007B5ABE"/>
    <w:rsid w:val="007B5DB6"/>
    <w:rsid w:val="007B60DB"/>
    <w:rsid w:val="007B64ED"/>
    <w:rsid w:val="007B669F"/>
    <w:rsid w:val="007B683E"/>
    <w:rsid w:val="007B68CA"/>
    <w:rsid w:val="007B68DE"/>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86E"/>
    <w:rsid w:val="007C1AA9"/>
    <w:rsid w:val="007C1C47"/>
    <w:rsid w:val="007C1C66"/>
    <w:rsid w:val="007C1CD6"/>
    <w:rsid w:val="007C1D68"/>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5CF"/>
    <w:rsid w:val="007E27BA"/>
    <w:rsid w:val="007E2917"/>
    <w:rsid w:val="007E294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38"/>
    <w:rsid w:val="007E5BDD"/>
    <w:rsid w:val="007E5FFC"/>
    <w:rsid w:val="007E6024"/>
    <w:rsid w:val="007E65A1"/>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D1C"/>
    <w:rsid w:val="00804D25"/>
    <w:rsid w:val="00804FCD"/>
    <w:rsid w:val="00805006"/>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219"/>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FF3"/>
    <w:rsid w:val="008512B3"/>
    <w:rsid w:val="008514CA"/>
    <w:rsid w:val="00851842"/>
    <w:rsid w:val="0085191A"/>
    <w:rsid w:val="00851E77"/>
    <w:rsid w:val="0085204D"/>
    <w:rsid w:val="0085222F"/>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C6"/>
    <w:rsid w:val="00856886"/>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3D"/>
    <w:rsid w:val="00862C45"/>
    <w:rsid w:val="00862D7C"/>
    <w:rsid w:val="00862DD5"/>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AD6"/>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C8"/>
    <w:rsid w:val="008740C9"/>
    <w:rsid w:val="00874486"/>
    <w:rsid w:val="0087455E"/>
    <w:rsid w:val="008746E1"/>
    <w:rsid w:val="008748B8"/>
    <w:rsid w:val="00874AF3"/>
    <w:rsid w:val="00874CC3"/>
    <w:rsid w:val="00874CF8"/>
    <w:rsid w:val="0087508F"/>
    <w:rsid w:val="00875278"/>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217"/>
    <w:rsid w:val="00883318"/>
    <w:rsid w:val="00883544"/>
    <w:rsid w:val="008839B5"/>
    <w:rsid w:val="00883FAA"/>
    <w:rsid w:val="008840E6"/>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49"/>
    <w:rsid w:val="008869EF"/>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09"/>
    <w:rsid w:val="00894546"/>
    <w:rsid w:val="008946F5"/>
    <w:rsid w:val="00894887"/>
    <w:rsid w:val="00894A58"/>
    <w:rsid w:val="00894E13"/>
    <w:rsid w:val="0089510F"/>
    <w:rsid w:val="0089528A"/>
    <w:rsid w:val="008952EA"/>
    <w:rsid w:val="00895897"/>
    <w:rsid w:val="008959B9"/>
    <w:rsid w:val="00895C20"/>
    <w:rsid w:val="00895D84"/>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DA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D8E"/>
    <w:rsid w:val="008B6EF0"/>
    <w:rsid w:val="008B6F2C"/>
    <w:rsid w:val="008B6F6C"/>
    <w:rsid w:val="008B70B1"/>
    <w:rsid w:val="008B719B"/>
    <w:rsid w:val="008B73A2"/>
    <w:rsid w:val="008B741C"/>
    <w:rsid w:val="008B7763"/>
    <w:rsid w:val="008B7B00"/>
    <w:rsid w:val="008B7B58"/>
    <w:rsid w:val="008B7DBE"/>
    <w:rsid w:val="008B7FA2"/>
    <w:rsid w:val="008B7FCC"/>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907"/>
    <w:rsid w:val="008C2AB5"/>
    <w:rsid w:val="008C2C35"/>
    <w:rsid w:val="008C2DD2"/>
    <w:rsid w:val="008C2EFC"/>
    <w:rsid w:val="008C2FA4"/>
    <w:rsid w:val="008C2FF8"/>
    <w:rsid w:val="008C31E6"/>
    <w:rsid w:val="008C32DB"/>
    <w:rsid w:val="008C350F"/>
    <w:rsid w:val="008C3584"/>
    <w:rsid w:val="008C3639"/>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4D8C"/>
    <w:rsid w:val="008D51A1"/>
    <w:rsid w:val="008D5B52"/>
    <w:rsid w:val="008D5D33"/>
    <w:rsid w:val="008D60ED"/>
    <w:rsid w:val="008D618D"/>
    <w:rsid w:val="008D62A0"/>
    <w:rsid w:val="008D62E7"/>
    <w:rsid w:val="008D64F6"/>
    <w:rsid w:val="008D65AC"/>
    <w:rsid w:val="008D6624"/>
    <w:rsid w:val="008D67E0"/>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D7E54"/>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BAC"/>
    <w:rsid w:val="008F5E96"/>
    <w:rsid w:val="008F6181"/>
    <w:rsid w:val="008F61AF"/>
    <w:rsid w:val="008F61DB"/>
    <w:rsid w:val="008F6299"/>
    <w:rsid w:val="008F62EA"/>
    <w:rsid w:val="008F666F"/>
    <w:rsid w:val="008F6708"/>
    <w:rsid w:val="008F6888"/>
    <w:rsid w:val="008F6A96"/>
    <w:rsid w:val="008F6C0E"/>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86D"/>
    <w:rsid w:val="0090190C"/>
    <w:rsid w:val="0090190D"/>
    <w:rsid w:val="009019A8"/>
    <w:rsid w:val="00901BE7"/>
    <w:rsid w:val="00901D09"/>
    <w:rsid w:val="009023BD"/>
    <w:rsid w:val="0090260A"/>
    <w:rsid w:val="009026A5"/>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589"/>
    <w:rsid w:val="0090475A"/>
    <w:rsid w:val="009049C2"/>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B0A"/>
    <w:rsid w:val="00906DF5"/>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BD7"/>
    <w:rsid w:val="00913C53"/>
    <w:rsid w:val="00913D5C"/>
    <w:rsid w:val="00913EE4"/>
    <w:rsid w:val="00914027"/>
    <w:rsid w:val="0091423B"/>
    <w:rsid w:val="0091434F"/>
    <w:rsid w:val="0091458E"/>
    <w:rsid w:val="0091466C"/>
    <w:rsid w:val="00914714"/>
    <w:rsid w:val="00914A09"/>
    <w:rsid w:val="00914A78"/>
    <w:rsid w:val="00914DE7"/>
    <w:rsid w:val="00914EEC"/>
    <w:rsid w:val="009150CB"/>
    <w:rsid w:val="00915219"/>
    <w:rsid w:val="009152FF"/>
    <w:rsid w:val="009155E4"/>
    <w:rsid w:val="00915708"/>
    <w:rsid w:val="00915764"/>
    <w:rsid w:val="009158B7"/>
    <w:rsid w:val="009159B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598"/>
    <w:rsid w:val="0094068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88B"/>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6E2C"/>
    <w:rsid w:val="009470C3"/>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D3"/>
    <w:rsid w:val="009646A9"/>
    <w:rsid w:val="009648E2"/>
    <w:rsid w:val="00964A63"/>
    <w:rsid w:val="00964B57"/>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28"/>
    <w:rsid w:val="0097446A"/>
    <w:rsid w:val="00974750"/>
    <w:rsid w:val="00974CD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5B"/>
    <w:rsid w:val="009763DB"/>
    <w:rsid w:val="009764C0"/>
    <w:rsid w:val="009764C4"/>
    <w:rsid w:val="00976594"/>
    <w:rsid w:val="009766EE"/>
    <w:rsid w:val="0097675F"/>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F61"/>
    <w:rsid w:val="00990012"/>
    <w:rsid w:val="00990238"/>
    <w:rsid w:val="0099054E"/>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3B8"/>
    <w:rsid w:val="00995462"/>
    <w:rsid w:val="009954F7"/>
    <w:rsid w:val="0099563A"/>
    <w:rsid w:val="009956D0"/>
    <w:rsid w:val="0099579D"/>
    <w:rsid w:val="00995CD8"/>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48A"/>
    <w:rsid w:val="009A04F9"/>
    <w:rsid w:val="009A05E8"/>
    <w:rsid w:val="009A08CB"/>
    <w:rsid w:val="009A0F35"/>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553"/>
    <w:rsid w:val="009B26C7"/>
    <w:rsid w:val="009B275F"/>
    <w:rsid w:val="009B28D9"/>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335"/>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B16"/>
    <w:rsid w:val="009E4EA1"/>
    <w:rsid w:val="009E501D"/>
    <w:rsid w:val="009E51EC"/>
    <w:rsid w:val="009E5318"/>
    <w:rsid w:val="009E5461"/>
    <w:rsid w:val="009E573B"/>
    <w:rsid w:val="009E57A4"/>
    <w:rsid w:val="009E5955"/>
    <w:rsid w:val="009E5AF1"/>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A59"/>
    <w:rsid w:val="009F5BEA"/>
    <w:rsid w:val="009F5C88"/>
    <w:rsid w:val="009F5DE8"/>
    <w:rsid w:val="009F5E53"/>
    <w:rsid w:val="009F5F37"/>
    <w:rsid w:val="009F612E"/>
    <w:rsid w:val="009F63D1"/>
    <w:rsid w:val="009F63F4"/>
    <w:rsid w:val="009F6C17"/>
    <w:rsid w:val="009F6DA5"/>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A8E"/>
    <w:rsid w:val="00A01C15"/>
    <w:rsid w:val="00A01F1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FA4"/>
    <w:rsid w:val="00A1005F"/>
    <w:rsid w:val="00A10115"/>
    <w:rsid w:val="00A1023D"/>
    <w:rsid w:val="00A102CC"/>
    <w:rsid w:val="00A10424"/>
    <w:rsid w:val="00A108F4"/>
    <w:rsid w:val="00A10A6F"/>
    <w:rsid w:val="00A10AF0"/>
    <w:rsid w:val="00A10B24"/>
    <w:rsid w:val="00A10BEB"/>
    <w:rsid w:val="00A10BF9"/>
    <w:rsid w:val="00A10DCC"/>
    <w:rsid w:val="00A10DEE"/>
    <w:rsid w:val="00A10FBF"/>
    <w:rsid w:val="00A110BE"/>
    <w:rsid w:val="00A111F5"/>
    <w:rsid w:val="00A11250"/>
    <w:rsid w:val="00A1127A"/>
    <w:rsid w:val="00A112DC"/>
    <w:rsid w:val="00A112FC"/>
    <w:rsid w:val="00A1189A"/>
    <w:rsid w:val="00A11984"/>
    <w:rsid w:val="00A11BAE"/>
    <w:rsid w:val="00A11EDC"/>
    <w:rsid w:val="00A11F8A"/>
    <w:rsid w:val="00A12174"/>
    <w:rsid w:val="00A12265"/>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A11"/>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C87"/>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BB2"/>
    <w:rsid w:val="00A33C4A"/>
    <w:rsid w:val="00A33D0D"/>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17E"/>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41A"/>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A5"/>
    <w:rsid w:val="00A42F2B"/>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95F"/>
    <w:rsid w:val="00A53B0A"/>
    <w:rsid w:val="00A53D23"/>
    <w:rsid w:val="00A540B1"/>
    <w:rsid w:val="00A540B3"/>
    <w:rsid w:val="00A54133"/>
    <w:rsid w:val="00A541A7"/>
    <w:rsid w:val="00A54325"/>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BB"/>
    <w:rsid w:val="00A5760A"/>
    <w:rsid w:val="00A57642"/>
    <w:rsid w:val="00A5769C"/>
    <w:rsid w:val="00A57BCE"/>
    <w:rsid w:val="00A57D22"/>
    <w:rsid w:val="00A57DCA"/>
    <w:rsid w:val="00A57EEE"/>
    <w:rsid w:val="00A601F6"/>
    <w:rsid w:val="00A602A4"/>
    <w:rsid w:val="00A602D9"/>
    <w:rsid w:val="00A60308"/>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0FD"/>
    <w:rsid w:val="00A65279"/>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04C"/>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7F"/>
    <w:rsid w:val="00A83F65"/>
    <w:rsid w:val="00A84321"/>
    <w:rsid w:val="00A843CD"/>
    <w:rsid w:val="00A844EA"/>
    <w:rsid w:val="00A8453A"/>
    <w:rsid w:val="00A84674"/>
    <w:rsid w:val="00A8484F"/>
    <w:rsid w:val="00A84998"/>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C6"/>
    <w:rsid w:val="00A87126"/>
    <w:rsid w:val="00A87293"/>
    <w:rsid w:val="00A876CD"/>
    <w:rsid w:val="00A876DD"/>
    <w:rsid w:val="00A87773"/>
    <w:rsid w:val="00A90260"/>
    <w:rsid w:val="00A902C8"/>
    <w:rsid w:val="00A903B1"/>
    <w:rsid w:val="00A903C5"/>
    <w:rsid w:val="00A9094A"/>
    <w:rsid w:val="00A909E5"/>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50"/>
    <w:rsid w:val="00AA01F9"/>
    <w:rsid w:val="00AA0641"/>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7B6"/>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C41"/>
    <w:rsid w:val="00AA4E04"/>
    <w:rsid w:val="00AA502C"/>
    <w:rsid w:val="00AA5077"/>
    <w:rsid w:val="00AA50D0"/>
    <w:rsid w:val="00AA5138"/>
    <w:rsid w:val="00AA537F"/>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445"/>
    <w:rsid w:val="00AB4634"/>
    <w:rsid w:val="00AB4910"/>
    <w:rsid w:val="00AB4BCF"/>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8C3"/>
    <w:rsid w:val="00AC3A3D"/>
    <w:rsid w:val="00AC3E84"/>
    <w:rsid w:val="00AC4432"/>
    <w:rsid w:val="00AC444F"/>
    <w:rsid w:val="00AC47E9"/>
    <w:rsid w:val="00AC48DA"/>
    <w:rsid w:val="00AC4A92"/>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D5"/>
    <w:rsid w:val="00AD1CF3"/>
    <w:rsid w:val="00AD1E7F"/>
    <w:rsid w:val="00AD1F10"/>
    <w:rsid w:val="00AD1F65"/>
    <w:rsid w:val="00AD2012"/>
    <w:rsid w:val="00AD2267"/>
    <w:rsid w:val="00AD2714"/>
    <w:rsid w:val="00AD27CD"/>
    <w:rsid w:val="00AD289B"/>
    <w:rsid w:val="00AD2CBF"/>
    <w:rsid w:val="00AD303D"/>
    <w:rsid w:val="00AD3206"/>
    <w:rsid w:val="00AD3260"/>
    <w:rsid w:val="00AD330B"/>
    <w:rsid w:val="00AD3A43"/>
    <w:rsid w:val="00AD3A57"/>
    <w:rsid w:val="00AD3CC5"/>
    <w:rsid w:val="00AD3CF6"/>
    <w:rsid w:val="00AD3D2A"/>
    <w:rsid w:val="00AD4202"/>
    <w:rsid w:val="00AD475A"/>
    <w:rsid w:val="00AD4AEC"/>
    <w:rsid w:val="00AD4E9A"/>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97A"/>
    <w:rsid w:val="00AE3A44"/>
    <w:rsid w:val="00AE3B23"/>
    <w:rsid w:val="00AE3C37"/>
    <w:rsid w:val="00AE3D32"/>
    <w:rsid w:val="00AE3E59"/>
    <w:rsid w:val="00AE3EB2"/>
    <w:rsid w:val="00AE3F15"/>
    <w:rsid w:val="00AE43B7"/>
    <w:rsid w:val="00AE4870"/>
    <w:rsid w:val="00AE4D7D"/>
    <w:rsid w:val="00AE4E7A"/>
    <w:rsid w:val="00AE4E92"/>
    <w:rsid w:val="00AE4F7B"/>
    <w:rsid w:val="00AE541A"/>
    <w:rsid w:val="00AE549C"/>
    <w:rsid w:val="00AE54FC"/>
    <w:rsid w:val="00AE5C52"/>
    <w:rsid w:val="00AE5E63"/>
    <w:rsid w:val="00AE60BF"/>
    <w:rsid w:val="00AE618A"/>
    <w:rsid w:val="00AE6592"/>
    <w:rsid w:val="00AE65CC"/>
    <w:rsid w:val="00AE661A"/>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25"/>
    <w:rsid w:val="00AF05A8"/>
    <w:rsid w:val="00AF0656"/>
    <w:rsid w:val="00AF076D"/>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3668"/>
    <w:rsid w:val="00B03698"/>
    <w:rsid w:val="00B036D4"/>
    <w:rsid w:val="00B03744"/>
    <w:rsid w:val="00B03770"/>
    <w:rsid w:val="00B039E0"/>
    <w:rsid w:val="00B03BD3"/>
    <w:rsid w:val="00B03BFC"/>
    <w:rsid w:val="00B03EA2"/>
    <w:rsid w:val="00B040BC"/>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57"/>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ECC"/>
    <w:rsid w:val="00B23F61"/>
    <w:rsid w:val="00B24052"/>
    <w:rsid w:val="00B241C7"/>
    <w:rsid w:val="00B2434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869"/>
    <w:rsid w:val="00B37FF6"/>
    <w:rsid w:val="00B40113"/>
    <w:rsid w:val="00B4014E"/>
    <w:rsid w:val="00B4023F"/>
    <w:rsid w:val="00B40365"/>
    <w:rsid w:val="00B40468"/>
    <w:rsid w:val="00B405E7"/>
    <w:rsid w:val="00B406E7"/>
    <w:rsid w:val="00B40846"/>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66"/>
    <w:rsid w:val="00B446A1"/>
    <w:rsid w:val="00B446D1"/>
    <w:rsid w:val="00B44C79"/>
    <w:rsid w:val="00B44D5C"/>
    <w:rsid w:val="00B44EC8"/>
    <w:rsid w:val="00B4516C"/>
    <w:rsid w:val="00B4581D"/>
    <w:rsid w:val="00B45C5A"/>
    <w:rsid w:val="00B45C71"/>
    <w:rsid w:val="00B45E93"/>
    <w:rsid w:val="00B4658D"/>
    <w:rsid w:val="00B4682A"/>
    <w:rsid w:val="00B46A8A"/>
    <w:rsid w:val="00B46C57"/>
    <w:rsid w:val="00B46CAC"/>
    <w:rsid w:val="00B46D34"/>
    <w:rsid w:val="00B47413"/>
    <w:rsid w:val="00B4764F"/>
    <w:rsid w:val="00B477F4"/>
    <w:rsid w:val="00B47CB1"/>
    <w:rsid w:val="00B47D8D"/>
    <w:rsid w:val="00B5009C"/>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C2"/>
    <w:rsid w:val="00B5224E"/>
    <w:rsid w:val="00B522B9"/>
    <w:rsid w:val="00B522EE"/>
    <w:rsid w:val="00B528B4"/>
    <w:rsid w:val="00B5290F"/>
    <w:rsid w:val="00B52D91"/>
    <w:rsid w:val="00B52F71"/>
    <w:rsid w:val="00B53396"/>
    <w:rsid w:val="00B53881"/>
    <w:rsid w:val="00B5399B"/>
    <w:rsid w:val="00B53F6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0E7"/>
    <w:rsid w:val="00B7438B"/>
    <w:rsid w:val="00B74951"/>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53F"/>
    <w:rsid w:val="00B846F8"/>
    <w:rsid w:val="00B849F3"/>
    <w:rsid w:val="00B84F4F"/>
    <w:rsid w:val="00B853F7"/>
    <w:rsid w:val="00B8541D"/>
    <w:rsid w:val="00B85757"/>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27F"/>
    <w:rsid w:val="00B924E0"/>
    <w:rsid w:val="00B926E0"/>
    <w:rsid w:val="00B928F1"/>
    <w:rsid w:val="00B92A0A"/>
    <w:rsid w:val="00B92B90"/>
    <w:rsid w:val="00B92D00"/>
    <w:rsid w:val="00B92F78"/>
    <w:rsid w:val="00B93017"/>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1E"/>
    <w:rsid w:val="00BA2C3C"/>
    <w:rsid w:val="00BA2C5E"/>
    <w:rsid w:val="00BA2EB3"/>
    <w:rsid w:val="00BA2F24"/>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1BB"/>
    <w:rsid w:val="00BA736F"/>
    <w:rsid w:val="00BA76B2"/>
    <w:rsid w:val="00BA78FD"/>
    <w:rsid w:val="00BA7903"/>
    <w:rsid w:val="00BA7A51"/>
    <w:rsid w:val="00BA7B72"/>
    <w:rsid w:val="00BA7CA8"/>
    <w:rsid w:val="00BA7F37"/>
    <w:rsid w:val="00BA7FA7"/>
    <w:rsid w:val="00BB0013"/>
    <w:rsid w:val="00BB03B7"/>
    <w:rsid w:val="00BB061A"/>
    <w:rsid w:val="00BB06AE"/>
    <w:rsid w:val="00BB0B7D"/>
    <w:rsid w:val="00BB0EA9"/>
    <w:rsid w:val="00BB0F00"/>
    <w:rsid w:val="00BB0F94"/>
    <w:rsid w:val="00BB0FE3"/>
    <w:rsid w:val="00BB1082"/>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378"/>
    <w:rsid w:val="00BC4434"/>
    <w:rsid w:val="00BC446F"/>
    <w:rsid w:val="00BC50F9"/>
    <w:rsid w:val="00BC532C"/>
    <w:rsid w:val="00BC5381"/>
    <w:rsid w:val="00BC5714"/>
    <w:rsid w:val="00BC57EF"/>
    <w:rsid w:val="00BC58DC"/>
    <w:rsid w:val="00BC58F2"/>
    <w:rsid w:val="00BC5960"/>
    <w:rsid w:val="00BC5B37"/>
    <w:rsid w:val="00BC60F7"/>
    <w:rsid w:val="00BC6305"/>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6F20"/>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D17"/>
    <w:rsid w:val="00C23D4B"/>
    <w:rsid w:val="00C23DC5"/>
    <w:rsid w:val="00C23E70"/>
    <w:rsid w:val="00C23F14"/>
    <w:rsid w:val="00C242FC"/>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76"/>
    <w:rsid w:val="00C401D4"/>
    <w:rsid w:val="00C40226"/>
    <w:rsid w:val="00C40621"/>
    <w:rsid w:val="00C4062E"/>
    <w:rsid w:val="00C4082A"/>
    <w:rsid w:val="00C4088A"/>
    <w:rsid w:val="00C40BC2"/>
    <w:rsid w:val="00C4147B"/>
    <w:rsid w:val="00C4156C"/>
    <w:rsid w:val="00C41B17"/>
    <w:rsid w:val="00C41DCA"/>
    <w:rsid w:val="00C41FA3"/>
    <w:rsid w:val="00C41FBF"/>
    <w:rsid w:val="00C4203E"/>
    <w:rsid w:val="00C4211F"/>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D"/>
    <w:rsid w:val="00C43D38"/>
    <w:rsid w:val="00C43F7F"/>
    <w:rsid w:val="00C44358"/>
    <w:rsid w:val="00C446C5"/>
    <w:rsid w:val="00C44841"/>
    <w:rsid w:val="00C448D2"/>
    <w:rsid w:val="00C44911"/>
    <w:rsid w:val="00C44A80"/>
    <w:rsid w:val="00C44C8F"/>
    <w:rsid w:val="00C45146"/>
    <w:rsid w:val="00C452A4"/>
    <w:rsid w:val="00C456B7"/>
    <w:rsid w:val="00C457EB"/>
    <w:rsid w:val="00C45840"/>
    <w:rsid w:val="00C45959"/>
    <w:rsid w:val="00C45AA8"/>
    <w:rsid w:val="00C45D9C"/>
    <w:rsid w:val="00C45F66"/>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6E5"/>
    <w:rsid w:val="00C67816"/>
    <w:rsid w:val="00C678D4"/>
    <w:rsid w:val="00C6790C"/>
    <w:rsid w:val="00C67914"/>
    <w:rsid w:val="00C67E53"/>
    <w:rsid w:val="00C67EBE"/>
    <w:rsid w:val="00C700EC"/>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5B0"/>
    <w:rsid w:val="00C7574F"/>
    <w:rsid w:val="00C75B2D"/>
    <w:rsid w:val="00C75F25"/>
    <w:rsid w:val="00C765EA"/>
    <w:rsid w:val="00C766DB"/>
    <w:rsid w:val="00C76D62"/>
    <w:rsid w:val="00C76D70"/>
    <w:rsid w:val="00C77173"/>
    <w:rsid w:val="00C774D0"/>
    <w:rsid w:val="00C7774D"/>
    <w:rsid w:val="00C77C99"/>
    <w:rsid w:val="00C77F2E"/>
    <w:rsid w:val="00C80006"/>
    <w:rsid w:val="00C800E0"/>
    <w:rsid w:val="00C80153"/>
    <w:rsid w:val="00C802F8"/>
    <w:rsid w:val="00C8050B"/>
    <w:rsid w:val="00C80970"/>
    <w:rsid w:val="00C80C4C"/>
    <w:rsid w:val="00C80EA5"/>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6E"/>
    <w:rsid w:val="00C822A5"/>
    <w:rsid w:val="00C82364"/>
    <w:rsid w:val="00C82A18"/>
    <w:rsid w:val="00C82A46"/>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22A"/>
    <w:rsid w:val="00C942E7"/>
    <w:rsid w:val="00C943BD"/>
    <w:rsid w:val="00C943E8"/>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EB4"/>
    <w:rsid w:val="00CA0258"/>
    <w:rsid w:val="00CA0644"/>
    <w:rsid w:val="00CA0654"/>
    <w:rsid w:val="00CA0B6F"/>
    <w:rsid w:val="00CA0BF9"/>
    <w:rsid w:val="00CA0D3A"/>
    <w:rsid w:val="00CA0D82"/>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D8F"/>
    <w:rsid w:val="00CA7E1A"/>
    <w:rsid w:val="00CA7F72"/>
    <w:rsid w:val="00CB0483"/>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E54"/>
    <w:rsid w:val="00CC100C"/>
    <w:rsid w:val="00CC10E8"/>
    <w:rsid w:val="00CC123D"/>
    <w:rsid w:val="00CC12B5"/>
    <w:rsid w:val="00CC1364"/>
    <w:rsid w:val="00CC1493"/>
    <w:rsid w:val="00CC14B5"/>
    <w:rsid w:val="00CC15A5"/>
    <w:rsid w:val="00CC15B3"/>
    <w:rsid w:val="00CC15D1"/>
    <w:rsid w:val="00CC1BE1"/>
    <w:rsid w:val="00CC1F56"/>
    <w:rsid w:val="00CC1F93"/>
    <w:rsid w:val="00CC244D"/>
    <w:rsid w:val="00CC24DF"/>
    <w:rsid w:val="00CC254C"/>
    <w:rsid w:val="00CC2724"/>
    <w:rsid w:val="00CC27F8"/>
    <w:rsid w:val="00CC2970"/>
    <w:rsid w:val="00CC2B00"/>
    <w:rsid w:val="00CC2C03"/>
    <w:rsid w:val="00CC2C25"/>
    <w:rsid w:val="00CC2C8F"/>
    <w:rsid w:val="00CC3208"/>
    <w:rsid w:val="00CC347B"/>
    <w:rsid w:val="00CC363C"/>
    <w:rsid w:val="00CC3845"/>
    <w:rsid w:val="00CC387E"/>
    <w:rsid w:val="00CC3C15"/>
    <w:rsid w:val="00CC4029"/>
    <w:rsid w:val="00CC424A"/>
    <w:rsid w:val="00CC45F4"/>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88C"/>
    <w:rsid w:val="00CC68A9"/>
    <w:rsid w:val="00CC6B7A"/>
    <w:rsid w:val="00CC6E50"/>
    <w:rsid w:val="00CC6F69"/>
    <w:rsid w:val="00CC70BB"/>
    <w:rsid w:val="00CC70D7"/>
    <w:rsid w:val="00CC713B"/>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FF8"/>
    <w:rsid w:val="00CE51D1"/>
    <w:rsid w:val="00CE5245"/>
    <w:rsid w:val="00CE525A"/>
    <w:rsid w:val="00CE5343"/>
    <w:rsid w:val="00CE57DE"/>
    <w:rsid w:val="00CE5828"/>
    <w:rsid w:val="00CE5A2E"/>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2D1"/>
    <w:rsid w:val="00CF134A"/>
    <w:rsid w:val="00CF150D"/>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070"/>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7"/>
    <w:rsid w:val="00D053EA"/>
    <w:rsid w:val="00D05772"/>
    <w:rsid w:val="00D05E0E"/>
    <w:rsid w:val="00D05E46"/>
    <w:rsid w:val="00D05F31"/>
    <w:rsid w:val="00D0609A"/>
    <w:rsid w:val="00D0624F"/>
    <w:rsid w:val="00D06298"/>
    <w:rsid w:val="00D062D6"/>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91A"/>
    <w:rsid w:val="00D15A5E"/>
    <w:rsid w:val="00D15B5A"/>
    <w:rsid w:val="00D15DF3"/>
    <w:rsid w:val="00D15E1F"/>
    <w:rsid w:val="00D1608C"/>
    <w:rsid w:val="00D16264"/>
    <w:rsid w:val="00D1657C"/>
    <w:rsid w:val="00D16700"/>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730"/>
    <w:rsid w:val="00D30ACF"/>
    <w:rsid w:val="00D30C42"/>
    <w:rsid w:val="00D30ECE"/>
    <w:rsid w:val="00D30EEA"/>
    <w:rsid w:val="00D30F9E"/>
    <w:rsid w:val="00D30FA6"/>
    <w:rsid w:val="00D3106F"/>
    <w:rsid w:val="00D3122E"/>
    <w:rsid w:val="00D31356"/>
    <w:rsid w:val="00D31449"/>
    <w:rsid w:val="00D316DE"/>
    <w:rsid w:val="00D3186F"/>
    <w:rsid w:val="00D3196A"/>
    <w:rsid w:val="00D32004"/>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9E0"/>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9C2"/>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035"/>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215"/>
    <w:rsid w:val="00D65322"/>
    <w:rsid w:val="00D655BB"/>
    <w:rsid w:val="00D6580C"/>
    <w:rsid w:val="00D660D4"/>
    <w:rsid w:val="00D66185"/>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6AB"/>
    <w:rsid w:val="00D77954"/>
    <w:rsid w:val="00D77B4C"/>
    <w:rsid w:val="00D77C33"/>
    <w:rsid w:val="00D77C79"/>
    <w:rsid w:val="00D77E38"/>
    <w:rsid w:val="00D80043"/>
    <w:rsid w:val="00D80082"/>
    <w:rsid w:val="00D802EF"/>
    <w:rsid w:val="00D803B6"/>
    <w:rsid w:val="00D80424"/>
    <w:rsid w:val="00D805D6"/>
    <w:rsid w:val="00D8088C"/>
    <w:rsid w:val="00D808C5"/>
    <w:rsid w:val="00D809C3"/>
    <w:rsid w:val="00D80B4C"/>
    <w:rsid w:val="00D80B84"/>
    <w:rsid w:val="00D80BDB"/>
    <w:rsid w:val="00D80EFB"/>
    <w:rsid w:val="00D81168"/>
    <w:rsid w:val="00D811A8"/>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1BA"/>
    <w:rsid w:val="00D844DD"/>
    <w:rsid w:val="00D84558"/>
    <w:rsid w:val="00D845E4"/>
    <w:rsid w:val="00D848EA"/>
    <w:rsid w:val="00D84916"/>
    <w:rsid w:val="00D8497C"/>
    <w:rsid w:val="00D8497D"/>
    <w:rsid w:val="00D84EBC"/>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79D"/>
    <w:rsid w:val="00D92828"/>
    <w:rsid w:val="00D92C61"/>
    <w:rsid w:val="00D92EB8"/>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3B"/>
    <w:rsid w:val="00DA56D7"/>
    <w:rsid w:val="00DA57D4"/>
    <w:rsid w:val="00DA5E35"/>
    <w:rsid w:val="00DA5E39"/>
    <w:rsid w:val="00DA5EE2"/>
    <w:rsid w:val="00DA6085"/>
    <w:rsid w:val="00DA61B0"/>
    <w:rsid w:val="00DA6226"/>
    <w:rsid w:val="00DA6365"/>
    <w:rsid w:val="00DA68A5"/>
    <w:rsid w:val="00DA6BA2"/>
    <w:rsid w:val="00DA6BE0"/>
    <w:rsid w:val="00DA6DC5"/>
    <w:rsid w:val="00DA7138"/>
    <w:rsid w:val="00DA71B1"/>
    <w:rsid w:val="00DA74AB"/>
    <w:rsid w:val="00DA74BC"/>
    <w:rsid w:val="00DA7728"/>
    <w:rsid w:val="00DA77BA"/>
    <w:rsid w:val="00DA7899"/>
    <w:rsid w:val="00DA78A3"/>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BC"/>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966"/>
    <w:rsid w:val="00DE0A4C"/>
    <w:rsid w:val="00DE0A6B"/>
    <w:rsid w:val="00DE0BB5"/>
    <w:rsid w:val="00DE11DC"/>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270"/>
    <w:rsid w:val="00DF12DB"/>
    <w:rsid w:val="00DF16D2"/>
    <w:rsid w:val="00DF1DC4"/>
    <w:rsid w:val="00DF2017"/>
    <w:rsid w:val="00DF2485"/>
    <w:rsid w:val="00DF24E2"/>
    <w:rsid w:val="00DF252C"/>
    <w:rsid w:val="00DF278D"/>
    <w:rsid w:val="00DF280E"/>
    <w:rsid w:val="00DF28AB"/>
    <w:rsid w:val="00DF28B1"/>
    <w:rsid w:val="00DF2C04"/>
    <w:rsid w:val="00DF2C0C"/>
    <w:rsid w:val="00DF2D0A"/>
    <w:rsid w:val="00DF2EFC"/>
    <w:rsid w:val="00DF2FAA"/>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0"/>
    <w:rsid w:val="00DF46B1"/>
    <w:rsid w:val="00DF4A6A"/>
    <w:rsid w:val="00DF501B"/>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F9"/>
    <w:rsid w:val="00DF741D"/>
    <w:rsid w:val="00DF76DC"/>
    <w:rsid w:val="00DF7A33"/>
    <w:rsid w:val="00DF7B9E"/>
    <w:rsid w:val="00DF7BDE"/>
    <w:rsid w:val="00DF7CE4"/>
    <w:rsid w:val="00DF7E11"/>
    <w:rsid w:val="00E00037"/>
    <w:rsid w:val="00E000CB"/>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13"/>
    <w:rsid w:val="00E0366B"/>
    <w:rsid w:val="00E036FC"/>
    <w:rsid w:val="00E03A7C"/>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DBD"/>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3D"/>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449"/>
    <w:rsid w:val="00E339AD"/>
    <w:rsid w:val="00E33E63"/>
    <w:rsid w:val="00E34093"/>
    <w:rsid w:val="00E3413F"/>
    <w:rsid w:val="00E341AF"/>
    <w:rsid w:val="00E34282"/>
    <w:rsid w:val="00E3437C"/>
    <w:rsid w:val="00E343C8"/>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4B4"/>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72"/>
    <w:rsid w:val="00E54A91"/>
    <w:rsid w:val="00E54AB2"/>
    <w:rsid w:val="00E54DE6"/>
    <w:rsid w:val="00E54FCC"/>
    <w:rsid w:val="00E55020"/>
    <w:rsid w:val="00E5513F"/>
    <w:rsid w:val="00E5555C"/>
    <w:rsid w:val="00E55736"/>
    <w:rsid w:val="00E55945"/>
    <w:rsid w:val="00E5597C"/>
    <w:rsid w:val="00E55DA4"/>
    <w:rsid w:val="00E565D4"/>
    <w:rsid w:val="00E565E3"/>
    <w:rsid w:val="00E566C4"/>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899"/>
    <w:rsid w:val="00E65966"/>
    <w:rsid w:val="00E659E0"/>
    <w:rsid w:val="00E65A90"/>
    <w:rsid w:val="00E65A99"/>
    <w:rsid w:val="00E65AEC"/>
    <w:rsid w:val="00E65B61"/>
    <w:rsid w:val="00E65BBE"/>
    <w:rsid w:val="00E65D4A"/>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DB5"/>
    <w:rsid w:val="00E720CE"/>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F06"/>
    <w:rsid w:val="00E80FD5"/>
    <w:rsid w:val="00E810E5"/>
    <w:rsid w:val="00E811BC"/>
    <w:rsid w:val="00E815D9"/>
    <w:rsid w:val="00E8168E"/>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E7"/>
    <w:rsid w:val="00E86B3D"/>
    <w:rsid w:val="00E87165"/>
    <w:rsid w:val="00E875D5"/>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FA"/>
    <w:rsid w:val="00E97FFC"/>
    <w:rsid w:val="00EA00AE"/>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BAA"/>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701"/>
    <w:rsid w:val="00EB1CCA"/>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BF"/>
    <w:rsid w:val="00EB54E6"/>
    <w:rsid w:val="00EB5560"/>
    <w:rsid w:val="00EB561A"/>
    <w:rsid w:val="00EB5A3F"/>
    <w:rsid w:val="00EB604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505"/>
    <w:rsid w:val="00ED260B"/>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70D"/>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A73"/>
    <w:rsid w:val="00EE6AED"/>
    <w:rsid w:val="00EE6BDB"/>
    <w:rsid w:val="00EE6C44"/>
    <w:rsid w:val="00EE6D54"/>
    <w:rsid w:val="00EE7187"/>
    <w:rsid w:val="00EE739F"/>
    <w:rsid w:val="00EE7484"/>
    <w:rsid w:val="00EE7493"/>
    <w:rsid w:val="00EE7A6A"/>
    <w:rsid w:val="00EE7BC3"/>
    <w:rsid w:val="00EE7D25"/>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5F5"/>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94F"/>
    <w:rsid w:val="00F029B0"/>
    <w:rsid w:val="00F02A0D"/>
    <w:rsid w:val="00F02AD5"/>
    <w:rsid w:val="00F02AF6"/>
    <w:rsid w:val="00F02B98"/>
    <w:rsid w:val="00F02E8F"/>
    <w:rsid w:val="00F03252"/>
    <w:rsid w:val="00F0326B"/>
    <w:rsid w:val="00F0349F"/>
    <w:rsid w:val="00F0354E"/>
    <w:rsid w:val="00F035FD"/>
    <w:rsid w:val="00F037F1"/>
    <w:rsid w:val="00F03B07"/>
    <w:rsid w:val="00F04202"/>
    <w:rsid w:val="00F04707"/>
    <w:rsid w:val="00F0479C"/>
    <w:rsid w:val="00F049A2"/>
    <w:rsid w:val="00F04BC8"/>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09D"/>
    <w:rsid w:val="00F106B3"/>
    <w:rsid w:val="00F10787"/>
    <w:rsid w:val="00F10BEA"/>
    <w:rsid w:val="00F10C22"/>
    <w:rsid w:val="00F10DE3"/>
    <w:rsid w:val="00F10F69"/>
    <w:rsid w:val="00F10FC0"/>
    <w:rsid w:val="00F111A4"/>
    <w:rsid w:val="00F11315"/>
    <w:rsid w:val="00F1132E"/>
    <w:rsid w:val="00F11BF4"/>
    <w:rsid w:val="00F11E1C"/>
    <w:rsid w:val="00F120C2"/>
    <w:rsid w:val="00F1223C"/>
    <w:rsid w:val="00F12377"/>
    <w:rsid w:val="00F123D2"/>
    <w:rsid w:val="00F1252A"/>
    <w:rsid w:val="00F12626"/>
    <w:rsid w:val="00F12A63"/>
    <w:rsid w:val="00F12B0F"/>
    <w:rsid w:val="00F12C72"/>
    <w:rsid w:val="00F12DAA"/>
    <w:rsid w:val="00F13270"/>
    <w:rsid w:val="00F13956"/>
    <w:rsid w:val="00F13ED5"/>
    <w:rsid w:val="00F13FF1"/>
    <w:rsid w:val="00F1425C"/>
    <w:rsid w:val="00F1446D"/>
    <w:rsid w:val="00F14539"/>
    <w:rsid w:val="00F1459C"/>
    <w:rsid w:val="00F146BA"/>
    <w:rsid w:val="00F147CC"/>
    <w:rsid w:val="00F148B0"/>
    <w:rsid w:val="00F15056"/>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C4"/>
    <w:rsid w:val="00F21B62"/>
    <w:rsid w:val="00F21B71"/>
    <w:rsid w:val="00F21CD6"/>
    <w:rsid w:val="00F223E4"/>
    <w:rsid w:val="00F22A3A"/>
    <w:rsid w:val="00F22B87"/>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AF9"/>
    <w:rsid w:val="00F24B08"/>
    <w:rsid w:val="00F24BE7"/>
    <w:rsid w:val="00F24DEE"/>
    <w:rsid w:val="00F24DF6"/>
    <w:rsid w:val="00F24E20"/>
    <w:rsid w:val="00F24F79"/>
    <w:rsid w:val="00F2503B"/>
    <w:rsid w:val="00F25525"/>
    <w:rsid w:val="00F255E3"/>
    <w:rsid w:val="00F257B3"/>
    <w:rsid w:val="00F25CAD"/>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D9D"/>
    <w:rsid w:val="00F36E46"/>
    <w:rsid w:val="00F372E7"/>
    <w:rsid w:val="00F374F0"/>
    <w:rsid w:val="00F375D2"/>
    <w:rsid w:val="00F37604"/>
    <w:rsid w:val="00F377C3"/>
    <w:rsid w:val="00F37A46"/>
    <w:rsid w:val="00F37B73"/>
    <w:rsid w:val="00F37B76"/>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1EA0"/>
    <w:rsid w:val="00F4209B"/>
    <w:rsid w:val="00F420EA"/>
    <w:rsid w:val="00F423BE"/>
    <w:rsid w:val="00F42413"/>
    <w:rsid w:val="00F4243F"/>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BD7"/>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84"/>
    <w:rsid w:val="00F77292"/>
    <w:rsid w:val="00F77760"/>
    <w:rsid w:val="00F77889"/>
    <w:rsid w:val="00F77967"/>
    <w:rsid w:val="00F77AB5"/>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46"/>
    <w:rsid w:val="00F92265"/>
    <w:rsid w:val="00F92389"/>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AF5"/>
    <w:rsid w:val="00FA0C10"/>
    <w:rsid w:val="00FA0D86"/>
    <w:rsid w:val="00FA0F09"/>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C44"/>
    <w:rsid w:val="00FB4D2D"/>
    <w:rsid w:val="00FB4E77"/>
    <w:rsid w:val="00FB4EB1"/>
    <w:rsid w:val="00FB4ECB"/>
    <w:rsid w:val="00FB4F77"/>
    <w:rsid w:val="00FB5274"/>
    <w:rsid w:val="00FB5400"/>
    <w:rsid w:val="00FB5520"/>
    <w:rsid w:val="00FB5921"/>
    <w:rsid w:val="00FB5A07"/>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B68"/>
    <w:rsid w:val="00FC3E45"/>
    <w:rsid w:val="00FC3E9D"/>
    <w:rsid w:val="00FC3F30"/>
    <w:rsid w:val="00FC48D2"/>
    <w:rsid w:val="00FC4A27"/>
    <w:rsid w:val="00FC4BD1"/>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6B4D"/>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36E"/>
    <w:rsid w:val="00FE3C19"/>
    <w:rsid w:val="00FE3FDC"/>
    <w:rsid w:val="00FE407F"/>
    <w:rsid w:val="00FE46E8"/>
    <w:rsid w:val="00FE49C5"/>
    <w:rsid w:val="00FE4E41"/>
    <w:rsid w:val="00FE4F7E"/>
    <w:rsid w:val="00FE5267"/>
    <w:rsid w:val="00FE53B5"/>
    <w:rsid w:val="00FE5409"/>
    <w:rsid w:val="00FE5446"/>
    <w:rsid w:val="00FE54D9"/>
    <w:rsid w:val="00FE583D"/>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300D"/>
    <w:rsid w:val="00FF3063"/>
    <w:rsid w:val="00FF3138"/>
    <w:rsid w:val="00FF3363"/>
    <w:rsid w:val="00FF36CB"/>
    <w:rsid w:val="00FF39EE"/>
    <w:rsid w:val="00FF3ED1"/>
    <w:rsid w:val="00FF40E6"/>
    <w:rsid w:val="00FF487B"/>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895D84"/>
    <w:pPr>
      <w:ind w:left="-142"/>
      <w:outlineLvl w:val="1"/>
    </w:pPr>
    <w:rPr>
      <w:rFonts w:ascii="Verdana" w:hAnsi="Verdana" w:cs="Arial"/>
      <w:b/>
      <w:bCs/>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895D84"/>
    <w:rPr>
      <w:rFonts w:ascii="Verdana" w:hAnsi="Verdana" w:cs="Arial"/>
      <w:b/>
      <w:bCs/>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49</TotalTime>
  <Pages>26</Pages>
  <Words>8492</Words>
  <Characters>44792</Characters>
  <Application>Microsoft Office Word</Application>
  <DocSecurity>0</DocSecurity>
  <Lines>373</Lines>
  <Paragraphs>106</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53178</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14</cp:revision>
  <cp:lastPrinted>2021-08-20T03:18:00Z</cp:lastPrinted>
  <dcterms:created xsi:type="dcterms:W3CDTF">2021-10-24T23:30:00Z</dcterms:created>
  <dcterms:modified xsi:type="dcterms:W3CDTF">2021-10-26T00:25:00Z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