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053BE7EC"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493E0D">
        <w:rPr>
          <w:caps w:val="0"/>
        </w:rPr>
        <w:t>5</w:t>
      </w:r>
      <w:r w:rsidR="00522077">
        <w:rPr>
          <w:caps w:val="0"/>
        </w:rPr>
        <w:t>4</w:t>
      </w:r>
    </w:p>
    <w:p w14:paraId="0C6B487A" w14:textId="77777777" w:rsidR="00900037" w:rsidRPr="00013220" w:rsidRDefault="00900037" w:rsidP="002B6652">
      <w:pPr>
        <w:pStyle w:val="Subtitle"/>
        <w:ind w:left="-426" w:right="-623"/>
        <w:jc w:val="center"/>
        <w:rPr>
          <w:b/>
          <w:i w:val="0"/>
          <w:sz w:val="36"/>
          <w:szCs w:val="36"/>
        </w:rPr>
      </w:pPr>
    </w:p>
    <w:p w14:paraId="0AC82FDD" w14:textId="49E1551A" w:rsidR="00900037" w:rsidRPr="006F7EC0" w:rsidRDefault="00522077" w:rsidP="006F7EC0">
      <w:pPr>
        <w:pStyle w:val="Title"/>
        <w:spacing w:before="200"/>
        <w:ind w:left="-426" w:right="-623"/>
        <w:jc w:val="center"/>
        <w:rPr>
          <w:caps w:val="0"/>
          <w:sz w:val="28"/>
          <w:szCs w:val="28"/>
        </w:rPr>
      </w:pPr>
      <w:r>
        <w:rPr>
          <w:caps w:val="0"/>
          <w:sz w:val="28"/>
          <w:szCs w:val="28"/>
        </w:rPr>
        <w:t xml:space="preserve">October </w:t>
      </w:r>
      <w:r w:rsidR="00960C5D">
        <w:rPr>
          <w:caps w:val="0"/>
          <w:sz w:val="28"/>
          <w:szCs w:val="28"/>
        </w:rPr>
        <w:t>202</w:t>
      </w:r>
      <w:r w:rsidR="00D53637">
        <w:rPr>
          <w:caps w:val="0"/>
          <w:sz w:val="28"/>
          <w:szCs w:val="28"/>
        </w:rPr>
        <w:t>1</w:t>
      </w:r>
      <w:r w:rsidR="00A27797">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December </w:t>
      </w:r>
      <w:r w:rsidR="00960C5D">
        <w:rPr>
          <w:caps w:val="0"/>
          <w:sz w:val="28"/>
          <w:szCs w:val="28"/>
        </w:rPr>
        <w:t>202</w:t>
      </w:r>
      <w:r w:rsidR="00D53637">
        <w:rPr>
          <w:caps w:val="0"/>
          <w:sz w:val="28"/>
          <w:szCs w:val="28"/>
        </w:rPr>
        <w:t>1</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44F0348A"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1959955A" w:rsidR="00900037" w:rsidRPr="005F5686" w:rsidRDefault="00900037" w:rsidP="00EE5878">
      <w:pPr>
        <w:pStyle w:val="Subtitle"/>
        <w:ind w:left="142" w:right="141"/>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r w:rsidR="005F5686">
        <w:rPr>
          <w:sz w:val="22"/>
          <w:szCs w:val="22"/>
        </w:rPr>
        <w:t xml:space="preserve"> </w:t>
      </w:r>
      <w:r w:rsidR="005F5686" w:rsidRPr="005F5686">
        <w:rPr>
          <w:sz w:val="22"/>
          <w:szCs w:val="22"/>
        </w:rPr>
        <w:t xml:space="preserve">and presented to the Family Responsibilities Board pursuant to section 144 of the Family Responsibilities Commission Act 2008. </w:t>
      </w:r>
    </w:p>
    <w:p w14:paraId="0F8F41BF" w14:textId="77777777" w:rsidR="00900037" w:rsidRPr="00013220" w:rsidRDefault="00900037" w:rsidP="002B6652">
      <w:pPr>
        <w:pStyle w:val="Subtitle"/>
        <w:ind w:left="-426" w:right="-623"/>
      </w:pPr>
    </w:p>
    <w:p w14:paraId="7626B2DC" w14:textId="77777777" w:rsidR="00900037" w:rsidRDefault="00900037" w:rsidP="002B6652">
      <w:pPr>
        <w:pStyle w:val="Subtitle"/>
        <w:ind w:left="-426" w:right="-623"/>
      </w:pPr>
    </w:p>
    <w:p w14:paraId="20273867" w14:textId="77777777" w:rsidR="00EE5878" w:rsidRDefault="00EE5878" w:rsidP="00EE5878">
      <w:pPr>
        <w:pStyle w:val="Subtitle"/>
        <w:ind w:left="-426" w:right="-623"/>
      </w:pPr>
    </w:p>
    <w:p w14:paraId="05D9E53A" w14:textId="21888AB0" w:rsidR="00E55D69" w:rsidRPr="00EE5878" w:rsidRDefault="005F5686" w:rsidP="00EE5878">
      <w:pPr>
        <w:pStyle w:val="Subtitle"/>
        <w:ind w:left="1276" w:right="1417"/>
        <w:rPr>
          <w:sz w:val="18"/>
          <w:szCs w:val="18"/>
        </w:rPr>
        <w:sectPr w:rsidR="00E55D69" w:rsidRPr="00EE5878" w:rsidSect="00F65662">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680" w:right="1134" w:bottom="284" w:left="1134" w:header="0" w:footer="964" w:gutter="0"/>
          <w:pgNumType w:start="1"/>
          <w:cols w:space="720"/>
          <w:titlePg/>
          <w:docGrid w:linePitch="360"/>
        </w:sectPr>
      </w:pPr>
      <w:r w:rsidRPr="00EE5878">
        <w:rPr>
          <w:sz w:val="18"/>
          <w:szCs w:val="18"/>
        </w:rPr>
        <w:t>The Family Responsibilities Commission publishes</w:t>
      </w:r>
      <w:r w:rsidR="00E53455" w:rsidRPr="00EE5878">
        <w:rPr>
          <w:sz w:val="18"/>
          <w:szCs w:val="18"/>
        </w:rPr>
        <w:t xml:space="preserve"> annual and quarterly reports on the Commission’s website in line with its</w:t>
      </w:r>
      <w:r w:rsidR="003467B2">
        <w:rPr>
          <w:sz w:val="18"/>
          <w:szCs w:val="18"/>
        </w:rPr>
        <w:t xml:space="preserve"> policy and commitment to</w:t>
      </w:r>
      <w:r w:rsidR="00E53455" w:rsidRPr="00EE5878">
        <w:rPr>
          <w:sz w:val="18"/>
          <w:szCs w:val="18"/>
        </w:rPr>
        <w:t xml:space="preserve"> </w:t>
      </w:r>
      <w:r w:rsidR="003467B2">
        <w:rPr>
          <w:sz w:val="18"/>
          <w:szCs w:val="18"/>
        </w:rPr>
        <w:t>o</w:t>
      </w:r>
      <w:r w:rsidR="00E53455" w:rsidRPr="00EE5878">
        <w:rPr>
          <w:sz w:val="18"/>
          <w:szCs w:val="18"/>
        </w:rPr>
        <w:t xml:space="preserve">pen </w:t>
      </w:r>
      <w:r w:rsidR="003467B2">
        <w:rPr>
          <w:sz w:val="18"/>
          <w:szCs w:val="18"/>
        </w:rPr>
        <w:t>d</w:t>
      </w:r>
      <w:r w:rsidR="00E53455" w:rsidRPr="00EE5878">
        <w:rPr>
          <w:sz w:val="18"/>
          <w:szCs w:val="18"/>
        </w:rPr>
        <w:t xml:space="preserve">ata </w:t>
      </w:r>
      <w:r w:rsidR="003467B2">
        <w:rPr>
          <w:sz w:val="18"/>
          <w:szCs w:val="18"/>
        </w:rPr>
        <w:t xml:space="preserve">available to the public. </w:t>
      </w:r>
      <w:r w:rsidR="00585CCD">
        <w:rPr>
          <w:sz w:val="18"/>
          <w:szCs w:val="18"/>
        </w:rPr>
        <w:t>F</w:t>
      </w:r>
      <w:r w:rsidR="00E53455">
        <w:rPr>
          <w:sz w:val="18"/>
          <w:szCs w:val="18"/>
        </w:rPr>
        <w:t>or more details see: www.fr</w:t>
      </w:r>
      <w:r w:rsidR="00585CCD">
        <w:rPr>
          <w:sz w:val="18"/>
          <w:szCs w:val="18"/>
        </w:rPr>
        <w:t>cq.org.au</w:t>
      </w:r>
      <w:r w:rsidR="00E53455" w:rsidRPr="00EE5878">
        <w:rPr>
          <w:sz w:val="18"/>
          <w:szCs w:val="18"/>
        </w:rPr>
        <w:t xml:space="preserve">   </w:t>
      </w:r>
    </w:p>
    <w:p w14:paraId="133B9553" w14:textId="77777777" w:rsidR="00900037" w:rsidRPr="00DA4801" w:rsidRDefault="00900037" w:rsidP="002B6652">
      <w:pPr>
        <w:pStyle w:val="Subtitle"/>
        <w:ind w:left="-426" w:right="-623"/>
      </w:pPr>
    </w:p>
    <w:p w14:paraId="4AADBA18" w14:textId="176E54FB" w:rsidR="00EE5878" w:rsidRDefault="00900037" w:rsidP="00EE5878">
      <w:pPr>
        <w:pStyle w:val="Heading4"/>
        <w:ind w:left="-142"/>
        <w:jc w:val="left"/>
      </w:pPr>
      <w:r>
        <w:br w:type="page"/>
      </w:r>
      <w:r w:rsidRPr="00DD384D">
        <w:lastRenderedPageBreak/>
        <w:t>Executive Summary</w:t>
      </w:r>
    </w:p>
    <w:p w14:paraId="14804824" w14:textId="57ED6E4F" w:rsidR="008A481F" w:rsidRPr="00ED55CD" w:rsidRDefault="00536924" w:rsidP="00EE5878">
      <w:pPr>
        <w:ind w:left="-142" w:right="-425"/>
        <w:jc w:val="both"/>
        <w:rPr>
          <w:rFonts w:cs="Arial"/>
        </w:rPr>
      </w:pPr>
      <w:r w:rsidRPr="00ED55CD">
        <w:rPr>
          <w:rFonts w:cs="Arial"/>
        </w:rPr>
        <w:t>The Families Responsibilities Commission (FRC) is a key mechanism to support welfare reform community members and their families to restore socially responsible standards of behaviour and es</w:t>
      </w:r>
      <w:r w:rsidR="005F5686" w:rsidRPr="00ED55CD">
        <w:rPr>
          <w:rFonts w:cs="Arial"/>
        </w:rPr>
        <w:t>tablish local authority.</w:t>
      </w:r>
    </w:p>
    <w:p w14:paraId="095C30D2" w14:textId="77777777" w:rsidR="008A481F" w:rsidRPr="00ED55CD" w:rsidRDefault="008A481F" w:rsidP="008A481F">
      <w:pPr>
        <w:ind w:left="-142" w:right="-425"/>
        <w:jc w:val="both"/>
        <w:rPr>
          <w:rFonts w:cs="Arial"/>
        </w:rPr>
      </w:pPr>
    </w:p>
    <w:p w14:paraId="4A84018C" w14:textId="3BBD0864" w:rsidR="008A481F" w:rsidRDefault="008A481F" w:rsidP="008A481F">
      <w:pPr>
        <w:ind w:left="-142" w:right="-425"/>
        <w:jc w:val="both"/>
        <w:rPr>
          <w:rFonts w:cs="Arial"/>
        </w:rPr>
      </w:pPr>
      <w:r w:rsidRPr="00ED55CD">
        <w:rPr>
          <w:rFonts w:cs="Arial"/>
        </w:rPr>
        <w:t xml:space="preserve">The </w:t>
      </w:r>
      <w:r w:rsidR="00F1037E" w:rsidRPr="00ED55CD">
        <w:rPr>
          <w:rFonts w:cs="Arial"/>
          <w:i/>
          <w:iCs/>
        </w:rPr>
        <w:t>Family Responsibilities Commission Act 2008</w:t>
      </w:r>
      <w:r w:rsidR="00F1037E" w:rsidRPr="00ED55CD">
        <w:rPr>
          <w:rFonts w:cs="Arial"/>
        </w:rPr>
        <w:t xml:space="preserve"> (</w:t>
      </w:r>
      <w:r w:rsidRPr="00ED55CD">
        <w:rPr>
          <w:rFonts w:cs="Arial"/>
        </w:rPr>
        <w:t>FRC Act</w:t>
      </w:r>
      <w:r w:rsidR="00F1037E" w:rsidRPr="00ED55CD">
        <w:rPr>
          <w:rFonts w:cs="Arial"/>
        </w:rPr>
        <w:t>)</w:t>
      </w:r>
      <w:r w:rsidRPr="00ED55CD">
        <w:rPr>
          <w:rFonts w:cs="Arial"/>
        </w:rPr>
        <w:t xml:space="preserve"> provides for the establishment of the Family Responsibilities Board (FR Board)</w:t>
      </w:r>
      <w:r w:rsidR="00F1037E" w:rsidRPr="00ED55CD">
        <w:rPr>
          <w:rFonts w:cs="Arial"/>
        </w:rPr>
        <w:t>. The FR Board</w:t>
      </w:r>
      <w:r w:rsidRPr="00ED55CD">
        <w:rPr>
          <w:rFonts w:cs="Arial"/>
        </w:rPr>
        <w:t xml:space="preserve"> has a mandate to</w:t>
      </w:r>
      <w:r w:rsidRPr="00E34093">
        <w:rPr>
          <w:rFonts w:cs="Arial"/>
        </w:rPr>
        <w:t xml:space="preserve"> give advice and make recommendations to the Minister about the operation of the Commission and similarly to give advice and make recommendations to the Commissioner about the performance of the Commission’s functions.</w:t>
      </w:r>
    </w:p>
    <w:p w14:paraId="44F6A5C3" w14:textId="77777777" w:rsidR="008A481F" w:rsidRPr="00ED55CD" w:rsidRDefault="008A481F" w:rsidP="008A481F">
      <w:pPr>
        <w:ind w:left="-142" w:right="-425"/>
        <w:jc w:val="both"/>
        <w:rPr>
          <w:rFonts w:cs="Arial"/>
        </w:rPr>
      </w:pPr>
    </w:p>
    <w:p w14:paraId="66498A76" w14:textId="7D28791E" w:rsidR="00536924" w:rsidRPr="008A481F" w:rsidRDefault="005F5686" w:rsidP="00EE5878">
      <w:pPr>
        <w:ind w:left="-142" w:right="-425"/>
        <w:jc w:val="both"/>
        <w:rPr>
          <w:rFonts w:cs="Arial"/>
        </w:rPr>
      </w:pPr>
      <w:r w:rsidRPr="00ED55CD">
        <w:rPr>
          <w:rFonts w:cs="Arial"/>
        </w:rPr>
        <w:t xml:space="preserve">The Commissioner must </w:t>
      </w:r>
      <w:r w:rsidR="00585CCD" w:rsidRPr="00ED55CD">
        <w:rPr>
          <w:rFonts w:cs="Arial"/>
        </w:rPr>
        <w:t>as soon as practical after each quarter, give the F</w:t>
      </w:r>
      <w:r w:rsidR="00F1037E" w:rsidRPr="00ED55CD">
        <w:rPr>
          <w:rFonts w:cs="Arial"/>
        </w:rPr>
        <w:t>R</w:t>
      </w:r>
      <w:r w:rsidR="00585CCD" w:rsidRPr="00ED55CD">
        <w:rPr>
          <w:rFonts w:cs="Arial"/>
        </w:rPr>
        <w:t xml:space="preserve"> Board a written report about the Commission’s operations during the period.</w:t>
      </w:r>
      <w:r w:rsidR="00585CCD" w:rsidRPr="002A42B2">
        <w:rPr>
          <w:rFonts w:cs="Arial"/>
          <w:vertAlign w:val="superscript"/>
        </w:rPr>
        <w:footnoteReference w:id="2"/>
      </w:r>
      <w:r w:rsidR="00585CCD" w:rsidRPr="00ED55CD">
        <w:rPr>
          <w:rFonts w:cs="Arial"/>
        </w:rPr>
        <w:t xml:space="preserve"> </w:t>
      </w:r>
      <w:r w:rsidR="008A481F" w:rsidRPr="00ED55CD">
        <w:rPr>
          <w:rFonts w:cs="Arial"/>
        </w:rPr>
        <w:t xml:space="preserve">This report sets out the Commission’s key operational matters for the period </w:t>
      </w:r>
      <w:r w:rsidR="003467B2" w:rsidRPr="00ED55CD">
        <w:rPr>
          <w:rFonts w:cs="Arial"/>
        </w:rPr>
        <w:t>October to December 2021.</w:t>
      </w:r>
    </w:p>
    <w:p w14:paraId="40CC71BC" w14:textId="77777777" w:rsidR="00585CCD" w:rsidRPr="00ED55CD" w:rsidRDefault="00585CCD" w:rsidP="00ED55CD">
      <w:pPr>
        <w:ind w:left="-142" w:right="-425"/>
        <w:jc w:val="both"/>
        <w:rPr>
          <w:rFonts w:cs="Arial"/>
        </w:rPr>
      </w:pPr>
    </w:p>
    <w:p w14:paraId="71A6161F" w14:textId="13740DFE" w:rsidR="00B24A0F" w:rsidRPr="00ED55CD" w:rsidRDefault="00E744F9" w:rsidP="00ED55CD">
      <w:pPr>
        <w:ind w:left="-142" w:right="-425"/>
        <w:jc w:val="both"/>
        <w:rPr>
          <w:rFonts w:cs="Arial"/>
        </w:rPr>
      </w:pPr>
      <w:r w:rsidRPr="00ED55CD">
        <w:rPr>
          <w:rFonts w:cs="Arial"/>
        </w:rPr>
        <w:t xml:space="preserve">Quantified in the table below are the activities undertaken by the Commission during </w:t>
      </w:r>
      <w:r w:rsidR="00A15FC1" w:rsidRPr="00ED55CD">
        <w:rPr>
          <w:rFonts w:cs="Arial"/>
        </w:rPr>
        <w:t xml:space="preserve">quarter </w:t>
      </w:r>
      <w:r w:rsidR="00F83C14" w:rsidRPr="00ED55CD">
        <w:rPr>
          <w:rFonts w:cs="Arial"/>
        </w:rPr>
        <w:t>5</w:t>
      </w:r>
      <w:r w:rsidR="004F2F07" w:rsidRPr="00ED55CD">
        <w:rPr>
          <w:rFonts w:cs="Arial"/>
        </w:rPr>
        <w:t>4</w:t>
      </w:r>
      <w:r w:rsidR="00281E08" w:rsidRPr="00ED55CD">
        <w:rPr>
          <w:rFonts w:cs="Arial"/>
        </w:rPr>
        <w:t xml:space="preserve"> </w:t>
      </w:r>
      <w:r w:rsidRPr="00ED55CD">
        <w:rPr>
          <w:rFonts w:cs="Arial"/>
        </w:rPr>
        <w:t>with comparisons shown to the previous quarter.</w:t>
      </w:r>
    </w:p>
    <w:p w14:paraId="0C420264" w14:textId="77777777" w:rsidR="0023544C" w:rsidRDefault="0023544C" w:rsidP="00C7128D">
      <w:pPr>
        <w:spacing w:after="120" w:line="240" w:lineRule="auto"/>
        <w:ind w:right="-425"/>
        <w:jc w:val="both"/>
        <w:rPr>
          <w:b/>
          <w:sz w:val="16"/>
          <w:szCs w:val="16"/>
        </w:rPr>
      </w:pPr>
      <w:bookmarkStart w:id="0" w:name="_Hlk38021442"/>
    </w:p>
    <w:p w14:paraId="7466B2AC" w14:textId="001A047D"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4F2F07">
        <w:rPr>
          <w:sz w:val="16"/>
          <w:szCs w:val="16"/>
        </w:rPr>
        <w:t xml:space="preserve">July </w:t>
      </w:r>
      <w:r w:rsidR="009A7C28">
        <w:rPr>
          <w:sz w:val="16"/>
          <w:szCs w:val="16"/>
        </w:rPr>
        <w:t>2021</w:t>
      </w:r>
      <w:r>
        <w:rPr>
          <w:sz w:val="16"/>
          <w:szCs w:val="16"/>
        </w:rPr>
        <w:t xml:space="preserve"> to </w:t>
      </w:r>
      <w:r w:rsidR="004F7197">
        <w:rPr>
          <w:sz w:val="16"/>
          <w:szCs w:val="16"/>
        </w:rPr>
        <w:t>3</w:t>
      </w:r>
      <w:r w:rsidR="004F2F07">
        <w:rPr>
          <w:sz w:val="16"/>
          <w:szCs w:val="16"/>
        </w:rPr>
        <w:t xml:space="preserve">1 December </w:t>
      </w:r>
      <w:r w:rsidR="00111F45">
        <w:rPr>
          <w:sz w:val="16"/>
          <w:szCs w:val="16"/>
        </w:rPr>
        <w:t>202</w:t>
      </w:r>
      <w:r w:rsidR="00D53637">
        <w:rPr>
          <w:sz w:val="16"/>
          <w:szCs w:val="16"/>
        </w:rPr>
        <w:t>1</w:t>
      </w:r>
    </w:p>
    <w:tbl>
      <w:tblPr>
        <w:tblW w:w="9389" w:type="dxa"/>
        <w:tblInd w:w="103" w:type="dxa"/>
        <w:tblLook w:val="04A0" w:firstRow="1" w:lastRow="0" w:firstColumn="1" w:lastColumn="0" w:noHBand="0" w:noVBand="1"/>
      </w:tblPr>
      <w:tblGrid>
        <w:gridCol w:w="7405"/>
        <w:gridCol w:w="992"/>
        <w:gridCol w:w="992"/>
      </w:tblGrid>
      <w:tr w:rsidR="00D53637" w:rsidRPr="00504360" w14:paraId="0784B417" w14:textId="773E2A2D" w:rsidTr="0013564C">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D53637" w:rsidRPr="00504360" w:rsidRDefault="00D53637" w:rsidP="00D53637">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18129B" w14:textId="74593A30" w:rsidR="00D53637" w:rsidRPr="00504360" w:rsidRDefault="00D53637" w:rsidP="00D53637">
            <w:pPr>
              <w:spacing w:before="60" w:line="240" w:lineRule="auto"/>
              <w:jc w:val="right"/>
              <w:rPr>
                <w:rFonts w:cs="Arial"/>
                <w:b/>
                <w:bCs/>
                <w:sz w:val="18"/>
                <w:szCs w:val="18"/>
                <w:lang w:eastAsia="en-AU"/>
              </w:rPr>
            </w:pPr>
            <w:r w:rsidRPr="00504360">
              <w:rPr>
                <w:rFonts w:cs="Arial"/>
                <w:b/>
                <w:bCs/>
                <w:sz w:val="18"/>
                <w:szCs w:val="18"/>
                <w:lang w:eastAsia="en-AU"/>
              </w:rPr>
              <w:t xml:space="preserve">Qtr </w:t>
            </w:r>
            <w:r w:rsidR="00F83C14">
              <w:rPr>
                <w:rFonts w:cs="Arial"/>
                <w:b/>
                <w:bCs/>
                <w:sz w:val="18"/>
                <w:szCs w:val="18"/>
                <w:lang w:eastAsia="en-AU"/>
              </w:rPr>
              <w:t>5</w:t>
            </w:r>
            <w:r w:rsidR="004F2F07">
              <w:rPr>
                <w:rFonts w:cs="Arial"/>
                <w:b/>
                <w:bCs/>
                <w:sz w:val="18"/>
                <w:szCs w:val="18"/>
                <w:lang w:eastAsia="en-AU"/>
              </w:rPr>
              <w:t>3</w:t>
            </w:r>
          </w:p>
        </w:tc>
        <w:tc>
          <w:tcPr>
            <w:tcW w:w="992" w:type="dxa"/>
            <w:tcBorders>
              <w:top w:val="single" w:sz="4" w:space="0" w:color="auto"/>
              <w:left w:val="single" w:sz="4" w:space="0" w:color="auto"/>
              <w:bottom w:val="single" w:sz="4" w:space="0" w:color="auto"/>
              <w:right w:val="single" w:sz="4" w:space="0" w:color="auto"/>
            </w:tcBorders>
          </w:tcPr>
          <w:p w14:paraId="26E501C0" w14:textId="2CC16C66" w:rsidR="00D53637" w:rsidRPr="00504360" w:rsidRDefault="00D53637" w:rsidP="00D53637">
            <w:pPr>
              <w:spacing w:before="60" w:line="240" w:lineRule="auto"/>
              <w:jc w:val="right"/>
              <w:rPr>
                <w:rFonts w:cs="Arial"/>
                <w:b/>
                <w:bCs/>
                <w:sz w:val="18"/>
                <w:szCs w:val="18"/>
                <w:lang w:eastAsia="en-AU"/>
              </w:rPr>
            </w:pPr>
            <w:r w:rsidRPr="00504360">
              <w:rPr>
                <w:rFonts w:cs="Arial"/>
                <w:b/>
                <w:bCs/>
                <w:sz w:val="18"/>
                <w:szCs w:val="18"/>
                <w:lang w:eastAsia="en-AU"/>
              </w:rPr>
              <w:t xml:space="preserve">Qtr </w:t>
            </w:r>
            <w:r w:rsidR="00F83C14">
              <w:rPr>
                <w:rFonts w:cs="Arial"/>
                <w:b/>
                <w:bCs/>
                <w:sz w:val="18"/>
                <w:szCs w:val="18"/>
                <w:lang w:eastAsia="en-AU"/>
              </w:rPr>
              <w:t>5</w:t>
            </w:r>
            <w:r w:rsidR="004F2F07">
              <w:rPr>
                <w:rFonts w:cs="Arial"/>
                <w:b/>
                <w:bCs/>
                <w:sz w:val="18"/>
                <w:szCs w:val="18"/>
                <w:lang w:eastAsia="en-AU"/>
              </w:rPr>
              <w:t>4</w:t>
            </w:r>
          </w:p>
        </w:tc>
      </w:tr>
      <w:tr w:rsidR="004F2F07" w:rsidRPr="00504360" w14:paraId="2B1B5FCF" w14:textId="3A80F0E7"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0D4E4259" w:rsidR="004F2F07" w:rsidRPr="00504360" w:rsidRDefault="004F2F07" w:rsidP="004F2F07">
            <w:pPr>
              <w:spacing w:line="240" w:lineRule="auto"/>
              <w:rPr>
                <w:rFonts w:cs="Arial"/>
                <w:sz w:val="18"/>
                <w:szCs w:val="18"/>
                <w:lang w:eastAsia="en-AU"/>
              </w:rPr>
            </w:pPr>
            <w:r w:rsidRPr="00504360">
              <w:rPr>
                <w:rFonts w:cs="Arial"/>
                <w:sz w:val="18"/>
                <w:szCs w:val="18"/>
                <w:lang w:eastAsia="en-AU"/>
              </w:rPr>
              <w:t>Total number of notices received by the Commission</w:t>
            </w:r>
            <w:r w:rsidRPr="00504360">
              <w:rPr>
                <w:rStyle w:val="FootnoteReference"/>
                <w:sz w:val="18"/>
                <w:szCs w:val="18"/>
                <w:lang w:eastAsia="en-AU"/>
              </w:rPr>
              <w:footnoteReference w:id="3"/>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0EF57E" w14:textId="5D82FFF7" w:rsidR="004F2F07" w:rsidRPr="00733DE0" w:rsidRDefault="004F2F07" w:rsidP="004F2F07">
            <w:pPr>
              <w:spacing w:line="240" w:lineRule="auto"/>
              <w:jc w:val="right"/>
              <w:rPr>
                <w:rFonts w:cs="Arial"/>
                <w:sz w:val="18"/>
                <w:szCs w:val="18"/>
              </w:rPr>
            </w:pPr>
            <w:r w:rsidRPr="00733DE0">
              <w:rPr>
                <w:rFonts w:cs="Arial"/>
                <w:sz w:val="18"/>
                <w:szCs w:val="18"/>
              </w:rPr>
              <w:t>2,137</w:t>
            </w:r>
          </w:p>
        </w:tc>
        <w:tc>
          <w:tcPr>
            <w:tcW w:w="992" w:type="dxa"/>
            <w:tcBorders>
              <w:top w:val="single" w:sz="4" w:space="0" w:color="auto"/>
              <w:left w:val="single" w:sz="4" w:space="0" w:color="auto"/>
              <w:bottom w:val="single" w:sz="4" w:space="0" w:color="auto"/>
              <w:right w:val="single" w:sz="4" w:space="0" w:color="auto"/>
            </w:tcBorders>
          </w:tcPr>
          <w:p w14:paraId="7FA692B3" w14:textId="706382D1" w:rsidR="004F2F07" w:rsidRPr="00733DE0" w:rsidRDefault="00E330DF" w:rsidP="004F2F07">
            <w:pPr>
              <w:spacing w:line="240" w:lineRule="auto"/>
              <w:jc w:val="right"/>
              <w:rPr>
                <w:rFonts w:cs="Arial"/>
                <w:sz w:val="18"/>
                <w:szCs w:val="18"/>
              </w:rPr>
            </w:pPr>
            <w:r>
              <w:rPr>
                <w:rFonts w:cs="Arial"/>
                <w:sz w:val="18"/>
                <w:szCs w:val="18"/>
              </w:rPr>
              <w:t>2,0</w:t>
            </w:r>
            <w:r w:rsidR="00D305F6">
              <w:rPr>
                <w:rFonts w:cs="Arial"/>
                <w:sz w:val="18"/>
                <w:szCs w:val="18"/>
              </w:rPr>
              <w:t>51</w:t>
            </w:r>
          </w:p>
        </w:tc>
      </w:tr>
      <w:tr w:rsidR="004F2F07" w:rsidRPr="00504360" w14:paraId="624B7E23" w14:textId="3456D37D"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B61E1FF" w14:textId="384922C7" w:rsidR="004F2F07" w:rsidRPr="00504360" w:rsidRDefault="004F2F07" w:rsidP="004F2F07">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7E321" w14:textId="47814352" w:rsidR="004F2F07" w:rsidRPr="00733DE0" w:rsidRDefault="004F2F07" w:rsidP="004F2F07">
            <w:pPr>
              <w:spacing w:line="240" w:lineRule="auto"/>
              <w:jc w:val="right"/>
              <w:rPr>
                <w:rFonts w:cs="Arial"/>
                <w:sz w:val="18"/>
                <w:szCs w:val="18"/>
              </w:rPr>
            </w:pPr>
            <w:r w:rsidRPr="00733DE0">
              <w:rPr>
                <w:rFonts w:cs="Arial"/>
                <w:sz w:val="18"/>
                <w:szCs w:val="18"/>
              </w:rPr>
              <w:t>1,096</w:t>
            </w:r>
          </w:p>
        </w:tc>
        <w:tc>
          <w:tcPr>
            <w:tcW w:w="992" w:type="dxa"/>
            <w:tcBorders>
              <w:top w:val="single" w:sz="4" w:space="0" w:color="auto"/>
              <w:left w:val="single" w:sz="4" w:space="0" w:color="auto"/>
              <w:bottom w:val="single" w:sz="4" w:space="0" w:color="auto"/>
              <w:right w:val="single" w:sz="4" w:space="0" w:color="auto"/>
            </w:tcBorders>
          </w:tcPr>
          <w:p w14:paraId="01FC42FF" w14:textId="11303AC6" w:rsidR="004F2F07" w:rsidRPr="00733DE0" w:rsidRDefault="00E330DF" w:rsidP="004F2F07">
            <w:pPr>
              <w:spacing w:line="240" w:lineRule="auto"/>
              <w:jc w:val="right"/>
              <w:rPr>
                <w:rFonts w:cs="Arial"/>
                <w:sz w:val="18"/>
                <w:szCs w:val="18"/>
              </w:rPr>
            </w:pPr>
            <w:r>
              <w:rPr>
                <w:rFonts w:cs="Arial"/>
                <w:sz w:val="18"/>
                <w:szCs w:val="18"/>
              </w:rPr>
              <w:t>1,1</w:t>
            </w:r>
            <w:r w:rsidR="00D305F6">
              <w:rPr>
                <w:rFonts w:cs="Arial"/>
                <w:sz w:val="18"/>
                <w:szCs w:val="18"/>
              </w:rPr>
              <w:t>10</w:t>
            </w:r>
          </w:p>
        </w:tc>
      </w:tr>
      <w:tr w:rsidR="004F2F07" w:rsidRPr="00504360" w14:paraId="387F01C7" w14:textId="45A2E948"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55DD30" w14:textId="72D55FA5" w:rsidR="004F2F07" w:rsidRPr="00504360" w:rsidRDefault="004F2F07" w:rsidP="004F2F07">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not 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137253" w14:textId="3F9B1695" w:rsidR="004F2F07" w:rsidRPr="00733DE0" w:rsidRDefault="004F2F07" w:rsidP="004F2F07">
            <w:pPr>
              <w:spacing w:line="240" w:lineRule="auto"/>
              <w:jc w:val="right"/>
              <w:rPr>
                <w:rFonts w:cs="Arial"/>
                <w:sz w:val="18"/>
                <w:szCs w:val="18"/>
              </w:rPr>
            </w:pPr>
            <w:r w:rsidRPr="00733DE0">
              <w:rPr>
                <w:rFonts w:cs="Arial"/>
                <w:sz w:val="18"/>
                <w:szCs w:val="18"/>
              </w:rPr>
              <w:t>1,041</w:t>
            </w:r>
          </w:p>
        </w:tc>
        <w:tc>
          <w:tcPr>
            <w:tcW w:w="992" w:type="dxa"/>
            <w:tcBorders>
              <w:top w:val="single" w:sz="4" w:space="0" w:color="auto"/>
              <w:left w:val="single" w:sz="4" w:space="0" w:color="auto"/>
              <w:bottom w:val="single" w:sz="4" w:space="0" w:color="auto"/>
              <w:right w:val="single" w:sz="4" w:space="0" w:color="auto"/>
            </w:tcBorders>
          </w:tcPr>
          <w:p w14:paraId="15DC554A" w14:textId="69592985" w:rsidR="004F2F07" w:rsidRPr="00733DE0" w:rsidRDefault="00E330DF" w:rsidP="004F2F07">
            <w:pPr>
              <w:spacing w:line="240" w:lineRule="auto"/>
              <w:jc w:val="right"/>
              <w:rPr>
                <w:rFonts w:cs="Arial"/>
                <w:sz w:val="18"/>
                <w:szCs w:val="18"/>
              </w:rPr>
            </w:pPr>
            <w:r>
              <w:rPr>
                <w:rFonts w:cs="Arial"/>
                <w:sz w:val="18"/>
                <w:szCs w:val="18"/>
              </w:rPr>
              <w:t>941</w:t>
            </w:r>
          </w:p>
        </w:tc>
      </w:tr>
      <w:tr w:rsidR="004F2F07" w:rsidRPr="00504360" w14:paraId="5B71472F" w14:textId="40C0B21A"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8542D45" w14:textId="3B7AB833" w:rsidR="004F2F07" w:rsidRPr="00504360" w:rsidRDefault="004F2F07" w:rsidP="004F2F07">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96AF6" w14:textId="07FD4E0A" w:rsidR="004F2F07" w:rsidRPr="00733DE0" w:rsidRDefault="004F2F07" w:rsidP="004F2F07">
            <w:pPr>
              <w:spacing w:line="240" w:lineRule="auto"/>
              <w:jc w:val="right"/>
              <w:rPr>
                <w:rFonts w:cs="Arial"/>
                <w:sz w:val="18"/>
                <w:szCs w:val="18"/>
                <w:lang w:eastAsia="en-AU"/>
              </w:rPr>
            </w:pPr>
            <w:r w:rsidRPr="00733DE0">
              <w:rPr>
                <w:rFonts w:cs="Arial"/>
                <w:sz w:val="18"/>
                <w:szCs w:val="18"/>
              </w:rPr>
              <w:t>568</w:t>
            </w:r>
          </w:p>
        </w:tc>
        <w:tc>
          <w:tcPr>
            <w:tcW w:w="992" w:type="dxa"/>
            <w:tcBorders>
              <w:top w:val="single" w:sz="4" w:space="0" w:color="auto"/>
              <w:left w:val="single" w:sz="4" w:space="0" w:color="auto"/>
              <w:bottom w:val="single" w:sz="4" w:space="0" w:color="auto"/>
              <w:right w:val="single" w:sz="4" w:space="0" w:color="auto"/>
            </w:tcBorders>
            <w:vAlign w:val="center"/>
          </w:tcPr>
          <w:p w14:paraId="3B7D6E74" w14:textId="2441A955" w:rsidR="004F2F07" w:rsidRPr="00733DE0" w:rsidRDefault="00E330DF" w:rsidP="004F2F07">
            <w:pPr>
              <w:spacing w:line="240" w:lineRule="auto"/>
              <w:jc w:val="right"/>
              <w:rPr>
                <w:rFonts w:cs="Arial"/>
                <w:sz w:val="18"/>
                <w:szCs w:val="18"/>
              </w:rPr>
            </w:pPr>
            <w:r>
              <w:rPr>
                <w:rFonts w:cs="Arial"/>
                <w:sz w:val="18"/>
                <w:szCs w:val="18"/>
              </w:rPr>
              <w:t>57</w:t>
            </w:r>
            <w:r w:rsidR="00D305F6">
              <w:rPr>
                <w:rFonts w:cs="Arial"/>
                <w:sz w:val="18"/>
                <w:szCs w:val="18"/>
              </w:rPr>
              <w:t>9</w:t>
            </w:r>
          </w:p>
        </w:tc>
      </w:tr>
      <w:tr w:rsidR="00F83C14" w:rsidRPr="00504360" w14:paraId="5B70DF90" w14:textId="56033E44" w:rsidTr="00C30DBC">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79B93333" w14:textId="77777777" w:rsidR="00F83C14" w:rsidRPr="00504360" w:rsidRDefault="00F83C14" w:rsidP="00F83C14">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EE2223" w14:textId="4F2F592A" w:rsidR="00F83C14" w:rsidRPr="00733DE0" w:rsidRDefault="00F83C14" w:rsidP="00F83C14">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578A6A5" w14:textId="1212EF7D" w:rsidR="00F83C14" w:rsidRPr="00733DE0" w:rsidRDefault="00F83C14" w:rsidP="00F83C14">
            <w:pPr>
              <w:spacing w:line="240" w:lineRule="auto"/>
              <w:jc w:val="right"/>
              <w:rPr>
                <w:rFonts w:cs="Arial"/>
                <w:sz w:val="18"/>
                <w:szCs w:val="18"/>
              </w:rPr>
            </w:pPr>
          </w:p>
        </w:tc>
      </w:tr>
      <w:tr w:rsidR="00F83C14" w:rsidRPr="00504360" w14:paraId="4598B56C"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4812E09" w14:textId="19E82BF4" w:rsidR="00F83C14" w:rsidRPr="001E2C9A" w:rsidRDefault="00F83C14" w:rsidP="00F83C14">
            <w:pPr>
              <w:spacing w:line="240" w:lineRule="auto"/>
              <w:rPr>
                <w:rFonts w:cs="Arial"/>
                <w:b/>
                <w:bCs/>
                <w:sz w:val="18"/>
                <w:szCs w:val="18"/>
                <w:lang w:eastAsia="en-AU"/>
              </w:rPr>
            </w:pPr>
            <w:r w:rsidRPr="0041058E">
              <w:rPr>
                <w:rFonts w:cs="Arial"/>
                <w:b/>
                <w:bCs/>
                <w:sz w:val="18"/>
                <w:szCs w:val="18"/>
                <w:lang w:eastAsia="en-AU"/>
              </w:rPr>
              <w:t>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CFF46B" w14:textId="77777777" w:rsidR="00F83C14" w:rsidRPr="00733DE0" w:rsidRDefault="00F83C14" w:rsidP="00F83C14">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6E0B551" w14:textId="77777777" w:rsidR="00F83C14" w:rsidRPr="00733DE0" w:rsidRDefault="00F83C14" w:rsidP="00F83C14">
            <w:pPr>
              <w:spacing w:line="240" w:lineRule="auto"/>
              <w:jc w:val="right"/>
              <w:rPr>
                <w:rFonts w:cs="Arial"/>
                <w:sz w:val="18"/>
                <w:szCs w:val="18"/>
              </w:rPr>
            </w:pPr>
          </w:p>
        </w:tc>
      </w:tr>
      <w:tr w:rsidR="002D2253" w:rsidRPr="00504360" w14:paraId="357F6E2A"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CD2AEC3" w14:textId="72F76CB9" w:rsidR="002D2253" w:rsidRPr="0041058E" w:rsidRDefault="002D2253" w:rsidP="002D2253">
            <w:pPr>
              <w:spacing w:line="240" w:lineRule="auto"/>
              <w:rPr>
                <w:rFonts w:cs="Arial"/>
                <w:b/>
                <w:bCs/>
                <w:sz w:val="18"/>
                <w:szCs w:val="18"/>
                <w:lang w:eastAsia="en-AU"/>
              </w:rPr>
            </w:pPr>
            <w:r w:rsidRPr="00504360">
              <w:rPr>
                <w:rFonts w:cs="Arial"/>
                <w:sz w:val="18"/>
                <w:szCs w:val="18"/>
                <w:lang w:eastAsia="en-AU"/>
              </w:rPr>
              <w:t>Conferences conducted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76501" w14:textId="2B6FC30C" w:rsidR="002D2253" w:rsidRPr="00733DE0" w:rsidRDefault="002D2253" w:rsidP="002D2253">
            <w:pPr>
              <w:spacing w:line="240" w:lineRule="auto"/>
              <w:jc w:val="right"/>
              <w:rPr>
                <w:rFonts w:cs="Arial"/>
                <w:sz w:val="18"/>
                <w:szCs w:val="18"/>
              </w:rPr>
            </w:pPr>
            <w:r w:rsidRPr="00733DE0">
              <w:rPr>
                <w:rFonts w:cs="Arial"/>
                <w:sz w:val="18"/>
                <w:szCs w:val="18"/>
              </w:rPr>
              <w:t>396</w:t>
            </w:r>
          </w:p>
        </w:tc>
        <w:tc>
          <w:tcPr>
            <w:tcW w:w="992" w:type="dxa"/>
            <w:tcBorders>
              <w:top w:val="single" w:sz="4" w:space="0" w:color="auto"/>
              <w:left w:val="single" w:sz="4" w:space="0" w:color="auto"/>
              <w:bottom w:val="single" w:sz="4" w:space="0" w:color="auto"/>
              <w:right w:val="single" w:sz="4" w:space="0" w:color="auto"/>
            </w:tcBorders>
            <w:vAlign w:val="center"/>
          </w:tcPr>
          <w:p w14:paraId="7A3A9BFF" w14:textId="5625BEDB" w:rsidR="002D2253" w:rsidRPr="002D2253" w:rsidRDefault="002D2253" w:rsidP="002D2253">
            <w:pPr>
              <w:spacing w:line="240" w:lineRule="auto"/>
              <w:jc w:val="right"/>
              <w:rPr>
                <w:rFonts w:cs="Arial"/>
                <w:sz w:val="18"/>
                <w:szCs w:val="18"/>
              </w:rPr>
            </w:pPr>
            <w:r w:rsidRPr="002D2253">
              <w:rPr>
                <w:rFonts w:cs="Arial"/>
                <w:sz w:val="18"/>
                <w:szCs w:val="18"/>
              </w:rPr>
              <w:t>335</w:t>
            </w:r>
          </w:p>
        </w:tc>
      </w:tr>
      <w:tr w:rsidR="002D2253" w:rsidRPr="00504360" w14:paraId="6640BF7C" w14:textId="109DF005"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42488895" w:rsidR="002D2253" w:rsidRPr="00504360" w:rsidRDefault="002D2253" w:rsidP="002D2253">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00172A" w14:textId="324F926A" w:rsidR="002D2253" w:rsidRPr="00733DE0" w:rsidRDefault="002D2253" w:rsidP="002D2253">
            <w:pPr>
              <w:spacing w:line="240" w:lineRule="auto"/>
              <w:jc w:val="right"/>
              <w:rPr>
                <w:rFonts w:cs="Arial"/>
                <w:sz w:val="18"/>
                <w:szCs w:val="18"/>
              </w:rPr>
            </w:pPr>
            <w:r w:rsidRPr="00733DE0">
              <w:rPr>
                <w:rFonts w:cs="Arial"/>
                <w:sz w:val="18"/>
                <w:szCs w:val="18"/>
              </w:rPr>
              <w:t>313</w:t>
            </w:r>
          </w:p>
        </w:tc>
        <w:tc>
          <w:tcPr>
            <w:tcW w:w="992" w:type="dxa"/>
            <w:tcBorders>
              <w:top w:val="single" w:sz="4" w:space="0" w:color="auto"/>
              <w:left w:val="single" w:sz="4" w:space="0" w:color="auto"/>
              <w:bottom w:val="single" w:sz="4" w:space="0" w:color="auto"/>
              <w:right w:val="single" w:sz="4" w:space="0" w:color="auto"/>
            </w:tcBorders>
            <w:vAlign w:val="center"/>
          </w:tcPr>
          <w:p w14:paraId="160DAEC2" w14:textId="0117AF9A" w:rsidR="002D2253" w:rsidRPr="002D2253" w:rsidRDefault="002D2253" w:rsidP="002D2253">
            <w:pPr>
              <w:spacing w:line="240" w:lineRule="auto"/>
              <w:jc w:val="right"/>
              <w:rPr>
                <w:rFonts w:cs="Arial"/>
                <w:sz w:val="18"/>
                <w:szCs w:val="18"/>
              </w:rPr>
            </w:pPr>
            <w:r w:rsidRPr="002D2253">
              <w:rPr>
                <w:rFonts w:cs="Arial"/>
                <w:sz w:val="18"/>
                <w:szCs w:val="18"/>
              </w:rPr>
              <w:t>272</w:t>
            </w:r>
          </w:p>
        </w:tc>
      </w:tr>
      <w:tr w:rsidR="002D2253" w:rsidRPr="00504360" w14:paraId="5461BF2B" w14:textId="7F70F316"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047EE781" w:rsidR="002D2253" w:rsidRPr="00504360" w:rsidRDefault="002D2253" w:rsidP="002D2253">
            <w:pPr>
              <w:spacing w:line="240" w:lineRule="auto"/>
              <w:rPr>
                <w:rFonts w:cs="Arial"/>
                <w:sz w:val="18"/>
                <w:szCs w:val="18"/>
                <w:lang w:eastAsia="en-AU"/>
              </w:rPr>
            </w:pPr>
            <w:r w:rsidRPr="0041058E">
              <w:rPr>
                <w:rFonts w:cs="Arial"/>
                <w:sz w:val="18"/>
                <w:szCs w:val="18"/>
                <w:lang w:eastAsia="en-AU"/>
              </w:rPr>
              <w:t>Attendance percentage for 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62DFC" w14:textId="394C37EE" w:rsidR="002D2253" w:rsidRPr="00733DE0" w:rsidRDefault="002D2253" w:rsidP="002D2253">
            <w:pPr>
              <w:spacing w:line="240" w:lineRule="auto"/>
              <w:jc w:val="right"/>
              <w:rPr>
                <w:rFonts w:cs="Arial"/>
                <w:sz w:val="18"/>
                <w:szCs w:val="18"/>
                <w:lang w:eastAsia="en-AU"/>
              </w:rPr>
            </w:pPr>
            <w:r w:rsidRPr="00733DE0">
              <w:rPr>
                <w:rFonts w:cs="Arial"/>
                <w:sz w:val="18"/>
                <w:szCs w:val="18"/>
              </w:rPr>
              <w:t>54%</w:t>
            </w:r>
          </w:p>
        </w:tc>
        <w:tc>
          <w:tcPr>
            <w:tcW w:w="992" w:type="dxa"/>
            <w:tcBorders>
              <w:top w:val="single" w:sz="4" w:space="0" w:color="auto"/>
              <w:left w:val="single" w:sz="4" w:space="0" w:color="auto"/>
              <w:bottom w:val="single" w:sz="4" w:space="0" w:color="auto"/>
              <w:right w:val="single" w:sz="4" w:space="0" w:color="auto"/>
            </w:tcBorders>
            <w:vAlign w:val="center"/>
          </w:tcPr>
          <w:p w14:paraId="2B2A8376" w14:textId="0E25E93A" w:rsidR="002D2253" w:rsidRPr="002D2253" w:rsidRDefault="002D2253" w:rsidP="002D2253">
            <w:pPr>
              <w:spacing w:line="240" w:lineRule="auto"/>
              <w:jc w:val="right"/>
              <w:rPr>
                <w:rFonts w:cs="Arial"/>
                <w:sz w:val="18"/>
                <w:szCs w:val="18"/>
              </w:rPr>
            </w:pPr>
            <w:r w:rsidRPr="002D2253">
              <w:rPr>
                <w:rFonts w:cs="Arial"/>
                <w:sz w:val="18"/>
                <w:szCs w:val="18"/>
              </w:rPr>
              <w:t>61%</w:t>
            </w:r>
          </w:p>
        </w:tc>
      </w:tr>
      <w:tr w:rsidR="002D2253" w:rsidRPr="00504360" w14:paraId="71489B13" w14:textId="19021212"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1383F4C4" w:rsidR="002D2253" w:rsidRPr="00504360" w:rsidRDefault="002D2253" w:rsidP="002D2253">
            <w:pPr>
              <w:spacing w:line="240" w:lineRule="auto"/>
              <w:rPr>
                <w:rFonts w:cs="Arial"/>
                <w:sz w:val="18"/>
                <w:szCs w:val="18"/>
                <w:lang w:eastAsia="en-AU"/>
              </w:rPr>
            </w:pPr>
            <w:r w:rsidRPr="00E10506">
              <w:rPr>
                <w:rFonts w:cs="Arial"/>
                <w:sz w:val="18"/>
                <w:szCs w:val="18"/>
                <w:lang w:eastAsia="en-AU"/>
              </w:rPr>
              <w:t>Non-attendance percentage with acceptable (reasonable) excuse for 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8F4389" w14:textId="77BA360D" w:rsidR="002D2253" w:rsidRPr="00733DE0" w:rsidRDefault="002D2253" w:rsidP="002D2253">
            <w:pPr>
              <w:spacing w:line="240" w:lineRule="auto"/>
              <w:jc w:val="right"/>
              <w:rPr>
                <w:rFonts w:cs="Arial"/>
                <w:sz w:val="18"/>
                <w:szCs w:val="18"/>
                <w:lang w:eastAsia="en-AU"/>
              </w:rPr>
            </w:pPr>
            <w:r w:rsidRPr="00733DE0">
              <w:rPr>
                <w:rFonts w:cs="Arial"/>
                <w:sz w:val="18"/>
                <w:szCs w:val="18"/>
              </w:rPr>
              <w:t>26%</w:t>
            </w:r>
          </w:p>
        </w:tc>
        <w:tc>
          <w:tcPr>
            <w:tcW w:w="992" w:type="dxa"/>
            <w:tcBorders>
              <w:top w:val="single" w:sz="4" w:space="0" w:color="auto"/>
              <w:left w:val="single" w:sz="4" w:space="0" w:color="auto"/>
              <w:bottom w:val="single" w:sz="4" w:space="0" w:color="auto"/>
              <w:right w:val="single" w:sz="4" w:space="0" w:color="auto"/>
            </w:tcBorders>
            <w:vAlign w:val="center"/>
          </w:tcPr>
          <w:p w14:paraId="7F7C0BF6" w14:textId="5F710A42" w:rsidR="002D2253" w:rsidRPr="002D2253" w:rsidRDefault="002D2253" w:rsidP="002D2253">
            <w:pPr>
              <w:spacing w:line="240" w:lineRule="auto"/>
              <w:jc w:val="right"/>
              <w:rPr>
                <w:rFonts w:cs="Arial"/>
                <w:sz w:val="18"/>
                <w:szCs w:val="18"/>
                <w:lang w:eastAsia="en-AU"/>
              </w:rPr>
            </w:pPr>
            <w:r w:rsidRPr="002D2253">
              <w:rPr>
                <w:rFonts w:cs="Arial"/>
                <w:sz w:val="18"/>
                <w:szCs w:val="18"/>
              </w:rPr>
              <w:t>23%</w:t>
            </w:r>
          </w:p>
        </w:tc>
      </w:tr>
      <w:tr w:rsidR="00F83C14" w:rsidRPr="00504360" w14:paraId="000DC7AD" w14:textId="54E3CAE3" w:rsidTr="00C30DBC">
        <w:trPr>
          <w:trHeight w:val="152"/>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F83C14" w:rsidRPr="00504360" w:rsidRDefault="00F83C14" w:rsidP="00F83C14">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5933B" w14:textId="5B8348A1" w:rsidR="00F83C14" w:rsidRPr="00733DE0" w:rsidRDefault="00F83C14" w:rsidP="00F83C14">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1EB3D4F" w14:textId="7241B03E" w:rsidR="00F83C14" w:rsidRPr="00733DE0" w:rsidRDefault="00F83C14" w:rsidP="00F83C14">
            <w:pPr>
              <w:spacing w:line="240" w:lineRule="auto"/>
              <w:jc w:val="right"/>
              <w:rPr>
                <w:rFonts w:cs="Arial"/>
                <w:sz w:val="18"/>
                <w:szCs w:val="18"/>
                <w:lang w:eastAsia="en-AU"/>
              </w:rPr>
            </w:pPr>
          </w:p>
        </w:tc>
      </w:tr>
      <w:tr w:rsidR="00F83C14" w:rsidRPr="00504360" w14:paraId="242866B2" w14:textId="789BC72D"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6FFCCD1B" w:rsidR="00F83C14" w:rsidRPr="00504360" w:rsidRDefault="00F83C14" w:rsidP="00F83C14">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9FCFB" w14:textId="740AB4BC" w:rsidR="00F83C14" w:rsidRPr="00733DE0" w:rsidRDefault="00F83C14" w:rsidP="00F83C14">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B35147E" w14:textId="43A45BA1" w:rsidR="00F83C14" w:rsidRPr="00733DE0" w:rsidRDefault="00F83C14" w:rsidP="00F83C14">
            <w:pPr>
              <w:spacing w:line="240" w:lineRule="auto"/>
              <w:jc w:val="right"/>
              <w:rPr>
                <w:rFonts w:cs="Arial"/>
                <w:sz w:val="18"/>
                <w:szCs w:val="18"/>
                <w:lang w:eastAsia="en-AU"/>
              </w:rPr>
            </w:pPr>
          </w:p>
        </w:tc>
      </w:tr>
      <w:tr w:rsidR="002D2253" w:rsidRPr="00504360" w14:paraId="5D7BAD0E" w14:textId="0E5FE51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2D2253" w:rsidRPr="00504360" w:rsidRDefault="002D2253" w:rsidP="002D2253">
            <w:pPr>
              <w:spacing w:line="240" w:lineRule="auto"/>
              <w:rPr>
                <w:rFonts w:cs="Arial"/>
                <w:sz w:val="18"/>
                <w:szCs w:val="18"/>
                <w:lang w:eastAsia="en-AU"/>
              </w:rPr>
            </w:pPr>
            <w:r w:rsidRPr="00504360">
              <w:rPr>
                <w:rFonts w:cs="Arial"/>
                <w:sz w:val="18"/>
                <w:szCs w:val="18"/>
              </w:rPr>
              <w:t>Agreements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0A131D" w14:textId="5161FA81" w:rsidR="002D2253" w:rsidRPr="00733DE0" w:rsidRDefault="002D2253" w:rsidP="002D2253">
            <w:pPr>
              <w:spacing w:line="240" w:lineRule="auto"/>
              <w:jc w:val="right"/>
              <w:rPr>
                <w:rFonts w:cs="Arial"/>
                <w:sz w:val="18"/>
                <w:szCs w:val="18"/>
                <w:lang w:eastAsia="en-AU"/>
              </w:rPr>
            </w:pPr>
            <w:r w:rsidRPr="00733DE0">
              <w:rPr>
                <w:rFonts w:cs="Arial"/>
                <w:sz w:val="18"/>
                <w:szCs w:val="18"/>
              </w:rPr>
              <w:t>89</w:t>
            </w:r>
          </w:p>
        </w:tc>
        <w:tc>
          <w:tcPr>
            <w:tcW w:w="992" w:type="dxa"/>
            <w:tcBorders>
              <w:top w:val="single" w:sz="4" w:space="0" w:color="auto"/>
              <w:left w:val="single" w:sz="4" w:space="0" w:color="auto"/>
              <w:bottom w:val="single" w:sz="4" w:space="0" w:color="auto"/>
              <w:right w:val="single" w:sz="4" w:space="0" w:color="auto"/>
            </w:tcBorders>
            <w:vAlign w:val="center"/>
          </w:tcPr>
          <w:p w14:paraId="0FE4697E" w14:textId="686A74B0" w:rsidR="002D2253" w:rsidRPr="002D2253" w:rsidRDefault="002D2253" w:rsidP="002D2253">
            <w:pPr>
              <w:spacing w:line="240" w:lineRule="auto"/>
              <w:jc w:val="right"/>
              <w:rPr>
                <w:rFonts w:cs="Arial"/>
                <w:sz w:val="18"/>
                <w:szCs w:val="18"/>
              </w:rPr>
            </w:pPr>
            <w:r w:rsidRPr="002D2253">
              <w:rPr>
                <w:rFonts w:cs="Arial"/>
                <w:sz w:val="18"/>
                <w:szCs w:val="18"/>
              </w:rPr>
              <w:t>73</w:t>
            </w:r>
          </w:p>
        </w:tc>
      </w:tr>
      <w:tr w:rsidR="002D2253" w:rsidRPr="00504360" w14:paraId="2EEF3859" w14:textId="48AFBAD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2D2253" w:rsidRPr="00504360" w:rsidRDefault="002D2253" w:rsidP="002D2253">
            <w:pPr>
              <w:spacing w:line="240" w:lineRule="auto"/>
              <w:rPr>
                <w:rFonts w:cs="Arial"/>
                <w:sz w:val="18"/>
                <w:szCs w:val="18"/>
                <w:lang w:eastAsia="en-AU"/>
              </w:rPr>
            </w:pPr>
            <w:r w:rsidRPr="00504360">
              <w:rPr>
                <w:rFonts w:cs="Arial"/>
                <w:sz w:val="18"/>
                <w:szCs w:val="18"/>
              </w:rPr>
              <w:t>Orders made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FCA38" w14:textId="0178E50B" w:rsidR="002D2253" w:rsidRPr="00733DE0" w:rsidRDefault="002D2253" w:rsidP="002D2253">
            <w:pPr>
              <w:spacing w:line="240" w:lineRule="auto"/>
              <w:jc w:val="right"/>
              <w:rPr>
                <w:rFonts w:cs="Arial"/>
                <w:sz w:val="18"/>
                <w:szCs w:val="18"/>
                <w:lang w:eastAsia="en-AU"/>
              </w:rPr>
            </w:pPr>
            <w:r w:rsidRPr="00733DE0">
              <w:rPr>
                <w:rFonts w:cs="Arial"/>
                <w:sz w:val="18"/>
                <w:szCs w:val="18"/>
              </w:rPr>
              <w:t>51</w:t>
            </w:r>
          </w:p>
        </w:tc>
        <w:tc>
          <w:tcPr>
            <w:tcW w:w="992" w:type="dxa"/>
            <w:tcBorders>
              <w:top w:val="single" w:sz="4" w:space="0" w:color="auto"/>
              <w:left w:val="single" w:sz="4" w:space="0" w:color="auto"/>
              <w:bottom w:val="single" w:sz="4" w:space="0" w:color="auto"/>
              <w:right w:val="single" w:sz="4" w:space="0" w:color="auto"/>
            </w:tcBorders>
            <w:vAlign w:val="center"/>
          </w:tcPr>
          <w:p w14:paraId="189FF9E4" w14:textId="570B7082" w:rsidR="002D2253" w:rsidRPr="002D2253" w:rsidRDefault="002D2253" w:rsidP="002D2253">
            <w:pPr>
              <w:spacing w:line="240" w:lineRule="auto"/>
              <w:jc w:val="right"/>
              <w:rPr>
                <w:rFonts w:cs="Arial"/>
                <w:sz w:val="18"/>
                <w:szCs w:val="18"/>
              </w:rPr>
            </w:pPr>
            <w:r w:rsidRPr="002D2253">
              <w:rPr>
                <w:rFonts w:cs="Arial"/>
                <w:sz w:val="18"/>
                <w:szCs w:val="18"/>
              </w:rPr>
              <w:t>19</w:t>
            </w:r>
          </w:p>
        </w:tc>
      </w:tr>
      <w:tr w:rsidR="002D2253" w:rsidRPr="00504360" w14:paraId="6ABD7603" w14:textId="4C425840"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6622F3D" w:rsidR="002D2253" w:rsidRPr="00504360" w:rsidRDefault="002D2253" w:rsidP="002D2253">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4"/>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DAD834" w14:textId="56DDFABB" w:rsidR="002D2253" w:rsidRPr="00733DE0" w:rsidRDefault="002D2253" w:rsidP="002D2253">
            <w:pPr>
              <w:spacing w:line="240" w:lineRule="auto"/>
              <w:jc w:val="right"/>
              <w:rPr>
                <w:rFonts w:cs="Arial"/>
                <w:sz w:val="18"/>
                <w:szCs w:val="18"/>
              </w:rPr>
            </w:pPr>
            <w:r w:rsidRPr="00733DE0">
              <w:rPr>
                <w:rFonts w:cs="Arial"/>
                <w:sz w:val="18"/>
                <w:szCs w:val="18"/>
              </w:rPr>
              <w:t>157</w:t>
            </w:r>
          </w:p>
        </w:tc>
        <w:tc>
          <w:tcPr>
            <w:tcW w:w="992" w:type="dxa"/>
            <w:tcBorders>
              <w:top w:val="single" w:sz="4" w:space="0" w:color="auto"/>
              <w:left w:val="single" w:sz="4" w:space="0" w:color="auto"/>
              <w:bottom w:val="single" w:sz="4" w:space="0" w:color="auto"/>
              <w:right w:val="single" w:sz="4" w:space="0" w:color="auto"/>
            </w:tcBorders>
            <w:vAlign w:val="center"/>
          </w:tcPr>
          <w:p w14:paraId="28406079" w14:textId="6CE80CA2" w:rsidR="002D2253" w:rsidRPr="002D2253" w:rsidRDefault="002D2253" w:rsidP="002D2253">
            <w:pPr>
              <w:spacing w:line="240" w:lineRule="auto"/>
              <w:jc w:val="right"/>
              <w:rPr>
                <w:rFonts w:cs="Arial"/>
                <w:sz w:val="18"/>
                <w:szCs w:val="18"/>
              </w:rPr>
            </w:pPr>
            <w:r w:rsidRPr="002D2253">
              <w:rPr>
                <w:rFonts w:cs="Arial"/>
                <w:sz w:val="18"/>
                <w:szCs w:val="18"/>
              </w:rPr>
              <w:t>105</w:t>
            </w:r>
          </w:p>
        </w:tc>
      </w:tr>
      <w:tr w:rsidR="002D2253" w:rsidRPr="00504360" w14:paraId="2709F335"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25C9370F" w14:textId="6A13D77F" w:rsidR="002D2253" w:rsidRDefault="002D2253" w:rsidP="002D2253">
            <w:pPr>
              <w:spacing w:line="240" w:lineRule="auto"/>
              <w:rPr>
                <w:rFonts w:cs="Arial"/>
                <w:sz w:val="18"/>
                <w:szCs w:val="18"/>
                <w:lang w:eastAsia="en-AU"/>
              </w:rPr>
            </w:pPr>
            <w:r w:rsidRPr="002D2253">
              <w:rPr>
                <w:rFonts w:cs="Arial"/>
                <w:sz w:val="18"/>
                <w:szCs w:val="18"/>
                <w:lang w:eastAsia="en-AU"/>
              </w:rPr>
              <w:t>Agreements for Conditional Income Management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51EF20" w14:textId="00CC2149" w:rsidR="002D2253" w:rsidRPr="00733DE0" w:rsidRDefault="002D2253" w:rsidP="002D2253">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694F6CB3" w14:textId="1D3981CA" w:rsidR="002D2253" w:rsidRPr="002D2253" w:rsidRDefault="002D2253" w:rsidP="002D2253">
            <w:pPr>
              <w:spacing w:line="240" w:lineRule="auto"/>
              <w:jc w:val="right"/>
              <w:rPr>
                <w:rFonts w:cs="Arial"/>
                <w:sz w:val="18"/>
                <w:szCs w:val="18"/>
              </w:rPr>
            </w:pPr>
            <w:r w:rsidRPr="002D2253">
              <w:rPr>
                <w:rFonts w:cs="Arial"/>
                <w:sz w:val="18"/>
                <w:szCs w:val="18"/>
              </w:rPr>
              <w:t>1</w:t>
            </w:r>
          </w:p>
        </w:tc>
      </w:tr>
      <w:tr w:rsidR="002D2253" w:rsidRPr="00504360" w14:paraId="72AB99E7" w14:textId="283639BC"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2C481091" w:rsidR="002D2253" w:rsidRPr="00504360" w:rsidRDefault="002D2253" w:rsidP="002D2253">
            <w:pPr>
              <w:spacing w:line="240" w:lineRule="auto"/>
              <w:rPr>
                <w:rFonts w:cs="Arial"/>
                <w:sz w:val="18"/>
                <w:szCs w:val="18"/>
                <w:lang w:eastAsia="en-AU"/>
              </w:rPr>
            </w:pPr>
            <w:r w:rsidRPr="00504360">
              <w:rPr>
                <w:rFonts w:cs="Arial"/>
                <w:sz w:val="18"/>
                <w:szCs w:val="18"/>
              </w:rPr>
              <w:t>Orders made for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EB952" w14:textId="25A6DE54" w:rsidR="002D2253" w:rsidRPr="00733DE0" w:rsidRDefault="002D2253" w:rsidP="002D2253">
            <w:pPr>
              <w:spacing w:line="240" w:lineRule="auto"/>
              <w:jc w:val="right"/>
              <w:rPr>
                <w:rFonts w:cs="Arial"/>
                <w:sz w:val="18"/>
                <w:szCs w:val="18"/>
                <w:lang w:eastAsia="en-AU"/>
              </w:rPr>
            </w:pPr>
            <w:r w:rsidRPr="00733DE0">
              <w:rPr>
                <w:rFonts w:cs="Arial"/>
                <w:sz w:val="18"/>
                <w:szCs w:val="18"/>
              </w:rPr>
              <w:t>36</w:t>
            </w:r>
          </w:p>
        </w:tc>
        <w:tc>
          <w:tcPr>
            <w:tcW w:w="992" w:type="dxa"/>
            <w:tcBorders>
              <w:top w:val="single" w:sz="4" w:space="0" w:color="auto"/>
              <w:left w:val="single" w:sz="4" w:space="0" w:color="auto"/>
              <w:bottom w:val="single" w:sz="4" w:space="0" w:color="auto"/>
              <w:right w:val="single" w:sz="4" w:space="0" w:color="auto"/>
            </w:tcBorders>
            <w:vAlign w:val="center"/>
          </w:tcPr>
          <w:p w14:paraId="43519C0A" w14:textId="4234DB41" w:rsidR="002D2253" w:rsidRPr="002D2253" w:rsidRDefault="002D2253" w:rsidP="002D2253">
            <w:pPr>
              <w:spacing w:line="240" w:lineRule="auto"/>
              <w:jc w:val="right"/>
              <w:rPr>
                <w:rFonts w:cs="Arial"/>
                <w:sz w:val="18"/>
                <w:szCs w:val="18"/>
              </w:rPr>
            </w:pPr>
            <w:r w:rsidRPr="002D2253">
              <w:rPr>
                <w:rFonts w:cs="Arial"/>
                <w:sz w:val="18"/>
                <w:szCs w:val="18"/>
              </w:rPr>
              <w:t>28</w:t>
            </w:r>
          </w:p>
        </w:tc>
      </w:tr>
    </w:tbl>
    <w:p w14:paraId="2FD0CBCB" w14:textId="5E5C658B" w:rsidR="000114A6" w:rsidRDefault="000114A6"/>
    <w:p w14:paraId="19B06170" w14:textId="77777777" w:rsidR="000114A6" w:rsidRDefault="000114A6">
      <w:pPr>
        <w:spacing w:line="240" w:lineRule="auto"/>
      </w:pPr>
      <w:r>
        <w:br w:type="page"/>
      </w:r>
    </w:p>
    <w:tbl>
      <w:tblPr>
        <w:tblW w:w="9389" w:type="dxa"/>
        <w:tblInd w:w="103" w:type="dxa"/>
        <w:tblLook w:val="04A0" w:firstRow="1" w:lastRow="0" w:firstColumn="1" w:lastColumn="0" w:noHBand="0" w:noVBand="1"/>
      </w:tblPr>
      <w:tblGrid>
        <w:gridCol w:w="7405"/>
        <w:gridCol w:w="992"/>
        <w:gridCol w:w="992"/>
      </w:tblGrid>
      <w:tr w:rsidR="000114A6" w:rsidRPr="00504360" w14:paraId="4B8C25F7" w14:textId="77777777" w:rsidTr="00F44B1B">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A6A2591" w14:textId="2CA17AC3" w:rsidR="000114A6" w:rsidRPr="00504360" w:rsidRDefault="000114A6" w:rsidP="000114A6">
            <w:pPr>
              <w:spacing w:line="240" w:lineRule="auto"/>
              <w:rPr>
                <w:rFonts w:cs="Arial"/>
                <w:sz w:val="18"/>
                <w:szCs w:val="18"/>
              </w:rPr>
            </w:pPr>
            <w:r w:rsidRPr="0041058E">
              <w:rPr>
                <w:rFonts w:cs="Arial"/>
                <w:b/>
                <w:sz w:val="18"/>
                <w:szCs w:val="18"/>
                <w:lang w:eastAsia="en-AU"/>
              </w:rPr>
              <w:lastRenderedPageBreak/>
              <w:t xml:space="preserve">Amend/end </w:t>
            </w:r>
            <w:r>
              <w:rPr>
                <w:rFonts w:cs="Arial"/>
                <w:b/>
                <w:sz w:val="18"/>
                <w:szCs w:val="18"/>
                <w:lang w:eastAsia="en-AU"/>
              </w:rPr>
              <w:t>decisions</w:t>
            </w:r>
            <w:r w:rsidRPr="0041058E">
              <w:rPr>
                <w:rFonts w:cs="Arial"/>
                <w:b/>
                <w:sz w:val="18"/>
                <w:szCs w:val="18"/>
                <w:lang w:eastAsia="en-AU"/>
              </w:rPr>
              <w:t xml:space="preserve">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FEB36" w14:textId="0FBABB0A" w:rsidR="000114A6" w:rsidRPr="00733DE0" w:rsidRDefault="000114A6" w:rsidP="000114A6">
            <w:pPr>
              <w:spacing w:line="240" w:lineRule="auto"/>
              <w:jc w:val="right"/>
              <w:rPr>
                <w:rFonts w:cs="Arial"/>
                <w:sz w:val="18"/>
                <w:szCs w:val="18"/>
              </w:rPr>
            </w:pPr>
            <w:r w:rsidRPr="00504360">
              <w:rPr>
                <w:rFonts w:cs="Arial"/>
                <w:b/>
                <w:bCs/>
                <w:sz w:val="18"/>
                <w:szCs w:val="18"/>
                <w:lang w:eastAsia="en-AU"/>
              </w:rPr>
              <w:t xml:space="preserve">Qtr </w:t>
            </w:r>
            <w:r>
              <w:rPr>
                <w:rFonts w:cs="Arial"/>
                <w:b/>
                <w:bCs/>
                <w:sz w:val="18"/>
                <w:szCs w:val="18"/>
                <w:lang w:eastAsia="en-AU"/>
              </w:rPr>
              <w:t>53</w:t>
            </w:r>
          </w:p>
        </w:tc>
        <w:tc>
          <w:tcPr>
            <w:tcW w:w="992" w:type="dxa"/>
            <w:tcBorders>
              <w:top w:val="single" w:sz="4" w:space="0" w:color="auto"/>
              <w:left w:val="single" w:sz="4" w:space="0" w:color="auto"/>
              <w:bottom w:val="single" w:sz="4" w:space="0" w:color="auto"/>
              <w:right w:val="single" w:sz="4" w:space="0" w:color="auto"/>
            </w:tcBorders>
          </w:tcPr>
          <w:p w14:paraId="4A5F7805" w14:textId="09A62256" w:rsidR="000114A6" w:rsidRPr="00733DE0" w:rsidRDefault="000114A6" w:rsidP="000114A6">
            <w:pPr>
              <w:spacing w:line="240" w:lineRule="auto"/>
              <w:jc w:val="right"/>
              <w:rPr>
                <w:rFonts w:cs="Arial"/>
                <w:sz w:val="18"/>
                <w:szCs w:val="18"/>
              </w:rPr>
            </w:pPr>
            <w:r w:rsidRPr="00504360">
              <w:rPr>
                <w:rFonts w:cs="Arial"/>
                <w:b/>
                <w:bCs/>
                <w:sz w:val="18"/>
                <w:szCs w:val="18"/>
                <w:lang w:eastAsia="en-AU"/>
              </w:rPr>
              <w:t xml:space="preserve">Qtr </w:t>
            </w:r>
            <w:r>
              <w:rPr>
                <w:rFonts w:cs="Arial"/>
                <w:b/>
                <w:bCs/>
                <w:sz w:val="18"/>
                <w:szCs w:val="18"/>
                <w:lang w:eastAsia="en-AU"/>
              </w:rPr>
              <w:t>54</w:t>
            </w:r>
          </w:p>
        </w:tc>
      </w:tr>
      <w:tr w:rsidR="002D2253" w:rsidRPr="00504360" w14:paraId="0F426218" w14:textId="77777777" w:rsidTr="00AC791D">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776A41F8" w14:textId="70D6C571" w:rsidR="002D2253" w:rsidRPr="00504360" w:rsidRDefault="002D2253" w:rsidP="002D2253">
            <w:pPr>
              <w:spacing w:line="240" w:lineRule="auto"/>
              <w:rPr>
                <w:rFonts w:cs="Arial"/>
                <w:sz w:val="18"/>
                <w:szCs w:val="18"/>
              </w:rPr>
            </w:pPr>
            <w:r>
              <w:rPr>
                <w:rFonts w:cs="Arial"/>
                <w:sz w:val="18"/>
                <w:szCs w:val="18"/>
              </w:rPr>
              <w:t>Accepted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1D1B6" w14:textId="20C4E128" w:rsidR="002D2253" w:rsidRPr="00733DE0" w:rsidRDefault="002D2253" w:rsidP="002D2253">
            <w:pPr>
              <w:spacing w:line="240" w:lineRule="auto"/>
              <w:jc w:val="right"/>
              <w:rPr>
                <w:rFonts w:cs="Arial"/>
                <w:sz w:val="18"/>
                <w:szCs w:val="18"/>
              </w:rPr>
            </w:pPr>
            <w:r w:rsidRPr="00733DE0">
              <w:rPr>
                <w:rFonts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tcPr>
          <w:p w14:paraId="23870E75" w14:textId="78307217" w:rsidR="002D2253" w:rsidRPr="002D2253" w:rsidRDefault="002D2253" w:rsidP="002D2253">
            <w:pPr>
              <w:spacing w:line="240" w:lineRule="auto"/>
              <w:jc w:val="right"/>
              <w:rPr>
                <w:rFonts w:cs="Arial"/>
                <w:sz w:val="18"/>
                <w:szCs w:val="18"/>
              </w:rPr>
            </w:pPr>
            <w:r w:rsidRPr="002D2253">
              <w:rPr>
                <w:rFonts w:cs="Arial"/>
                <w:sz w:val="18"/>
                <w:szCs w:val="18"/>
              </w:rPr>
              <w:t>75%</w:t>
            </w:r>
          </w:p>
        </w:tc>
      </w:tr>
      <w:tr w:rsidR="002D2253" w:rsidRPr="00504360" w14:paraId="09FA7CF5" w14:textId="77777777" w:rsidTr="00AC791D">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4A8C91F8" w14:textId="6F6CD011" w:rsidR="002D2253" w:rsidRPr="00504360" w:rsidRDefault="002D2253" w:rsidP="002D2253">
            <w:pPr>
              <w:spacing w:line="240" w:lineRule="auto"/>
              <w:rPr>
                <w:rFonts w:cs="Arial"/>
                <w:sz w:val="18"/>
                <w:szCs w:val="18"/>
              </w:rPr>
            </w:pPr>
            <w:r>
              <w:rPr>
                <w:rFonts w:cs="Arial"/>
                <w:sz w:val="18"/>
                <w:szCs w:val="18"/>
              </w:rPr>
              <w:t>Refused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C8B98E" w14:textId="2CB5DD3A" w:rsidR="002D2253" w:rsidRPr="00733DE0" w:rsidRDefault="002D2253" w:rsidP="002D2253">
            <w:pPr>
              <w:spacing w:line="240" w:lineRule="auto"/>
              <w:jc w:val="right"/>
              <w:rPr>
                <w:rFonts w:cs="Arial"/>
                <w:sz w:val="18"/>
                <w:szCs w:val="18"/>
              </w:rPr>
            </w:pPr>
            <w:r w:rsidRPr="00733DE0">
              <w:rPr>
                <w:rFonts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tcPr>
          <w:p w14:paraId="6883239F" w14:textId="7595E6D2" w:rsidR="002D2253" w:rsidRPr="002D2253" w:rsidRDefault="002D2253" w:rsidP="002D2253">
            <w:pPr>
              <w:spacing w:line="240" w:lineRule="auto"/>
              <w:jc w:val="right"/>
              <w:rPr>
                <w:rFonts w:cs="Arial"/>
                <w:sz w:val="18"/>
                <w:szCs w:val="18"/>
              </w:rPr>
            </w:pPr>
            <w:r w:rsidRPr="002D2253">
              <w:rPr>
                <w:rFonts w:cs="Arial"/>
                <w:sz w:val="18"/>
                <w:szCs w:val="18"/>
              </w:rPr>
              <w:t>25%</w:t>
            </w:r>
          </w:p>
        </w:tc>
      </w:tr>
      <w:tr w:rsidR="004F2F07" w:rsidRPr="00504360" w14:paraId="714A0FD4" w14:textId="2CDC150F"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4F2F07" w:rsidRPr="00504360" w:rsidRDefault="004F2F07" w:rsidP="004F2F07">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20FCA9" w14:textId="3B51A5F0" w:rsidR="004F2F07" w:rsidRPr="00733DE0" w:rsidRDefault="004F2F07" w:rsidP="004F2F07">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220A9BB" w14:textId="7B7A3D3D" w:rsidR="004F2F07" w:rsidRPr="002D2253" w:rsidRDefault="004F2F07" w:rsidP="004F2F07">
            <w:pPr>
              <w:spacing w:line="240" w:lineRule="auto"/>
              <w:jc w:val="right"/>
              <w:rPr>
                <w:rFonts w:cs="Arial"/>
                <w:sz w:val="18"/>
                <w:szCs w:val="18"/>
              </w:rPr>
            </w:pPr>
          </w:p>
        </w:tc>
      </w:tr>
      <w:tr w:rsidR="004F2F07" w:rsidRPr="00504360" w14:paraId="148E7FF6"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6401685D" w14:textId="77779C44" w:rsidR="004F2F07" w:rsidRPr="0041058E" w:rsidRDefault="004F2F07" w:rsidP="004F2F07">
            <w:pPr>
              <w:spacing w:line="240" w:lineRule="auto"/>
              <w:rPr>
                <w:rFonts w:cs="Arial"/>
                <w:b/>
                <w:bCs/>
                <w:sz w:val="18"/>
                <w:szCs w:val="18"/>
                <w:lang w:eastAsia="en-AU"/>
              </w:rPr>
            </w:pPr>
            <w:r w:rsidRPr="0041058E">
              <w:rPr>
                <w:rFonts w:cs="Arial"/>
                <w:b/>
                <w:bCs/>
                <w:sz w:val="18"/>
                <w:szCs w:val="18"/>
                <w:lang w:eastAsia="en-AU"/>
              </w:rPr>
              <w:t xml:space="preserve">Voluntary </w:t>
            </w:r>
            <w:r>
              <w:rPr>
                <w:rFonts w:cs="Arial"/>
                <w:b/>
                <w:bCs/>
                <w:sz w:val="18"/>
                <w:szCs w:val="18"/>
                <w:lang w:eastAsia="en-AU"/>
              </w:rPr>
              <w:t>A</w:t>
            </w:r>
            <w:r w:rsidRPr="0041058E">
              <w:rPr>
                <w:rFonts w:cs="Arial"/>
                <w:b/>
                <w:bCs/>
                <w:sz w:val="18"/>
                <w:szCs w:val="18"/>
                <w:lang w:eastAsia="en-AU"/>
              </w:rPr>
              <w:t>greements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0DA063" w14:textId="77777777" w:rsidR="004F2F07" w:rsidRPr="00733DE0" w:rsidRDefault="004F2F07" w:rsidP="004F2F07">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6CEBF53" w14:textId="77777777" w:rsidR="004F2F07" w:rsidRPr="002D2253" w:rsidRDefault="004F2F07" w:rsidP="004F2F07">
            <w:pPr>
              <w:spacing w:line="240" w:lineRule="auto"/>
              <w:jc w:val="right"/>
              <w:rPr>
                <w:rFonts w:cs="Arial"/>
                <w:sz w:val="18"/>
                <w:szCs w:val="18"/>
              </w:rPr>
            </w:pPr>
          </w:p>
        </w:tc>
      </w:tr>
      <w:tr w:rsidR="002D2253" w:rsidRPr="00504360" w14:paraId="71FF2B6B"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3EE9FCD2" w14:textId="574A3774" w:rsidR="002D2253" w:rsidRPr="00B50123" w:rsidRDefault="002D2253" w:rsidP="002D2253">
            <w:pPr>
              <w:spacing w:line="240" w:lineRule="auto"/>
              <w:rPr>
                <w:rFonts w:cs="Arial"/>
                <w:sz w:val="18"/>
                <w:szCs w:val="18"/>
                <w:lang w:eastAsia="en-AU"/>
              </w:rPr>
            </w:pPr>
            <w:r w:rsidRPr="0003283F">
              <w:rPr>
                <w:rFonts w:cs="Arial"/>
                <w:sz w:val="18"/>
                <w:szCs w:val="18"/>
              </w:rPr>
              <w:t>Voluntary agreements for a voluntary 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4D36A" w14:textId="6205D645" w:rsidR="002D2253" w:rsidRPr="00733DE0" w:rsidRDefault="002D2253" w:rsidP="002D2253">
            <w:pPr>
              <w:spacing w:line="240" w:lineRule="auto"/>
              <w:jc w:val="right"/>
              <w:rPr>
                <w:rFonts w:cs="Arial"/>
                <w:sz w:val="18"/>
                <w:szCs w:val="18"/>
                <w:lang w:eastAsia="en-AU"/>
              </w:rPr>
            </w:pPr>
            <w:r w:rsidRPr="00733DE0">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357F5C28" w14:textId="09DBE1DC" w:rsidR="002D2253" w:rsidRPr="002D2253" w:rsidRDefault="002D2253" w:rsidP="002D2253">
            <w:pPr>
              <w:spacing w:line="240" w:lineRule="auto"/>
              <w:jc w:val="right"/>
              <w:rPr>
                <w:rFonts w:cs="Arial"/>
                <w:sz w:val="18"/>
                <w:szCs w:val="18"/>
              </w:rPr>
            </w:pPr>
            <w:r w:rsidRPr="002D2253">
              <w:rPr>
                <w:rFonts w:cs="Arial"/>
                <w:sz w:val="18"/>
                <w:szCs w:val="18"/>
              </w:rPr>
              <w:t>1</w:t>
            </w:r>
          </w:p>
        </w:tc>
      </w:tr>
      <w:tr w:rsidR="002D2253" w:rsidRPr="00504360" w14:paraId="16DEBA40"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556783DE" w14:textId="553E3B1A" w:rsidR="002D2253" w:rsidRPr="00B50123" w:rsidRDefault="002D2253" w:rsidP="002D2253">
            <w:pPr>
              <w:spacing w:line="240" w:lineRule="auto"/>
              <w:rPr>
                <w:rFonts w:cs="Arial"/>
                <w:sz w:val="18"/>
                <w:szCs w:val="18"/>
                <w:lang w:eastAsia="en-AU"/>
              </w:rPr>
            </w:pPr>
            <w:r w:rsidRPr="0003283F">
              <w:rPr>
                <w:rFonts w:cs="Arial"/>
                <w:sz w:val="18"/>
                <w:szCs w:val="18"/>
              </w:rPr>
              <w:t>Voluntary referrals to service providers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3ACEBC" w14:textId="551AF743" w:rsidR="002D2253" w:rsidRPr="00733DE0" w:rsidRDefault="002D2253" w:rsidP="002D2253">
            <w:pPr>
              <w:spacing w:line="240" w:lineRule="auto"/>
              <w:jc w:val="right"/>
              <w:rPr>
                <w:rFonts w:cs="Arial"/>
                <w:sz w:val="18"/>
                <w:szCs w:val="18"/>
                <w:lang w:eastAsia="en-AU"/>
              </w:rPr>
            </w:pPr>
            <w:r w:rsidRPr="00733DE0">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0E1A0281" w14:textId="53745E35" w:rsidR="002D2253" w:rsidRPr="002D2253" w:rsidRDefault="002D2253" w:rsidP="002D2253">
            <w:pPr>
              <w:spacing w:line="240" w:lineRule="auto"/>
              <w:jc w:val="right"/>
              <w:rPr>
                <w:rFonts w:cs="Arial"/>
                <w:sz w:val="18"/>
                <w:szCs w:val="18"/>
              </w:rPr>
            </w:pPr>
            <w:r w:rsidRPr="002D2253">
              <w:rPr>
                <w:rFonts w:cs="Arial"/>
                <w:sz w:val="18"/>
                <w:szCs w:val="18"/>
              </w:rPr>
              <w:t>1</w:t>
            </w:r>
          </w:p>
        </w:tc>
      </w:tr>
      <w:tr w:rsidR="002D2253" w:rsidRPr="00504360" w14:paraId="7EB54823"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02AF3396" w14:textId="4F6E25BE" w:rsidR="002D2253" w:rsidRPr="00B50123" w:rsidRDefault="002D2253" w:rsidP="002D2253">
            <w:pPr>
              <w:spacing w:line="240" w:lineRule="auto"/>
              <w:rPr>
                <w:rFonts w:cs="Arial"/>
                <w:sz w:val="18"/>
                <w:szCs w:val="18"/>
                <w:lang w:eastAsia="en-AU"/>
              </w:rPr>
            </w:pPr>
            <w:r w:rsidRPr="0003283F">
              <w:rPr>
                <w:rFonts w:cs="Arial"/>
                <w:sz w:val="18"/>
                <w:szCs w:val="18"/>
              </w:rPr>
              <w:t>Voluntary agreements for VIM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AAFCD" w14:textId="5A9E4693" w:rsidR="002D2253" w:rsidRPr="00733DE0" w:rsidRDefault="002D2253" w:rsidP="002D2253">
            <w:pPr>
              <w:spacing w:line="240" w:lineRule="auto"/>
              <w:jc w:val="right"/>
              <w:rPr>
                <w:rFonts w:cs="Arial"/>
                <w:sz w:val="18"/>
                <w:szCs w:val="18"/>
                <w:lang w:eastAsia="en-AU"/>
              </w:rPr>
            </w:pPr>
            <w:r w:rsidRPr="00733DE0">
              <w:rPr>
                <w:rFonts w:cs="Arial"/>
                <w:sz w:val="18"/>
                <w:szCs w:val="18"/>
              </w:rPr>
              <w:t>63</w:t>
            </w:r>
          </w:p>
        </w:tc>
        <w:tc>
          <w:tcPr>
            <w:tcW w:w="992" w:type="dxa"/>
            <w:tcBorders>
              <w:top w:val="single" w:sz="4" w:space="0" w:color="auto"/>
              <w:left w:val="single" w:sz="4" w:space="0" w:color="auto"/>
              <w:bottom w:val="single" w:sz="4" w:space="0" w:color="auto"/>
              <w:right w:val="single" w:sz="4" w:space="0" w:color="auto"/>
            </w:tcBorders>
            <w:vAlign w:val="center"/>
          </w:tcPr>
          <w:p w14:paraId="301708B1" w14:textId="2F9AA0E5" w:rsidR="002D2253" w:rsidRPr="002D2253" w:rsidRDefault="002D2253" w:rsidP="002D2253">
            <w:pPr>
              <w:spacing w:line="240" w:lineRule="auto"/>
              <w:jc w:val="right"/>
              <w:rPr>
                <w:rFonts w:cs="Arial"/>
                <w:sz w:val="18"/>
                <w:szCs w:val="18"/>
              </w:rPr>
            </w:pPr>
            <w:r w:rsidRPr="002D2253">
              <w:rPr>
                <w:rFonts w:cs="Arial"/>
                <w:sz w:val="18"/>
                <w:szCs w:val="18"/>
              </w:rPr>
              <w:t>3</w:t>
            </w:r>
            <w:r w:rsidR="00063565">
              <w:rPr>
                <w:rFonts w:cs="Arial"/>
                <w:sz w:val="18"/>
                <w:szCs w:val="18"/>
              </w:rPr>
              <w:t>3</w:t>
            </w:r>
          </w:p>
        </w:tc>
      </w:tr>
      <w:tr w:rsidR="004F2F07" w:rsidRPr="00504360" w14:paraId="52C3F0C4"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34797DFD" w14:textId="77777777" w:rsidR="004F2F07" w:rsidRPr="00504360" w:rsidRDefault="004F2F07" w:rsidP="004F2F07">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E332D2" w14:textId="77777777" w:rsidR="004F2F07" w:rsidRPr="00733DE0" w:rsidRDefault="004F2F07" w:rsidP="004F2F07">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E2168F3" w14:textId="77777777" w:rsidR="004F2F07" w:rsidRPr="002D2253" w:rsidRDefault="004F2F07" w:rsidP="004F2F07">
            <w:pPr>
              <w:spacing w:line="240" w:lineRule="auto"/>
              <w:jc w:val="right"/>
              <w:rPr>
                <w:rFonts w:cs="Arial"/>
                <w:sz w:val="18"/>
                <w:szCs w:val="18"/>
              </w:rPr>
            </w:pPr>
          </w:p>
        </w:tc>
      </w:tr>
      <w:tr w:rsidR="004F2F07" w:rsidRPr="00504360" w14:paraId="6E254E7A"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3597A5A4" w14:textId="49EF45A9" w:rsidR="004F2F07" w:rsidRPr="00E10506" w:rsidRDefault="004F2F07" w:rsidP="004F2F07">
            <w:pPr>
              <w:spacing w:line="240" w:lineRule="auto"/>
              <w:rPr>
                <w:rFonts w:cs="Arial"/>
                <w:b/>
                <w:bCs/>
                <w:sz w:val="18"/>
                <w:szCs w:val="18"/>
                <w:lang w:eastAsia="en-AU"/>
              </w:rPr>
            </w:pPr>
            <w:r w:rsidRPr="00E10506">
              <w:rPr>
                <w:rFonts w:cs="Arial"/>
                <w:b/>
                <w:bCs/>
                <w:sz w:val="18"/>
                <w:szCs w:val="18"/>
                <w:lang w:eastAsia="en-AU"/>
              </w:rPr>
              <w:t xml:space="preserve">Amend/end </w:t>
            </w:r>
            <w:r w:rsidR="00B920CE">
              <w:rPr>
                <w:rFonts w:cs="Arial"/>
                <w:b/>
                <w:bCs/>
                <w:sz w:val="18"/>
                <w:szCs w:val="18"/>
                <w:lang w:eastAsia="en-AU"/>
              </w:rPr>
              <w:t>decisions</w:t>
            </w:r>
            <w:r w:rsidR="00B920CE" w:rsidRPr="00E10506">
              <w:rPr>
                <w:rFonts w:cs="Arial"/>
                <w:b/>
                <w:bCs/>
                <w:sz w:val="18"/>
                <w:szCs w:val="18"/>
                <w:lang w:eastAsia="en-AU"/>
              </w:rPr>
              <w:t xml:space="preserve"> </w:t>
            </w:r>
            <w:r w:rsidRPr="00E10506">
              <w:rPr>
                <w:rFonts w:cs="Arial"/>
                <w:b/>
                <w:bCs/>
                <w:sz w:val="18"/>
                <w:szCs w:val="18"/>
                <w:lang w:eastAsia="en-AU"/>
              </w:rPr>
              <w:t>for Voluntary Agreements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BA5B46" w14:textId="77777777" w:rsidR="004F2F07" w:rsidRPr="00733DE0" w:rsidRDefault="004F2F07" w:rsidP="004F2F07">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94C45FA" w14:textId="77777777" w:rsidR="004F2F07" w:rsidRPr="002D2253" w:rsidRDefault="004F2F07" w:rsidP="004F2F07">
            <w:pPr>
              <w:spacing w:line="240" w:lineRule="auto"/>
              <w:jc w:val="right"/>
              <w:rPr>
                <w:rFonts w:cs="Arial"/>
                <w:sz w:val="18"/>
                <w:szCs w:val="18"/>
              </w:rPr>
            </w:pPr>
          </w:p>
        </w:tc>
      </w:tr>
      <w:tr w:rsidR="002D2253" w:rsidRPr="00504360" w14:paraId="53E5D51F" w14:textId="77777777" w:rsidTr="00902773">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62B9F354" w14:textId="63E728CC" w:rsidR="002D2253" w:rsidRPr="00504360" w:rsidRDefault="002D2253" w:rsidP="002D2253">
            <w:pPr>
              <w:spacing w:line="240" w:lineRule="auto"/>
              <w:rPr>
                <w:rFonts w:cs="Arial"/>
                <w:sz w:val="18"/>
                <w:szCs w:val="18"/>
                <w:lang w:eastAsia="en-AU"/>
              </w:rPr>
            </w:pPr>
            <w:r>
              <w:rPr>
                <w:rFonts w:cs="Arial"/>
                <w:sz w:val="18"/>
                <w:szCs w:val="18"/>
                <w:lang w:eastAsia="en-AU"/>
              </w:rPr>
              <w:t>Accepted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B8D913" w14:textId="5DCA52D1" w:rsidR="002D2253" w:rsidRPr="00733DE0" w:rsidRDefault="002D2253" w:rsidP="002D2253">
            <w:pPr>
              <w:spacing w:line="240" w:lineRule="auto"/>
              <w:jc w:val="right"/>
              <w:rPr>
                <w:rFonts w:cs="Arial"/>
                <w:sz w:val="18"/>
                <w:szCs w:val="18"/>
                <w:lang w:eastAsia="en-AU"/>
              </w:rPr>
            </w:pPr>
            <w:r w:rsidRPr="00733DE0">
              <w:rPr>
                <w:rFonts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86C7588" w14:textId="69615E30" w:rsidR="002D2253" w:rsidRPr="002D2253" w:rsidRDefault="002D2253" w:rsidP="002D2253">
            <w:pPr>
              <w:spacing w:line="240" w:lineRule="auto"/>
              <w:jc w:val="right"/>
              <w:rPr>
                <w:rFonts w:cs="Arial"/>
                <w:sz w:val="18"/>
                <w:szCs w:val="18"/>
              </w:rPr>
            </w:pPr>
            <w:r w:rsidRPr="002D2253">
              <w:rPr>
                <w:rFonts w:cs="Arial"/>
                <w:sz w:val="18"/>
                <w:szCs w:val="18"/>
              </w:rPr>
              <w:t>100%</w:t>
            </w:r>
          </w:p>
        </w:tc>
      </w:tr>
      <w:tr w:rsidR="002D2253" w:rsidRPr="00504360" w14:paraId="4859A3E0" w14:textId="77777777" w:rsidTr="00902773">
        <w:trPr>
          <w:trHeight w:val="142"/>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8DFF31E" w14:textId="2609E01B" w:rsidR="002D2253" w:rsidRDefault="002D2253" w:rsidP="002D2253">
            <w:pPr>
              <w:spacing w:line="240" w:lineRule="auto"/>
              <w:rPr>
                <w:rFonts w:cs="Arial"/>
                <w:sz w:val="18"/>
                <w:szCs w:val="18"/>
                <w:lang w:eastAsia="en-AU"/>
              </w:rPr>
            </w:pPr>
            <w:r>
              <w:rPr>
                <w:rFonts w:cs="Arial"/>
                <w:sz w:val="18"/>
                <w:szCs w:val="18"/>
                <w:lang w:eastAsia="en-AU"/>
              </w:rPr>
              <w:t>Refused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EACDA" w14:textId="38F67222" w:rsidR="002D2253" w:rsidRPr="00733DE0" w:rsidRDefault="002D2253" w:rsidP="002D2253">
            <w:pPr>
              <w:spacing w:line="240" w:lineRule="auto"/>
              <w:jc w:val="right"/>
              <w:rPr>
                <w:rFonts w:cs="Arial"/>
                <w:sz w:val="18"/>
                <w:szCs w:val="18"/>
              </w:rPr>
            </w:pPr>
            <w:r w:rsidRPr="00733DE0">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10B9F0DA" w14:textId="57673B64" w:rsidR="002D2253" w:rsidRPr="002D2253" w:rsidRDefault="002D2253" w:rsidP="002D2253">
            <w:pPr>
              <w:spacing w:line="240" w:lineRule="auto"/>
              <w:jc w:val="right"/>
              <w:rPr>
                <w:rFonts w:cs="Arial"/>
                <w:sz w:val="18"/>
                <w:szCs w:val="18"/>
              </w:rPr>
            </w:pPr>
            <w:r w:rsidRPr="002D2253">
              <w:rPr>
                <w:rFonts w:cs="Arial"/>
                <w:sz w:val="18"/>
                <w:szCs w:val="18"/>
              </w:rPr>
              <w:t>0%</w:t>
            </w:r>
          </w:p>
        </w:tc>
      </w:tr>
      <w:tr w:rsidR="00FE1984" w:rsidRPr="00504360" w14:paraId="23135AF5" w14:textId="77777777" w:rsidTr="00902773">
        <w:trPr>
          <w:trHeight w:val="142"/>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5796FB9" w14:textId="77777777" w:rsidR="00FE1984" w:rsidRDefault="00FE1984" w:rsidP="002D2253">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FF09C" w14:textId="77777777" w:rsidR="00FE1984" w:rsidRPr="00733DE0" w:rsidRDefault="00FE1984" w:rsidP="002D2253">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47E79CC" w14:textId="77777777" w:rsidR="00FE1984" w:rsidRPr="002D2253" w:rsidRDefault="00FE1984" w:rsidP="002D2253">
            <w:pPr>
              <w:spacing w:line="240" w:lineRule="auto"/>
              <w:jc w:val="right"/>
              <w:rPr>
                <w:rFonts w:cs="Arial"/>
                <w:sz w:val="18"/>
                <w:szCs w:val="18"/>
              </w:rPr>
            </w:pPr>
          </w:p>
        </w:tc>
      </w:tr>
      <w:tr w:rsidR="00FE1984" w:rsidRPr="00504360" w14:paraId="37C0A955" w14:textId="77777777" w:rsidTr="00902773">
        <w:trPr>
          <w:trHeight w:val="142"/>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38FF330" w14:textId="517A773E" w:rsidR="00FE1984" w:rsidRDefault="00FE1984" w:rsidP="00FE1984">
            <w:pPr>
              <w:spacing w:line="240" w:lineRule="auto"/>
              <w:rPr>
                <w:rFonts w:cs="Arial"/>
                <w:sz w:val="18"/>
                <w:szCs w:val="18"/>
                <w:lang w:eastAsia="en-AU"/>
              </w:rPr>
            </w:pPr>
            <w:r w:rsidRPr="00504360">
              <w:rPr>
                <w:rFonts w:cs="Arial"/>
                <w:b/>
                <w:sz w:val="18"/>
                <w:szCs w:val="18"/>
                <w:lang w:eastAsia="en-AU"/>
              </w:rPr>
              <w:t xml:space="preserve">Other activity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716DD9" w14:textId="2C58E0C2" w:rsidR="00FE1984" w:rsidRPr="00733DE0" w:rsidRDefault="00FE1984" w:rsidP="00FE1984">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E900FF3" w14:textId="6D1B63E8" w:rsidR="00FE1984" w:rsidRPr="002D2253" w:rsidRDefault="00FE1984" w:rsidP="00FE1984">
            <w:pPr>
              <w:spacing w:line="240" w:lineRule="auto"/>
              <w:jc w:val="right"/>
              <w:rPr>
                <w:rFonts w:cs="Arial"/>
                <w:sz w:val="18"/>
                <w:szCs w:val="18"/>
              </w:rPr>
            </w:pPr>
          </w:p>
        </w:tc>
      </w:tr>
      <w:tr w:rsidR="00FE1984" w:rsidRPr="00504360" w14:paraId="2926F0DE" w14:textId="77777777" w:rsidTr="00902773">
        <w:trPr>
          <w:trHeight w:val="142"/>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3EA9CFD1" w14:textId="563D5831" w:rsidR="00FE1984" w:rsidRDefault="00FE1984" w:rsidP="00FE1984">
            <w:pPr>
              <w:spacing w:line="240" w:lineRule="auto"/>
              <w:rPr>
                <w:rFonts w:cs="Arial"/>
                <w:sz w:val="18"/>
                <w:szCs w:val="18"/>
                <w:lang w:eastAsia="en-AU"/>
              </w:rPr>
            </w:pPr>
            <w:r>
              <w:rPr>
                <w:rFonts w:cs="Arial"/>
                <w:sz w:val="18"/>
                <w:szCs w:val="18"/>
                <w:lang w:eastAsia="en-AU"/>
              </w:rPr>
              <w:t>Applications to Amend or End received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966C68" w14:textId="0A6D461E" w:rsidR="00FE1984" w:rsidRPr="00733DE0" w:rsidRDefault="00FE1984" w:rsidP="00FE1984">
            <w:pPr>
              <w:spacing w:line="240" w:lineRule="auto"/>
              <w:jc w:val="right"/>
              <w:rPr>
                <w:rFonts w:cs="Arial"/>
                <w:sz w:val="18"/>
                <w:szCs w:val="18"/>
              </w:rPr>
            </w:pPr>
            <w:r w:rsidRPr="00733DE0">
              <w:rPr>
                <w:rFonts w:cs="Arial"/>
                <w:sz w:val="18"/>
                <w:szCs w:val="18"/>
              </w:rPr>
              <w:t>16</w:t>
            </w:r>
          </w:p>
        </w:tc>
        <w:tc>
          <w:tcPr>
            <w:tcW w:w="992" w:type="dxa"/>
            <w:tcBorders>
              <w:top w:val="single" w:sz="4" w:space="0" w:color="auto"/>
              <w:left w:val="single" w:sz="4" w:space="0" w:color="auto"/>
              <w:bottom w:val="single" w:sz="4" w:space="0" w:color="auto"/>
              <w:right w:val="single" w:sz="4" w:space="0" w:color="auto"/>
            </w:tcBorders>
            <w:vAlign w:val="center"/>
          </w:tcPr>
          <w:p w14:paraId="0CC97F57" w14:textId="1D27991C" w:rsidR="00FE1984" w:rsidRPr="002D2253" w:rsidRDefault="00FE1984" w:rsidP="00FE1984">
            <w:pPr>
              <w:spacing w:line="240" w:lineRule="auto"/>
              <w:jc w:val="right"/>
              <w:rPr>
                <w:rFonts w:cs="Arial"/>
                <w:sz w:val="18"/>
                <w:szCs w:val="18"/>
              </w:rPr>
            </w:pPr>
            <w:r w:rsidRPr="002D2253">
              <w:rPr>
                <w:rFonts w:cs="Arial"/>
                <w:sz w:val="18"/>
                <w:szCs w:val="18"/>
              </w:rPr>
              <w:t>32</w:t>
            </w:r>
          </w:p>
        </w:tc>
      </w:tr>
      <w:tr w:rsidR="00FE1984" w:rsidRPr="00504360" w14:paraId="09CC1571" w14:textId="77777777" w:rsidTr="00902773">
        <w:trPr>
          <w:trHeight w:val="142"/>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4896858" w14:textId="77777777" w:rsidR="00FE1984" w:rsidRDefault="00FE1984" w:rsidP="00FE1984">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74FDA4" w14:textId="77777777" w:rsidR="00FE1984" w:rsidRPr="00733DE0" w:rsidRDefault="00FE1984" w:rsidP="00FE1984">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1335837" w14:textId="77777777" w:rsidR="00FE1984" w:rsidRPr="002D2253" w:rsidRDefault="00FE1984" w:rsidP="00FE1984">
            <w:pPr>
              <w:spacing w:line="240" w:lineRule="auto"/>
              <w:jc w:val="right"/>
              <w:rPr>
                <w:rFonts w:cs="Arial"/>
                <w:sz w:val="18"/>
                <w:szCs w:val="18"/>
              </w:rPr>
            </w:pPr>
          </w:p>
        </w:tc>
      </w:tr>
      <w:tr w:rsidR="00FE1984" w:rsidRPr="00504360" w14:paraId="716838D1" w14:textId="77777777" w:rsidTr="00902773">
        <w:trPr>
          <w:trHeight w:val="142"/>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594E536F" w14:textId="13298118" w:rsidR="00FE1984" w:rsidRDefault="00FE1984" w:rsidP="00FE1984">
            <w:pPr>
              <w:spacing w:line="240" w:lineRule="auto"/>
              <w:rPr>
                <w:rFonts w:cs="Arial"/>
                <w:sz w:val="18"/>
                <w:szCs w:val="18"/>
                <w:lang w:eastAsia="en-AU"/>
              </w:rPr>
            </w:pPr>
            <w:r w:rsidRPr="00504360">
              <w:rPr>
                <w:rFonts w:cs="Arial"/>
                <w:b/>
                <w:sz w:val="18"/>
                <w:szCs w:val="18"/>
                <w:lang w:eastAsia="en-AU"/>
              </w:rPr>
              <w:t>Information as at the last day of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E3A1D1" w14:textId="77777777" w:rsidR="00FE1984" w:rsidRPr="00733DE0" w:rsidRDefault="00FE1984" w:rsidP="00FE1984">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3C39642" w14:textId="77777777" w:rsidR="00FE1984" w:rsidRPr="002D2253" w:rsidRDefault="00FE1984" w:rsidP="00FE1984">
            <w:pPr>
              <w:spacing w:line="240" w:lineRule="auto"/>
              <w:jc w:val="right"/>
              <w:rPr>
                <w:rFonts w:cs="Arial"/>
                <w:sz w:val="18"/>
                <w:szCs w:val="18"/>
              </w:rPr>
            </w:pPr>
          </w:p>
        </w:tc>
      </w:tr>
      <w:tr w:rsidR="00FE1984" w:rsidRPr="00504360" w14:paraId="1562F8F8" w14:textId="77777777" w:rsidTr="00902773">
        <w:trPr>
          <w:trHeight w:val="142"/>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DB4C6D7" w14:textId="3A4A38DB" w:rsidR="00FE1984" w:rsidRDefault="00FE1984" w:rsidP="00FE1984">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3D3333" w14:textId="4C73F9CE" w:rsidR="00FE1984" w:rsidRPr="00733DE0" w:rsidRDefault="00FE1984" w:rsidP="00FE1984">
            <w:pPr>
              <w:spacing w:line="240" w:lineRule="auto"/>
              <w:jc w:val="right"/>
              <w:rPr>
                <w:rFonts w:cs="Arial"/>
                <w:sz w:val="18"/>
                <w:szCs w:val="18"/>
              </w:rPr>
            </w:pPr>
            <w:r w:rsidRPr="00733DE0">
              <w:rPr>
                <w:rFonts w:cs="Arial"/>
                <w:sz w:val="18"/>
                <w:szCs w:val="18"/>
              </w:rPr>
              <w:t>240</w:t>
            </w:r>
          </w:p>
        </w:tc>
        <w:tc>
          <w:tcPr>
            <w:tcW w:w="992" w:type="dxa"/>
            <w:tcBorders>
              <w:top w:val="single" w:sz="4" w:space="0" w:color="auto"/>
              <w:left w:val="single" w:sz="4" w:space="0" w:color="auto"/>
              <w:bottom w:val="single" w:sz="4" w:space="0" w:color="auto"/>
              <w:right w:val="single" w:sz="4" w:space="0" w:color="auto"/>
            </w:tcBorders>
            <w:vAlign w:val="center"/>
          </w:tcPr>
          <w:p w14:paraId="15E1E034" w14:textId="18434248" w:rsidR="00FE1984" w:rsidRPr="002D2253" w:rsidRDefault="00FE1984" w:rsidP="00FE1984">
            <w:pPr>
              <w:spacing w:line="240" w:lineRule="auto"/>
              <w:jc w:val="right"/>
              <w:rPr>
                <w:rFonts w:cs="Arial"/>
                <w:sz w:val="18"/>
                <w:szCs w:val="18"/>
              </w:rPr>
            </w:pPr>
            <w:r>
              <w:rPr>
                <w:rFonts w:cs="Arial"/>
                <w:sz w:val="18"/>
                <w:szCs w:val="18"/>
              </w:rPr>
              <w:t>224</w:t>
            </w:r>
          </w:p>
        </w:tc>
      </w:tr>
      <w:tr w:rsidR="00FE1984" w:rsidRPr="00504360" w14:paraId="559E0289" w14:textId="77777777" w:rsidTr="00902773">
        <w:trPr>
          <w:trHeight w:val="142"/>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2D7EF42B" w14:textId="675293F4" w:rsidR="00FE1984" w:rsidRDefault="00FE1984" w:rsidP="00FE1984">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69D6E1" w14:textId="6602E2A3" w:rsidR="00FE1984" w:rsidRPr="00733DE0" w:rsidRDefault="00FE1984" w:rsidP="00FE1984">
            <w:pPr>
              <w:spacing w:line="240" w:lineRule="auto"/>
              <w:jc w:val="right"/>
              <w:rPr>
                <w:rFonts w:cs="Arial"/>
                <w:sz w:val="18"/>
                <w:szCs w:val="18"/>
              </w:rPr>
            </w:pPr>
            <w:r w:rsidRPr="00733DE0">
              <w:rPr>
                <w:rFonts w:cs="Arial"/>
                <w:sz w:val="18"/>
                <w:szCs w:val="18"/>
              </w:rPr>
              <w:t>66</w:t>
            </w:r>
          </w:p>
        </w:tc>
        <w:tc>
          <w:tcPr>
            <w:tcW w:w="992" w:type="dxa"/>
            <w:tcBorders>
              <w:top w:val="single" w:sz="4" w:space="0" w:color="auto"/>
              <w:left w:val="single" w:sz="4" w:space="0" w:color="auto"/>
              <w:bottom w:val="single" w:sz="4" w:space="0" w:color="auto"/>
              <w:right w:val="single" w:sz="4" w:space="0" w:color="auto"/>
            </w:tcBorders>
            <w:vAlign w:val="center"/>
          </w:tcPr>
          <w:p w14:paraId="49657DF5" w14:textId="17BD6FBE" w:rsidR="00FE1984" w:rsidRPr="002D2253" w:rsidRDefault="00FE1984" w:rsidP="00FE1984">
            <w:pPr>
              <w:spacing w:line="240" w:lineRule="auto"/>
              <w:jc w:val="right"/>
              <w:rPr>
                <w:rFonts w:cs="Arial"/>
                <w:sz w:val="18"/>
                <w:szCs w:val="18"/>
              </w:rPr>
            </w:pPr>
            <w:r>
              <w:rPr>
                <w:rFonts w:cs="Arial"/>
                <w:sz w:val="18"/>
                <w:szCs w:val="18"/>
              </w:rPr>
              <w:t>62</w:t>
            </w:r>
          </w:p>
        </w:tc>
      </w:tr>
      <w:tr w:rsidR="000E4994" w:rsidRPr="00504360" w14:paraId="3D917EA4" w14:textId="77777777" w:rsidTr="00902773">
        <w:trPr>
          <w:trHeight w:val="142"/>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CE3CBA6" w14:textId="05816300" w:rsidR="000E4994" w:rsidRPr="00504360" w:rsidRDefault="000E4994" w:rsidP="000E4994">
            <w:pPr>
              <w:spacing w:line="240" w:lineRule="auto"/>
              <w:rPr>
                <w:rFonts w:cs="Arial"/>
                <w:sz w:val="18"/>
                <w:szCs w:val="18"/>
                <w:lang w:eastAsia="en-AU"/>
              </w:rPr>
            </w:pPr>
            <w:r w:rsidRPr="00504360">
              <w:rPr>
                <w:rFonts w:cs="Arial"/>
                <w:sz w:val="18"/>
                <w:szCs w:val="18"/>
                <w:lang w:eastAsia="en-AU"/>
              </w:rPr>
              <w:t xml:space="preserve">Number of clients </w:t>
            </w:r>
            <w:r>
              <w:rPr>
                <w:rFonts w:cs="Arial"/>
                <w:sz w:val="18"/>
                <w:szCs w:val="18"/>
                <w:lang w:eastAsia="en-AU"/>
              </w:rPr>
              <w:t>on</w:t>
            </w:r>
            <w:r w:rsidRPr="00504360">
              <w:rPr>
                <w:rFonts w:cs="Arial"/>
                <w:sz w:val="18"/>
                <w:szCs w:val="18"/>
                <w:lang w:eastAsia="en-AU"/>
              </w:rPr>
              <w:t xml:space="preserve"> a current </w:t>
            </w:r>
            <w:r>
              <w:rPr>
                <w:rFonts w:cs="Arial"/>
                <w:sz w:val="18"/>
                <w:szCs w:val="18"/>
                <w:lang w:eastAsia="en-AU"/>
              </w:rPr>
              <w:t>V</w:t>
            </w:r>
            <w:r w:rsidRPr="00504360">
              <w:rPr>
                <w:rFonts w:cs="Arial"/>
                <w:sz w:val="18"/>
                <w:szCs w:val="18"/>
                <w:lang w:eastAsia="en-AU"/>
              </w:rPr>
              <w:t>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08A31A" w14:textId="04443948" w:rsidR="000E4994" w:rsidRPr="00733DE0" w:rsidRDefault="000E4994" w:rsidP="000E4994">
            <w:pPr>
              <w:spacing w:line="240" w:lineRule="auto"/>
              <w:jc w:val="right"/>
              <w:rPr>
                <w:rFonts w:cs="Arial"/>
                <w:sz w:val="18"/>
                <w:szCs w:val="18"/>
              </w:rPr>
            </w:pPr>
            <w:r>
              <w:rPr>
                <w:rFonts w:cs="Arial"/>
                <w:sz w:val="18"/>
                <w:szCs w:val="18"/>
              </w:rPr>
              <w:t>124</w:t>
            </w:r>
          </w:p>
        </w:tc>
        <w:tc>
          <w:tcPr>
            <w:tcW w:w="992" w:type="dxa"/>
            <w:tcBorders>
              <w:top w:val="single" w:sz="4" w:space="0" w:color="auto"/>
              <w:left w:val="single" w:sz="4" w:space="0" w:color="auto"/>
              <w:bottom w:val="single" w:sz="4" w:space="0" w:color="auto"/>
              <w:right w:val="single" w:sz="4" w:space="0" w:color="auto"/>
            </w:tcBorders>
            <w:vAlign w:val="center"/>
          </w:tcPr>
          <w:p w14:paraId="386609C4" w14:textId="3AB8858A" w:rsidR="000E4994" w:rsidRDefault="000E4994" w:rsidP="000E4994">
            <w:pPr>
              <w:spacing w:line="240" w:lineRule="auto"/>
              <w:jc w:val="right"/>
              <w:rPr>
                <w:rFonts w:cs="Arial"/>
                <w:sz w:val="18"/>
                <w:szCs w:val="18"/>
              </w:rPr>
            </w:pPr>
            <w:r>
              <w:rPr>
                <w:rFonts w:cs="Arial"/>
                <w:sz w:val="18"/>
                <w:szCs w:val="18"/>
              </w:rPr>
              <w:t>105</w:t>
            </w:r>
          </w:p>
        </w:tc>
      </w:tr>
      <w:bookmarkEnd w:id="0"/>
    </w:tbl>
    <w:p w14:paraId="350C67ED" w14:textId="77777777" w:rsidR="004B60C0" w:rsidRDefault="004B60C0" w:rsidP="00C92D4E">
      <w:pPr>
        <w:ind w:left="-142" w:right="-425"/>
        <w:jc w:val="both"/>
        <w:rPr>
          <w:rFonts w:cs="Arial"/>
        </w:rPr>
      </w:pPr>
    </w:p>
    <w:p w14:paraId="2C1817A8" w14:textId="68C2966E" w:rsidR="00A06016" w:rsidRPr="004D673D" w:rsidRDefault="00E54C67" w:rsidP="00A06016">
      <w:pPr>
        <w:ind w:left="-142" w:right="-425"/>
        <w:jc w:val="both"/>
        <w:rPr>
          <w:rFonts w:cs="Arial"/>
          <w:b/>
          <w:bCs/>
        </w:rPr>
      </w:pPr>
      <w:r w:rsidRPr="00E54C67">
        <w:rPr>
          <w:rFonts w:cs="Arial"/>
          <w:b/>
          <w:bCs/>
        </w:rPr>
        <w:t>Quarterly</w:t>
      </w:r>
      <w:r w:rsidR="00A06016" w:rsidRPr="00E54C67">
        <w:rPr>
          <w:rFonts w:cs="Arial"/>
          <w:b/>
          <w:bCs/>
        </w:rPr>
        <w:t xml:space="preserve"> trends</w:t>
      </w:r>
    </w:p>
    <w:p w14:paraId="264DED57" w14:textId="6BBB7165" w:rsidR="00024500" w:rsidRDefault="00A06016" w:rsidP="00024500">
      <w:pPr>
        <w:ind w:left="-142" w:right="-425"/>
        <w:jc w:val="both"/>
        <w:rPr>
          <w:rFonts w:cs="Arial"/>
        </w:rPr>
      </w:pPr>
      <w:r w:rsidRPr="004D673D">
        <w:rPr>
          <w:rFonts w:cs="Arial"/>
        </w:rPr>
        <w:t xml:space="preserve">The statistics reported above in table 1 </w:t>
      </w:r>
      <w:r w:rsidRPr="003467B2">
        <w:rPr>
          <w:rFonts w:cs="Arial"/>
        </w:rPr>
        <w:t xml:space="preserve">for the quarter </w:t>
      </w:r>
      <w:r w:rsidR="00880B7F" w:rsidRPr="003467B2">
        <w:rPr>
          <w:rFonts w:cs="Arial"/>
        </w:rPr>
        <w:t>October</w:t>
      </w:r>
      <w:r w:rsidRPr="003467B2">
        <w:rPr>
          <w:rFonts w:cs="Arial"/>
        </w:rPr>
        <w:t xml:space="preserve"> to </w:t>
      </w:r>
      <w:r w:rsidR="00880B7F" w:rsidRPr="003467B2">
        <w:rPr>
          <w:rFonts w:cs="Arial"/>
        </w:rPr>
        <w:t>December</w:t>
      </w:r>
      <w:r w:rsidRPr="003467B2">
        <w:rPr>
          <w:rFonts w:cs="Arial"/>
        </w:rPr>
        <w:t xml:space="preserve"> 2021</w:t>
      </w:r>
      <w:r w:rsidRPr="004D673D">
        <w:rPr>
          <w:rFonts w:cs="Arial"/>
        </w:rPr>
        <w:t xml:space="preserve"> reveal a continuing high number of </w:t>
      </w:r>
      <w:r w:rsidR="00880B7F">
        <w:rPr>
          <w:rFonts w:cs="Arial"/>
        </w:rPr>
        <w:t>73</w:t>
      </w:r>
      <w:r>
        <w:rPr>
          <w:rFonts w:cs="Arial"/>
        </w:rPr>
        <w:t xml:space="preserve"> </w:t>
      </w:r>
      <w:r w:rsidRPr="004D673D">
        <w:rPr>
          <w:rFonts w:cs="Arial"/>
        </w:rPr>
        <w:t>agreements entered into to attend community support services</w:t>
      </w:r>
      <w:r>
        <w:rPr>
          <w:rFonts w:cs="Arial"/>
        </w:rPr>
        <w:t xml:space="preserve">. </w:t>
      </w:r>
      <w:r w:rsidR="00880B7F">
        <w:rPr>
          <w:rFonts w:cs="Arial"/>
        </w:rPr>
        <w:t>R</w:t>
      </w:r>
      <w:r>
        <w:rPr>
          <w:rFonts w:cs="Arial"/>
        </w:rPr>
        <w:t>eferrals to service providers from Family Responsibilities Agreements and Orders</w:t>
      </w:r>
      <w:r w:rsidR="00E000DF">
        <w:rPr>
          <w:rFonts w:cs="Arial"/>
        </w:rPr>
        <w:t>,</w:t>
      </w:r>
      <w:r w:rsidR="00B5212C">
        <w:rPr>
          <w:rFonts w:cs="Arial"/>
        </w:rPr>
        <w:t xml:space="preserve"> and</w:t>
      </w:r>
      <w:r w:rsidR="002903D6">
        <w:rPr>
          <w:rFonts w:cs="Arial"/>
        </w:rPr>
        <w:t xml:space="preserve"> </w:t>
      </w:r>
      <w:r w:rsidR="00153584">
        <w:rPr>
          <w:rFonts w:cs="Arial"/>
        </w:rPr>
        <w:t>O</w:t>
      </w:r>
      <w:r w:rsidR="002903D6">
        <w:rPr>
          <w:rFonts w:cs="Arial"/>
        </w:rPr>
        <w:t>rders to attend support services both fell</w:t>
      </w:r>
      <w:r w:rsidR="00880B7F">
        <w:rPr>
          <w:rFonts w:cs="Arial"/>
        </w:rPr>
        <w:t xml:space="preserve"> this quarter </w:t>
      </w:r>
      <w:r w:rsidR="002903D6">
        <w:rPr>
          <w:rFonts w:cs="Arial"/>
        </w:rPr>
        <w:t xml:space="preserve">largely due to </w:t>
      </w:r>
      <w:r w:rsidR="00B5212C">
        <w:rPr>
          <w:rFonts w:cs="Arial"/>
        </w:rPr>
        <w:t xml:space="preserve">Aurukun conferencing which was reduced by </w:t>
      </w:r>
      <w:r w:rsidR="00CF7E14" w:rsidRPr="00CF7E14">
        <w:rPr>
          <w:rFonts w:cs="Arial"/>
        </w:rPr>
        <w:t>five</w:t>
      </w:r>
      <w:r w:rsidR="002903D6" w:rsidRPr="00CF7E14">
        <w:rPr>
          <w:rFonts w:cs="Arial"/>
        </w:rPr>
        <w:t xml:space="preserve"> days</w:t>
      </w:r>
      <w:r w:rsidR="002903D6" w:rsidRPr="00E000DF">
        <w:rPr>
          <w:rFonts w:cs="Arial"/>
        </w:rPr>
        <w:t xml:space="preserve"> </w:t>
      </w:r>
      <w:r w:rsidR="00B5212C" w:rsidRPr="00E000DF">
        <w:rPr>
          <w:rFonts w:cs="Arial"/>
        </w:rPr>
        <w:t xml:space="preserve">during the reporting period. </w:t>
      </w:r>
      <w:r w:rsidR="00E12DA6" w:rsidRPr="00E000DF">
        <w:rPr>
          <w:rFonts w:cs="Arial"/>
        </w:rPr>
        <w:t xml:space="preserve">The Commission has always been sensitive </w:t>
      </w:r>
      <w:r w:rsidR="00E12DA6">
        <w:rPr>
          <w:rFonts w:cs="Arial"/>
        </w:rPr>
        <w:t xml:space="preserve">and subject </w:t>
      </w:r>
      <w:r w:rsidR="00E12DA6" w:rsidRPr="00E000DF">
        <w:rPr>
          <w:rFonts w:cs="Arial"/>
        </w:rPr>
        <w:t xml:space="preserve">to external environmental factors including community unrest, sorry </w:t>
      </w:r>
      <w:r w:rsidR="007E39AC" w:rsidRPr="00E000DF">
        <w:rPr>
          <w:rFonts w:cs="Arial"/>
        </w:rPr>
        <w:t>business</w:t>
      </w:r>
      <w:r w:rsidR="00E12DA6" w:rsidRPr="00E000DF">
        <w:rPr>
          <w:rFonts w:cs="Arial"/>
        </w:rPr>
        <w:t xml:space="preserve"> and the need to prioritise high risk clients</w:t>
      </w:r>
      <w:r w:rsidR="006273A2">
        <w:rPr>
          <w:rFonts w:cs="Arial"/>
        </w:rPr>
        <w:t>,</w:t>
      </w:r>
      <w:r w:rsidR="00AA4EAC">
        <w:rPr>
          <w:rFonts w:cs="Arial"/>
        </w:rPr>
        <w:t xml:space="preserve"> and thus fluctuations in data between quarters is not a true indication of long terms operational trends</w:t>
      </w:r>
      <w:r w:rsidR="00AA4EAC" w:rsidRPr="00E000DF">
        <w:rPr>
          <w:rFonts w:cs="Arial"/>
        </w:rPr>
        <w:t xml:space="preserve">. In this case sorry business in Aurukun accounted for the </w:t>
      </w:r>
      <w:r w:rsidR="00AA4EAC">
        <w:rPr>
          <w:rFonts w:cs="Arial"/>
        </w:rPr>
        <w:t xml:space="preserve">majority of lost conference </w:t>
      </w:r>
      <w:r w:rsidR="00AA4EAC" w:rsidRPr="00E000DF">
        <w:rPr>
          <w:rFonts w:cs="Arial"/>
        </w:rPr>
        <w:t>days</w:t>
      </w:r>
      <w:r w:rsidR="00AA4EAC">
        <w:rPr>
          <w:rFonts w:cs="Arial"/>
        </w:rPr>
        <w:t xml:space="preserve"> with the lack of Local Commissioner availability</w:t>
      </w:r>
      <w:r w:rsidR="00AA4EAC">
        <w:rPr>
          <w:rStyle w:val="FootnoteReference"/>
        </w:rPr>
        <w:footnoteReference w:id="5"/>
      </w:r>
      <w:r w:rsidR="00AA4EAC">
        <w:rPr>
          <w:rFonts w:cs="Arial"/>
        </w:rPr>
        <w:t xml:space="preserve"> accounting for the balance. The Aurukun L</w:t>
      </w:r>
      <w:r w:rsidR="00AA4EAC" w:rsidRPr="00E000DF">
        <w:rPr>
          <w:rFonts w:cs="Arial"/>
        </w:rPr>
        <w:t>ocal Commissioners also identified the need to prioritise clients for conference who were deemed at serious risk of harm (</w:t>
      </w:r>
      <w:r w:rsidR="00AA4EAC" w:rsidRPr="001D209B">
        <w:rPr>
          <w:rFonts w:cs="Arial"/>
        </w:rPr>
        <w:t>serious violent offenders and those subject to child safety investigation outcomes</w:t>
      </w:r>
      <w:r w:rsidR="00AA4EAC" w:rsidRPr="00E000DF">
        <w:rPr>
          <w:rFonts w:cs="Arial"/>
        </w:rPr>
        <w:t xml:space="preserve">). </w:t>
      </w:r>
      <w:r w:rsidR="00AA4EAC">
        <w:rPr>
          <w:rFonts w:cs="Arial"/>
        </w:rPr>
        <w:t xml:space="preserve">Voluntary </w:t>
      </w:r>
      <w:r w:rsidR="00AA4EAC" w:rsidRPr="004D673D">
        <w:rPr>
          <w:rFonts w:cs="Arial"/>
        </w:rPr>
        <w:t>agreements for voluntary income management (VIM)</w:t>
      </w:r>
      <w:r w:rsidR="00AA4EAC">
        <w:rPr>
          <w:rFonts w:cs="Arial"/>
        </w:rPr>
        <w:t xml:space="preserve"> decreased from last quarter, though the number of clients on a current VIM remained strong at 105.</w:t>
      </w:r>
    </w:p>
    <w:p w14:paraId="08443D44" w14:textId="3CEEFF9E" w:rsidR="00C47303" w:rsidRDefault="00C47303" w:rsidP="00A06016">
      <w:pPr>
        <w:ind w:left="-142" w:right="-425"/>
        <w:jc w:val="both"/>
        <w:rPr>
          <w:rFonts w:cs="Arial"/>
        </w:rPr>
      </w:pPr>
    </w:p>
    <w:p w14:paraId="4D8B2E16" w14:textId="5853132A" w:rsidR="00A06016" w:rsidRDefault="00C47303" w:rsidP="004970A8">
      <w:pPr>
        <w:ind w:left="-142" w:right="-425"/>
        <w:jc w:val="both"/>
        <w:rPr>
          <w:rFonts w:cs="Arial"/>
        </w:rPr>
      </w:pPr>
      <w:bookmarkStart w:id="2" w:name="_Hlk97302840"/>
      <w:r>
        <w:rPr>
          <w:rFonts w:cs="Arial"/>
        </w:rPr>
        <w:t xml:space="preserve">It is interesting to </w:t>
      </w:r>
      <w:r w:rsidR="0094027C">
        <w:rPr>
          <w:rFonts w:cs="Arial"/>
        </w:rPr>
        <w:t>note</w:t>
      </w:r>
      <w:r w:rsidR="007F67D5">
        <w:rPr>
          <w:rFonts w:cs="Arial"/>
        </w:rPr>
        <w:t xml:space="preserve"> a </w:t>
      </w:r>
      <w:r w:rsidR="00F423A7">
        <w:rPr>
          <w:rFonts w:cs="Arial"/>
        </w:rPr>
        <w:t>‘</w:t>
      </w:r>
      <w:r w:rsidR="007F67D5">
        <w:rPr>
          <w:rFonts w:cs="Arial"/>
        </w:rPr>
        <w:t>point in time</w:t>
      </w:r>
      <w:r w:rsidR="00F423A7">
        <w:rPr>
          <w:rFonts w:cs="Arial"/>
        </w:rPr>
        <w:t>’</w:t>
      </w:r>
      <w:r w:rsidR="007F67D5">
        <w:rPr>
          <w:rFonts w:cs="Arial"/>
        </w:rPr>
        <w:t xml:space="preserve"> report demonstrating the protective </w:t>
      </w:r>
      <w:r w:rsidR="005F2A2C">
        <w:rPr>
          <w:rFonts w:cs="Arial"/>
        </w:rPr>
        <w:t>benefits</w:t>
      </w:r>
      <w:r w:rsidR="007F67D5">
        <w:rPr>
          <w:rFonts w:cs="Arial"/>
        </w:rPr>
        <w:t xml:space="preserve"> provided by income management in regard to young people. As </w:t>
      </w:r>
      <w:r w:rsidR="000C4171">
        <w:rPr>
          <w:rFonts w:cs="Arial"/>
        </w:rPr>
        <w:t>of</w:t>
      </w:r>
      <w:r w:rsidR="007F67D5">
        <w:rPr>
          <w:rFonts w:cs="Arial"/>
        </w:rPr>
        <w:t xml:space="preserve"> 21 </w:t>
      </w:r>
      <w:r w:rsidR="007E32FD">
        <w:rPr>
          <w:rFonts w:cs="Arial"/>
        </w:rPr>
        <w:t>December</w:t>
      </w:r>
      <w:r w:rsidR="007F67D5">
        <w:rPr>
          <w:rFonts w:cs="Arial"/>
        </w:rPr>
        <w:t xml:space="preserve"> 2021</w:t>
      </w:r>
      <w:r w:rsidR="00F6153A">
        <w:rPr>
          <w:rFonts w:cs="Arial"/>
        </w:rPr>
        <w:t>,</w:t>
      </w:r>
      <w:r w:rsidR="007F67D5">
        <w:rPr>
          <w:rFonts w:cs="Arial"/>
        </w:rPr>
        <w:t xml:space="preserve"> the Commission ha</w:t>
      </w:r>
      <w:r w:rsidR="000C4171">
        <w:rPr>
          <w:rFonts w:cs="Arial"/>
        </w:rPr>
        <w:t>d</w:t>
      </w:r>
      <w:r w:rsidR="007F67D5">
        <w:rPr>
          <w:rFonts w:cs="Arial"/>
        </w:rPr>
        <w:t xml:space="preserve"> 62 clients on CIM </w:t>
      </w:r>
      <w:r w:rsidR="00EE1476">
        <w:rPr>
          <w:rFonts w:cs="Arial"/>
        </w:rPr>
        <w:t xml:space="preserve">of which 47 of these clients </w:t>
      </w:r>
      <w:r w:rsidR="007F67D5">
        <w:rPr>
          <w:rFonts w:cs="Arial"/>
        </w:rPr>
        <w:t>were responsible for 109 children in their care (70 of wh</w:t>
      </w:r>
      <w:r w:rsidR="003A5468">
        <w:rPr>
          <w:rFonts w:cs="Arial"/>
        </w:rPr>
        <w:t>om</w:t>
      </w:r>
      <w:r w:rsidR="007F67D5">
        <w:rPr>
          <w:rFonts w:cs="Arial"/>
        </w:rPr>
        <w:t xml:space="preserve"> were school age</w:t>
      </w:r>
      <w:r w:rsidR="000C4171">
        <w:rPr>
          <w:rFonts w:cs="Arial"/>
        </w:rPr>
        <w:t>d</w:t>
      </w:r>
      <w:r w:rsidR="007F67D5">
        <w:rPr>
          <w:rFonts w:cs="Arial"/>
        </w:rPr>
        <w:t xml:space="preserve"> children). </w:t>
      </w:r>
      <w:r w:rsidR="007E32FD">
        <w:rPr>
          <w:rFonts w:cs="Arial"/>
        </w:rPr>
        <w:t>Additionally, t</w:t>
      </w:r>
      <w:r w:rsidR="007F67D5">
        <w:rPr>
          <w:rFonts w:cs="Arial"/>
        </w:rPr>
        <w:t xml:space="preserve">he Commission had 105 clients on VIM </w:t>
      </w:r>
      <w:r w:rsidR="00EE1476">
        <w:rPr>
          <w:rFonts w:cs="Arial"/>
        </w:rPr>
        <w:t>of which 30 of these clients ha</w:t>
      </w:r>
      <w:r w:rsidR="00A1227F">
        <w:rPr>
          <w:rFonts w:cs="Arial"/>
        </w:rPr>
        <w:t>d</w:t>
      </w:r>
      <w:r w:rsidR="007F67D5">
        <w:rPr>
          <w:rFonts w:cs="Arial"/>
        </w:rPr>
        <w:t xml:space="preserve"> 80 children in their care (54 of whom were school aged children). </w:t>
      </w:r>
      <w:r w:rsidR="003A5468">
        <w:rPr>
          <w:rFonts w:cs="Arial"/>
        </w:rPr>
        <w:t>Therefore, o</w:t>
      </w:r>
      <w:r w:rsidR="000C4171">
        <w:rPr>
          <w:rFonts w:cs="Arial"/>
        </w:rPr>
        <w:t xml:space="preserve">f the </w:t>
      </w:r>
      <w:r w:rsidR="005F3848">
        <w:rPr>
          <w:rFonts w:cs="Arial"/>
        </w:rPr>
        <w:t xml:space="preserve">77 </w:t>
      </w:r>
      <w:r w:rsidR="000C4171">
        <w:rPr>
          <w:rFonts w:cs="Arial"/>
        </w:rPr>
        <w:t>clients being income-managed</w:t>
      </w:r>
      <w:r w:rsidR="0094027C">
        <w:rPr>
          <w:rFonts w:cs="Arial"/>
        </w:rPr>
        <w:t xml:space="preserve"> </w:t>
      </w:r>
      <w:r w:rsidR="005F3848">
        <w:rPr>
          <w:rFonts w:cs="Arial"/>
        </w:rPr>
        <w:t xml:space="preserve">who had children in their care </w:t>
      </w:r>
      <w:r w:rsidR="0094027C">
        <w:rPr>
          <w:rFonts w:cs="Arial"/>
        </w:rPr>
        <w:t>as of 21 December</w:t>
      </w:r>
      <w:r w:rsidR="003A5468">
        <w:rPr>
          <w:rFonts w:cs="Arial"/>
        </w:rPr>
        <w:t xml:space="preserve">, </w:t>
      </w:r>
      <w:r w:rsidR="000C4171">
        <w:rPr>
          <w:rFonts w:cs="Arial"/>
        </w:rPr>
        <w:t xml:space="preserve">189 children were </w:t>
      </w:r>
      <w:r w:rsidR="007E32FD">
        <w:rPr>
          <w:rFonts w:cs="Arial"/>
        </w:rPr>
        <w:t xml:space="preserve">receiving the benefit of </w:t>
      </w:r>
      <w:r w:rsidR="003A5468">
        <w:rPr>
          <w:rFonts w:cs="Arial"/>
        </w:rPr>
        <w:t xml:space="preserve">their caregivers being </w:t>
      </w:r>
      <w:r w:rsidR="003A5468" w:rsidRPr="003A5468">
        <w:rPr>
          <w:rFonts w:cs="Arial"/>
        </w:rPr>
        <w:t>connected to additional services and supports</w:t>
      </w:r>
      <w:r w:rsidR="003A5468">
        <w:rPr>
          <w:rFonts w:cs="Arial"/>
        </w:rPr>
        <w:t xml:space="preserve"> </w:t>
      </w:r>
      <w:r w:rsidR="007E32FD">
        <w:rPr>
          <w:rFonts w:cs="Arial"/>
        </w:rPr>
        <w:t xml:space="preserve">to </w:t>
      </w:r>
      <w:r w:rsidR="003A5468" w:rsidRPr="003A5468">
        <w:rPr>
          <w:rFonts w:cs="Arial"/>
        </w:rPr>
        <w:t xml:space="preserve">encourage spending on priority needs, to alleviate </w:t>
      </w:r>
      <w:r w:rsidR="007E32FD">
        <w:rPr>
          <w:rFonts w:cs="Arial"/>
        </w:rPr>
        <w:t>financial</w:t>
      </w:r>
      <w:r w:rsidR="003A5468" w:rsidRPr="003A5468">
        <w:rPr>
          <w:rFonts w:cs="Arial"/>
        </w:rPr>
        <w:t xml:space="preserve"> hardship and to reduce the amount of income available to be spent on items such as alcohol</w:t>
      </w:r>
      <w:r w:rsidR="00363DB6">
        <w:rPr>
          <w:rFonts w:cs="Arial"/>
        </w:rPr>
        <w:t xml:space="preserve">, </w:t>
      </w:r>
      <w:r w:rsidR="003A5468" w:rsidRPr="003A5468">
        <w:rPr>
          <w:rFonts w:cs="Arial"/>
        </w:rPr>
        <w:t>gambling</w:t>
      </w:r>
      <w:r w:rsidR="00363DB6">
        <w:rPr>
          <w:rFonts w:cs="Arial"/>
        </w:rPr>
        <w:t xml:space="preserve"> products </w:t>
      </w:r>
      <w:r w:rsidR="000411A2">
        <w:rPr>
          <w:rFonts w:cs="Arial"/>
        </w:rPr>
        <w:t xml:space="preserve">or </w:t>
      </w:r>
      <w:r w:rsidR="009B36CF">
        <w:rPr>
          <w:rFonts w:cs="Arial"/>
        </w:rPr>
        <w:t xml:space="preserve">from the </w:t>
      </w:r>
      <w:r w:rsidR="000411A2">
        <w:rPr>
          <w:rFonts w:cs="Arial"/>
        </w:rPr>
        <w:t>withdrawal of cash</w:t>
      </w:r>
      <w:r w:rsidR="00D83E3E">
        <w:rPr>
          <w:rFonts w:cs="Arial"/>
        </w:rPr>
        <w:t xml:space="preserve"> to be spent on those items</w:t>
      </w:r>
      <w:r w:rsidR="00FD6FD0">
        <w:rPr>
          <w:rFonts w:cs="Arial"/>
        </w:rPr>
        <w:t>.</w:t>
      </w:r>
      <w:r w:rsidR="00255068">
        <w:rPr>
          <w:rFonts w:cs="Arial"/>
        </w:rPr>
        <w:t xml:space="preserve"> This is an example of the broader impact the FRC has on community members within its jurisdiction.</w:t>
      </w:r>
    </w:p>
    <w:bookmarkEnd w:id="2"/>
    <w:p w14:paraId="00A1F5EB" w14:textId="77777777" w:rsidR="00560679" w:rsidRDefault="00560679" w:rsidP="004970A8">
      <w:pPr>
        <w:ind w:left="-142" w:right="-425"/>
        <w:jc w:val="both"/>
        <w:rPr>
          <w:rFonts w:cs="Arial"/>
          <w:bCs/>
          <w:lang w:val="en-US"/>
        </w:rPr>
      </w:pPr>
    </w:p>
    <w:p w14:paraId="2985644D" w14:textId="0DA3545B" w:rsidR="00991606" w:rsidRPr="00991606" w:rsidRDefault="00991606" w:rsidP="004970A8">
      <w:pPr>
        <w:ind w:left="-142" w:right="-425"/>
        <w:jc w:val="both"/>
        <w:rPr>
          <w:rFonts w:cs="Arial"/>
          <w:b/>
          <w:lang w:val="en-US"/>
        </w:rPr>
      </w:pPr>
      <w:r>
        <w:rPr>
          <w:rFonts w:cs="Arial"/>
          <w:b/>
          <w:lang w:val="en-US"/>
        </w:rPr>
        <w:t>Annual Report 2020-21</w:t>
      </w:r>
    </w:p>
    <w:p w14:paraId="478CBFEF" w14:textId="19BBAEC1" w:rsidR="004970A8" w:rsidRDefault="00A97E1F" w:rsidP="004970A8">
      <w:pPr>
        <w:ind w:left="-142" w:right="-425"/>
        <w:jc w:val="both"/>
        <w:rPr>
          <w:rFonts w:cs="Arial"/>
          <w:bCs/>
        </w:rPr>
      </w:pPr>
      <w:r w:rsidRPr="00A97E1F">
        <w:rPr>
          <w:rFonts w:cs="Arial"/>
          <w:bCs/>
          <w:lang w:val="en-US"/>
        </w:rPr>
        <w:t xml:space="preserve">As per section 143 of the </w:t>
      </w:r>
      <w:r w:rsidRPr="00A97E1F">
        <w:rPr>
          <w:rFonts w:cs="Arial"/>
          <w:bCs/>
          <w:i/>
          <w:iCs/>
          <w:lang w:val="en-US"/>
        </w:rPr>
        <w:t>Family Responsibilities Commission Act 2008</w:t>
      </w:r>
      <w:r w:rsidRPr="00A97E1F">
        <w:rPr>
          <w:rFonts w:cs="Arial"/>
          <w:bCs/>
          <w:lang w:val="en-US"/>
        </w:rPr>
        <w:t xml:space="preserve">, as soon as is practicable after each financial year, but not later than 31 October, the Commissioner must prepare and give the </w:t>
      </w:r>
      <w:r w:rsidRPr="00A97E1F">
        <w:rPr>
          <w:rFonts w:cs="Arial"/>
          <w:bCs/>
          <w:lang w:val="en-US"/>
        </w:rPr>
        <w:lastRenderedPageBreak/>
        <w:t>Minister a written report containing a review of the operation of the Commission during the financial year.</w:t>
      </w:r>
      <w:r>
        <w:rPr>
          <w:rFonts w:cs="Arial"/>
          <w:bCs/>
          <w:lang w:val="en-US"/>
        </w:rPr>
        <w:t xml:space="preserve"> </w:t>
      </w:r>
      <w:r w:rsidR="004970A8">
        <w:rPr>
          <w:rFonts w:cs="Arial"/>
          <w:bCs/>
        </w:rPr>
        <w:t xml:space="preserve">On 28 October the Commission </w:t>
      </w:r>
      <w:r w:rsidR="004970A8" w:rsidRPr="004970A8">
        <w:rPr>
          <w:rFonts w:cs="Arial"/>
          <w:bCs/>
        </w:rPr>
        <w:t xml:space="preserve">delivered to </w:t>
      </w:r>
      <w:r w:rsidR="004970A8">
        <w:rPr>
          <w:rFonts w:cs="Arial"/>
          <w:bCs/>
        </w:rPr>
        <w:t>The Honourable Craig Crawford MP, Minister for Seniors and Disability Services and Minister for Aboriginal and Torres Strait Islander Partnerships, the Commission’s Annual Report 2020-21</w:t>
      </w:r>
      <w:r w:rsidR="004970A8">
        <w:rPr>
          <w:rFonts w:cs="Arial"/>
          <w:bCs/>
          <w:i/>
          <w:iCs/>
        </w:rPr>
        <w:t>,</w:t>
      </w:r>
      <w:r w:rsidR="004970A8">
        <w:rPr>
          <w:rFonts w:cs="Arial"/>
          <w:bCs/>
        </w:rPr>
        <w:t xml:space="preserve"> </w:t>
      </w:r>
      <w:r w:rsidR="004970A8" w:rsidRPr="004970A8">
        <w:rPr>
          <w:rFonts w:cs="Arial"/>
          <w:bCs/>
        </w:rPr>
        <w:t>together with a</w:t>
      </w:r>
      <w:r w:rsidR="004970A8">
        <w:rPr>
          <w:rFonts w:cs="Arial"/>
          <w:bCs/>
        </w:rPr>
        <w:t xml:space="preserve"> Brief </w:t>
      </w:r>
      <w:r w:rsidR="002660B2">
        <w:rPr>
          <w:rFonts w:cs="Arial"/>
          <w:bCs/>
        </w:rPr>
        <w:t xml:space="preserve">providing a summary of the </w:t>
      </w:r>
      <w:r w:rsidR="0033379D">
        <w:rPr>
          <w:rFonts w:cs="Arial"/>
          <w:bCs/>
        </w:rPr>
        <w:t xml:space="preserve">operational performance highlights </w:t>
      </w:r>
      <w:r w:rsidR="00F939CD">
        <w:rPr>
          <w:rFonts w:cs="Arial"/>
          <w:bCs/>
        </w:rPr>
        <w:t xml:space="preserve">during the reporting period </w:t>
      </w:r>
      <w:r w:rsidR="0033379D">
        <w:rPr>
          <w:rFonts w:cs="Arial"/>
          <w:bCs/>
        </w:rPr>
        <w:t>including:</w:t>
      </w:r>
    </w:p>
    <w:p w14:paraId="21434263" w14:textId="11EF05BC" w:rsidR="002660B2" w:rsidRPr="00FD6FD0" w:rsidRDefault="002660B2" w:rsidP="000114A6">
      <w:pPr>
        <w:pStyle w:val="ListParagraph"/>
        <w:numPr>
          <w:ilvl w:val="0"/>
          <w:numId w:val="15"/>
        </w:numPr>
        <w:spacing w:line="288" w:lineRule="auto"/>
        <w:ind w:left="924" w:right="-425" w:hanging="357"/>
        <w:jc w:val="both"/>
        <w:rPr>
          <w:rFonts w:ascii="Verdana" w:hAnsi="Verdana" w:cs="Arial"/>
          <w:sz w:val="20"/>
          <w:szCs w:val="20"/>
        </w:rPr>
      </w:pPr>
      <w:r w:rsidRPr="00FD6FD0">
        <w:rPr>
          <w:rFonts w:ascii="Verdana" w:hAnsi="Verdana" w:cs="Arial"/>
          <w:sz w:val="20"/>
          <w:szCs w:val="20"/>
        </w:rPr>
        <w:t>FRC decisions throughout 2020-21 had an increased focus on capacity-building and client participation</w:t>
      </w:r>
    </w:p>
    <w:p w14:paraId="740DC4AC" w14:textId="7B8D70AA" w:rsidR="002660B2" w:rsidRPr="00FD6FD0" w:rsidRDefault="0033379D" w:rsidP="000114A6">
      <w:pPr>
        <w:pStyle w:val="ListParagraph"/>
        <w:numPr>
          <w:ilvl w:val="0"/>
          <w:numId w:val="15"/>
        </w:numPr>
        <w:spacing w:line="288" w:lineRule="auto"/>
        <w:ind w:left="924" w:right="-425" w:hanging="357"/>
        <w:jc w:val="both"/>
        <w:rPr>
          <w:rFonts w:ascii="Verdana" w:hAnsi="Verdana" w:cs="Arial"/>
          <w:sz w:val="20"/>
          <w:szCs w:val="20"/>
        </w:rPr>
      </w:pPr>
      <w:r w:rsidRPr="00FD6FD0">
        <w:rPr>
          <w:rFonts w:ascii="Verdana" w:hAnsi="Verdana" w:cs="Arial"/>
          <w:sz w:val="20"/>
          <w:szCs w:val="20"/>
        </w:rPr>
        <w:t>a</w:t>
      </w:r>
      <w:r w:rsidR="002660B2" w:rsidRPr="00FD6FD0">
        <w:rPr>
          <w:rFonts w:ascii="Verdana" w:hAnsi="Verdana" w:cs="Arial"/>
          <w:sz w:val="20"/>
          <w:szCs w:val="20"/>
        </w:rPr>
        <w:t xml:space="preserve"> record number of community members were supported by the FRC through case management</w:t>
      </w:r>
      <w:r w:rsidRPr="00FD6FD0">
        <w:rPr>
          <w:rFonts w:ascii="Verdana" w:hAnsi="Verdana" w:cs="Arial"/>
          <w:sz w:val="20"/>
          <w:szCs w:val="20"/>
        </w:rPr>
        <w:t xml:space="preserve"> during the reporting period</w:t>
      </w:r>
    </w:p>
    <w:p w14:paraId="744BAB4A" w14:textId="52CC590F" w:rsidR="002660B2" w:rsidRPr="00FD6FD0" w:rsidRDefault="0033379D" w:rsidP="000114A6">
      <w:pPr>
        <w:pStyle w:val="ListParagraph"/>
        <w:numPr>
          <w:ilvl w:val="0"/>
          <w:numId w:val="15"/>
        </w:numPr>
        <w:spacing w:line="288" w:lineRule="auto"/>
        <w:ind w:left="924" w:right="-425" w:hanging="357"/>
        <w:jc w:val="both"/>
        <w:rPr>
          <w:rFonts w:ascii="Verdana" w:hAnsi="Verdana" w:cs="Arial"/>
          <w:sz w:val="20"/>
          <w:szCs w:val="20"/>
        </w:rPr>
      </w:pPr>
      <w:r w:rsidRPr="00FD6FD0">
        <w:rPr>
          <w:rFonts w:ascii="Verdana" w:hAnsi="Verdana" w:cs="Arial"/>
          <w:sz w:val="20"/>
          <w:szCs w:val="20"/>
        </w:rPr>
        <w:t>a</w:t>
      </w:r>
      <w:r w:rsidR="002660B2" w:rsidRPr="00FD6FD0">
        <w:rPr>
          <w:rFonts w:ascii="Verdana" w:hAnsi="Verdana" w:cs="Arial"/>
          <w:sz w:val="20"/>
          <w:szCs w:val="20"/>
        </w:rPr>
        <w:t xml:space="preserve"> significant uptake in referrals </w:t>
      </w:r>
      <w:r w:rsidRPr="00FD6FD0">
        <w:rPr>
          <w:rFonts w:ascii="Verdana" w:hAnsi="Verdana" w:cs="Arial"/>
          <w:sz w:val="20"/>
          <w:szCs w:val="20"/>
        </w:rPr>
        <w:t xml:space="preserve">experienced for the reporting period </w:t>
      </w:r>
      <w:r w:rsidR="00AF0511" w:rsidRPr="00FD6FD0">
        <w:rPr>
          <w:rFonts w:ascii="Verdana" w:hAnsi="Verdana" w:cs="Arial"/>
          <w:sz w:val="20"/>
          <w:szCs w:val="20"/>
        </w:rPr>
        <w:t>was</w:t>
      </w:r>
      <w:r w:rsidR="002660B2" w:rsidRPr="00FD6FD0">
        <w:rPr>
          <w:rFonts w:ascii="Verdana" w:hAnsi="Verdana" w:cs="Arial"/>
          <w:sz w:val="20"/>
          <w:szCs w:val="20"/>
        </w:rPr>
        <w:t xml:space="preserve"> reflective of client-driven demand</w:t>
      </w:r>
    </w:p>
    <w:p w14:paraId="45AB95A3" w14:textId="4CF7BA1B" w:rsidR="002660B2" w:rsidRPr="00FD6FD0" w:rsidRDefault="0033379D" w:rsidP="000114A6">
      <w:pPr>
        <w:pStyle w:val="ListParagraph"/>
        <w:numPr>
          <w:ilvl w:val="0"/>
          <w:numId w:val="15"/>
        </w:numPr>
        <w:spacing w:line="288" w:lineRule="auto"/>
        <w:ind w:left="924" w:right="-425" w:hanging="357"/>
        <w:jc w:val="both"/>
        <w:rPr>
          <w:rFonts w:ascii="Verdana" w:hAnsi="Verdana" w:cs="Arial"/>
          <w:bCs/>
          <w:sz w:val="20"/>
          <w:szCs w:val="20"/>
        </w:rPr>
      </w:pPr>
      <w:r w:rsidRPr="00FD6FD0">
        <w:rPr>
          <w:rFonts w:ascii="Verdana" w:hAnsi="Verdana" w:cs="Arial"/>
          <w:bCs/>
          <w:sz w:val="20"/>
          <w:szCs w:val="20"/>
        </w:rPr>
        <w:t>m</w:t>
      </w:r>
      <w:r w:rsidR="002660B2" w:rsidRPr="00FD6FD0">
        <w:rPr>
          <w:rFonts w:ascii="Verdana" w:hAnsi="Verdana" w:cs="Arial"/>
          <w:bCs/>
          <w:sz w:val="20"/>
          <w:szCs w:val="20"/>
        </w:rPr>
        <w:t>ore partnerships led to increased referral pathway options for clients</w:t>
      </w:r>
      <w:r w:rsidR="00AF0511" w:rsidRPr="00FD6FD0">
        <w:rPr>
          <w:rFonts w:ascii="Verdana" w:hAnsi="Verdana" w:cs="Arial"/>
          <w:bCs/>
          <w:sz w:val="20"/>
          <w:szCs w:val="20"/>
        </w:rPr>
        <w:t xml:space="preserve"> and</w:t>
      </w:r>
    </w:p>
    <w:p w14:paraId="62986C2C" w14:textId="39CE9A61" w:rsidR="002660B2" w:rsidRPr="00FD6FD0" w:rsidRDefault="0033379D" w:rsidP="000114A6">
      <w:pPr>
        <w:pStyle w:val="ListParagraph"/>
        <w:numPr>
          <w:ilvl w:val="0"/>
          <w:numId w:val="15"/>
        </w:numPr>
        <w:spacing w:line="288" w:lineRule="auto"/>
        <w:ind w:left="924" w:right="-425" w:hanging="357"/>
        <w:jc w:val="both"/>
        <w:rPr>
          <w:rFonts w:ascii="Verdana" w:hAnsi="Verdana" w:cs="Arial"/>
          <w:sz w:val="20"/>
          <w:szCs w:val="20"/>
        </w:rPr>
      </w:pPr>
      <w:r w:rsidRPr="00FD6FD0">
        <w:rPr>
          <w:rFonts w:ascii="Verdana" w:hAnsi="Verdana" w:cs="Arial"/>
          <w:sz w:val="20"/>
          <w:szCs w:val="20"/>
        </w:rPr>
        <w:t>a</w:t>
      </w:r>
      <w:r w:rsidR="002660B2" w:rsidRPr="00FD6FD0">
        <w:rPr>
          <w:rFonts w:ascii="Verdana" w:hAnsi="Verdana" w:cs="Arial"/>
          <w:sz w:val="20"/>
          <w:szCs w:val="20"/>
        </w:rPr>
        <w:t xml:space="preserve"> record number of people ha</w:t>
      </w:r>
      <w:r w:rsidRPr="00FD6FD0">
        <w:rPr>
          <w:rFonts w:ascii="Verdana" w:hAnsi="Verdana" w:cs="Arial"/>
          <w:sz w:val="20"/>
          <w:szCs w:val="20"/>
        </w:rPr>
        <w:t>d</w:t>
      </w:r>
      <w:r w:rsidR="002660B2" w:rsidRPr="00FD6FD0">
        <w:rPr>
          <w:rFonts w:ascii="Verdana" w:hAnsi="Verdana" w:cs="Arial"/>
          <w:sz w:val="20"/>
          <w:szCs w:val="20"/>
        </w:rPr>
        <w:t xml:space="preserve"> self-referred to the FRC and volunteered to have a portion of their </w:t>
      </w:r>
      <w:r w:rsidR="00AF0511" w:rsidRPr="00FD6FD0">
        <w:rPr>
          <w:rFonts w:ascii="Verdana" w:hAnsi="Verdana" w:cs="Arial"/>
          <w:sz w:val="20"/>
          <w:szCs w:val="20"/>
        </w:rPr>
        <w:t xml:space="preserve">welfare </w:t>
      </w:r>
      <w:r w:rsidR="002660B2" w:rsidRPr="00FD6FD0">
        <w:rPr>
          <w:rFonts w:ascii="Verdana" w:hAnsi="Verdana" w:cs="Arial"/>
          <w:sz w:val="20"/>
          <w:szCs w:val="20"/>
        </w:rPr>
        <w:t>payments income</w:t>
      </w:r>
      <w:r w:rsidR="00AF0511" w:rsidRPr="00FD6FD0">
        <w:rPr>
          <w:rFonts w:ascii="Verdana" w:hAnsi="Verdana" w:cs="Arial"/>
          <w:sz w:val="20"/>
          <w:szCs w:val="20"/>
        </w:rPr>
        <w:t>-</w:t>
      </w:r>
      <w:r w:rsidR="002660B2" w:rsidRPr="00FD6FD0">
        <w:rPr>
          <w:rFonts w:ascii="Verdana" w:hAnsi="Verdana" w:cs="Arial"/>
          <w:sz w:val="20"/>
          <w:szCs w:val="20"/>
        </w:rPr>
        <w:t>managed</w:t>
      </w:r>
      <w:r w:rsidR="009C0C90" w:rsidRPr="00FD6FD0">
        <w:rPr>
          <w:rFonts w:ascii="Verdana" w:hAnsi="Verdana" w:cs="Arial"/>
          <w:sz w:val="20"/>
          <w:szCs w:val="20"/>
        </w:rPr>
        <w:t>.</w:t>
      </w:r>
    </w:p>
    <w:p w14:paraId="4D303D72" w14:textId="23960360" w:rsidR="004970A8" w:rsidRPr="004970A8" w:rsidRDefault="004970A8" w:rsidP="004970A8">
      <w:pPr>
        <w:ind w:left="-142" w:right="-425"/>
        <w:jc w:val="both"/>
        <w:rPr>
          <w:rFonts w:cs="Arial"/>
          <w:bCs/>
        </w:rPr>
      </w:pPr>
      <w:r w:rsidRPr="004970A8">
        <w:rPr>
          <w:rFonts w:cs="Arial"/>
          <w:bCs/>
        </w:rPr>
        <w:t>An embargoed electronic copy of the annual report w</w:t>
      </w:r>
      <w:r w:rsidR="0028027C">
        <w:rPr>
          <w:rFonts w:cs="Arial"/>
          <w:bCs/>
        </w:rPr>
        <w:t>as also</w:t>
      </w:r>
      <w:r w:rsidRPr="004970A8">
        <w:rPr>
          <w:rFonts w:cs="Arial"/>
          <w:bCs/>
        </w:rPr>
        <w:t xml:space="preserve"> provided to the FR Board Members and Secretariate for their internal briefing purposes.</w:t>
      </w:r>
    </w:p>
    <w:p w14:paraId="4EB21F72" w14:textId="77777777" w:rsidR="004970A8" w:rsidRPr="004970A8" w:rsidRDefault="004970A8" w:rsidP="004970A8">
      <w:pPr>
        <w:ind w:left="-142" w:right="-425"/>
        <w:jc w:val="both"/>
        <w:rPr>
          <w:rFonts w:cs="Arial"/>
          <w:bCs/>
        </w:rPr>
      </w:pPr>
    </w:p>
    <w:p w14:paraId="2FD4B99E" w14:textId="1230957A" w:rsidR="008D3EBF" w:rsidRPr="008D3EBF" w:rsidRDefault="00136815" w:rsidP="004970A8">
      <w:pPr>
        <w:ind w:left="-142" w:right="-425"/>
        <w:jc w:val="both"/>
        <w:rPr>
          <w:rFonts w:cs="Arial"/>
          <w:b/>
        </w:rPr>
      </w:pPr>
      <w:r>
        <w:rPr>
          <w:rFonts w:cs="Arial"/>
          <w:b/>
        </w:rPr>
        <w:t>Family Responsibilities Board</w:t>
      </w:r>
    </w:p>
    <w:p w14:paraId="226D3ADF" w14:textId="1119107A" w:rsidR="004970A8" w:rsidRPr="004970A8" w:rsidRDefault="004970A8" w:rsidP="004970A8">
      <w:pPr>
        <w:ind w:left="-142" w:right="-425"/>
        <w:jc w:val="both"/>
        <w:rPr>
          <w:rFonts w:cs="Arial"/>
          <w:bCs/>
        </w:rPr>
      </w:pPr>
      <w:r w:rsidRPr="004970A8">
        <w:rPr>
          <w:rFonts w:cs="Arial"/>
          <w:bCs/>
        </w:rPr>
        <w:t xml:space="preserve">Members of the FRC Executive Management Team </w:t>
      </w:r>
      <w:r w:rsidR="00AF0511">
        <w:rPr>
          <w:rFonts w:cs="Arial"/>
          <w:bCs/>
        </w:rPr>
        <w:t xml:space="preserve">travelled to </w:t>
      </w:r>
      <w:r w:rsidRPr="004970A8">
        <w:rPr>
          <w:rFonts w:cs="Arial"/>
          <w:bCs/>
        </w:rPr>
        <w:t xml:space="preserve">Brisbane </w:t>
      </w:r>
      <w:r w:rsidR="00AF0511">
        <w:rPr>
          <w:rFonts w:cs="Arial"/>
          <w:bCs/>
        </w:rPr>
        <w:t xml:space="preserve">to attend </w:t>
      </w:r>
      <w:r w:rsidR="00C258C6">
        <w:rPr>
          <w:rFonts w:cs="Arial"/>
          <w:bCs/>
        </w:rPr>
        <w:t>a</w:t>
      </w:r>
      <w:r w:rsidR="00254EAD">
        <w:rPr>
          <w:rFonts w:cs="Arial"/>
          <w:bCs/>
        </w:rPr>
        <w:t>n</w:t>
      </w:r>
      <w:r w:rsidR="00AF0511">
        <w:rPr>
          <w:rFonts w:cs="Arial"/>
          <w:bCs/>
        </w:rPr>
        <w:t xml:space="preserve"> </w:t>
      </w:r>
      <w:r w:rsidR="00136815">
        <w:rPr>
          <w:rFonts w:cs="Arial"/>
          <w:bCs/>
        </w:rPr>
        <w:t xml:space="preserve">FR Board </w:t>
      </w:r>
      <w:r w:rsidR="00AF0511">
        <w:rPr>
          <w:rFonts w:cs="Arial"/>
          <w:bCs/>
        </w:rPr>
        <w:t xml:space="preserve">meeting </w:t>
      </w:r>
      <w:r w:rsidR="00C258C6">
        <w:rPr>
          <w:rFonts w:cs="Arial"/>
          <w:bCs/>
        </w:rPr>
        <w:t xml:space="preserve">held </w:t>
      </w:r>
      <w:r w:rsidR="00AF0511">
        <w:rPr>
          <w:rFonts w:cs="Arial"/>
          <w:bCs/>
        </w:rPr>
        <w:t xml:space="preserve">on </w:t>
      </w:r>
      <w:r w:rsidRPr="004970A8">
        <w:rPr>
          <w:rFonts w:cs="Arial"/>
          <w:bCs/>
        </w:rPr>
        <w:t>Thursday</w:t>
      </w:r>
      <w:r w:rsidR="00AF0511">
        <w:rPr>
          <w:rFonts w:cs="Arial"/>
          <w:bCs/>
        </w:rPr>
        <w:t>,</w:t>
      </w:r>
      <w:r w:rsidRPr="004970A8">
        <w:rPr>
          <w:rFonts w:cs="Arial"/>
          <w:bCs/>
        </w:rPr>
        <w:t xml:space="preserve"> 4 November</w:t>
      </w:r>
      <w:r w:rsidR="003905C5">
        <w:rPr>
          <w:rFonts w:cs="Arial"/>
          <w:bCs/>
        </w:rPr>
        <w:t xml:space="preserve"> 2021</w:t>
      </w:r>
      <w:r w:rsidR="00C258C6">
        <w:rPr>
          <w:rFonts w:cs="Arial"/>
          <w:bCs/>
        </w:rPr>
        <w:t xml:space="preserve">. </w:t>
      </w:r>
      <w:r w:rsidR="00882627">
        <w:rPr>
          <w:rFonts w:cs="Arial"/>
          <w:bCs/>
        </w:rPr>
        <w:t>A</w:t>
      </w:r>
      <w:r w:rsidR="00136815">
        <w:rPr>
          <w:rFonts w:cs="Arial"/>
          <w:bCs/>
        </w:rPr>
        <w:t xml:space="preserve"> community</w:t>
      </w:r>
      <w:r w:rsidR="00882627">
        <w:rPr>
          <w:rFonts w:cs="Arial"/>
          <w:bCs/>
        </w:rPr>
        <w:t xml:space="preserve"> update report for </w:t>
      </w:r>
      <w:r w:rsidR="00136815">
        <w:rPr>
          <w:rFonts w:cs="Arial"/>
          <w:bCs/>
        </w:rPr>
        <w:t xml:space="preserve">Aurukun, Coen, Doomadgee, Hope Vale and Mossman Gorge </w:t>
      </w:r>
      <w:r w:rsidR="00882627">
        <w:rPr>
          <w:rFonts w:cs="Arial"/>
          <w:bCs/>
        </w:rPr>
        <w:t xml:space="preserve">was provided </w:t>
      </w:r>
      <w:r w:rsidR="00136815">
        <w:rPr>
          <w:rFonts w:cs="Arial"/>
          <w:bCs/>
        </w:rPr>
        <w:t>fo</w:t>
      </w:r>
      <w:r w:rsidR="00882627">
        <w:rPr>
          <w:rFonts w:cs="Arial"/>
          <w:bCs/>
        </w:rPr>
        <w:t xml:space="preserve">r the period 1 July to 30 September 2021 including operational highlights, challenges and other </w:t>
      </w:r>
      <w:r w:rsidR="00136815">
        <w:rPr>
          <w:rFonts w:cs="Arial"/>
          <w:bCs/>
        </w:rPr>
        <w:t xml:space="preserve">significant </w:t>
      </w:r>
      <w:r w:rsidR="00882627">
        <w:rPr>
          <w:rFonts w:cs="Arial"/>
          <w:bCs/>
        </w:rPr>
        <w:t>community news</w:t>
      </w:r>
      <w:r w:rsidR="002E6583">
        <w:rPr>
          <w:rFonts w:cs="Arial"/>
          <w:bCs/>
        </w:rPr>
        <w:t>. T</w:t>
      </w:r>
      <w:r w:rsidR="00427C85" w:rsidRPr="00427C85">
        <w:rPr>
          <w:rFonts w:cs="Arial"/>
          <w:bCs/>
        </w:rPr>
        <w:t xml:space="preserve">he Commission prepared </w:t>
      </w:r>
      <w:r w:rsidR="00427C85">
        <w:rPr>
          <w:rFonts w:cs="Arial"/>
          <w:bCs/>
        </w:rPr>
        <w:t xml:space="preserve">and presented </w:t>
      </w:r>
      <w:r w:rsidR="00427C85" w:rsidRPr="00427C85">
        <w:rPr>
          <w:rFonts w:cs="Arial"/>
          <w:bCs/>
        </w:rPr>
        <w:t xml:space="preserve">a budget </w:t>
      </w:r>
      <w:r w:rsidR="00427C85">
        <w:rPr>
          <w:rFonts w:cs="Arial"/>
          <w:bCs/>
        </w:rPr>
        <w:t xml:space="preserve">report </w:t>
      </w:r>
      <w:r w:rsidR="00427C85" w:rsidRPr="00427C85">
        <w:rPr>
          <w:rFonts w:cs="Arial"/>
          <w:bCs/>
        </w:rPr>
        <w:t>for the financial year 2021-22</w:t>
      </w:r>
      <w:r w:rsidR="00427C85">
        <w:rPr>
          <w:rFonts w:cs="Arial"/>
          <w:bCs/>
        </w:rPr>
        <w:t xml:space="preserve">, </w:t>
      </w:r>
      <w:r w:rsidR="005E0AC7">
        <w:rPr>
          <w:rFonts w:cs="Arial"/>
          <w:bCs/>
        </w:rPr>
        <w:t xml:space="preserve">and a </w:t>
      </w:r>
      <w:r w:rsidR="005E0AC7" w:rsidRPr="005E0AC7">
        <w:rPr>
          <w:rFonts w:cs="Arial"/>
          <w:bCs/>
        </w:rPr>
        <w:t xml:space="preserve">brief </w:t>
      </w:r>
      <w:r w:rsidR="005E0AC7">
        <w:rPr>
          <w:rFonts w:cs="Arial"/>
          <w:bCs/>
        </w:rPr>
        <w:t xml:space="preserve">was presented </w:t>
      </w:r>
      <w:r w:rsidR="005E0AC7" w:rsidRPr="005E0AC7">
        <w:rPr>
          <w:rFonts w:cs="Arial"/>
          <w:bCs/>
        </w:rPr>
        <w:t>formally request</w:t>
      </w:r>
      <w:r w:rsidR="005E0AC7">
        <w:rPr>
          <w:rFonts w:cs="Arial"/>
          <w:bCs/>
        </w:rPr>
        <w:t>ing</w:t>
      </w:r>
      <w:r w:rsidR="005E0AC7" w:rsidRPr="005E0AC7">
        <w:rPr>
          <w:rFonts w:cs="Arial"/>
          <w:bCs/>
        </w:rPr>
        <w:t xml:space="preserve"> the FR Board provide advice to the Commissioner pursuant to section 117 of the FRC Act in relation to appointments of additional Local Commissioners</w:t>
      </w:r>
      <w:r w:rsidR="005E0AC7">
        <w:rPr>
          <w:rFonts w:cs="Arial"/>
          <w:bCs/>
        </w:rPr>
        <w:t xml:space="preserve">. </w:t>
      </w:r>
      <w:r w:rsidR="002E6583">
        <w:rPr>
          <w:rFonts w:cs="Arial"/>
          <w:bCs/>
        </w:rPr>
        <w:t>The FR Board subsequently endorsed the request to seek the nomination of new Local Commissioner appointments.</w:t>
      </w:r>
    </w:p>
    <w:p w14:paraId="53784A69" w14:textId="77777777" w:rsidR="004970A8" w:rsidRPr="004970A8" w:rsidRDefault="004970A8" w:rsidP="004970A8">
      <w:pPr>
        <w:ind w:left="-142" w:right="-425"/>
        <w:jc w:val="both"/>
        <w:rPr>
          <w:rFonts w:cs="Arial"/>
          <w:bCs/>
        </w:rPr>
      </w:pPr>
    </w:p>
    <w:p w14:paraId="4CB095C9" w14:textId="77777777" w:rsidR="00162BE8" w:rsidRPr="00901D28" w:rsidRDefault="00162BE8" w:rsidP="00162BE8">
      <w:pPr>
        <w:ind w:left="-142" w:right="-425"/>
        <w:jc w:val="both"/>
        <w:rPr>
          <w:rFonts w:cs="Arial"/>
          <w:b/>
          <w:bCs/>
        </w:rPr>
      </w:pPr>
      <w:r>
        <w:rPr>
          <w:rFonts w:cs="Arial"/>
          <w:b/>
          <w:bCs/>
        </w:rPr>
        <w:t>Cyber security training</w:t>
      </w:r>
    </w:p>
    <w:p w14:paraId="2D6F2925" w14:textId="1AE8CBF5" w:rsidR="00162BE8" w:rsidRDefault="00162BE8" w:rsidP="00162BE8">
      <w:pPr>
        <w:ind w:left="-142" w:right="-425"/>
        <w:jc w:val="both"/>
        <w:rPr>
          <w:rFonts w:cs="Arial"/>
        </w:rPr>
      </w:pPr>
      <w:r w:rsidRPr="000D79E4">
        <w:rPr>
          <w:rFonts w:cs="Arial"/>
        </w:rPr>
        <w:t>Data</w:t>
      </w:r>
      <w:r>
        <w:rPr>
          <w:rFonts w:cs="Arial"/>
        </w:rPr>
        <w:t>sets</w:t>
      </w:r>
      <w:r w:rsidRPr="000D79E4">
        <w:rPr>
          <w:rFonts w:cs="Arial"/>
        </w:rPr>
        <w:t xml:space="preserve"> </w:t>
      </w:r>
      <w:r>
        <w:rPr>
          <w:rFonts w:cs="Arial"/>
        </w:rPr>
        <w:t xml:space="preserve">held by the Commission are a vital </w:t>
      </w:r>
      <w:r w:rsidRPr="000D79E4">
        <w:rPr>
          <w:rFonts w:cs="Arial"/>
        </w:rPr>
        <w:t>asset</w:t>
      </w:r>
      <w:r>
        <w:rPr>
          <w:rFonts w:cs="Arial"/>
        </w:rPr>
        <w:t>. Amongst other benefits, they inform our compliance with the FRC Act, allow the Commission to hold conferences and inform the basis of client case-management. Additionally, they inform our efficiency and performance</w:t>
      </w:r>
      <w:r w:rsidRPr="000D79E4">
        <w:rPr>
          <w:rFonts w:cs="Arial"/>
        </w:rPr>
        <w:t xml:space="preserve">. </w:t>
      </w:r>
      <w:r>
        <w:rPr>
          <w:rFonts w:cs="Arial"/>
        </w:rPr>
        <w:t xml:space="preserve">Protecting our datasets to mitigate against potential security threats and to ensure the privacy of those datasets is a focus for the Commission. This focus is primarily on the prevention of </w:t>
      </w:r>
      <w:r w:rsidRPr="000D79E4">
        <w:rPr>
          <w:rFonts w:cs="Arial"/>
        </w:rPr>
        <w:t>unauthori</w:t>
      </w:r>
      <w:r w:rsidR="000C3FC7">
        <w:rPr>
          <w:rFonts w:cs="Arial"/>
        </w:rPr>
        <w:t>s</w:t>
      </w:r>
      <w:r w:rsidRPr="000D79E4">
        <w:rPr>
          <w:rFonts w:cs="Arial"/>
        </w:rPr>
        <w:t xml:space="preserve">ed access, non-compliance, leakage, data disclosure </w:t>
      </w:r>
      <w:r>
        <w:rPr>
          <w:rFonts w:cs="Arial"/>
        </w:rPr>
        <w:t xml:space="preserve">and damage caused </w:t>
      </w:r>
      <w:r w:rsidRPr="000D79E4">
        <w:rPr>
          <w:rFonts w:cs="Arial"/>
        </w:rPr>
        <w:t>through malware or virus</w:t>
      </w:r>
      <w:r>
        <w:rPr>
          <w:rFonts w:cs="Arial"/>
        </w:rPr>
        <w:t xml:space="preserve"> infiltrations. </w:t>
      </w:r>
      <w:r w:rsidRPr="00901D28">
        <w:rPr>
          <w:rFonts w:cs="Arial"/>
        </w:rPr>
        <w:t>Throughout th</w:t>
      </w:r>
      <w:r>
        <w:rPr>
          <w:rFonts w:cs="Arial"/>
        </w:rPr>
        <w:t xml:space="preserve">e COVID-19 </w:t>
      </w:r>
      <w:r w:rsidRPr="00901D28">
        <w:rPr>
          <w:rFonts w:cs="Arial"/>
        </w:rPr>
        <w:t>pandemic, there has been an increase in cyber security activities worldwide.</w:t>
      </w:r>
    </w:p>
    <w:p w14:paraId="1C8A4437" w14:textId="77777777" w:rsidR="00162BE8" w:rsidRDefault="00162BE8" w:rsidP="00162BE8">
      <w:pPr>
        <w:ind w:left="-142" w:right="-425"/>
        <w:jc w:val="both"/>
        <w:rPr>
          <w:rFonts w:cs="Arial"/>
        </w:rPr>
      </w:pPr>
    </w:p>
    <w:p w14:paraId="7F67A84D" w14:textId="6FE547D3" w:rsidR="00162BE8" w:rsidRPr="00901D28" w:rsidRDefault="00162BE8" w:rsidP="00162BE8">
      <w:pPr>
        <w:ind w:left="-142" w:right="-425"/>
        <w:jc w:val="both"/>
        <w:rPr>
          <w:rFonts w:cs="Arial"/>
        </w:rPr>
      </w:pPr>
      <w:r>
        <w:rPr>
          <w:rFonts w:cs="Arial"/>
        </w:rPr>
        <w:t>Cyber</w:t>
      </w:r>
      <w:r w:rsidRPr="00901D28">
        <w:rPr>
          <w:rFonts w:cs="Arial"/>
        </w:rPr>
        <w:t xml:space="preserve"> security is paramount to the operation</w:t>
      </w:r>
      <w:r>
        <w:rPr>
          <w:rFonts w:cs="Arial"/>
        </w:rPr>
        <w:t>s</w:t>
      </w:r>
      <w:r w:rsidRPr="00901D28">
        <w:rPr>
          <w:rFonts w:cs="Arial"/>
        </w:rPr>
        <w:t xml:space="preserve"> of the Commission for staff, clients and stakeholders. </w:t>
      </w:r>
      <w:r>
        <w:rPr>
          <w:rFonts w:cs="Arial"/>
        </w:rPr>
        <w:t>To initiate</w:t>
      </w:r>
      <w:r w:rsidRPr="00901D28">
        <w:rPr>
          <w:rFonts w:cs="Arial"/>
        </w:rPr>
        <w:t xml:space="preserve"> a proactive approach </w:t>
      </w:r>
      <w:r>
        <w:rPr>
          <w:rFonts w:cs="Arial"/>
        </w:rPr>
        <w:t>to cyber security and as a crucial defence in keeping the Commission’s sensitive information safe, t</w:t>
      </w:r>
      <w:r w:rsidRPr="00901D28">
        <w:rPr>
          <w:rFonts w:cs="Arial"/>
        </w:rPr>
        <w:t xml:space="preserve">he Commission </w:t>
      </w:r>
      <w:r>
        <w:rPr>
          <w:rFonts w:cs="Arial"/>
        </w:rPr>
        <w:t xml:space="preserve">invited the Corporate Administration Agency to </w:t>
      </w:r>
      <w:r w:rsidRPr="00901D28">
        <w:rPr>
          <w:rFonts w:cs="Arial"/>
        </w:rPr>
        <w:t xml:space="preserve">conduct </w:t>
      </w:r>
      <w:r>
        <w:rPr>
          <w:rFonts w:cs="Arial"/>
        </w:rPr>
        <w:t>cyb</w:t>
      </w:r>
      <w:r w:rsidRPr="00901D28">
        <w:rPr>
          <w:rFonts w:cs="Arial"/>
        </w:rPr>
        <w:t xml:space="preserve">er security training </w:t>
      </w:r>
      <w:r>
        <w:rPr>
          <w:rFonts w:cs="Arial"/>
        </w:rPr>
        <w:t>for</w:t>
      </w:r>
      <w:r w:rsidRPr="00901D28">
        <w:rPr>
          <w:rFonts w:cs="Arial"/>
        </w:rPr>
        <w:t xml:space="preserve"> all staff on 3 December 2021</w:t>
      </w:r>
      <w:r>
        <w:rPr>
          <w:rFonts w:cs="Arial"/>
        </w:rPr>
        <w:t xml:space="preserve">. The training assisted to </w:t>
      </w:r>
      <w:r w:rsidRPr="00901D28">
        <w:rPr>
          <w:rFonts w:cs="Arial"/>
        </w:rPr>
        <w:t xml:space="preserve">boost the awareness of staff </w:t>
      </w:r>
      <w:r>
        <w:rPr>
          <w:rFonts w:cs="Arial"/>
        </w:rPr>
        <w:t xml:space="preserve">by informing on </w:t>
      </w:r>
      <w:r w:rsidRPr="00901D28">
        <w:rPr>
          <w:rFonts w:cs="Arial"/>
        </w:rPr>
        <w:t>current cyber security trends and build</w:t>
      </w:r>
      <w:r>
        <w:rPr>
          <w:rFonts w:cs="Arial"/>
        </w:rPr>
        <w:t>ing</w:t>
      </w:r>
      <w:r w:rsidRPr="00901D28">
        <w:rPr>
          <w:rFonts w:cs="Arial"/>
        </w:rPr>
        <w:t xml:space="preserve"> the capability and resilience of the Commission against malicious cyber security threats.</w:t>
      </w:r>
    </w:p>
    <w:p w14:paraId="7D1B8E94" w14:textId="77777777" w:rsidR="00162BE8" w:rsidRDefault="00162BE8" w:rsidP="000E478F">
      <w:pPr>
        <w:ind w:left="-142" w:right="-425"/>
        <w:jc w:val="both"/>
        <w:rPr>
          <w:rFonts w:cs="Arial"/>
          <w:b/>
          <w:bCs/>
        </w:rPr>
      </w:pPr>
    </w:p>
    <w:p w14:paraId="6B33DB41" w14:textId="46B08643" w:rsidR="00136815" w:rsidRPr="00136815" w:rsidRDefault="00136815" w:rsidP="000E478F">
      <w:pPr>
        <w:ind w:left="-142" w:right="-425"/>
        <w:jc w:val="both"/>
        <w:rPr>
          <w:rFonts w:cs="Arial"/>
          <w:b/>
          <w:bCs/>
        </w:rPr>
      </w:pPr>
      <w:r>
        <w:rPr>
          <w:rFonts w:cs="Arial"/>
          <w:b/>
          <w:bCs/>
        </w:rPr>
        <w:t>Annual school awards</w:t>
      </w:r>
    </w:p>
    <w:p w14:paraId="2ADCBFCA" w14:textId="4D44777D" w:rsidR="000E478F" w:rsidRDefault="000E478F" w:rsidP="000E478F">
      <w:pPr>
        <w:ind w:left="-142" w:right="-425"/>
        <w:jc w:val="both"/>
        <w:rPr>
          <w:rFonts w:cs="Arial"/>
        </w:rPr>
      </w:pPr>
      <w:r w:rsidRPr="00C92D4E">
        <w:rPr>
          <w:rFonts w:cs="Arial"/>
        </w:rPr>
        <w:t>The Commission’s annual School Awards ceremonies were conducted in December in each of the five communities. Prizes were awarded for attendance achievements and included certificates, medals and other incentives. Each year the Local Commissioners p</w:t>
      </w:r>
      <w:r w:rsidR="00BC581F">
        <w:rPr>
          <w:rFonts w:cs="Arial"/>
        </w:rPr>
        <w:t xml:space="preserve">articipate in </w:t>
      </w:r>
      <w:r w:rsidRPr="00C92D4E">
        <w:rPr>
          <w:rFonts w:cs="Arial"/>
        </w:rPr>
        <w:t xml:space="preserve">the awards to provide positive recognition and support for those students (and their families) who regularly attend school, to provide an incentive for those students who wish to improve their school attendance and to </w:t>
      </w:r>
      <w:r>
        <w:rPr>
          <w:rFonts w:cs="Arial"/>
        </w:rPr>
        <w:t xml:space="preserve">maintain </w:t>
      </w:r>
      <w:r w:rsidR="00BC581F">
        <w:rPr>
          <w:rFonts w:cs="Arial"/>
        </w:rPr>
        <w:t xml:space="preserve">a </w:t>
      </w:r>
      <w:r>
        <w:rPr>
          <w:rFonts w:cs="Arial"/>
        </w:rPr>
        <w:t xml:space="preserve">focus on the </w:t>
      </w:r>
      <w:r w:rsidRPr="00C92D4E">
        <w:rPr>
          <w:rFonts w:cs="Arial"/>
        </w:rPr>
        <w:t xml:space="preserve">importance of education </w:t>
      </w:r>
      <w:r>
        <w:rPr>
          <w:rFonts w:cs="Arial"/>
        </w:rPr>
        <w:t>for the future of the community</w:t>
      </w:r>
      <w:r w:rsidRPr="00C92D4E">
        <w:rPr>
          <w:rFonts w:cs="Arial"/>
        </w:rPr>
        <w:t>.</w:t>
      </w:r>
    </w:p>
    <w:p w14:paraId="42C2544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lastRenderedPageBreak/>
        <w:t>Table of contents</w:t>
      </w:r>
    </w:p>
    <w:p w14:paraId="7553776C" w14:textId="77777777" w:rsidR="00F55A68" w:rsidRPr="00E97CAC" w:rsidRDefault="00F55A68" w:rsidP="00F55A68">
      <w:pPr>
        <w:ind w:left="-567" w:right="-425"/>
      </w:pPr>
    </w:p>
    <w:p w14:paraId="071F9D39" w14:textId="6652A539" w:rsidR="00F058BE" w:rsidRDefault="000541CA">
      <w:pPr>
        <w:pStyle w:val="TOC1"/>
        <w:rPr>
          <w:rFonts w:asciiTheme="minorHAnsi" w:eastAsiaTheme="minorEastAsia" w:hAnsiTheme="minorHAnsi" w:cstheme="minorBidi"/>
          <w:b w:val="0"/>
          <w:noProof/>
          <w:spacing w:val="0"/>
          <w:u w:val="none"/>
          <w:lang w:eastAsia="en-AU"/>
        </w:rPr>
      </w:pPr>
      <w:r w:rsidRPr="007C4066">
        <w:rPr>
          <w:b w:val="0"/>
          <w:spacing w:val="0"/>
          <w:sz w:val="18"/>
          <w:szCs w:val="18"/>
          <w:u w:val="none"/>
        </w:rPr>
        <w:fldChar w:fldCharType="begin"/>
      </w:r>
      <w:r w:rsidRPr="007C4066">
        <w:rPr>
          <w:b w:val="0"/>
          <w:spacing w:val="0"/>
          <w:sz w:val="18"/>
          <w:szCs w:val="18"/>
          <w:u w:val="none"/>
        </w:rPr>
        <w:instrText xml:space="preserve"> TOC \o "1-1" \u </w:instrText>
      </w:r>
      <w:r w:rsidRPr="007C4066">
        <w:rPr>
          <w:b w:val="0"/>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515E8F">
        <w:rPr>
          <w:noProof/>
        </w:rPr>
        <w:t>6</w:t>
      </w:r>
      <w:r w:rsidR="00F058BE">
        <w:rPr>
          <w:noProof/>
        </w:rPr>
        <w:fldChar w:fldCharType="end"/>
      </w:r>
    </w:p>
    <w:p w14:paraId="62DF3D4A" w14:textId="1A27EBD6" w:rsidR="00F058BE" w:rsidRDefault="00F058BE">
      <w:pPr>
        <w:pStyle w:val="TOC1"/>
        <w:rPr>
          <w:rFonts w:asciiTheme="minorHAnsi" w:eastAsiaTheme="minorEastAsia" w:hAnsiTheme="minorHAnsi" w:cstheme="minorBidi"/>
          <w:b w:val="0"/>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515E8F">
        <w:rPr>
          <w:noProof/>
        </w:rPr>
        <w:t>19</w:t>
      </w:r>
      <w:r>
        <w:rPr>
          <w:noProof/>
        </w:rPr>
        <w:fldChar w:fldCharType="end"/>
      </w:r>
    </w:p>
    <w:p w14:paraId="293F38D2" w14:textId="78D46E56" w:rsidR="00F058BE" w:rsidRDefault="00F058BE">
      <w:pPr>
        <w:pStyle w:val="TOC1"/>
        <w:rPr>
          <w:rFonts w:asciiTheme="minorHAnsi" w:eastAsiaTheme="minorEastAsia" w:hAnsiTheme="minorHAnsi" w:cstheme="minorBidi"/>
          <w:b w:val="0"/>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515E8F">
        <w:rPr>
          <w:noProof/>
        </w:rPr>
        <w:t>23</w:t>
      </w:r>
      <w:r>
        <w:rPr>
          <w:noProof/>
        </w:rPr>
        <w:fldChar w:fldCharType="end"/>
      </w:r>
    </w:p>
    <w:p w14:paraId="79738A35" w14:textId="1137BC2A" w:rsidR="00F058BE" w:rsidRDefault="00F058BE">
      <w:pPr>
        <w:pStyle w:val="TOC1"/>
        <w:rPr>
          <w:rFonts w:asciiTheme="minorHAnsi" w:eastAsiaTheme="minorEastAsia" w:hAnsiTheme="minorHAnsi" w:cstheme="minorBidi"/>
          <w:b w:val="0"/>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515E8F">
        <w:rPr>
          <w:noProof/>
        </w:rPr>
        <w:t>24</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4B865942">
                <wp:simplePos x="0" y="0"/>
                <wp:positionH relativeFrom="column">
                  <wp:posOffset>-120015</wp:posOffset>
                </wp:positionH>
                <wp:positionV relativeFrom="paragraph">
                  <wp:posOffset>60960</wp:posOffset>
                </wp:positionV>
                <wp:extent cx="6412230" cy="5162550"/>
                <wp:effectExtent l="0" t="0" r="26670" b="190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chemeClr val="bg1"/>
                        </a:solidFill>
                        <a:ln w="9525">
                          <a:solidFill>
                            <a:schemeClr val="bg1"/>
                          </a:solidFill>
                          <a:miter lim="800000"/>
                          <a:headEnd/>
                          <a:tailEnd/>
                        </a:ln>
                      </wps:spPr>
                      <wps:txb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" fillcolor="white [3212]" strokecolor="white [3212]">
                <v:textbo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38040327" w:rsidR="005A5B78" w:rsidRPr="00B04486" w:rsidRDefault="005A5B78" w:rsidP="005A5B78">
      <w:pPr>
        <w:spacing w:after="240" w:line="240" w:lineRule="auto"/>
        <w:ind w:left="-142"/>
        <w:rPr>
          <w:i/>
          <w:sz w:val="24"/>
          <w:szCs w:val="24"/>
        </w:rPr>
      </w:pPr>
      <w:r w:rsidRPr="00B04486">
        <w:rPr>
          <w:i/>
          <w:sz w:val="24"/>
          <w:szCs w:val="24"/>
        </w:rPr>
        <w:t xml:space="preserve">Report to </w:t>
      </w:r>
      <w:r w:rsidR="00F83C14">
        <w:rPr>
          <w:i/>
          <w:sz w:val="24"/>
          <w:szCs w:val="24"/>
        </w:rPr>
        <w:t>3</w:t>
      </w:r>
      <w:r w:rsidR="00344B6E">
        <w:rPr>
          <w:i/>
          <w:sz w:val="24"/>
          <w:szCs w:val="24"/>
        </w:rPr>
        <w:t xml:space="preserve">1 December </w:t>
      </w:r>
      <w:r w:rsidR="00E53438">
        <w:rPr>
          <w:i/>
          <w:sz w:val="24"/>
          <w:szCs w:val="24"/>
        </w:rPr>
        <w:t>202</w:t>
      </w:r>
      <w:r w:rsidR="009A7C28">
        <w:rPr>
          <w:i/>
          <w:sz w:val="24"/>
          <w:szCs w:val="24"/>
        </w:rPr>
        <w:t>1</w:t>
      </w:r>
      <w:r w:rsidRPr="00B04486">
        <w:rPr>
          <w:i/>
          <w:sz w:val="24"/>
          <w:szCs w:val="24"/>
        </w:rPr>
        <w:t>.</w:t>
      </w:r>
    </w:p>
    <w:p w14:paraId="3B63D598" w14:textId="77777777" w:rsidR="005A5B78" w:rsidRPr="00942B2C" w:rsidRDefault="005A5B78" w:rsidP="005A5B78">
      <w:pPr>
        <w:pStyle w:val="Heading1"/>
        <w:ind w:left="-142" w:right="-426"/>
      </w:pPr>
      <w:bookmarkStart w:id="3" w:name="_Toc222226581"/>
      <w:bookmarkStart w:id="4" w:name="_Toc304386230"/>
      <w:bookmarkStart w:id="5" w:name="_Toc304386307"/>
      <w:bookmarkStart w:id="6" w:name="_Toc306011180"/>
      <w:bookmarkStart w:id="7" w:name="_Toc39657991"/>
      <w:r>
        <w:t>1.  Activities and</w:t>
      </w:r>
      <w:r w:rsidRPr="00942B2C">
        <w:t xml:space="preserve"> </w:t>
      </w:r>
      <w:bookmarkEnd w:id="3"/>
      <w:bookmarkEnd w:id="4"/>
      <w:bookmarkEnd w:id="5"/>
      <w:bookmarkEnd w:id="6"/>
      <w:r>
        <w:t>Trends</w:t>
      </w:r>
      <w:bookmarkEnd w:id="7"/>
    </w:p>
    <w:p w14:paraId="2BAF545E" w14:textId="77E156F5" w:rsidR="009B2EF1" w:rsidRPr="00E6690B" w:rsidRDefault="009B2EF1" w:rsidP="00E6690B">
      <w:pPr>
        <w:tabs>
          <w:tab w:val="left" w:pos="1134"/>
        </w:tabs>
        <w:ind w:left="-142" w:right="-425"/>
        <w:jc w:val="both"/>
      </w:pPr>
    </w:p>
    <w:p w14:paraId="3D98B899" w14:textId="188AEA28" w:rsidR="00237AB1" w:rsidRDefault="00237AB1" w:rsidP="00D51DFA">
      <w:pPr>
        <w:pStyle w:val="Heading2"/>
      </w:pPr>
      <w:r>
        <w:t>Client i</w:t>
      </w:r>
      <w:r w:rsidRPr="00F062D1">
        <w:t>nteraction</w:t>
      </w:r>
      <w:r>
        <w:t>s</w:t>
      </w:r>
      <w:r w:rsidRPr="00F062D1">
        <w:t xml:space="preserve"> during the quarter</w:t>
      </w:r>
    </w:p>
    <w:p w14:paraId="21A1CC5F" w14:textId="3575F26A" w:rsidR="00B740E7" w:rsidRDefault="004E6AD0" w:rsidP="00106EA8">
      <w:pPr>
        <w:tabs>
          <w:tab w:val="left" w:pos="1134"/>
        </w:tabs>
        <w:ind w:left="-142" w:right="-425"/>
        <w:jc w:val="both"/>
      </w:pPr>
      <w:r>
        <w:t>The Commission delivers services to communities which are culturally unique and geographically remote. Each community is different, however</w:t>
      </w:r>
      <w:r w:rsidR="002A42B2">
        <w:t>,</w:t>
      </w:r>
      <w:r>
        <w:t xml:space="preserve"> each can be characterised by the entrenched disadvantage of Indigenous community members. Over-crowded housing, high rates of Indigenous welfare dependency and multi-generational poverty ha</w:t>
      </w:r>
      <w:r w:rsidR="006648A1">
        <w:t>ve</w:t>
      </w:r>
      <w:r>
        <w:t xml:space="preserve"> resulted in communities with high numbers of individuals and families with complex needs.</w:t>
      </w:r>
      <w:r w:rsidR="00F77284">
        <w:t xml:space="preserve"> The Commission has been reporting </w:t>
      </w:r>
      <w:r w:rsidR="0019319F">
        <w:t>on the number of notices individual clients receive</w:t>
      </w:r>
      <w:r w:rsidR="00F77284">
        <w:t xml:space="preserve"> (</w:t>
      </w:r>
      <w:r w:rsidR="0019319F">
        <w:t>refer</w:t>
      </w:r>
      <w:r w:rsidR="00F77284">
        <w:t xml:space="preserve"> </w:t>
      </w:r>
      <w:r w:rsidR="00F15307">
        <w:t>Table</w:t>
      </w:r>
      <w:r w:rsidR="00F77284">
        <w:t xml:space="preserve"> </w:t>
      </w:r>
      <w:r w:rsidR="00F15307">
        <w:t>12</w:t>
      </w:r>
      <w:r w:rsidR="005E59E0">
        <w:t>)</w:t>
      </w:r>
      <w:r w:rsidR="00F77284">
        <w:t xml:space="preserve"> for a number of years</w:t>
      </w:r>
      <w:r w:rsidR="007B68DE">
        <w:t xml:space="preserve">. The </w:t>
      </w:r>
      <w:r w:rsidR="00B07083">
        <w:t>table</w:t>
      </w:r>
      <w:r w:rsidR="007B68DE">
        <w:t xml:space="preserve"> below provides a further insight into the </w:t>
      </w:r>
      <w:r w:rsidR="00F77284">
        <w:t xml:space="preserve">complexity </w:t>
      </w:r>
      <w:r w:rsidR="007B68DE">
        <w:t xml:space="preserve">of the issues faced by </w:t>
      </w:r>
      <w:r w:rsidR="0019319F">
        <w:t>many</w:t>
      </w:r>
      <w:r w:rsidR="007B68DE">
        <w:t xml:space="preserve"> clients. During quarter </w:t>
      </w:r>
      <w:r w:rsidR="000C0A83">
        <w:t>54</w:t>
      </w:r>
      <w:r w:rsidR="005728FA">
        <w:t>,</w:t>
      </w:r>
      <w:r w:rsidR="007B68DE">
        <w:t xml:space="preserve"> </w:t>
      </w:r>
      <w:r w:rsidR="00D356CC">
        <w:t>48</w:t>
      </w:r>
      <w:r w:rsidR="00F636A4">
        <w:t>5</w:t>
      </w:r>
      <w:r w:rsidR="00D356CC">
        <w:t xml:space="preserve"> </w:t>
      </w:r>
      <w:r w:rsidR="006648A1">
        <w:t xml:space="preserve">clients </w:t>
      </w:r>
      <w:r w:rsidR="00FE5409">
        <w:t>(</w:t>
      </w:r>
      <w:r w:rsidR="00D356CC">
        <w:t xml:space="preserve">84 </w:t>
      </w:r>
      <w:r w:rsidR="00FE5409">
        <w:t>percen</w:t>
      </w:r>
      <w:r w:rsidR="00FC7C1D">
        <w:t>t</w:t>
      </w:r>
      <w:r w:rsidR="006648A1">
        <w:t>)</w:t>
      </w:r>
      <w:r w:rsidR="00FE5409">
        <w:t xml:space="preserve"> were notified to the Commission with only one type of trigger notice</w:t>
      </w:r>
      <w:r w:rsidR="003A48E8">
        <w:t>. T</w:t>
      </w:r>
      <w:r w:rsidR="00FE5409">
        <w:t xml:space="preserve">he remaining </w:t>
      </w:r>
      <w:r w:rsidR="00D356CC">
        <w:t xml:space="preserve">94 </w:t>
      </w:r>
      <w:r w:rsidR="006648A1">
        <w:t xml:space="preserve">clients </w:t>
      </w:r>
      <w:r w:rsidR="00FE5409">
        <w:t>(</w:t>
      </w:r>
      <w:r w:rsidR="00D356CC">
        <w:t xml:space="preserve">16 </w:t>
      </w:r>
      <w:r w:rsidR="00FE5409">
        <w:t>percen</w:t>
      </w:r>
      <w:r w:rsidR="00FC7C1D">
        <w:t>t</w:t>
      </w:r>
      <w:r w:rsidR="00FE5409">
        <w:t>) received more than one type of trigger notice.</w:t>
      </w:r>
    </w:p>
    <w:p w14:paraId="613CE34C" w14:textId="27C4C8C5" w:rsidR="004128E4" w:rsidRDefault="004128E4" w:rsidP="00106EA8">
      <w:pPr>
        <w:tabs>
          <w:tab w:val="left" w:pos="1134"/>
        </w:tabs>
        <w:ind w:left="-142" w:right="-425"/>
        <w:jc w:val="both"/>
      </w:pPr>
    </w:p>
    <w:p w14:paraId="7C22F9B1" w14:textId="6202586A" w:rsidR="00DC376F" w:rsidRPr="00D925BE" w:rsidRDefault="00DC376F" w:rsidP="00DC376F">
      <w:pPr>
        <w:spacing w:after="120" w:line="240" w:lineRule="auto"/>
        <w:ind w:right="-425"/>
        <w:jc w:val="both"/>
        <w:rPr>
          <w:b/>
          <w:sz w:val="16"/>
          <w:szCs w:val="16"/>
        </w:rPr>
      </w:pPr>
      <w:r>
        <w:rPr>
          <w:b/>
          <w:sz w:val="16"/>
          <w:szCs w:val="16"/>
        </w:rPr>
        <w:t>T</w:t>
      </w:r>
      <w:r w:rsidRPr="00362EE1">
        <w:rPr>
          <w:b/>
          <w:sz w:val="16"/>
          <w:szCs w:val="16"/>
        </w:rPr>
        <w:t xml:space="preserve">able </w:t>
      </w:r>
      <w:r>
        <w:rPr>
          <w:b/>
          <w:sz w:val="16"/>
          <w:szCs w:val="16"/>
        </w:rPr>
        <w:t>2</w:t>
      </w:r>
      <w:r w:rsidRPr="00362EE1">
        <w:rPr>
          <w:b/>
          <w:sz w:val="16"/>
          <w:szCs w:val="16"/>
        </w:rPr>
        <w:t xml:space="preserve">: </w:t>
      </w:r>
      <w:r w:rsidRPr="00D61631">
        <w:rPr>
          <w:rFonts w:cs="Arial"/>
          <w:bCs/>
          <w:sz w:val="16"/>
          <w:szCs w:val="16"/>
        </w:rPr>
        <w:t>Number of</w:t>
      </w:r>
      <w:r w:rsidRPr="000A2D9F">
        <w:rPr>
          <w:rFonts w:cs="Arial"/>
          <w:bCs/>
          <w:sz w:val="16"/>
          <w:szCs w:val="16"/>
        </w:rPr>
        <w:t xml:space="preserve"> </w:t>
      </w:r>
      <w:r>
        <w:rPr>
          <w:rFonts w:cs="Arial"/>
          <w:sz w:val="16"/>
          <w:szCs w:val="16"/>
        </w:rPr>
        <w:t>clients by number of different types of agency notices received</w:t>
      </w:r>
      <w:r w:rsidRPr="00DA41D1">
        <w:rPr>
          <w:rFonts w:cs="Arial"/>
          <w:sz w:val="16"/>
          <w:szCs w:val="16"/>
        </w:rPr>
        <w:t xml:space="preserve"> </w:t>
      </w:r>
      <w:r>
        <w:rPr>
          <w:rFonts w:cs="Arial"/>
          <w:sz w:val="16"/>
          <w:szCs w:val="16"/>
        </w:rPr>
        <w:t>1 October 2021 to 31 December 2021</w:t>
      </w:r>
    </w:p>
    <w:tbl>
      <w:tblPr>
        <w:tblW w:w="5289" w:type="dxa"/>
        <w:tblInd w:w="93" w:type="dxa"/>
        <w:tblLook w:val="04A0" w:firstRow="1" w:lastRow="0" w:firstColumn="1" w:lastColumn="0" w:noHBand="0" w:noVBand="1"/>
      </w:tblPr>
      <w:tblGrid>
        <w:gridCol w:w="3446"/>
        <w:gridCol w:w="1843"/>
      </w:tblGrid>
      <w:tr w:rsidR="00DC376F" w:rsidRPr="006E764C" w14:paraId="0C2FF5D1" w14:textId="77777777" w:rsidTr="000B6D24">
        <w:trPr>
          <w:trHeight w:val="510"/>
        </w:trPr>
        <w:tc>
          <w:tcPr>
            <w:tcW w:w="3446" w:type="dxa"/>
            <w:tcBorders>
              <w:top w:val="single" w:sz="4" w:space="0" w:color="auto"/>
              <w:left w:val="single" w:sz="4" w:space="0" w:color="auto"/>
              <w:bottom w:val="single" w:sz="4" w:space="0" w:color="auto"/>
              <w:right w:val="single" w:sz="4" w:space="0" w:color="auto"/>
            </w:tcBorders>
            <w:noWrap/>
            <w:hideMark/>
          </w:tcPr>
          <w:p w14:paraId="64D1FBA7" w14:textId="77777777" w:rsidR="00DC376F" w:rsidRPr="0093030B" w:rsidRDefault="00DC376F" w:rsidP="000B6D24">
            <w:pPr>
              <w:pStyle w:val="TableText"/>
              <w:rPr>
                <w:b/>
                <w:lang w:eastAsia="en-AU"/>
              </w:rPr>
            </w:pPr>
            <w:r w:rsidRPr="005B6887">
              <w:rPr>
                <w:b/>
                <w:lang w:eastAsia="en-AU"/>
              </w:rPr>
              <w:t>Number of Different Types of Agency Notices Received</w:t>
            </w:r>
          </w:p>
        </w:tc>
        <w:tc>
          <w:tcPr>
            <w:tcW w:w="1843" w:type="dxa"/>
            <w:tcBorders>
              <w:top w:val="single" w:sz="4" w:space="0" w:color="auto"/>
              <w:left w:val="nil"/>
              <w:bottom w:val="single" w:sz="4" w:space="0" w:color="auto"/>
              <w:right w:val="single" w:sz="4" w:space="0" w:color="auto"/>
            </w:tcBorders>
            <w:hideMark/>
          </w:tcPr>
          <w:p w14:paraId="66B01559" w14:textId="77777777" w:rsidR="00DC376F" w:rsidRPr="0093030B" w:rsidRDefault="00DC376F" w:rsidP="000B6D24">
            <w:pPr>
              <w:pStyle w:val="TableText"/>
              <w:rPr>
                <w:b/>
                <w:lang w:eastAsia="en-AU"/>
              </w:rPr>
            </w:pPr>
            <w:r w:rsidRPr="0093030B">
              <w:rPr>
                <w:b/>
                <w:lang w:eastAsia="en-AU"/>
              </w:rPr>
              <w:t>Number of Clients</w:t>
            </w:r>
          </w:p>
        </w:tc>
      </w:tr>
      <w:tr w:rsidR="00DC376F" w:rsidRPr="006E764C" w14:paraId="328FE49D" w14:textId="77777777" w:rsidTr="000B6D24">
        <w:trPr>
          <w:trHeight w:val="255"/>
        </w:trPr>
        <w:tc>
          <w:tcPr>
            <w:tcW w:w="3446" w:type="dxa"/>
            <w:tcBorders>
              <w:top w:val="nil"/>
              <w:left w:val="single" w:sz="4" w:space="0" w:color="auto"/>
              <w:bottom w:val="single" w:sz="4" w:space="0" w:color="auto"/>
              <w:right w:val="single" w:sz="4" w:space="0" w:color="auto"/>
            </w:tcBorders>
            <w:noWrap/>
            <w:hideMark/>
          </w:tcPr>
          <w:p w14:paraId="26F5F76B" w14:textId="77777777" w:rsidR="00DC376F" w:rsidRPr="006E764C" w:rsidRDefault="00DC376F" w:rsidP="000B6D24">
            <w:pPr>
              <w:pStyle w:val="TableText"/>
              <w:jc w:val="center"/>
              <w:rPr>
                <w:lang w:eastAsia="en-AU"/>
              </w:rPr>
            </w:pPr>
            <w:r w:rsidRPr="006E764C">
              <w:rPr>
                <w:lang w:eastAsia="en-AU"/>
              </w:rPr>
              <w:t>1</w:t>
            </w:r>
          </w:p>
        </w:tc>
        <w:tc>
          <w:tcPr>
            <w:tcW w:w="1843" w:type="dxa"/>
            <w:tcBorders>
              <w:top w:val="nil"/>
              <w:left w:val="nil"/>
              <w:bottom w:val="single" w:sz="4" w:space="0" w:color="auto"/>
              <w:right w:val="single" w:sz="4" w:space="0" w:color="auto"/>
            </w:tcBorders>
            <w:vAlign w:val="bottom"/>
          </w:tcPr>
          <w:p w14:paraId="452188F4" w14:textId="10DE6165" w:rsidR="00DC376F" w:rsidRPr="005B6887" w:rsidRDefault="00DC376F" w:rsidP="000B6D24">
            <w:pPr>
              <w:jc w:val="right"/>
              <w:rPr>
                <w:rFonts w:cs="Arial"/>
              </w:rPr>
            </w:pPr>
            <w:r>
              <w:rPr>
                <w:rFonts w:cs="Arial"/>
              </w:rPr>
              <w:t>485</w:t>
            </w:r>
          </w:p>
        </w:tc>
      </w:tr>
      <w:tr w:rsidR="00DC376F" w:rsidRPr="006E764C" w14:paraId="0CF14113" w14:textId="77777777" w:rsidTr="000B6D24">
        <w:trPr>
          <w:trHeight w:val="255"/>
        </w:trPr>
        <w:tc>
          <w:tcPr>
            <w:tcW w:w="3446" w:type="dxa"/>
            <w:tcBorders>
              <w:top w:val="nil"/>
              <w:left w:val="single" w:sz="4" w:space="0" w:color="auto"/>
              <w:bottom w:val="single" w:sz="4" w:space="0" w:color="auto"/>
              <w:right w:val="single" w:sz="4" w:space="0" w:color="auto"/>
            </w:tcBorders>
            <w:noWrap/>
            <w:hideMark/>
          </w:tcPr>
          <w:p w14:paraId="55422B0F" w14:textId="77777777" w:rsidR="00DC376F" w:rsidRPr="006E764C" w:rsidRDefault="00DC376F" w:rsidP="000B6D24">
            <w:pPr>
              <w:pStyle w:val="TableText"/>
              <w:jc w:val="center"/>
              <w:rPr>
                <w:lang w:eastAsia="en-AU"/>
              </w:rPr>
            </w:pPr>
            <w:r w:rsidRPr="006E764C">
              <w:rPr>
                <w:lang w:eastAsia="en-AU"/>
              </w:rPr>
              <w:t>2</w:t>
            </w:r>
          </w:p>
        </w:tc>
        <w:tc>
          <w:tcPr>
            <w:tcW w:w="1843" w:type="dxa"/>
            <w:tcBorders>
              <w:top w:val="nil"/>
              <w:left w:val="nil"/>
              <w:bottom w:val="single" w:sz="4" w:space="0" w:color="auto"/>
              <w:right w:val="single" w:sz="4" w:space="0" w:color="auto"/>
            </w:tcBorders>
            <w:vAlign w:val="bottom"/>
          </w:tcPr>
          <w:p w14:paraId="667AB7FD" w14:textId="77777777" w:rsidR="00DC376F" w:rsidRPr="005B6887" w:rsidRDefault="00DC376F" w:rsidP="000B6D24">
            <w:pPr>
              <w:jc w:val="right"/>
              <w:rPr>
                <w:rFonts w:cs="Arial"/>
              </w:rPr>
            </w:pPr>
            <w:r>
              <w:rPr>
                <w:rFonts w:cs="Arial"/>
              </w:rPr>
              <w:t>80</w:t>
            </w:r>
          </w:p>
        </w:tc>
      </w:tr>
      <w:tr w:rsidR="00DC376F" w:rsidRPr="006E764C" w14:paraId="2E672BA3" w14:textId="77777777" w:rsidTr="000B6D24">
        <w:trPr>
          <w:trHeight w:val="255"/>
        </w:trPr>
        <w:tc>
          <w:tcPr>
            <w:tcW w:w="3446" w:type="dxa"/>
            <w:tcBorders>
              <w:top w:val="nil"/>
              <w:left w:val="single" w:sz="4" w:space="0" w:color="auto"/>
              <w:bottom w:val="single" w:sz="4" w:space="0" w:color="auto"/>
              <w:right w:val="single" w:sz="4" w:space="0" w:color="auto"/>
            </w:tcBorders>
            <w:noWrap/>
            <w:hideMark/>
          </w:tcPr>
          <w:p w14:paraId="1E5A396A" w14:textId="77777777" w:rsidR="00DC376F" w:rsidRPr="006E764C" w:rsidRDefault="00DC376F" w:rsidP="000B6D24">
            <w:pPr>
              <w:pStyle w:val="TableText"/>
              <w:jc w:val="center"/>
              <w:rPr>
                <w:lang w:eastAsia="en-AU"/>
              </w:rPr>
            </w:pPr>
            <w:r w:rsidRPr="006E764C">
              <w:rPr>
                <w:lang w:eastAsia="en-AU"/>
              </w:rPr>
              <w:t>3</w:t>
            </w:r>
          </w:p>
        </w:tc>
        <w:tc>
          <w:tcPr>
            <w:tcW w:w="1843" w:type="dxa"/>
            <w:tcBorders>
              <w:top w:val="nil"/>
              <w:left w:val="nil"/>
              <w:bottom w:val="single" w:sz="4" w:space="0" w:color="auto"/>
              <w:right w:val="single" w:sz="4" w:space="0" w:color="auto"/>
            </w:tcBorders>
            <w:vAlign w:val="bottom"/>
          </w:tcPr>
          <w:p w14:paraId="0659643D" w14:textId="1E844155" w:rsidR="00DC376F" w:rsidRPr="005B6887" w:rsidRDefault="00DC376F" w:rsidP="000B6D24">
            <w:pPr>
              <w:jc w:val="right"/>
              <w:rPr>
                <w:rFonts w:cs="Arial"/>
              </w:rPr>
            </w:pPr>
            <w:r>
              <w:rPr>
                <w:rFonts w:cs="Arial"/>
              </w:rPr>
              <w:t>11</w:t>
            </w:r>
          </w:p>
        </w:tc>
      </w:tr>
      <w:tr w:rsidR="00DC376F" w:rsidRPr="006E764C" w14:paraId="73A16DC8" w14:textId="77777777" w:rsidTr="000B6D24">
        <w:trPr>
          <w:trHeight w:val="255"/>
        </w:trPr>
        <w:tc>
          <w:tcPr>
            <w:tcW w:w="3446" w:type="dxa"/>
            <w:tcBorders>
              <w:top w:val="nil"/>
              <w:left w:val="single" w:sz="4" w:space="0" w:color="auto"/>
              <w:bottom w:val="single" w:sz="4" w:space="0" w:color="auto"/>
              <w:right w:val="single" w:sz="4" w:space="0" w:color="auto"/>
            </w:tcBorders>
            <w:noWrap/>
            <w:hideMark/>
          </w:tcPr>
          <w:p w14:paraId="4701DDE3" w14:textId="77777777" w:rsidR="00DC376F" w:rsidRPr="006E764C" w:rsidRDefault="00DC376F" w:rsidP="000B6D24">
            <w:pPr>
              <w:pStyle w:val="TableText"/>
              <w:jc w:val="center"/>
              <w:rPr>
                <w:lang w:eastAsia="en-AU"/>
              </w:rPr>
            </w:pPr>
            <w:r w:rsidRPr="006E764C">
              <w:rPr>
                <w:lang w:eastAsia="en-AU"/>
              </w:rPr>
              <w:t>4</w:t>
            </w:r>
          </w:p>
        </w:tc>
        <w:tc>
          <w:tcPr>
            <w:tcW w:w="1843" w:type="dxa"/>
            <w:tcBorders>
              <w:top w:val="nil"/>
              <w:left w:val="nil"/>
              <w:bottom w:val="single" w:sz="4" w:space="0" w:color="auto"/>
              <w:right w:val="single" w:sz="4" w:space="0" w:color="auto"/>
            </w:tcBorders>
            <w:vAlign w:val="bottom"/>
          </w:tcPr>
          <w:p w14:paraId="2DAA26DB" w14:textId="77777777" w:rsidR="00DC376F" w:rsidRPr="005B6887" w:rsidRDefault="00DC376F" w:rsidP="000B6D24">
            <w:pPr>
              <w:jc w:val="right"/>
              <w:rPr>
                <w:rFonts w:cs="Arial"/>
              </w:rPr>
            </w:pPr>
            <w:r>
              <w:rPr>
                <w:rFonts w:cs="Arial"/>
              </w:rPr>
              <w:t>3</w:t>
            </w:r>
          </w:p>
        </w:tc>
      </w:tr>
      <w:tr w:rsidR="00DC376F" w:rsidRPr="006E764C" w14:paraId="170C9B09" w14:textId="77777777" w:rsidTr="000B6D24">
        <w:trPr>
          <w:trHeight w:val="255"/>
        </w:trPr>
        <w:tc>
          <w:tcPr>
            <w:tcW w:w="3446" w:type="dxa"/>
            <w:tcBorders>
              <w:top w:val="nil"/>
              <w:left w:val="single" w:sz="4" w:space="0" w:color="auto"/>
              <w:bottom w:val="single" w:sz="4" w:space="0" w:color="auto"/>
              <w:right w:val="single" w:sz="4" w:space="0" w:color="auto"/>
            </w:tcBorders>
            <w:noWrap/>
            <w:hideMark/>
          </w:tcPr>
          <w:p w14:paraId="12FD83C6" w14:textId="77777777" w:rsidR="00DC376F" w:rsidRPr="00645916" w:rsidRDefault="00DC376F" w:rsidP="000B6D24">
            <w:pPr>
              <w:pStyle w:val="TableText"/>
              <w:jc w:val="center"/>
              <w:rPr>
                <w:b/>
                <w:lang w:eastAsia="en-AU"/>
              </w:rPr>
            </w:pPr>
            <w:r w:rsidRPr="00645916">
              <w:rPr>
                <w:b/>
                <w:lang w:eastAsia="en-AU"/>
              </w:rPr>
              <w:t>TOTAL</w:t>
            </w:r>
          </w:p>
        </w:tc>
        <w:tc>
          <w:tcPr>
            <w:tcW w:w="1843" w:type="dxa"/>
            <w:tcBorders>
              <w:top w:val="nil"/>
              <w:left w:val="nil"/>
              <w:bottom w:val="single" w:sz="4" w:space="0" w:color="auto"/>
              <w:right w:val="single" w:sz="4" w:space="0" w:color="auto"/>
            </w:tcBorders>
            <w:noWrap/>
            <w:vAlign w:val="bottom"/>
          </w:tcPr>
          <w:p w14:paraId="22B50EFC" w14:textId="252EC62A" w:rsidR="00DC376F" w:rsidRPr="005B6887" w:rsidRDefault="00DC376F" w:rsidP="000B6D24">
            <w:pPr>
              <w:jc w:val="right"/>
              <w:rPr>
                <w:rFonts w:cs="Arial"/>
                <w:b/>
                <w:bCs/>
              </w:rPr>
            </w:pPr>
            <w:r w:rsidRPr="005B6887">
              <w:rPr>
                <w:rFonts w:cs="Arial"/>
                <w:b/>
                <w:bCs/>
              </w:rPr>
              <w:t>5</w:t>
            </w:r>
            <w:r>
              <w:rPr>
                <w:rFonts w:cs="Arial"/>
                <w:b/>
                <w:bCs/>
              </w:rPr>
              <w:t>79</w:t>
            </w:r>
          </w:p>
        </w:tc>
      </w:tr>
    </w:tbl>
    <w:p w14:paraId="43570336" w14:textId="77777777" w:rsidR="00DC376F" w:rsidRDefault="00DC376F" w:rsidP="00106EA8">
      <w:pPr>
        <w:tabs>
          <w:tab w:val="left" w:pos="1134"/>
        </w:tabs>
        <w:ind w:left="-142" w:right="-425"/>
        <w:jc w:val="both"/>
      </w:pPr>
    </w:p>
    <w:p w14:paraId="27EFE698" w14:textId="5FD6E72D"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received by </w:t>
      </w:r>
      <w:r w:rsidR="003317A8">
        <w:t xml:space="preserve">Commission </w:t>
      </w:r>
      <w:r w:rsidR="001B6C3A">
        <w:t xml:space="preserve">clients </w:t>
      </w:r>
      <w:r w:rsidR="003317A8">
        <w:t>during the quarter</w:t>
      </w:r>
      <w:r>
        <w:t>:</w:t>
      </w:r>
    </w:p>
    <w:p w14:paraId="45933DA0" w14:textId="77777777" w:rsidR="003E4DE0" w:rsidRDefault="003E4DE0" w:rsidP="00106EA8">
      <w:pPr>
        <w:tabs>
          <w:tab w:val="left" w:pos="1134"/>
        </w:tabs>
        <w:ind w:left="-142" w:right="-425"/>
        <w:jc w:val="both"/>
      </w:pPr>
    </w:p>
    <w:p w14:paraId="6C36ABA8" w14:textId="0DAF956A" w:rsidR="003317A8" w:rsidRPr="002B14E8" w:rsidRDefault="00FB4106" w:rsidP="005C0A9F">
      <w:pPr>
        <w:tabs>
          <w:tab w:val="decimal" w:pos="720"/>
        </w:tabs>
        <w:ind w:left="-142" w:right="-425"/>
        <w:jc w:val="both"/>
      </w:pPr>
      <w:r>
        <w:tab/>
      </w:r>
      <w:r w:rsidR="002B14E8">
        <w:t>60</w:t>
      </w:r>
      <w:r w:rsidR="002B14E8" w:rsidRPr="002B14E8">
        <w:t xml:space="preserve"> </w:t>
      </w:r>
      <w:r w:rsidR="003317A8" w:rsidRPr="002B14E8">
        <w:t>percen</w:t>
      </w:r>
      <w:r w:rsidR="00FC7C1D" w:rsidRPr="002B14E8">
        <w:t>t</w:t>
      </w:r>
      <w:r w:rsidR="003317A8" w:rsidRPr="002B14E8">
        <w:t xml:space="preserve"> received a school attendance </w:t>
      </w:r>
      <w:r w:rsidR="00546F72" w:rsidRPr="002B14E8">
        <w:t xml:space="preserve">(EQ) </w:t>
      </w:r>
      <w:r w:rsidR="003317A8" w:rsidRPr="002B14E8">
        <w:t>notice</w:t>
      </w:r>
    </w:p>
    <w:p w14:paraId="148CD9E5" w14:textId="1D824BB5" w:rsidR="003317A8" w:rsidRPr="002B14E8" w:rsidRDefault="00FB4106" w:rsidP="005C0A9F">
      <w:pPr>
        <w:tabs>
          <w:tab w:val="decimal" w:pos="720"/>
        </w:tabs>
        <w:ind w:left="-142" w:right="-425"/>
        <w:jc w:val="both"/>
      </w:pPr>
      <w:r w:rsidRPr="002B14E8">
        <w:tab/>
      </w:r>
      <w:r w:rsidR="002B14E8">
        <w:t>13</w:t>
      </w:r>
      <w:r w:rsidR="002B14E8" w:rsidRPr="002B14E8">
        <w:t xml:space="preserve"> </w:t>
      </w:r>
      <w:r w:rsidR="00FC7C1D" w:rsidRPr="002B14E8">
        <w:t xml:space="preserve">percent </w:t>
      </w:r>
      <w:r w:rsidR="00492241" w:rsidRPr="002B14E8">
        <w:t>received a Magistrate Co</w:t>
      </w:r>
      <w:r w:rsidR="00E364B4" w:rsidRPr="002B14E8">
        <w:t>u</w:t>
      </w:r>
      <w:r w:rsidR="00492241" w:rsidRPr="002B14E8">
        <w:t xml:space="preserve">rt </w:t>
      </w:r>
      <w:r w:rsidR="00546F72" w:rsidRPr="002B14E8">
        <w:t xml:space="preserve">(MAG) </w:t>
      </w:r>
      <w:r w:rsidR="00492241" w:rsidRPr="002B14E8">
        <w:t>notice</w:t>
      </w:r>
    </w:p>
    <w:p w14:paraId="35B9421A" w14:textId="3462C968" w:rsidR="00384FFE" w:rsidRPr="002B14E8" w:rsidRDefault="00384FFE" w:rsidP="00384FFE">
      <w:pPr>
        <w:tabs>
          <w:tab w:val="decimal" w:pos="720"/>
        </w:tabs>
        <w:ind w:left="-142" w:right="-425"/>
        <w:jc w:val="both"/>
      </w:pPr>
      <w:r w:rsidRPr="002B14E8">
        <w:tab/>
      </w:r>
      <w:r w:rsidR="002B14E8">
        <w:t>5</w:t>
      </w:r>
      <w:r w:rsidRPr="002B14E8">
        <w:t xml:space="preserve"> percent received a child safety and welfare (CS) notice</w:t>
      </w:r>
    </w:p>
    <w:p w14:paraId="2F67FFD0" w14:textId="4A6570BF" w:rsidR="003317A8" w:rsidRPr="002B14E8" w:rsidRDefault="00FB4106" w:rsidP="005C0A9F">
      <w:pPr>
        <w:tabs>
          <w:tab w:val="decimal" w:pos="720"/>
        </w:tabs>
        <w:ind w:left="-142" w:right="-425"/>
        <w:jc w:val="both"/>
      </w:pPr>
      <w:r w:rsidRPr="002B14E8">
        <w:tab/>
      </w:r>
      <w:r w:rsidR="002B14E8">
        <w:t>4</w:t>
      </w:r>
      <w:r w:rsidR="00E364B4" w:rsidRPr="002B14E8">
        <w:t xml:space="preserve"> </w:t>
      </w:r>
      <w:r w:rsidR="00FC7C1D" w:rsidRPr="002B14E8">
        <w:t xml:space="preserve">percent </w:t>
      </w:r>
      <w:r w:rsidR="00E364B4" w:rsidRPr="002B14E8">
        <w:t xml:space="preserve">received a domestic violence order </w:t>
      </w:r>
      <w:r w:rsidR="00546F72" w:rsidRPr="002B14E8">
        <w:t xml:space="preserve">(DVO) </w:t>
      </w:r>
      <w:r w:rsidR="00E364B4" w:rsidRPr="002B14E8">
        <w:t>notice</w:t>
      </w:r>
      <w:r w:rsidR="00C43C99">
        <w:t xml:space="preserve"> and</w:t>
      </w:r>
    </w:p>
    <w:p w14:paraId="58AC5F34" w14:textId="30A3264E" w:rsidR="00C242FC" w:rsidRPr="002B14E8" w:rsidRDefault="00C242FC" w:rsidP="005C0A9F">
      <w:pPr>
        <w:tabs>
          <w:tab w:val="decimal" w:pos="720"/>
        </w:tabs>
        <w:ind w:left="-142" w:right="-425"/>
        <w:jc w:val="both"/>
      </w:pPr>
      <w:r w:rsidRPr="002B14E8">
        <w:tab/>
      </w:r>
      <w:r w:rsidR="002B14E8">
        <w:t>1</w:t>
      </w:r>
      <w:r w:rsidRPr="002B14E8">
        <w:t xml:space="preserve"> </w:t>
      </w:r>
      <w:r w:rsidR="00FC7C1D" w:rsidRPr="002B14E8">
        <w:t xml:space="preserve">percent </w:t>
      </w:r>
      <w:r w:rsidRPr="002B14E8">
        <w:t xml:space="preserve">received a domestic violence breach </w:t>
      </w:r>
      <w:r w:rsidR="00546F72" w:rsidRPr="002B14E8">
        <w:t>(DVB</w:t>
      </w:r>
      <w:r w:rsidR="003C64B1" w:rsidRPr="002B14E8">
        <w:t>)</w:t>
      </w:r>
      <w:r w:rsidR="00546F72" w:rsidRPr="002B14E8">
        <w:t xml:space="preserve"> </w:t>
      </w:r>
      <w:r w:rsidRPr="002B14E8">
        <w:t>notice</w:t>
      </w:r>
      <w:r w:rsidR="00C43C99">
        <w:t>.</w:t>
      </w:r>
    </w:p>
    <w:p w14:paraId="6BABDAC1" w14:textId="52C1BFD2" w:rsidR="001B6C3A" w:rsidRDefault="001B6C3A" w:rsidP="00FB4106">
      <w:pPr>
        <w:tabs>
          <w:tab w:val="decimal" w:pos="720"/>
        </w:tabs>
        <w:ind w:left="-142" w:right="-425"/>
        <w:jc w:val="both"/>
      </w:pPr>
    </w:p>
    <w:p w14:paraId="74CFEB98" w14:textId="0F739FBD" w:rsidR="002B14E8" w:rsidRDefault="002B14E8" w:rsidP="00C43C99">
      <w:pPr>
        <w:tabs>
          <w:tab w:val="left" w:pos="1134"/>
        </w:tabs>
        <w:ind w:left="-142" w:right="-425"/>
        <w:jc w:val="both"/>
      </w:pPr>
      <w:r>
        <w:t>The remaining sole trigger notices received for Commission client</w:t>
      </w:r>
      <w:r w:rsidR="00804B99">
        <w:t>s</w:t>
      </w:r>
      <w:r>
        <w:t xml:space="preserve"> during the quarter w</w:t>
      </w:r>
      <w:r w:rsidR="00804B99">
        <w:t>ere</w:t>
      </w:r>
      <w:r>
        <w:t xml:space="preserve"> 1 client with a District Court (DIS) notice</w:t>
      </w:r>
      <w:r w:rsidR="00C43C99">
        <w:t xml:space="preserve"> and 2 clients with a housing tenancy breach (HT) notice</w:t>
      </w:r>
      <w:r>
        <w:t>.</w:t>
      </w:r>
    </w:p>
    <w:p w14:paraId="78ABBEEE" w14:textId="66B4FC03" w:rsidR="004E36FE" w:rsidRDefault="00702AE8" w:rsidP="004E36FE">
      <w:pPr>
        <w:tabs>
          <w:tab w:val="left" w:pos="1134"/>
        </w:tabs>
        <w:ind w:left="-142" w:right="-425"/>
        <w:jc w:val="both"/>
      </w:pPr>
      <w:r>
        <w:t>A</w:t>
      </w:r>
      <w:r w:rsidR="002A0383">
        <w:t>dditional</w:t>
      </w:r>
      <w:r w:rsidR="006E1ADD">
        <w:t xml:space="preserve"> insight into</w:t>
      </w:r>
      <w:r w:rsidR="001133BC">
        <w:t xml:space="preserve"> </w:t>
      </w:r>
      <w:r w:rsidR="00C73445">
        <w:t xml:space="preserve">the </w:t>
      </w:r>
      <w:r w:rsidR="00D66185">
        <w:t xml:space="preserve">complexity of </w:t>
      </w:r>
      <w:r w:rsidR="00C73445">
        <w:t>issues faced by clients</w:t>
      </w:r>
      <w:r>
        <w:t xml:space="preserve"> can be seen below</w:t>
      </w:r>
      <w:r w:rsidR="00C73445">
        <w:t xml:space="preserve">. </w:t>
      </w:r>
      <w:r>
        <w:t xml:space="preserve">Table </w:t>
      </w:r>
      <w:r w:rsidR="00D97019">
        <w:t>3</w:t>
      </w:r>
      <w:r>
        <w:t xml:space="preserve"> shows t</w:t>
      </w:r>
      <w:r w:rsidR="00D87B74">
        <w:t xml:space="preserve">he combination of trigger notices received for </w:t>
      </w:r>
      <w:r w:rsidR="0007578E">
        <w:t xml:space="preserve">94 </w:t>
      </w:r>
      <w:r w:rsidR="00DB02B5">
        <w:t xml:space="preserve">clients </w:t>
      </w:r>
      <w:r w:rsidR="006E1ADD">
        <w:t>w</w:t>
      </w:r>
      <w:r w:rsidR="00266BB4">
        <w:t xml:space="preserve">ith </w:t>
      </w:r>
      <w:r w:rsidR="00DB02B5">
        <w:t xml:space="preserve">more than one </w:t>
      </w:r>
      <w:r w:rsidR="00D87B74">
        <w:t xml:space="preserve">type of </w:t>
      </w:r>
      <w:r w:rsidR="00DB02B5">
        <w:t xml:space="preserve">trigger </w:t>
      </w:r>
      <w:r w:rsidR="00D87B74">
        <w:t xml:space="preserve">notice. </w:t>
      </w:r>
      <w:r w:rsidR="00D87B74" w:rsidRPr="00E03B38">
        <w:t xml:space="preserve">One can see that predominantly </w:t>
      </w:r>
      <w:r w:rsidR="00E451BA" w:rsidRPr="00E03B38">
        <w:t>there is a nexus between</w:t>
      </w:r>
      <w:r w:rsidR="00266BB4" w:rsidRPr="00E03B38">
        <w:t xml:space="preserve"> </w:t>
      </w:r>
      <w:r w:rsidR="00D87B74" w:rsidRPr="00E03B38">
        <w:t xml:space="preserve">Court convictions </w:t>
      </w:r>
      <w:r w:rsidR="00266BB4" w:rsidRPr="00E03B38">
        <w:t xml:space="preserve">and domestic violence orders/breaches </w:t>
      </w:r>
      <w:r w:rsidR="00E451BA" w:rsidRPr="00E03B38">
        <w:t>with</w:t>
      </w:r>
      <w:r w:rsidR="00D87B74" w:rsidRPr="00E03B38">
        <w:t xml:space="preserve"> education </w:t>
      </w:r>
      <w:r w:rsidR="00E451BA" w:rsidRPr="00E03B38">
        <w:t xml:space="preserve">notices </w:t>
      </w:r>
      <w:r w:rsidR="00D87B74" w:rsidRPr="00E03B38">
        <w:t>and child safety issues</w:t>
      </w:r>
      <w:r w:rsidR="00A903B1" w:rsidRPr="00E03B38">
        <w:t xml:space="preserve">, and </w:t>
      </w:r>
      <w:r w:rsidR="00E451BA" w:rsidRPr="00E03B38">
        <w:t xml:space="preserve">also </w:t>
      </w:r>
      <w:r w:rsidR="00A903B1" w:rsidRPr="00E03B38">
        <w:t>a strong nexus between child safety issues and education notices</w:t>
      </w:r>
      <w:r w:rsidR="00266BB4" w:rsidRPr="00E03B38">
        <w:t>.</w:t>
      </w:r>
    </w:p>
    <w:p w14:paraId="4DF56508" w14:textId="6FC8AD83" w:rsidR="0030587D" w:rsidRDefault="0030587D" w:rsidP="00106EA8">
      <w:pPr>
        <w:tabs>
          <w:tab w:val="left" w:pos="1134"/>
        </w:tabs>
        <w:ind w:left="-142" w:right="-425"/>
        <w:jc w:val="both"/>
      </w:pPr>
    </w:p>
    <w:p w14:paraId="1007E315" w14:textId="77777777" w:rsidR="00515E8F" w:rsidRDefault="00515E8F">
      <w:pPr>
        <w:spacing w:line="240" w:lineRule="auto"/>
        <w:rPr>
          <w:b/>
          <w:sz w:val="16"/>
          <w:szCs w:val="16"/>
        </w:rPr>
      </w:pPr>
      <w:r>
        <w:rPr>
          <w:b/>
          <w:sz w:val="16"/>
          <w:szCs w:val="16"/>
        </w:rPr>
        <w:br w:type="page"/>
      </w:r>
    </w:p>
    <w:p w14:paraId="545211AE" w14:textId="0F06B985" w:rsidR="0030587D" w:rsidRPr="00352CA2" w:rsidRDefault="0030587D" w:rsidP="00352CA2">
      <w:pPr>
        <w:spacing w:after="120" w:line="240" w:lineRule="auto"/>
        <w:ind w:left="794" w:hanging="794"/>
        <w:rPr>
          <w:b/>
          <w:sz w:val="16"/>
          <w:szCs w:val="16"/>
        </w:rPr>
      </w:pPr>
      <w:r w:rsidRPr="00352CA2">
        <w:rPr>
          <w:b/>
          <w:sz w:val="16"/>
          <w:szCs w:val="16"/>
        </w:rPr>
        <w:lastRenderedPageBreak/>
        <w:t xml:space="preserve">Table </w:t>
      </w:r>
      <w:r w:rsidR="009A2F52">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multiple and differing </w:t>
      </w:r>
      <w:r w:rsidR="00352CA2" w:rsidRPr="00352CA2">
        <w:rPr>
          <w:bCs/>
          <w:sz w:val="16"/>
          <w:szCs w:val="16"/>
        </w:rPr>
        <w:t>agency notices</w:t>
      </w:r>
      <w:r w:rsidR="007E7F5E">
        <w:rPr>
          <w:bCs/>
          <w:sz w:val="16"/>
          <w:szCs w:val="16"/>
        </w:rPr>
        <w:t xml:space="preserve"> (i.e.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352CA2" w:rsidRPr="00352CA2">
        <w:rPr>
          <w:bCs/>
          <w:sz w:val="16"/>
          <w:szCs w:val="16"/>
        </w:rPr>
        <w:t xml:space="preserve"> from </w:t>
      </w:r>
      <w:r w:rsidR="00F83C14">
        <w:rPr>
          <w:bCs/>
          <w:sz w:val="16"/>
          <w:szCs w:val="16"/>
        </w:rPr>
        <w:t xml:space="preserve">1 </w:t>
      </w:r>
      <w:r w:rsidR="00454A8C">
        <w:rPr>
          <w:bCs/>
          <w:sz w:val="16"/>
          <w:szCs w:val="16"/>
        </w:rPr>
        <w:t>October</w:t>
      </w:r>
      <w:r w:rsidR="00454A8C" w:rsidRPr="00352CA2">
        <w:rPr>
          <w:bCs/>
          <w:sz w:val="16"/>
          <w:szCs w:val="16"/>
        </w:rPr>
        <w:t xml:space="preserve"> </w:t>
      </w:r>
      <w:r w:rsidR="00352CA2" w:rsidRPr="00352CA2">
        <w:rPr>
          <w:bCs/>
          <w:sz w:val="16"/>
          <w:szCs w:val="16"/>
        </w:rPr>
        <w:t xml:space="preserve">2021 to </w:t>
      </w:r>
      <w:r w:rsidR="00F83C14">
        <w:rPr>
          <w:bCs/>
          <w:sz w:val="16"/>
          <w:szCs w:val="16"/>
        </w:rPr>
        <w:t>3</w:t>
      </w:r>
      <w:r w:rsidR="00454A8C">
        <w:rPr>
          <w:bCs/>
          <w:sz w:val="16"/>
          <w:szCs w:val="16"/>
        </w:rPr>
        <w:t xml:space="preserve">1 December </w:t>
      </w:r>
      <w:r w:rsidR="00352CA2" w:rsidRPr="00352CA2">
        <w:rPr>
          <w:bCs/>
          <w:sz w:val="16"/>
          <w:szCs w:val="16"/>
        </w:rPr>
        <w:t>2021</w:t>
      </w:r>
      <w:r w:rsidR="00993F41" w:rsidRPr="008F6888">
        <w:rPr>
          <w:rStyle w:val="FootnoteReference"/>
          <w:bCs/>
          <w:sz w:val="16"/>
          <w:szCs w:val="16"/>
        </w:rPr>
        <w:footnoteReference w:id="6"/>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shd w:val="clear" w:color="auto" w:fill="auto"/>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shd w:val="clear" w:color="auto" w:fill="auto"/>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E23840" w:rsidRPr="00FE5409" w14:paraId="04434822" w14:textId="77777777" w:rsidTr="001D783C">
        <w:trPr>
          <w:trHeight w:val="300"/>
        </w:trPr>
        <w:tc>
          <w:tcPr>
            <w:tcW w:w="2200" w:type="dxa"/>
            <w:shd w:val="clear" w:color="auto" w:fill="auto"/>
          </w:tcPr>
          <w:p w14:paraId="34011875" w14:textId="0A781127" w:rsidR="00E23840" w:rsidRPr="00FE5409" w:rsidRDefault="00E23840" w:rsidP="00E23840">
            <w:pPr>
              <w:spacing w:line="240" w:lineRule="auto"/>
              <w:rPr>
                <w:rFonts w:cs="Calibri"/>
                <w:color w:val="000000"/>
                <w:lang w:eastAsia="en-AU"/>
              </w:rPr>
            </w:pPr>
            <w:r>
              <w:rPr>
                <w:rFonts w:cs="Arial"/>
                <w:color w:val="000000"/>
              </w:rPr>
              <w:t>CS,DVB,EQ,MAG</w:t>
            </w:r>
          </w:p>
        </w:tc>
        <w:tc>
          <w:tcPr>
            <w:tcW w:w="1197" w:type="dxa"/>
            <w:shd w:val="clear" w:color="auto" w:fill="auto"/>
          </w:tcPr>
          <w:p w14:paraId="29142103" w14:textId="3B28BCB4" w:rsidR="00E23840" w:rsidRPr="00FE5409" w:rsidRDefault="00E23840" w:rsidP="00E23840">
            <w:pPr>
              <w:spacing w:line="240" w:lineRule="auto"/>
              <w:jc w:val="right"/>
              <w:rPr>
                <w:rFonts w:cs="Calibri"/>
                <w:color w:val="000000"/>
                <w:lang w:eastAsia="en-AU"/>
              </w:rPr>
            </w:pPr>
            <w:r>
              <w:rPr>
                <w:rFonts w:cs="Arial"/>
                <w:color w:val="000000"/>
              </w:rPr>
              <w:t>2</w:t>
            </w:r>
          </w:p>
        </w:tc>
      </w:tr>
      <w:tr w:rsidR="00E23840" w:rsidRPr="00FE5409" w14:paraId="45421862" w14:textId="77777777" w:rsidTr="001D783C">
        <w:trPr>
          <w:trHeight w:val="300"/>
        </w:trPr>
        <w:tc>
          <w:tcPr>
            <w:tcW w:w="2200" w:type="dxa"/>
            <w:shd w:val="clear" w:color="auto" w:fill="auto"/>
          </w:tcPr>
          <w:p w14:paraId="2433043D" w14:textId="2AA9F77D" w:rsidR="00E23840" w:rsidRPr="00FE5409" w:rsidRDefault="00E23840" w:rsidP="00E23840">
            <w:pPr>
              <w:spacing w:line="240" w:lineRule="auto"/>
              <w:rPr>
                <w:rFonts w:cs="Calibri"/>
                <w:color w:val="000000"/>
                <w:lang w:eastAsia="en-AU"/>
              </w:rPr>
            </w:pPr>
            <w:r>
              <w:rPr>
                <w:rFonts w:cs="Arial"/>
                <w:color w:val="000000"/>
              </w:rPr>
              <w:t>CS,DVO</w:t>
            </w:r>
          </w:p>
        </w:tc>
        <w:tc>
          <w:tcPr>
            <w:tcW w:w="1197" w:type="dxa"/>
            <w:shd w:val="clear" w:color="auto" w:fill="auto"/>
          </w:tcPr>
          <w:p w14:paraId="5436615D" w14:textId="66455DE8" w:rsidR="00E23840" w:rsidRPr="00FE5409" w:rsidRDefault="00E23840" w:rsidP="00E23840">
            <w:pPr>
              <w:spacing w:line="240" w:lineRule="auto"/>
              <w:jc w:val="right"/>
              <w:rPr>
                <w:rFonts w:cs="Calibri"/>
                <w:color w:val="000000"/>
                <w:lang w:eastAsia="en-AU"/>
              </w:rPr>
            </w:pPr>
            <w:r>
              <w:rPr>
                <w:rFonts w:cs="Arial"/>
                <w:color w:val="000000"/>
              </w:rPr>
              <w:t>3</w:t>
            </w:r>
          </w:p>
        </w:tc>
      </w:tr>
      <w:tr w:rsidR="00E23840" w:rsidRPr="00FE5409" w14:paraId="492A9CC8" w14:textId="77777777" w:rsidTr="001D783C">
        <w:trPr>
          <w:trHeight w:val="300"/>
        </w:trPr>
        <w:tc>
          <w:tcPr>
            <w:tcW w:w="2200" w:type="dxa"/>
            <w:shd w:val="clear" w:color="auto" w:fill="auto"/>
          </w:tcPr>
          <w:p w14:paraId="13AE3B26" w14:textId="760732DB" w:rsidR="00E23840" w:rsidRPr="00FE5409" w:rsidRDefault="00E23840" w:rsidP="00E23840">
            <w:pPr>
              <w:spacing w:line="240" w:lineRule="auto"/>
              <w:rPr>
                <w:rFonts w:cs="Calibri"/>
                <w:color w:val="000000"/>
                <w:lang w:eastAsia="en-AU"/>
              </w:rPr>
            </w:pPr>
            <w:r>
              <w:rPr>
                <w:rFonts w:cs="Arial"/>
                <w:color w:val="000000"/>
              </w:rPr>
              <w:t>CS,DVO,EQ</w:t>
            </w:r>
          </w:p>
        </w:tc>
        <w:tc>
          <w:tcPr>
            <w:tcW w:w="1197" w:type="dxa"/>
            <w:shd w:val="clear" w:color="auto" w:fill="auto"/>
          </w:tcPr>
          <w:p w14:paraId="1E1FE897" w14:textId="10BE8117" w:rsidR="00E23840" w:rsidRPr="00FE5409" w:rsidRDefault="00E23840" w:rsidP="00E23840">
            <w:pPr>
              <w:spacing w:line="240" w:lineRule="auto"/>
              <w:jc w:val="right"/>
              <w:rPr>
                <w:rFonts w:cs="Calibri"/>
                <w:color w:val="000000"/>
                <w:lang w:eastAsia="en-AU"/>
              </w:rPr>
            </w:pPr>
            <w:r>
              <w:rPr>
                <w:rFonts w:cs="Arial"/>
                <w:color w:val="000000"/>
              </w:rPr>
              <w:t>2</w:t>
            </w:r>
          </w:p>
        </w:tc>
      </w:tr>
      <w:tr w:rsidR="00E23840" w:rsidRPr="00FE5409" w14:paraId="710FEBFB" w14:textId="77777777" w:rsidTr="0063787B">
        <w:trPr>
          <w:trHeight w:val="300"/>
        </w:trPr>
        <w:tc>
          <w:tcPr>
            <w:tcW w:w="2200" w:type="dxa"/>
            <w:shd w:val="clear" w:color="auto" w:fill="auto"/>
          </w:tcPr>
          <w:p w14:paraId="6A239A46" w14:textId="61A5BC8A" w:rsidR="00E23840" w:rsidRDefault="00E23840" w:rsidP="00E23840">
            <w:pPr>
              <w:spacing w:line="240" w:lineRule="auto"/>
              <w:rPr>
                <w:rFonts w:cs="Calibri"/>
                <w:color w:val="000000"/>
                <w:lang w:eastAsia="en-AU"/>
              </w:rPr>
            </w:pPr>
            <w:r>
              <w:rPr>
                <w:rFonts w:cs="Arial"/>
                <w:color w:val="000000"/>
              </w:rPr>
              <w:t>CS,EQ</w:t>
            </w:r>
          </w:p>
        </w:tc>
        <w:tc>
          <w:tcPr>
            <w:tcW w:w="1197" w:type="dxa"/>
            <w:shd w:val="clear" w:color="auto" w:fill="auto"/>
          </w:tcPr>
          <w:p w14:paraId="72E25CD2" w14:textId="3B28CB33" w:rsidR="00E23840" w:rsidRDefault="00E23840" w:rsidP="00E23840">
            <w:pPr>
              <w:spacing w:line="240" w:lineRule="auto"/>
              <w:jc w:val="right"/>
              <w:rPr>
                <w:rFonts w:cs="Calibri"/>
                <w:color w:val="000000"/>
                <w:lang w:eastAsia="en-AU"/>
              </w:rPr>
            </w:pPr>
            <w:r>
              <w:rPr>
                <w:rFonts w:cs="Arial"/>
                <w:color w:val="000000"/>
              </w:rPr>
              <w:t>24</w:t>
            </w:r>
          </w:p>
        </w:tc>
      </w:tr>
      <w:tr w:rsidR="00E23840" w:rsidRPr="00FE5409" w14:paraId="5DD4E31E" w14:textId="77777777" w:rsidTr="0063787B">
        <w:trPr>
          <w:trHeight w:val="300"/>
        </w:trPr>
        <w:tc>
          <w:tcPr>
            <w:tcW w:w="2200" w:type="dxa"/>
            <w:shd w:val="clear" w:color="auto" w:fill="auto"/>
          </w:tcPr>
          <w:p w14:paraId="4CAD65B0" w14:textId="0077E439" w:rsidR="00E23840" w:rsidRDefault="00E23840" w:rsidP="00E23840">
            <w:pPr>
              <w:spacing w:line="240" w:lineRule="auto"/>
              <w:rPr>
                <w:rFonts w:cs="Calibri"/>
                <w:color w:val="000000"/>
              </w:rPr>
            </w:pPr>
            <w:r>
              <w:rPr>
                <w:rFonts w:cs="Arial"/>
                <w:color w:val="000000"/>
              </w:rPr>
              <w:t>CS,EQ,MAG</w:t>
            </w:r>
          </w:p>
        </w:tc>
        <w:tc>
          <w:tcPr>
            <w:tcW w:w="1197" w:type="dxa"/>
            <w:shd w:val="clear" w:color="auto" w:fill="auto"/>
          </w:tcPr>
          <w:p w14:paraId="3322EC6D" w14:textId="170AE006" w:rsidR="00E23840" w:rsidRDefault="00E23840" w:rsidP="00E23840">
            <w:pPr>
              <w:spacing w:line="240" w:lineRule="auto"/>
              <w:jc w:val="right"/>
              <w:rPr>
                <w:rFonts w:cs="Calibri"/>
                <w:color w:val="000000"/>
                <w:lang w:eastAsia="en-AU"/>
              </w:rPr>
            </w:pPr>
            <w:r>
              <w:rPr>
                <w:rFonts w:cs="Arial"/>
                <w:color w:val="000000"/>
              </w:rPr>
              <w:t>3</w:t>
            </w:r>
          </w:p>
        </w:tc>
      </w:tr>
      <w:tr w:rsidR="00E23840" w:rsidRPr="00FE5409" w14:paraId="6FF59BF7" w14:textId="77777777" w:rsidTr="0063787B">
        <w:trPr>
          <w:trHeight w:val="300"/>
        </w:trPr>
        <w:tc>
          <w:tcPr>
            <w:tcW w:w="2200" w:type="dxa"/>
            <w:shd w:val="clear" w:color="auto" w:fill="auto"/>
          </w:tcPr>
          <w:p w14:paraId="46C178A4" w14:textId="36BFD536" w:rsidR="00E23840" w:rsidRDefault="00E23840" w:rsidP="00E23840">
            <w:pPr>
              <w:spacing w:line="240" w:lineRule="auto"/>
              <w:rPr>
                <w:rFonts w:cs="Calibri"/>
                <w:color w:val="000000"/>
                <w:lang w:eastAsia="en-AU"/>
              </w:rPr>
            </w:pPr>
            <w:r>
              <w:rPr>
                <w:rFonts w:cs="Arial"/>
                <w:color w:val="000000"/>
              </w:rPr>
              <w:t>CS,EQ,SEN</w:t>
            </w:r>
          </w:p>
        </w:tc>
        <w:tc>
          <w:tcPr>
            <w:tcW w:w="1197" w:type="dxa"/>
            <w:shd w:val="clear" w:color="auto" w:fill="auto"/>
          </w:tcPr>
          <w:p w14:paraId="073DFBE8" w14:textId="149FFCD1" w:rsidR="00E23840" w:rsidRDefault="00E23840" w:rsidP="00E23840">
            <w:pPr>
              <w:spacing w:line="240" w:lineRule="auto"/>
              <w:jc w:val="right"/>
              <w:rPr>
                <w:rFonts w:cs="Calibri"/>
                <w:color w:val="000000"/>
                <w:lang w:eastAsia="en-AU"/>
              </w:rPr>
            </w:pPr>
            <w:r>
              <w:rPr>
                <w:rFonts w:cs="Arial"/>
                <w:color w:val="000000"/>
              </w:rPr>
              <w:t>1</w:t>
            </w:r>
          </w:p>
        </w:tc>
      </w:tr>
      <w:tr w:rsidR="00E23840" w:rsidRPr="00FE5409" w14:paraId="1F7BFD3E" w14:textId="77777777" w:rsidTr="001D783C">
        <w:trPr>
          <w:trHeight w:val="300"/>
        </w:trPr>
        <w:tc>
          <w:tcPr>
            <w:tcW w:w="2200" w:type="dxa"/>
            <w:shd w:val="clear" w:color="auto" w:fill="auto"/>
          </w:tcPr>
          <w:p w14:paraId="7F0F7750" w14:textId="56CE5F16" w:rsidR="00E23840" w:rsidRPr="00FE5409" w:rsidRDefault="00E23840" w:rsidP="00E23840">
            <w:pPr>
              <w:spacing w:line="240" w:lineRule="auto"/>
              <w:rPr>
                <w:rFonts w:cs="Calibri"/>
                <w:color w:val="000000"/>
                <w:lang w:eastAsia="en-AU"/>
              </w:rPr>
            </w:pPr>
            <w:r>
              <w:rPr>
                <w:rFonts w:cs="Arial"/>
                <w:color w:val="000000"/>
              </w:rPr>
              <w:t>CS,MAG</w:t>
            </w:r>
          </w:p>
        </w:tc>
        <w:tc>
          <w:tcPr>
            <w:tcW w:w="1197" w:type="dxa"/>
            <w:shd w:val="clear" w:color="auto" w:fill="auto"/>
          </w:tcPr>
          <w:p w14:paraId="0F6136B2" w14:textId="3DBBE222" w:rsidR="00E23840" w:rsidRPr="00FE5409" w:rsidRDefault="00E23840" w:rsidP="00E23840">
            <w:pPr>
              <w:spacing w:line="240" w:lineRule="auto"/>
              <w:jc w:val="right"/>
              <w:rPr>
                <w:rFonts w:cs="Calibri"/>
                <w:color w:val="000000"/>
                <w:lang w:eastAsia="en-AU"/>
              </w:rPr>
            </w:pPr>
            <w:r>
              <w:rPr>
                <w:rFonts w:cs="Arial"/>
                <w:color w:val="000000"/>
              </w:rPr>
              <w:t>4</w:t>
            </w:r>
          </w:p>
        </w:tc>
      </w:tr>
      <w:tr w:rsidR="00E23840" w:rsidRPr="00FE5409" w14:paraId="7473681C" w14:textId="77777777" w:rsidTr="001D783C">
        <w:trPr>
          <w:trHeight w:val="300"/>
        </w:trPr>
        <w:tc>
          <w:tcPr>
            <w:tcW w:w="2200" w:type="dxa"/>
            <w:shd w:val="clear" w:color="auto" w:fill="auto"/>
          </w:tcPr>
          <w:p w14:paraId="1EC80D89" w14:textId="4EE39037" w:rsidR="00E23840" w:rsidRPr="00FE5409" w:rsidRDefault="00E23840" w:rsidP="00E23840">
            <w:pPr>
              <w:spacing w:line="240" w:lineRule="auto"/>
              <w:rPr>
                <w:rFonts w:cs="Calibri"/>
                <w:color w:val="000000"/>
                <w:lang w:eastAsia="en-AU"/>
              </w:rPr>
            </w:pPr>
            <w:r>
              <w:rPr>
                <w:rFonts w:cs="Arial"/>
                <w:color w:val="000000"/>
              </w:rPr>
              <w:t>DIS,EQ</w:t>
            </w:r>
          </w:p>
        </w:tc>
        <w:tc>
          <w:tcPr>
            <w:tcW w:w="1197" w:type="dxa"/>
            <w:shd w:val="clear" w:color="auto" w:fill="auto"/>
          </w:tcPr>
          <w:p w14:paraId="7BBBF358" w14:textId="759D7090" w:rsidR="00E23840" w:rsidRPr="00FE5409" w:rsidRDefault="00E23840" w:rsidP="00E23840">
            <w:pPr>
              <w:spacing w:line="240" w:lineRule="auto"/>
              <w:jc w:val="right"/>
              <w:rPr>
                <w:rFonts w:cs="Calibri"/>
                <w:color w:val="000000"/>
                <w:lang w:eastAsia="en-AU"/>
              </w:rPr>
            </w:pPr>
            <w:r>
              <w:rPr>
                <w:rFonts w:cs="Arial"/>
                <w:color w:val="000000"/>
              </w:rPr>
              <w:t>1</w:t>
            </w:r>
          </w:p>
        </w:tc>
      </w:tr>
      <w:tr w:rsidR="00E23840" w:rsidRPr="00FE5409" w14:paraId="6071AA5B" w14:textId="77777777" w:rsidTr="001D783C">
        <w:trPr>
          <w:trHeight w:val="300"/>
        </w:trPr>
        <w:tc>
          <w:tcPr>
            <w:tcW w:w="2200" w:type="dxa"/>
            <w:shd w:val="clear" w:color="auto" w:fill="auto"/>
          </w:tcPr>
          <w:p w14:paraId="0A6DDECE" w14:textId="3923F9AC" w:rsidR="00E23840" w:rsidRPr="00FE5409" w:rsidRDefault="00E23840" w:rsidP="00E23840">
            <w:pPr>
              <w:spacing w:line="240" w:lineRule="auto"/>
              <w:rPr>
                <w:rFonts w:cs="Calibri"/>
                <w:color w:val="000000"/>
                <w:lang w:eastAsia="en-AU"/>
              </w:rPr>
            </w:pPr>
            <w:r>
              <w:rPr>
                <w:rFonts w:cs="Arial"/>
                <w:color w:val="000000"/>
              </w:rPr>
              <w:t>DIS,MAG</w:t>
            </w:r>
          </w:p>
        </w:tc>
        <w:tc>
          <w:tcPr>
            <w:tcW w:w="1197" w:type="dxa"/>
            <w:shd w:val="clear" w:color="auto" w:fill="auto"/>
          </w:tcPr>
          <w:p w14:paraId="34093637" w14:textId="65319720" w:rsidR="00E23840" w:rsidRPr="00FE5409" w:rsidRDefault="00E23840" w:rsidP="00E23840">
            <w:pPr>
              <w:spacing w:line="240" w:lineRule="auto"/>
              <w:jc w:val="right"/>
              <w:rPr>
                <w:rFonts w:cs="Calibri"/>
                <w:color w:val="000000"/>
                <w:lang w:eastAsia="en-AU"/>
              </w:rPr>
            </w:pPr>
            <w:r>
              <w:rPr>
                <w:rFonts w:cs="Arial"/>
                <w:color w:val="000000"/>
              </w:rPr>
              <w:t>1</w:t>
            </w:r>
          </w:p>
        </w:tc>
      </w:tr>
      <w:tr w:rsidR="00E23840" w:rsidRPr="00FE5409" w14:paraId="0ACB3A1E" w14:textId="77777777" w:rsidTr="001D783C">
        <w:trPr>
          <w:trHeight w:val="300"/>
        </w:trPr>
        <w:tc>
          <w:tcPr>
            <w:tcW w:w="2200" w:type="dxa"/>
            <w:shd w:val="clear" w:color="auto" w:fill="auto"/>
          </w:tcPr>
          <w:p w14:paraId="067DD967" w14:textId="16DF03AF" w:rsidR="00E23840" w:rsidRPr="00FE5409" w:rsidRDefault="00E23840" w:rsidP="00E23840">
            <w:pPr>
              <w:spacing w:line="240" w:lineRule="auto"/>
              <w:rPr>
                <w:rFonts w:cs="Calibri"/>
                <w:color w:val="000000"/>
                <w:lang w:eastAsia="en-AU"/>
              </w:rPr>
            </w:pPr>
            <w:r>
              <w:rPr>
                <w:rFonts w:cs="Arial"/>
                <w:color w:val="000000"/>
              </w:rPr>
              <w:t>DVB,DVO,EQ,MAG</w:t>
            </w:r>
          </w:p>
        </w:tc>
        <w:tc>
          <w:tcPr>
            <w:tcW w:w="1197" w:type="dxa"/>
            <w:shd w:val="clear" w:color="auto" w:fill="auto"/>
          </w:tcPr>
          <w:p w14:paraId="2509FA12" w14:textId="19437AC8" w:rsidR="00E23840" w:rsidRPr="00FE5409" w:rsidRDefault="00E23840" w:rsidP="00E23840">
            <w:pPr>
              <w:spacing w:line="240" w:lineRule="auto"/>
              <w:jc w:val="right"/>
              <w:rPr>
                <w:rFonts w:cs="Calibri"/>
                <w:color w:val="000000"/>
                <w:lang w:eastAsia="en-AU"/>
              </w:rPr>
            </w:pPr>
            <w:r>
              <w:rPr>
                <w:rFonts w:cs="Arial"/>
                <w:color w:val="000000"/>
              </w:rPr>
              <w:t>1</w:t>
            </w:r>
          </w:p>
        </w:tc>
      </w:tr>
      <w:tr w:rsidR="00E23840" w:rsidRPr="00FE5409" w14:paraId="1787C4F7" w14:textId="77777777" w:rsidTr="001D783C">
        <w:trPr>
          <w:trHeight w:val="300"/>
        </w:trPr>
        <w:tc>
          <w:tcPr>
            <w:tcW w:w="2200" w:type="dxa"/>
            <w:shd w:val="clear" w:color="auto" w:fill="auto"/>
          </w:tcPr>
          <w:p w14:paraId="4FDE344B" w14:textId="7E633649" w:rsidR="00E23840" w:rsidRPr="00FE5409" w:rsidRDefault="00E23840" w:rsidP="00E23840">
            <w:pPr>
              <w:spacing w:line="240" w:lineRule="auto"/>
              <w:rPr>
                <w:rFonts w:cs="Calibri"/>
                <w:color w:val="000000"/>
                <w:lang w:eastAsia="en-AU"/>
              </w:rPr>
            </w:pPr>
            <w:r>
              <w:rPr>
                <w:rFonts w:cs="Arial"/>
                <w:color w:val="000000"/>
              </w:rPr>
              <w:t>DVB,DVO,MAG</w:t>
            </w:r>
          </w:p>
        </w:tc>
        <w:tc>
          <w:tcPr>
            <w:tcW w:w="1197" w:type="dxa"/>
            <w:shd w:val="clear" w:color="auto" w:fill="auto"/>
          </w:tcPr>
          <w:p w14:paraId="1A891217" w14:textId="43021A9D" w:rsidR="00E23840" w:rsidRPr="00FE5409" w:rsidRDefault="00E23840" w:rsidP="00E23840">
            <w:pPr>
              <w:spacing w:line="240" w:lineRule="auto"/>
              <w:jc w:val="right"/>
              <w:rPr>
                <w:rFonts w:cs="Calibri"/>
                <w:color w:val="000000"/>
                <w:lang w:eastAsia="en-AU"/>
              </w:rPr>
            </w:pPr>
            <w:r>
              <w:rPr>
                <w:rFonts w:cs="Arial"/>
                <w:color w:val="000000"/>
              </w:rPr>
              <w:t>3</w:t>
            </w:r>
          </w:p>
        </w:tc>
      </w:tr>
      <w:tr w:rsidR="00E23840" w:rsidRPr="00FE5409" w14:paraId="18BBD4F7" w14:textId="77777777" w:rsidTr="0063787B">
        <w:trPr>
          <w:trHeight w:val="300"/>
        </w:trPr>
        <w:tc>
          <w:tcPr>
            <w:tcW w:w="2200" w:type="dxa"/>
            <w:shd w:val="clear" w:color="auto" w:fill="auto"/>
          </w:tcPr>
          <w:p w14:paraId="39E361CB" w14:textId="6F9734DC" w:rsidR="00E23840" w:rsidRPr="00FE5409" w:rsidRDefault="00E23840" w:rsidP="00E23840">
            <w:pPr>
              <w:spacing w:line="240" w:lineRule="auto"/>
              <w:rPr>
                <w:rFonts w:cs="Calibri"/>
                <w:color w:val="000000"/>
                <w:lang w:eastAsia="en-AU"/>
              </w:rPr>
            </w:pPr>
            <w:r>
              <w:rPr>
                <w:rFonts w:cs="Arial"/>
                <w:color w:val="000000"/>
              </w:rPr>
              <w:t>DVB,EQ,MAG</w:t>
            </w:r>
          </w:p>
        </w:tc>
        <w:tc>
          <w:tcPr>
            <w:tcW w:w="1197" w:type="dxa"/>
            <w:shd w:val="clear" w:color="auto" w:fill="auto"/>
          </w:tcPr>
          <w:p w14:paraId="632B8C8C" w14:textId="581DEFE4" w:rsidR="00E23840" w:rsidRDefault="00E23840" w:rsidP="00E23840">
            <w:pPr>
              <w:spacing w:line="240" w:lineRule="auto"/>
              <w:jc w:val="right"/>
              <w:rPr>
                <w:rFonts w:cs="Calibri"/>
                <w:color w:val="000000"/>
                <w:lang w:eastAsia="en-AU"/>
              </w:rPr>
            </w:pPr>
            <w:r>
              <w:rPr>
                <w:rFonts w:cs="Arial"/>
                <w:color w:val="000000"/>
              </w:rPr>
              <w:t>1</w:t>
            </w:r>
          </w:p>
        </w:tc>
      </w:tr>
      <w:tr w:rsidR="00E23840" w:rsidRPr="00FE5409" w14:paraId="57D16BF0" w14:textId="77777777" w:rsidTr="001D783C">
        <w:trPr>
          <w:trHeight w:val="300"/>
        </w:trPr>
        <w:tc>
          <w:tcPr>
            <w:tcW w:w="2200" w:type="dxa"/>
            <w:shd w:val="clear" w:color="auto" w:fill="auto"/>
          </w:tcPr>
          <w:p w14:paraId="4E9BEB95" w14:textId="12758DE3" w:rsidR="00E23840" w:rsidRPr="00FE5409" w:rsidRDefault="00E23840" w:rsidP="00E23840">
            <w:pPr>
              <w:spacing w:line="240" w:lineRule="auto"/>
              <w:rPr>
                <w:rFonts w:cs="Calibri"/>
                <w:color w:val="000000"/>
                <w:lang w:eastAsia="en-AU"/>
              </w:rPr>
            </w:pPr>
            <w:r>
              <w:rPr>
                <w:rFonts w:cs="Arial"/>
                <w:color w:val="000000"/>
              </w:rPr>
              <w:t>DVB,MAG</w:t>
            </w:r>
          </w:p>
        </w:tc>
        <w:tc>
          <w:tcPr>
            <w:tcW w:w="1197" w:type="dxa"/>
            <w:shd w:val="clear" w:color="auto" w:fill="auto"/>
          </w:tcPr>
          <w:p w14:paraId="4EA98147" w14:textId="6686EA66" w:rsidR="00E23840" w:rsidRPr="00FE5409" w:rsidRDefault="00E23840" w:rsidP="00E23840">
            <w:pPr>
              <w:spacing w:line="240" w:lineRule="auto"/>
              <w:jc w:val="right"/>
              <w:rPr>
                <w:rFonts w:cs="Calibri"/>
                <w:color w:val="000000"/>
                <w:lang w:eastAsia="en-AU"/>
              </w:rPr>
            </w:pPr>
            <w:r>
              <w:rPr>
                <w:rFonts w:cs="Arial"/>
                <w:color w:val="000000"/>
              </w:rPr>
              <w:t>15</w:t>
            </w:r>
          </w:p>
        </w:tc>
      </w:tr>
      <w:tr w:rsidR="00E23840" w:rsidRPr="00FE5409" w14:paraId="3740FA89" w14:textId="77777777" w:rsidTr="001D783C">
        <w:trPr>
          <w:trHeight w:val="300"/>
        </w:trPr>
        <w:tc>
          <w:tcPr>
            <w:tcW w:w="2200" w:type="dxa"/>
            <w:shd w:val="clear" w:color="auto" w:fill="auto"/>
          </w:tcPr>
          <w:p w14:paraId="51D24033" w14:textId="665A03CF" w:rsidR="00E23840" w:rsidRDefault="00E23840" w:rsidP="00E23840">
            <w:pPr>
              <w:spacing w:line="240" w:lineRule="auto"/>
              <w:rPr>
                <w:rFonts w:cs="Calibri"/>
                <w:color w:val="000000"/>
                <w:lang w:eastAsia="en-AU"/>
              </w:rPr>
            </w:pPr>
            <w:r>
              <w:rPr>
                <w:rFonts w:cs="Arial"/>
                <w:color w:val="000000"/>
              </w:rPr>
              <w:t>DVO,EQ</w:t>
            </w:r>
          </w:p>
        </w:tc>
        <w:tc>
          <w:tcPr>
            <w:tcW w:w="1197" w:type="dxa"/>
            <w:shd w:val="clear" w:color="auto" w:fill="auto"/>
          </w:tcPr>
          <w:p w14:paraId="09F5D6E0" w14:textId="0D6B733F" w:rsidR="00E23840" w:rsidRPr="00FE5409" w:rsidRDefault="00E23840" w:rsidP="00E23840">
            <w:pPr>
              <w:spacing w:line="240" w:lineRule="auto"/>
              <w:jc w:val="right"/>
              <w:rPr>
                <w:rFonts w:cs="Calibri"/>
                <w:color w:val="000000"/>
                <w:lang w:eastAsia="en-AU"/>
              </w:rPr>
            </w:pPr>
            <w:r>
              <w:rPr>
                <w:rFonts w:cs="Arial"/>
                <w:color w:val="000000"/>
              </w:rPr>
              <w:t>1</w:t>
            </w:r>
          </w:p>
        </w:tc>
      </w:tr>
      <w:tr w:rsidR="00E23840" w:rsidRPr="00FE5409" w14:paraId="1CA3553C" w14:textId="77777777" w:rsidTr="001D783C">
        <w:trPr>
          <w:trHeight w:val="300"/>
        </w:trPr>
        <w:tc>
          <w:tcPr>
            <w:tcW w:w="2200" w:type="dxa"/>
            <w:shd w:val="clear" w:color="auto" w:fill="auto"/>
          </w:tcPr>
          <w:p w14:paraId="2F839C82" w14:textId="63E7D5CB" w:rsidR="00E23840" w:rsidRDefault="00E23840" w:rsidP="00E23840">
            <w:pPr>
              <w:spacing w:line="240" w:lineRule="auto"/>
              <w:rPr>
                <w:rFonts w:cs="Calibri"/>
                <w:color w:val="000000"/>
                <w:lang w:eastAsia="en-AU"/>
              </w:rPr>
            </w:pPr>
            <w:r>
              <w:rPr>
                <w:rFonts w:cs="Arial"/>
                <w:color w:val="000000"/>
              </w:rPr>
              <w:t>DVO,EQ,MAG</w:t>
            </w:r>
          </w:p>
        </w:tc>
        <w:tc>
          <w:tcPr>
            <w:tcW w:w="1197" w:type="dxa"/>
            <w:shd w:val="clear" w:color="auto" w:fill="auto"/>
          </w:tcPr>
          <w:p w14:paraId="6717F1C7" w14:textId="6E7CAAD4" w:rsidR="00E23840" w:rsidRPr="00FE5409" w:rsidRDefault="00E23840" w:rsidP="00E23840">
            <w:pPr>
              <w:spacing w:line="240" w:lineRule="auto"/>
              <w:jc w:val="right"/>
              <w:rPr>
                <w:rFonts w:cs="Calibri"/>
                <w:color w:val="000000"/>
                <w:lang w:eastAsia="en-AU"/>
              </w:rPr>
            </w:pPr>
            <w:r>
              <w:rPr>
                <w:rFonts w:cs="Arial"/>
                <w:color w:val="000000"/>
              </w:rPr>
              <w:t>1</w:t>
            </w:r>
          </w:p>
        </w:tc>
      </w:tr>
      <w:tr w:rsidR="00E23840" w:rsidRPr="00FE5409" w14:paraId="4A750ABF" w14:textId="77777777" w:rsidTr="001D783C">
        <w:trPr>
          <w:trHeight w:val="300"/>
        </w:trPr>
        <w:tc>
          <w:tcPr>
            <w:tcW w:w="2200" w:type="dxa"/>
            <w:shd w:val="clear" w:color="auto" w:fill="auto"/>
          </w:tcPr>
          <w:p w14:paraId="05EE3260" w14:textId="3D1756D1" w:rsidR="00E23840" w:rsidRDefault="00E23840" w:rsidP="00E23840">
            <w:pPr>
              <w:spacing w:line="240" w:lineRule="auto"/>
              <w:rPr>
                <w:rFonts w:cs="Calibri"/>
                <w:color w:val="000000"/>
                <w:lang w:eastAsia="en-AU"/>
              </w:rPr>
            </w:pPr>
            <w:r>
              <w:rPr>
                <w:rFonts w:cs="Arial"/>
                <w:color w:val="000000"/>
              </w:rPr>
              <w:t>DVO,MAG</w:t>
            </w:r>
          </w:p>
        </w:tc>
        <w:tc>
          <w:tcPr>
            <w:tcW w:w="1197" w:type="dxa"/>
            <w:shd w:val="clear" w:color="auto" w:fill="auto"/>
          </w:tcPr>
          <w:p w14:paraId="1E0F4273" w14:textId="65A76785" w:rsidR="00E23840" w:rsidRPr="00FE5409" w:rsidRDefault="00E23840" w:rsidP="00E23840">
            <w:pPr>
              <w:spacing w:line="240" w:lineRule="auto"/>
              <w:jc w:val="right"/>
              <w:rPr>
                <w:rFonts w:cs="Calibri"/>
                <w:color w:val="000000"/>
                <w:lang w:eastAsia="en-AU"/>
              </w:rPr>
            </w:pPr>
            <w:r>
              <w:rPr>
                <w:rFonts w:cs="Arial"/>
                <w:color w:val="000000"/>
              </w:rPr>
              <w:t>8</w:t>
            </w:r>
          </w:p>
        </w:tc>
      </w:tr>
      <w:tr w:rsidR="00E23840" w:rsidRPr="00FE5409" w14:paraId="594826B2" w14:textId="77777777" w:rsidTr="001D783C">
        <w:trPr>
          <w:trHeight w:val="300"/>
        </w:trPr>
        <w:tc>
          <w:tcPr>
            <w:tcW w:w="2200" w:type="dxa"/>
            <w:shd w:val="clear" w:color="auto" w:fill="auto"/>
          </w:tcPr>
          <w:p w14:paraId="23EFA287" w14:textId="42B4280A" w:rsidR="00E23840" w:rsidRDefault="00E23840" w:rsidP="00E23840">
            <w:pPr>
              <w:spacing w:line="240" w:lineRule="auto"/>
              <w:rPr>
                <w:rFonts w:cs="Calibri"/>
                <w:color w:val="000000"/>
                <w:lang w:eastAsia="en-AU"/>
              </w:rPr>
            </w:pPr>
            <w:r>
              <w:rPr>
                <w:rFonts w:cs="Arial"/>
                <w:color w:val="000000"/>
              </w:rPr>
              <w:t>EQ,MAG</w:t>
            </w:r>
          </w:p>
        </w:tc>
        <w:tc>
          <w:tcPr>
            <w:tcW w:w="1197" w:type="dxa"/>
            <w:shd w:val="clear" w:color="auto" w:fill="auto"/>
          </w:tcPr>
          <w:p w14:paraId="3B3AC945" w14:textId="47D1C449" w:rsidR="00E23840" w:rsidRPr="00FE5409" w:rsidRDefault="00E23840" w:rsidP="00E23840">
            <w:pPr>
              <w:spacing w:line="240" w:lineRule="auto"/>
              <w:jc w:val="right"/>
              <w:rPr>
                <w:rFonts w:cs="Calibri"/>
                <w:color w:val="000000"/>
                <w:lang w:eastAsia="en-AU"/>
              </w:rPr>
            </w:pPr>
            <w:r>
              <w:rPr>
                <w:rFonts w:cs="Arial"/>
                <w:color w:val="000000"/>
              </w:rPr>
              <w:t>17</w:t>
            </w:r>
          </w:p>
        </w:tc>
      </w:tr>
      <w:tr w:rsidR="00E23840" w:rsidRPr="00FE5409" w14:paraId="73928A16" w14:textId="77777777" w:rsidTr="001D783C">
        <w:trPr>
          <w:trHeight w:val="300"/>
        </w:trPr>
        <w:tc>
          <w:tcPr>
            <w:tcW w:w="2200" w:type="dxa"/>
            <w:shd w:val="clear" w:color="auto" w:fill="auto"/>
          </w:tcPr>
          <w:p w14:paraId="72C354E4" w14:textId="79F38C24" w:rsidR="00E23840" w:rsidRDefault="00E23840" w:rsidP="00E23840">
            <w:pPr>
              <w:spacing w:line="240" w:lineRule="auto"/>
              <w:rPr>
                <w:rFonts w:cs="Calibri"/>
                <w:color w:val="000000"/>
                <w:lang w:eastAsia="en-AU"/>
              </w:rPr>
            </w:pPr>
            <w:r>
              <w:rPr>
                <w:rFonts w:cs="Arial"/>
                <w:color w:val="000000"/>
              </w:rPr>
              <w:t>EQ,SEN</w:t>
            </w:r>
          </w:p>
        </w:tc>
        <w:tc>
          <w:tcPr>
            <w:tcW w:w="1197" w:type="dxa"/>
            <w:shd w:val="clear" w:color="auto" w:fill="auto"/>
          </w:tcPr>
          <w:p w14:paraId="4A9C91CF" w14:textId="2BF7D452" w:rsidR="00E23840" w:rsidRPr="00FE5409" w:rsidRDefault="00E23840" w:rsidP="00E23840">
            <w:pPr>
              <w:spacing w:line="240" w:lineRule="auto"/>
              <w:jc w:val="right"/>
              <w:rPr>
                <w:rFonts w:cs="Calibri"/>
                <w:color w:val="000000"/>
                <w:lang w:eastAsia="en-AU"/>
              </w:rPr>
            </w:pPr>
            <w:r>
              <w:rPr>
                <w:rFonts w:cs="Arial"/>
                <w:color w:val="000000"/>
              </w:rPr>
              <w:t>5</w:t>
            </w:r>
          </w:p>
        </w:tc>
      </w:tr>
      <w:tr w:rsidR="0007578E" w:rsidRPr="00FE5409" w14:paraId="442ECC92" w14:textId="77777777" w:rsidTr="001D783C">
        <w:trPr>
          <w:trHeight w:val="300"/>
        </w:trPr>
        <w:tc>
          <w:tcPr>
            <w:tcW w:w="2200" w:type="dxa"/>
            <w:shd w:val="clear" w:color="auto" w:fill="auto"/>
          </w:tcPr>
          <w:p w14:paraId="5BD7DBF7" w14:textId="198116C8" w:rsidR="0007578E" w:rsidRDefault="0007578E" w:rsidP="0007578E">
            <w:pPr>
              <w:spacing w:line="240" w:lineRule="auto"/>
              <w:rPr>
                <w:rFonts w:cs="Calibri"/>
                <w:color w:val="000000"/>
                <w:lang w:eastAsia="en-AU"/>
              </w:rPr>
            </w:pPr>
            <w:r>
              <w:rPr>
                <w:rFonts w:cs="Arial"/>
                <w:color w:val="000000"/>
              </w:rPr>
              <w:t>MAG,SUP</w:t>
            </w:r>
          </w:p>
        </w:tc>
        <w:tc>
          <w:tcPr>
            <w:tcW w:w="1197" w:type="dxa"/>
            <w:shd w:val="clear" w:color="auto" w:fill="auto"/>
          </w:tcPr>
          <w:p w14:paraId="031E805B" w14:textId="4F31A1EE" w:rsidR="0007578E" w:rsidRPr="00FE5409" w:rsidRDefault="0007578E" w:rsidP="0007578E">
            <w:pPr>
              <w:spacing w:line="240" w:lineRule="auto"/>
              <w:jc w:val="right"/>
              <w:rPr>
                <w:rFonts w:cs="Calibri"/>
                <w:color w:val="000000"/>
                <w:lang w:eastAsia="en-AU"/>
              </w:rPr>
            </w:pPr>
            <w:r>
              <w:rPr>
                <w:rFonts w:cs="Arial"/>
                <w:color w:val="000000"/>
              </w:rPr>
              <w:t>1</w:t>
            </w:r>
          </w:p>
        </w:tc>
      </w:tr>
      <w:tr w:rsidR="00FE5409" w:rsidRPr="00FE5409" w14:paraId="50E20029" w14:textId="77777777" w:rsidTr="0063787B">
        <w:trPr>
          <w:trHeight w:val="300"/>
        </w:trPr>
        <w:tc>
          <w:tcPr>
            <w:tcW w:w="2200" w:type="dxa"/>
            <w:shd w:val="clear" w:color="auto" w:fill="auto"/>
            <w:hideMark/>
          </w:tcPr>
          <w:p w14:paraId="53704947" w14:textId="77777777" w:rsidR="00FE5409" w:rsidRPr="00FE5409" w:rsidRDefault="00FE5409" w:rsidP="00FE5409">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tcPr>
          <w:p w14:paraId="15B80D46" w14:textId="360D4D0B" w:rsidR="00FE5409" w:rsidRPr="00FE5409" w:rsidRDefault="0007578E" w:rsidP="00FE5409">
            <w:pPr>
              <w:spacing w:line="240" w:lineRule="auto"/>
              <w:jc w:val="right"/>
              <w:rPr>
                <w:rFonts w:cs="Calibri"/>
                <w:b/>
                <w:bCs/>
                <w:color w:val="000000"/>
                <w:lang w:eastAsia="en-AU"/>
              </w:rPr>
            </w:pPr>
            <w:r>
              <w:rPr>
                <w:rFonts w:cs="Calibri"/>
                <w:b/>
                <w:bCs/>
                <w:color w:val="000000"/>
                <w:lang w:eastAsia="en-AU"/>
              </w:rPr>
              <w:t>94</w:t>
            </w:r>
          </w:p>
        </w:tc>
      </w:tr>
    </w:tbl>
    <w:p w14:paraId="2ADD0DB0" w14:textId="77777777" w:rsidR="00FE5409" w:rsidRDefault="00FE5409" w:rsidP="00106EA8">
      <w:pPr>
        <w:tabs>
          <w:tab w:val="left" w:pos="1134"/>
        </w:tabs>
        <w:ind w:left="-142" w:right="-425"/>
        <w:jc w:val="both"/>
      </w:pPr>
    </w:p>
    <w:p w14:paraId="7A7B2C9D" w14:textId="22DB770D" w:rsidR="0056316C" w:rsidRDefault="00A73CA0" w:rsidP="00C16F20">
      <w:pPr>
        <w:ind w:left="-142" w:right="-425"/>
        <w:jc w:val="both"/>
        <w:rPr>
          <w:rFonts w:cs="Arial"/>
        </w:rPr>
      </w:pPr>
      <w:r>
        <w:rPr>
          <w:rFonts w:cs="Arial"/>
        </w:rPr>
        <w:t xml:space="preserve">The following data provides an overview of interactions that have taken place with clients during this reporting period </w:t>
      </w:r>
      <w:r w:rsidR="00800631">
        <w:rPr>
          <w:rFonts w:cs="Arial"/>
        </w:rPr>
        <w:t xml:space="preserve">and </w:t>
      </w:r>
      <w:r w:rsidR="00190C1B">
        <w:rPr>
          <w:rFonts w:cs="Arial"/>
        </w:rPr>
        <w:t>consists of</w:t>
      </w:r>
      <w:r w:rsidR="00342EBC">
        <w:rPr>
          <w:rFonts w:cs="Arial"/>
        </w:rPr>
        <w:t xml:space="preserve"> decisions where a final determination has taken place in conference and </w:t>
      </w:r>
      <w:r w:rsidR="00190C1B">
        <w:rPr>
          <w:rFonts w:cs="Arial"/>
        </w:rPr>
        <w:t xml:space="preserve">includes decisions delivered </w:t>
      </w:r>
      <w:r w:rsidR="00342EBC">
        <w:rPr>
          <w:rFonts w:cs="Arial"/>
        </w:rPr>
        <w:t>at application hearing</w:t>
      </w:r>
      <w:r w:rsidR="00190C1B">
        <w:rPr>
          <w:rFonts w:cs="Arial"/>
        </w:rPr>
        <w:t>s. It</w:t>
      </w:r>
      <w:r w:rsidR="00881438">
        <w:rPr>
          <w:rFonts w:cs="Arial"/>
        </w:rPr>
        <w:t xml:space="preserve"> does not include instances w</w:t>
      </w:r>
      <w:r w:rsidR="00342EBC">
        <w:rPr>
          <w:rFonts w:cs="Arial"/>
        </w:rPr>
        <w:t>here a client was rescheduled to another conference due to non-attendance</w:t>
      </w:r>
      <w:r w:rsidR="00190C1B">
        <w:rPr>
          <w:rFonts w:cs="Arial"/>
        </w:rPr>
        <w:t>,</w:t>
      </w:r>
      <w:r w:rsidR="00342EBC">
        <w:rPr>
          <w:rFonts w:cs="Arial"/>
        </w:rPr>
        <w:t xml:space="preserve"> or </w:t>
      </w:r>
      <w:r w:rsidR="00DA38EC">
        <w:rPr>
          <w:rFonts w:cs="Arial"/>
        </w:rPr>
        <w:t>a</w:t>
      </w:r>
      <w:r w:rsidR="00342EBC">
        <w:rPr>
          <w:rFonts w:cs="Arial"/>
        </w:rPr>
        <w:t xml:space="preserve"> conference was adjourned to another date to allow the parties to address matter/s </w:t>
      </w:r>
      <w:r w:rsidR="00190C1B">
        <w:rPr>
          <w:rFonts w:cs="Arial"/>
        </w:rPr>
        <w:t>prior to</w:t>
      </w:r>
      <w:r w:rsidR="00342EBC">
        <w:rPr>
          <w:rFonts w:cs="Arial"/>
        </w:rPr>
        <w:t xml:space="preserve"> </w:t>
      </w:r>
      <w:r w:rsidR="003A48E8">
        <w:rPr>
          <w:rFonts w:cs="Arial"/>
        </w:rPr>
        <w:t xml:space="preserve">the Commissioners </w:t>
      </w:r>
      <w:r w:rsidR="00DA38EC">
        <w:rPr>
          <w:rFonts w:cs="Arial"/>
        </w:rPr>
        <w:t xml:space="preserve">making </w:t>
      </w:r>
      <w:r w:rsidR="00342EBC">
        <w:rPr>
          <w:rFonts w:cs="Arial"/>
        </w:rPr>
        <w:t>a determination</w:t>
      </w:r>
      <w:r w:rsidR="00881438">
        <w:rPr>
          <w:rFonts w:cs="Arial"/>
        </w:rPr>
        <w:t>.</w:t>
      </w:r>
    </w:p>
    <w:p w14:paraId="33BB1B04" w14:textId="2C083555" w:rsidR="002D75CB" w:rsidRDefault="002D75CB" w:rsidP="00C16F20">
      <w:pPr>
        <w:ind w:left="-142" w:right="-425"/>
        <w:jc w:val="both"/>
        <w:rPr>
          <w:rFonts w:cs="Arial"/>
        </w:rPr>
      </w:pPr>
    </w:p>
    <w:p w14:paraId="68A169AC" w14:textId="769442F9" w:rsidR="002D75CB" w:rsidRPr="00264A2C" w:rsidRDefault="002D75CB" w:rsidP="002D75CB">
      <w:pPr>
        <w:tabs>
          <w:tab w:val="left" w:pos="1134"/>
        </w:tabs>
        <w:ind w:left="-142" w:right="-425"/>
        <w:jc w:val="both"/>
      </w:pPr>
      <w:r>
        <w:t xml:space="preserve">The role of the FRC is to work with the most vulnerable, disadvantaged group who engage in anti-social behaviours. Of this extremely vulnerable cohort who engage in anti-social behaviours there are a range of clients who fall within a spectrum of willingness to take personal accountability for </w:t>
      </w:r>
      <w:r w:rsidR="00414B67">
        <w:t xml:space="preserve">their </w:t>
      </w:r>
      <w:r>
        <w:t>actions and accept support to address behaviours</w:t>
      </w:r>
      <w:r w:rsidR="00414B67">
        <w:t>. T</w:t>
      </w:r>
      <w:r>
        <w:t>he vast majority are prepared to accept support and demonstrate a degree of insight into their behaviours</w:t>
      </w:r>
      <w:r w:rsidR="00425DDB">
        <w:t>,</w:t>
      </w:r>
      <w:r>
        <w:t xml:space="preserve"> however</w:t>
      </w:r>
      <w:r w:rsidR="0087406D">
        <w:t>,</w:t>
      </w:r>
      <w:r>
        <w:t xml:space="preserve"> </w:t>
      </w:r>
      <w:r w:rsidR="00425DDB">
        <w:t xml:space="preserve">there is </w:t>
      </w:r>
      <w:r>
        <w:t xml:space="preserve">a small cohort of clients who are </w:t>
      </w:r>
      <w:r w:rsidR="000440CF">
        <w:t>resistant</w:t>
      </w:r>
      <w:r w:rsidR="00425DDB">
        <w:t xml:space="preserve"> to chang</w:t>
      </w:r>
      <w:r w:rsidR="0087406D">
        <w:t>e</w:t>
      </w:r>
      <w:r w:rsidR="00425DDB">
        <w:t>.</w:t>
      </w:r>
    </w:p>
    <w:p w14:paraId="51F2BF4A" w14:textId="77777777" w:rsidR="002D75CB" w:rsidRDefault="002D75CB" w:rsidP="00C16F20">
      <w:pPr>
        <w:ind w:left="-142" w:right="-425"/>
        <w:jc w:val="both"/>
        <w:rPr>
          <w:rFonts w:cs="Arial"/>
        </w:rPr>
      </w:pPr>
    </w:p>
    <w:p w14:paraId="65D3405D" w14:textId="64104FF1" w:rsidR="00237AB1" w:rsidRDefault="00696B4E" w:rsidP="0091685B">
      <w:pPr>
        <w:ind w:left="-142" w:right="-425"/>
        <w:jc w:val="both"/>
        <w:rPr>
          <w:rFonts w:cs="Arial"/>
        </w:rPr>
      </w:pPr>
      <w:r>
        <w:rPr>
          <w:rFonts w:cs="Arial"/>
        </w:rPr>
        <w:t>Show</w:t>
      </w:r>
      <w:r w:rsidR="00F305F2">
        <w:rPr>
          <w:rFonts w:cs="Arial"/>
        </w:rPr>
        <w:t>n</w:t>
      </w:r>
      <w:r>
        <w:rPr>
          <w:rFonts w:cs="Arial"/>
        </w:rPr>
        <w:t xml:space="preserve"> below 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 xml:space="preserve">delivered </w:t>
      </w:r>
      <w:r w:rsidR="008569EF">
        <w:rPr>
          <w:rFonts w:cs="Arial"/>
        </w:rPr>
        <w:t>on</w:t>
      </w:r>
      <w:r w:rsidR="007F068B">
        <w:rPr>
          <w:rFonts w:cs="Arial"/>
        </w:rPr>
        <w:t xml:space="preserve"> </w:t>
      </w:r>
      <w:r w:rsidR="00DA38EC">
        <w:rPr>
          <w:rFonts w:cs="Arial"/>
        </w:rPr>
        <w:t xml:space="preserve">an </w:t>
      </w:r>
      <w:r w:rsidR="008569EF">
        <w:rPr>
          <w:rFonts w:cs="Arial"/>
        </w:rPr>
        <w:t xml:space="preserve">amend/end </w:t>
      </w:r>
      <w:r w:rsidR="007F068B">
        <w:rPr>
          <w:rFonts w:cs="Arial"/>
        </w:rPr>
        <w:t>application</w:t>
      </w:r>
      <w:r w:rsidR="00237AB1">
        <w:rPr>
          <w:rFonts w:cs="Arial"/>
        </w:rPr>
        <w:t xml:space="preserve">. </w:t>
      </w:r>
      <w:r w:rsidR="0030673F">
        <w:rPr>
          <w:rFonts w:cs="Arial"/>
        </w:rPr>
        <w:t>The Commission is still seeing a number</w:t>
      </w:r>
      <w:r w:rsidR="00237AB1">
        <w:rPr>
          <w:rFonts w:cs="Arial"/>
        </w:rPr>
        <w:t xml:space="preserve"> of </w:t>
      </w:r>
      <w:r w:rsidR="00B23523">
        <w:rPr>
          <w:rFonts w:cs="Arial"/>
        </w:rPr>
        <w:t>i</w:t>
      </w:r>
      <w:r w:rsidR="00237AB1">
        <w:rPr>
          <w:rFonts w:cs="Arial"/>
        </w:rPr>
        <w:t>nteractions by client</w:t>
      </w:r>
      <w:r w:rsidR="0030673F">
        <w:rPr>
          <w:rFonts w:cs="Arial"/>
        </w:rPr>
        <w:t>s</w:t>
      </w:r>
      <w:r w:rsidR="00237AB1">
        <w:rPr>
          <w:rFonts w:cs="Arial"/>
        </w:rPr>
        <w:t xml:space="preserve"> on a less intrusive and more proactive basis</w:t>
      </w:r>
      <w:r w:rsidR="00701EFB">
        <w:rPr>
          <w:rFonts w:cs="Arial"/>
        </w:rPr>
        <w:t>,</w:t>
      </w:r>
      <w:r w:rsidR="00B23523">
        <w:rPr>
          <w:rFonts w:cs="Arial"/>
        </w:rPr>
        <w:t xml:space="preserve"> </w:t>
      </w:r>
      <w:r w:rsidR="00237AB1">
        <w:rPr>
          <w:rFonts w:cs="Arial"/>
        </w:rPr>
        <w:t xml:space="preserve">i.e. where engagement is on a voluntary basis (Table </w:t>
      </w:r>
      <w:r w:rsidR="00515E8F">
        <w:rPr>
          <w:rFonts w:cs="Arial"/>
        </w:rPr>
        <w:t>4</w:t>
      </w:r>
      <w:r w:rsidR="00237AB1">
        <w:rPr>
          <w:rFonts w:cs="Arial"/>
        </w:rPr>
        <w:t>)</w:t>
      </w:r>
      <w:r w:rsidR="00AE549C">
        <w:rPr>
          <w:rFonts w:cs="Arial"/>
        </w:rPr>
        <w:t>,</w:t>
      </w:r>
      <w:r w:rsidR="00237AB1">
        <w:rPr>
          <w:rFonts w:cs="Arial"/>
        </w:rPr>
        <w:t xml:space="preserve"> or where acceptance of the Commission’s decision for a referral to </w:t>
      </w:r>
      <w:r w:rsidR="009D568A">
        <w:rPr>
          <w:rFonts w:cs="Arial"/>
        </w:rPr>
        <w:t xml:space="preserve">a </w:t>
      </w:r>
      <w:r w:rsidR="00237AB1">
        <w:rPr>
          <w:rFonts w:cs="Arial"/>
        </w:rPr>
        <w:t>support service or income management is by agreement with the client (</w:t>
      </w:r>
      <w:r w:rsidR="00237AB1" w:rsidRPr="001227EE">
        <w:rPr>
          <w:rFonts w:cs="Arial"/>
        </w:rPr>
        <w:t xml:space="preserve">Table </w:t>
      </w:r>
      <w:r w:rsidR="00515E8F">
        <w:rPr>
          <w:rFonts w:cs="Arial"/>
        </w:rPr>
        <w:t>5</w:t>
      </w:r>
      <w:r w:rsidR="00237AB1">
        <w:rPr>
          <w:rFonts w:cs="Arial"/>
        </w:rPr>
        <w:t>). The</w:t>
      </w:r>
      <w:r w:rsidR="00B23523">
        <w:rPr>
          <w:rFonts w:cs="Arial"/>
        </w:rPr>
        <w:t xml:space="preserve">se proactive interactions are </w:t>
      </w:r>
      <w:r w:rsidR="00D505F2">
        <w:rPr>
          <w:rFonts w:cs="Arial"/>
        </w:rPr>
        <w:lastRenderedPageBreak/>
        <w:t>c</w:t>
      </w:r>
      <w:r w:rsidR="00237AB1">
        <w:rPr>
          <w:rFonts w:cs="Arial"/>
        </w:rPr>
        <w:t>onsider</w:t>
      </w:r>
      <w:r w:rsidR="00B23523">
        <w:rPr>
          <w:rFonts w:cs="Arial"/>
        </w:rPr>
        <w:t>ed</w:t>
      </w:r>
      <w:r w:rsidR="00237AB1">
        <w:rPr>
          <w:rFonts w:cs="Arial"/>
        </w:rPr>
        <w:t xml:space="preserve"> to be a positive indication that community members have developed a consciousness of their actions and are demonstrating early insight into the effect those actions have on others.</w:t>
      </w:r>
    </w:p>
    <w:p w14:paraId="7459190E" w14:textId="77777777" w:rsidR="00237AB1" w:rsidRDefault="00237AB1" w:rsidP="00237AB1">
      <w:pPr>
        <w:ind w:left="-142" w:right="-425"/>
        <w:jc w:val="both"/>
        <w:rPr>
          <w:rFonts w:cs="Arial"/>
        </w:rPr>
      </w:pPr>
    </w:p>
    <w:p w14:paraId="19233629" w14:textId="3F83E447" w:rsidR="00237AB1" w:rsidRPr="0092015D" w:rsidRDefault="00237AB1" w:rsidP="00237AB1">
      <w:pPr>
        <w:spacing w:after="120" w:line="240" w:lineRule="auto"/>
        <w:ind w:left="794" w:hanging="794"/>
      </w:pPr>
      <w:r w:rsidRPr="006C6A65">
        <w:rPr>
          <w:b/>
          <w:sz w:val="16"/>
          <w:szCs w:val="16"/>
        </w:rPr>
        <w:t xml:space="preserve">Table </w:t>
      </w:r>
      <w:r w:rsidR="009A2F52">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8"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8"/>
      <w:r w:rsidRPr="00656C56">
        <w:rPr>
          <w:sz w:val="16"/>
          <w:szCs w:val="16"/>
        </w:rPr>
        <w:t>entered into</w:t>
      </w:r>
      <w:r>
        <w:rPr>
          <w:sz w:val="16"/>
          <w:szCs w:val="16"/>
        </w:rPr>
        <w:t xml:space="preserve"> </w:t>
      </w:r>
      <w:r w:rsidR="00397BFC">
        <w:rPr>
          <w:sz w:val="16"/>
          <w:szCs w:val="16"/>
        </w:rPr>
        <w:t xml:space="preserve">from </w:t>
      </w:r>
      <w:r w:rsidR="00F83C14">
        <w:rPr>
          <w:sz w:val="16"/>
          <w:szCs w:val="16"/>
        </w:rPr>
        <w:t xml:space="preserve">1 </w:t>
      </w:r>
      <w:r w:rsidR="006E3C46">
        <w:rPr>
          <w:sz w:val="16"/>
          <w:szCs w:val="16"/>
        </w:rPr>
        <w:t xml:space="preserve">October </w:t>
      </w:r>
      <w:r>
        <w:rPr>
          <w:sz w:val="16"/>
          <w:szCs w:val="16"/>
        </w:rPr>
        <w:t xml:space="preserve">2021 to </w:t>
      </w:r>
      <w:r w:rsidR="00F83C14">
        <w:rPr>
          <w:sz w:val="16"/>
          <w:szCs w:val="16"/>
        </w:rPr>
        <w:t>3</w:t>
      </w:r>
      <w:r w:rsidR="006E3C46">
        <w:rPr>
          <w:sz w:val="16"/>
          <w:szCs w:val="16"/>
        </w:rPr>
        <w:t xml:space="preserve">1 December </w:t>
      </w:r>
      <w:r>
        <w:rPr>
          <w:sz w:val="16"/>
          <w:szCs w:val="16"/>
        </w:rPr>
        <w:t>2021</w:t>
      </w:r>
      <w:bookmarkStart w:id="9" w:name="_Ref74754019"/>
      <w:r w:rsidR="00604429" w:rsidRPr="008F6888">
        <w:rPr>
          <w:rStyle w:val="FootnoteReference"/>
          <w:sz w:val="16"/>
          <w:szCs w:val="16"/>
        </w:rPr>
        <w:footnoteReference w:id="7"/>
      </w:r>
      <w:bookmarkEnd w:id="9"/>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237AB1" w:rsidRPr="00776C26" w14:paraId="23E8C631" w14:textId="77777777" w:rsidTr="00237AB1">
        <w:tc>
          <w:tcPr>
            <w:tcW w:w="1555" w:type="dxa"/>
          </w:tcPr>
          <w:p w14:paraId="08DA178D" w14:textId="77777777" w:rsidR="00237AB1" w:rsidRPr="00776C26" w:rsidRDefault="00237AB1" w:rsidP="00237AB1">
            <w:pPr>
              <w:ind w:right="-425"/>
              <w:jc w:val="both"/>
              <w:rPr>
                <w:rFonts w:cs="Arial"/>
                <w:b/>
                <w:bCs/>
              </w:rPr>
            </w:pPr>
            <w:r w:rsidRPr="00776C26">
              <w:rPr>
                <w:rFonts w:cs="Arial"/>
                <w:b/>
                <w:bCs/>
              </w:rPr>
              <w:t>Total</w:t>
            </w:r>
          </w:p>
        </w:tc>
        <w:tc>
          <w:tcPr>
            <w:tcW w:w="992" w:type="dxa"/>
          </w:tcPr>
          <w:p w14:paraId="31C63D09" w14:textId="725C1FAF" w:rsidR="00237AB1" w:rsidRPr="00776C26" w:rsidRDefault="00245D28" w:rsidP="00237AB1">
            <w:pPr>
              <w:jc w:val="right"/>
              <w:rPr>
                <w:b/>
                <w:bCs/>
              </w:rPr>
            </w:pPr>
            <w:r>
              <w:rPr>
                <w:b/>
                <w:bCs/>
              </w:rPr>
              <w:t>1</w:t>
            </w:r>
          </w:p>
        </w:tc>
        <w:tc>
          <w:tcPr>
            <w:tcW w:w="1134" w:type="dxa"/>
          </w:tcPr>
          <w:p w14:paraId="1D2060AE" w14:textId="0FA82060" w:rsidR="00237AB1" w:rsidRPr="00776C26" w:rsidRDefault="00245D28" w:rsidP="00237AB1">
            <w:pPr>
              <w:jc w:val="right"/>
              <w:rPr>
                <w:b/>
                <w:bCs/>
              </w:rPr>
            </w:pPr>
            <w:r>
              <w:rPr>
                <w:b/>
                <w:bCs/>
              </w:rPr>
              <w:t>3</w:t>
            </w:r>
            <w:r w:rsidR="0023758A">
              <w:rPr>
                <w:b/>
                <w:bCs/>
              </w:rPr>
              <w:t>3</w:t>
            </w:r>
          </w:p>
        </w:tc>
        <w:tc>
          <w:tcPr>
            <w:tcW w:w="992" w:type="dxa"/>
          </w:tcPr>
          <w:p w14:paraId="7E29C7F4" w14:textId="458B58B6" w:rsidR="00237AB1" w:rsidRPr="00776C26" w:rsidRDefault="00245D28" w:rsidP="00237AB1">
            <w:pPr>
              <w:jc w:val="right"/>
              <w:rPr>
                <w:b/>
                <w:bCs/>
              </w:rPr>
            </w:pPr>
            <w:r>
              <w:rPr>
                <w:b/>
                <w:bCs/>
              </w:rPr>
              <w:t>3</w:t>
            </w:r>
            <w:r w:rsidR="0023758A">
              <w:rPr>
                <w:b/>
                <w:bCs/>
              </w:rPr>
              <w:t>4</w:t>
            </w:r>
          </w:p>
        </w:tc>
      </w:tr>
    </w:tbl>
    <w:p w14:paraId="340804AB" w14:textId="2011C4C9" w:rsidR="00C64787" w:rsidRDefault="00C64787" w:rsidP="00237AB1">
      <w:pPr>
        <w:ind w:left="-142" w:right="-425"/>
        <w:jc w:val="both"/>
        <w:rPr>
          <w:rFonts w:cs="Arial"/>
        </w:rPr>
      </w:pPr>
    </w:p>
    <w:p w14:paraId="32A7D6CF" w14:textId="5255B82D" w:rsidR="00237AB1" w:rsidRPr="0092015D" w:rsidRDefault="00237AB1" w:rsidP="00237AB1">
      <w:pPr>
        <w:spacing w:after="120" w:line="240" w:lineRule="auto"/>
        <w:ind w:left="794" w:hanging="794"/>
      </w:pPr>
      <w:r w:rsidRPr="006C6A65">
        <w:rPr>
          <w:b/>
          <w:sz w:val="16"/>
          <w:szCs w:val="16"/>
        </w:rPr>
        <w:t xml:space="preserve">Table </w:t>
      </w:r>
      <w:r w:rsidR="009A2F52">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11"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11"/>
      <w:r w:rsidRPr="00656C56">
        <w:rPr>
          <w:sz w:val="16"/>
          <w:szCs w:val="16"/>
        </w:rPr>
        <w:t>entered into</w:t>
      </w:r>
      <w:r>
        <w:rPr>
          <w:sz w:val="16"/>
          <w:szCs w:val="16"/>
        </w:rPr>
        <w:t xml:space="preserve"> </w:t>
      </w:r>
      <w:r w:rsidR="00397BFC">
        <w:rPr>
          <w:sz w:val="16"/>
          <w:szCs w:val="16"/>
        </w:rPr>
        <w:t xml:space="preserve">from </w:t>
      </w:r>
      <w:r w:rsidR="00F83C14">
        <w:rPr>
          <w:sz w:val="16"/>
          <w:szCs w:val="16"/>
        </w:rPr>
        <w:t xml:space="preserve">1 </w:t>
      </w:r>
      <w:r w:rsidR="006E3C46">
        <w:rPr>
          <w:sz w:val="16"/>
          <w:szCs w:val="16"/>
        </w:rPr>
        <w:t xml:space="preserve">October </w:t>
      </w:r>
      <w:r>
        <w:rPr>
          <w:sz w:val="16"/>
          <w:szCs w:val="16"/>
        </w:rPr>
        <w:t xml:space="preserve">2021 to </w:t>
      </w:r>
      <w:r w:rsidR="00F83C14">
        <w:rPr>
          <w:sz w:val="16"/>
          <w:szCs w:val="16"/>
        </w:rPr>
        <w:t>3</w:t>
      </w:r>
      <w:r w:rsidR="006E3C46">
        <w:rPr>
          <w:sz w:val="16"/>
          <w:szCs w:val="16"/>
        </w:rPr>
        <w:t xml:space="preserve">1 December </w:t>
      </w:r>
      <w:r>
        <w:rPr>
          <w:sz w:val="16"/>
          <w:szCs w:val="16"/>
        </w:rPr>
        <w:t>202</w:t>
      </w:r>
      <w:r w:rsidR="009315C2">
        <w:rPr>
          <w:sz w:val="16"/>
          <w:szCs w:val="16"/>
        </w:rPr>
        <w:t>1</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515E8F">
        <w:rPr>
          <w:sz w:val="16"/>
          <w:szCs w:val="16"/>
          <w:vertAlign w:val="superscript"/>
        </w:rPr>
        <w:t>6</w:t>
      </w:r>
      <w:r w:rsidR="009315C2" w:rsidRPr="00152D32">
        <w:rPr>
          <w:sz w:val="16"/>
          <w:szCs w:val="16"/>
          <w:vertAlign w:val="superscript"/>
        </w:rPr>
        <w:fldChar w:fldCharType="end"/>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237AB1" w14:paraId="604BDE97" w14:textId="77777777" w:rsidTr="00237AB1">
        <w:tc>
          <w:tcPr>
            <w:tcW w:w="1555" w:type="dxa"/>
          </w:tcPr>
          <w:p w14:paraId="16D39C9C" w14:textId="77777777" w:rsidR="00237AB1" w:rsidRPr="00490B40" w:rsidRDefault="00237AB1" w:rsidP="00237AB1">
            <w:pPr>
              <w:ind w:right="-425"/>
              <w:jc w:val="both"/>
              <w:rPr>
                <w:rFonts w:cs="Arial"/>
              </w:rPr>
            </w:pPr>
            <w:r w:rsidRPr="00490B40">
              <w:rPr>
                <w:rFonts w:cs="Arial"/>
              </w:rPr>
              <w:t>AU</w:t>
            </w:r>
          </w:p>
        </w:tc>
        <w:tc>
          <w:tcPr>
            <w:tcW w:w="992" w:type="dxa"/>
            <w:vAlign w:val="bottom"/>
          </w:tcPr>
          <w:p w14:paraId="4F2BC6E4" w14:textId="0CAE0153" w:rsidR="00237AB1" w:rsidRPr="00900EA0" w:rsidRDefault="006536D1" w:rsidP="00237AB1">
            <w:pPr>
              <w:jc w:val="right"/>
            </w:pPr>
            <w:r>
              <w:t>29</w:t>
            </w:r>
          </w:p>
        </w:tc>
        <w:tc>
          <w:tcPr>
            <w:tcW w:w="1134" w:type="dxa"/>
            <w:vAlign w:val="bottom"/>
          </w:tcPr>
          <w:p w14:paraId="5D79F7D6" w14:textId="77777777" w:rsidR="00237AB1" w:rsidRPr="00900EA0" w:rsidRDefault="00237AB1" w:rsidP="00237AB1">
            <w:pPr>
              <w:jc w:val="right"/>
            </w:pPr>
            <w:r w:rsidRPr="00900EA0">
              <w:rPr>
                <w:rFonts w:cs="Arial"/>
              </w:rPr>
              <w:t>0</w:t>
            </w:r>
          </w:p>
        </w:tc>
        <w:tc>
          <w:tcPr>
            <w:tcW w:w="992" w:type="dxa"/>
            <w:vAlign w:val="bottom"/>
          </w:tcPr>
          <w:p w14:paraId="2B25B2DF" w14:textId="1DBC0C45" w:rsidR="00237AB1" w:rsidRPr="00900EA0" w:rsidRDefault="006536D1" w:rsidP="00237AB1">
            <w:pPr>
              <w:jc w:val="right"/>
              <w:rPr>
                <w:b/>
                <w:bCs/>
              </w:rPr>
            </w:pPr>
            <w:r>
              <w:rPr>
                <w:b/>
                <w:bCs/>
              </w:rPr>
              <w:t>29</w:t>
            </w:r>
          </w:p>
        </w:tc>
      </w:tr>
      <w:tr w:rsidR="00237AB1" w14:paraId="1A905600" w14:textId="77777777" w:rsidTr="00237AB1">
        <w:tc>
          <w:tcPr>
            <w:tcW w:w="1555" w:type="dxa"/>
          </w:tcPr>
          <w:p w14:paraId="59A72EEE" w14:textId="77777777" w:rsidR="00237AB1" w:rsidRPr="00490B40" w:rsidRDefault="00237AB1" w:rsidP="00237AB1">
            <w:pPr>
              <w:ind w:right="-425"/>
              <w:jc w:val="both"/>
              <w:rPr>
                <w:rFonts w:cs="Arial"/>
              </w:rPr>
            </w:pPr>
            <w:r w:rsidRPr="00490B40">
              <w:rPr>
                <w:rFonts w:cs="Arial"/>
              </w:rPr>
              <w:t>CO</w:t>
            </w:r>
          </w:p>
        </w:tc>
        <w:tc>
          <w:tcPr>
            <w:tcW w:w="992" w:type="dxa"/>
            <w:vAlign w:val="bottom"/>
          </w:tcPr>
          <w:p w14:paraId="7DC045C3" w14:textId="59390DA2" w:rsidR="00237AB1" w:rsidRPr="00900EA0" w:rsidRDefault="006536D1" w:rsidP="00237AB1">
            <w:pPr>
              <w:jc w:val="right"/>
            </w:pPr>
            <w:r>
              <w:t>10</w:t>
            </w:r>
          </w:p>
        </w:tc>
        <w:tc>
          <w:tcPr>
            <w:tcW w:w="1134" w:type="dxa"/>
            <w:vAlign w:val="bottom"/>
          </w:tcPr>
          <w:p w14:paraId="544139DB" w14:textId="77777777" w:rsidR="00237AB1" w:rsidRPr="00900EA0" w:rsidRDefault="00237AB1" w:rsidP="00237AB1">
            <w:pPr>
              <w:jc w:val="right"/>
            </w:pPr>
            <w:r w:rsidRPr="00900EA0">
              <w:rPr>
                <w:rFonts w:cs="Arial"/>
              </w:rPr>
              <w:t>0</w:t>
            </w:r>
          </w:p>
        </w:tc>
        <w:tc>
          <w:tcPr>
            <w:tcW w:w="992" w:type="dxa"/>
            <w:vAlign w:val="bottom"/>
          </w:tcPr>
          <w:p w14:paraId="655575AD" w14:textId="7F94B321" w:rsidR="00237AB1" w:rsidRPr="00900EA0" w:rsidRDefault="006536D1" w:rsidP="00237AB1">
            <w:pPr>
              <w:jc w:val="right"/>
              <w:rPr>
                <w:b/>
                <w:bCs/>
              </w:rPr>
            </w:pPr>
            <w:r>
              <w:rPr>
                <w:b/>
                <w:bCs/>
              </w:rPr>
              <w:t>10</w:t>
            </w:r>
          </w:p>
        </w:tc>
      </w:tr>
      <w:tr w:rsidR="00237AB1" w14:paraId="577F7E12" w14:textId="77777777" w:rsidTr="00237AB1">
        <w:tc>
          <w:tcPr>
            <w:tcW w:w="1555" w:type="dxa"/>
          </w:tcPr>
          <w:p w14:paraId="2E4003E9" w14:textId="77777777" w:rsidR="00237AB1" w:rsidRPr="00490B40" w:rsidRDefault="00237AB1" w:rsidP="00237AB1">
            <w:pPr>
              <w:ind w:right="-425"/>
              <w:jc w:val="both"/>
              <w:rPr>
                <w:rFonts w:cs="Arial"/>
              </w:rPr>
            </w:pPr>
            <w:r w:rsidRPr="00490B40">
              <w:rPr>
                <w:rFonts w:cs="Arial"/>
              </w:rPr>
              <w:t>DM</w:t>
            </w:r>
          </w:p>
        </w:tc>
        <w:tc>
          <w:tcPr>
            <w:tcW w:w="992" w:type="dxa"/>
            <w:vAlign w:val="bottom"/>
          </w:tcPr>
          <w:p w14:paraId="68E2C72D" w14:textId="5B187DD7" w:rsidR="00237AB1" w:rsidRPr="00900EA0" w:rsidRDefault="006536D1" w:rsidP="00237AB1">
            <w:pPr>
              <w:jc w:val="right"/>
            </w:pPr>
            <w:r>
              <w:t>24</w:t>
            </w:r>
          </w:p>
        </w:tc>
        <w:tc>
          <w:tcPr>
            <w:tcW w:w="1134" w:type="dxa"/>
            <w:vAlign w:val="bottom"/>
          </w:tcPr>
          <w:p w14:paraId="5EFFF8C4" w14:textId="2305BAE0" w:rsidR="00237AB1" w:rsidRPr="00900EA0" w:rsidRDefault="006536D1" w:rsidP="00237AB1">
            <w:pPr>
              <w:jc w:val="right"/>
            </w:pPr>
            <w:r>
              <w:t>1</w:t>
            </w:r>
          </w:p>
        </w:tc>
        <w:tc>
          <w:tcPr>
            <w:tcW w:w="992" w:type="dxa"/>
            <w:vAlign w:val="bottom"/>
          </w:tcPr>
          <w:p w14:paraId="1CF754DE" w14:textId="1C2A5604" w:rsidR="00237AB1" w:rsidRPr="00900EA0" w:rsidRDefault="006536D1" w:rsidP="00237AB1">
            <w:pPr>
              <w:jc w:val="right"/>
              <w:rPr>
                <w:b/>
                <w:bCs/>
              </w:rPr>
            </w:pPr>
            <w:r>
              <w:rPr>
                <w:b/>
                <w:bCs/>
              </w:rPr>
              <w:t>25</w:t>
            </w:r>
          </w:p>
        </w:tc>
      </w:tr>
      <w:tr w:rsidR="00237AB1" w14:paraId="55AC2A32" w14:textId="77777777" w:rsidTr="00237AB1">
        <w:tc>
          <w:tcPr>
            <w:tcW w:w="1555" w:type="dxa"/>
          </w:tcPr>
          <w:p w14:paraId="511465EF" w14:textId="77777777" w:rsidR="00237AB1" w:rsidRPr="00490B40" w:rsidRDefault="00237AB1" w:rsidP="00237AB1">
            <w:pPr>
              <w:ind w:right="-425"/>
              <w:jc w:val="both"/>
              <w:rPr>
                <w:rFonts w:cs="Arial"/>
              </w:rPr>
            </w:pPr>
            <w:r w:rsidRPr="00490B40">
              <w:rPr>
                <w:rFonts w:cs="Arial"/>
              </w:rPr>
              <w:t>HV</w:t>
            </w:r>
          </w:p>
        </w:tc>
        <w:tc>
          <w:tcPr>
            <w:tcW w:w="992" w:type="dxa"/>
            <w:vAlign w:val="bottom"/>
          </w:tcPr>
          <w:p w14:paraId="16976329" w14:textId="55A08B21" w:rsidR="00237AB1" w:rsidRPr="00900EA0" w:rsidRDefault="006536D1" w:rsidP="00237AB1">
            <w:pPr>
              <w:jc w:val="right"/>
            </w:pPr>
            <w:r>
              <w:t>2</w:t>
            </w:r>
          </w:p>
        </w:tc>
        <w:tc>
          <w:tcPr>
            <w:tcW w:w="1134" w:type="dxa"/>
            <w:vAlign w:val="bottom"/>
          </w:tcPr>
          <w:p w14:paraId="48C3CD7F" w14:textId="77777777" w:rsidR="00237AB1" w:rsidRPr="00900EA0" w:rsidRDefault="00237AB1" w:rsidP="00237AB1">
            <w:pPr>
              <w:jc w:val="right"/>
            </w:pPr>
            <w:r w:rsidRPr="00900EA0">
              <w:rPr>
                <w:rFonts w:cs="Arial"/>
              </w:rPr>
              <w:t>0</w:t>
            </w:r>
          </w:p>
        </w:tc>
        <w:tc>
          <w:tcPr>
            <w:tcW w:w="992" w:type="dxa"/>
            <w:vAlign w:val="bottom"/>
          </w:tcPr>
          <w:p w14:paraId="1AAF646B" w14:textId="1F328E01" w:rsidR="00237AB1" w:rsidRPr="00900EA0" w:rsidRDefault="006536D1" w:rsidP="00237AB1">
            <w:pPr>
              <w:jc w:val="right"/>
              <w:rPr>
                <w:b/>
                <w:bCs/>
              </w:rPr>
            </w:pPr>
            <w:r>
              <w:rPr>
                <w:b/>
                <w:bCs/>
              </w:rPr>
              <w:t>2</w:t>
            </w:r>
          </w:p>
        </w:tc>
      </w:tr>
      <w:tr w:rsidR="00237AB1" w14:paraId="50F69E1F" w14:textId="77777777" w:rsidTr="00237AB1">
        <w:tc>
          <w:tcPr>
            <w:tcW w:w="1555" w:type="dxa"/>
          </w:tcPr>
          <w:p w14:paraId="48DBAB63" w14:textId="77777777" w:rsidR="00237AB1" w:rsidRPr="00490B40" w:rsidRDefault="00237AB1" w:rsidP="00237AB1">
            <w:pPr>
              <w:ind w:right="-425"/>
              <w:jc w:val="both"/>
              <w:rPr>
                <w:rFonts w:cs="Arial"/>
              </w:rPr>
            </w:pPr>
            <w:r w:rsidRPr="00490B40">
              <w:rPr>
                <w:rFonts w:cs="Arial"/>
              </w:rPr>
              <w:t>MG</w:t>
            </w:r>
          </w:p>
        </w:tc>
        <w:tc>
          <w:tcPr>
            <w:tcW w:w="992" w:type="dxa"/>
            <w:vAlign w:val="bottom"/>
          </w:tcPr>
          <w:p w14:paraId="2E4ACC08" w14:textId="0B064BA8" w:rsidR="00237AB1" w:rsidRPr="00900EA0" w:rsidRDefault="006536D1" w:rsidP="00237AB1">
            <w:pPr>
              <w:jc w:val="right"/>
            </w:pPr>
            <w:r>
              <w:t>8</w:t>
            </w:r>
          </w:p>
        </w:tc>
        <w:tc>
          <w:tcPr>
            <w:tcW w:w="1134" w:type="dxa"/>
            <w:vAlign w:val="bottom"/>
          </w:tcPr>
          <w:p w14:paraId="06822B4C" w14:textId="77777777" w:rsidR="00237AB1" w:rsidRPr="00900EA0" w:rsidRDefault="00237AB1" w:rsidP="00237AB1">
            <w:pPr>
              <w:jc w:val="right"/>
            </w:pPr>
            <w:r w:rsidRPr="00900EA0">
              <w:rPr>
                <w:rFonts w:cs="Arial"/>
              </w:rPr>
              <w:t>0</w:t>
            </w:r>
          </w:p>
        </w:tc>
        <w:tc>
          <w:tcPr>
            <w:tcW w:w="992" w:type="dxa"/>
            <w:vAlign w:val="bottom"/>
          </w:tcPr>
          <w:p w14:paraId="4AC3B4A9" w14:textId="717E78D4" w:rsidR="00237AB1" w:rsidRPr="00900EA0" w:rsidRDefault="006536D1" w:rsidP="00237AB1">
            <w:pPr>
              <w:jc w:val="right"/>
              <w:rPr>
                <w:b/>
                <w:bCs/>
              </w:rPr>
            </w:pPr>
            <w:r>
              <w:rPr>
                <w:b/>
                <w:bCs/>
              </w:rPr>
              <w:t>8</w:t>
            </w:r>
          </w:p>
        </w:tc>
      </w:tr>
      <w:tr w:rsidR="00237AB1" w14:paraId="7BC56D75" w14:textId="77777777" w:rsidTr="00237AB1">
        <w:tc>
          <w:tcPr>
            <w:tcW w:w="1555" w:type="dxa"/>
          </w:tcPr>
          <w:p w14:paraId="201CE63A" w14:textId="77777777" w:rsidR="00237AB1" w:rsidRPr="00776C26" w:rsidRDefault="00237AB1" w:rsidP="00237AB1">
            <w:pPr>
              <w:ind w:right="-425"/>
              <w:jc w:val="both"/>
              <w:rPr>
                <w:rFonts w:cs="Arial"/>
                <w:b/>
                <w:bCs/>
              </w:rPr>
            </w:pPr>
            <w:r w:rsidRPr="00776C26">
              <w:rPr>
                <w:rFonts w:cs="Arial"/>
                <w:b/>
                <w:bCs/>
              </w:rPr>
              <w:t>Total</w:t>
            </w:r>
          </w:p>
        </w:tc>
        <w:tc>
          <w:tcPr>
            <w:tcW w:w="992" w:type="dxa"/>
            <w:vAlign w:val="bottom"/>
          </w:tcPr>
          <w:p w14:paraId="0FB9062E" w14:textId="58365E20" w:rsidR="00237AB1" w:rsidRPr="00900EA0" w:rsidRDefault="006536D1" w:rsidP="00237AB1">
            <w:pPr>
              <w:jc w:val="right"/>
              <w:rPr>
                <w:b/>
                <w:bCs/>
              </w:rPr>
            </w:pPr>
            <w:r>
              <w:rPr>
                <w:b/>
                <w:bCs/>
              </w:rPr>
              <w:t>73</w:t>
            </w:r>
          </w:p>
        </w:tc>
        <w:tc>
          <w:tcPr>
            <w:tcW w:w="1134" w:type="dxa"/>
            <w:vAlign w:val="bottom"/>
          </w:tcPr>
          <w:p w14:paraId="482ED4A6" w14:textId="2DDEE64A" w:rsidR="00237AB1" w:rsidRPr="00900EA0" w:rsidRDefault="006536D1" w:rsidP="00237AB1">
            <w:pPr>
              <w:jc w:val="right"/>
              <w:rPr>
                <w:b/>
                <w:bCs/>
              </w:rPr>
            </w:pPr>
            <w:r>
              <w:rPr>
                <w:b/>
                <w:bCs/>
              </w:rPr>
              <w:t>1</w:t>
            </w:r>
          </w:p>
        </w:tc>
        <w:tc>
          <w:tcPr>
            <w:tcW w:w="992" w:type="dxa"/>
            <w:vAlign w:val="bottom"/>
          </w:tcPr>
          <w:p w14:paraId="47A0B826" w14:textId="2016BAB7" w:rsidR="00237AB1" w:rsidRPr="00900EA0" w:rsidRDefault="006536D1" w:rsidP="00237AB1">
            <w:pPr>
              <w:jc w:val="right"/>
              <w:rPr>
                <w:b/>
                <w:bCs/>
              </w:rPr>
            </w:pPr>
            <w:r>
              <w:rPr>
                <w:b/>
                <w:bCs/>
              </w:rPr>
              <w:t>74</w:t>
            </w:r>
          </w:p>
        </w:tc>
      </w:tr>
    </w:tbl>
    <w:p w14:paraId="600511AC" w14:textId="77777777" w:rsidR="00237AB1" w:rsidRDefault="00237AB1" w:rsidP="00237AB1">
      <w:pPr>
        <w:ind w:left="-142" w:right="-425"/>
        <w:jc w:val="both"/>
        <w:rPr>
          <w:rFonts w:cs="Arial"/>
        </w:rPr>
      </w:pPr>
    </w:p>
    <w:p w14:paraId="07242880" w14:textId="0EB420F3" w:rsidR="00237AB1" w:rsidRPr="0002195A" w:rsidRDefault="00237AB1" w:rsidP="0002195A">
      <w:pPr>
        <w:spacing w:after="120" w:line="240" w:lineRule="auto"/>
        <w:ind w:left="794" w:hanging="794"/>
        <w:rPr>
          <w:b/>
          <w:sz w:val="16"/>
          <w:szCs w:val="16"/>
        </w:rPr>
      </w:pPr>
      <w:r w:rsidRPr="004B6F52">
        <w:rPr>
          <w:b/>
          <w:sz w:val="16"/>
          <w:szCs w:val="16"/>
        </w:rPr>
        <w:t xml:space="preserve">Table </w:t>
      </w:r>
      <w:r w:rsidR="009A2F52">
        <w:rPr>
          <w:b/>
          <w:sz w:val="16"/>
          <w:szCs w:val="16"/>
        </w:rPr>
        <w:t>6</w:t>
      </w:r>
      <w:r w:rsidRPr="004B6F52">
        <w:rPr>
          <w:b/>
          <w:sz w:val="16"/>
          <w:szCs w:val="16"/>
        </w:rPr>
        <w:t>:</w:t>
      </w:r>
      <w:r w:rsidRPr="0002195A">
        <w:rPr>
          <w:bCs/>
          <w:sz w:val="16"/>
          <w:szCs w:val="16"/>
        </w:rPr>
        <w:t xml:space="preserve"> Number of decisions by order</w:t>
      </w:r>
      <w:bookmarkStart w:id="12"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12"/>
      <w:r w:rsidRPr="0002195A">
        <w:rPr>
          <w:bCs/>
          <w:sz w:val="16"/>
          <w:szCs w:val="16"/>
        </w:rPr>
        <w:t xml:space="preserve">from </w:t>
      </w:r>
      <w:r w:rsidR="00F83C14">
        <w:rPr>
          <w:bCs/>
          <w:sz w:val="16"/>
          <w:szCs w:val="16"/>
        </w:rPr>
        <w:t xml:space="preserve">1 </w:t>
      </w:r>
      <w:r w:rsidR="006E3C46">
        <w:rPr>
          <w:bCs/>
          <w:sz w:val="16"/>
          <w:szCs w:val="16"/>
        </w:rPr>
        <w:t>October</w:t>
      </w:r>
      <w:r w:rsidR="006E3C46" w:rsidRPr="0002195A">
        <w:rPr>
          <w:bCs/>
          <w:sz w:val="16"/>
          <w:szCs w:val="16"/>
        </w:rPr>
        <w:t xml:space="preserve"> </w:t>
      </w:r>
      <w:r w:rsidRPr="0002195A">
        <w:rPr>
          <w:bCs/>
          <w:sz w:val="16"/>
          <w:szCs w:val="16"/>
        </w:rPr>
        <w:t xml:space="preserve">2021 to </w:t>
      </w:r>
      <w:r w:rsidR="00F83C14">
        <w:rPr>
          <w:bCs/>
          <w:sz w:val="16"/>
          <w:szCs w:val="16"/>
        </w:rPr>
        <w:t>3</w:t>
      </w:r>
      <w:r w:rsidR="006E3C46">
        <w:rPr>
          <w:bCs/>
          <w:sz w:val="16"/>
          <w:szCs w:val="16"/>
        </w:rPr>
        <w:t xml:space="preserve">1 December </w:t>
      </w:r>
      <w:r w:rsidRPr="0002195A">
        <w:rPr>
          <w:bCs/>
          <w:sz w:val="16"/>
          <w:szCs w:val="16"/>
        </w:rPr>
        <w:t>2021</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515E8F">
        <w:rPr>
          <w:sz w:val="16"/>
          <w:szCs w:val="16"/>
          <w:vertAlign w:val="superscript"/>
        </w:rPr>
        <w:t>6</w:t>
      </w:r>
      <w:r w:rsidR="0002195A" w:rsidRPr="00152D32">
        <w:rPr>
          <w:sz w:val="16"/>
          <w:szCs w:val="16"/>
          <w:vertAlign w:val="superscript"/>
        </w:rPr>
        <w:fldChar w:fldCharType="end"/>
      </w:r>
    </w:p>
    <w:tbl>
      <w:tblPr>
        <w:tblStyle w:val="TableGrid"/>
        <w:tblW w:w="0" w:type="auto"/>
        <w:tblInd w:w="108" w:type="dxa"/>
        <w:tblLook w:val="04A0" w:firstRow="1" w:lastRow="0" w:firstColumn="1" w:lastColumn="0" w:noHBand="0" w:noVBand="1"/>
      </w:tblPr>
      <w:tblGrid>
        <w:gridCol w:w="1309"/>
        <w:gridCol w:w="520"/>
        <w:gridCol w:w="1452"/>
        <w:gridCol w:w="616"/>
        <w:gridCol w:w="1356"/>
        <w:gridCol w:w="923"/>
        <w:gridCol w:w="1383"/>
        <w:gridCol w:w="1254"/>
        <w:gridCol w:w="708"/>
      </w:tblGrid>
      <w:tr w:rsidR="00AE6690" w:rsidRPr="004B6F52" w14:paraId="53F08652" w14:textId="77777777" w:rsidTr="00347B60">
        <w:tc>
          <w:tcPr>
            <w:tcW w:w="9521" w:type="dxa"/>
            <w:gridSpan w:val="9"/>
          </w:tcPr>
          <w:p w14:paraId="11325B98" w14:textId="641D4B01" w:rsidR="00AE6690" w:rsidRPr="004B6F52" w:rsidRDefault="00AE6690" w:rsidP="00237AB1">
            <w:pPr>
              <w:ind w:right="-425"/>
              <w:jc w:val="center"/>
              <w:rPr>
                <w:rFonts w:cs="Arial"/>
                <w:b/>
                <w:bCs/>
              </w:rPr>
            </w:pPr>
            <w:r w:rsidRPr="004B6F52">
              <w:rPr>
                <w:rFonts w:cs="Arial"/>
                <w:b/>
                <w:bCs/>
              </w:rPr>
              <w:t>Decisions by Order</w:t>
            </w:r>
          </w:p>
        </w:tc>
      </w:tr>
      <w:tr w:rsidR="00AE6690" w14:paraId="00D64F33" w14:textId="77777777" w:rsidTr="00AE6690">
        <w:tc>
          <w:tcPr>
            <w:tcW w:w="1309" w:type="dxa"/>
          </w:tcPr>
          <w:p w14:paraId="4D5DE928" w14:textId="77777777" w:rsidR="00127D11" w:rsidRPr="00AE6690" w:rsidRDefault="00127D11" w:rsidP="00127D11">
            <w:pPr>
              <w:ind w:right="-425"/>
              <w:jc w:val="both"/>
              <w:rPr>
                <w:rFonts w:cs="Arial"/>
                <w:b/>
                <w:bCs/>
                <w:sz w:val="16"/>
                <w:szCs w:val="16"/>
              </w:rPr>
            </w:pPr>
            <w:r w:rsidRPr="00AE6690">
              <w:rPr>
                <w:rFonts w:cs="Arial"/>
                <w:b/>
                <w:bCs/>
                <w:sz w:val="16"/>
                <w:szCs w:val="16"/>
              </w:rPr>
              <w:t>Community</w:t>
            </w:r>
          </w:p>
        </w:tc>
        <w:tc>
          <w:tcPr>
            <w:tcW w:w="520" w:type="dxa"/>
          </w:tcPr>
          <w:p w14:paraId="26C6768E" w14:textId="2E14333C" w:rsidR="00127D11" w:rsidRPr="00AE6690" w:rsidRDefault="00127D11" w:rsidP="00127D11">
            <w:pPr>
              <w:jc w:val="center"/>
              <w:rPr>
                <w:rFonts w:cs="Arial"/>
                <w:b/>
                <w:bCs/>
                <w:sz w:val="16"/>
                <w:szCs w:val="16"/>
              </w:rPr>
            </w:pPr>
            <w:r w:rsidRPr="00AE6690">
              <w:rPr>
                <w:rFonts w:cs="Arial"/>
                <w:b/>
                <w:bCs/>
                <w:sz w:val="16"/>
                <w:szCs w:val="16"/>
              </w:rPr>
              <w:t>CP</w:t>
            </w:r>
          </w:p>
        </w:tc>
        <w:tc>
          <w:tcPr>
            <w:tcW w:w="1452" w:type="dxa"/>
          </w:tcPr>
          <w:p w14:paraId="26BEE2F4" w14:textId="3559A601" w:rsidR="00127D11" w:rsidRPr="00AE6690" w:rsidRDefault="00127D11" w:rsidP="00127D11">
            <w:pPr>
              <w:jc w:val="center"/>
              <w:rPr>
                <w:rFonts w:cs="Arial"/>
                <w:b/>
                <w:bCs/>
                <w:sz w:val="16"/>
                <w:szCs w:val="16"/>
              </w:rPr>
            </w:pPr>
            <w:r w:rsidRPr="00AE6690">
              <w:rPr>
                <w:rFonts w:cs="Arial"/>
                <w:b/>
                <w:bCs/>
                <w:sz w:val="16"/>
                <w:szCs w:val="16"/>
              </w:rPr>
              <w:t xml:space="preserve">CP &amp; CIM Concurrently </w:t>
            </w:r>
          </w:p>
        </w:tc>
        <w:tc>
          <w:tcPr>
            <w:tcW w:w="616" w:type="dxa"/>
          </w:tcPr>
          <w:p w14:paraId="04157B6B" w14:textId="57FE5C63" w:rsidR="00127D11" w:rsidRPr="00AE6690" w:rsidRDefault="00127D11" w:rsidP="00127D11">
            <w:pPr>
              <w:jc w:val="center"/>
              <w:rPr>
                <w:rFonts w:cs="Arial"/>
                <w:b/>
                <w:bCs/>
                <w:sz w:val="16"/>
                <w:szCs w:val="16"/>
              </w:rPr>
            </w:pPr>
            <w:r w:rsidRPr="00AE6690">
              <w:rPr>
                <w:rFonts w:cs="Arial"/>
                <w:b/>
                <w:bCs/>
                <w:sz w:val="16"/>
                <w:szCs w:val="16"/>
              </w:rPr>
              <w:t>CIM</w:t>
            </w:r>
          </w:p>
        </w:tc>
        <w:tc>
          <w:tcPr>
            <w:tcW w:w="1356" w:type="dxa"/>
          </w:tcPr>
          <w:p w14:paraId="472C6401" w14:textId="46B1CDB9" w:rsidR="00127D11" w:rsidRPr="00AE6690" w:rsidRDefault="00AE6690" w:rsidP="00127D11">
            <w:pPr>
              <w:jc w:val="center"/>
              <w:rPr>
                <w:rFonts w:cs="Arial"/>
                <w:b/>
                <w:bCs/>
                <w:sz w:val="16"/>
                <w:szCs w:val="16"/>
              </w:rPr>
            </w:pPr>
            <w:r w:rsidRPr="00AE6690">
              <w:rPr>
                <w:rFonts w:cs="Arial"/>
                <w:b/>
                <w:bCs/>
                <w:sz w:val="16"/>
                <w:szCs w:val="16"/>
              </w:rPr>
              <w:t>CIM &amp; Rescheduled</w:t>
            </w:r>
          </w:p>
        </w:tc>
        <w:tc>
          <w:tcPr>
            <w:tcW w:w="923" w:type="dxa"/>
          </w:tcPr>
          <w:p w14:paraId="02F458D5" w14:textId="37EC28F9" w:rsidR="00127D11" w:rsidRPr="00AE6690" w:rsidRDefault="00127D11" w:rsidP="00127D11">
            <w:pPr>
              <w:jc w:val="center"/>
              <w:rPr>
                <w:rFonts w:cs="Arial"/>
                <w:b/>
                <w:bCs/>
                <w:sz w:val="16"/>
                <w:szCs w:val="16"/>
              </w:rPr>
            </w:pPr>
            <w:r w:rsidRPr="00AE6690">
              <w:rPr>
                <w:rFonts w:cs="Arial"/>
                <w:b/>
                <w:bCs/>
                <w:sz w:val="16"/>
                <w:szCs w:val="16"/>
              </w:rPr>
              <w:t>No Further Action</w:t>
            </w:r>
          </w:p>
        </w:tc>
        <w:tc>
          <w:tcPr>
            <w:tcW w:w="1383" w:type="dxa"/>
          </w:tcPr>
          <w:p w14:paraId="0D0553AE" w14:textId="0DFB7641" w:rsidR="00127D11" w:rsidRPr="00AE6690" w:rsidRDefault="00127D11" w:rsidP="00127D11">
            <w:pPr>
              <w:jc w:val="center"/>
              <w:rPr>
                <w:rFonts w:cs="Arial"/>
                <w:b/>
                <w:bCs/>
                <w:sz w:val="16"/>
                <w:szCs w:val="16"/>
              </w:rPr>
            </w:pPr>
            <w:r w:rsidRPr="00AE6690">
              <w:rPr>
                <w:rFonts w:cs="Arial"/>
                <w:b/>
                <w:bCs/>
                <w:sz w:val="16"/>
                <w:szCs w:val="16"/>
              </w:rPr>
              <w:t>Recommend Support Service</w:t>
            </w:r>
          </w:p>
        </w:tc>
        <w:tc>
          <w:tcPr>
            <w:tcW w:w="1254" w:type="dxa"/>
          </w:tcPr>
          <w:p w14:paraId="20680178" w14:textId="77777777" w:rsidR="00127D11" w:rsidRPr="00AE6690" w:rsidRDefault="00127D11" w:rsidP="00127D11">
            <w:pPr>
              <w:jc w:val="center"/>
              <w:rPr>
                <w:rFonts w:cs="Arial"/>
                <w:b/>
                <w:bCs/>
                <w:sz w:val="16"/>
                <w:szCs w:val="16"/>
              </w:rPr>
            </w:pPr>
            <w:r w:rsidRPr="00AE6690">
              <w:rPr>
                <w:rFonts w:cs="Arial"/>
                <w:b/>
                <w:bCs/>
                <w:sz w:val="16"/>
                <w:szCs w:val="16"/>
              </w:rPr>
              <w:t>Reprimand</w:t>
            </w:r>
          </w:p>
        </w:tc>
        <w:tc>
          <w:tcPr>
            <w:tcW w:w="708" w:type="dxa"/>
          </w:tcPr>
          <w:p w14:paraId="510D2877" w14:textId="77777777" w:rsidR="00127D11" w:rsidRPr="00AE6690" w:rsidRDefault="00127D11" w:rsidP="00127D11">
            <w:pPr>
              <w:jc w:val="right"/>
              <w:rPr>
                <w:rFonts w:cs="Arial"/>
                <w:b/>
                <w:bCs/>
                <w:sz w:val="16"/>
                <w:szCs w:val="16"/>
              </w:rPr>
            </w:pPr>
            <w:r w:rsidRPr="00AE6690">
              <w:rPr>
                <w:rFonts w:cs="Arial"/>
                <w:b/>
                <w:bCs/>
                <w:sz w:val="16"/>
                <w:szCs w:val="16"/>
              </w:rPr>
              <w:t>Total</w:t>
            </w:r>
          </w:p>
        </w:tc>
      </w:tr>
      <w:tr w:rsidR="00AE6690" w14:paraId="1020AB47" w14:textId="77777777" w:rsidTr="00AE6690">
        <w:tc>
          <w:tcPr>
            <w:tcW w:w="1309" w:type="dxa"/>
          </w:tcPr>
          <w:p w14:paraId="38A91592" w14:textId="77777777" w:rsidR="00AE6690" w:rsidRPr="00AE6690" w:rsidRDefault="00AE6690" w:rsidP="00AE6690">
            <w:pPr>
              <w:ind w:right="-425"/>
              <w:jc w:val="both"/>
              <w:rPr>
                <w:rFonts w:cs="Arial"/>
              </w:rPr>
            </w:pPr>
            <w:r w:rsidRPr="00AE6690">
              <w:rPr>
                <w:rFonts w:cs="Arial"/>
              </w:rPr>
              <w:t>AU</w:t>
            </w:r>
          </w:p>
        </w:tc>
        <w:tc>
          <w:tcPr>
            <w:tcW w:w="520" w:type="dxa"/>
          </w:tcPr>
          <w:p w14:paraId="49AD44CD" w14:textId="0EED93DF" w:rsidR="00AE6690" w:rsidRPr="00AE6690" w:rsidRDefault="00AE6690" w:rsidP="00AE6690">
            <w:pPr>
              <w:jc w:val="right"/>
            </w:pPr>
            <w:r w:rsidRPr="00AE6690">
              <w:rPr>
                <w:rFonts w:cs="Arial"/>
                <w:color w:val="000000"/>
              </w:rPr>
              <w:t>3</w:t>
            </w:r>
          </w:p>
        </w:tc>
        <w:tc>
          <w:tcPr>
            <w:tcW w:w="1452" w:type="dxa"/>
          </w:tcPr>
          <w:p w14:paraId="17354BB6" w14:textId="4B4E81F7" w:rsidR="00AE6690" w:rsidRPr="00AE6690" w:rsidRDefault="00AE6690" w:rsidP="00AE6690">
            <w:pPr>
              <w:jc w:val="right"/>
            </w:pPr>
            <w:r w:rsidRPr="00AE6690">
              <w:rPr>
                <w:rFonts w:cs="Arial"/>
                <w:color w:val="000000"/>
              </w:rPr>
              <w:t>1</w:t>
            </w:r>
          </w:p>
        </w:tc>
        <w:tc>
          <w:tcPr>
            <w:tcW w:w="616" w:type="dxa"/>
          </w:tcPr>
          <w:p w14:paraId="72A6336C" w14:textId="1DDCC42A" w:rsidR="00AE6690" w:rsidRPr="00AE6690" w:rsidRDefault="00AE6690" w:rsidP="00AE6690">
            <w:pPr>
              <w:jc w:val="right"/>
            </w:pPr>
            <w:r w:rsidRPr="00AE6690">
              <w:rPr>
                <w:rFonts w:cs="Arial"/>
                <w:color w:val="000000"/>
              </w:rPr>
              <w:t>14</w:t>
            </w:r>
          </w:p>
        </w:tc>
        <w:tc>
          <w:tcPr>
            <w:tcW w:w="1356" w:type="dxa"/>
          </w:tcPr>
          <w:p w14:paraId="6D0F99D0" w14:textId="395E3428" w:rsidR="00AE6690" w:rsidRPr="00AE6690" w:rsidRDefault="00AE6690" w:rsidP="00AE6690">
            <w:pPr>
              <w:jc w:val="right"/>
            </w:pPr>
            <w:r w:rsidRPr="00AE6690">
              <w:rPr>
                <w:rFonts w:cs="Arial"/>
                <w:color w:val="000000"/>
              </w:rPr>
              <w:t>1</w:t>
            </w:r>
          </w:p>
        </w:tc>
        <w:tc>
          <w:tcPr>
            <w:tcW w:w="923" w:type="dxa"/>
          </w:tcPr>
          <w:p w14:paraId="7AF566B8" w14:textId="6E03C582" w:rsidR="00AE6690" w:rsidRPr="00AE6690" w:rsidRDefault="00AE6690" w:rsidP="00AE6690">
            <w:pPr>
              <w:jc w:val="right"/>
            </w:pPr>
            <w:r w:rsidRPr="00AE6690">
              <w:rPr>
                <w:rFonts w:cs="Arial"/>
                <w:color w:val="000000"/>
              </w:rPr>
              <w:t>9</w:t>
            </w:r>
          </w:p>
        </w:tc>
        <w:tc>
          <w:tcPr>
            <w:tcW w:w="1383" w:type="dxa"/>
          </w:tcPr>
          <w:p w14:paraId="0A8CA9D7" w14:textId="21BD0A68" w:rsidR="00AE6690" w:rsidRPr="00AE6690" w:rsidRDefault="00AE6690" w:rsidP="00AE6690">
            <w:pPr>
              <w:jc w:val="right"/>
            </w:pPr>
            <w:r w:rsidRPr="00AE6690">
              <w:rPr>
                <w:rFonts w:cs="Arial"/>
                <w:color w:val="000000"/>
              </w:rPr>
              <w:t>1</w:t>
            </w:r>
          </w:p>
        </w:tc>
        <w:tc>
          <w:tcPr>
            <w:tcW w:w="1254" w:type="dxa"/>
          </w:tcPr>
          <w:p w14:paraId="515C5886" w14:textId="6C450D1F" w:rsidR="00AE6690" w:rsidRPr="00AE6690" w:rsidRDefault="00AE6690" w:rsidP="00AE6690">
            <w:pPr>
              <w:jc w:val="right"/>
            </w:pPr>
            <w:r w:rsidRPr="00AE6690">
              <w:rPr>
                <w:rFonts w:cs="Arial"/>
                <w:color w:val="000000"/>
              </w:rPr>
              <w:t>13</w:t>
            </w:r>
          </w:p>
        </w:tc>
        <w:tc>
          <w:tcPr>
            <w:tcW w:w="708" w:type="dxa"/>
            <w:vAlign w:val="bottom"/>
          </w:tcPr>
          <w:p w14:paraId="5EBCE817" w14:textId="30155A32" w:rsidR="00AE6690" w:rsidRPr="00AE6690" w:rsidRDefault="00AE6690" w:rsidP="00AE6690">
            <w:pPr>
              <w:jc w:val="right"/>
              <w:rPr>
                <w:b/>
                <w:bCs/>
              </w:rPr>
            </w:pPr>
            <w:r w:rsidRPr="00AE6690">
              <w:rPr>
                <w:rFonts w:cs="Arial"/>
                <w:b/>
                <w:bCs/>
              </w:rPr>
              <w:t>42</w:t>
            </w:r>
          </w:p>
        </w:tc>
      </w:tr>
      <w:tr w:rsidR="00AE6690" w14:paraId="301C6385" w14:textId="77777777" w:rsidTr="00AE6690">
        <w:tc>
          <w:tcPr>
            <w:tcW w:w="1309" w:type="dxa"/>
          </w:tcPr>
          <w:p w14:paraId="50576C01" w14:textId="77777777" w:rsidR="00AE6690" w:rsidRPr="00AE6690" w:rsidRDefault="00AE6690" w:rsidP="00AE6690">
            <w:pPr>
              <w:ind w:right="-425"/>
              <w:jc w:val="both"/>
              <w:rPr>
                <w:rFonts w:cs="Arial"/>
              </w:rPr>
            </w:pPr>
            <w:r w:rsidRPr="00AE6690">
              <w:rPr>
                <w:rFonts w:cs="Arial"/>
              </w:rPr>
              <w:t>CO</w:t>
            </w:r>
          </w:p>
        </w:tc>
        <w:tc>
          <w:tcPr>
            <w:tcW w:w="520" w:type="dxa"/>
          </w:tcPr>
          <w:p w14:paraId="44D73875" w14:textId="3E31F46D" w:rsidR="00AE6690" w:rsidRPr="00AE6690" w:rsidRDefault="00AE6690" w:rsidP="00AE6690">
            <w:pPr>
              <w:jc w:val="right"/>
            </w:pPr>
            <w:r w:rsidRPr="00AE6690">
              <w:rPr>
                <w:rFonts w:cs="Arial"/>
                <w:color w:val="000000"/>
              </w:rPr>
              <w:t>2</w:t>
            </w:r>
          </w:p>
        </w:tc>
        <w:tc>
          <w:tcPr>
            <w:tcW w:w="1452" w:type="dxa"/>
          </w:tcPr>
          <w:p w14:paraId="0F9DAF08" w14:textId="1D7ABF49" w:rsidR="00AE6690" w:rsidRPr="00AE6690" w:rsidRDefault="00AE6690" w:rsidP="00AE6690">
            <w:pPr>
              <w:jc w:val="right"/>
            </w:pPr>
            <w:r w:rsidRPr="00AE6690">
              <w:rPr>
                <w:rFonts w:cs="Arial"/>
                <w:color w:val="000000"/>
              </w:rPr>
              <w:t>0</w:t>
            </w:r>
          </w:p>
        </w:tc>
        <w:tc>
          <w:tcPr>
            <w:tcW w:w="616" w:type="dxa"/>
          </w:tcPr>
          <w:p w14:paraId="2F50872C" w14:textId="09090427" w:rsidR="00AE6690" w:rsidRPr="00AE6690" w:rsidRDefault="00AE6690" w:rsidP="00AE6690">
            <w:pPr>
              <w:jc w:val="right"/>
            </w:pPr>
            <w:r w:rsidRPr="00AE6690">
              <w:rPr>
                <w:rFonts w:cs="Arial"/>
                <w:color w:val="000000"/>
              </w:rPr>
              <w:t>0</w:t>
            </w:r>
          </w:p>
        </w:tc>
        <w:tc>
          <w:tcPr>
            <w:tcW w:w="1356" w:type="dxa"/>
          </w:tcPr>
          <w:p w14:paraId="3F5E5E7A" w14:textId="39F0FB39" w:rsidR="00AE6690" w:rsidRPr="00AE6690" w:rsidRDefault="00AE6690" w:rsidP="00AE6690">
            <w:pPr>
              <w:jc w:val="right"/>
            </w:pPr>
            <w:r w:rsidRPr="00AE6690">
              <w:rPr>
                <w:rFonts w:cs="Arial"/>
                <w:color w:val="000000"/>
              </w:rPr>
              <w:t>0</w:t>
            </w:r>
          </w:p>
        </w:tc>
        <w:tc>
          <w:tcPr>
            <w:tcW w:w="923" w:type="dxa"/>
          </w:tcPr>
          <w:p w14:paraId="4D1AF7D1" w14:textId="6CE2963E" w:rsidR="00AE6690" w:rsidRPr="00AE6690" w:rsidRDefault="00AE6690" w:rsidP="00AE6690">
            <w:pPr>
              <w:jc w:val="right"/>
            </w:pPr>
            <w:r w:rsidRPr="00AE6690">
              <w:rPr>
                <w:rFonts w:cs="Arial"/>
                <w:color w:val="000000"/>
              </w:rPr>
              <w:t>5</w:t>
            </w:r>
          </w:p>
        </w:tc>
        <w:tc>
          <w:tcPr>
            <w:tcW w:w="1383" w:type="dxa"/>
          </w:tcPr>
          <w:p w14:paraId="225B50B4" w14:textId="4BAAAEE0" w:rsidR="00AE6690" w:rsidRPr="00AE6690" w:rsidRDefault="00AE6690" w:rsidP="00AE6690">
            <w:pPr>
              <w:jc w:val="right"/>
            </w:pPr>
            <w:r w:rsidRPr="00AE6690">
              <w:rPr>
                <w:rFonts w:cs="Arial"/>
                <w:color w:val="000000"/>
              </w:rPr>
              <w:t>1</w:t>
            </w:r>
          </w:p>
        </w:tc>
        <w:tc>
          <w:tcPr>
            <w:tcW w:w="1254" w:type="dxa"/>
          </w:tcPr>
          <w:p w14:paraId="2433CFD3" w14:textId="6E03A602" w:rsidR="00AE6690" w:rsidRPr="00AE6690" w:rsidRDefault="00AE6690" w:rsidP="00AE6690">
            <w:pPr>
              <w:jc w:val="right"/>
            </w:pPr>
            <w:r w:rsidRPr="00AE6690">
              <w:rPr>
                <w:rFonts w:cs="Arial"/>
                <w:color w:val="000000"/>
              </w:rPr>
              <w:t>1</w:t>
            </w:r>
          </w:p>
        </w:tc>
        <w:tc>
          <w:tcPr>
            <w:tcW w:w="708" w:type="dxa"/>
            <w:vAlign w:val="bottom"/>
          </w:tcPr>
          <w:p w14:paraId="72B8A199" w14:textId="1D048461" w:rsidR="00AE6690" w:rsidRPr="00AE6690" w:rsidRDefault="00AE6690" w:rsidP="00AE6690">
            <w:pPr>
              <w:jc w:val="right"/>
              <w:rPr>
                <w:b/>
                <w:bCs/>
              </w:rPr>
            </w:pPr>
            <w:r w:rsidRPr="00AE6690">
              <w:rPr>
                <w:rFonts w:cs="Arial"/>
                <w:b/>
                <w:bCs/>
              </w:rPr>
              <w:t>9</w:t>
            </w:r>
          </w:p>
        </w:tc>
      </w:tr>
      <w:tr w:rsidR="00AE6690" w14:paraId="1AF88ED4" w14:textId="77777777" w:rsidTr="00AE6690">
        <w:tc>
          <w:tcPr>
            <w:tcW w:w="1309" w:type="dxa"/>
          </w:tcPr>
          <w:p w14:paraId="4C229F63" w14:textId="77777777" w:rsidR="00AE6690" w:rsidRPr="00AE6690" w:rsidRDefault="00AE6690" w:rsidP="00AE6690">
            <w:pPr>
              <w:ind w:right="-425"/>
              <w:jc w:val="both"/>
              <w:rPr>
                <w:rFonts w:cs="Arial"/>
              </w:rPr>
            </w:pPr>
            <w:r w:rsidRPr="00AE6690">
              <w:rPr>
                <w:rFonts w:cs="Arial"/>
              </w:rPr>
              <w:t>DM</w:t>
            </w:r>
          </w:p>
        </w:tc>
        <w:tc>
          <w:tcPr>
            <w:tcW w:w="520" w:type="dxa"/>
          </w:tcPr>
          <w:p w14:paraId="67496A09" w14:textId="51573536" w:rsidR="00AE6690" w:rsidRPr="00AE6690" w:rsidRDefault="00AE6690" w:rsidP="00AE6690">
            <w:pPr>
              <w:jc w:val="right"/>
            </w:pPr>
            <w:r w:rsidRPr="00AE6690">
              <w:rPr>
                <w:rFonts w:cs="Arial"/>
                <w:color w:val="000000"/>
              </w:rPr>
              <w:t>7</w:t>
            </w:r>
          </w:p>
        </w:tc>
        <w:tc>
          <w:tcPr>
            <w:tcW w:w="1452" w:type="dxa"/>
          </w:tcPr>
          <w:p w14:paraId="0675C9A5" w14:textId="19A12665" w:rsidR="00AE6690" w:rsidRPr="00AE6690" w:rsidRDefault="00AE6690" w:rsidP="00AE6690">
            <w:pPr>
              <w:jc w:val="right"/>
            </w:pPr>
            <w:r w:rsidRPr="00AE6690">
              <w:rPr>
                <w:rFonts w:cs="Arial"/>
                <w:color w:val="000000"/>
              </w:rPr>
              <w:t>0</w:t>
            </w:r>
          </w:p>
        </w:tc>
        <w:tc>
          <w:tcPr>
            <w:tcW w:w="616" w:type="dxa"/>
          </w:tcPr>
          <w:p w14:paraId="6FC56168" w14:textId="564AB8FF" w:rsidR="00AE6690" w:rsidRPr="00AE6690" w:rsidRDefault="00AE6690" w:rsidP="00AE6690">
            <w:pPr>
              <w:jc w:val="right"/>
            </w:pPr>
            <w:r w:rsidRPr="00AE6690">
              <w:rPr>
                <w:rFonts w:cs="Arial"/>
                <w:color w:val="000000"/>
              </w:rPr>
              <w:t>10</w:t>
            </w:r>
          </w:p>
        </w:tc>
        <w:tc>
          <w:tcPr>
            <w:tcW w:w="1356" w:type="dxa"/>
          </w:tcPr>
          <w:p w14:paraId="0236C1E7" w14:textId="0BA7F358" w:rsidR="00AE6690" w:rsidRPr="00AE6690" w:rsidRDefault="00AE6690" w:rsidP="00AE6690">
            <w:pPr>
              <w:jc w:val="right"/>
            </w:pPr>
            <w:r w:rsidRPr="00AE6690">
              <w:rPr>
                <w:rFonts w:cs="Arial"/>
                <w:color w:val="000000"/>
              </w:rPr>
              <w:t>0</w:t>
            </w:r>
          </w:p>
        </w:tc>
        <w:tc>
          <w:tcPr>
            <w:tcW w:w="923" w:type="dxa"/>
          </w:tcPr>
          <w:p w14:paraId="44389DB6" w14:textId="452F2F3D" w:rsidR="00AE6690" w:rsidRPr="00AE6690" w:rsidRDefault="00AE6690" w:rsidP="00AE6690">
            <w:pPr>
              <w:jc w:val="right"/>
            </w:pPr>
            <w:r w:rsidRPr="00AE6690">
              <w:rPr>
                <w:rFonts w:cs="Arial"/>
                <w:color w:val="000000"/>
              </w:rPr>
              <w:t>20</w:t>
            </w:r>
          </w:p>
        </w:tc>
        <w:tc>
          <w:tcPr>
            <w:tcW w:w="1383" w:type="dxa"/>
          </w:tcPr>
          <w:p w14:paraId="09B97CC9" w14:textId="3E3420CF" w:rsidR="00AE6690" w:rsidRPr="00AE6690" w:rsidRDefault="00AE6690" w:rsidP="00AE6690">
            <w:pPr>
              <w:jc w:val="right"/>
            </w:pPr>
            <w:r w:rsidRPr="00AE6690">
              <w:rPr>
                <w:rFonts w:cs="Arial"/>
                <w:color w:val="000000"/>
              </w:rPr>
              <w:t>0</w:t>
            </w:r>
          </w:p>
        </w:tc>
        <w:tc>
          <w:tcPr>
            <w:tcW w:w="1254" w:type="dxa"/>
          </w:tcPr>
          <w:p w14:paraId="2BF4D189" w14:textId="70DB8362" w:rsidR="00AE6690" w:rsidRPr="00AE6690" w:rsidRDefault="00AE6690" w:rsidP="00AE6690">
            <w:pPr>
              <w:jc w:val="right"/>
            </w:pPr>
            <w:r w:rsidRPr="00AE6690">
              <w:rPr>
                <w:rFonts w:cs="Arial"/>
                <w:color w:val="000000"/>
              </w:rPr>
              <w:t>5</w:t>
            </w:r>
          </w:p>
        </w:tc>
        <w:tc>
          <w:tcPr>
            <w:tcW w:w="708" w:type="dxa"/>
            <w:vAlign w:val="bottom"/>
          </w:tcPr>
          <w:p w14:paraId="6A174D2C" w14:textId="304C2CCE" w:rsidR="00AE6690" w:rsidRPr="00AE6690" w:rsidRDefault="00AE6690" w:rsidP="00AE6690">
            <w:pPr>
              <w:jc w:val="right"/>
              <w:rPr>
                <w:b/>
                <w:bCs/>
              </w:rPr>
            </w:pPr>
            <w:r w:rsidRPr="00AE6690">
              <w:rPr>
                <w:rFonts w:cs="Arial"/>
                <w:b/>
                <w:bCs/>
              </w:rPr>
              <w:t>42</w:t>
            </w:r>
          </w:p>
        </w:tc>
      </w:tr>
      <w:tr w:rsidR="00AE6690" w14:paraId="0B079D3E" w14:textId="77777777" w:rsidTr="00AE6690">
        <w:tc>
          <w:tcPr>
            <w:tcW w:w="1309" w:type="dxa"/>
          </w:tcPr>
          <w:p w14:paraId="4C8C2425" w14:textId="77777777" w:rsidR="00AE6690" w:rsidRPr="00AE6690" w:rsidRDefault="00AE6690" w:rsidP="00AE6690">
            <w:pPr>
              <w:ind w:right="-425"/>
              <w:jc w:val="both"/>
              <w:rPr>
                <w:rFonts w:cs="Arial"/>
              </w:rPr>
            </w:pPr>
            <w:r w:rsidRPr="00AE6690">
              <w:rPr>
                <w:rFonts w:cs="Arial"/>
              </w:rPr>
              <w:t>HV</w:t>
            </w:r>
          </w:p>
        </w:tc>
        <w:tc>
          <w:tcPr>
            <w:tcW w:w="520" w:type="dxa"/>
          </w:tcPr>
          <w:p w14:paraId="37538412" w14:textId="755FAB62" w:rsidR="00AE6690" w:rsidRPr="00AE6690" w:rsidRDefault="00AE6690" w:rsidP="00AE6690">
            <w:pPr>
              <w:jc w:val="right"/>
            </w:pPr>
            <w:r w:rsidRPr="00AE6690">
              <w:rPr>
                <w:rFonts w:cs="Arial"/>
                <w:color w:val="000000"/>
              </w:rPr>
              <w:t>5</w:t>
            </w:r>
          </w:p>
        </w:tc>
        <w:tc>
          <w:tcPr>
            <w:tcW w:w="1452" w:type="dxa"/>
          </w:tcPr>
          <w:p w14:paraId="19FE7E35" w14:textId="723EB28E" w:rsidR="00AE6690" w:rsidRPr="00AE6690" w:rsidRDefault="00AE6690" w:rsidP="00AE6690">
            <w:pPr>
              <w:jc w:val="right"/>
            </w:pPr>
            <w:r w:rsidRPr="00AE6690">
              <w:rPr>
                <w:rFonts w:cs="Arial"/>
                <w:color w:val="000000"/>
              </w:rPr>
              <w:t>1</w:t>
            </w:r>
          </w:p>
        </w:tc>
        <w:tc>
          <w:tcPr>
            <w:tcW w:w="616" w:type="dxa"/>
          </w:tcPr>
          <w:p w14:paraId="533C7EA9" w14:textId="6A54D769" w:rsidR="00AE6690" w:rsidRPr="00AE6690" w:rsidRDefault="00AE6690" w:rsidP="00AE6690">
            <w:pPr>
              <w:jc w:val="right"/>
            </w:pPr>
            <w:r w:rsidRPr="00AE6690">
              <w:rPr>
                <w:rFonts w:cs="Arial"/>
                <w:color w:val="000000"/>
              </w:rPr>
              <w:t>0</w:t>
            </w:r>
          </w:p>
        </w:tc>
        <w:tc>
          <w:tcPr>
            <w:tcW w:w="1356" w:type="dxa"/>
          </w:tcPr>
          <w:p w14:paraId="52D3F734" w14:textId="53D8D1A7" w:rsidR="00AE6690" w:rsidRPr="00AE6690" w:rsidRDefault="00AE6690" w:rsidP="00AE6690">
            <w:pPr>
              <w:jc w:val="right"/>
            </w:pPr>
            <w:r w:rsidRPr="00AE6690">
              <w:rPr>
                <w:rFonts w:cs="Arial"/>
                <w:color w:val="000000"/>
              </w:rPr>
              <w:t>0</w:t>
            </w:r>
          </w:p>
        </w:tc>
        <w:tc>
          <w:tcPr>
            <w:tcW w:w="923" w:type="dxa"/>
          </w:tcPr>
          <w:p w14:paraId="6CDAAF40" w14:textId="3FEFCCD5" w:rsidR="00AE6690" w:rsidRPr="00AE6690" w:rsidRDefault="00AE6690" w:rsidP="00AE6690">
            <w:pPr>
              <w:jc w:val="right"/>
            </w:pPr>
            <w:r w:rsidRPr="00AE6690">
              <w:rPr>
                <w:rFonts w:cs="Arial"/>
                <w:color w:val="000000"/>
              </w:rPr>
              <w:t>18</w:t>
            </w:r>
          </w:p>
        </w:tc>
        <w:tc>
          <w:tcPr>
            <w:tcW w:w="1383" w:type="dxa"/>
          </w:tcPr>
          <w:p w14:paraId="28BF6F9E" w14:textId="6D91E70F" w:rsidR="00AE6690" w:rsidRPr="00AE6690" w:rsidRDefault="00AE6690" w:rsidP="00AE6690">
            <w:pPr>
              <w:jc w:val="right"/>
            </w:pPr>
            <w:r w:rsidRPr="00AE6690">
              <w:rPr>
                <w:rFonts w:cs="Arial"/>
                <w:color w:val="000000"/>
              </w:rPr>
              <w:t>0</w:t>
            </w:r>
          </w:p>
        </w:tc>
        <w:tc>
          <w:tcPr>
            <w:tcW w:w="1254" w:type="dxa"/>
          </w:tcPr>
          <w:p w14:paraId="5329BF30" w14:textId="115A28EE" w:rsidR="00AE6690" w:rsidRPr="00AE6690" w:rsidRDefault="00AE6690" w:rsidP="00AE6690">
            <w:pPr>
              <w:jc w:val="right"/>
            </w:pPr>
            <w:r w:rsidRPr="00AE6690">
              <w:rPr>
                <w:rFonts w:cs="Arial"/>
                <w:color w:val="000000"/>
              </w:rPr>
              <w:t>7</w:t>
            </w:r>
          </w:p>
        </w:tc>
        <w:tc>
          <w:tcPr>
            <w:tcW w:w="708" w:type="dxa"/>
            <w:vAlign w:val="bottom"/>
          </w:tcPr>
          <w:p w14:paraId="03987686" w14:textId="4AE0FD50" w:rsidR="00AE6690" w:rsidRPr="00AE6690" w:rsidRDefault="00AE6690" w:rsidP="00AE6690">
            <w:pPr>
              <w:jc w:val="right"/>
              <w:rPr>
                <w:b/>
                <w:bCs/>
              </w:rPr>
            </w:pPr>
            <w:r w:rsidRPr="00AE6690">
              <w:rPr>
                <w:rFonts w:cs="Arial"/>
                <w:b/>
                <w:bCs/>
              </w:rPr>
              <w:t>31</w:t>
            </w:r>
          </w:p>
        </w:tc>
      </w:tr>
      <w:tr w:rsidR="00AE6690" w14:paraId="1A110982" w14:textId="77777777" w:rsidTr="00AE6690">
        <w:tc>
          <w:tcPr>
            <w:tcW w:w="1309" w:type="dxa"/>
          </w:tcPr>
          <w:p w14:paraId="3E280D98" w14:textId="77777777" w:rsidR="00AE6690" w:rsidRPr="00AE6690" w:rsidRDefault="00AE6690" w:rsidP="00AE6690">
            <w:pPr>
              <w:ind w:right="-425"/>
              <w:jc w:val="both"/>
              <w:rPr>
                <w:rFonts w:cs="Arial"/>
              </w:rPr>
            </w:pPr>
            <w:r w:rsidRPr="00AE6690">
              <w:rPr>
                <w:rFonts w:cs="Arial"/>
              </w:rPr>
              <w:t>MG</w:t>
            </w:r>
          </w:p>
        </w:tc>
        <w:tc>
          <w:tcPr>
            <w:tcW w:w="520" w:type="dxa"/>
          </w:tcPr>
          <w:p w14:paraId="219E514B" w14:textId="3462D183" w:rsidR="00AE6690" w:rsidRPr="00AE6690" w:rsidRDefault="00AE6690" w:rsidP="00AE6690">
            <w:pPr>
              <w:jc w:val="right"/>
            </w:pPr>
            <w:r w:rsidRPr="00AE6690">
              <w:rPr>
                <w:rFonts w:cs="Arial"/>
                <w:color w:val="000000"/>
              </w:rPr>
              <w:t>0</w:t>
            </w:r>
          </w:p>
        </w:tc>
        <w:tc>
          <w:tcPr>
            <w:tcW w:w="1452" w:type="dxa"/>
          </w:tcPr>
          <w:p w14:paraId="51A17240" w14:textId="4E0C5433" w:rsidR="00AE6690" w:rsidRPr="00AE6690" w:rsidRDefault="00AE6690" w:rsidP="00AE6690">
            <w:pPr>
              <w:jc w:val="right"/>
            </w:pPr>
            <w:r w:rsidRPr="00AE6690">
              <w:rPr>
                <w:rFonts w:cs="Arial"/>
                <w:color w:val="000000"/>
              </w:rPr>
              <w:t>0</w:t>
            </w:r>
          </w:p>
        </w:tc>
        <w:tc>
          <w:tcPr>
            <w:tcW w:w="616" w:type="dxa"/>
          </w:tcPr>
          <w:p w14:paraId="39A8F072" w14:textId="4A06F88D" w:rsidR="00AE6690" w:rsidRPr="00AE6690" w:rsidRDefault="00AE6690" w:rsidP="00AE6690">
            <w:pPr>
              <w:jc w:val="right"/>
            </w:pPr>
            <w:r w:rsidRPr="00AE6690">
              <w:rPr>
                <w:rFonts w:cs="Arial"/>
                <w:color w:val="000000"/>
              </w:rPr>
              <w:t>1</w:t>
            </w:r>
          </w:p>
        </w:tc>
        <w:tc>
          <w:tcPr>
            <w:tcW w:w="1356" w:type="dxa"/>
          </w:tcPr>
          <w:p w14:paraId="211D0E2C" w14:textId="087A12C4" w:rsidR="00AE6690" w:rsidRPr="00AE6690" w:rsidRDefault="00AE6690" w:rsidP="00AE6690">
            <w:pPr>
              <w:jc w:val="right"/>
            </w:pPr>
            <w:r w:rsidRPr="00AE6690">
              <w:rPr>
                <w:rFonts w:cs="Arial"/>
                <w:color w:val="000000"/>
              </w:rPr>
              <w:t>0</w:t>
            </w:r>
          </w:p>
        </w:tc>
        <w:tc>
          <w:tcPr>
            <w:tcW w:w="923" w:type="dxa"/>
          </w:tcPr>
          <w:p w14:paraId="4786E29E" w14:textId="4E2E9F00" w:rsidR="00AE6690" w:rsidRPr="00AE6690" w:rsidRDefault="00AE6690" w:rsidP="00AE6690">
            <w:pPr>
              <w:jc w:val="right"/>
            </w:pPr>
            <w:r w:rsidRPr="00AE6690">
              <w:rPr>
                <w:rFonts w:cs="Arial"/>
                <w:color w:val="000000"/>
              </w:rPr>
              <w:t>0</w:t>
            </w:r>
          </w:p>
        </w:tc>
        <w:tc>
          <w:tcPr>
            <w:tcW w:w="1383" w:type="dxa"/>
          </w:tcPr>
          <w:p w14:paraId="72B56FC5" w14:textId="6D96ACDF" w:rsidR="00AE6690" w:rsidRPr="00AE6690" w:rsidRDefault="00AE6690" w:rsidP="00AE6690">
            <w:pPr>
              <w:jc w:val="right"/>
            </w:pPr>
            <w:r w:rsidRPr="00AE6690">
              <w:rPr>
                <w:rFonts w:cs="Arial"/>
                <w:color w:val="000000"/>
              </w:rPr>
              <w:t>0</w:t>
            </w:r>
          </w:p>
        </w:tc>
        <w:tc>
          <w:tcPr>
            <w:tcW w:w="1254" w:type="dxa"/>
          </w:tcPr>
          <w:p w14:paraId="358DC4D7" w14:textId="4872DA1A" w:rsidR="00AE6690" w:rsidRPr="00AE6690" w:rsidRDefault="00AE6690" w:rsidP="00AE6690">
            <w:pPr>
              <w:jc w:val="right"/>
            </w:pPr>
            <w:r w:rsidRPr="00AE6690">
              <w:rPr>
                <w:rFonts w:cs="Arial"/>
                <w:color w:val="000000"/>
              </w:rPr>
              <w:t>1</w:t>
            </w:r>
          </w:p>
        </w:tc>
        <w:tc>
          <w:tcPr>
            <w:tcW w:w="708" w:type="dxa"/>
            <w:vAlign w:val="bottom"/>
          </w:tcPr>
          <w:p w14:paraId="1AC531B7" w14:textId="7925F148" w:rsidR="00AE6690" w:rsidRPr="00AE6690" w:rsidRDefault="00AE6690" w:rsidP="00AE6690">
            <w:pPr>
              <w:jc w:val="right"/>
              <w:rPr>
                <w:b/>
                <w:bCs/>
              </w:rPr>
            </w:pPr>
            <w:r w:rsidRPr="00AE6690">
              <w:rPr>
                <w:rFonts w:cs="Arial"/>
                <w:b/>
                <w:bCs/>
              </w:rPr>
              <w:t>2</w:t>
            </w:r>
          </w:p>
        </w:tc>
      </w:tr>
      <w:tr w:rsidR="00AE6690" w14:paraId="7D295E1A" w14:textId="77777777" w:rsidTr="00AE6690">
        <w:tc>
          <w:tcPr>
            <w:tcW w:w="1309" w:type="dxa"/>
          </w:tcPr>
          <w:p w14:paraId="1AA67368" w14:textId="77777777" w:rsidR="00AE6690" w:rsidRPr="00AE6690" w:rsidRDefault="00AE6690" w:rsidP="00AE6690">
            <w:pPr>
              <w:ind w:right="-425"/>
              <w:jc w:val="both"/>
              <w:rPr>
                <w:rFonts w:cs="Arial"/>
                <w:b/>
                <w:bCs/>
              </w:rPr>
            </w:pPr>
            <w:r w:rsidRPr="00AE6690">
              <w:rPr>
                <w:rFonts w:cs="Arial"/>
                <w:b/>
                <w:bCs/>
              </w:rPr>
              <w:t>Total</w:t>
            </w:r>
          </w:p>
        </w:tc>
        <w:tc>
          <w:tcPr>
            <w:tcW w:w="520" w:type="dxa"/>
            <w:vAlign w:val="bottom"/>
          </w:tcPr>
          <w:p w14:paraId="7EA61294" w14:textId="3FA64F31" w:rsidR="00AE6690" w:rsidRPr="00AE6690" w:rsidRDefault="00AE6690" w:rsidP="00AE6690">
            <w:pPr>
              <w:jc w:val="right"/>
              <w:rPr>
                <w:b/>
                <w:bCs/>
              </w:rPr>
            </w:pPr>
            <w:r w:rsidRPr="00AE6690">
              <w:rPr>
                <w:rFonts w:cs="Arial"/>
                <w:b/>
                <w:bCs/>
              </w:rPr>
              <w:t>17</w:t>
            </w:r>
          </w:p>
        </w:tc>
        <w:tc>
          <w:tcPr>
            <w:tcW w:w="1452" w:type="dxa"/>
            <w:vAlign w:val="bottom"/>
          </w:tcPr>
          <w:p w14:paraId="4423A1A4" w14:textId="6A38E456" w:rsidR="00AE6690" w:rsidRPr="00AE6690" w:rsidRDefault="00AE6690" w:rsidP="00AE6690">
            <w:pPr>
              <w:jc w:val="right"/>
              <w:rPr>
                <w:b/>
                <w:bCs/>
              </w:rPr>
            </w:pPr>
            <w:r w:rsidRPr="00AE6690">
              <w:rPr>
                <w:rFonts w:cs="Arial"/>
                <w:b/>
                <w:bCs/>
              </w:rPr>
              <w:t>2</w:t>
            </w:r>
          </w:p>
        </w:tc>
        <w:tc>
          <w:tcPr>
            <w:tcW w:w="616" w:type="dxa"/>
            <w:vAlign w:val="bottom"/>
          </w:tcPr>
          <w:p w14:paraId="25FCDD62" w14:textId="239CB9C5" w:rsidR="00AE6690" w:rsidRPr="00AE6690" w:rsidRDefault="00AE6690" w:rsidP="00AE6690">
            <w:pPr>
              <w:jc w:val="right"/>
              <w:rPr>
                <w:b/>
                <w:bCs/>
              </w:rPr>
            </w:pPr>
            <w:r w:rsidRPr="00AE6690">
              <w:rPr>
                <w:rFonts w:cs="Arial"/>
                <w:b/>
                <w:bCs/>
              </w:rPr>
              <w:t>25</w:t>
            </w:r>
          </w:p>
        </w:tc>
        <w:tc>
          <w:tcPr>
            <w:tcW w:w="1356" w:type="dxa"/>
            <w:vAlign w:val="bottom"/>
          </w:tcPr>
          <w:p w14:paraId="70C5B30B" w14:textId="4E8F7E14" w:rsidR="00AE6690" w:rsidRPr="00AE6690" w:rsidRDefault="00AE6690" w:rsidP="00AE6690">
            <w:pPr>
              <w:jc w:val="right"/>
              <w:rPr>
                <w:b/>
                <w:bCs/>
              </w:rPr>
            </w:pPr>
            <w:r w:rsidRPr="00AE6690">
              <w:rPr>
                <w:rFonts w:cs="Arial"/>
                <w:b/>
                <w:bCs/>
              </w:rPr>
              <w:t>1</w:t>
            </w:r>
          </w:p>
        </w:tc>
        <w:tc>
          <w:tcPr>
            <w:tcW w:w="923" w:type="dxa"/>
            <w:vAlign w:val="bottom"/>
          </w:tcPr>
          <w:p w14:paraId="3CFBABCB" w14:textId="71E491FD" w:rsidR="00AE6690" w:rsidRPr="00AE6690" w:rsidRDefault="00AE6690" w:rsidP="00AE6690">
            <w:pPr>
              <w:jc w:val="right"/>
              <w:rPr>
                <w:b/>
                <w:bCs/>
              </w:rPr>
            </w:pPr>
            <w:r w:rsidRPr="00AE6690">
              <w:rPr>
                <w:rFonts w:cs="Arial"/>
                <w:b/>
                <w:bCs/>
              </w:rPr>
              <w:t>52</w:t>
            </w:r>
          </w:p>
        </w:tc>
        <w:tc>
          <w:tcPr>
            <w:tcW w:w="1383" w:type="dxa"/>
            <w:vAlign w:val="bottom"/>
          </w:tcPr>
          <w:p w14:paraId="6B72A0E8" w14:textId="68C1971C" w:rsidR="00AE6690" w:rsidRPr="00AE6690" w:rsidRDefault="00AE6690" w:rsidP="00AE6690">
            <w:pPr>
              <w:jc w:val="right"/>
              <w:rPr>
                <w:b/>
                <w:bCs/>
              </w:rPr>
            </w:pPr>
            <w:r w:rsidRPr="00AE6690">
              <w:rPr>
                <w:rFonts w:cs="Arial"/>
                <w:b/>
                <w:bCs/>
              </w:rPr>
              <w:t>2</w:t>
            </w:r>
          </w:p>
        </w:tc>
        <w:tc>
          <w:tcPr>
            <w:tcW w:w="1254" w:type="dxa"/>
            <w:vAlign w:val="bottom"/>
          </w:tcPr>
          <w:p w14:paraId="2793E47C" w14:textId="65CF0548" w:rsidR="00AE6690" w:rsidRPr="00AE6690" w:rsidRDefault="00AE6690" w:rsidP="00AE6690">
            <w:pPr>
              <w:jc w:val="right"/>
              <w:rPr>
                <w:b/>
                <w:bCs/>
              </w:rPr>
            </w:pPr>
            <w:r w:rsidRPr="00AE6690">
              <w:rPr>
                <w:rFonts w:cs="Arial"/>
                <w:b/>
                <w:bCs/>
              </w:rPr>
              <w:t>27</w:t>
            </w:r>
          </w:p>
        </w:tc>
        <w:tc>
          <w:tcPr>
            <w:tcW w:w="708" w:type="dxa"/>
            <w:vAlign w:val="bottom"/>
          </w:tcPr>
          <w:p w14:paraId="6FB13ACB" w14:textId="520A7B83" w:rsidR="00AE6690" w:rsidRPr="00AE6690" w:rsidRDefault="00AE6690" w:rsidP="00AE6690">
            <w:pPr>
              <w:jc w:val="right"/>
              <w:rPr>
                <w:b/>
                <w:bCs/>
              </w:rPr>
            </w:pPr>
            <w:r w:rsidRPr="00AE6690">
              <w:rPr>
                <w:rFonts w:cs="Arial"/>
                <w:b/>
                <w:bCs/>
              </w:rPr>
              <w:t>126</w:t>
            </w:r>
          </w:p>
        </w:tc>
      </w:tr>
    </w:tbl>
    <w:p w14:paraId="370BFC10" w14:textId="6394BA5A" w:rsidR="00D505F2" w:rsidRDefault="00D505F2" w:rsidP="00237AB1">
      <w:pPr>
        <w:ind w:left="-142" w:right="-425"/>
        <w:jc w:val="both"/>
        <w:rPr>
          <w:rFonts w:cs="Arial"/>
        </w:rPr>
      </w:pPr>
    </w:p>
    <w:p w14:paraId="1C006F71" w14:textId="302266D8" w:rsidR="00270A6D" w:rsidRPr="004B6F52" w:rsidRDefault="00270A6D" w:rsidP="00270A6D">
      <w:pPr>
        <w:spacing w:after="120" w:line="240" w:lineRule="auto"/>
        <w:ind w:left="794" w:hanging="794"/>
      </w:pPr>
      <w:r w:rsidRPr="004B6F52">
        <w:rPr>
          <w:b/>
          <w:sz w:val="16"/>
          <w:szCs w:val="16"/>
        </w:rPr>
        <w:t xml:space="preserve">Table </w:t>
      </w:r>
      <w:r w:rsidR="009A2F52">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w:t>
      </w:r>
      <w:r w:rsidR="001D6F7E">
        <w:rPr>
          <w:sz w:val="16"/>
          <w:szCs w:val="16"/>
        </w:rPr>
        <w:t>on</w:t>
      </w:r>
      <w:r w:rsidR="001D6F7E" w:rsidRPr="004B6F52">
        <w:rPr>
          <w:sz w:val="16"/>
          <w:szCs w:val="16"/>
        </w:rPr>
        <w:t xml:space="preserve"> </w:t>
      </w:r>
      <w:r w:rsidR="00D505F2">
        <w:rPr>
          <w:sz w:val="16"/>
          <w:szCs w:val="16"/>
        </w:rPr>
        <w:t>application</w:t>
      </w:r>
      <w:r w:rsidR="001D6F7E">
        <w:rPr>
          <w:sz w:val="16"/>
          <w:szCs w:val="16"/>
        </w:rPr>
        <w:t xml:space="preserve">s from a Decision by order and a Decision by </w:t>
      </w:r>
      <w:r w:rsidR="001D6F7E" w:rsidRPr="004B4B23">
        <w:rPr>
          <w:sz w:val="16"/>
          <w:szCs w:val="16"/>
        </w:rPr>
        <w:t>agreement</w:t>
      </w:r>
      <w:bookmarkStart w:id="13" w:name="_Hlk82505623"/>
      <w:r w:rsidR="004B4B23" w:rsidRPr="004B4B23">
        <w:rPr>
          <w:sz w:val="16"/>
          <w:szCs w:val="16"/>
        </w:rPr>
        <w:t xml:space="preserve"> </w:t>
      </w:r>
      <w:r w:rsidR="00C32C08" w:rsidRPr="004B4B23">
        <w:rPr>
          <w:sz w:val="16"/>
          <w:szCs w:val="16"/>
        </w:rPr>
        <w:t>(</w:t>
      </w:r>
      <w:r w:rsidR="00C32C08">
        <w:rPr>
          <w:sz w:val="16"/>
          <w:szCs w:val="16"/>
        </w:rPr>
        <w:t>where a client seeks to alter or end their original FRC decision because their circumstances or behaviours ha</w:t>
      </w:r>
      <w:r w:rsidR="00397BFC">
        <w:rPr>
          <w:sz w:val="16"/>
          <w:szCs w:val="16"/>
        </w:rPr>
        <w:t>ve</w:t>
      </w:r>
      <w:r w:rsidR="00C32C08">
        <w:rPr>
          <w:sz w:val="16"/>
          <w:szCs w:val="16"/>
        </w:rPr>
        <w:t xml:space="preserve"> changed)</w:t>
      </w:r>
      <w:r w:rsidR="00D505F2">
        <w:rPr>
          <w:sz w:val="16"/>
          <w:szCs w:val="16"/>
        </w:rPr>
        <w:t xml:space="preserve"> </w:t>
      </w:r>
      <w:bookmarkEnd w:id="13"/>
      <w:r w:rsidRPr="004B6F52">
        <w:rPr>
          <w:sz w:val="16"/>
          <w:szCs w:val="16"/>
        </w:rPr>
        <w:t xml:space="preserve">from </w:t>
      </w:r>
      <w:r w:rsidR="00F83C14">
        <w:rPr>
          <w:sz w:val="16"/>
          <w:szCs w:val="16"/>
        </w:rPr>
        <w:t xml:space="preserve">1 </w:t>
      </w:r>
      <w:r w:rsidR="006E3C46">
        <w:rPr>
          <w:sz w:val="16"/>
          <w:szCs w:val="16"/>
        </w:rPr>
        <w:t xml:space="preserve">October </w:t>
      </w:r>
      <w:r>
        <w:rPr>
          <w:sz w:val="16"/>
          <w:szCs w:val="16"/>
        </w:rPr>
        <w:t>2021</w:t>
      </w:r>
      <w:r w:rsidRPr="004B6F52">
        <w:rPr>
          <w:sz w:val="16"/>
          <w:szCs w:val="16"/>
        </w:rPr>
        <w:t xml:space="preserve"> to </w:t>
      </w:r>
      <w:r w:rsidR="00F83C14">
        <w:rPr>
          <w:sz w:val="16"/>
          <w:szCs w:val="16"/>
        </w:rPr>
        <w:t>3</w:t>
      </w:r>
      <w:r w:rsidR="006E3C46">
        <w:rPr>
          <w:sz w:val="16"/>
          <w:szCs w:val="16"/>
        </w:rPr>
        <w:t xml:space="preserve">1 December </w:t>
      </w:r>
      <w:r>
        <w:rPr>
          <w:sz w:val="16"/>
          <w:szCs w:val="16"/>
        </w:rPr>
        <w:t>2021</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515E8F">
        <w:rPr>
          <w:sz w:val="16"/>
          <w:szCs w:val="16"/>
          <w:vertAlign w:val="superscript"/>
        </w:rPr>
        <w:t>6</w:t>
      </w:r>
      <w:r w:rsidR="006106C9" w:rsidRPr="00152D32">
        <w:rPr>
          <w:sz w:val="16"/>
          <w:szCs w:val="16"/>
          <w:vertAlign w:val="superscript"/>
        </w:rPr>
        <w:fldChar w:fldCharType="end"/>
      </w:r>
    </w:p>
    <w:tbl>
      <w:tblPr>
        <w:tblStyle w:val="TableGrid"/>
        <w:tblW w:w="8109" w:type="dxa"/>
        <w:tblInd w:w="108" w:type="dxa"/>
        <w:tblLayout w:type="fixed"/>
        <w:tblLook w:val="04A0" w:firstRow="1" w:lastRow="0" w:firstColumn="1" w:lastColumn="0" w:noHBand="0" w:noVBand="1"/>
      </w:tblPr>
      <w:tblGrid>
        <w:gridCol w:w="1588"/>
        <w:gridCol w:w="992"/>
        <w:gridCol w:w="1418"/>
        <w:gridCol w:w="992"/>
        <w:gridCol w:w="992"/>
        <w:gridCol w:w="1276"/>
        <w:gridCol w:w="851"/>
      </w:tblGrid>
      <w:tr w:rsidR="00AE6690" w14:paraId="38744CDD" w14:textId="77777777" w:rsidTr="002D2253">
        <w:trPr>
          <w:trHeight w:val="235"/>
        </w:trPr>
        <w:tc>
          <w:tcPr>
            <w:tcW w:w="8109" w:type="dxa"/>
            <w:gridSpan w:val="7"/>
          </w:tcPr>
          <w:p w14:paraId="1E1C22EB" w14:textId="2D5C93B5" w:rsidR="00AE6690" w:rsidRPr="004B6F52" w:rsidRDefault="00AE6690" w:rsidP="003F391E">
            <w:pPr>
              <w:jc w:val="center"/>
              <w:rPr>
                <w:rFonts w:cs="Arial"/>
                <w:b/>
                <w:bCs/>
              </w:rPr>
            </w:pPr>
            <w:r w:rsidRPr="004B6F52">
              <w:rPr>
                <w:rFonts w:cs="Arial"/>
                <w:b/>
                <w:bCs/>
              </w:rPr>
              <w:t xml:space="preserve">Decisions </w:t>
            </w:r>
            <w:r w:rsidR="001D6F7E">
              <w:rPr>
                <w:rFonts w:cs="Arial"/>
                <w:b/>
                <w:bCs/>
              </w:rPr>
              <w:t xml:space="preserve">on </w:t>
            </w:r>
            <w:r w:rsidR="00BD5B5D">
              <w:rPr>
                <w:rFonts w:cs="Arial"/>
                <w:b/>
                <w:bCs/>
              </w:rPr>
              <w:t>Order</w:t>
            </w:r>
            <w:r w:rsidR="001D6F7E">
              <w:rPr>
                <w:rFonts w:cs="Arial"/>
                <w:b/>
                <w:bCs/>
              </w:rPr>
              <w:t xml:space="preserve"> and </w:t>
            </w:r>
            <w:r w:rsidR="00BD5B5D">
              <w:rPr>
                <w:rFonts w:cs="Arial"/>
                <w:b/>
                <w:bCs/>
              </w:rPr>
              <w:t>Agreement</w:t>
            </w:r>
            <w:r w:rsidR="001D6F7E">
              <w:rPr>
                <w:rFonts w:cs="Arial"/>
                <w:b/>
                <w:bCs/>
              </w:rPr>
              <w:t xml:space="preserve"> Amen</w:t>
            </w:r>
            <w:r w:rsidR="00B96887">
              <w:rPr>
                <w:rFonts w:cs="Arial"/>
                <w:b/>
                <w:bCs/>
              </w:rPr>
              <w:t>d</w:t>
            </w:r>
            <w:r w:rsidR="001D6F7E">
              <w:rPr>
                <w:rFonts w:cs="Arial"/>
                <w:b/>
                <w:bCs/>
              </w:rPr>
              <w:t xml:space="preserve">/End </w:t>
            </w:r>
            <w:r>
              <w:rPr>
                <w:rFonts w:cs="Arial"/>
                <w:b/>
                <w:bCs/>
              </w:rPr>
              <w:t>Application</w:t>
            </w:r>
            <w:r w:rsidR="001D6F7E">
              <w:rPr>
                <w:rFonts w:cs="Arial"/>
                <w:b/>
                <w:bCs/>
              </w:rPr>
              <w:t>s</w:t>
            </w:r>
          </w:p>
        </w:tc>
      </w:tr>
      <w:tr w:rsidR="002D2253" w14:paraId="3B7805EC" w14:textId="77777777" w:rsidTr="002D2253">
        <w:trPr>
          <w:trHeight w:val="458"/>
        </w:trPr>
        <w:tc>
          <w:tcPr>
            <w:tcW w:w="1588" w:type="dxa"/>
          </w:tcPr>
          <w:p w14:paraId="2C3BEFA7" w14:textId="77777777" w:rsidR="002D2253" w:rsidRPr="004B6F52" w:rsidRDefault="002D2253" w:rsidP="00F961A8">
            <w:pPr>
              <w:ind w:right="-425"/>
              <w:jc w:val="both"/>
              <w:rPr>
                <w:rFonts w:cs="Arial"/>
                <w:b/>
                <w:bCs/>
              </w:rPr>
            </w:pPr>
            <w:r w:rsidRPr="004B6F52">
              <w:rPr>
                <w:rFonts w:cs="Arial"/>
                <w:b/>
                <w:bCs/>
              </w:rPr>
              <w:t>Community</w:t>
            </w:r>
          </w:p>
        </w:tc>
        <w:tc>
          <w:tcPr>
            <w:tcW w:w="992" w:type="dxa"/>
            <w:vAlign w:val="bottom"/>
          </w:tcPr>
          <w:p w14:paraId="0EC72F94" w14:textId="5CE669EE" w:rsidR="002D2253" w:rsidRPr="004B6F52" w:rsidRDefault="002D2253" w:rsidP="00F961A8">
            <w:pPr>
              <w:jc w:val="center"/>
              <w:rPr>
                <w:rFonts w:cs="Arial"/>
                <w:b/>
                <w:bCs/>
              </w:rPr>
            </w:pPr>
            <w:r>
              <w:rPr>
                <w:rFonts w:ascii="Arial" w:hAnsi="Arial" w:cs="Arial"/>
                <w:b/>
                <w:bCs/>
              </w:rPr>
              <w:t>CCP End</w:t>
            </w:r>
          </w:p>
        </w:tc>
        <w:tc>
          <w:tcPr>
            <w:tcW w:w="1418" w:type="dxa"/>
            <w:vAlign w:val="bottom"/>
          </w:tcPr>
          <w:p w14:paraId="12659BD5" w14:textId="13C9149F" w:rsidR="002D2253" w:rsidRPr="004B6F52" w:rsidRDefault="002D2253" w:rsidP="00F961A8">
            <w:pPr>
              <w:jc w:val="center"/>
              <w:rPr>
                <w:rFonts w:cs="Arial"/>
                <w:b/>
                <w:bCs/>
              </w:rPr>
            </w:pPr>
            <w:r>
              <w:rPr>
                <w:rFonts w:ascii="Arial" w:hAnsi="Arial" w:cs="Arial"/>
                <w:b/>
                <w:bCs/>
              </w:rPr>
              <w:t>CCP End &amp; CIM End</w:t>
            </w:r>
          </w:p>
        </w:tc>
        <w:tc>
          <w:tcPr>
            <w:tcW w:w="992" w:type="dxa"/>
            <w:vAlign w:val="bottom"/>
          </w:tcPr>
          <w:p w14:paraId="5F17FCC4" w14:textId="4C06D4F6" w:rsidR="002D2253" w:rsidRPr="004B6F52" w:rsidRDefault="002D2253" w:rsidP="00F961A8">
            <w:pPr>
              <w:jc w:val="center"/>
              <w:rPr>
                <w:rFonts w:cs="Arial"/>
                <w:b/>
                <w:bCs/>
              </w:rPr>
            </w:pPr>
            <w:r>
              <w:rPr>
                <w:rFonts w:ascii="Arial" w:hAnsi="Arial" w:cs="Arial"/>
                <w:b/>
                <w:bCs/>
              </w:rPr>
              <w:t>CIM Amend</w:t>
            </w:r>
          </w:p>
        </w:tc>
        <w:tc>
          <w:tcPr>
            <w:tcW w:w="992" w:type="dxa"/>
            <w:vAlign w:val="bottom"/>
          </w:tcPr>
          <w:p w14:paraId="3648C27F" w14:textId="45BB8B97" w:rsidR="002D2253" w:rsidRPr="004B6F52" w:rsidRDefault="002D2253" w:rsidP="00F961A8">
            <w:pPr>
              <w:jc w:val="center"/>
              <w:rPr>
                <w:rFonts w:cs="Arial"/>
                <w:b/>
                <w:bCs/>
              </w:rPr>
            </w:pPr>
            <w:r>
              <w:rPr>
                <w:rFonts w:ascii="Arial" w:hAnsi="Arial" w:cs="Arial"/>
                <w:b/>
                <w:bCs/>
              </w:rPr>
              <w:t>CIM End</w:t>
            </w:r>
          </w:p>
        </w:tc>
        <w:tc>
          <w:tcPr>
            <w:tcW w:w="1276" w:type="dxa"/>
            <w:vAlign w:val="bottom"/>
          </w:tcPr>
          <w:p w14:paraId="7D3258B0" w14:textId="46E6EF21" w:rsidR="002D2253" w:rsidRPr="004B6F52" w:rsidRDefault="002D2253" w:rsidP="00F961A8">
            <w:pPr>
              <w:jc w:val="right"/>
              <w:rPr>
                <w:rFonts w:cs="Arial"/>
                <w:b/>
                <w:bCs/>
              </w:rPr>
            </w:pPr>
            <w:r>
              <w:rPr>
                <w:rFonts w:ascii="Arial" w:hAnsi="Arial" w:cs="Arial"/>
                <w:b/>
                <w:bCs/>
              </w:rPr>
              <w:t>No Further Action</w:t>
            </w:r>
          </w:p>
        </w:tc>
        <w:tc>
          <w:tcPr>
            <w:tcW w:w="850" w:type="dxa"/>
          </w:tcPr>
          <w:p w14:paraId="434B513A" w14:textId="5D54118E" w:rsidR="002D2253" w:rsidRPr="00294D17" w:rsidRDefault="002D2253" w:rsidP="00F961A8">
            <w:pPr>
              <w:jc w:val="right"/>
              <w:rPr>
                <w:rFonts w:cs="Arial"/>
                <w:b/>
                <w:bCs/>
              </w:rPr>
            </w:pPr>
            <w:r w:rsidRPr="004B6F52">
              <w:rPr>
                <w:rFonts w:cs="Arial"/>
                <w:b/>
                <w:bCs/>
              </w:rPr>
              <w:t>Total</w:t>
            </w:r>
          </w:p>
        </w:tc>
      </w:tr>
      <w:tr w:rsidR="002D2253" w14:paraId="5A3BBB23" w14:textId="77777777" w:rsidTr="002D2253">
        <w:trPr>
          <w:trHeight w:val="222"/>
        </w:trPr>
        <w:tc>
          <w:tcPr>
            <w:tcW w:w="1588" w:type="dxa"/>
          </w:tcPr>
          <w:p w14:paraId="0687FF23" w14:textId="77777777" w:rsidR="002D2253" w:rsidRPr="00294D17" w:rsidRDefault="002D2253" w:rsidP="008742B2">
            <w:pPr>
              <w:ind w:right="-425"/>
              <w:jc w:val="both"/>
              <w:rPr>
                <w:rFonts w:cs="Arial"/>
                <w:b/>
                <w:bCs/>
              </w:rPr>
            </w:pPr>
            <w:r w:rsidRPr="00294D17">
              <w:rPr>
                <w:rFonts w:cs="Arial"/>
                <w:b/>
                <w:bCs/>
              </w:rPr>
              <w:t>Total</w:t>
            </w:r>
          </w:p>
        </w:tc>
        <w:tc>
          <w:tcPr>
            <w:tcW w:w="992" w:type="dxa"/>
            <w:vAlign w:val="bottom"/>
          </w:tcPr>
          <w:p w14:paraId="5B6FF504" w14:textId="1C22E9AC" w:rsidR="002D2253" w:rsidRPr="008742B2" w:rsidRDefault="002D2253" w:rsidP="008742B2">
            <w:pPr>
              <w:jc w:val="right"/>
              <w:rPr>
                <w:b/>
                <w:bCs/>
              </w:rPr>
            </w:pPr>
            <w:r w:rsidRPr="008742B2">
              <w:rPr>
                <w:rFonts w:cs="Arial"/>
                <w:b/>
                <w:bCs/>
              </w:rPr>
              <w:t>2</w:t>
            </w:r>
          </w:p>
        </w:tc>
        <w:tc>
          <w:tcPr>
            <w:tcW w:w="1418" w:type="dxa"/>
            <w:vAlign w:val="bottom"/>
          </w:tcPr>
          <w:p w14:paraId="2A53915F" w14:textId="026B24CF" w:rsidR="002D2253" w:rsidRPr="008742B2" w:rsidRDefault="002D2253" w:rsidP="008742B2">
            <w:pPr>
              <w:jc w:val="right"/>
              <w:rPr>
                <w:b/>
                <w:bCs/>
              </w:rPr>
            </w:pPr>
            <w:r w:rsidRPr="008742B2">
              <w:rPr>
                <w:rFonts w:cs="Arial"/>
                <w:b/>
                <w:bCs/>
              </w:rPr>
              <w:t>0</w:t>
            </w:r>
          </w:p>
        </w:tc>
        <w:tc>
          <w:tcPr>
            <w:tcW w:w="992" w:type="dxa"/>
            <w:vAlign w:val="bottom"/>
          </w:tcPr>
          <w:p w14:paraId="62FCB111" w14:textId="636FCAF3" w:rsidR="002D2253" w:rsidRPr="008742B2" w:rsidRDefault="002D2253" w:rsidP="008742B2">
            <w:pPr>
              <w:jc w:val="right"/>
              <w:rPr>
                <w:b/>
                <w:bCs/>
              </w:rPr>
            </w:pPr>
            <w:r w:rsidRPr="008742B2">
              <w:rPr>
                <w:rFonts w:cs="Arial"/>
                <w:b/>
                <w:bCs/>
              </w:rPr>
              <w:t>1</w:t>
            </w:r>
          </w:p>
        </w:tc>
        <w:tc>
          <w:tcPr>
            <w:tcW w:w="992" w:type="dxa"/>
            <w:vAlign w:val="bottom"/>
          </w:tcPr>
          <w:p w14:paraId="1321C4ED" w14:textId="52C9BD7F" w:rsidR="002D2253" w:rsidRPr="008742B2" w:rsidRDefault="002D2253" w:rsidP="008742B2">
            <w:pPr>
              <w:jc w:val="right"/>
              <w:rPr>
                <w:b/>
                <w:bCs/>
              </w:rPr>
            </w:pPr>
            <w:r w:rsidRPr="008742B2">
              <w:rPr>
                <w:rFonts w:cs="Arial"/>
                <w:b/>
                <w:bCs/>
              </w:rPr>
              <w:t>3</w:t>
            </w:r>
          </w:p>
        </w:tc>
        <w:tc>
          <w:tcPr>
            <w:tcW w:w="1276" w:type="dxa"/>
            <w:vAlign w:val="bottom"/>
          </w:tcPr>
          <w:p w14:paraId="70642BB8" w14:textId="0DC5A3E1" w:rsidR="002D2253" w:rsidRPr="008742B2" w:rsidRDefault="001D6F7E" w:rsidP="008742B2">
            <w:pPr>
              <w:jc w:val="right"/>
              <w:rPr>
                <w:b/>
                <w:bCs/>
              </w:rPr>
            </w:pPr>
            <w:r>
              <w:rPr>
                <w:rFonts w:cs="Arial"/>
                <w:b/>
                <w:bCs/>
              </w:rPr>
              <w:t>2</w:t>
            </w:r>
          </w:p>
        </w:tc>
        <w:tc>
          <w:tcPr>
            <w:tcW w:w="850" w:type="dxa"/>
            <w:vAlign w:val="bottom"/>
          </w:tcPr>
          <w:p w14:paraId="542CEAE2" w14:textId="3455354B" w:rsidR="002D2253" w:rsidRPr="008742B2" w:rsidRDefault="001D6F7E" w:rsidP="008742B2">
            <w:pPr>
              <w:jc w:val="right"/>
              <w:rPr>
                <w:b/>
                <w:bCs/>
              </w:rPr>
            </w:pPr>
            <w:r>
              <w:rPr>
                <w:rFonts w:cs="Arial"/>
                <w:b/>
                <w:bCs/>
              </w:rPr>
              <w:t>8</w:t>
            </w:r>
          </w:p>
        </w:tc>
      </w:tr>
    </w:tbl>
    <w:p w14:paraId="5681D27B" w14:textId="77777777" w:rsidR="00B23CEA" w:rsidRDefault="00B23CEA" w:rsidP="00CA7C48">
      <w:pPr>
        <w:spacing w:after="120" w:line="240" w:lineRule="auto"/>
        <w:ind w:left="794" w:hanging="794"/>
        <w:rPr>
          <w:b/>
          <w:sz w:val="16"/>
          <w:szCs w:val="16"/>
        </w:rPr>
      </w:pPr>
      <w:bookmarkStart w:id="14" w:name="_Hlk69483860"/>
    </w:p>
    <w:p w14:paraId="1B8999AA" w14:textId="09B610C6" w:rsidR="00CA7C48" w:rsidRPr="004B6F52" w:rsidRDefault="00CA7C48" w:rsidP="00CA7C48">
      <w:pPr>
        <w:spacing w:after="120" w:line="240" w:lineRule="auto"/>
        <w:ind w:left="794" w:hanging="794"/>
      </w:pPr>
      <w:r w:rsidRPr="004B6F52">
        <w:rPr>
          <w:b/>
          <w:sz w:val="16"/>
          <w:szCs w:val="16"/>
        </w:rPr>
        <w:t xml:space="preserve">Table </w:t>
      </w:r>
      <w:r w:rsidR="009A2F52">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w:t>
      </w:r>
      <w:r w:rsidR="00F83C14">
        <w:rPr>
          <w:sz w:val="16"/>
          <w:szCs w:val="16"/>
        </w:rPr>
        <w:t xml:space="preserve">1 </w:t>
      </w:r>
      <w:r w:rsidR="006E3C46">
        <w:rPr>
          <w:sz w:val="16"/>
          <w:szCs w:val="16"/>
        </w:rPr>
        <w:t xml:space="preserve">October </w:t>
      </w:r>
      <w:r>
        <w:rPr>
          <w:sz w:val="16"/>
          <w:szCs w:val="16"/>
        </w:rPr>
        <w:t>2021</w:t>
      </w:r>
      <w:r w:rsidRPr="004B6F52">
        <w:rPr>
          <w:sz w:val="16"/>
          <w:szCs w:val="16"/>
        </w:rPr>
        <w:t xml:space="preserve"> to </w:t>
      </w:r>
      <w:r w:rsidR="00F83C14">
        <w:rPr>
          <w:sz w:val="16"/>
          <w:szCs w:val="16"/>
        </w:rPr>
        <w:t>3</w:t>
      </w:r>
      <w:r w:rsidR="006E3C46">
        <w:rPr>
          <w:sz w:val="16"/>
          <w:szCs w:val="16"/>
        </w:rPr>
        <w:t xml:space="preserve">1 December </w:t>
      </w:r>
      <w:r>
        <w:rPr>
          <w:sz w:val="16"/>
          <w:szCs w:val="16"/>
        </w:rPr>
        <w:t>2021</w:t>
      </w:r>
      <w:r w:rsidR="00560109">
        <w:rPr>
          <w:rStyle w:val="FootnoteReference"/>
          <w:sz w:val="16"/>
          <w:szCs w:val="16"/>
        </w:rPr>
        <w:footnoteReference w:id="8"/>
      </w:r>
    </w:p>
    <w:tbl>
      <w:tblPr>
        <w:tblStyle w:val="TableGrid"/>
        <w:tblW w:w="0" w:type="auto"/>
        <w:tblInd w:w="108" w:type="dxa"/>
        <w:tblLayout w:type="fixed"/>
        <w:tblLook w:val="04A0" w:firstRow="1" w:lastRow="0" w:firstColumn="1" w:lastColumn="0" w:noHBand="0" w:noVBand="1"/>
      </w:tblPr>
      <w:tblGrid>
        <w:gridCol w:w="1496"/>
        <w:gridCol w:w="1793"/>
        <w:gridCol w:w="1227"/>
        <w:gridCol w:w="1183"/>
      </w:tblGrid>
      <w:tr w:rsidR="002577FE" w14:paraId="22AF7D29" w14:textId="77777777" w:rsidTr="002577FE">
        <w:tc>
          <w:tcPr>
            <w:tcW w:w="5699" w:type="dxa"/>
            <w:gridSpan w:val="4"/>
          </w:tcPr>
          <w:p w14:paraId="4A6BBFF2" w14:textId="35A52814" w:rsidR="002577FE" w:rsidRPr="004B6F52" w:rsidRDefault="002577FE" w:rsidP="001D51D4">
            <w:pPr>
              <w:jc w:val="center"/>
              <w:rPr>
                <w:rFonts w:cs="Arial"/>
                <w:b/>
                <w:bCs/>
              </w:rPr>
            </w:pPr>
            <w:r w:rsidRPr="0045533F">
              <w:rPr>
                <w:rFonts w:cs="Arial"/>
                <w:b/>
                <w:bCs/>
              </w:rPr>
              <w:t>Decisions of Voluntary Amend/End Applications</w:t>
            </w:r>
          </w:p>
        </w:tc>
      </w:tr>
      <w:tr w:rsidR="002577FE" w14:paraId="43F463AE" w14:textId="77777777" w:rsidTr="002577FE">
        <w:tc>
          <w:tcPr>
            <w:tcW w:w="1496" w:type="dxa"/>
          </w:tcPr>
          <w:p w14:paraId="416143FE" w14:textId="77777777" w:rsidR="002577FE" w:rsidRPr="004B6F52" w:rsidRDefault="002577FE" w:rsidP="001D51D4">
            <w:pPr>
              <w:ind w:right="-425"/>
              <w:jc w:val="both"/>
              <w:rPr>
                <w:rFonts w:cs="Arial"/>
                <w:b/>
                <w:bCs/>
              </w:rPr>
            </w:pPr>
            <w:r w:rsidRPr="004B6F52">
              <w:rPr>
                <w:rFonts w:cs="Arial"/>
                <w:b/>
                <w:bCs/>
              </w:rPr>
              <w:t>Community</w:t>
            </w:r>
          </w:p>
        </w:tc>
        <w:tc>
          <w:tcPr>
            <w:tcW w:w="1793" w:type="dxa"/>
          </w:tcPr>
          <w:p w14:paraId="566BF449" w14:textId="33534A3B" w:rsidR="002577FE" w:rsidRDefault="002577FE" w:rsidP="001D51D4">
            <w:pPr>
              <w:jc w:val="center"/>
              <w:rPr>
                <w:rFonts w:cs="Arial"/>
                <w:b/>
                <w:bCs/>
              </w:rPr>
            </w:pPr>
            <w:r>
              <w:rPr>
                <w:rFonts w:cs="Arial"/>
                <w:b/>
                <w:bCs/>
              </w:rPr>
              <w:t>VIM Amend</w:t>
            </w:r>
          </w:p>
        </w:tc>
        <w:tc>
          <w:tcPr>
            <w:tcW w:w="1227" w:type="dxa"/>
          </w:tcPr>
          <w:p w14:paraId="60E1B18D" w14:textId="2DC76B4B" w:rsidR="002577FE" w:rsidRPr="004B6F52" w:rsidRDefault="002577FE" w:rsidP="001D51D4">
            <w:pPr>
              <w:jc w:val="center"/>
              <w:rPr>
                <w:rFonts w:cs="Arial"/>
                <w:b/>
                <w:bCs/>
              </w:rPr>
            </w:pPr>
            <w:r>
              <w:rPr>
                <w:rFonts w:cs="Arial"/>
                <w:b/>
                <w:bCs/>
              </w:rPr>
              <w:t>VIM End</w:t>
            </w:r>
          </w:p>
        </w:tc>
        <w:tc>
          <w:tcPr>
            <w:tcW w:w="1183" w:type="dxa"/>
          </w:tcPr>
          <w:p w14:paraId="4D65582C" w14:textId="77777777" w:rsidR="002577FE" w:rsidRPr="00294D17" w:rsidRDefault="002577FE" w:rsidP="001D51D4">
            <w:pPr>
              <w:jc w:val="right"/>
              <w:rPr>
                <w:rFonts w:cs="Arial"/>
                <w:b/>
                <w:bCs/>
              </w:rPr>
            </w:pPr>
            <w:r w:rsidRPr="004B6F52">
              <w:rPr>
                <w:rFonts w:cs="Arial"/>
                <w:b/>
                <w:bCs/>
              </w:rPr>
              <w:t>Total</w:t>
            </w:r>
          </w:p>
        </w:tc>
      </w:tr>
      <w:tr w:rsidR="002577FE" w14:paraId="16A64130" w14:textId="77777777" w:rsidTr="002577FE">
        <w:tc>
          <w:tcPr>
            <w:tcW w:w="1496" w:type="dxa"/>
          </w:tcPr>
          <w:p w14:paraId="11A0DFEF" w14:textId="77777777" w:rsidR="002577FE" w:rsidRPr="00294D17" w:rsidRDefault="002577FE" w:rsidP="001D51D4">
            <w:pPr>
              <w:ind w:right="-425"/>
              <w:jc w:val="both"/>
              <w:rPr>
                <w:rFonts w:cs="Arial"/>
                <w:b/>
                <w:bCs/>
              </w:rPr>
            </w:pPr>
            <w:r w:rsidRPr="00294D17">
              <w:rPr>
                <w:rFonts w:cs="Arial"/>
                <w:b/>
                <w:bCs/>
              </w:rPr>
              <w:t>Total</w:t>
            </w:r>
          </w:p>
        </w:tc>
        <w:tc>
          <w:tcPr>
            <w:tcW w:w="1793" w:type="dxa"/>
          </w:tcPr>
          <w:p w14:paraId="171714C6" w14:textId="017708C0" w:rsidR="002577FE" w:rsidRPr="00900EA0" w:rsidRDefault="008742B2" w:rsidP="001D51D4">
            <w:pPr>
              <w:jc w:val="right"/>
              <w:rPr>
                <w:b/>
                <w:bCs/>
              </w:rPr>
            </w:pPr>
            <w:r>
              <w:rPr>
                <w:b/>
                <w:bCs/>
              </w:rPr>
              <w:t>3</w:t>
            </w:r>
          </w:p>
        </w:tc>
        <w:tc>
          <w:tcPr>
            <w:tcW w:w="1227" w:type="dxa"/>
            <w:vAlign w:val="bottom"/>
          </w:tcPr>
          <w:p w14:paraId="3DCD9CB4" w14:textId="64C61C8D" w:rsidR="002577FE" w:rsidRPr="00900EA0" w:rsidRDefault="008742B2" w:rsidP="001D51D4">
            <w:pPr>
              <w:jc w:val="right"/>
              <w:rPr>
                <w:b/>
                <w:bCs/>
              </w:rPr>
            </w:pPr>
            <w:r>
              <w:rPr>
                <w:b/>
                <w:bCs/>
              </w:rPr>
              <w:t>2</w:t>
            </w:r>
            <w:r w:rsidR="00694159">
              <w:rPr>
                <w:b/>
                <w:bCs/>
              </w:rPr>
              <w:t>4</w:t>
            </w:r>
          </w:p>
        </w:tc>
        <w:tc>
          <w:tcPr>
            <w:tcW w:w="1183" w:type="dxa"/>
            <w:vAlign w:val="bottom"/>
          </w:tcPr>
          <w:p w14:paraId="14017305" w14:textId="1F424722" w:rsidR="002577FE" w:rsidRPr="00900EA0" w:rsidRDefault="008742B2" w:rsidP="001D51D4">
            <w:pPr>
              <w:jc w:val="right"/>
              <w:rPr>
                <w:b/>
                <w:bCs/>
              </w:rPr>
            </w:pPr>
            <w:r>
              <w:rPr>
                <w:b/>
                <w:bCs/>
              </w:rPr>
              <w:t>2</w:t>
            </w:r>
            <w:r w:rsidR="00694159">
              <w:rPr>
                <w:b/>
                <w:bCs/>
              </w:rPr>
              <w:t>7</w:t>
            </w:r>
          </w:p>
        </w:tc>
      </w:tr>
    </w:tbl>
    <w:p w14:paraId="24FB8F05" w14:textId="77777777" w:rsidR="001E1BF3" w:rsidRDefault="001E1BF3" w:rsidP="00A42818">
      <w:pPr>
        <w:ind w:left="-142" w:right="-425"/>
        <w:jc w:val="both"/>
        <w:rPr>
          <w:rFonts w:cs="Arial"/>
        </w:rPr>
      </w:pPr>
    </w:p>
    <w:p w14:paraId="27F37C5D" w14:textId="6B5280E9" w:rsidR="00152C1E" w:rsidRDefault="00237AB1" w:rsidP="00A42818">
      <w:pPr>
        <w:ind w:left="-142" w:right="-425"/>
        <w:jc w:val="both"/>
        <w:rPr>
          <w:rFonts w:cs="Arial"/>
        </w:rPr>
      </w:pPr>
      <w:r w:rsidRPr="00CE1294">
        <w:rPr>
          <w:rFonts w:cs="Arial"/>
        </w:rPr>
        <w:lastRenderedPageBreak/>
        <w:t xml:space="preserve">During quarter </w:t>
      </w:r>
      <w:r w:rsidR="000C0A83">
        <w:rPr>
          <w:rFonts w:cs="Arial"/>
        </w:rPr>
        <w:t>54</w:t>
      </w:r>
      <w:r w:rsidRPr="00CE1294">
        <w:rPr>
          <w:rFonts w:cs="Arial"/>
        </w:rPr>
        <w:t xml:space="preserve"> the number of interactions highlighted in tables</w:t>
      </w:r>
      <w:r w:rsidR="00A242DD" w:rsidRPr="00CE1294">
        <w:rPr>
          <w:rFonts w:cs="Arial"/>
        </w:rPr>
        <w:t xml:space="preserve"> </w:t>
      </w:r>
      <w:r w:rsidR="00A42818">
        <w:rPr>
          <w:rFonts w:cs="Arial"/>
        </w:rPr>
        <w:t>4</w:t>
      </w:r>
      <w:r w:rsidR="00A242DD" w:rsidRPr="00CE1294">
        <w:rPr>
          <w:rFonts w:cs="Arial"/>
        </w:rPr>
        <w:t xml:space="preserve">, </w:t>
      </w:r>
      <w:r w:rsidR="00A42818">
        <w:rPr>
          <w:rFonts w:cs="Arial"/>
        </w:rPr>
        <w:t>5</w:t>
      </w:r>
      <w:r w:rsidR="0077183E">
        <w:rPr>
          <w:rFonts w:cs="Arial"/>
        </w:rPr>
        <w:t>,</w:t>
      </w:r>
      <w:r w:rsidR="00A242DD" w:rsidRPr="00CE1294">
        <w:rPr>
          <w:rFonts w:cs="Arial"/>
        </w:rPr>
        <w:t xml:space="preserve"> </w:t>
      </w:r>
      <w:r w:rsidR="00A42818">
        <w:rPr>
          <w:rFonts w:cs="Arial"/>
        </w:rPr>
        <w:t>6</w:t>
      </w:r>
      <w:r w:rsidR="009A2F52">
        <w:rPr>
          <w:rFonts w:cs="Arial"/>
        </w:rPr>
        <w:t>, 7</w:t>
      </w:r>
      <w:r w:rsidR="00A242DD" w:rsidRPr="00CE1294">
        <w:rPr>
          <w:rFonts w:cs="Arial"/>
        </w:rPr>
        <w:t xml:space="preserve"> </w:t>
      </w:r>
      <w:r w:rsidR="0077183E">
        <w:rPr>
          <w:rFonts w:cs="Arial"/>
        </w:rPr>
        <w:t xml:space="preserve">and </w:t>
      </w:r>
      <w:r w:rsidR="009A2F52">
        <w:rPr>
          <w:rFonts w:cs="Arial"/>
        </w:rPr>
        <w:t>8</w:t>
      </w:r>
      <w:r w:rsidR="0077183E">
        <w:rPr>
          <w:rFonts w:cs="Arial"/>
        </w:rPr>
        <w:t xml:space="preserve"> </w:t>
      </w:r>
      <w:r w:rsidRPr="00CE1294">
        <w:rPr>
          <w:rFonts w:cs="Arial"/>
        </w:rPr>
        <w:t xml:space="preserve">related to a total </w:t>
      </w:r>
      <w:r w:rsidRPr="009962B6">
        <w:rPr>
          <w:rFonts w:cs="Arial"/>
        </w:rPr>
        <w:t xml:space="preserve">of </w:t>
      </w:r>
      <w:r w:rsidR="00694159">
        <w:rPr>
          <w:rFonts w:cs="Arial"/>
        </w:rPr>
        <w:t>245</w:t>
      </w:r>
      <w:r w:rsidR="00694159" w:rsidRPr="009962B6">
        <w:rPr>
          <w:rFonts w:cs="Arial"/>
        </w:rPr>
        <w:t xml:space="preserve"> </w:t>
      </w:r>
      <w:r w:rsidRPr="009962B6">
        <w:rPr>
          <w:rFonts w:cs="Arial"/>
        </w:rPr>
        <w:t>clients (</w:t>
      </w:r>
      <w:r w:rsidR="00694159">
        <w:rPr>
          <w:rFonts w:cs="Arial"/>
        </w:rPr>
        <w:t>167</w:t>
      </w:r>
      <w:r w:rsidR="00694159" w:rsidRPr="009962B6">
        <w:rPr>
          <w:rFonts w:cs="Arial"/>
        </w:rPr>
        <w:t xml:space="preserve"> </w:t>
      </w:r>
      <w:r w:rsidRPr="009962B6">
        <w:rPr>
          <w:rFonts w:cs="Arial"/>
        </w:rPr>
        <w:t xml:space="preserve">female and </w:t>
      </w:r>
      <w:r w:rsidR="00694159">
        <w:rPr>
          <w:rFonts w:cs="Arial"/>
        </w:rPr>
        <w:t>78</w:t>
      </w:r>
      <w:r w:rsidR="00694159" w:rsidRPr="009962B6">
        <w:rPr>
          <w:rFonts w:cs="Arial"/>
        </w:rPr>
        <w:t xml:space="preserve"> </w:t>
      </w:r>
      <w:r w:rsidRPr="009962B6">
        <w:rPr>
          <w:rFonts w:cs="Arial"/>
        </w:rPr>
        <w:t>male)</w:t>
      </w:r>
      <w:r w:rsidR="00A42818" w:rsidRPr="009962B6">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144F6A80" w14:textId="77777777" w:rsidR="00152C1E" w:rsidRDefault="00152C1E" w:rsidP="00A42818">
      <w:pPr>
        <w:ind w:left="-142" w:right="-425"/>
        <w:jc w:val="both"/>
        <w:rPr>
          <w:rFonts w:cs="Arial"/>
        </w:rPr>
      </w:pPr>
    </w:p>
    <w:p w14:paraId="0D3868CF" w14:textId="3DCEE4D9" w:rsidR="00152C1E" w:rsidRPr="00B106D4" w:rsidRDefault="006264B4" w:rsidP="00867C36">
      <w:pPr>
        <w:pStyle w:val="ListParagraph"/>
        <w:numPr>
          <w:ilvl w:val="0"/>
          <w:numId w:val="10"/>
        </w:numPr>
        <w:spacing w:after="120"/>
        <w:ind w:right="-425"/>
        <w:jc w:val="both"/>
        <w:rPr>
          <w:rFonts w:ascii="Verdana" w:hAnsi="Verdana" w:cs="Arial"/>
          <w:sz w:val="20"/>
          <w:szCs w:val="20"/>
        </w:rPr>
      </w:pPr>
      <w:r w:rsidRPr="00B106D4">
        <w:rPr>
          <w:rFonts w:ascii="Verdana" w:hAnsi="Verdana" w:cs="Arial"/>
          <w:sz w:val="20"/>
          <w:szCs w:val="20"/>
        </w:rPr>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452E20B0" w:rsidR="00152C1E" w:rsidRPr="00B106D4" w:rsidRDefault="00152C1E" w:rsidP="00867C36">
      <w:pPr>
        <w:pStyle w:val="ListParagraph"/>
        <w:numPr>
          <w:ilvl w:val="0"/>
          <w:numId w:val="10"/>
        </w:numPr>
        <w:spacing w:after="120"/>
        <w:ind w:right="-425"/>
        <w:jc w:val="both"/>
        <w:rPr>
          <w:rFonts w:ascii="Verdana" w:hAnsi="Verdana" w:cs="Arial"/>
          <w:sz w:val="20"/>
          <w:szCs w:val="20"/>
        </w:rPr>
      </w:pPr>
      <w:r w:rsidRPr="00B106D4">
        <w:rPr>
          <w:rFonts w:ascii="Verdana" w:hAnsi="Verdana" w:cs="Arial"/>
          <w:sz w:val="20"/>
          <w:szCs w:val="20"/>
        </w:rPr>
        <w:t>A</w:t>
      </w:r>
      <w:r w:rsidR="00A42818" w:rsidRPr="00B106D4">
        <w:rPr>
          <w:rFonts w:ascii="Verdana" w:hAnsi="Verdana" w:cs="Arial"/>
          <w:sz w:val="20"/>
          <w:szCs w:val="20"/>
        </w:rPr>
        <w:t xml:space="preserve"> client may be placed on a CIM order at 60%, 75% or 90% and then have their percentage of income management reduced or increased later in the quarter.</w:t>
      </w:r>
    </w:p>
    <w:p w14:paraId="67B0C746" w14:textId="15A8E133" w:rsidR="00152C1E" w:rsidRPr="00B106D4" w:rsidRDefault="00A42818" w:rsidP="00867C36">
      <w:pPr>
        <w:pStyle w:val="ListParagraph"/>
        <w:numPr>
          <w:ilvl w:val="0"/>
          <w:numId w:val="10"/>
        </w:numPr>
        <w:spacing w:after="120"/>
        <w:ind w:right="-425"/>
        <w:jc w:val="both"/>
        <w:rPr>
          <w:rFonts w:ascii="Verdana" w:hAnsi="Verdana" w:cs="Arial"/>
          <w:sz w:val="20"/>
          <w:szCs w:val="20"/>
        </w:rPr>
      </w:pPr>
      <w:r w:rsidRPr="00B106D4">
        <w:rPr>
          <w:rFonts w:ascii="Verdana" w:hAnsi="Verdana" w:cs="Arial"/>
          <w:sz w:val="20"/>
          <w:szCs w:val="20"/>
        </w:rPr>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867C36">
      <w:pPr>
        <w:pStyle w:val="ListParagraph"/>
        <w:numPr>
          <w:ilvl w:val="0"/>
          <w:numId w:val="10"/>
        </w:numPr>
        <w:spacing w:after="120"/>
        <w:ind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7BD58CD8" w14:textId="4587639A" w:rsidR="00F71FA9" w:rsidRDefault="00BC1779" w:rsidP="00237AB1">
      <w:pPr>
        <w:ind w:left="-142" w:right="-425"/>
        <w:jc w:val="both"/>
      </w:pPr>
      <w:r w:rsidRPr="00F71FA9">
        <w:t>The nuanced decision</w:t>
      </w:r>
      <w:r w:rsidR="0087406D">
        <w:t>-</w:t>
      </w:r>
      <w:r w:rsidRPr="00F71FA9">
        <w:t xml:space="preserve">making of Commissioners at conference </w:t>
      </w:r>
      <w:r>
        <w:t xml:space="preserve">is </w:t>
      </w:r>
      <w:r w:rsidRPr="00F71FA9">
        <w:t>reflective of each client</w:t>
      </w:r>
      <w:r>
        <w:t>’</w:t>
      </w:r>
      <w:r w:rsidRPr="00F71FA9">
        <w:t xml:space="preserve">s individual circumstances. </w:t>
      </w:r>
      <w:r w:rsidR="00031A6E">
        <w:t xml:space="preserve">Clients with </w:t>
      </w:r>
      <w:r w:rsidR="00430499">
        <w:t xml:space="preserve">complex and multifaceted </w:t>
      </w:r>
      <w:r w:rsidR="00031A6E">
        <w:t xml:space="preserve">issues often require solutions which are best coordinated with </w:t>
      </w:r>
      <w:r w:rsidR="00E9725A">
        <w:t xml:space="preserve">multiple service providers who </w:t>
      </w:r>
      <w:r w:rsidR="006F5933">
        <w:t>can</w:t>
      </w:r>
      <w:r w:rsidR="00E9725A">
        <w:t xml:space="preserve"> </w:t>
      </w:r>
      <w:r w:rsidR="00031A6E">
        <w:t>extend</w:t>
      </w:r>
      <w:r w:rsidR="00E9725A">
        <w:t xml:space="preserve"> assistance</w:t>
      </w:r>
      <w:r w:rsidR="00031A6E">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volving, where appropriate,</w:t>
      </w:r>
      <w:r w:rsidR="00430499">
        <w:t xml:space="preserve"> famil</w:t>
      </w:r>
      <w:r w:rsidR="00F10787">
        <w:t xml:space="preserve">y and clan group members at conference, together with a network of relevant </w:t>
      </w:r>
      <w:r w:rsidR="00430499">
        <w:t>service providers</w:t>
      </w:r>
      <w:r w:rsidR="00B2674A">
        <w:t xml:space="preserve">. </w:t>
      </w:r>
      <w:r w:rsidR="0028679C">
        <w:t>The Commissioners</w:t>
      </w:r>
      <w:r w:rsidR="0087406D">
        <w:t>,</w:t>
      </w:r>
      <w:r w:rsidR="0028679C">
        <w:t xml:space="preserve"> when making decision</w:t>
      </w:r>
      <w:r w:rsidR="00926217">
        <w:t>s</w:t>
      </w:r>
      <w:r w:rsidR="0087406D">
        <w:t>,</w:t>
      </w:r>
      <w:r w:rsidR="0028679C">
        <w:t xml:space="preserve"> consider </w:t>
      </w:r>
      <w:r w:rsidR="00C27A77">
        <w:t>a variety of options including</w:t>
      </w:r>
      <w:r w:rsidR="0028679C">
        <w:t xml:space="preserve"> not putting clients on case plans when they already have an appropriate referral in place, not making a referral because of the limited availability of appropriate support services to address the client’s specific needs and the use of </w:t>
      </w:r>
      <w:r w:rsidR="0087406D">
        <w:t>‘</w:t>
      </w:r>
      <w:r w:rsidR="0028679C">
        <w:t>No Further Action</w:t>
      </w:r>
      <w:r w:rsidR="0087406D">
        <w:t>’</w:t>
      </w:r>
      <w:r w:rsidR="0028679C">
        <w:t xml:space="preserve"> being made because clients are already showing insights into their own behaviours and have taken personal responsibility to address the issue of concern before the matter proceeded to conference. </w:t>
      </w:r>
      <w:r w:rsidR="00B2674A">
        <w:t xml:space="preserve">This holistic approach </w:t>
      </w:r>
      <w:r w:rsidR="00F10787">
        <w:t>a</w:t>
      </w:r>
      <w:r w:rsidR="00B2674A">
        <w:t xml:space="preserve">ssists in creating </w:t>
      </w:r>
      <w:r w:rsidR="00F10787">
        <w:t>a more informative, culturally relevant and empowering</w:t>
      </w:r>
      <w:r w:rsidR="00430499">
        <w:t xml:space="preserve"> </w:t>
      </w:r>
      <w:r w:rsidR="00F10787">
        <w:t>experience for the</w:t>
      </w:r>
      <w:r w:rsidR="00CC70BB">
        <w:t xml:space="preserve"> </w:t>
      </w:r>
      <w:r w:rsidR="00430499">
        <w:t>client</w:t>
      </w:r>
      <w:r w:rsidR="00031A6E">
        <w:t xml:space="preserve"> </w:t>
      </w:r>
      <w:r w:rsidR="005B7F9C">
        <w:t>so they can</w:t>
      </w:r>
      <w:r w:rsidR="00B2674A">
        <w:t xml:space="preserve"> </w:t>
      </w:r>
      <w:r w:rsidR="00031A6E">
        <w:t>make the necessary changes in their lives to provide for a safe and secure environment for themselves and their families.</w:t>
      </w:r>
    </w:p>
    <w:p w14:paraId="7604EF59" w14:textId="77777777" w:rsidR="000440CF" w:rsidRDefault="000440CF" w:rsidP="00237AB1">
      <w:pPr>
        <w:ind w:left="-142" w:right="-425"/>
        <w:jc w:val="both"/>
        <w:rPr>
          <w:rFonts w:cs="Arial"/>
        </w:rPr>
      </w:pPr>
    </w:p>
    <w:p w14:paraId="6F65C7CD" w14:textId="42147EE3" w:rsidR="00B9722A" w:rsidRPr="00C34899" w:rsidRDefault="00B9722A" w:rsidP="00C34899">
      <w:pPr>
        <w:tabs>
          <w:tab w:val="left" w:pos="1134"/>
        </w:tabs>
        <w:ind w:left="-142" w:right="-425"/>
        <w:jc w:val="both"/>
      </w:pPr>
      <w:r w:rsidRPr="00C34899">
        <w:t xml:space="preserve">The types of client interactions evident during quarter </w:t>
      </w:r>
      <w:r w:rsidR="000C0A83">
        <w:t>54</w:t>
      </w:r>
      <w:r w:rsidRPr="00C34899">
        <w:t xml:space="preserve"> reinforce the Commission’s belief that our clients are displaying a willingness to change</w:t>
      </w:r>
      <w:r w:rsidR="005B7F9C">
        <w:t xml:space="preserve"> and taking personal responsibility for their wellbeing and </w:t>
      </w:r>
      <w:r w:rsidR="00B301F1">
        <w:t xml:space="preserve">the wellbeing of their </w:t>
      </w:r>
      <w:r w:rsidR="002872AF">
        <w:t>families</w:t>
      </w:r>
      <w:r w:rsidRPr="00C34899">
        <w:t xml:space="preserve">. The following highlights for the period </w:t>
      </w:r>
      <w:r w:rsidR="00F83C14">
        <w:t xml:space="preserve">1 </w:t>
      </w:r>
      <w:r w:rsidR="00A91122">
        <w:t>October</w:t>
      </w:r>
      <w:r w:rsidR="00A91122" w:rsidRPr="00C34899">
        <w:t xml:space="preserve"> </w:t>
      </w:r>
      <w:r w:rsidRPr="00C34899">
        <w:t xml:space="preserve">2021 to </w:t>
      </w:r>
      <w:r w:rsidR="00F83C14">
        <w:t>3</w:t>
      </w:r>
      <w:r w:rsidR="00A91122">
        <w:t xml:space="preserve">1 December </w:t>
      </w:r>
      <w:r w:rsidRPr="00C34899">
        <w:t>2021 support our assertion:</w:t>
      </w:r>
    </w:p>
    <w:p w14:paraId="689B3599" w14:textId="77777777" w:rsidR="00C34899" w:rsidRPr="0099478F" w:rsidRDefault="00C34899" w:rsidP="0099478F">
      <w:pPr>
        <w:ind w:left="-142" w:right="-425"/>
        <w:jc w:val="both"/>
        <w:rPr>
          <w:rFonts w:cs="Arial"/>
        </w:rPr>
      </w:pPr>
    </w:p>
    <w:p w14:paraId="2EAF0566" w14:textId="539E8DD3" w:rsidR="00B9722A" w:rsidRPr="0099478F" w:rsidRDefault="009B3AF7" w:rsidP="00867C36">
      <w:pPr>
        <w:pStyle w:val="ListParagraph"/>
        <w:numPr>
          <w:ilvl w:val="0"/>
          <w:numId w:val="10"/>
        </w:numPr>
        <w:spacing w:after="120"/>
        <w:ind w:right="-425"/>
        <w:jc w:val="both"/>
        <w:rPr>
          <w:rFonts w:ascii="Verdana" w:hAnsi="Verdana" w:cs="Arial"/>
          <w:sz w:val="20"/>
          <w:szCs w:val="20"/>
        </w:rPr>
      </w:pPr>
      <w:r>
        <w:rPr>
          <w:rFonts w:ascii="Verdana" w:hAnsi="Verdana" w:cs="Arial"/>
          <w:sz w:val="20"/>
          <w:szCs w:val="20"/>
        </w:rPr>
        <w:t>4</w:t>
      </w:r>
      <w:r w:rsidR="00271A87">
        <w:rPr>
          <w:rFonts w:ascii="Verdana" w:hAnsi="Verdana" w:cs="Arial"/>
          <w:sz w:val="20"/>
          <w:szCs w:val="20"/>
        </w:rPr>
        <w:t>0</w:t>
      </w:r>
      <w:r w:rsidRPr="0099478F">
        <w:rPr>
          <w:rFonts w:ascii="Verdana" w:hAnsi="Verdana" w:cs="Arial"/>
          <w:sz w:val="20"/>
          <w:szCs w:val="20"/>
        </w:rPr>
        <w:t xml:space="preserve"> </w:t>
      </w:r>
      <w:r w:rsidR="00B9722A" w:rsidRPr="0099478F">
        <w:rPr>
          <w:rFonts w:ascii="Verdana" w:hAnsi="Verdana" w:cs="Arial"/>
          <w:sz w:val="20"/>
          <w:szCs w:val="20"/>
        </w:rPr>
        <w:t xml:space="preserve">percent of clients entered into a Family Responsibilities Agreement </w:t>
      </w:r>
      <w:r w:rsidR="000E0C2F">
        <w:rPr>
          <w:rFonts w:ascii="Verdana" w:hAnsi="Verdana" w:cs="Arial"/>
          <w:sz w:val="20"/>
          <w:szCs w:val="20"/>
        </w:rPr>
        <w:t>or</w:t>
      </w:r>
      <w:r w:rsidR="005B7F9C">
        <w:rPr>
          <w:rFonts w:ascii="Verdana" w:hAnsi="Verdana" w:cs="Arial"/>
          <w:sz w:val="20"/>
          <w:szCs w:val="20"/>
        </w:rPr>
        <w:t xml:space="preserve"> self</w:t>
      </w:r>
      <w:r w:rsidR="00B351D8">
        <w:rPr>
          <w:rFonts w:ascii="Verdana" w:hAnsi="Verdana" w:cs="Arial"/>
          <w:sz w:val="20"/>
          <w:szCs w:val="20"/>
        </w:rPr>
        <w:t>-</w:t>
      </w:r>
      <w:r w:rsidR="005B7F9C">
        <w:rPr>
          <w:rFonts w:ascii="Verdana" w:hAnsi="Verdana" w:cs="Arial"/>
          <w:sz w:val="20"/>
          <w:szCs w:val="20"/>
        </w:rPr>
        <w:t>referred to the FRC and sought</w:t>
      </w:r>
      <w:r w:rsidR="000E0C2F">
        <w:rPr>
          <w:rFonts w:ascii="Verdana" w:hAnsi="Verdana" w:cs="Arial"/>
          <w:sz w:val="20"/>
          <w:szCs w:val="20"/>
        </w:rPr>
        <w:t xml:space="preserve"> </w:t>
      </w:r>
      <w:r w:rsidR="00B9722A" w:rsidRPr="0099478F">
        <w:rPr>
          <w:rFonts w:ascii="Verdana" w:hAnsi="Verdana" w:cs="Arial"/>
          <w:sz w:val="20"/>
          <w:szCs w:val="20"/>
        </w:rPr>
        <w:t xml:space="preserve">a </w:t>
      </w:r>
      <w:r w:rsidR="00AC48DA">
        <w:rPr>
          <w:rFonts w:ascii="Verdana" w:hAnsi="Verdana" w:cs="Arial"/>
          <w:sz w:val="20"/>
          <w:szCs w:val="20"/>
        </w:rPr>
        <w:t>v</w:t>
      </w:r>
      <w:r w:rsidR="00B9722A" w:rsidRPr="0099478F">
        <w:rPr>
          <w:rFonts w:ascii="Verdana" w:hAnsi="Verdana" w:cs="Arial"/>
          <w:sz w:val="20"/>
          <w:szCs w:val="20"/>
        </w:rPr>
        <w:t xml:space="preserve">oluntary </w:t>
      </w:r>
      <w:r w:rsidR="00AC48DA">
        <w:rPr>
          <w:rFonts w:ascii="Verdana" w:hAnsi="Verdana" w:cs="Arial"/>
          <w:sz w:val="20"/>
          <w:szCs w:val="20"/>
        </w:rPr>
        <w:t>a</w:t>
      </w:r>
      <w:r w:rsidR="00B9722A" w:rsidRPr="0099478F">
        <w:rPr>
          <w:rFonts w:ascii="Verdana" w:hAnsi="Verdana" w:cs="Arial"/>
          <w:sz w:val="20"/>
          <w:szCs w:val="20"/>
        </w:rPr>
        <w:t xml:space="preserve">greement during the </w:t>
      </w:r>
      <w:r w:rsidR="0099478F" w:rsidRPr="0099478F">
        <w:rPr>
          <w:rFonts w:ascii="Verdana" w:hAnsi="Verdana" w:cs="Arial"/>
          <w:sz w:val="20"/>
          <w:szCs w:val="20"/>
        </w:rPr>
        <w:t>quarter</w:t>
      </w:r>
      <w:r w:rsidR="00C34899" w:rsidRPr="0099478F">
        <w:rPr>
          <w:rFonts w:ascii="Verdana" w:hAnsi="Verdana" w:cs="Arial"/>
          <w:sz w:val="20"/>
          <w:szCs w:val="20"/>
        </w:rPr>
        <w:t>;</w:t>
      </w:r>
    </w:p>
    <w:p w14:paraId="0B6EF2B3" w14:textId="7D763764" w:rsidR="00B9722A" w:rsidRPr="0099478F" w:rsidRDefault="000E0C2F" w:rsidP="00867C36">
      <w:pPr>
        <w:pStyle w:val="ListParagraph"/>
        <w:numPr>
          <w:ilvl w:val="1"/>
          <w:numId w:val="10"/>
        </w:numPr>
        <w:spacing w:after="120"/>
        <w:ind w:right="-425"/>
        <w:jc w:val="both"/>
        <w:rPr>
          <w:rFonts w:ascii="Verdana" w:hAnsi="Verdana" w:cs="Arial"/>
          <w:sz w:val="20"/>
          <w:szCs w:val="20"/>
        </w:rPr>
      </w:pPr>
      <w:r>
        <w:rPr>
          <w:rFonts w:ascii="Verdana" w:hAnsi="Verdana" w:cs="Arial"/>
          <w:sz w:val="20"/>
          <w:szCs w:val="20"/>
        </w:rPr>
        <w:t>A</w:t>
      </w:r>
      <w:r w:rsidR="00B9722A" w:rsidRPr="0099478F">
        <w:rPr>
          <w:rFonts w:ascii="Verdana" w:hAnsi="Verdana" w:cs="Arial"/>
          <w:sz w:val="20"/>
          <w:szCs w:val="20"/>
        </w:rPr>
        <w:t xml:space="preserve">s a subset of the above, </w:t>
      </w:r>
      <w:r w:rsidR="006C5114">
        <w:rPr>
          <w:rFonts w:ascii="Verdana" w:hAnsi="Verdana" w:cs="Arial"/>
          <w:sz w:val="20"/>
          <w:szCs w:val="20"/>
        </w:rPr>
        <w:t>2</w:t>
      </w:r>
      <w:r w:rsidR="00271A87">
        <w:rPr>
          <w:rFonts w:ascii="Verdana" w:hAnsi="Verdana" w:cs="Arial"/>
          <w:sz w:val="20"/>
          <w:szCs w:val="20"/>
        </w:rPr>
        <w:t>4</w:t>
      </w:r>
      <w:r w:rsidR="006C5114" w:rsidRPr="0099478F">
        <w:rPr>
          <w:rFonts w:ascii="Verdana" w:hAnsi="Verdana" w:cs="Arial"/>
          <w:sz w:val="20"/>
          <w:szCs w:val="20"/>
        </w:rPr>
        <w:t xml:space="preserve"> </w:t>
      </w:r>
      <w:r w:rsidR="00B9722A" w:rsidRPr="0099478F">
        <w:rPr>
          <w:rFonts w:ascii="Verdana" w:hAnsi="Verdana" w:cs="Arial"/>
          <w:sz w:val="20"/>
          <w:szCs w:val="20"/>
        </w:rPr>
        <w:t xml:space="preserve">percent of clients specifically entered into a </w:t>
      </w:r>
      <w:r w:rsidR="00AC48DA">
        <w:rPr>
          <w:rFonts w:ascii="Verdana" w:hAnsi="Verdana" w:cs="Arial"/>
          <w:sz w:val="20"/>
          <w:szCs w:val="20"/>
        </w:rPr>
        <w:t>v</w:t>
      </w:r>
      <w:r w:rsidR="00B9722A" w:rsidRPr="0099478F">
        <w:rPr>
          <w:rFonts w:ascii="Verdana" w:hAnsi="Verdana" w:cs="Arial"/>
          <w:sz w:val="20"/>
          <w:szCs w:val="20"/>
        </w:rPr>
        <w:t xml:space="preserve">oluntary </w:t>
      </w:r>
      <w:r w:rsidR="00AC48DA">
        <w:rPr>
          <w:rFonts w:ascii="Verdana" w:hAnsi="Verdana" w:cs="Arial"/>
          <w:sz w:val="20"/>
          <w:szCs w:val="20"/>
        </w:rPr>
        <w:t>a</w:t>
      </w:r>
      <w:r w:rsidR="00B9722A" w:rsidRPr="0099478F">
        <w:rPr>
          <w:rFonts w:ascii="Verdana" w:hAnsi="Verdana" w:cs="Arial"/>
          <w:sz w:val="20"/>
          <w:szCs w:val="20"/>
        </w:rPr>
        <w:t xml:space="preserve">greement with either no other interactions, or a decision for </w:t>
      </w:r>
      <w:r>
        <w:rPr>
          <w:rFonts w:ascii="Verdana" w:hAnsi="Verdana" w:cs="Arial"/>
          <w:sz w:val="20"/>
          <w:szCs w:val="20"/>
        </w:rPr>
        <w:t>n</w:t>
      </w:r>
      <w:r w:rsidR="00B9722A" w:rsidRPr="0099478F">
        <w:rPr>
          <w:rFonts w:ascii="Verdana" w:hAnsi="Verdana" w:cs="Arial"/>
          <w:sz w:val="20"/>
          <w:szCs w:val="20"/>
        </w:rPr>
        <w:t xml:space="preserve">o </w:t>
      </w:r>
      <w:r>
        <w:rPr>
          <w:rFonts w:ascii="Verdana" w:hAnsi="Verdana" w:cs="Arial"/>
          <w:sz w:val="20"/>
          <w:szCs w:val="20"/>
        </w:rPr>
        <w:t>f</w:t>
      </w:r>
      <w:r w:rsidR="00B9722A" w:rsidRPr="0099478F">
        <w:rPr>
          <w:rFonts w:ascii="Verdana" w:hAnsi="Verdana" w:cs="Arial"/>
          <w:sz w:val="20"/>
          <w:szCs w:val="20"/>
        </w:rPr>
        <w:t xml:space="preserve">urther </w:t>
      </w:r>
      <w:r>
        <w:rPr>
          <w:rFonts w:ascii="Verdana" w:hAnsi="Verdana" w:cs="Arial"/>
          <w:sz w:val="20"/>
          <w:szCs w:val="20"/>
        </w:rPr>
        <w:t>a</w:t>
      </w:r>
      <w:r w:rsidR="00B9722A" w:rsidRPr="0099478F">
        <w:rPr>
          <w:rFonts w:ascii="Verdana" w:hAnsi="Verdana" w:cs="Arial"/>
          <w:sz w:val="20"/>
          <w:szCs w:val="20"/>
        </w:rPr>
        <w:t>ction</w:t>
      </w:r>
      <w:r w:rsidR="00C34899" w:rsidRPr="0099478F">
        <w:rPr>
          <w:rFonts w:ascii="Verdana" w:hAnsi="Verdana" w:cs="Arial"/>
          <w:sz w:val="20"/>
          <w:szCs w:val="20"/>
        </w:rPr>
        <w:t>;</w:t>
      </w:r>
    </w:p>
    <w:p w14:paraId="3A616BEF" w14:textId="522FAC44" w:rsidR="00B9722A" w:rsidRPr="0099478F" w:rsidRDefault="00B43DA5" w:rsidP="00867C36">
      <w:pPr>
        <w:pStyle w:val="ListParagraph"/>
        <w:numPr>
          <w:ilvl w:val="0"/>
          <w:numId w:val="10"/>
        </w:numPr>
        <w:spacing w:after="120"/>
        <w:ind w:right="-425"/>
        <w:jc w:val="both"/>
        <w:rPr>
          <w:rFonts w:ascii="Verdana" w:hAnsi="Verdana" w:cs="Arial"/>
          <w:sz w:val="20"/>
          <w:szCs w:val="20"/>
        </w:rPr>
      </w:pPr>
      <w:r>
        <w:rPr>
          <w:rFonts w:ascii="Verdana" w:hAnsi="Verdana" w:cs="Arial"/>
          <w:sz w:val="20"/>
          <w:szCs w:val="20"/>
        </w:rPr>
        <w:t>2</w:t>
      </w:r>
      <w:r w:rsidR="00271A87">
        <w:rPr>
          <w:rFonts w:ascii="Verdana" w:hAnsi="Verdana" w:cs="Arial"/>
          <w:sz w:val="20"/>
          <w:szCs w:val="20"/>
        </w:rPr>
        <w:t>0</w:t>
      </w:r>
      <w:r w:rsidR="006C5114" w:rsidRPr="0099478F">
        <w:rPr>
          <w:rFonts w:ascii="Verdana" w:hAnsi="Verdana" w:cs="Arial"/>
          <w:sz w:val="20"/>
          <w:szCs w:val="20"/>
        </w:rPr>
        <w:t xml:space="preserve"> </w:t>
      </w:r>
      <w:r w:rsidR="00B9722A" w:rsidRPr="0099478F">
        <w:rPr>
          <w:rFonts w:ascii="Verdana" w:hAnsi="Verdana" w:cs="Arial"/>
          <w:sz w:val="20"/>
          <w:szCs w:val="20"/>
        </w:rPr>
        <w:t xml:space="preserve">percent of clients did not require any further action on their matter/s, where </w:t>
      </w:r>
      <w:r w:rsidR="001E3C39">
        <w:rPr>
          <w:rFonts w:ascii="Verdana" w:hAnsi="Verdana" w:cs="Arial"/>
          <w:sz w:val="20"/>
          <w:szCs w:val="20"/>
        </w:rPr>
        <w:t>n</w:t>
      </w:r>
      <w:r w:rsidR="00B9722A" w:rsidRPr="0099478F">
        <w:rPr>
          <w:rFonts w:ascii="Verdana" w:hAnsi="Verdana" w:cs="Arial"/>
          <w:sz w:val="20"/>
          <w:szCs w:val="20"/>
        </w:rPr>
        <w:t xml:space="preserve">o </w:t>
      </w:r>
      <w:r w:rsidR="001E3C39">
        <w:rPr>
          <w:rFonts w:ascii="Verdana" w:hAnsi="Verdana" w:cs="Arial"/>
          <w:sz w:val="20"/>
          <w:szCs w:val="20"/>
        </w:rPr>
        <w:t>f</w:t>
      </w:r>
      <w:r w:rsidR="00B9722A" w:rsidRPr="0099478F">
        <w:rPr>
          <w:rFonts w:ascii="Verdana" w:hAnsi="Verdana" w:cs="Arial"/>
          <w:sz w:val="20"/>
          <w:szCs w:val="20"/>
        </w:rPr>
        <w:t xml:space="preserve">urther </w:t>
      </w:r>
      <w:r w:rsidR="001E3C39">
        <w:rPr>
          <w:rFonts w:ascii="Verdana" w:hAnsi="Verdana" w:cs="Arial"/>
          <w:sz w:val="20"/>
          <w:szCs w:val="20"/>
        </w:rPr>
        <w:t>a</w:t>
      </w:r>
      <w:r w:rsidR="00B9722A" w:rsidRPr="0099478F">
        <w:rPr>
          <w:rFonts w:ascii="Verdana" w:hAnsi="Verdana" w:cs="Arial"/>
          <w:sz w:val="20"/>
          <w:szCs w:val="20"/>
        </w:rPr>
        <w:t>ction was the only outcome</w:t>
      </w:r>
      <w:r w:rsidR="00C34899" w:rsidRPr="0099478F">
        <w:rPr>
          <w:rFonts w:ascii="Verdana" w:hAnsi="Verdana" w:cs="Arial"/>
          <w:sz w:val="20"/>
          <w:szCs w:val="20"/>
        </w:rPr>
        <w:t>;</w:t>
      </w:r>
      <w:r w:rsidR="00826269">
        <w:rPr>
          <w:rFonts w:ascii="Verdana" w:hAnsi="Verdana" w:cs="Arial"/>
          <w:sz w:val="20"/>
          <w:szCs w:val="20"/>
        </w:rPr>
        <w:t xml:space="preserve"> and</w:t>
      </w:r>
    </w:p>
    <w:p w14:paraId="46767E6D" w14:textId="09F08400" w:rsidR="00B9722A" w:rsidRPr="0099478F" w:rsidRDefault="006C5114" w:rsidP="00867C36">
      <w:pPr>
        <w:pStyle w:val="ListParagraph"/>
        <w:numPr>
          <w:ilvl w:val="0"/>
          <w:numId w:val="10"/>
        </w:numPr>
        <w:spacing w:after="120"/>
        <w:ind w:right="-425"/>
        <w:jc w:val="both"/>
        <w:rPr>
          <w:rFonts w:ascii="Verdana" w:hAnsi="Verdana" w:cs="Arial"/>
          <w:sz w:val="20"/>
          <w:szCs w:val="20"/>
        </w:rPr>
      </w:pPr>
      <w:r>
        <w:rPr>
          <w:rFonts w:ascii="Verdana" w:hAnsi="Verdana" w:cs="Arial"/>
          <w:sz w:val="20"/>
          <w:szCs w:val="20"/>
        </w:rPr>
        <w:t>1</w:t>
      </w:r>
      <w:r w:rsidR="00271A87">
        <w:rPr>
          <w:rFonts w:ascii="Verdana" w:hAnsi="Verdana" w:cs="Arial"/>
          <w:sz w:val="20"/>
          <w:szCs w:val="20"/>
        </w:rPr>
        <w:t>1</w:t>
      </w:r>
      <w:r w:rsidRPr="0099478F">
        <w:rPr>
          <w:rFonts w:ascii="Verdana" w:hAnsi="Verdana" w:cs="Arial"/>
          <w:sz w:val="20"/>
          <w:szCs w:val="20"/>
        </w:rPr>
        <w:t xml:space="preserve"> </w:t>
      </w:r>
      <w:r w:rsidR="00B9722A" w:rsidRPr="0099478F">
        <w:rPr>
          <w:rFonts w:ascii="Verdana" w:hAnsi="Verdana" w:cs="Arial"/>
          <w:sz w:val="20"/>
          <w:szCs w:val="20"/>
        </w:rPr>
        <w:t>percent of clients were considered to only require a reprimand for their actions</w:t>
      </w:r>
      <w:r w:rsidR="00C34899" w:rsidRPr="0099478F">
        <w:rPr>
          <w:rFonts w:ascii="Verdana" w:hAnsi="Verdana" w:cs="Arial"/>
          <w:sz w:val="20"/>
          <w:szCs w:val="20"/>
        </w:rPr>
        <w:t>.</w:t>
      </w:r>
    </w:p>
    <w:p w14:paraId="52967A18" w14:textId="77777777" w:rsidR="00926217" w:rsidRDefault="00926217" w:rsidP="005D6EF0">
      <w:pPr>
        <w:tabs>
          <w:tab w:val="decimal" w:pos="284"/>
        </w:tabs>
        <w:ind w:left="-142" w:right="-425"/>
        <w:jc w:val="both"/>
        <w:rPr>
          <w:rFonts w:cs="Arial"/>
        </w:rPr>
      </w:pPr>
    </w:p>
    <w:p w14:paraId="78EF6562" w14:textId="3068BEAB" w:rsidR="00240AAF" w:rsidRPr="00585AE9" w:rsidRDefault="00106839" w:rsidP="00585AE9">
      <w:pPr>
        <w:tabs>
          <w:tab w:val="decimal" w:pos="284"/>
        </w:tabs>
        <w:ind w:left="-142" w:right="-425"/>
        <w:jc w:val="both"/>
      </w:pPr>
      <w:bookmarkStart w:id="15" w:name="_Hlk97302962"/>
      <w:r>
        <w:rPr>
          <w:rFonts w:cs="Arial"/>
        </w:rPr>
        <w:t xml:space="preserve">There </w:t>
      </w:r>
      <w:r w:rsidR="0032035F">
        <w:rPr>
          <w:rFonts w:cs="Arial"/>
        </w:rPr>
        <w:t>remains</w:t>
      </w:r>
      <w:r>
        <w:rPr>
          <w:rFonts w:cs="Arial"/>
        </w:rPr>
        <w:t xml:space="preserve"> a </w:t>
      </w:r>
      <w:r w:rsidR="005D6EF0">
        <w:rPr>
          <w:rFonts w:cs="Arial"/>
        </w:rPr>
        <w:t xml:space="preserve">small </w:t>
      </w:r>
      <w:r>
        <w:rPr>
          <w:rFonts w:cs="Arial"/>
        </w:rPr>
        <w:t xml:space="preserve">cohort of clients who come before the Commission </w:t>
      </w:r>
      <w:r w:rsidR="005D6EF0">
        <w:rPr>
          <w:rFonts w:cs="Arial"/>
        </w:rPr>
        <w:t xml:space="preserve">who </w:t>
      </w:r>
      <w:r w:rsidR="008A2A64">
        <w:rPr>
          <w:rFonts w:cs="Arial"/>
        </w:rPr>
        <w:t>struggle to</w:t>
      </w:r>
      <w:r w:rsidR="004A6E0F">
        <w:rPr>
          <w:rFonts w:cs="Arial"/>
        </w:rPr>
        <w:t xml:space="preserve"> develop insight into their actions and are less incline</w:t>
      </w:r>
      <w:r w:rsidR="00AC48DA">
        <w:rPr>
          <w:rFonts w:cs="Arial"/>
        </w:rPr>
        <w:t>d</w:t>
      </w:r>
      <w:r>
        <w:rPr>
          <w:rFonts w:cs="Arial"/>
        </w:rPr>
        <w:t xml:space="preserve"> to change their behaviours</w:t>
      </w:r>
      <w:r w:rsidR="00CD0A5A">
        <w:rPr>
          <w:rFonts w:cs="Arial"/>
        </w:rPr>
        <w:t xml:space="preserve">. </w:t>
      </w:r>
      <w:r w:rsidR="00926217">
        <w:rPr>
          <w:rFonts w:cs="Arial"/>
        </w:rPr>
        <w:t>The nuanced decision</w:t>
      </w:r>
      <w:r w:rsidR="005D3FB2">
        <w:rPr>
          <w:rFonts w:cs="Arial"/>
        </w:rPr>
        <w:t>-</w:t>
      </w:r>
      <w:r w:rsidR="00926217">
        <w:rPr>
          <w:rFonts w:cs="Arial"/>
        </w:rPr>
        <w:t xml:space="preserve">making of Commissioners </w:t>
      </w:r>
      <w:r w:rsidR="00B32DC9">
        <w:rPr>
          <w:rFonts w:cs="Arial"/>
        </w:rPr>
        <w:t xml:space="preserve">for these clients may include </w:t>
      </w:r>
      <w:r w:rsidR="00660953">
        <w:rPr>
          <w:rFonts w:cs="Arial"/>
        </w:rPr>
        <w:t>(</w:t>
      </w:r>
      <w:r w:rsidR="00CC5894">
        <w:rPr>
          <w:rFonts w:cs="Arial"/>
        </w:rPr>
        <w:t>as an option of last resort</w:t>
      </w:r>
      <w:r w:rsidR="00660953">
        <w:rPr>
          <w:rFonts w:cs="Arial"/>
        </w:rPr>
        <w:t>)</w:t>
      </w:r>
      <w:r w:rsidR="00CC5894">
        <w:rPr>
          <w:rFonts w:cs="Arial"/>
        </w:rPr>
        <w:t xml:space="preserve"> </w:t>
      </w:r>
      <w:r w:rsidR="00926217">
        <w:t xml:space="preserve">a decision </w:t>
      </w:r>
      <w:r w:rsidR="00B32DC9">
        <w:t>to income manage the client</w:t>
      </w:r>
      <w:r w:rsidR="00660953">
        <w:t>. These orders are issued</w:t>
      </w:r>
      <w:r w:rsidR="00B32DC9">
        <w:t xml:space="preserve"> </w:t>
      </w:r>
      <w:r w:rsidR="00926217">
        <w:t xml:space="preserve">as a </w:t>
      </w:r>
      <w:r w:rsidR="00B32DC9">
        <w:t xml:space="preserve">means of </w:t>
      </w:r>
      <w:r w:rsidR="00926217">
        <w:t>hold</w:t>
      </w:r>
      <w:r w:rsidR="00B32DC9">
        <w:t>ing</w:t>
      </w:r>
      <w:r w:rsidR="00926217">
        <w:t xml:space="preserve"> the clients to account (and </w:t>
      </w:r>
      <w:r w:rsidR="00B32DC9">
        <w:t xml:space="preserve">to create some </w:t>
      </w:r>
      <w:r w:rsidR="00926217">
        <w:t>stabili</w:t>
      </w:r>
      <w:r w:rsidR="00B32DC9">
        <w:t>ty in</w:t>
      </w:r>
      <w:r w:rsidR="00926217">
        <w:t xml:space="preserve"> their lives, </w:t>
      </w:r>
      <w:r w:rsidR="00B32DC9">
        <w:t xml:space="preserve">particularly </w:t>
      </w:r>
      <w:r w:rsidR="00926217">
        <w:t xml:space="preserve">if they are responsible for children). </w:t>
      </w:r>
      <w:r w:rsidR="000F4948">
        <w:rPr>
          <w:rFonts w:cs="Arial"/>
        </w:rPr>
        <w:t xml:space="preserve">In quarter 54 there was a </w:t>
      </w:r>
      <w:r w:rsidR="000F4948">
        <w:t xml:space="preserve">prioritisation of clients who </w:t>
      </w:r>
      <w:r w:rsidR="00B32DC9">
        <w:t>were</w:t>
      </w:r>
      <w:r w:rsidR="000F4948">
        <w:t xml:space="preserve"> recalcitrant in taking personal responsibility for the wellbeing of their children (those subject to a child safety investigation and/or who received a notice regarding the non-attendance of their child/children at school) resulting in approximately </w:t>
      </w:r>
      <w:r w:rsidR="005301A6">
        <w:t>68</w:t>
      </w:r>
      <w:r w:rsidR="00397BFC">
        <w:t xml:space="preserve"> percent</w:t>
      </w:r>
      <w:r w:rsidR="000F4948">
        <w:t xml:space="preserve">, or </w:t>
      </w:r>
      <w:r w:rsidR="005301A6">
        <w:t>17</w:t>
      </w:r>
      <w:r w:rsidR="000F4948">
        <w:t xml:space="preserve"> of the 2</w:t>
      </w:r>
      <w:r w:rsidR="005301A6">
        <w:t>5</w:t>
      </w:r>
      <w:r w:rsidR="000F4948">
        <w:t xml:space="preserve"> CIM-only orders made in the quarter relating to EQ or CS notices. In these instances</w:t>
      </w:r>
      <w:r w:rsidR="00B32DC9">
        <w:t>,</w:t>
      </w:r>
      <w:r w:rsidR="000F4948">
        <w:t xml:space="preserve"> </w:t>
      </w:r>
      <w:r w:rsidR="000F4948">
        <w:lastRenderedPageBreak/>
        <w:t>the FRC determined that a CIM order only</w:t>
      </w:r>
      <w:r w:rsidR="00B32DC9">
        <w:t xml:space="preserve"> (</w:t>
      </w:r>
      <w:r w:rsidR="000F4948">
        <w:t>notwithstanding being a decision of last resort</w:t>
      </w:r>
      <w:r w:rsidR="00B32DC9">
        <w:t>)</w:t>
      </w:r>
      <w:r w:rsidR="000F4948">
        <w:t xml:space="preserve"> was appropriate in the circumstances.</w:t>
      </w:r>
      <w:r w:rsidR="00585AE9">
        <w:t xml:space="preserve"> </w:t>
      </w:r>
      <w:bookmarkEnd w:id="15"/>
      <w:r w:rsidR="00CD0A5A">
        <w:rPr>
          <w:rFonts w:cs="Arial"/>
        </w:rPr>
        <w:t>T</w:t>
      </w:r>
      <w:r w:rsidR="005F330D">
        <w:rPr>
          <w:rFonts w:cs="Arial"/>
        </w:rPr>
        <w:t xml:space="preserve">he Commissioners have made the following </w:t>
      </w:r>
      <w:r w:rsidR="001E3C39">
        <w:rPr>
          <w:rFonts w:cs="Arial"/>
        </w:rPr>
        <w:t xml:space="preserve">decisions </w:t>
      </w:r>
      <w:r w:rsidR="005F330D">
        <w:rPr>
          <w:rFonts w:cs="Arial"/>
        </w:rPr>
        <w:t xml:space="preserve">in </w:t>
      </w:r>
      <w:r w:rsidR="004D5CBF">
        <w:rPr>
          <w:rFonts w:cs="Arial"/>
        </w:rPr>
        <w:t xml:space="preserve">conference for </w:t>
      </w:r>
      <w:r w:rsidR="005F330D">
        <w:rPr>
          <w:rFonts w:cs="Arial"/>
        </w:rPr>
        <w:t xml:space="preserve">those </w:t>
      </w:r>
      <w:r w:rsidR="004D5CBF">
        <w:t xml:space="preserve">recalcitrant </w:t>
      </w:r>
      <w:r w:rsidR="004D5CBF">
        <w:rPr>
          <w:rFonts w:cs="Arial"/>
        </w:rPr>
        <w:t>clients who refuse to change their behaviour</w:t>
      </w:r>
      <w:r w:rsidR="005F330D">
        <w:rPr>
          <w:rFonts w:cs="Arial"/>
        </w:rPr>
        <w:t>:</w:t>
      </w:r>
    </w:p>
    <w:p w14:paraId="0D7D4F20" w14:textId="3084A686" w:rsidR="0099478F" w:rsidRDefault="0099478F" w:rsidP="005D6EF0">
      <w:pPr>
        <w:tabs>
          <w:tab w:val="decimal" w:pos="284"/>
        </w:tabs>
        <w:ind w:left="-142" w:right="-425"/>
        <w:jc w:val="both"/>
        <w:rPr>
          <w:rFonts w:cs="Arial"/>
        </w:rPr>
      </w:pPr>
    </w:p>
    <w:p w14:paraId="039AEB9E" w14:textId="4DBBFE9B" w:rsidR="00EB52B2" w:rsidRDefault="00B43DA5" w:rsidP="00EB52B2">
      <w:pPr>
        <w:tabs>
          <w:tab w:val="decimal" w:pos="720"/>
        </w:tabs>
        <w:ind w:left="-142" w:right="-425"/>
        <w:jc w:val="both"/>
        <w:rPr>
          <w:rFonts w:cs="Arial"/>
        </w:rPr>
      </w:pPr>
      <w:r>
        <w:rPr>
          <w:rFonts w:cs="Arial"/>
        </w:rPr>
        <w:tab/>
      </w:r>
      <w:r w:rsidR="00EB52B2">
        <w:rPr>
          <w:rFonts w:cs="Arial"/>
        </w:rPr>
        <w:t>1</w:t>
      </w:r>
      <w:r w:rsidR="00CA0F8F">
        <w:rPr>
          <w:rFonts w:cs="Arial"/>
        </w:rPr>
        <w:t>0</w:t>
      </w:r>
      <w:r w:rsidR="00EB52B2" w:rsidRPr="005C0A9F">
        <w:rPr>
          <w:rFonts w:cs="Arial"/>
        </w:rPr>
        <w:t xml:space="preserve"> </w:t>
      </w:r>
      <w:r w:rsidR="00EB52B2">
        <w:rPr>
          <w:rFonts w:cs="Arial"/>
        </w:rPr>
        <w:t xml:space="preserve">percent </w:t>
      </w:r>
      <w:r w:rsidR="00EB52B2" w:rsidRPr="005C0A9F">
        <w:rPr>
          <w:rFonts w:cs="Arial"/>
        </w:rPr>
        <w:t xml:space="preserve">of clients </w:t>
      </w:r>
      <w:r w:rsidR="00EB52B2" w:rsidRPr="000C422E">
        <w:rPr>
          <w:lang w:val="en-US"/>
        </w:rPr>
        <w:t>were placed on a CIM order</w:t>
      </w:r>
      <w:r w:rsidR="0025091F">
        <w:rPr>
          <w:lang w:val="en-US"/>
        </w:rPr>
        <w:t xml:space="preserve"> onl</w:t>
      </w:r>
      <w:r w:rsidR="00F248B7">
        <w:rPr>
          <w:lang w:val="en-US"/>
        </w:rPr>
        <w:t>y</w:t>
      </w:r>
      <w:r w:rsidR="00EB52B2" w:rsidRPr="005C0A9F">
        <w:rPr>
          <w:rFonts w:cs="Arial"/>
        </w:rPr>
        <w:t>;</w:t>
      </w:r>
    </w:p>
    <w:p w14:paraId="35BB9E8E" w14:textId="1B3D21BB" w:rsidR="00B43DA5" w:rsidRPr="005C0A9F" w:rsidRDefault="00EB52B2" w:rsidP="00B43DA5">
      <w:pPr>
        <w:tabs>
          <w:tab w:val="decimal" w:pos="720"/>
        </w:tabs>
        <w:ind w:left="-142" w:right="-425"/>
        <w:jc w:val="both"/>
        <w:rPr>
          <w:rFonts w:cs="Arial"/>
        </w:rPr>
      </w:pPr>
      <w:r>
        <w:rPr>
          <w:rFonts w:cs="Arial"/>
        </w:rPr>
        <w:tab/>
      </w:r>
      <w:r w:rsidR="00B43DA5">
        <w:rPr>
          <w:rFonts w:cs="Arial"/>
        </w:rPr>
        <w:t>7</w:t>
      </w:r>
      <w:r w:rsidR="00B43DA5" w:rsidRPr="005C0A9F">
        <w:rPr>
          <w:rFonts w:cs="Arial"/>
        </w:rPr>
        <w:t xml:space="preserve"> </w:t>
      </w:r>
      <w:r w:rsidR="00B43DA5">
        <w:rPr>
          <w:rFonts w:cs="Arial"/>
        </w:rPr>
        <w:t xml:space="preserve">percent </w:t>
      </w:r>
      <w:r w:rsidR="00B43DA5" w:rsidRPr="005C0A9F">
        <w:rPr>
          <w:rFonts w:cs="Arial"/>
        </w:rPr>
        <w:t xml:space="preserve">of clients </w:t>
      </w:r>
      <w:r w:rsidR="00B43DA5" w:rsidRPr="000C422E">
        <w:rPr>
          <w:lang w:val="en-US"/>
        </w:rPr>
        <w:t>were ordered to attend a support service</w:t>
      </w:r>
      <w:r w:rsidR="00B43DA5">
        <w:rPr>
          <w:lang w:val="en-US"/>
        </w:rPr>
        <w:t xml:space="preserve"> under a case plan</w:t>
      </w:r>
      <w:r w:rsidR="0025091F">
        <w:rPr>
          <w:lang w:val="en-US"/>
        </w:rPr>
        <w:t xml:space="preserve"> only</w:t>
      </w:r>
      <w:r w:rsidR="00B43DA5">
        <w:rPr>
          <w:lang w:val="en-US"/>
        </w:rPr>
        <w:t>;</w:t>
      </w:r>
      <w:r w:rsidR="0033390F">
        <w:rPr>
          <w:lang w:val="en-US"/>
        </w:rPr>
        <w:t xml:space="preserve"> and</w:t>
      </w:r>
    </w:p>
    <w:p w14:paraId="19F8E19F" w14:textId="05054E5E" w:rsidR="00334048" w:rsidRPr="005C0A9F" w:rsidRDefault="001B3846" w:rsidP="00334048">
      <w:pPr>
        <w:tabs>
          <w:tab w:val="decimal" w:pos="720"/>
        </w:tabs>
        <w:ind w:left="-142" w:right="-425"/>
        <w:jc w:val="both"/>
        <w:rPr>
          <w:rFonts w:cs="Arial"/>
        </w:rPr>
      </w:pPr>
      <w:r>
        <w:rPr>
          <w:rFonts w:cs="Arial"/>
        </w:rPr>
        <w:tab/>
      </w:r>
      <w:r w:rsidR="006C5114">
        <w:rPr>
          <w:rFonts w:cs="Arial"/>
        </w:rPr>
        <w:t>1</w:t>
      </w:r>
      <w:r w:rsidR="00334048" w:rsidRPr="005C0A9F">
        <w:rPr>
          <w:rFonts w:cs="Arial"/>
        </w:rPr>
        <w:t xml:space="preserve"> </w:t>
      </w:r>
      <w:r w:rsidR="00334048">
        <w:rPr>
          <w:rFonts w:cs="Arial"/>
        </w:rPr>
        <w:t xml:space="preserve">percent </w:t>
      </w:r>
      <w:r w:rsidR="00334048" w:rsidRPr="005C0A9F">
        <w:rPr>
          <w:rFonts w:cs="Arial"/>
        </w:rPr>
        <w:t xml:space="preserve">of clients </w:t>
      </w:r>
      <w:r w:rsidR="00334048" w:rsidRPr="000C422E">
        <w:rPr>
          <w:lang w:val="en-US"/>
        </w:rPr>
        <w:t xml:space="preserve">were </w:t>
      </w:r>
      <w:r w:rsidR="00334048">
        <w:rPr>
          <w:lang w:val="en-US"/>
        </w:rPr>
        <w:t>placed on</w:t>
      </w:r>
      <w:r w:rsidR="00334048" w:rsidRPr="000C422E">
        <w:rPr>
          <w:lang w:val="en-US"/>
        </w:rPr>
        <w:t xml:space="preserve"> a CIM order and ordered to attend a support service</w:t>
      </w:r>
      <w:r w:rsidR="00B43DA5">
        <w:rPr>
          <w:lang w:val="en-US"/>
        </w:rPr>
        <w:t>.</w:t>
      </w:r>
    </w:p>
    <w:p w14:paraId="218C2B05" w14:textId="50F7BA61" w:rsidR="00334048" w:rsidRDefault="00334048" w:rsidP="001B3846">
      <w:pPr>
        <w:tabs>
          <w:tab w:val="decimal" w:pos="720"/>
        </w:tabs>
        <w:ind w:left="-142" w:right="-425"/>
        <w:jc w:val="both"/>
        <w:rPr>
          <w:rFonts w:cs="Arial"/>
        </w:rPr>
      </w:pPr>
    </w:p>
    <w:bookmarkEnd w:id="14"/>
    <w:p w14:paraId="01840B62" w14:textId="7FC926FA" w:rsidR="00986092" w:rsidRPr="00986092" w:rsidRDefault="00986092" w:rsidP="00D51DFA">
      <w:pPr>
        <w:pStyle w:val="Heading2"/>
      </w:pPr>
      <w:r w:rsidRPr="00986092">
        <w:t>Notices</w:t>
      </w:r>
    </w:p>
    <w:p w14:paraId="41B569DF" w14:textId="05125A82"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0C0A83">
        <w:rPr>
          <w:rFonts w:cs="Arial"/>
        </w:rPr>
        <w:t>54</w:t>
      </w:r>
      <w:r w:rsidR="00F15C75" w:rsidRPr="00483DC3">
        <w:rPr>
          <w:rFonts w:cs="Arial"/>
        </w:rPr>
        <w:t xml:space="preserve"> </w:t>
      </w:r>
      <w:r w:rsidRPr="00483DC3">
        <w:rPr>
          <w:rFonts w:cs="Arial"/>
        </w:rPr>
        <w:t xml:space="preserve">the Commission </w:t>
      </w:r>
      <w:r w:rsidRPr="006042AF">
        <w:rPr>
          <w:rFonts w:cs="Arial"/>
        </w:rPr>
        <w:t>received</w:t>
      </w:r>
      <w:r w:rsidR="00E46AAE" w:rsidRPr="006042AF">
        <w:rPr>
          <w:rFonts w:cs="Arial"/>
          <w:bCs/>
        </w:rPr>
        <w:t xml:space="preserve"> </w:t>
      </w:r>
      <w:r w:rsidR="003D78AF">
        <w:rPr>
          <w:rFonts w:cs="Arial"/>
        </w:rPr>
        <w:t>2,0</w:t>
      </w:r>
      <w:r w:rsidR="00843B97">
        <w:rPr>
          <w:rFonts w:cs="Arial"/>
        </w:rPr>
        <w:t>51</w:t>
      </w:r>
      <w:r w:rsidR="00E31BD5" w:rsidRPr="006042AF">
        <w:rPr>
          <w:rFonts w:cs="Arial"/>
        </w:rPr>
        <w:t xml:space="preserve"> </w:t>
      </w:r>
      <w:r w:rsidRPr="006042AF">
        <w:rPr>
          <w:rFonts w:cs="Arial"/>
        </w:rPr>
        <w:t>agency notices</w:t>
      </w:r>
      <w:r w:rsidRPr="006042AF">
        <w:rPr>
          <w:rFonts w:cs="Arial"/>
          <w:vertAlign w:val="superscript"/>
        </w:rPr>
        <w:footnoteReference w:id="9"/>
      </w:r>
      <w:r w:rsidR="00CE6E33" w:rsidRPr="006042AF">
        <w:rPr>
          <w:rFonts w:cs="Arial"/>
        </w:rPr>
        <w:t xml:space="preserve">. </w:t>
      </w:r>
      <w:r w:rsidRPr="006042AF">
        <w:rPr>
          <w:rFonts w:cs="Arial"/>
        </w:rPr>
        <w:t xml:space="preserve">Some individuals may have been the subject of more than one agency notice. Of that figure </w:t>
      </w:r>
      <w:r w:rsidR="003D78AF">
        <w:rPr>
          <w:rFonts w:cs="Arial"/>
        </w:rPr>
        <w:t>1,1</w:t>
      </w:r>
      <w:r w:rsidR="00843B97">
        <w:rPr>
          <w:rFonts w:cs="Arial"/>
        </w:rPr>
        <w:t>10</w:t>
      </w:r>
      <w:r w:rsidR="005174DF" w:rsidRPr="006042AF">
        <w:rPr>
          <w:rFonts w:cs="Arial"/>
        </w:rPr>
        <w:t xml:space="preserve"> </w:t>
      </w:r>
      <w:r w:rsidRPr="006042AF">
        <w:rPr>
          <w:rFonts w:cs="Arial"/>
        </w:rPr>
        <w:t>notices (</w:t>
      </w:r>
      <w:r w:rsidR="00BD5C09">
        <w:rPr>
          <w:rFonts w:cs="Arial"/>
        </w:rPr>
        <w:t xml:space="preserve">54 </w:t>
      </w:r>
      <w:r w:rsidRPr="006042AF">
        <w:rPr>
          <w:rFonts w:cs="Arial"/>
        </w:rPr>
        <w:t>percent)</w:t>
      </w:r>
      <w:r w:rsidR="00F257B3" w:rsidRPr="006042AF">
        <w:rPr>
          <w:rFonts w:cs="Arial"/>
        </w:rPr>
        <w:t xml:space="preserve"> relating to </w:t>
      </w:r>
      <w:r w:rsidR="00BD5C09">
        <w:rPr>
          <w:rFonts w:cs="Arial"/>
        </w:rPr>
        <w:t>57</w:t>
      </w:r>
      <w:r w:rsidR="00843B97">
        <w:rPr>
          <w:rFonts w:cs="Arial"/>
        </w:rPr>
        <w:t>9</w:t>
      </w:r>
      <w:r w:rsidR="00BD5C09" w:rsidRPr="006042AF">
        <w:rPr>
          <w:rFonts w:cs="Arial"/>
        </w:rPr>
        <w:t xml:space="preserve"> </w:t>
      </w:r>
      <w:r w:rsidR="00F257B3" w:rsidRPr="006042AF">
        <w:rPr>
          <w:rFonts w:cs="Arial"/>
        </w:rPr>
        <w:t>clients</w:t>
      </w:r>
      <w:r w:rsidR="00526AA6" w:rsidRPr="006042AF">
        <w:rPr>
          <w:rFonts w:cs="Arial"/>
        </w:rPr>
        <w:t xml:space="preserve"> </w:t>
      </w:r>
      <w:r w:rsidRPr="006042AF">
        <w:rPr>
          <w:rFonts w:cs="Arial"/>
        </w:rPr>
        <w:t>were within the Commission’s jurisdiction</w:t>
      </w:r>
      <w:r w:rsidR="005A2DE3" w:rsidRPr="006042AF">
        <w:rPr>
          <w:rFonts w:cs="Arial"/>
        </w:rPr>
        <w:t>,</w:t>
      </w:r>
      <w:r w:rsidRPr="006042AF">
        <w:rPr>
          <w:rFonts w:cs="Arial"/>
        </w:rPr>
        <w:t xml:space="preserve"> and </w:t>
      </w:r>
      <w:r w:rsidR="003D78AF">
        <w:rPr>
          <w:rFonts w:cs="Arial"/>
        </w:rPr>
        <w:t>941</w:t>
      </w:r>
      <w:r w:rsidR="00C35686">
        <w:rPr>
          <w:rFonts w:cs="Arial"/>
        </w:rPr>
        <w:t xml:space="preserve"> </w:t>
      </w:r>
      <w:r w:rsidRPr="006042AF">
        <w:rPr>
          <w:rFonts w:cs="Arial"/>
        </w:rPr>
        <w:t>notices (</w:t>
      </w:r>
      <w:r w:rsidR="00BD5C09">
        <w:rPr>
          <w:rFonts w:cs="Arial"/>
        </w:rPr>
        <w:t xml:space="preserve">46 </w:t>
      </w:r>
      <w:r w:rsidRPr="006042AF">
        <w:rPr>
          <w:rFonts w:cs="Arial"/>
        </w:rPr>
        <w:t>percent</w:t>
      </w:r>
      <w:r w:rsidRPr="00483DC3">
        <w:rPr>
          <w:rFonts w:cs="Arial"/>
        </w:rPr>
        <w:t>) were outside the Commission’s jurisdiction.</w:t>
      </w:r>
    </w:p>
    <w:p w14:paraId="2CBC4CEC" w14:textId="77777777" w:rsidR="001C67F7" w:rsidRPr="00DA470C" w:rsidRDefault="001C67F7" w:rsidP="005A5B78">
      <w:pPr>
        <w:tabs>
          <w:tab w:val="left" w:pos="1134"/>
        </w:tabs>
        <w:ind w:left="-142" w:right="-425"/>
        <w:jc w:val="both"/>
      </w:pPr>
    </w:p>
    <w:p w14:paraId="363A2C28" w14:textId="443BDCB8" w:rsidR="005A5B78" w:rsidRDefault="00C7128D" w:rsidP="00C7128D">
      <w:pPr>
        <w:spacing w:after="120" w:line="240" w:lineRule="auto"/>
        <w:ind w:right="-425"/>
        <w:rPr>
          <w:rFonts w:cs="Arial"/>
          <w:b/>
        </w:rPr>
      </w:pPr>
      <w:r>
        <w:rPr>
          <w:b/>
          <w:sz w:val="16"/>
          <w:szCs w:val="16"/>
        </w:rPr>
        <w:t xml:space="preserve">Table </w:t>
      </w:r>
      <w:r w:rsidR="009A2F52">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w:t>
      </w:r>
      <w:r w:rsidR="00F83C14">
        <w:rPr>
          <w:sz w:val="16"/>
          <w:szCs w:val="16"/>
        </w:rPr>
        <w:t xml:space="preserve">1 </w:t>
      </w:r>
      <w:r w:rsidR="00A40B8D">
        <w:rPr>
          <w:sz w:val="16"/>
          <w:szCs w:val="16"/>
        </w:rPr>
        <w:t xml:space="preserve">October </w:t>
      </w:r>
      <w:r w:rsidR="009A7C28">
        <w:rPr>
          <w:sz w:val="16"/>
          <w:szCs w:val="16"/>
        </w:rPr>
        <w:t>2021</w:t>
      </w:r>
      <w:r w:rsidR="00A41820">
        <w:rPr>
          <w:sz w:val="16"/>
          <w:szCs w:val="16"/>
        </w:rPr>
        <w:t xml:space="preserve"> to </w:t>
      </w:r>
      <w:r w:rsidR="00F83C14">
        <w:rPr>
          <w:sz w:val="16"/>
          <w:szCs w:val="16"/>
        </w:rPr>
        <w:t>3</w:t>
      </w:r>
      <w:r w:rsidR="00A40B8D">
        <w:rPr>
          <w:sz w:val="16"/>
          <w:szCs w:val="16"/>
        </w:rPr>
        <w:t xml:space="preserve">1 December </w:t>
      </w:r>
      <w:r w:rsidR="009A7C28">
        <w:rPr>
          <w:sz w:val="16"/>
          <w:szCs w:val="16"/>
        </w:rPr>
        <w:t>2021</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3D78AF">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10"/>
            </w:r>
          </w:p>
        </w:tc>
        <w:tc>
          <w:tcPr>
            <w:tcW w:w="643"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3D78AF" w:rsidRPr="00650B45" w14:paraId="34AFEA3C"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3D78AF" w:rsidRPr="005E0531" w:rsidRDefault="003D78AF" w:rsidP="003D78AF">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0E14A" w14:textId="3CF9ABF7" w:rsidR="003D78AF" w:rsidRPr="003D78AF" w:rsidRDefault="003D78AF" w:rsidP="003D78AF">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FB598" w14:textId="28B95CB7" w:rsidR="003D78AF" w:rsidRPr="003D78AF" w:rsidRDefault="003D78AF" w:rsidP="003D78AF">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690F8B68" w:rsidR="003D78AF" w:rsidRPr="003D78AF" w:rsidRDefault="003D78AF" w:rsidP="003D78AF">
            <w:pPr>
              <w:spacing w:line="240" w:lineRule="auto"/>
              <w:jc w:val="right"/>
              <w:rPr>
                <w:rFonts w:cs="Arial"/>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5E1E5DDF" w:rsidR="003D78AF" w:rsidRPr="003D78AF" w:rsidRDefault="003D78AF" w:rsidP="003D78AF">
            <w:pPr>
              <w:spacing w:line="240" w:lineRule="auto"/>
              <w:jc w:val="right"/>
              <w:rPr>
                <w:rFonts w:cs="Arial"/>
              </w:rPr>
            </w:pPr>
            <w:r>
              <w:rPr>
                <w:rFonts w:cs="Arial"/>
              </w:rPr>
              <w:t>1</w:t>
            </w:r>
          </w:p>
        </w:tc>
        <w:tc>
          <w:tcPr>
            <w:tcW w:w="706" w:type="dxa"/>
            <w:tcBorders>
              <w:top w:val="single" w:sz="4" w:space="0" w:color="auto"/>
              <w:left w:val="nil"/>
              <w:bottom w:val="single" w:sz="4" w:space="0" w:color="auto"/>
              <w:right w:val="single" w:sz="4" w:space="0" w:color="auto"/>
            </w:tcBorders>
            <w:vAlign w:val="center"/>
          </w:tcPr>
          <w:p w14:paraId="25FC0DA8" w14:textId="117F3D3A" w:rsidR="003D78AF" w:rsidRPr="003D78AF" w:rsidRDefault="003D78AF" w:rsidP="003D78AF">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4E5309AB" w:rsidR="003D78AF" w:rsidRPr="003D78AF" w:rsidRDefault="003D78AF" w:rsidP="003D78AF">
            <w:pPr>
              <w:spacing w:line="240" w:lineRule="auto"/>
              <w:jc w:val="right"/>
              <w:rPr>
                <w:rFonts w:cs="Arial"/>
                <w:b/>
                <w:bCs/>
                <w:lang w:eastAsia="en-AU"/>
              </w:rPr>
            </w:pPr>
            <w:r>
              <w:rPr>
                <w:rFonts w:cs="Arial"/>
                <w:b/>
                <w:bCs/>
              </w:rPr>
              <w:t>1</w:t>
            </w:r>
          </w:p>
        </w:tc>
      </w:tr>
      <w:tr w:rsidR="003D78AF" w:rsidRPr="00650B45" w14:paraId="440532E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3D78AF" w:rsidRPr="0040594D" w:rsidRDefault="003D78AF" w:rsidP="003D78AF">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center"/>
          </w:tcPr>
          <w:p w14:paraId="00039A5F" w14:textId="62A6CF4B" w:rsidR="003D78AF" w:rsidRPr="003D78AF" w:rsidRDefault="003D78AF" w:rsidP="003D78AF">
            <w:pPr>
              <w:spacing w:line="240" w:lineRule="auto"/>
              <w:jc w:val="right"/>
              <w:rPr>
                <w:rFonts w:cs="Arial"/>
                <w:lang w:eastAsia="en-AU"/>
              </w:rPr>
            </w:pPr>
            <w:r>
              <w:rPr>
                <w:rFonts w:cs="Arial"/>
              </w:rPr>
              <w:t>3</w:t>
            </w:r>
          </w:p>
        </w:tc>
        <w:tc>
          <w:tcPr>
            <w:tcW w:w="850" w:type="dxa"/>
            <w:tcBorders>
              <w:top w:val="nil"/>
              <w:left w:val="nil"/>
              <w:bottom w:val="single" w:sz="4" w:space="0" w:color="auto"/>
              <w:right w:val="single" w:sz="4" w:space="0" w:color="auto"/>
            </w:tcBorders>
            <w:shd w:val="clear" w:color="auto" w:fill="auto"/>
            <w:vAlign w:val="center"/>
          </w:tcPr>
          <w:p w14:paraId="2545D481" w14:textId="346B58D9" w:rsidR="003D78AF" w:rsidRPr="003D78AF" w:rsidRDefault="003D78AF" w:rsidP="003D78AF">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02F60FDE" w14:textId="153C4631" w:rsidR="003D78AF" w:rsidRPr="003D78AF" w:rsidRDefault="003D78AF" w:rsidP="003D78AF">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34CB5F06" w14:textId="445D729C" w:rsidR="003D78AF" w:rsidRPr="003D78AF" w:rsidRDefault="003D78AF" w:rsidP="003D78AF">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7909412F" w14:textId="500295F9" w:rsidR="003D78AF" w:rsidRPr="003D78AF" w:rsidRDefault="003D78AF" w:rsidP="003D78AF">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731692A8" w14:textId="0E40605B" w:rsidR="003D78AF" w:rsidRPr="003D78AF" w:rsidRDefault="003D78AF" w:rsidP="003D78AF">
            <w:pPr>
              <w:spacing w:line="240" w:lineRule="auto"/>
              <w:jc w:val="right"/>
              <w:rPr>
                <w:rFonts w:cs="Arial"/>
                <w:b/>
                <w:lang w:eastAsia="en-AU"/>
              </w:rPr>
            </w:pPr>
            <w:r>
              <w:rPr>
                <w:rFonts w:cs="Arial"/>
                <w:b/>
                <w:bCs/>
              </w:rPr>
              <w:t>3</w:t>
            </w:r>
          </w:p>
        </w:tc>
      </w:tr>
      <w:tr w:rsidR="003D78AF" w:rsidRPr="00650B45" w14:paraId="606D952D"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3D78AF" w:rsidRDefault="003D78AF" w:rsidP="003D78AF">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center"/>
          </w:tcPr>
          <w:p w14:paraId="7D871931" w14:textId="56BD2FF1" w:rsidR="003D78AF" w:rsidRPr="003D78AF" w:rsidRDefault="003D78AF" w:rsidP="003D78AF">
            <w:pPr>
              <w:spacing w:line="240" w:lineRule="auto"/>
              <w:jc w:val="right"/>
              <w:rPr>
                <w:rFonts w:cs="Arial"/>
                <w:lang w:eastAsia="en-AU"/>
              </w:rPr>
            </w:pPr>
            <w:r>
              <w:rPr>
                <w:rFonts w:cs="Arial"/>
              </w:rPr>
              <w:t>229</w:t>
            </w:r>
          </w:p>
        </w:tc>
        <w:tc>
          <w:tcPr>
            <w:tcW w:w="850" w:type="dxa"/>
            <w:tcBorders>
              <w:top w:val="nil"/>
              <w:left w:val="nil"/>
              <w:bottom w:val="single" w:sz="4" w:space="0" w:color="auto"/>
              <w:right w:val="single" w:sz="4" w:space="0" w:color="auto"/>
            </w:tcBorders>
            <w:shd w:val="clear" w:color="auto" w:fill="auto"/>
            <w:vAlign w:val="center"/>
          </w:tcPr>
          <w:p w14:paraId="42DE6DE7" w14:textId="32E502D3" w:rsidR="003D78AF" w:rsidRPr="003D78AF" w:rsidRDefault="003D78AF" w:rsidP="003D78AF">
            <w:pPr>
              <w:spacing w:line="240" w:lineRule="auto"/>
              <w:jc w:val="right"/>
              <w:rPr>
                <w:rFonts w:cs="Arial"/>
                <w:lang w:eastAsia="en-AU"/>
              </w:rPr>
            </w:pPr>
            <w:r>
              <w:rPr>
                <w:rFonts w:cs="Arial"/>
              </w:rPr>
              <w:t>19</w:t>
            </w:r>
          </w:p>
        </w:tc>
        <w:tc>
          <w:tcPr>
            <w:tcW w:w="779" w:type="dxa"/>
            <w:tcBorders>
              <w:top w:val="nil"/>
              <w:left w:val="nil"/>
              <w:bottom w:val="single" w:sz="4" w:space="0" w:color="auto"/>
              <w:right w:val="single" w:sz="4" w:space="0" w:color="auto"/>
            </w:tcBorders>
            <w:vAlign w:val="center"/>
          </w:tcPr>
          <w:p w14:paraId="6A2B0F8E" w14:textId="16AA1D11" w:rsidR="003D78AF" w:rsidRPr="003D78AF" w:rsidRDefault="003D78AF" w:rsidP="003D78AF">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1100B639" w14:textId="70C40913" w:rsidR="003D78AF" w:rsidRPr="003D78AF" w:rsidRDefault="003D78AF" w:rsidP="003D78AF">
            <w:pPr>
              <w:spacing w:line="240" w:lineRule="auto"/>
              <w:jc w:val="right"/>
              <w:rPr>
                <w:rFonts w:cs="Arial"/>
                <w:lang w:eastAsia="en-AU"/>
              </w:rPr>
            </w:pPr>
            <w:r>
              <w:rPr>
                <w:rFonts w:cs="Arial"/>
              </w:rPr>
              <w:t>5</w:t>
            </w:r>
            <w:r w:rsidR="00843B97">
              <w:rPr>
                <w:rFonts w:cs="Arial"/>
              </w:rPr>
              <w:t>3</w:t>
            </w:r>
          </w:p>
        </w:tc>
        <w:tc>
          <w:tcPr>
            <w:tcW w:w="706" w:type="dxa"/>
            <w:tcBorders>
              <w:top w:val="nil"/>
              <w:left w:val="nil"/>
              <w:bottom w:val="single" w:sz="4" w:space="0" w:color="auto"/>
              <w:right w:val="single" w:sz="4" w:space="0" w:color="auto"/>
            </w:tcBorders>
            <w:vAlign w:val="center"/>
          </w:tcPr>
          <w:p w14:paraId="635B50F1" w14:textId="3814EB13" w:rsidR="003D78AF" w:rsidRPr="003D78AF" w:rsidRDefault="003D78AF" w:rsidP="003D78AF">
            <w:pPr>
              <w:spacing w:line="240" w:lineRule="auto"/>
              <w:jc w:val="right"/>
              <w:rPr>
                <w:rFonts w:cs="Arial"/>
                <w:lang w:eastAsia="en-AU"/>
              </w:rPr>
            </w:pPr>
            <w:r>
              <w:rPr>
                <w:rFonts w:cs="Arial"/>
              </w:rPr>
              <w:t>25</w:t>
            </w:r>
          </w:p>
        </w:tc>
        <w:tc>
          <w:tcPr>
            <w:tcW w:w="849" w:type="dxa"/>
            <w:tcBorders>
              <w:top w:val="nil"/>
              <w:left w:val="nil"/>
              <w:bottom w:val="single" w:sz="4" w:space="0" w:color="auto"/>
              <w:right w:val="single" w:sz="4" w:space="0" w:color="auto"/>
            </w:tcBorders>
            <w:vAlign w:val="center"/>
          </w:tcPr>
          <w:p w14:paraId="413D1C25" w14:textId="497245AB" w:rsidR="003D78AF" w:rsidRPr="003D78AF" w:rsidRDefault="003D78AF" w:rsidP="003D78AF">
            <w:pPr>
              <w:spacing w:line="240" w:lineRule="auto"/>
              <w:jc w:val="right"/>
              <w:rPr>
                <w:rFonts w:cs="Arial"/>
                <w:b/>
                <w:lang w:eastAsia="en-AU"/>
              </w:rPr>
            </w:pPr>
            <w:r>
              <w:rPr>
                <w:rFonts w:cs="Arial"/>
                <w:b/>
                <w:bCs/>
              </w:rPr>
              <w:t>32</w:t>
            </w:r>
            <w:r w:rsidR="00843B97">
              <w:rPr>
                <w:rFonts w:cs="Arial"/>
                <w:b/>
                <w:bCs/>
              </w:rPr>
              <w:t>6</w:t>
            </w:r>
          </w:p>
        </w:tc>
      </w:tr>
      <w:tr w:rsidR="003D78AF" w:rsidRPr="00650B45" w14:paraId="326E9032"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3D78AF" w:rsidRDefault="003D78AF" w:rsidP="003D78AF">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center"/>
          </w:tcPr>
          <w:p w14:paraId="232348B9" w14:textId="12A79E09" w:rsidR="003D78AF" w:rsidRPr="003D78AF" w:rsidRDefault="003D78AF" w:rsidP="003D78AF">
            <w:pPr>
              <w:spacing w:line="240" w:lineRule="auto"/>
              <w:jc w:val="right"/>
              <w:rPr>
                <w:rFonts w:cs="Arial"/>
                <w:lang w:eastAsia="en-AU"/>
              </w:rPr>
            </w:pPr>
            <w:r>
              <w:rPr>
                <w:rFonts w:cs="Arial"/>
              </w:rPr>
              <w:t>28</w:t>
            </w:r>
          </w:p>
        </w:tc>
        <w:tc>
          <w:tcPr>
            <w:tcW w:w="850" w:type="dxa"/>
            <w:tcBorders>
              <w:top w:val="nil"/>
              <w:left w:val="nil"/>
              <w:bottom w:val="single" w:sz="4" w:space="0" w:color="auto"/>
              <w:right w:val="single" w:sz="4" w:space="0" w:color="auto"/>
            </w:tcBorders>
            <w:shd w:val="clear" w:color="auto" w:fill="auto"/>
            <w:vAlign w:val="center"/>
          </w:tcPr>
          <w:p w14:paraId="1BA99C8E" w14:textId="43667C69" w:rsidR="003D78AF" w:rsidRPr="003D78AF" w:rsidRDefault="003D78AF" w:rsidP="003D78AF">
            <w:pPr>
              <w:spacing w:line="240" w:lineRule="auto"/>
              <w:jc w:val="right"/>
              <w:rPr>
                <w:rFonts w:cs="Arial"/>
                <w:lang w:eastAsia="en-AU"/>
              </w:rPr>
            </w:pPr>
            <w:r>
              <w:rPr>
                <w:rFonts w:cs="Arial"/>
              </w:rPr>
              <w:t>7</w:t>
            </w:r>
          </w:p>
        </w:tc>
        <w:tc>
          <w:tcPr>
            <w:tcW w:w="779" w:type="dxa"/>
            <w:tcBorders>
              <w:top w:val="nil"/>
              <w:left w:val="nil"/>
              <w:bottom w:val="single" w:sz="4" w:space="0" w:color="auto"/>
              <w:right w:val="single" w:sz="4" w:space="0" w:color="auto"/>
            </w:tcBorders>
            <w:vAlign w:val="center"/>
          </w:tcPr>
          <w:p w14:paraId="54E7A1AA" w14:textId="4DBFAA60" w:rsidR="003D78AF" w:rsidRPr="003D78AF" w:rsidRDefault="003D78AF" w:rsidP="003D78AF">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5531EBCB" w14:textId="4CF803BC" w:rsidR="003D78AF" w:rsidRPr="003D78AF" w:rsidRDefault="003D78AF" w:rsidP="003D78AF">
            <w:pPr>
              <w:spacing w:line="240" w:lineRule="auto"/>
              <w:jc w:val="right"/>
              <w:rPr>
                <w:rFonts w:cs="Arial"/>
                <w:lang w:eastAsia="en-AU"/>
              </w:rPr>
            </w:pPr>
            <w:r>
              <w:rPr>
                <w:rFonts w:cs="Arial"/>
              </w:rPr>
              <w:t>6</w:t>
            </w:r>
          </w:p>
        </w:tc>
        <w:tc>
          <w:tcPr>
            <w:tcW w:w="706" w:type="dxa"/>
            <w:tcBorders>
              <w:top w:val="nil"/>
              <w:left w:val="nil"/>
              <w:bottom w:val="single" w:sz="4" w:space="0" w:color="auto"/>
              <w:right w:val="single" w:sz="4" w:space="0" w:color="auto"/>
            </w:tcBorders>
            <w:vAlign w:val="center"/>
          </w:tcPr>
          <w:p w14:paraId="772FC04E" w14:textId="61B41B7C" w:rsidR="003D78AF" w:rsidRPr="003D78AF" w:rsidRDefault="003D78AF" w:rsidP="003D78AF">
            <w:pPr>
              <w:spacing w:line="240" w:lineRule="auto"/>
              <w:jc w:val="right"/>
              <w:rPr>
                <w:rFonts w:cs="Arial"/>
                <w:lang w:eastAsia="en-AU"/>
              </w:rPr>
            </w:pPr>
            <w:r>
              <w:rPr>
                <w:rFonts w:cs="Arial"/>
              </w:rPr>
              <w:t>4</w:t>
            </w:r>
          </w:p>
        </w:tc>
        <w:tc>
          <w:tcPr>
            <w:tcW w:w="849" w:type="dxa"/>
            <w:tcBorders>
              <w:top w:val="nil"/>
              <w:left w:val="nil"/>
              <w:bottom w:val="single" w:sz="4" w:space="0" w:color="auto"/>
              <w:right w:val="single" w:sz="4" w:space="0" w:color="auto"/>
            </w:tcBorders>
            <w:vAlign w:val="center"/>
          </w:tcPr>
          <w:p w14:paraId="7DF1704F" w14:textId="558F5C3B" w:rsidR="003D78AF" w:rsidRPr="003D78AF" w:rsidRDefault="003D78AF" w:rsidP="003D78AF">
            <w:pPr>
              <w:spacing w:line="240" w:lineRule="auto"/>
              <w:jc w:val="right"/>
              <w:rPr>
                <w:rFonts w:cs="Arial"/>
                <w:b/>
                <w:lang w:eastAsia="en-AU"/>
              </w:rPr>
            </w:pPr>
            <w:r>
              <w:rPr>
                <w:rFonts w:cs="Arial"/>
                <w:b/>
                <w:bCs/>
              </w:rPr>
              <w:t>45</w:t>
            </w:r>
          </w:p>
        </w:tc>
      </w:tr>
      <w:tr w:rsidR="003D78AF" w:rsidRPr="00650B45" w14:paraId="4D04E998"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3D78AF" w:rsidRDefault="003D78AF" w:rsidP="003D78AF">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center"/>
          </w:tcPr>
          <w:p w14:paraId="1BAC2D8F" w14:textId="6967B7FE" w:rsidR="003D78AF" w:rsidRPr="003D78AF" w:rsidRDefault="003D78AF" w:rsidP="003D78AF">
            <w:pPr>
              <w:spacing w:line="240" w:lineRule="auto"/>
              <w:jc w:val="right"/>
              <w:rPr>
                <w:rFonts w:cs="Arial"/>
                <w:lang w:eastAsia="en-AU"/>
              </w:rPr>
            </w:pPr>
            <w:r>
              <w:rPr>
                <w:rFonts w:cs="Arial"/>
              </w:rPr>
              <w:t>2</w:t>
            </w:r>
            <w:r w:rsidR="00843B97">
              <w:rPr>
                <w:rFonts w:cs="Arial"/>
              </w:rPr>
              <w:t>8</w:t>
            </w:r>
          </w:p>
        </w:tc>
        <w:tc>
          <w:tcPr>
            <w:tcW w:w="850" w:type="dxa"/>
            <w:tcBorders>
              <w:top w:val="nil"/>
              <w:left w:val="nil"/>
              <w:bottom w:val="single" w:sz="4" w:space="0" w:color="auto"/>
              <w:right w:val="single" w:sz="4" w:space="0" w:color="auto"/>
            </w:tcBorders>
            <w:shd w:val="clear" w:color="auto" w:fill="auto"/>
            <w:vAlign w:val="center"/>
          </w:tcPr>
          <w:p w14:paraId="375C9925" w14:textId="54BF40D2" w:rsidR="003D78AF" w:rsidRPr="003D78AF" w:rsidRDefault="003D78AF" w:rsidP="003D78AF">
            <w:pPr>
              <w:spacing w:line="240" w:lineRule="auto"/>
              <w:jc w:val="right"/>
              <w:rPr>
                <w:rFonts w:cs="Arial"/>
                <w:lang w:eastAsia="en-AU"/>
              </w:rPr>
            </w:pPr>
            <w:r>
              <w:rPr>
                <w:rFonts w:cs="Arial"/>
              </w:rPr>
              <w:t>4</w:t>
            </w:r>
          </w:p>
        </w:tc>
        <w:tc>
          <w:tcPr>
            <w:tcW w:w="779" w:type="dxa"/>
            <w:tcBorders>
              <w:top w:val="nil"/>
              <w:left w:val="nil"/>
              <w:bottom w:val="single" w:sz="4" w:space="0" w:color="auto"/>
              <w:right w:val="single" w:sz="4" w:space="0" w:color="auto"/>
            </w:tcBorders>
            <w:vAlign w:val="center"/>
          </w:tcPr>
          <w:p w14:paraId="766C043E" w14:textId="4826AB4E" w:rsidR="003D78AF" w:rsidRPr="003D78AF" w:rsidRDefault="003D78AF" w:rsidP="003D78AF">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28EBBCA1" w14:textId="0E86A236" w:rsidR="003D78AF" w:rsidRPr="003D78AF" w:rsidRDefault="003D78AF" w:rsidP="003D78AF">
            <w:pPr>
              <w:spacing w:line="240" w:lineRule="auto"/>
              <w:jc w:val="right"/>
              <w:rPr>
                <w:rFonts w:cs="Arial"/>
                <w:lang w:eastAsia="en-AU"/>
              </w:rPr>
            </w:pPr>
            <w:r>
              <w:rPr>
                <w:rFonts w:cs="Arial"/>
              </w:rPr>
              <w:t>11</w:t>
            </w:r>
          </w:p>
        </w:tc>
        <w:tc>
          <w:tcPr>
            <w:tcW w:w="706" w:type="dxa"/>
            <w:tcBorders>
              <w:top w:val="nil"/>
              <w:left w:val="nil"/>
              <w:bottom w:val="single" w:sz="4" w:space="0" w:color="auto"/>
              <w:right w:val="single" w:sz="4" w:space="0" w:color="auto"/>
            </w:tcBorders>
            <w:vAlign w:val="center"/>
          </w:tcPr>
          <w:p w14:paraId="76B03AEF" w14:textId="5E09A10C" w:rsidR="003D78AF" w:rsidRPr="003D78AF" w:rsidRDefault="003D78AF" w:rsidP="003D78AF">
            <w:pPr>
              <w:spacing w:line="240" w:lineRule="auto"/>
              <w:jc w:val="right"/>
              <w:rPr>
                <w:rFonts w:cs="Arial"/>
                <w:lang w:eastAsia="en-AU"/>
              </w:rPr>
            </w:pPr>
            <w:r>
              <w:rPr>
                <w:rFonts w:cs="Arial"/>
              </w:rPr>
              <w:t>3</w:t>
            </w:r>
          </w:p>
        </w:tc>
        <w:tc>
          <w:tcPr>
            <w:tcW w:w="849" w:type="dxa"/>
            <w:tcBorders>
              <w:top w:val="nil"/>
              <w:left w:val="nil"/>
              <w:bottom w:val="single" w:sz="4" w:space="0" w:color="auto"/>
              <w:right w:val="single" w:sz="4" w:space="0" w:color="auto"/>
            </w:tcBorders>
            <w:vAlign w:val="center"/>
          </w:tcPr>
          <w:p w14:paraId="61D1E9D8" w14:textId="32E738BA" w:rsidR="003D78AF" w:rsidRPr="003D78AF" w:rsidRDefault="003D78AF" w:rsidP="003D78AF">
            <w:pPr>
              <w:spacing w:line="240" w:lineRule="auto"/>
              <w:jc w:val="right"/>
              <w:rPr>
                <w:rFonts w:cs="Arial"/>
                <w:b/>
                <w:lang w:eastAsia="en-AU"/>
              </w:rPr>
            </w:pPr>
            <w:r>
              <w:rPr>
                <w:rFonts w:cs="Arial"/>
                <w:b/>
                <w:bCs/>
              </w:rPr>
              <w:t>4</w:t>
            </w:r>
            <w:r w:rsidR="00843B97">
              <w:rPr>
                <w:rFonts w:cs="Arial"/>
                <w:b/>
                <w:bCs/>
              </w:rPr>
              <w:t>6</w:t>
            </w:r>
          </w:p>
        </w:tc>
      </w:tr>
      <w:tr w:rsidR="003D78AF" w:rsidRPr="00650B45" w14:paraId="725BA5E1"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3D78AF" w:rsidRPr="0040594D" w:rsidRDefault="003D78AF" w:rsidP="003D78AF">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center"/>
          </w:tcPr>
          <w:p w14:paraId="341678F9" w14:textId="2C578EA0" w:rsidR="003D78AF" w:rsidRPr="003D78AF" w:rsidRDefault="003D78AF" w:rsidP="003D78AF">
            <w:pPr>
              <w:spacing w:line="240" w:lineRule="auto"/>
              <w:jc w:val="right"/>
              <w:rPr>
                <w:rFonts w:cs="Arial"/>
                <w:lang w:eastAsia="en-AU"/>
              </w:rPr>
            </w:pPr>
            <w:r>
              <w:rPr>
                <w:rFonts w:cs="Arial"/>
              </w:rPr>
              <w:t>188</w:t>
            </w:r>
          </w:p>
        </w:tc>
        <w:tc>
          <w:tcPr>
            <w:tcW w:w="850" w:type="dxa"/>
            <w:tcBorders>
              <w:top w:val="nil"/>
              <w:left w:val="nil"/>
              <w:bottom w:val="single" w:sz="4" w:space="0" w:color="auto"/>
              <w:right w:val="single" w:sz="4" w:space="0" w:color="auto"/>
            </w:tcBorders>
            <w:shd w:val="clear" w:color="auto" w:fill="auto"/>
            <w:vAlign w:val="center"/>
          </w:tcPr>
          <w:p w14:paraId="5D2BA765" w14:textId="36074A1F" w:rsidR="003D78AF" w:rsidRPr="003D78AF" w:rsidRDefault="003D78AF" w:rsidP="003D78AF">
            <w:pPr>
              <w:spacing w:line="240" w:lineRule="auto"/>
              <w:jc w:val="right"/>
              <w:rPr>
                <w:rFonts w:cs="Arial"/>
                <w:lang w:eastAsia="en-AU"/>
              </w:rPr>
            </w:pPr>
            <w:r>
              <w:rPr>
                <w:rFonts w:cs="Arial"/>
              </w:rPr>
              <w:t>16</w:t>
            </w:r>
          </w:p>
        </w:tc>
        <w:tc>
          <w:tcPr>
            <w:tcW w:w="779" w:type="dxa"/>
            <w:tcBorders>
              <w:top w:val="nil"/>
              <w:left w:val="nil"/>
              <w:bottom w:val="single" w:sz="4" w:space="0" w:color="auto"/>
              <w:right w:val="single" w:sz="4" w:space="0" w:color="auto"/>
            </w:tcBorders>
            <w:vAlign w:val="center"/>
          </w:tcPr>
          <w:p w14:paraId="6EC1BDB5" w14:textId="50B3515D" w:rsidR="003D78AF" w:rsidRPr="003D78AF" w:rsidRDefault="003D78AF" w:rsidP="003D78AF">
            <w:pPr>
              <w:spacing w:line="240" w:lineRule="auto"/>
              <w:jc w:val="right"/>
              <w:rPr>
                <w:rFonts w:cs="Arial"/>
                <w:lang w:eastAsia="en-AU"/>
              </w:rPr>
            </w:pPr>
            <w:r>
              <w:rPr>
                <w:rFonts w:cs="Arial"/>
              </w:rPr>
              <w:t>268</w:t>
            </w:r>
          </w:p>
        </w:tc>
        <w:tc>
          <w:tcPr>
            <w:tcW w:w="643" w:type="dxa"/>
            <w:tcBorders>
              <w:top w:val="nil"/>
              <w:left w:val="nil"/>
              <w:bottom w:val="single" w:sz="4" w:space="0" w:color="auto"/>
              <w:right w:val="single" w:sz="4" w:space="0" w:color="auto"/>
            </w:tcBorders>
            <w:vAlign w:val="center"/>
          </w:tcPr>
          <w:p w14:paraId="1997B7CD" w14:textId="0A454F47" w:rsidR="003D78AF" w:rsidRPr="003D78AF" w:rsidRDefault="003D78AF" w:rsidP="003D78AF">
            <w:pPr>
              <w:spacing w:line="240" w:lineRule="auto"/>
              <w:jc w:val="right"/>
              <w:rPr>
                <w:rFonts w:cs="Arial"/>
                <w:lang w:eastAsia="en-AU"/>
              </w:rPr>
            </w:pPr>
            <w:r>
              <w:rPr>
                <w:rFonts w:cs="Arial"/>
              </w:rPr>
              <w:t>114</w:t>
            </w:r>
          </w:p>
        </w:tc>
        <w:tc>
          <w:tcPr>
            <w:tcW w:w="706" w:type="dxa"/>
            <w:tcBorders>
              <w:top w:val="nil"/>
              <w:left w:val="nil"/>
              <w:bottom w:val="single" w:sz="4" w:space="0" w:color="auto"/>
              <w:right w:val="single" w:sz="4" w:space="0" w:color="auto"/>
            </w:tcBorders>
            <w:vAlign w:val="center"/>
          </w:tcPr>
          <w:p w14:paraId="6C72EE70" w14:textId="1FFF1F40" w:rsidR="003D78AF" w:rsidRPr="003D78AF" w:rsidRDefault="003D78AF" w:rsidP="003D78AF">
            <w:pPr>
              <w:spacing w:line="240" w:lineRule="auto"/>
              <w:jc w:val="right"/>
              <w:rPr>
                <w:rFonts w:cs="Arial"/>
                <w:lang w:eastAsia="en-AU"/>
              </w:rPr>
            </w:pPr>
            <w:r>
              <w:rPr>
                <w:rFonts w:cs="Arial"/>
              </w:rPr>
              <w:t>18</w:t>
            </w:r>
          </w:p>
        </w:tc>
        <w:tc>
          <w:tcPr>
            <w:tcW w:w="849" w:type="dxa"/>
            <w:tcBorders>
              <w:top w:val="nil"/>
              <w:left w:val="nil"/>
              <w:bottom w:val="single" w:sz="4" w:space="0" w:color="auto"/>
              <w:right w:val="single" w:sz="4" w:space="0" w:color="auto"/>
            </w:tcBorders>
            <w:vAlign w:val="center"/>
          </w:tcPr>
          <w:p w14:paraId="10323D05" w14:textId="195EA688" w:rsidR="003D78AF" w:rsidRPr="003D78AF" w:rsidRDefault="003D78AF" w:rsidP="003D78AF">
            <w:pPr>
              <w:spacing w:line="240" w:lineRule="auto"/>
              <w:jc w:val="right"/>
              <w:rPr>
                <w:rFonts w:cs="Arial"/>
                <w:b/>
                <w:lang w:eastAsia="en-AU"/>
              </w:rPr>
            </w:pPr>
            <w:r>
              <w:rPr>
                <w:rFonts w:cs="Arial"/>
                <w:b/>
                <w:bCs/>
              </w:rPr>
              <w:t>604</w:t>
            </w:r>
          </w:p>
        </w:tc>
      </w:tr>
      <w:tr w:rsidR="003D78AF" w:rsidRPr="00650B45" w14:paraId="427883C4"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3D78AF" w:rsidRPr="0040594D" w:rsidRDefault="003D78AF" w:rsidP="003D78AF">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center"/>
          </w:tcPr>
          <w:p w14:paraId="784F94EA" w14:textId="5F275F6F" w:rsidR="003D78AF" w:rsidRPr="003D78AF" w:rsidRDefault="003D78AF" w:rsidP="003D78AF">
            <w:pPr>
              <w:spacing w:line="240" w:lineRule="auto"/>
              <w:jc w:val="right"/>
              <w:rPr>
                <w:rFonts w:cs="Arial"/>
                <w:lang w:eastAsia="en-AU"/>
              </w:rPr>
            </w:pPr>
            <w:r>
              <w:rPr>
                <w:rFonts w:cs="Arial"/>
              </w:rPr>
              <w:t>0</w:t>
            </w:r>
          </w:p>
        </w:tc>
        <w:tc>
          <w:tcPr>
            <w:tcW w:w="850" w:type="dxa"/>
            <w:tcBorders>
              <w:top w:val="nil"/>
              <w:left w:val="nil"/>
              <w:bottom w:val="single" w:sz="4" w:space="0" w:color="auto"/>
              <w:right w:val="single" w:sz="4" w:space="0" w:color="auto"/>
            </w:tcBorders>
            <w:shd w:val="clear" w:color="auto" w:fill="auto"/>
            <w:vAlign w:val="center"/>
          </w:tcPr>
          <w:p w14:paraId="2010BAC3" w14:textId="04850FBA" w:rsidR="003D78AF" w:rsidRPr="003D78AF" w:rsidRDefault="003D78AF" w:rsidP="003D78AF">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3CD99817" w14:textId="7FB90358" w:rsidR="003D78AF" w:rsidRPr="003D78AF" w:rsidRDefault="003D78AF" w:rsidP="003D78AF">
            <w:pPr>
              <w:spacing w:line="240" w:lineRule="auto"/>
              <w:jc w:val="right"/>
              <w:rPr>
                <w:rFonts w:cs="Arial"/>
                <w:lang w:eastAsia="en-AU"/>
              </w:rPr>
            </w:pPr>
            <w:r>
              <w:rPr>
                <w:rFonts w:cs="Arial"/>
              </w:rPr>
              <w:t>10</w:t>
            </w:r>
          </w:p>
        </w:tc>
        <w:tc>
          <w:tcPr>
            <w:tcW w:w="643" w:type="dxa"/>
            <w:tcBorders>
              <w:top w:val="nil"/>
              <w:left w:val="nil"/>
              <w:bottom w:val="single" w:sz="4" w:space="0" w:color="auto"/>
              <w:right w:val="single" w:sz="4" w:space="0" w:color="auto"/>
            </w:tcBorders>
            <w:vAlign w:val="center"/>
          </w:tcPr>
          <w:p w14:paraId="02AC8E9D" w14:textId="77C250AF" w:rsidR="003D78AF" w:rsidRPr="003D78AF" w:rsidRDefault="003D78AF" w:rsidP="003D78AF">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30E7D1DC" w14:textId="749E4461" w:rsidR="003D78AF" w:rsidRPr="003D78AF" w:rsidRDefault="003D78AF" w:rsidP="003D78AF">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486AC0F0" w14:textId="76B23259" w:rsidR="003D78AF" w:rsidRPr="003D78AF" w:rsidRDefault="003D78AF" w:rsidP="003D78AF">
            <w:pPr>
              <w:spacing w:line="240" w:lineRule="auto"/>
              <w:jc w:val="right"/>
              <w:rPr>
                <w:rFonts w:cs="Arial"/>
                <w:b/>
                <w:lang w:eastAsia="en-AU"/>
              </w:rPr>
            </w:pPr>
            <w:r>
              <w:rPr>
                <w:rFonts w:cs="Arial"/>
                <w:b/>
                <w:bCs/>
              </w:rPr>
              <w:t>10</w:t>
            </w:r>
          </w:p>
        </w:tc>
      </w:tr>
      <w:tr w:rsidR="003D78AF" w:rsidRPr="00650B45" w14:paraId="626FFFAF"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3D78AF" w:rsidRPr="00371BE2" w:rsidRDefault="003D78AF" w:rsidP="003D78AF">
            <w:pPr>
              <w:spacing w:line="240" w:lineRule="auto"/>
              <w:rPr>
                <w:rFonts w:cs="Arial"/>
                <w:lang w:eastAsia="en-AU"/>
              </w:rPr>
            </w:pPr>
            <w:bookmarkStart w:id="16"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2D427CF0" w:rsidR="003D78AF" w:rsidRPr="003D78AF" w:rsidRDefault="003D78AF" w:rsidP="003D78AF">
            <w:pPr>
              <w:spacing w:line="240" w:lineRule="auto"/>
              <w:jc w:val="right"/>
              <w:rPr>
                <w:rFonts w:cs="Arial"/>
                <w:lang w:eastAsia="en-AU"/>
              </w:rPr>
            </w:pPr>
            <w:r>
              <w:rPr>
                <w:rFonts w:cs="Arial"/>
              </w:rPr>
              <w:t> </w:t>
            </w:r>
          </w:p>
        </w:tc>
        <w:tc>
          <w:tcPr>
            <w:tcW w:w="850" w:type="dxa"/>
            <w:tcBorders>
              <w:top w:val="nil"/>
              <w:left w:val="nil"/>
              <w:bottom w:val="single" w:sz="4" w:space="0" w:color="auto"/>
              <w:right w:val="single" w:sz="4" w:space="0" w:color="auto"/>
            </w:tcBorders>
            <w:shd w:val="clear" w:color="auto" w:fill="auto"/>
            <w:vAlign w:val="center"/>
          </w:tcPr>
          <w:p w14:paraId="68D714D8" w14:textId="6ABFDFB9" w:rsidR="003D78AF" w:rsidRPr="003D78AF" w:rsidRDefault="003D78AF" w:rsidP="003D78AF">
            <w:pPr>
              <w:spacing w:line="240" w:lineRule="auto"/>
              <w:jc w:val="right"/>
              <w:rPr>
                <w:rFonts w:cs="Arial"/>
                <w:lang w:eastAsia="en-AU"/>
              </w:rPr>
            </w:pPr>
            <w:r>
              <w:rPr>
                <w:rFonts w:cs="Arial"/>
              </w:rPr>
              <w:t> </w:t>
            </w:r>
          </w:p>
        </w:tc>
        <w:tc>
          <w:tcPr>
            <w:tcW w:w="779" w:type="dxa"/>
            <w:tcBorders>
              <w:top w:val="nil"/>
              <w:left w:val="nil"/>
              <w:bottom w:val="single" w:sz="4" w:space="0" w:color="auto"/>
              <w:right w:val="single" w:sz="4" w:space="0" w:color="auto"/>
            </w:tcBorders>
            <w:vAlign w:val="center"/>
          </w:tcPr>
          <w:p w14:paraId="1E479E1A" w14:textId="5DF6A28F" w:rsidR="003D78AF" w:rsidRPr="003D78AF" w:rsidRDefault="003D78AF" w:rsidP="003D78AF">
            <w:pPr>
              <w:spacing w:line="240" w:lineRule="auto"/>
              <w:jc w:val="right"/>
              <w:rPr>
                <w:rFonts w:cs="Arial"/>
                <w:lang w:eastAsia="en-AU"/>
              </w:rPr>
            </w:pPr>
            <w:r>
              <w:rPr>
                <w:rFonts w:cs="Arial"/>
              </w:rPr>
              <w:t> </w:t>
            </w:r>
          </w:p>
        </w:tc>
        <w:tc>
          <w:tcPr>
            <w:tcW w:w="643" w:type="dxa"/>
            <w:tcBorders>
              <w:top w:val="nil"/>
              <w:left w:val="nil"/>
              <w:bottom w:val="single" w:sz="4" w:space="0" w:color="auto"/>
              <w:right w:val="single" w:sz="4" w:space="0" w:color="auto"/>
            </w:tcBorders>
            <w:vAlign w:val="center"/>
          </w:tcPr>
          <w:p w14:paraId="3C891A0C" w14:textId="59C7266F" w:rsidR="003D78AF" w:rsidRPr="003D78AF" w:rsidRDefault="003D78AF" w:rsidP="003D78AF">
            <w:pPr>
              <w:spacing w:line="240" w:lineRule="auto"/>
              <w:jc w:val="right"/>
              <w:rPr>
                <w:rFonts w:cs="Arial"/>
                <w:lang w:eastAsia="en-AU"/>
              </w:rPr>
            </w:pPr>
            <w:r>
              <w:rPr>
                <w:rFonts w:cs="Arial"/>
              </w:rPr>
              <w:t> </w:t>
            </w:r>
          </w:p>
        </w:tc>
        <w:tc>
          <w:tcPr>
            <w:tcW w:w="706" w:type="dxa"/>
            <w:tcBorders>
              <w:top w:val="nil"/>
              <w:left w:val="nil"/>
              <w:bottom w:val="single" w:sz="4" w:space="0" w:color="auto"/>
              <w:right w:val="single" w:sz="4" w:space="0" w:color="auto"/>
            </w:tcBorders>
            <w:vAlign w:val="center"/>
          </w:tcPr>
          <w:p w14:paraId="72B90696" w14:textId="481A4C09" w:rsidR="003D78AF" w:rsidRPr="003D78AF" w:rsidRDefault="003D78AF" w:rsidP="003D78AF">
            <w:pPr>
              <w:spacing w:line="240" w:lineRule="auto"/>
              <w:jc w:val="right"/>
              <w:rPr>
                <w:rFonts w:cs="Arial"/>
                <w:lang w:eastAsia="en-AU"/>
              </w:rPr>
            </w:pPr>
            <w:r>
              <w:rPr>
                <w:rFonts w:cs="Arial"/>
              </w:rPr>
              <w:t> </w:t>
            </w:r>
          </w:p>
        </w:tc>
        <w:tc>
          <w:tcPr>
            <w:tcW w:w="849" w:type="dxa"/>
            <w:tcBorders>
              <w:top w:val="nil"/>
              <w:left w:val="nil"/>
              <w:bottom w:val="single" w:sz="4" w:space="0" w:color="auto"/>
              <w:right w:val="single" w:sz="4" w:space="0" w:color="auto"/>
            </w:tcBorders>
            <w:vAlign w:val="center"/>
          </w:tcPr>
          <w:p w14:paraId="3F3EAC97" w14:textId="33E3DBB3" w:rsidR="003D78AF" w:rsidRPr="003D78AF" w:rsidRDefault="003D78AF" w:rsidP="003D78AF">
            <w:pPr>
              <w:spacing w:line="240" w:lineRule="auto"/>
              <w:jc w:val="right"/>
              <w:rPr>
                <w:rFonts w:cs="Arial"/>
                <w:b/>
                <w:lang w:eastAsia="en-AU"/>
              </w:rPr>
            </w:pPr>
            <w:r>
              <w:rPr>
                <w:rFonts w:cs="Arial"/>
                <w:b/>
                <w:bCs/>
              </w:rPr>
              <w:t> </w:t>
            </w:r>
          </w:p>
        </w:tc>
      </w:tr>
      <w:bookmarkEnd w:id="16"/>
      <w:tr w:rsidR="003D78AF" w:rsidRPr="00650B45" w14:paraId="1804ED4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3D78AF" w:rsidRPr="00371BE2" w:rsidRDefault="003D78AF" w:rsidP="003D78AF">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shd w:val="clear" w:color="auto" w:fill="auto"/>
            <w:vAlign w:val="center"/>
          </w:tcPr>
          <w:p w14:paraId="7E38485B" w14:textId="4770211E" w:rsidR="003D78AF" w:rsidRPr="003D78AF" w:rsidRDefault="003D78AF" w:rsidP="003D78AF">
            <w:pPr>
              <w:spacing w:line="240" w:lineRule="auto"/>
              <w:jc w:val="right"/>
              <w:rPr>
                <w:rFonts w:cs="Arial"/>
              </w:rPr>
            </w:pPr>
            <w:r>
              <w:rPr>
                <w:rFonts w:cs="Arial"/>
              </w:rPr>
              <w:t>13</w:t>
            </w:r>
          </w:p>
        </w:tc>
        <w:tc>
          <w:tcPr>
            <w:tcW w:w="850" w:type="dxa"/>
            <w:tcBorders>
              <w:top w:val="nil"/>
              <w:left w:val="nil"/>
              <w:bottom w:val="single" w:sz="4" w:space="0" w:color="auto"/>
              <w:right w:val="single" w:sz="4" w:space="0" w:color="auto"/>
            </w:tcBorders>
            <w:shd w:val="clear" w:color="auto" w:fill="auto"/>
            <w:vAlign w:val="center"/>
          </w:tcPr>
          <w:p w14:paraId="503CD381" w14:textId="33B3537E" w:rsidR="003D78AF" w:rsidRPr="003D78AF" w:rsidRDefault="003D78AF" w:rsidP="003D78AF">
            <w:pPr>
              <w:spacing w:line="240" w:lineRule="auto"/>
              <w:jc w:val="right"/>
              <w:rPr>
                <w:rFonts w:cs="Arial"/>
              </w:rPr>
            </w:pPr>
            <w:r>
              <w:rPr>
                <w:rFonts w:cs="Arial"/>
              </w:rPr>
              <w:t>2</w:t>
            </w:r>
          </w:p>
        </w:tc>
        <w:tc>
          <w:tcPr>
            <w:tcW w:w="779" w:type="dxa"/>
            <w:tcBorders>
              <w:top w:val="nil"/>
              <w:left w:val="nil"/>
              <w:bottom w:val="single" w:sz="4" w:space="0" w:color="auto"/>
              <w:right w:val="single" w:sz="4" w:space="0" w:color="auto"/>
            </w:tcBorders>
            <w:vAlign w:val="center"/>
          </w:tcPr>
          <w:p w14:paraId="488ACCDC" w14:textId="0196C937" w:rsidR="003D78AF" w:rsidRPr="003D78AF" w:rsidRDefault="003D78AF" w:rsidP="003D78AF">
            <w:pPr>
              <w:spacing w:line="240" w:lineRule="auto"/>
              <w:jc w:val="right"/>
              <w:rPr>
                <w:rFonts w:cs="Arial"/>
              </w:rPr>
            </w:pPr>
            <w:r>
              <w:rPr>
                <w:rFonts w:cs="Arial"/>
              </w:rPr>
              <w:t>11</w:t>
            </w:r>
          </w:p>
        </w:tc>
        <w:tc>
          <w:tcPr>
            <w:tcW w:w="643" w:type="dxa"/>
            <w:tcBorders>
              <w:top w:val="nil"/>
              <w:left w:val="nil"/>
              <w:bottom w:val="single" w:sz="4" w:space="0" w:color="auto"/>
              <w:right w:val="single" w:sz="4" w:space="0" w:color="auto"/>
            </w:tcBorders>
            <w:vAlign w:val="center"/>
          </w:tcPr>
          <w:p w14:paraId="0FE1FB54" w14:textId="10B1FE8D" w:rsidR="003D78AF" w:rsidRPr="003D78AF" w:rsidRDefault="003D78AF" w:rsidP="003D78AF">
            <w:pPr>
              <w:spacing w:line="240" w:lineRule="auto"/>
              <w:jc w:val="right"/>
              <w:rPr>
                <w:rFonts w:cs="Arial"/>
              </w:rPr>
            </w:pPr>
            <w:r>
              <w:rPr>
                <w:rFonts w:cs="Arial"/>
              </w:rPr>
              <w:t>14</w:t>
            </w:r>
          </w:p>
        </w:tc>
        <w:tc>
          <w:tcPr>
            <w:tcW w:w="706" w:type="dxa"/>
            <w:tcBorders>
              <w:top w:val="nil"/>
              <w:left w:val="nil"/>
              <w:bottom w:val="single" w:sz="4" w:space="0" w:color="auto"/>
              <w:right w:val="single" w:sz="4" w:space="0" w:color="auto"/>
            </w:tcBorders>
            <w:vAlign w:val="center"/>
          </w:tcPr>
          <w:p w14:paraId="6B736C1A" w14:textId="177F2A36" w:rsidR="003D78AF" w:rsidRPr="003D78AF" w:rsidRDefault="003D78AF" w:rsidP="003D78AF">
            <w:pPr>
              <w:spacing w:line="240" w:lineRule="auto"/>
              <w:jc w:val="right"/>
              <w:rPr>
                <w:rFonts w:cs="Arial"/>
              </w:rPr>
            </w:pPr>
            <w:r>
              <w:rPr>
                <w:rFonts w:cs="Arial"/>
              </w:rPr>
              <w:t>2</w:t>
            </w:r>
          </w:p>
        </w:tc>
        <w:tc>
          <w:tcPr>
            <w:tcW w:w="849" w:type="dxa"/>
            <w:tcBorders>
              <w:top w:val="nil"/>
              <w:left w:val="nil"/>
              <w:bottom w:val="single" w:sz="4" w:space="0" w:color="auto"/>
              <w:right w:val="single" w:sz="4" w:space="0" w:color="auto"/>
            </w:tcBorders>
            <w:vAlign w:val="center"/>
          </w:tcPr>
          <w:p w14:paraId="46071030" w14:textId="0483276F" w:rsidR="003D78AF" w:rsidRPr="003D78AF" w:rsidRDefault="003D78AF" w:rsidP="003D78AF">
            <w:pPr>
              <w:spacing w:line="240" w:lineRule="auto"/>
              <w:jc w:val="right"/>
              <w:rPr>
                <w:rFonts w:cs="Arial"/>
                <w:b/>
                <w:bCs/>
              </w:rPr>
            </w:pPr>
            <w:r>
              <w:rPr>
                <w:rFonts w:cs="Arial"/>
                <w:b/>
                <w:bCs/>
              </w:rPr>
              <w:t>42</w:t>
            </w:r>
          </w:p>
        </w:tc>
      </w:tr>
      <w:tr w:rsidR="003D78AF" w:rsidRPr="00650B45" w14:paraId="2A2A6B6B"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3D78AF" w:rsidRPr="00371BE2" w:rsidRDefault="003D78AF" w:rsidP="003D78AF">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shd w:val="clear" w:color="auto" w:fill="auto"/>
            <w:vAlign w:val="center"/>
          </w:tcPr>
          <w:p w14:paraId="190C4072" w14:textId="368C85EF" w:rsidR="003D78AF" w:rsidRPr="003D78AF" w:rsidRDefault="003D78AF" w:rsidP="003D78AF">
            <w:pPr>
              <w:spacing w:line="240" w:lineRule="auto"/>
              <w:jc w:val="right"/>
              <w:rPr>
                <w:rFonts w:cs="Arial"/>
              </w:rPr>
            </w:pPr>
            <w:r>
              <w:rPr>
                <w:rFonts w:cs="Arial"/>
              </w:rPr>
              <w:t>15</w:t>
            </w:r>
          </w:p>
        </w:tc>
        <w:tc>
          <w:tcPr>
            <w:tcW w:w="850" w:type="dxa"/>
            <w:tcBorders>
              <w:top w:val="nil"/>
              <w:left w:val="nil"/>
              <w:bottom w:val="single" w:sz="4" w:space="0" w:color="auto"/>
              <w:right w:val="single" w:sz="4" w:space="0" w:color="auto"/>
            </w:tcBorders>
            <w:shd w:val="clear" w:color="auto" w:fill="auto"/>
            <w:vAlign w:val="center"/>
          </w:tcPr>
          <w:p w14:paraId="0611116F" w14:textId="47FAF149" w:rsidR="003D78AF" w:rsidRPr="003D78AF" w:rsidRDefault="003D78AF" w:rsidP="003D78AF">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01075C62" w:rsidR="003D78AF" w:rsidRPr="003D78AF" w:rsidRDefault="003D78AF" w:rsidP="003D78AF">
            <w:pPr>
              <w:spacing w:line="240" w:lineRule="auto"/>
              <w:jc w:val="right"/>
              <w:rPr>
                <w:rFonts w:cs="Arial"/>
              </w:rPr>
            </w:pPr>
            <w:r>
              <w:rPr>
                <w:rFonts w:cs="Arial"/>
              </w:rPr>
              <w:t>8</w:t>
            </w:r>
          </w:p>
        </w:tc>
        <w:tc>
          <w:tcPr>
            <w:tcW w:w="643" w:type="dxa"/>
            <w:tcBorders>
              <w:top w:val="nil"/>
              <w:left w:val="nil"/>
              <w:bottom w:val="single" w:sz="4" w:space="0" w:color="auto"/>
              <w:right w:val="single" w:sz="4" w:space="0" w:color="auto"/>
            </w:tcBorders>
            <w:vAlign w:val="center"/>
          </w:tcPr>
          <w:p w14:paraId="5E3C036C" w14:textId="126FCD6F" w:rsidR="003D78AF" w:rsidRPr="003D78AF" w:rsidRDefault="003D78AF" w:rsidP="003D78AF">
            <w:pPr>
              <w:spacing w:line="240" w:lineRule="auto"/>
              <w:jc w:val="right"/>
              <w:rPr>
                <w:rFonts w:cs="Arial"/>
              </w:rPr>
            </w:pPr>
            <w:r>
              <w:rPr>
                <w:rFonts w:cs="Arial"/>
              </w:rPr>
              <w:t>8</w:t>
            </w:r>
          </w:p>
        </w:tc>
        <w:tc>
          <w:tcPr>
            <w:tcW w:w="706" w:type="dxa"/>
            <w:tcBorders>
              <w:top w:val="nil"/>
              <w:left w:val="nil"/>
              <w:bottom w:val="single" w:sz="4" w:space="0" w:color="auto"/>
              <w:right w:val="single" w:sz="4" w:space="0" w:color="auto"/>
            </w:tcBorders>
            <w:vAlign w:val="center"/>
          </w:tcPr>
          <w:p w14:paraId="3F5C3F2B" w14:textId="6628C6C8" w:rsidR="003D78AF" w:rsidRPr="003D78AF" w:rsidRDefault="003D78AF" w:rsidP="003D78AF">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50F034E7" w14:textId="455ED97C" w:rsidR="003D78AF" w:rsidRPr="003D78AF" w:rsidRDefault="003D78AF" w:rsidP="003D78AF">
            <w:pPr>
              <w:spacing w:line="240" w:lineRule="auto"/>
              <w:jc w:val="right"/>
              <w:rPr>
                <w:rFonts w:cs="Arial"/>
                <w:b/>
                <w:bCs/>
              </w:rPr>
            </w:pPr>
            <w:r>
              <w:rPr>
                <w:rFonts w:cs="Arial"/>
                <w:b/>
                <w:bCs/>
              </w:rPr>
              <w:t>31</w:t>
            </w:r>
          </w:p>
        </w:tc>
      </w:tr>
      <w:tr w:rsidR="003D78AF" w:rsidRPr="00650B45" w14:paraId="4C455349"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3D78AF" w:rsidRPr="00371BE2" w:rsidRDefault="003D78AF" w:rsidP="003D78AF">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AE4B84" w14:textId="62CA3EB7" w:rsidR="003D78AF" w:rsidRPr="003D78AF" w:rsidRDefault="003D78AF" w:rsidP="003D78AF">
            <w:pPr>
              <w:spacing w:line="240" w:lineRule="auto"/>
              <w:jc w:val="right"/>
              <w:rPr>
                <w:rFonts w:cs="Arial"/>
                <w:lang w:eastAsia="en-AU"/>
              </w:rPr>
            </w:pPr>
            <w:r>
              <w:rPr>
                <w:rFonts w:cs="Arial"/>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3B57B" w14:textId="03D4D610" w:rsidR="003D78AF" w:rsidRPr="003D78AF" w:rsidRDefault="003D78AF" w:rsidP="003D78AF">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1724E6A7" w:rsidR="003D78AF" w:rsidRPr="003D78AF" w:rsidRDefault="003D78AF" w:rsidP="003D78AF">
            <w:pPr>
              <w:spacing w:line="240" w:lineRule="auto"/>
              <w:jc w:val="right"/>
              <w:rPr>
                <w:rFonts w:cs="Arial"/>
                <w:lang w:eastAsia="en-AU"/>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7DB1490A" w:rsidR="003D78AF" w:rsidRPr="003D78AF" w:rsidRDefault="003D78AF" w:rsidP="003D78AF">
            <w:pPr>
              <w:spacing w:line="240" w:lineRule="auto"/>
              <w:jc w:val="right"/>
              <w:rPr>
                <w:rFonts w:cs="Arial"/>
                <w:lang w:eastAsia="en-AU"/>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7C287A88" w14:textId="154C0390" w:rsidR="003D78AF" w:rsidRPr="003D78AF" w:rsidRDefault="003D78AF" w:rsidP="003D78AF">
            <w:pPr>
              <w:spacing w:line="240" w:lineRule="auto"/>
              <w:jc w:val="right"/>
              <w:rPr>
                <w:rFonts w:cs="Arial"/>
                <w:lang w:eastAsia="en-AU"/>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37F1A4A0" w14:textId="203179C4" w:rsidR="003D78AF" w:rsidRPr="003D78AF" w:rsidRDefault="003D78AF" w:rsidP="003D78AF">
            <w:pPr>
              <w:spacing w:line="240" w:lineRule="auto"/>
              <w:jc w:val="right"/>
              <w:rPr>
                <w:rFonts w:cs="Arial"/>
                <w:b/>
                <w:lang w:eastAsia="en-AU"/>
              </w:rPr>
            </w:pPr>
            <w:r>
              <w:rPr>
                <w:rFonts w:cs="Arial"/>
                <w:b/>
                <w:bCs/>
              </w:rPr>
              <w:t>2</w:t>
            </w:r>
          </w:p>
        </w:tc>
      </w:tr>
      <w:tr w:rsidR="003D78AF" w:rsidRPr="00557E24" w14:paraId="3F20CE90"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3D78AF" w:rsidRPr="00371BE2" w:rsidRDefault="003D78AF" w:rsidP="003D78AF">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35EFB" w14:textId="6D08EAD6" w:rsidR="003D78AF" w:rsidRPr="003D78AF" w:rsidRDefault="003D78AF" w:rsidP="003D78AF">
            <w:pPr>
              <w:spacing w:line="240" w:lineRule="auto"/>
              <w:jc w:val="right"/>
              <w:rPr>
                <w:rFonts w:cs="Arial"/>
                <w:b/>
                <w:lang w:eastAsia="en-AU"/>
              </w:rPr>
            </w:pPr>
            <w:r>
              <w:rPr>
                <w:rFonts w:cs="Arial"/>
                <w:b/>
                <w:bCs/>
              </w:rPr>
              <w:t>50</w:t>
            </w:r>
            <w:r w:rsidR="00843B97">
              <w:rPr>
                <w:rFonts w:cs="Arial"/>
                <w:b/>
                <w:bCs/>
              </w:rPr>
              <w:t>6</w:t>
            </w:r>
          </w:p>
        </w:tc>
        <w:tc>
          <w:tcPr>
            <w:tcW w:w="850" w:type="dxa"/>
            <w:tcBorders>
              <w:top w:val="single" w:sz="4" w:space="0" w:color="auto"/>
              <w:left w:val="nil"/>
              <w:bottom w:val="single" w:sz="4" w:space="0" w:color="auto"/>
              <w:right w:val="single" w:sz="4" w:space="0" w:color="auto"/>
            </w:tcBorders>
            <w:shd w:val="clear" w:color="auto" w:fill="auto"/>
            <w:vAlign w:val="center"/>
          </w:tcPr>
          <w:p w14:paraId="430FC376" w14:textId="4D4E041D" w:rsidR="003D78AF" w:rsidRPr="003D78AF" w:rsidRDefault="003D78AF" w:rsidP="003D78AF">
            <w:pPr>
              <w:spacing w:line="240" w:lineRule="auto"/>
              <w:jc w:val="right"/>
              <w:rPr>
                <w:rFonts w:cs="Arial"/>
                <w:b/>
                <w:lang w:eastAsia="en-AU"/>
              </w:rPr>
            </w:pPr>
            <w:r>
              <w:rPr>
                <w:rFonts w:cs="Arial"/>
                <w:b/>
                <w:bCs/>
              </w:rPr>
              <w:t>48</w:t>
            </w:r>
          </w:p>
        </w:tc>
        <w:tc>
          <w:tcPr>
            <w:tcW w:w="779" w:type="dxa"/>
            <w:tcBorders>
              <w:top w:val="single" w:sz="4" w:space="0" w:color="auto"/>
              <w:left w:val="nil"/>
              <w:bottom w:val="single" w:sz="4" w:space="0" w:color="auto"/>
              <w:right w:val="single" w:sz="4" w:space="0" w:color="auto"/>
            </w:tcBorders>
            <w:vAlign w:val="center"/>
          </w:tcPr>
          <w:p w14:paraId="4ECA5E82" w14:textId="4500AE8B" w:rsidR="003D78AF" w:rsidRPr="003D78AF" w:rsidRDefault="003D78AF" w:rsidP="003D78AF">
            <w:pPr>
              <w:spacing w:line="240" w:lineRule="auto"/>
              <w:jc w:val="right"/>
              <w:rPr>
                <w:rFonts w:cs="Arial"/>
                <w:b/>
                <w:lang w:eastAsia="en-AU"/>
              </w:rPr>
            </w:pPr>
            <w:r>
              <w:rPr>
                <w:rFonts w:cs="Arial"/>
                <w:b/>
                <w:bCs/>
              </w:rPr>
              <w:t>297</w:t>
            </w:r>
          </w:p>
        </w:tc>
        <w:tc>
          <w:tcPr>
            <w:tcW w:w="643" w:type="dxa"/>
            <w:tcBorders>
              <w:top w:val="single" w:sz="4" w:space="0" w:color="auto"/>
              <w:left w:val="nil"/>
              <w:bottom w:val="single" w:sz="4" w:space="0" w:color="auto"/>
              <w:right w:val="single" w:sz="4" w:space="0" w:color="auto"/>
            </w:tcBorders>
            <w:vAlign w:val="center"/>
          </w:tcPr>
          <w:p w14:paraId="4498767F" w14:textId="429F05E7" w:rsidR="003D78AF" w:rsidRPr="003D78AF" w:rsidRDefault="003D78AF" w:rsidP="003D78AF">
            <w:pPr>
              <w:spacing w:line="240" w:lineRule="auto"/>
              <w:jc w:val="right"/>
              <w:rPr>
                <w:rFonts w:cs="Arial"/>
                <w:b/>
                <w:lang w:eastAsia="en-AU"/>
              </w:rPr>
            </w:pPr>
            <w:r>
              <w:rPr>
                <w:rFonts w:cs="Arial"/>
                <w:b/>
                <w:bCs/>
              </w:rPr>
              <w:t>20</w:t>
            </w:r>
            <w:r w:rsidR="00843B97">
              <w:rPr>
                <w:rFonts w:cs="Arial"/>
                <w:b/>
                <w:bCs/>
              </w:rPr>
              <w:t>7</w:t>
            </w:r>
          </w:p>
        </w:tc>
        <w:tc>
          <w:tcPr>
            <w:tcW w:w="706" w:type="dxa"/>
            <w:tcBorders>
              <w:top w:val="single" w:sz="4" w:space="0" w:color="auto"/>
              <w:left w:val="nil"/>
              <w:bottom w:val="single" w:sz="4" w:space="0" w:color="auto"/>
              <w:right w:val="single" w:sz="4" w:space="0" w:color="auto"/>
            </w:tcBorders>
            <w:vAlign w:val="center"/>
          </w:tcPr>
          <w:p w14:paraId="2806B4BD" w14:textId="73C72454" w:rsidR="003D78AF" w:rsidRPr="003D78AF" w:rsidRDefault="003D78AF" w:rsidP="003D78AF">
            <w:pPr>
              <w:spacing w:line="240" w:lineRule="auto"/>
              <w:jc w:val="right"/>
              <w:rPr>
                <w:rFonts w:cs="Arial"/>
                <w:b/>
                <w:lang w:eastAsia="en-AU"/>
              </w:rPr>
            </w:pPr>
            <w:r>
              <w:rPr>
                <w:rFonts w:cs="Arial"/>
                <w:b/>
                <w:bCs/>
              </w:rPr>
              <w:t>52</w:t>
            </w:r>
          </w:p>
        </w:tc>
        <w:tc>
          <w:tcPr>
            <w:tcW w:w="849" w:type="dxa"/>
            <w:tcBorders>
              <w:top w:val="single" w:sz="4" w:space="0" w:color="auto"/>
              <w:left w:val="nil"/>
              <w:bottom w:val="single" w:sz="4" w:space="0" w:color="auto"/>
              <w:right w:val="single" w:sz="4" w:space="0" w:color="auto"/>
            </w:tcBorders>
            <w:vAlign w:val="center"/>
          </w:tcPr>
          <w:p w14:paraId="24507EE5" w14:textId="2E60479B" w:rsidR="003D78AF" w:rsidRPr="003D78AF" w:rsidRDefault="003D78AF" w:rsidP="003D78AF">
            <w:pPr>
              <w:spacing w:line="240" w:lineRule="auto"/>
              <w:jc w:val="right"/>
              <w:rPr>
                <w:rFonts w:cs="Arial"/>
                <w:b/>
                <w:lang w:eastAsia="en-AU"/>
              </w:rPr>
            </w:pPr>
            <w:r>
              <w:rPr>
                <w:rFonts w:cs="Arial"/>
                <w:b/>
                <w:bCs/>
              </w:rPr>
              <w:t>11</w:t>
            </w:r>
            <w:r w:rsidR="00843B97">
              <w:rPr>
                <w:rFonts w:cs="Arial"/>
                <w:b/>
                <w:bCs/>
              </w:rPr>
              <w:t>10</w:t>
            </w:r>
          </w:p>
        </w:tc>
      </w:tr>
    </w:tbl>
    <w:p w14:paraId="68A14D11" w14:textId="77777777" w:rsidR="00557E24" w:rsidRDefault="00557E24" w:rsidP="008D3D27">
      <w:pPr>
        <w:spacing w:line="240" w:lineRule="auto"/>
        <w:ind w:left="-142" w:right="-425"/>
        <w:rPr>
          <w:rFonts w:cs="Arial"/>
          <w:b/>
        </w:rPr>
      </w:pPr>
    </w:p>
    <w:p w14:paraId="1D61EE1E" w14:textId="77777777" w:rsidR="00D53206" w:rsidRDefault="00D53206" w:rsidP="00214C68">
      <w:pPr>
        <w:ind w:left="-142" w:right="-425"/>
        <w:rPr>
          <w:rFonts w:cs="Arial"/>
          <w:b/>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591BCC90" w:rsidR="00214C68" w:rsidRPr="00106853"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106853">
        <w:rPr>
          <w:rFonts w:ascii="Verdana" w:hAnsi="Verdana" w:cs="Arial"/>
          <w:sz w:val="20"/>
          <w:szCs w:val="20"/>
        </w:rPr>
        <w:t xml:space="preserve">Aurukun </w:t>
      </w:r>
      <w:r w:rsidR="00322C7B" w:rsidRPr="00106853">
        <w:rPr>
          <w:rFonts w:ascii="Verdana" w:hAnsi="Verdana" w:cs="Arial"/>
          <w:sz w:val="20"/>
          <w:szCs w:val="20"/>
        </w:rPr>
        <w:t xml:space="preserve">received </w:t>
      </w:r>
      <w:r w:rsidR="00106853">
        <w:rPr>
          <w:rFonts w:ascii="Verdana" w:hAnsi="Verdana" w:cs="Arial"/>
          <w:sz w:val="20"/>
          <w:szCs w:val="20"/>
        </w:rPr>
        <w:t>50</w:t>
      </w:r>
      <w:r w:rsidR="00843B97">
        <w:rPr>
          <w:rFonts w:ascii="Verdana" w:hAnsi="Verdana" w:cs="Arial"/>
          <w:sz w:val="20"/>
          <w:szCs w:val="20"/>
        </w:rPr>
        <w:t>6</w:t>
      </w:r>
      <w:r w:rsidR="00106853" w:rsidRPr="00106853">
        <w:rPr>
          <w:rFonts w:ascii="Verdana" w:hAnsi="Verdana" w:cs="Arial"/>
          <w:sz w:val="20"/>
          <w:szCs w:val="20"/>
        </w:rPr>
        <w:t xml:space="preserve"> </w:t>
      </w:r>
      <w:r w:rsidRPr="00106853">
        <w:rPr>
          <w:rFonts w:ascii="Verdana" w:hAnsi="Verdana" w:cs="Arial"/>
          <w:sz w:val="20"/>
          <w:szCs w:val="20"/>
        </w:rPr>
        <w:t>notices</w:t>
      </w:r>
      <w:r w:rsidR="00FF69E4" w:rsidRPr="00106853">
        <w:rPr>
          <w:rFonts w:ascii="Verdana" w:hAnsi="Verdana" w:cs="Arial"/>
          <w:sz w:val="20"/>
          <w:szCs w:val="20"/>
        </w:rPr>
        <w:t xml:space="preserve"> relating to </w:t>
      </w:r>
      <w:r w:rsidR="00ED4D69">
        <w:rPr>
          <w:rFonts w:ascii="Verdana" w:hAnsi="Verdana" w:cs="Arial"/>
          <w:sz w:val="20"/>
          <w:szCs w:val="20"/>
        </w:rPr>
        <w:t>23</w:t>
      </w:r>
      <w:r w:rsidR="00843B97">
        <w:rPr>
          <w:rFonts w:ascii="Verdana" w:hAnsi="Verdana" w:cs="Arial"/>
          <w:sz w:val="20"/>
          <w:szCs w:val="20"/>
        </w:rPr>
        <w:t>3</w:t>
      </w:r>
      <w:r w:rsidR="00ED4D69" w:rsidRPr="00106853">
        <w:rPr>
          <w:rFonts w:ascii="Verdana" w:hAnsi="Verdana" w:cs="Arial"/>
          <w:sz w:val="20"/>
          <w:szCs w:val="20"/>
        </w:rPr>
        <w:t xml:space="preserve"> </w:t>
      </w:r>
      <w:r w:rsidR="00FF69E4"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ED4D69">
        <w:rPr>
          <w:rFonts w:ascii="Verdana" w:hAnsi="Verdana" w:cs="Arial"/>
          <w:sz w:val="20"/>
          <w:szCs w:val="20"/>
        </w:rPr>
        <w:t>137</w:t>
      </w:r>
      <w:r w:rsidR="00ED4D69" w:rsidRPr="00106853">
        <w:rPr>
          <w:rFonts w:ascii="Verdana" w:hAnsi="Verdana" w:cs="Arial"/>
          <w:sz w:val="20"/>
          <w:szCs w:val="20"/>
        </w:rPr>
        <w:t xml:space="preserve"> </w:t>
      </w:r>
      <w:r w:rsidR="00490D4B" w:rsidRPr="00106853">
        <w:rPr>
          <w:rFonts w:ascii="Verdana" w:hAnsi="Verdana" w:cs="Arial"/>
          <w:sz w:val="20"/>
          <w:szCs w:val="20"/>
        </w:rPr>
        <w:t>female</w:t>
      </w:r>
      <w:r w:rsidR="004D219E" w:rsidRPr="00106853">
        <w:rPr>
          <w:rFonts w:ascii="Verdana" w:hAnsi="Verdana" w:cs="Arial"/>
          <w:sz w:val="20"/>
          <w:szCs w:val="20"/>
        </w:rPr>
        <w:t xml:space="preserve"> and </w:t>
      </w:r>
      <w:r w:rsidR="00ED4D69">
        <w:rPr>
          <w:rFonts w:ascii="Verdana" w:hAnsi="Verdana" w:cs="Arial"/>
          <w:sz w:val="20"/>
          <w:szCs w:val="20"/>
        </w:rPr>
        <w:t>9</w:t>
      </w:r>
      <w:r w:rsidR="00F677EC">
        <w:rPr>
          <w:rFonts w:ascii="Verdana" w:hAnsi="Verdana" w:cs="Arial"/>
          <w:sz w:val="20"/>
          <w:szCs w:val="20"/>
        </w:rPr>
        <w:t>6</w:t>
      </w:r>
      <w:r w:rsidR="00ED4D69"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6730507D" w14:textId="1001CEE9" w:rsidR="00214C68" w:rsidRPr="00106853"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106853">
        <w:rPr>
          <w:rFonts w:ascii="Verdana" w:hAnsi="Verdana" w:cs="Arial"/>
          <w:sz w:val="20"/>
          <w:szCs w:val="20"/>
        </w:rPr>
        <w:t xml:space="preserve">Coen </w:t>
      </w:r>
      <w:r w:rsidR="00322C7B" w:rsidRPr="00106853">
        <w:rPr>
          <w:rFonts w:ascii="Verdana" w:hAnsi="Verdana" w:cs="Arial"/>
          <w:sz w:val="20"/>
          <w:szCs w:val="20"/>
        </w:rPr>
        <w:t xml:space="preserve">received </w:t>
      </w:r>
      <w:r w:rsidR="00106853">
        <w:rPr>
          <w:rFonts w:ascii="Verdana" w:hAnsi="Verdana" w:cs="Arial"/>
          <w:sz w:val="20"/>
          <w:szCs w:val="20"/>
        </w:rPr>
        <w:t>48</w:t>
      </w:r>
      <w:r w:rsidR="00106853"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ED4D69">
        <w:rPr>
          <w:rFonts w:ascii="Verdana" w:hAnsi="Verdana" w:cs="Arial"/>
          <w:sz w:val="20"/>
          <w:szCs w:val="20"/>
        </w:rPr>
        <w:t>22</w:t>
      </w:r>
      <w:r w:rsidR="00ED4D69"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ED4D69">
        <w:rPr>
          <w:rFonts w:ascii="Verdana" w:hAnsi="Verdana" w:cs="Arial"/>
          <w:sz w:val="20"/>
          <w:szCs w:val="20"/>
        </w:rPr>
        <w:t>11</w:t>
      </w:r>
      <w:r w:rsidR="00ED4D69"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ED4D69">
        <w:rPr>
          <w:rFonts w:ascii="Verdana" w:hAnsi="Verdana" w:cs="Arial"/>
          <w:sz w:val="20"/>
          <w:szCs w:val="20"/>
        </w:rPr>
        <w:t>11</w:t>
      </w:r>
      <w:r w:rsidR="00ED4D69"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438CC073" w14:textId="51561D5B" w:rsidR="00214C68" w:rsidRPr="00106853"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106853">
        <w:rPr>
          <w:rFonts w:ascii="Verdana" w:hAnsi="Verdana" w:cs="Arial"/>
          <w:sz w:val="20"/>
          <w:szCs w:val="20"/>
        </w:rPr>
        <w:t>Doomadgee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106853">
        <w:rPr>
          <w:rFonts w:ascii="Verdana" w:hAnsi="Verdana" w:cs="Arial"/>
          <w:sz w:val="20"/>
          <w:szCs w:val="20"/>
        </w:rPr>
        <w:t>297</w:t>
      </w:r>
      <w:r w:rsidR="00106853"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ED4D69">
        <w:rPr>
          <w:rFonts w:ascii="Verdana" w:hAnsi="Verdana" w:cs="Arial"/>
          <w:sz w:val="20"/>
          <w:szCs w:val="20"/>
        </w:rPr>
        <w:t>181</w:t>
      </w:r>
      <w:r w:rsidR="00ED4D69"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ED4D69">
        <w:rPr>
          <w:rFonts w:ascii="Verdana" w:hAnsi="Verdana" w:cs="Arial"/>
          <w:sz w:val="20"/>
          <w:szCs w:val="20"/>
        </w:rPr>
        <w:t>137</w:t>
      </w:r>
      <w:r w:rsidR="00ED4D69"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ED4D69">
        <w:rPr>
          <w:rFonts w:ascii="Verdana" w:hAnsi="Verdana" w:cs="Arial"/>
          <w:sz w:val="20"/>
          <w:szCs w:val="20"/>
        </w:rPr>
        <w:t>44</w:t>
      </w:r>
      <w:r w:rsidR="00ED4D69"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09BFCAFB" w14:textId="39E36154" w:rsidR="00214C68" w:rsidRPr="00106853"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106853">
        <w:rPr>
          <w:rFonts w:ascii="Verdana" w:hAnsi="Verdana" w:cs="Arial"/>
          <w:sz w:val="20"/>
          <w:szCs w:val="20"/>
        </w:rPr>
        <w:t>Hope Vale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106853">
        <w:rPr>
          <w:rFonts w:ascii="Verdana" w:hAnsi="Verdana" w:cs="Arial"/>
          <w:sz w:val="20"/>
          <w:szCs w:val="20"/>
        </w:rPr>
        <w:t>20</w:t>
      </w:r>
      <w:r w:rsidR="00843B97">
        <w:rPr>
          <w:rFonts w:ascii="Verdana" w:hAnsi="Verdana" w:cs="Arial"/>
          <w:sz w:val="20"/>
          <w:szCs w:val="20"/>
        </w:rPr>
        <w:t>7</w:t>
      </w:r>
      <w:r w:rsidR="00106853"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ED4D69">
        <w:rPr>
          <w:rFonts w:ascii="Verdana" w:hAnsi="Verdana" w:cs="Arial"/>
          <w:sz w:val="20"/>
          <w:szCs w:val="20"/>
        </w:rPr>
        <w:t>11</w:t>
      </w:r>
      <w:r w:rsidR="00F677EC">
        <w:rPr>
          <w:rFonts w:ascii="Verdana" w:hAnsi="Verdana" w:cs="Arial"/>
          <w:sz w:val="20"/>
          <w:szCs w:val="20"/>
        </w:rPr>
        <w:t>9</w:t>
      </w:r>
      <w:r w:rsidR="00ED4D69"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ED4D69">
        <w:rPr>
          <w:rFonts w:ascii="Verdana" w:hAnsi="Verdana" w:cs="Arial"/>
          <w:sz w:val="20"/>
          <w:szCs w:val="20"/>
        </w:rPr>
        <w:t>69</w:t>
      </w:r>
      <w:r w:rsidR="00ED4D69"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F677EC">
        <w:rPr>
          <w:rFonts w:ascii="Verdana" w:hAnsi="Verdana" w:cs="Arial"/>
          <w:sz w:val="20"/>
          <w:szCs w:val="20"/>
        </w:rPr>
        <w:t>50</w:t>
      </w:r>
      <w:r w:rsidR="00ED4D69"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53DCC243" w14:textId="2E565BDC" w:rsidR="00F80FC4" w:rsidRPr="00106853" w:rsidRDefault="00214C68" w:rsidP="00F80FC4">
      <w:pPr>
        <w:pStyle w:val="ListParagraph"/>
        <w:numPr>
          <w:ilvl w:val="0"/>
          <w:numId w:val="8"/>
        </w:numPr>
        <w:ind w:left="572" w:right="-425" w:hanging="357"/>
        <w:jc w:val="both"/>
        <w:rPr>
          <w:rFonts w:cs="Arial"/>
          <w:b/>
        </w:rPr>
      </w:pPr>
      <w:r w:rsidRPr="00106853">
        <w:rPr>
          <w:rFonts w:ascii="Verdana" w:hAnsi="Verdana" w:cs="Arial"/>
          <w:sz w:val="20"/>
          <w:szCs w:val="20"/>
        </w:rPr>
        <w:t>Mossman Gorge</w:t>
      </w:r>
      <w:r w:rsidR="00322C7B" w:rsidRPr="00106853">
        <w:rPr>
          <w:rFonts w:ascii="Verdana" w:hAnsi="Verdana" w:cs="Arial"/>
          <w:sz w:val="20"/>
          <w:szCs w:val="20"/>
        </w:rPr>
        <w:t xml:space="preserve"> received </w:t>
      </w:r>
      <w:r w:rsidR="00106853">
        <w:rPr>
          <w:rFonts w:ascii="Verdana" w:hAnsi="Verdana" w:cs="Arial"/>
          <w:sz w:val="20"/>
          <w:szCs w:val="20"/>
        </w:rPr>
        <w:t>52</w:t>
      </w:r>
      <w:r w:rsidR="00106853"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ED4D69">
        <w:rPr>
          <w:rFonts w:ascii="Verdana" w:hAnsi="Verdana" w:cs="Arial"/>
          <w:sz w:val="20"/>
          <w:szCs w:val="20"/>
        </w:rPr>
        <w:t>24</w:t>
      </w:r>
      <w:r w:rsidR="00ED4D69"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ED4D69">
        <w:rPr>
          <w:rFonts w:ascii="Verdana" w:hAnsi="Verdana" w:cs="Arial"/>
          <w:sz w:val="20"/>
          <w:szCs w:val="20"/>
        </w:rPr>
        <w:t>16</w:t>
      </w:r>
      <w:r w:rsidR="00ED4D69"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ED4D69">
        <w:rPr>
          <w:rFonts w:ascii="Verdana" w:hAnsi="Verdana" w:cs="Arial"/>
          <w:sz w:val="20"/>
          <w:szCs w:val="20"/>
        </w:rPr>
        <w:t>8</w:t>
      </w:r>
      <w:r w:rsidR="00D022E5"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r w:rsidR="00490D4B" w:rsidRPr="00106853">
        <w:rPr>
          <w:rFonts w:ascii="Verdana" w:hAnsi="Verdana" w:cs="Arial"/>
          <w:sz w:val="20"/>
          <w:szCs w:val="20"/>
        </w:rPr>
        <w:t>.</w:t>
      </w:r>
    </w:p>
    <w:p w14:paraId="48607A65" w14:textId="77777777" w:rsidR="00322A26" w:rsidRDefault="00322A26" w:rsidP="005A5B78">
      <w:pPr>
        <w:ind w:left="-142" w:right="-425"/>
        <w:jc w:val="both"/>
        <w:rPr>
          <w:rFonts w:cs="Arial"/>
        </w:rPr>
      </w:pPr>
    </w:p>
    <w:p w14:paraId="47037F2D" w14:textId="77777777" w:rsidR="005A38A2" w:rsidRDefault="005A38A2">
      <w:pPr>
        <w:spacing w:line="240" w:lineRule="auto"/>
        <w:rPr>
          <w:rFonts w:cs="Arial"/>
          <w:b/>
          <w:sz w:val="16"/>
          <w:szCs w:val="16"/>
        </w:rPr>
      </w:pPr>
      <w:r>
        <w:rPr>
          <w:rFonts w:cs="Arial"/>
          <w:b/>
          <w:sz w:val="16"/>
          <w:szCs w:val="16"/>
        </w:rPr>
        <w:br w:type="page"/>
      </w:r>
    </w:p>
    <w:p w14:paraId="53C71FA6" w14:textId="60D7BFAB" w:rsidR="00FF751C" w:rsidRPr="00D925BE" w:rsidRDefault="00FF751C" w:rsidP="00FF751C">
      <w:pPr>
        <w:spacing w:after="120" w:line="240" w:lineRule="auto"/>
        <w:ind w:right="-425"/>
        <w:jc w:val="both"/>
        <w:rPr>
          <w:sz w:val="16"/>
          <w:szCs w:val="16"/>
        </w:rPr>
      </w:pPr>
      <w:r w:rsidRPr="008451D3">
        <w:rPr>
          <w:b/>
          <w:sz w:val="16"/>
          <w:szCs w:val="16"/>
        </w:rPr>
        <w:lastRenderedPageBreak/>
        <w:t xml:space="preserve">Table </w:t>
      </w:r>
      <w:r>
        <w:rPr>
          <w:b/>
          <w:sz w:val="16"/>
          <w:szCs w:val="16"/>
        </w:rPr>
        <w:t>10</w:t>
      </w:r>
      <w:r w:rsidRPr="008451D3">
        <w:rPr>
          <w:b/>
          <w:sz w:val="16"/>
          <w:szCs w:val="16"/>
        </w:rPr>
        <w:t xml:space="preserve">: </w:t>
      </w:r>
      <w:r w:rsidRPr="008451D3">
        <w:rPr>
          <w:sz w:val="16"/>
          <w:szCs w:val="16"/>
        </w:rPr>
        <w:t xml:space="preserve">In jurisdiction notices by type and quarter 1 </w:t>
      </w:r>
      <w:r>
        <w:rPr>
          <w:sz w:val="16"/>
          <w:szCs w:val="16"/>
        </w:rPr>
        <w:t>October 2020 to 31 December 2021</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5A38A2" w:rsidRPr="0093030B" w14:paraId="4FA0BAC7" w14:textId="0FC547D1" w:rsidTr="005A38A2">
        <w:trPr>
          <w:trHeight w:val="480"/>
        </w:trPr>
        <w:tc>
          <w:tcPr>
            <w:tcW w:w="3460" w:type="dxa"/>
            <w:tcBorders>
              <w:top w:val="single" w:sz="4" w:space="0" w:color="auto"/>
              <w:left w:val="single" w:sz="4" w:space="0" w:color="auto"/>
              <w:bottom w:val="single" w:sz="4" w:space="0" w:color="auto"/>
              <w:right w:val="single" w:sz="4" w:space="0" w:color="auto"/>
            </w:tcBorders>
            <w:hideMark/>
          </w:tcPr>
          <w:p w14:paraId="19160996" w14:textId="77777777" w:rsidR="005A38A2" w:rsidRPr="0093030B" w:rsidRDefault="005A38A2" w:rsidP="000B6D24">
            <w:pPr>
              <w:pStyle w:val="TableText"/>
              <w:ind w:left="49"/>
              <w:rPr>
                <w:b/>
                <w:lang w:eastAsia="en-AU"/>
              </w:rPr>
            </w:pPr>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5D4049C6" w14:textId="77777777" w:rsidR="005A38A2" w:rsidRDefault="005A38A2" w:rsidP="000B6D24">
            <w:pPr>
              <w:pStyle w:val="TableText"/>
              <w:jc w:val="right"/>
              <w:rPr>
                <w:b/>
                <w:lang w:eastAsia="en-AU"/>
              </w:rPr>
            </w:pPr>
            <w:r>
              <w:rPr>
                <w:b/>
                <w:lang w:eastAsia="en-AU"/>
              </w:rPr>
              <w:t>Qtr 50</w:t>
            </w:r>
          </w:p>
        </w:tc>
        <w:tc>
          <w:tcPr>
            <w:tcW w:w="1012" w:type="dxa"/>
            <w:tcBorders>
              <w:top w:val="single" w:sz="4" w:space="0" w:color="auto"/>
              <w:left w:val="nil"/>
              <w:bottom w:val="single" w:sz="4" w:space="0" w:color="auto"/>
              <w:right w:val="single" w:sz="4" w:space="0" w:color="auto"/>
            </w:tcBorders>
          </w:tcPr>
          <w:p w14:paraId="065B1710" w14:textId="77777777" w:rsidR="005A38A2" w:rsidRDefault="005A38A2" w:rsidP="000B6D24">
            <w:pPr>
              <w:pStyle w:val="TableText"/>
              <w:jc w:val="right"/>
              <w:rPr>
                <w:b/>
                <w:lang w:eastAsia="en-AU"/>
              </w:rPr>
            </w:pPr>
            <w:r>
              <w:rPr>
                <w:b/>
                <w:lang w:eastAsia="en-AU"/>
              </w:rPr>
              <w:t>Qtr 51</w:t>
            </w:r>
          </w:p>
        </w:tc>
        <w:tc>
          <w:tcPr>
            <w:tcW w:w="1012" w:type="dxa"/>
            <w:tcBorders>
              <w:top w:val="single" w:sz="4" w:space="0" w:color="auto"/>
              <w:left w:val="nil"/>
              <w:bottom w:val="single" w:sz="4" w:space="0" w:color="auto"/>
              <w:right w:val="single" w:sz="4" w:space="0" w:color="auto"/>
            </w:tcBorders>
          </w:tcPr>
          <w:p w14:paraId="6F906407" w14:textId="77777777" w:rsidR="005A38A2" w:rsidRDefault="005A38A2" w:rsidP="000B6D24">
            <w:pPr>
              <w:pStyle w:val="TableText"/>
              <w:jc w:val="right"/>
              <w:rPr>
                <w:b/>
                <w:lang w:eastAsia="en-AU"/>
              </w:rPr>
            </w:pPr>
            <w:r>
              <w:rPr>
                <w:b/>
                <w:lang w:eastAsia="en-AU"/>
              </w:rPr>
              <w:t>Qtr 52</w:t>
            </w:r>
          </w:p>
        </w:tc>
        <w:tc>
          <w:tcPr>
            <w:tcW w:w="1012" w:type="dxa"/>
            <w:tcBorders>
              <w:top w:val="single" w:sz="4" w:space="0" w:color="auto"/>
              <w:left w:val="nil"/>
              <w:bottom w:val="single" w:sz="4" w:space="0" w:color="auto"/>
              <w:right w:val="single" w:sz="4" w:space="0" w:color="auto"/>
            </w:tcBorders>
          </w:tcPr>
          <w:p w14:paraId="115A489F" w14:textId="77777777" w:rsidR="005A38A2" w:rsidRDefault="005A38A2" w:rsidP="000B6D24">
            <w:pPr>
              <w:pStyle w:val="TableText"/>
              <w:jc w:val="right"/>
              <w:rPr>
                <w:b/>
                <w:lang w:eastAsia="en-AU"/>
              </w:rPr>
            </w:pPr>
            <w:r>
              <w:rPr>
                <w:b/>
                <w:lang w:eastAsia="en-AU"/>
              </w:rPr>
              <w:t>Qtr 53</w:t>
            </w:r>
          </w:p>
        </w:tc>
        <w:tc>
          <w:tcPr>
            <w:tcW w:w="1012" w:type="dxa"/>
            <w:tcBorders>
              <w:top w:val="single" w:sz="4" w:space="0" w:color="auto"/>
              <w:left w:val="nil"/>
              <w:bottom w:val="single" w:sz="4" w:space="0" w:color="auto"/>
              <w:right w:val="single" w:sz="4" w:space="0" w:color="auto"/>
            </w:tcBorders>
          </w:tcPr>
          <w:p w14:paraId="1E60CCE2" w14:textId="01C5DBD3" w:rsidR="005A38A2" w:rsidRDefault="005A38A2" w:rsidP="000B6D24">
            <w:pPr>
              <w:pStyle w:val="TableText"/>
              <w:jc w:val="right"/>
              <w:rPr>
                <w:b/>
                <w:lang w:eastAsia="en-AU"/>
              </w:rPr>
            </w:pPr>
            <w:r>
              <w:rPr>
                <w:b/>
                <w:lang w:eastAsia="en-AU"/>
              </w:rPr>
              <w:t>Qtr 54</w:t>
            </w:r>
          </w:p>
        </w:tc>
      </w:tr>
      <w:tr w:rsidR="005A38A2" w:rsidRPr="0093030B" w14:paraId="4E4BAA13" w14:textId="77777777" w:rsidTr="005A38A2">
        <w:trPr>
          <w:trHeight w:val="255"/>
        </w:trPr>
        <w:tc>
          <w:tcPr>
            <w:tcW w:w="3460" w:type="dxa"/>
            <w:tcBorders>
              <w:top w:val="nil"/>
              <w:left w:val="single" w:sz="4" w:space="0" w:color="auto"/>
              <w:bottom w:val="single" w:sz="4" w:space="0" w:color="auto"/>
              <w:right w:val="single" w:sz="4" w:space="0" w:color="auto"/>
            </w:tcBorders>
            <w:noWrap/>
            <w:vAlign w:val="bottom"/>
          </w:tcPr>
          <w:p w14:paraId="70B2437F" w14:textId="3C2816E2" w:rsidR="005A38A2" w:rsidRDefault="005A38A2" w:rsidP="000B6D24">
            <w:pPr>
              <w:pStyle w:val="TableText"/>
              <w:ind w:left="49"/>
              <w:rPr>
                <w:lang w:eastAsia="en-AU"/>
              </w:rPr>
            </w:pPr>
            <w:r>
              <w:rPr>
                <w:lang w:eastAsia="en-AU"/>
              </w:rPr>
              <w:t>Supreme Court</w:t>
            </w:r>
          </w:p>
        </w:tc>
        <w:tc>
          <w:tcPr>
            <w:tcW w:w="1012" w:type="dxa"/>
            <w:tcBorders>
              <w:top w:val="nil"/>
              <w:left w:val="nil"/>
              <w:bottom w:val="single" w:sz="4" w:space="0" w:color="auto"/>
              <w:right w:val="single" w:sz="4" w:space="0" w:color="auto"/>
            </w:tcBorders>
          </w:tcPr>
          <w:p w14:paraId="01D4447B" w14:textId="6902A0F5" w:rsidR="005A38A2" w:rsidRDefault="005A38A2" w:rsidP="000B6D24">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4753DCC1" w14:textId="24E5D470" w:rsidR="005A38A2" w:rsidRDefault="005A38A2" w:rsidP="000B6D24">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748A92F" w14:textId="201382B7" w:rsidR="005A38A2" w:rsidRDefault="005A38A2" w:rsidP="000B6D24">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98F7573" w14:textId="278A5889" w:rsidR="005A38A2" w:rsidRDefault="005A38A2" w:rsidP="000B6D24">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4F997C8A" w14:textId="01734023" w:rsidR="005A38A2" w:rsidRDefault="005A38A2" w:rsidP="000B6D24">
            <w:pPr>
              <w:jc w:val="right"/>
              <w:rPr>
                <w:rFonts w:cs="Arial"/>
              </w:rPr>
            </w:pPr>
            <w:r>
              <w:rPr>
                <w:rFonts w:cs="Arial"/>
              </w:rPr>
              <w:t>1</w:t>
            </w:r>
          </w:p>
        </w:tc>
      </w:tr>
      <w:tr w:rsidR="005A38A2" w:rsidRPr="0093030B" w14:paraId="03206692" w14:textId="02A0B72C" w:rsidTr="005A38A2">
        <w:trPr>
          <w:trHeight w:val="255"/>
        </w:trPr>
        <w:tc>
          <w:tcPr>
            <w:tcW w:w="3460" w:type="dxa"/>
            <w:tcBorders>
              <w:top w:val="nil"/>
              <w:left w:val="single" w:sz="4" w:space="0" w:color="auto"/>
              <w:bottom w:val="single" w:sz="4" w:space="0" w:color="auto"/>
              <w:right w:val="single" w:sz="4" w:space="0" w:color="auto"/>
            </w:tcBorders>
            <w:noWrap/>
            <w:vAlign w:val="bottom"/>
          </w:tcPr>
          <w:p w14:paraId="642A34EA" w14:textId="77777777" w:rsidR="005A38A2" w:rsidRPr="0093030B" w:rsidRDefault="005A38A2" w:rsidP="000B6D24">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34678F05" w14:textId="77777777" w:rsidR="005A38A2" w:rsidRDefault="005A38A2" w:rsidP="000B6D24">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03E67954" w14:textId="77777777" w:rsidR="005A38A2" w:rsidRDefault="005A38A2" w:rsidP="000B6D24">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3BC93C12" w14:textId="77777777" w:rsidR="005A38A2" w:rsidRDefault="005A38A2" w:rsidP="000B6D24">
            <w:pPr>
              <w:jc w:val="right"/>
              <w:rPr>
                <w:rFonts w:cs="Arial"/>
              </w:rPr>
            </w:pPr>
            <w:r>
              <w:rPr>
                <w:rFonts w:cs="Arial"/>
              </w:rPr>
              <w:t>11</w:t>
            </w:r>
          </w:p>
        </w:tc>
        <w:tc>
          <w:tcPr>
            <w:tcW w:w="1012" w:type="dxa"/>
            <w:tcBorders>
              <w:top w:val="nil"/>
              <w:left w:val="nil"/>
              <w:bottom w:val="single" w:sz="4" w:space="0" w:color="auto"/>
              <w:right w:val="single" w:sz="4" w:space="0" w:color="auto"/>
            </w:tcBorders>
          </w:tcPr>
          <w:p w14:paraId="32124CFD" w14:textId="77777777" w:rsidR="005A38A2" w:rsidRDefault="005A38A2" w:rsidP="000B6D24">
            <w:pPr>
              <w:jc w:val="right"/>
              <w:rPr>
                <w:rFonts w:cs="Arial"/>
              </w:rPr>
            </w:pPr>
            <w:r>
              <w:rPr>
                <w:rFonts w:cs="Arial"/>
              </w:rPr>
              <w:t>12</w:t>
            </w:r>
          </w:p>
        </w:tc>
        <w:tc>
          <w:tcPr>
            <w:tcW w:w="1012" w:type="dxa"/>
            <w:tcBorders>
              <w:top w:val="nil"/>
              <w:left w:val="nil"/>
              <w:bottom w:val="single" w:sz="4" w:space="0" w:color="auto"/>
              <w:right w:val="single" w:sz="4" w:space="0" w:color="auto"/>
            </w:tcBorders>
          </w:tcPr>
          <w:p w14:paraId="6A9FC7E2" w14:textId="205CB8CE" w:rsidR="005A38A2" w:rsidRDefault="005A38A2" w:rsidP="000B6D24">
            <w:pPr>
              <w:jc w:val="right"/>
              <w:rPr>
                <w:rFonts w:cs="Arial"/>
              </w:rPr>
            </w:pPr>
            <w:r>
              <w:rPr>
                <w:rFonts w:cs="Arial"/>
              </w:rPr>
              <w:t>3</w:t>
            </w:r>
          </w:p>
        </w:tc>
      </w:tr>
      <w:tr w:rsidR="005A38A2" w:rsidRPr="0093030B" w14:paraId="13110058" w14:textId="0EC40C16" w:rsidTr="005A38A2">
        <w:trPr>
          <w:trHeight w:val="255"/>
        </w:trPr>
        <w:tc>
          <w:tcPr>
            <w:tcW w:w="3460" w:type="dxa"/>
            <w:tcBorders>
              <w:top w:val="nil"/>
              <w:left w:val="single" w:sz="4" w:space="0" w:color="auto"/>
              <w:bottom w:val="single" w:sz="4" w:space="0" w:color="auto"/>
              <w:right w:val="single" w:sz="4" w:space="0" w:color="auto"/>
            </w:tcBorders>
            <w:noWrap/>
            <w:vAlign w:val="bottom"/>
            <w:hideMark/>
          </w:tcPr>
          <w:p w14:paraId="0D0BAEA8" w14:textId="77777777" w:rsidR="005A38A2" w:rsidRPr="0093030B" w:rsidRDefault="005A38A2" w:rsidP="000B6D24">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47FDB3CC" w14:textId="77777777" w:rsidR="005A38A2" w:rsidRDefault="005A38A2" w:rsidP="000B6D24">
            <w:pPr>
              <w:jc w:val="right"/>
              <w:rPr>
                <w:rFonts w:cs="Arial"/>
              </w:rPr>
            </w:pPr>
            <w:r>
              <w:rPr>
                <w:rFonts w:cs="Arial"/>
              </w:rPr>
              <w:t>308</w:t>
            </w:r>
          </w:p>
        </w:tc>
        <w:tc>
          <w:tcPr>
            <w:tcW w:w="1012" w:type="dxa"/>
            <w:tcBorders>
              <w:top w:val="nil"/>
              <w:left w:val="nil"/>
              <w:bottom w:val="single" w:sz="4" w:space="0" w:color="auto"/>
              <w:right w:val="single" w:sz="4" w:space="0" w:color="auto"/>
            </w:tcBorders>
          </w:tcPr>
          <w:p w14:paraId="6AE76559" w14:textId="77777777" w:rsidR="005A38A2" w:rsidRDefault="005A38A2" w:rsidP="000B6D24">
            <w:pPr>
              <w:jc w:val="right"/>
              <w:rPr>
                <w:rFonts w:cs="Arial"/>
              </w:rPr>
            </w:pPr>
            <w:r>
              <w:rPr>
                <w:rFonts w:cs="Arial"/>
              </w:rPr>
              <w:t>344</w:t>
            </w:r>
          </w:p>
        </w:tc>
        <w:tc>
          <w:tcPr>
            <w:tcW w:w="1012" w:type="dxa"/>
            <w:tcBorders>
              <w:top w:val="nil"/>
              <w:left w:val="nil"/>
              <w:bottom w:val="single" w:sz="4" w:space="0" w:color="auto"/>
              <w:right w:val="single" w:sz="4" w:space="0" w:color="auto"/>
            </w:tcBorders>
            <w:vAlign w:val="bottom"/>
          </w:tcPr>
          <w:p w14:paraId="4A27ED62" w14:textId="77777777" w:rsidR="005A38A2" w:rsidRDefault="005A38A2" w:rsidP="000B6D24">
            <w:pPr>
              <w:jc w:val="right"/>
              <w:rPr>
                <w:rFonts w:cs="Arial"/>
              </w:rPr>
            </w:pPr>
            <w:r w:rsidRPr="001F4FDB">
              <w:rPr>
                <w:rFonts w:cs="Arial"/>
              </w:rPr>
              <w:t>378</w:t>
            </w:r>
          </w:p>
        </w:tc>
        <w:tc>
          <w:tcPr>
            <w:tcW w:w="1012" w:type="dxa"/>
            <w:tcBorders>
              <w:top w:val="nil"/>
              <w:left w:val="nil"/>
              <w:bottom w:val="single" w:sz="4" w:space="0" w:color="auto"/>
              <w:right w:val="single" w:sz="4" w:space="0" w:color="auto"/>
            </w:tcBorders>
          </w:tcPr>
          <w:p w14:paraId="78CAB1B9" w14:textId="77777777" w:rsidR="005A38A2" w:rsidRPr="001F4FDB" w:rsidRDefault="005A38A2" w:rsidP="000B6D24">
            <w:pPr>
              <w:jc w:val="right"/>
              <w:rPr>
                <w:rFonts w:cs="Arial"/>
              </w:rPr>
            </w:pPr>
            <w:r>
              <w:rPr>
                <w:rFonts w:cs="Arial"/>
              </w:rPr>
              <w:t>276</w:t>
            </w:r>
          </w:p>
        </w:tc>
        <w:tc>
          <w:tcPr>
            <w:tcW w:w="1012" w:type="dxa"/>
            <w:tcBorders>
              <w:top w:val="nil"/>
              <w:left w:val="nil"/>
              <w:bottom w:val="single" w:sz="4" w:space="0" w:color="auto"/>
              <w:right w:val="single" w:sz="4" w:space="0" w:color="auto"/>
            </w:tcBorders>
          </w:tcPr>
          <w:p w14:paraId="12107073" w14:textId="77CE42F7" w:rsidR="005A38A2" w:rsidRDefault="005A38A2" w:rsidP="000B6D24">
            <w:pPr>
              <w:jc w:val="right"/>
              <w:rPr>
                <w:rFonts w:cs="Arial"/>
              </w:rPr>
            </w:pPr>
            <w:r>
              <w:rPr>
                <w:rFonts w:cs="Arial"/>
              </w:rPr>
              <w:t>326</w:t>
            </w:r>
          </w:p>
        </w:tc>
      </w:tr>
      <w:tr w:rsidR="005A38A2" w:rsidRPr="0093030B" w14:paraId="6703E48E" w14:textId="1BB6B80F" w:rsidTr="005A38A2">
        <w:trPr>
          <w:trHeight w:val="255"/>
        </w:trPr>
        <w:tc>
          <w:tcPr>
            <w:tcW w:w="3460" w:type="dxa"/>
            <w:tcBorders>
              <w:top w:val="nil"/>
              <w:left w:val="single" w:sz="4" w:space="0" w:color="auto"/>
              <w:bottom w:val="single" w:sz="4" w:space="0" w:color="auto"/>
              <w:right w:val="single" w:sz="4" w:space="0" w:color="auto"/>
            </w:tcBorders>
            <w:noWrap/>
            <w:vAlign w:val="bottom"/>
          </w:tcPr>
          <w:p w14:paraId="0E46E672" w14:textId="77777777" w:rsidR="005A38A2" w:rsidRPr="0093030B" w:rsidRDefault="005A38A2" w:rsidP="000B6D24">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0876D703" w14:textId="77777777" w:rsidR="005A38A2" w:rsidRDefault="005A38A2" w:rsidP="000B6D24">
            <w:pPr>
              <w:jc w:val="right"/>
              <w:rPr>
                <w:rFonts w:cs="Arial"/>
              </w:rPr>
            </w:pPr>
            <w:r>
              <w:rPr>
                <w:rFonts w:cs="Arial"/>
              </w:rPr>
              <w:t>28</w:t>
            </w:r>
          </w:p>
        </w:tc>
        <w:tc>
          <w:tcPr>
            <w:tcW w:w="1012" w:type="dxa"/>
            <w:tcBorders>
              <w:top w:val="nil"/>
              <w:left w:val="nil"/>
              <w:bottom w:val="single" w:sz="4" w:space="0" w:color="auto"/>
              <w:right w:val="single" w:sz="4" w:space="0" w:color="auto"/>
            </w:tcBorders>
          </w:tcPr>
          <w:p w14:paraId="522344F0" w14:textId="77777777" w:rsidR="005A38A2" w:rsidRDefault="005A38A2" w:rsidP="000B6D24">
            <w:pPr>
              <w:jc w:val="right"/>
              <w:rPr>
                <w:rFonts w:cs="Arial"/>
              </w:rPr>
            </w:pPr>
            <w:r>
              <w:rPr>
                <w:rFonts w:cs="Arial"/>
              </w:rPr>
              <w:t>31</w:t>
            </w:r>
          </w:p>
        </w:tc>
        <w:tc>
          <w:tcPr>
            <w:tcW w:w="1012" w:type="dxa"/>
            <w:tcBorders>
              <w:top w:val="nil"/>
              <w:left w:val="nil"/>
              <w:bottom w:val="single" w:sz="4" w:space="0" w:color="auto"/>
              <w:right w:val="single" w:sz="4" w:space="0" w:color="auto"/>
            </w:tcBorders>
            <w:vAlign w:val="bottom"/>
          </w:tcPr>
          <w:p w14:paraId="2E188388" w14:textId="77777777" w:rsidR="005A38A2" w:rsidRDefault="005A38A2" w:rsidP="000B6D24">
            <w:pPr>
              <w:jc w:val="right"/>
              <w:rPr>
                <w:rFonts w:cs="Arial"/>
              </w:rPr>
            </w:pPr>
            <w:r w:rsidRPr="001F4FDB">
              <w:rPr>
                <w:rFonts w:cs="Arial"/>
              </w:rPr>
              <w:t>45</w:t>
            </w:r>
          </w:p>
        </w:tc>
        <w:tc>
          <w:tcPr>
            <w:tcW w:w="1012" w:type="dxa"/>
            <w:tcBorders>
              <w:top w:val="nil"/>
              <w:left w:val="nil"/>
              <w:bottom w:val="single" w:sz="4" w:space="0" w:color="auto"/>
              <w:right w:val="single" w:sz="4" w:space="0" w:color="auto"/>
            </w:tcBorders>
          </w:tcPr>
          <w:p w14:paraId="7D7AB1CC" w14:textId="77777777" w:rsidR="005A38A2" w:rsidRPr="001F4FDB" w:rsidRDefault="005A38A2" w:rsidP="000B6D24">
            <w:pPr>
              <w:jc w:val="right"/>
              <w:rPr>
                <w:rFonts w:cs="Arial"/>
              </w:rPr>
            </w:pPr>
            <w:r>
              <w:rPr>
                <w:rFonts w:cs="Arial"/>
              </w:rPr>
              <w:t>41</w:t>
            </w:r>
          </w:p>
        </w:tc>
        <w:tc>
          <w:tcPr>
            <w:tcW w:w="1012" w:type="dxa"/>
            <w:tcBorders>
              <w:top w:val="nil"/>
              <w:left w:val="nil"/>
              <w:bottom w:val="single" w:sz="4" w:space="0" w:color="auto"/>
              <w:right w:val="single" w:sz="4" w:space="0" w:color="auto"/>
            </w:tcBorders>
          </w:tcPr>
          <w:p w14:paraId="4BBFC77A" w14:textId="7CB36000" w:rsidR="005A38A2" w:rsidRDefault="005A38A2" w:rsidP="000B6D24">
            <w:pPr>
              <w:jc w:val="right"/>
              <w:rPr>
                <w:rFonts w:cs="Arial"/>
              </w:rPr>
            </w:pPr>
            <w:r>
              <w:rPr>
                <w:rFonts w:cs="Arial"/>
              </w:rPr>
              <w:t>45</w:t>
            </w:r>
          </w:p>
        </w:tc>
      </w:tr>
      <w:tr w:rsidR="005A38A2" w:rsidRPr="0093030B" w14:paraId="788937BD" w14:textId="17547DB9" w:rsidTr="005A38A2">
        <w:trPr>
          <w:trHeight w:val="255"/>
        </w:trPr>
        <w:tc>
          <w:tcPr>
            <w:tcW w:w="3460" w:type="dxa"/>
            <w:tcBorders>
              <w:top w:val="nil"/>
              <w:left w:val="single" w:sz="4" w:space="0" w:color="auto"/>
              <w:bottom w:val="single" w:sz="4" w:space="0" w:color="auto"/>
              <w:right w:val="single" w:sz="4" w:space="0" w:color="auto"/>
            </w:tcBorders>
            <w:noWrap/>
            <w:vAlign w:val="bottom"/>
          </w:tcPr>
          <w:p w14:paraId="1B6408C2" w14:textId="77777777" w:rsidR="005A38A2" w:rsidRPr="0093030B" w:rsidRDefault="005A38A2" w:rsidP="000B6D24">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03CB7040" w14:textId="77777777" w:rsidR="005A38A2" w:rsidRDefault="005A38A2" w:rsidP="000B6D24">
            <w:pPr>
              <w:jc w:val="right"/>
              <w:rPr>
                <w:rFonts w:cs="Arial"/>
              </w:rPr>
            </w:pPr>
            <w:r>
              <w:rPr>
                <w:rFonts w:cs="Arial"/>
              </w:rPr>
              <w:t>36</w:t>
            </w:r>
          </w:p>
        </w:tc>
        <w:tc>
          <w:tcPr>
            <w:tcW w:w="1012" w:type="dxa"/>
            <w:tcBorders>
              <w:top w:val="nil"/>
              <w:left w:val="nil"/>
              <w:bottom w:val="single" w:sz="4" w:space="0" w:color="auto"/>
              <w:right w:val="single" w:sz="4" w:space="0" w:color="auto"/>
            </w:tcBorders>
          </w:tcPr>
          <w:p w14:paraId="2E9E030B" w14:textId="77777777" w:rsidR="005A38A2" w:rsidRDefault="005A38A2" w:rsidP="000B6D24">
            <w:pPr>
              <w:jc w:val="right"/>
              <w:rPr>
                <w:rFonts w:cs="Arial"/>
              </w:rPr>
            </w:pPr>
            <w:r>
              <w:rPr>
                <w:rFonts w:cs="Arial"/>
              </w:rPr>
              <w:t>72</w:t>
            </w:r>
          </w:p>
        </w:tc>
        <w:tc>
          <w:tcPr>
            <w:tcW w:w="1012" w:type="dxa"/>
            <w:tcBorders>
              <w:top w:val="nil"/>
              <w:left w:val="nil"/>
              <w:bottom w:val="single" w:sz="4" w:space="0" w:color="auto"/>
              <w:right w:val="single" w:sz="4" w:space="0" w:color="auto"/>
            </w:tcBorders>
            <w:vAlign w:val="bottom"/>
          </w:tcPr>
          <w:p w14:paraId="7EE794E2" w14:textId="77777777" w:rsidR="005A38A2" w:rsidRDefault="005A38A2" w:rsidP="000B6D24">
            <w:pPr>
              <w:jc w:val="right"/>
              <w:rPr>
                <w:rFonts w:cs="Arial"/>
              </w:rPr>
            </w:pPr>
            <w:r w:rsidRPr="001F4FDB">
              <w:rPr>
                <w:rFonts w:cs="Arial"/>
              </w:rPr>
              <w:t>50</w:t>
            </w:r>
          </w:p>
        </w:tc>
        <w:tc>
          <w:tcPr>
            <w:tcW w:w="1012" w:type="dxa"/>
            <w:tcBorders>
              <w:top w:val="nil"/>
              <w:left w:val="nil"/>
              <w:bottom w:val="single" w:sz="4" w:space="0" w:color="auto"/>
              <w:right w:val="single" w:sz="4" w:space="0" w:color="auto"/>
            </w:tcBorders>
          </w:tcPr>
          <w:p w14:paraId="1547A4C8" w14:textId="77777777" w:rsidR="005A38A2" w:rsidRPr="001F4FDB" w:rsidRDefault="005A38A2" w:rsidP="000B6D24">
            <w:pPr>
              <w:jc w:val="right"/>
              <w:rPr>
                <w:rFonts w:cs="Arial"/>
              </w:rPr>
            </w:pPr>
            <w:r>
              <w:rPr>
                <w:rFonts w:cs="Arial"/>
              </w:rPr>
              <w:t>56</w:t>
            </w:r>
          </w:p>
        </w:tc>
        <w:tc>
          <w:tcPr>
            <w:tcW w:w="1012" w:type="dxa"/>
            <w:tcBorders>
              <w:top w:val="nil"/>
              <w:left w:val="nil"/>
              <w:bottom w:val="single" w:sz="4" w:space="0" w:color="auto"/>
              <w:right w:val="single" w:sz="4" w:space="0" w:color="auto"/>
            </w:tcBorders>
          </w:tcPr>
          <w:p w14:paraId="1F67D2FD" w14:textId="0B471B6C" w:rsidR="005A38A2" w:rsidRDefault="005A38A2" w:rsidP="000B6D24">
            <w:pPr>
              <w:jc w:val="right"/>
              <w:rPr>
                <w:rFonts w:cs="Arial"/>
              </w:rPr>
            </w:pPr>
            <w:r>
              <w:rPr>
                <w:rFonts w:cs="Arial"/>
              </w:rPr>
              <w:t>46</w:t>
            </w:r>
          </w:p>
        </w:tc>
      </w:tr>
      <w:tr w:rsidR="005A38A2" w:rsidRPr="0093030B" w14:paraId="43371662" w14:textId="6D15F0E6" w:rsidTr="005A38A2">
        <w:trPr>
          <w:trHeight w:val="255"/>
        </w:trPr>
        <w:tc>
          <w:tcPr>
            <w:tcW w:w="3460" w:type="dxa"/>
            <w:tcBorders>
              <w:top w:val="nil"/>
              <w:left w:val="single" w:sz="4" w:space="0" w:color="auto"/>
              <w:bottom w:val="single" w:sz="4" w:space="0" w:color="auto"/>
              <w:right w:val="single" w:sz="4" w:space="0" w:color="auto"/>
            </w:tcBorders>
            <w:noWrap/>
            <w:vAlign w:val="bottom"/>
            <w:hideMark/>
          </w:tcPr>
          <w:p w14:paraId="432C3882" w14:textId="77777777" w:rsidR="005A38A2" w:rsidRPr="0093030B" w:rsidRDefault="005A38A2" w:rsidP="000B6D24">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6D9EB54B" w14:textId="77777777" w:rsidR="005A38A2" w:rsidRDefault="005A38A2" w:rsidP="000B6D24">
            <w:pPr>
              <w:jc w:val="right"/>
              <w:rPr>
                <w:rFonts w:cs="Arial"/>
              </w:rPr>
            </w:pPr>
            <w:r>
              <w:rPr>
                <w:rFonts w:cs="Arial"/>
              </w:rPr>
              <w:t>684</w:t>
            </w:r>
          </w:p>
        </w:tc>
        <w:tc>
          <w:tcPr>
            <w:tcW w:w="1012" w:type="dxa"/>
            <w:tcBorders>
              <w:top w:val="nil"/>
              <w:left w:val="nil"/>
              <w:bottom w:val="single" w:sz="4" w:space="0" w:color="auto"/>
              <w:right w:val="single" w:sz="4" w:space="0" w:color="auto"/>
            </w:tcBorders>
          </w:tcPr>
          <w:p w14:paraId="7C9DF2E8" w14:textId="77777777" w:rsidR="005A38A2" w:rsidRDefault="005A38A2" w:rsidP="000B6D24">
            <w:pPr>
              <w:jc w:val="right"/>
              <w:rPr>
                <w:rFonts w:cs="Arial"/>
              </w:rPr>
            </w:pPr>
            <w:r>
              <w:rPr>
                <w:rFonts w:cs="Arial"/>
              </w:rPr>
              <w:t>553</w:t>
            </w:r>
          </w:p>
        </w:tc>
        <w:tc>
          <w:tcPr>
            <w:tcW w:w="1012" w:type="dxa"/>
            <w:tcBorders>
              <w:top w:val="nil"/>
              <w:left w:val="nil"/>
              <w:bottom w:val="single" w:sz="4" w:space="0" w:color="auto"/>
              <w:right w:val="single" w:sz="4" w:space="0" w:color="auto"/>
            </w:tcBorders>
            <w:vAlign w:val="bottom"/>
          </w:tcPr>
          <w:p w14:paraId="527CA771" w14:textId="77777777" w:rsidR="005A38A2" w:rsidRDefault="005A38A2" w:rsidP="000B6D24">
            <w:pPr>
              <w:jc w:val="right"/>
              <w:rPr>
                <w:rFonts w:cs="Arial"/>
              </w:rPr>
            </w:pPr>
            <w:r w:rsidRPr="001F4FDB">
              <w:rPr>
                <w:rFonts w:cs="Arial"/>
              </w:rPr>
              <w:t>581</w:t>
            </w:r>
          </w:p>
        </w:tc>
        <w:tc>
          <w:tcPr>
            <w:tcW w:w="1012" w:type="dxa"/>
            <w:tcBorders>
              <w:top w:val="nil"/>
              <w:left w:val="nil"/>
              <w:bottom w:val="single" w:sz="4" w:space="0" w:color="auto"/>
              <w:right w:val="single" w:sz="4" w:space="0" w:color="auto"/>
            </w:tcBorders>
          </w:tcPr>
          <w:p w14:paraId="133068F4" w14:textId="77777777" w:rsidR="005A38A2" w:rsidRPr="001F4FDB" w:rsidRDefault="005A38A2" w:rsidP="000B6D24">
            <w:pPr>
              <w:jc w:val="right"/>
              <w:rPr>
                <w:rFonts w:cs="Arial"/>
              </w:rPr>
            </w:pPr>
            <w:r>
              <w:rPr>
                <w:rFonts w:cs="Arial"/>
              </w:rPr>
              <w:t>637</w:t>
            </w:r>
          </w:p>
        </w:tc>
        <w:tc>
          <w:tcPr>
            <w:tcW w:w="1012" w:type="dxa"/>
            <w:tcBorders>
              <w:top w:val="nil"/>
              <w:left w:val="nil"/>
              <w:bottom w:val="single" w:sz="4" w:space="0" w:color="auto"/>
              <w:right w:val="single" w:sz="4" w:space="0" w:color="auto"/>
            </w:tcBorders>
          </w:tcPr>
          <w:p w14:paraId="7DC7A235" w14:textId="07CE627E" w:rsidR="005A38A2" w:rsidRDefault="005A38A2" w:rsidP="000B6D24">
            <w:pPr>
              <w:jc w:val="right"/>
              <w:rPr>
                <w:rFonts w:cs="Arial"/>
              </w:rPr>
            </w:pPr>
            <w:r>
              <w:rPr>
                <w:rFonts w:cs="Arial"/>
              </w:rPr>
              <w:t>604</w:t>
            </w:r>
          </w:p>
        </w:tc>
      </w:tr>
      <w:tr w:rsidR="005A38A2" w:rsidRPr="0093030B" w14:paraId="6294F855" w14:textId="6EA6D8CA" w:rsidTr="005A38A2">
        <w:trPr>
          <w:trHeight w:val="255"/>
        </w:trPr>
        <w:tc>
          <w:tcPr>
            <w:tcW w:w="3460" w:type="dxa"/>
            <w:tcBorders>
              <w:top w:val="nil"/>
              <w:left w:val="single" w:sz="4" w:space="0" w:color="auto"/>
              <w:bottom w:val="single" w:sz="4" w:space="0" w:color="auto"/>
              <w:right w:val="single" w:sz="4" w:space="0" w:color="auto"/>
            </w:tcBorders>
            <w:noWrap/>
            <w:vAlign w:val="bottom"/>
          </w:tcPr>
          <w:p w14:paraId="33627ADB" w14:textId="77777777" w:rsidR="005A38A2" w:rsidRPr="0093030B" w:rsidRDefault="005A38A2" w:rsidP="000B6D24">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5048D3F7" w14:textId="77777777" w:rsidR="005A38A2" w:rsidRDefault="005A38A2" w:rsidP="000B6D24">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14F886BF" w14:textId="77777777" w:rsidR="005A38A2" w:rsidRDefault="005A38A2" w:rsidP="000B6D24">
            <w:pPr>
              <w:jc w:val="right"/>
              <w:rPr>
                <w:rFonts w:cs="Arial"/>
              </w:rPr>
            </w:pPr>
            <w:r>
              <w:rPr>
                <w:rFonts w:cs="Arial"/>
              </w:rPr>
              <w:t>4</w:t>
            </w:r>
          </w:p>
        </w:tc>
        <w:tc>
          <w:tcPr>
            <w:tcW w:w="1012" w:type="dxa"/>
            <w:tcBorders>
              <w:top w:val="nil"/>
              <w:left w:val="nil"/>
              <w:bottom w:val="single" w:sz="4" w:space="0" w:color="auto"/>
              <w:right w:val="single" w:sz="4" w:space="0" w:color="auto"/>
            </w:tcBorders>
            <w:vAlign w:val="bottom"/>
          </w:tcPr>
          <w:p w14:paraId="1D5602F7" w14:textId="77777777" w:rsidR="005A38A2" w:rsidRDefault="005A38A2" w:rsidP="000B6D24">
            <w:pPr>
              <w:jc w:val="right"/>
              <w:rPr>
                <w:rFonts w:cs="Arial"/>
              </w:rPr>
            </w:pPr>
            <w:r w:rsidRPr="001F4FDB">
              <w:rPr>
                <w:rFonts w:cs="Arial"/>
              </w:rPr>
              <w:t>4</w:t>
            </w:r>
          </w:p>
        </w:tc>
        <w:tc>
          <w:tcPr>
            <w:tcW w:w="1012" w:type="dxa"/>
            <w:tcBorders>
              <w:top w:val="nil"/>
              <w:left w:val="nil"/>
              <w:bottom w:val="single" w:sz="4" w:space="0" w:color="auto"/>
              <w:right w:val="single" w:sz="4" w:space="0" w:color="auto"/>
            </w:tcBorders>
          </w:tcPr>
          <w:p w14:paraId="07BC6C57" w14:textId="77777777" w:rsidR="005A38A2" w:rsidRPr="001F4FDB" w:rsidRDefault="005A38A2" w:rsidP="000B6D24">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11D7C23C" w14:textId="452C03BD" w:rsidR="005A38A2" w:rsidRDefault="005A38A2" w:rsidP="000B6D24">
            <w:pPr>
              <w:jc w:val="right"/>
              <w:rPr>
                <w:rFonts w:cs="Arial"/>
              </w:rPr>
            </w:pPr>
            <w:r>
              <w:rPr>
                <w:rFonts w:cs="Arial"/>
              </w:rPr>
              <w:t>10</w:t>
            </w:r>
          </w:p>
        </w:tc>
      </w:tr>
      <w:tr w:rsidR="005A38A2" w:rsidRPr="0093030B" w14:paraId="61E955E5" w14:textId="1D432D39" w:rsidTr="005A38A2">
        <w:trPr>
          <w:trHeight w:val="255"/>
        </w:trPr>
        <w:tc>
          <w:tcPr>
            <w:tcW w:w="3460" w:type="dxa"/>
            <w:tcBorders>
              <w:top w:val="nil"/>
              <w:left w:val="single" w:sz="4" w:space="0" w:color="auto"/>
              <w:bottom w:val="single" w:sz="4" w:space="0" w:color="auto"/>
              <w:right w:val="single" w:sz="4" w:space="0" w:color="auto"/>
            </w:tcBorders>
            <w:noWrap/>
            <w:vAlign w:val="bottom"/>
            <w:hideMark/>
          </w:tcPr>
          <w:p w14:paraId="0807AD99" w14:textId="77777777" w:rsidR="005A38A2" w:rsidRPr="0093030B" w:rsidRDefault="005A38A2" w:rsidP="000B6D24">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4D025EFB" w14:textId="77777777" w:rsidR="005A38A2" w:rsidRDefault="005A38A2" w:rsidP="000B6D24">
            <w:pPr>
              <w:jc w:val="right"/>
              <w:rPr>
                <w:rFonts w:cs="Arial"/>
              </w:rPr>
            </w:pPr>
            <w:r>
              <w:rPr>
                <w:rFonts w:cs="Arial"/>
              </w:rPr>
              <w:t>67</w:t>
            </w:r>
          </w:p>
        </w:tc>
        <w:tc>
          <w:tcPr>
            <w:tcW w:w="1012" w:type="dxa"/>
            <w:tcBorders>
              <w:top w:val="nil"/>
              <w:left w:val="nil"/>
              <w:bottom w:val="single" w:sz="4" w:space="0" w:color="auto"/>
              <w:right w:val="single" w:sz="4" w:space="0" w:color="auto"/>
            </w:tcBorders>
          </w:tcPr>
          <w:p w14:paraId="6F02B226" w14:textId="77777777" w:rsidR="005A38A2" w:rsidRDefault="005A38A2" w:rsidP="000B6D24">
            <w:pPr>
              <w:jc w:val="right"/>
              <w:rPr>
                <w:rFonts w:cs="Arial"/>
              </w:rPr>
            </w:pPr>
            <w:r>
              <w:rPr>
                <w:rFonts w:cs="Arial"/>
              </w:rPr>
              <w:t>49</w:t>
            </w:r>
          </w:p>
        </w:tc>
        <w:tc>
          <w:tcPr>
            <w:tcW w:w="1012" w:type="dxa"/>
            <w:tcBorders>
              <w:top w:val="nil"/>
              <w:left w:val="nil"/>
              <w:bottom w:val="single" w:sz="4" w:space="0" w:color="auto"/>
              <w:right w:val="single" w:sz="4" w:space="0" w:color="auto"/>
            </w:tcBorders>
            <w:vAlign w:val="bottom"/>
          </w:tcPr>
          <w:p w14:paraId="55795C61" w14:textId="77777777" w:rsidR="005A38A2" w:rsidRDefault="005A38A2" w:rsidP="000B6D24">
            <w:pPr>
              <w:jc w:val="right"/>
              <w:rPr>
                <w:rFonts w:cs="Arial"/>
              </w:rPr>
            </w:pPr>
            <w:r w:rsidRPr="001F4FDB">
              <w:rPr>
                <w:rFonts w:cs="Arial"/>
              </w:rPr>
              <w:t>48</w:t>
            </w:r>
          </w:p>
        </w:tc>
        <w:tc>
          <w:tcPr>
            <w:tcW w:w="1012" w:type="dxa"/>
            <w:tcBorders>
              <w:top w:val="nil"/>
              <w:left w:val="nil"/>
              <w:bottom w:val="single" w:sz="4" w:space="0" w:color="auto"/>
              <w:right w:val="single" w:sz="4" w:space="0" w:color="auto"/>
            </w:tcBorders>
          </w:tcPr>
          <w:p w14:paraId="2BD9E9C1" w14:textId="77777777" w:rsidR="005A38A2" w:rsidRPr="001F4FDB" w:rsidRDefault="005A38A2" w:rsidP="000B6D24">
            <w:pPr>
              <w:jc w:val="right"/>
              <w:rPr>
                <w:rFonts w:cs="Arial"/>
              </w:rPr>
            </w:pPr>
            <w:r>
              <w:rPr>
                <w:rFonts w:cs="Arial"/>
              </w:rPr>
              <w:t>66</w:t>
            </w:r>
          </w:p>
        </w:tc>
        <w:tc>
          <w:tcPr>
            <w:tcW w:w="1012" w:type="dxa"/>
            <w:tcBorders>
              <w:top w:val="nil"/>
              <w:left w:val="nil"/>
              <w:bottom w:val="single" w:sz="4" w:space="0" w:color="auto"/>
              <w:right w:val="single" w:sz="4" w:space="0" w:color="auto"/>
            </w:tcBorders>
          </w:tcPr>
          <w:p w14:paraId="352AAABD" w14:textId="1FCFBDC5" w:rsidR="005A38A2" w:rsidRDefault="005A38A2" w:rsidP="000B6D24">
            <w:pPr>
              <w:jc w:val="right"/>
              <w:rPr>
                <w:rFonts w:cs="Arial"/>
              </w:rPr>
            </w:pPr>
            <w:r>
              <w:rPr>
                <w:rFonts w:cs="Arial"/>
              </w:rPr>
              <w:t>73</w:t>
            </w:r>
          </w:p>
        </w:tc>
      </w:tr>
      <w:tr w:rsidR="005A38A2" w:rsidRPr="0093030B" w14:paraId="13E54FE7" w14:textId="40E4F5FE" w:rsidTr="005A38A2">
        <w:trPr>
          <w:trHeight w:val="255"/>
        </w:trPr>
        <w:tc>
          <w:tcPr>
            <w:tcW w:w="3460" w:type="dxa"/>
            <w:tcBorders>
              <w:top w:val="nil"/>
              <w:left w:val="single" w:sz="4" w:space="0" w:color="auto"/>
              <w:bottom w:val="single" w:sz="4" w:space="0" w:color="auto"/>
              <w:right w:val="single" w:sz="4" w:space="0" w:color="auto"/>
            </w:tcBorders>
            <w:noWrap/>
            <w:vAlign w:val="bottom"/>
            <w:hideMark/>
          </w:tcPr>
          <w:p w14:paraId="4F9128A7" w14:textId="77777777" w:rsidR="005A38A2" w:rsidRPr="0093030B" w:rsidRDefault="005A38A2" w:rsidP="000B6D24">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13A2E964" w14:textId="77777777" w:rsidR="005A38A2" w:rsidRDefault="005A38A2" w:rsidP="000B6D24">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6BE06536" w14:textId="77777777" w:rsidR="005A38A2" w:rsidRDefault="005A38A2" w:rsidP="000B6D24">
            <w:pPr>
              <w:jc w:val="right"/>
              <w:rPr>
                <w:rFonts w:cs="Arial"/>
              </w:rPr>
            </w:pPr>
            <w:r>
              <w:rPr>
                <w:rFonts w:cs="Arial"/>
              </w:rPr>
              <w:t>2</w:t>
            </w:r>
          </w:p>
        </w:tc>
        <w:tc>
          <w:tcPr>
            <w:tcW w:w="1012" w:type="dxa"/>
            <w:tcBorders>
              <w:top w:val="nil"/>
              <w:left w:val="nil"/>
              <w:bottom w:val="single" w:sz="4" w:space="0" w:color="auto"/>
              <w:right w:val="single" w:sz="4" w:space="0" w:color="auto"/>
            </w:tcBorders>
            <w:vAlign w:val="bottom"/>
          </w:tcPr>
          <w:p w14:paraId="1A97B830" w14:textId="77777777" w:rsidR="005A38A2" w:rsidRDefault="005A38A2" w:rsidP="000B6D24">
            <w:pPr>
              <w:jc w:val="right"/>
              <w:rPr>
                <w:rFonts w:cs="Arial"/>
              </w:rPr>
            </w:pPr>
            <w:r w:rsidRPr="001F4FDB">
              <w:rPr>
                <w:rFonts w:cs="Arial"/>
              </w:rPr>
              <w:t>27</w:t>
            </w:r>
          </w:p>
        </w:tc>
        <w:tc>
          <w:tcPr>
            <w:tcW w:w="1012" w:type="dxa"/>
            <w:tcBorders>
              <w:top w:val="nil"/>
              <w:left w:val="nil"/>
              <w:bottom w:val="single" w:sz="4" w:space="0" w:color="auto"/>
              <w:right w:val="single" w:sz="4" w:space="0" w:color="auto"/>
            </w:tcBorders>
          </w:tcPr>
          <w:p w14:paraId="4981CEBF" w14:textId="77777777" w:rsidR="005A38A2" w:rsidRPr="001F4FDB" w:rsidRDefault="005A38A2" w:rsidP="000B6D24">
            <w:pPr>
              <w:jc w:val="right"/>
              <w:rPr>
                <w:rFonts w:cs="Arial"/>
              </w:rPr>
            </w:pPr>
            <w:r>
              <w:rPr>
                <w:rFonts w:cs="Arial"/>
              </w:rPr>
              <w:t>8</w:t>
            </w:r>
          </w:p>
        </w:tc>
        <w:tc>
          <w:tcPr>
            <w:tcW w:w="1012" w:type="dxa"/>
            <w:tcBorders>
              <w:top w:val="nil"/>
              <w:left w:val="nil"/>
              <w:bottom w:val="single" w:sz="4" w:space="0" w:color="auto"/>
              <w:right w:val="single" w:sz="4" w:space="0" w:color="auto"/>
            </w:tcBorders>
          </w:tcPr>
          <w:p w14:paraId="2ABDE93E" w14:textId="7FAFF3F2" w:rsidR="005A38A2" w:rsidRDefault="005A38A2" w:rsidP="000B6D24">
            <w:pPr>
              <w:jc w:val="right"/>
              <w:rPr>
                <w:rFonts w:cs="Arial"/>
              </w:rPr>
            </w:pPr>
            <w:r>
              <w:rPr>
                <w:rFonts w:cs="Arial"/>
              </w:rPr>
              <w:t>2</w:t>
            </w:r>
          </w:p>
        </w:tc>
      </w:tr>
      <w:tr w:rsidR="005A38A2" w:rsidRPr="0093030B" w14:paraId="4D321FC5" w14:textId="52A9AC70" w:rsidTr="005A38A2">
        <w:trPr>
          <w:trHeight w:val="255"/>
        </w:trPr>
        <w:tc>
          <w:tcPr>
            <w:tcW w:w="3460" w:type="dxa"/>
            <w:tcBorders>
              <w:top w:val="nil"/>
              <w:left w:val="single" w:sz="4" w:space="0" w:color="auto"/>
              <w:bottom w:val="single" w:sz="4" w:space="0" w:color="auto"/>
              <w:right w:val="single" w:sz="4" w:space="0" w:color="auto"/>
            </w:tcBorders>
            <w:noWrap/>
            <w:hideMark/>
          </w:tcPr>
          <w:p w14:paraId="5F371494" w14:textId="77777777" w:rsidR="005A38A2" w:rsidRPr="0093030B" w:rsidRDefault="005A38A2" w:rsidP="000B6D24">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0209E990" w14:textId="77777777" w:rsidR="005A38A2" w:rsidRDefault="005A38A2" w:rsidP="000B6D24">
            <w:pPr>
              <w:jc w:val="right"/>
              <w:rPr>
                <w:rFonts w:cs="Arial"/>
                <w:b/>
                <w:bCs/>
              </w:rPr>
            </w:pPr>
            <w:r>
              <w:rPr>
                <w:rFonts w:cs="Arial"/>
                <w:b/>
                <w:bCs/>
              </w:rPr>
              <w:t>1125</w:t>
            </w:r>
          </w:p>
        </w:tc>
        <w:tc>
          <w:tcPr>
            <w:tcW w:w="1012" w:type="dxa"/>
            <w:tcBorders>
              <w:top w:val="nil"/>
              <w:left w:val="nil"/>
              <w:bottom w:val="single" w:sz="4" w:space="0" w:color="auto"/>
              <w:right w:val="single" w:sz="4" w:space="0" w:color="auto"/>
            </w:tcBorders>
          </w:tcPr>
          <w:p w14:paraId="5151E55F" w14:textId="77777777" w:rsidR="005A38A2" w:rsidRDefault="005A38A2" w:rsidP="000B6D24">
            <w:pPr>
              <w:jc w:val="right"/>
              <w:rPr>
                <w:rFonts w:cs="Arial"/>
                <w:b/>
                <w:bCs/>
              </w:rPr>
            </w:pPr>
            <w:r>
              <w:rPr>
                <w:rFonts w:cs="Arial"/>
                <w:b/>
                <w:bCs/>
              </w:rPr>
              <w:t>1059</w:t>
            </w:r>
          </w:p>
        </w:tc>
        <w:tc>
          <w:tcPr>
            <w:tcW w:w="1012" w:type="dxa"/>
            <w:tcBorders>
              <w:top w:val="nil"/>
              <w:left w:val="nil"/>
              <w:bottom w:val="single" w:sz="4" w:space="0" w:color="auto"/>
              <w:right w:val="single" w:sz="4" w:space="0" w:color="auto"/>
            </w:tcBorders>
          </w:tcPr>
          <w:p w14:paraId="4DD93FDC" w14:textId="77777777" w:rsidR="005A38A2" w:rsidRDefault="005A38A2" w:rsidP="000B6D24">
            <w:pPr>
              <w:jc w:val="right"/>
              <w:rPr>
                <w:rFonts w:cs="Arial"/>
                <w:b/>
                <w:bCs/>
              </w:rPr>
            </w:pPr>
            <w:r>
              <w:rPr>
                <w:rFonts w:cs="Arial"/>
                <w:b/>
                <w:bCs/>
              </w:rPr>
              <w:t>1144</w:t>
            </w:r>
          </w:p>
        </w:tc>
        <w:tc>
          <w:tcPr>
            <w:tcW w:w="1012" w:type="dxa"/>
            <w:tcBorders>
              <w:top w:val="nil"/>
              <w:left w:val="nil"/>
              <w:bottom w:val="single" w:sz="4" w:space="0" w:color="auto"/>
              <w:right w:val="single" w:sz="4" w:space="0" w:color="auto"/>
            </w:tcBorders>
          </w:tcPr>
          <w:p w14:paraId="2273BD4E" w14:textId="77777777" w:rsidR="005A38A2" w:rsidRDefault="005A38A2" w:rsidP="000B6D24">
            <w:pPr>
              <w:jc w:val="right"/>
              <w:rPr>
                <w:rFonts w:cs="Arial"/>
                <w:b/>
                <w:bCs/>
              </w:rPr>
            </w:pPr>
            <w:r>
              <w:rPr>
                <w:rFonts w:cs="Arial"/>
                <w:b/>
                <w:bCs/>
              </w:rPr>
              <w:t>1096</w:t>
            </w:r>
          </w:p>
        </w:tc>
        <w:tc>
          <w:tcPr>
            <w:tcW w:w="1012" w:type="dxa"/>
            <w:tcBorders>
              <w:top w:val="nil"/>
              <w:left w:val="nil"/>
              <w:bottom w:val="single" w:sz="4" w:space="0" w:color="auto"/>
              <w:right w:val="single" w:sz="4" w:space="0" w:color="auto"/>
            </w:tcBorders>
          </w:tcPr>
          <w:p w14:paraId="52493860" w14:textId="102DC1C3" w:rsidR="005A38A2" w:rsidRDefault="005A38A2" w:rsidP="000B6D24">
            <w:pPr>
              <w:jc w:val="right"/>
              <w:rPr>
                <w:rFonts w:cs="Arial"/>
                <w:b/>
                <w:bCs/>
              </w:rPr>
            </w:pPr>
            <w:r>
              <w:rPr>
                <w:rFonts w:cs="Arial"/>
                <w:b/>
                <w:bCs/>
              </w:rPr>
              <w:t>1110</w:t>
            </w:r>
          </w:p>
        </w:tc>
      </w:tr>
    </w:tbl>
    <w:p w14:paraId="16F99885" w14:textId="77777777" w:rsidR="00FF751C" w:rsidRDefault="00FF751C" w:rsidP="00FF751C">
      <w:pPr>
        <w:spacing w:line="240" w:lineRule="auto"/>
        <w:ind w:left="-142" w:right="-425"/>
        <w:jc w:val="both"/>
        <w:rPr>
          <w:rFonts w:cs="Arial"/>
        </w:rPr>
      </w:pPr>
    </w:p>
    <w:p w14:paraId="1E2C3EB3" w14:textId="4FE0EB45" w:rsidR="005A38A2" w:rsidRDefault="005A38A2" w:rsidP="005A38A2">
      <w:pPr>
        <w:spacing w:after="120" w:line="240" w:lineRule="auto"/>
        <w:ind w:right="-425"/>
        <w:jc w:val="both"/>
        <w:rPr>
          <w:sz w:val="16"/>
          <w:szCs w:val="16"/>
        </w:rPr>
      </w:pPr>
      <w:r w:rsidRPr="008451D3">
        <w:rPr>
          <w:b/>
          <w:sz w:val="16"/>
          <w:szCs w:val="16"/>
        </w:rPr>
        <w:t xml:space="preserve">Table </w:t>
      </w:r>
      <w:r>
        <w:rPr>
          <w:b/>
          <w:sz w:val="16"/>
          <w:szCs w:val="16"/>
        </w:rPr>
        <w:t>11</w:t>
      </w:r>
      <w:r w:rsidRPr="008451D3">
        <w:rPr>
          <w:b/>
          <w:sz w:val="16"/>
          <w:szCs w:val="16"/>
        </w:rPr>
        <w:t xml:space="preserve">: </w:t>
      </w:r>
      <w:r w:rsidRPr="008451D3">
        <w:rPr>
          <w:sz w:val="16"/>
          <w:szCs w:val="16"/>
        </w:rPr>
        <w:t xml:space="preserve">In jurisdiction notices by community and quarter 1 </w:t>
      </w:r>
      <w:r>
        <w:rPr>
          <w:sz w:val="16"/>
          <w:szCs w:val="16"/>
        </w:rPr>
        <w:t>October 2020 to 31 December 2021</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5A38A2" w:rsidRPr="0093030B" w14:paraId="6A735F84" w14:textId="187EA986" w:rsidTr="005A38A2">
        <w:trPr>
          <w:trHeight w:val="480"/>
        </w:trPr>
        <w:tc>
          <w:tcPr>
            <w:tcW w:w="3460" w:type="dxa"/>
            <w:tcBorders>
              <w:top w:val="single" w:sz="4" w:space="0" w:color="auto"/>
              <w:left w:val="single" w:sz="4" w:space="0" w:color="auto"/>
              <w:bottom w:val="single" w:sz="4" w:space="0" w:color="auto"/>
              <w:right w:val="single" w:sz="4" w:space="0" w:color="auto"/>
            </w:tcBorders>
            <w:hideMark/>
          </w:tcPr>
          <w:p w14:paraId="226E13A0" w14:textId="77777777" w:rsidR="005A38A2" w:rsidRPr="0093030B" w:rsidRDefault="005A38A2" w:rsidP="000B6D24">
            <w:pPr>
              <w:pStyle w:val="TableText"/>
              <w:ind w:left="49"/>
              <w:rPr>
                <w:b/>
                <w:lang w:eastAsia="en-AU"/>
              </w:rPr>
            </w:pPr>
            <w:r>
              <w:rPr>
                <w:b/>
                <w:lang w:eastAsia="en-AU"/>
              </w:rPr>
              <w:t>Community</w:t>
            </w:r>
          </w:p>
        </w:tc>
        <w:tc>
          <w:tcPr>
            <w:tcW w:w="1012" w:type="dxa"/>
            <w:tcBorders>
              <w:top w:val="single" w:sz="4" w:space="0" w:color="auto"/>
              <w:left w:val="nil"/>
              <w:bottom w:val="single" w:sz="4" w:space="0" w:color="auto"/>
              <w:right w:val="single" w:sz="4" w:space="0" w:color="auto"/>
            </w:tcBorders>
          </w:tcPr>
          <w:p w14:paraId="62D7E6C5" w14:textId="77777777" w:rsidR="005A38A2" w:rsidRDefault="005A38A2" w:rsidP="000B6D24">
            <w:pPr>
              <w:pStyle w:val="TableText"/>
              <w:jc w:val="right"/>
              <w:rPr>
                <w:b/>
                <w:lang w:eastAsia="en-AU"/>
              </w:rPr>
            </w:pPr>
            <w:r>
              <w:rPr>
                <w:b/>
                <w:lang w:eastAsia="en-AU"/>
              </w:rPr>
              <w:t>Qtr 50</w:t>
            </w:r>
          </w:p>
        </w:tc>
        <w:tc>
          <w:tcPr>
            <w:tcW w:w="1012" w:type="dxa"/>
            <w:tcBorders>
              <w:top w:val="single" w:sz="4" w:space="0" w:color="auto"/>
              <w:left w:val="nil"/>
              <w:bottom w:val="single" w:sz="4" w:space="0" w:color="auto"/>
              <w:right w:val="single" w:sz="4" w:space="0" w:color="auto"/>
            </w:tcBorders>
          </w:tcPr>
          <w:p w14:paraId="0FBD0563" w14:textId="77777777" w:rsidR="005A38A2" w:rsidRDefault="005A38A2" w:rsidP="000B6D24">
            <w:pPr>
              <w:pStyle w:val="TableText"/>
              <w:jc w:val="right"/>
              <w:rPr>
                <w:b/>
                <w:lang w:eastAsia="en-AU"/>
              </w:rPr>
            </w:pPr>
            <w:r>
              <w:rPr>
                <w:b/>
                <w:lang w:eastAsia="en-AU"/>
              </w:rPr>
              <w:t>Qtr 51</w:t>
            </w:r>
          </w:p>
        </w:tc>
        <w:tc>
          <w:tcPr>
            <w:tcW w:w="1012" w:type="dxa"/>
            <w:tcBorders>
              <w:top w:val="single" w:sz="4" w:space="0" w:color="auto"/>
              <w:left w:val="nil"/>
              <w:bottom w:val="single" w:sz="4" w:space="0" w:color="auto"/>
              <w:right w:val="single" w:sz="4" w:space="0" w:color="auto"/>
            </w:tcBorders>
          </w:tcPr>
          <w:p w14:paraId="61845711" w14:textId="77777777" w:rsidR="005A38A2" w:rsidRDefault="005A38A2" w:rsidP="000B6D24">
            <w:pPr>
              <w:pStyle w:val="TableText"/>
              <w:jc w:val="right"/>
              <w:rPr>
                <w:b/>
                <w:lang w:eastAsia="en-AU"/>
              </w:rPr>
            </w:pPr>
            <w:r>
              <w:rPr>
                <w:b/>
                <w:lang w:eastAsia="en-AU"/>
              </w:rPr>
              <w:t>Qtr 52</w:t>
            </w:r>
          </w:p>
        </w:tc>
        <w:tc>
          <w:tcPr>
            <w:tcW w:w="1012" w:type="dxa"/>
            <w:tcBorders>
              <w:top w:val="single" w:sz="4" w:space="0" w:color="auto"/>
              <w:left w:val="nil"/>
              <w:bottom w:val="single" w:sz="4" w:space="0" w:color="auto"/>
              <w:right w:val="single" w:sz="4" w:space="0" w:color="auto"/>
            </w:tcBorders>
          </w:tcPr>
          <w:p w14:paraId="2D0D188B" w14:textId="77777777" w:rsidR="005A38A2" w:rsidRDefault="005A38A2" w:rsidP="000B6D24">
            <w:pPr>
              <w:pStyle w:val="TableText"/>
              <w:jc w:val="right"/>
              <w:rPr>
                <w:b/>
                <w:lang w:eastAsia="en-AU"/>
              </w:rPr>
            </w:pPr>
            <w:r>
              <w:rPr>
                <w:b/>
                <w:lang w:eastAsia="en-AU"/>
              </w:rPr>
              <w:t>Qtr 53</w:t>
            </w:r>
          </w:p>
        </w:tc>
        <w:tc>
          <w:tcPr>
            <w:tcW w:w="1012" w:type="dxa"/>
            <w:tcBorders>
              <w:top w:val="single" w:sz="4" w:space="0" w:color="auto"/>
              <w:left w:val="nil"/>
              <w:bottom w:val="single" w:sz="4" w:space="0" w:color="auto"/>
              <w:right w:val="single" w:sz="4" w:space="0" w:color="auto"/>
            </w:tcBorders>
          </w:tcPr>
          <w:p w14:paraId="4E3A4655" w14:textId="3911881B" w:rsidR="005A38A2" w:rsidRDefault="005A38A2" w:rsidP="000B6D24">
            <w:pPr>
              <w:pStyle w:val="TableText"/>
              <w:jc w:val="right"/>
              <w:rPr>
                <w:b/>
                <w:lang w:eastAsia="en-AU"/>
              </w:rPr>
            </w:pPr>
            <w:r>
              <w:rPr>
                <w:b/>
                <w:lang w:eastAsia="en-AU"/>
              </w:rPr>
              <w:t>Qtr 54</w:t>
            </w:r>
          </w:p>
        </w:tc>
      </w:tr>
      <w:tr w:rsidR="005A38A2" w:rsidRPr="0093030B" w14:paraId="77B5F4A8" w14:textId="2CA8FDC0" w:rsidTr="005A38A2">
        <w:trPr>
          <w:trHeight w:val="255"/>
        </w:trPr>
        <w:tc>
          <w:tcPr>
            <w:tcW w:w="3460" w:type="dxa"/>
            <w:tcBorders>
              <w:top w:val="nil"/>
              <w:left w:val="single" w:sz="4" w:space="0" w:color="auto"/>
              <w:bottom w:val="single" w:sz="4" w:space="0" w:color="auto"/>
              <w:right w:val="single" w:sz="4" w:space="0" w:color="auto"/>
            </w:tcBorders>
            <w:noWrap/>
            <w:vAlign w:val="bottom"/>
          </w:tcPr>
          <w:p w14:paraId="67242EAE" w14:textId="77777777" w:rsidR="005A38A2" w:rsidRPr="0093030B" w:rsidRDefault="005A38A2" w:rsidP="000B6D24">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vAlign w:val="bottom"/>
          </w:tcPr>
          <w:p w14:paraId="4722E8D4" w14:textId="77777777" w:rsidR="005A38A2" w:rsidRDefault="005A38A2" w:rsidP="000B6D24">
            <w:pPr>
              <w:jc w:val="right"/>
              <w:rPr>
                <w:rFonts w:cs="Arial"/>
              </w:rPr>
            </w:pPr>
            <w:r w:rsidRPr="005D5FC8">
              <w:rPr>
                <w:rFonts w:cs="Arial"/>
              </w:rPr>
              <w:t>468</w:t>
            </w:r>
          </w:p>
        </w:tc>
        <w:tc>
          <w:tcPr>
            <w:tcW w:w="1012" w:type="dxa"/>
            <w:tcBorders>
              <w:top w:val="nil"/>
              <w:left w:val="nil"/>
              <w:bottom w:val="single" w:sz="4" w:space="0" w:color="auto"/>
              <w:right w:val="single" w:sz="4" w:space="0" w:color="auto"/>
            </w:tcBorders>
          </w:tcPr>
          <w:p w14:paraId="214AE668" w14:textId="77777777" w:rsidR="005A38A2" w:rsidRDefault="005A38A2" w:rsidP="000B6D24">
            <w:pPr>
              <w:jc w:val="right"/>
              <w:rPr>
                <w:rFonts w:cs="Arial"/>
              </w:rPr>
            </w:pPr>
            <w:r>
              <w:rPr>
                <w:rFonts w:cs="Arial"/>
              </w:rPr>
              <w:t>502</w:t>
            </w:r>
          </w:p>
        </w:tc>
        <w:tc>
          <w:tcPr>
            <w:tcW w:w="1012" w:type="dxa"/>
            <w:tcBorders>
              <w:top w:val="nil"/>
              <w:left w:val="nil"/>
              <w:bottom w:val="single" w:sz="4" w:space="0" w:color="auto"/>
              <w:right w:val="single" w:sz="4" w:space="0" w:color="auto"/>
            </w:tcBorders>
            <w:vAlign w:val="bottom"/>
          </w:tcPr>
          <w:p w14:paraId="5175F201" w14:textId="77777777" w:rsidR="005A38A2" w:rsidRDefault="005A38A2" w:rsidP="000B6D24">
            <w:pPr>
              <w:jc w:val="right"/>
              <w:rPr>
                <w:rFonts w:cs="Arial"/>
              </w:rPr>
            </w:pPr>
            <w:r w:rsidRPr="001F4FDB">
              <w:rPr>
                <w:rFonts w:cs="Arial"/>
              </w:rPr>
              <w:t>513</w:t>
            </w:r>
          </w:p>
        </w:tc>
        <w:tc>
          <w:tcPr>
            <w:tcW w:w="1012" w:type="dxa"/>
            <w:tcBorders>
              <w:top w:val="nil"/>
              <w:left w:val="nil"/>
              <w:bottom w:val="single" w:sz="4" w:space="0" w:color="auto"/>
              <w:right w:val="single" w:sz="4" w:space="0" w:color="auto"/>
            </w:tcBorders>
          </w:tcPr>
          <w:p w14:paraId="34D2027B" w14:textId="77777777" w:rsidR="005A38A2" w:rsidRPr="001F4FDB" w:rsidRDefault="005A38A2" w:rsidP="000B6D24">
            <w:pPr>
              <w:jc w:val="right"/>
              <w:rPr>
                <w:rFonts w:cs="Arial"/>
              </w:rPr>
            </w:pPr>
            <w:r>
              <w:rPr>
                <w:rFonts w:cs="Arial"/>
              </w:rPr>
              <w:t>439</w:t>
            </w:r>
          </w:p>
        </w:tc>
        <w:tc>
          <w:tcPr>
            <w:tcW w:w="1012" w:type="dxa"/>
            <w:tcBorders>
              <w:top w:val="nil"/>
              <w:left w:val="nil"/>
              <w:bottom w:val="single" w:sz="4" w:space="0" w:color="auto"/>
              <w:right w:val="single" w:sz="4" w:space="0" w:color="auto"/>
            </w:tcBorders>
          </w:tcPr>
          <w:p w14:paraId="6A1B848A" w14:textId="5B71C6B9" w:rsidR="005A38A2" w:rsidRDefault="005A38A2" w:rsidP="000B6D24">
            <w:pPr>
              <w:jc w:val="right"/>
              <w:rPr>
                <w:rFonts w:cs="Arial"/>
              </w:rPr>
            </w:pPr>
            <w:r>
              <w:rPr>
                <w:rFonts w:cs="Arial"/>
              </w:rPr>
              <w:t>506</w:t>
            </w:r>
          </w:p>
        </w:tc>
      </w:tr>
      <w:tr w:rsidR="005A38A2" w:rsidRPr="0093030B" w14:paraId="582904F6" w14:textId="3CB8A183" w:rsidTr="005A38A2">
        <w:trPr>
          <w:trHeight w:val="255"/>
        </w:trPr>
        <w:tc>
          <w:tcPr>
            <w:tcW w:w="3460" w:type="dxa"/>
            <w:tcBorders>
              <w:top w:val="nil"/>
              <w:left w:val="single" w:sz="4" w:space="0" w:color="auto"/>
              <w:bottom w:val="single" w:sz="4" w:space="0" w:color="auto"/>
              <w:right w:val="single" w:sz="4" w:space="0" w:color="auto"/>
            </w:tcBorders>
            <w:noWrap/>
            <w:vAlign w:val="bottom"/>
            <w:hideMark/>
          </w:tcPr>
          <w:p w14:paraId="1A77D848" w14:textId="77777777" w:rsidR="005A38A2" w:rsidRPr="0093030B" w:rsidRDefault="005A38A2" w:rsidP="000B6D24">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vAlign w:val="bottom"/>
          </w:tcPr>
          <w:p w14:paraId="5902E293" w14:textId="77777777" w:rsidR="005A38A2" w:rsidRDefault="005A38A2" w:rsidP="000B6D24">
            <w:pPr>
              <w:jc w:val="right"/>
              <w:rPr>
                <w:rFonts w:cs="Arial"/>
              </w:rPr>
            </w:pPr>
            <w:r w:rsidRPr="005D5FC8">
              <w:rPr>
                <w:rFonts w:cs="Arial"/>
              </w:rPr>
              <w:t>60</w:t>
            </w:r>
          </w:p>
        </w:tc>
        <w:tc>
          <w:tcPr>
            <w:tcW w:w="1012" w:type="dxa"/>
            <w:tcBorders>
              <w:top w:val="nil"/>
              <w:left w:val="nil"/>
              <w:bottom w:val="single" w:sz="4" w:space="0" w:color="auto"/>
              <w:right w:val="single" w:sz="4" w:space="0" w:color="auto"/>
            </w:tcBorders>
          </w:tcPr>
          <w:p w14:paraId="5EBB0EB9" w14:textId="77777777" w:rsidR="005A38A2" w:rsidRDefault="005A38A2" w:rsidP="000B6D24">
            <w:pPr>
              <w:jc w:val="right"/>
              <w:rPr>
                <w:rFonts w:cs="Arial"/>
              </w:rPr>
            </w:pPr>
            <w:r>
              <w:rPr>
                <w:rFonts w:cs="Arial"/>
              </w:rPr>
              <w:t>48</w:t>
            </w:r>
          </w:p>
        </w:tc>
        <w:tc>
          <w:tcPr>
            <w:tcW w:w="1012" w:type="dxa"/>
            <w:tcBorders>
              <w:top w:val="nil"/>
              <w:left w:val="nil"/>
              <w:bottom w:val="single" w:sz="4" w:space="0" w:color="auto"/>
              <w:right w:val="single" w:sz="4" w:space="0" w:color="auto"/>
            </w:tcBorders>
            <w:vAlign w:val="bottom"/>
          </w:tcPr>
          <w:p w14:paraId="4930C093" w14:textId="77777777" w:rsidR="005A38A2" w:rsidRDefault="005A38A2" w:rsidP="000B6D24">
            <w:pPr>
              <w:jc w:val="right"/>
              <w:rPr>
                <w:rFonts w:cs="Arial"/>
              </w:rPr>
            </w:pPr>
            <w:r w:rsidRPr="001F4FDB">
              <w:rPr>
                <w:rFonts w:cs="Arial"/>
              </w:rPr>
              <w:t>37</w:t>
            </w:r>
          </w:p>
        </w:tc>
        <w:tc>
          <w:tcPr>
            <w:tcW w:w="1012" w:type="dxa"/>
            <w:tcBorders>
              <w:top w:val="nil"/>
              <w:left w:val="nil"/>
              <w:bottom w:val="single" w:sz="4" w:space="0" w:color="auto"/>
              <w:right w:val="single" w:sz="4" w:space="0" w:color="auto"/>
            </w:tcBorders>
          </w:tcPr>
          <w:p w14:paraId="6E589A6C" w14:textId="77777777" w:rsidR="005A38A2" w:rsidRPr="001F4FDB" w:rsidRDefault="005A38A2" w:rsidP="000B6D24">
            <w:pPr>
              <w:jc w:val="right"/>
              <w:rPr>
                <w:rFonts w:cs="Arial"/>
              </w:rPr>
            </w:pPr>
            <w:r>
              <w:rPr>
                <w:rFonts w:cs="Arial"/>
              </w:rPr>
              <w:t>60</w:t>
            </w:r>
          </w:p>
        </w:tc>
        <w:tc>
          <w:tcPr>
            <w:tcW w:w="1012" w:type="dxa"/>
            <w:tcBorders>
              <w:top w:val="nil"/>
              <w:left w:val="nil"/>
              <w:bottom w:val="single" w:sz="4" w:space="0" w:color="auto"/>
              <w:right w:val="single" w:sz="4" w:space="0" w:color="auto"/>
            </w:tcBorders>
          </w:tcPr>
          <w:p w14:paraId="1218F057" w14:textId="08BDE5E2" w:rsidR="005A38A2" w:rsidRDefault="005A38A2" w:rsidP="000B6D24">
            <w:pPr>
              <w:jc w:val="right"/>
              <w:rPr>
                <w:rFonts w:cs="Arial"/>
              </w:rPr>
            </w:pPr>
            <w:r>
              <w:rPr>
                <w:rFonts w:cs="Arial"/>
              </w:rPr>
              <w:t>48</w:t>
            </w:r>
          </w:p>
        </w:tc>
      </w:tr>
      <w:tr w:rsidR="005A38A2" w:rsidRPr="0093030B" w14:paraId="7E718CF7" w14:textId="61C8F399" w:rsidTr="005A38A2">
        <w:trPr>
          <w:trHeight w:val="255"/>
        </w:trPr>
        <w:tc>
          <w:tcPr>
            <w:tcW w:w="3460" w:type="dxa"/>
            <w:tcBorders>
              <w:top w:val="nil"/>
              <w:left w:val="single" w:sz="4" w:space="0" w:color="auto"/>
              <w:bottom w:val="single" w:sz="4" w:space="0" w:color="auto"/>
              <w:right w:val="single" w:sz="4" w:space="0" w:color="auto"/>
            </w:tcBorders>
            <w:noWrap/>
            <w:vAlign w:val="bottom"/>
          </w:tcPr>
          <w:p w14:paraId="38B04894" w14:textId="77777777" w:rsidR="005A38A2" w:rsidRPr="0093030B" w:rsidRDefault="005A38A2" w:rsidP="000B6D24">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vAlign w:val="bottom"/>
          </w:tcPr>
          <w:p w14:paraId="0969BFA1" w14:textId="77777777" w:rsidR="005A38A2" w:rsidRDefault="005A38A2" w:rsidP="000B6D24">
            <w:pPr>
              <w:jc w:val="right"/>
              <w:rPr>
                <w:rFonts w:cs="Arial"/>
              </w:rPr>
            </w:pPr>
            <w:r w:rsidRPr="005D5FC8">
              <w:rPr>
                <w:rFonts w:cs="Arial"/>
              </w:rPr>
              <w:t>346</w:t>
            </w:r>
          </w:p>
        </w:tc>
        <w:tc>
          <w:tcPr>
            <w:tcW w:w="1012" w:type="dxa"/>
            <w:tcBorders>
              <w:top w:val="nil"/>
              <w:left w:val="nil"/>
              <w:bottom w:val="single" w:sz="4" w:space="0" w:color="auto"/>
              <w:right w:val="single" w:sz="4" w:space="0" w:color="auto"/>
            </w:tcBorders>
          </w:tcPr>
          <w:p w14:paraId="38E94B1F" w14:textId="77777777" w:rsidR="005A38A2" w:rsidRDefault="005A38A2" w:rsidP="000B6D24">
            <w:pPr>
              <w:jc w:val="right"/>
              <w:rPr>
                <w:rFonts w:cs="Arial"/>
              </w:rPr>
            </w:pPr>
            <w:r>
              <w:rPr>
                <w:rFonts w:cs="Arial"/>
              </w:rPr>
              <w:t>278</w:t>
            </w:r>
          </w:p>
        </w:tc>
        <w:tc>
          <w:tcPr>
            <w:tcW w:w="1012" w:type="dxa"/>
            <w:tcBorders>
              <w:top w:val="nil"/>
              <w:left w:val="nil"/>
              <w:bottom w:val="single" w:sz="4" w:space="0" w:color="auto"/>
              <w:right w:val="single" w:sz="4" w:space="0" w:color="auto"/>
            </w:tcBorders>
            <w:vAlign w:val="bottom"/>
          </w:tcPr>
          <w:p w14:paraId="68F3B09D" w14:textId="77777777" w:rsidR="005A38A2" w:rsidRDefault="005A38A2" w:rsidP="000B6D24">
            <w:pPr>
              <w:jc w:val="right"/>
              <w:rPr>
                <w:rFonts w:cs="Arial"/>
              </w:rPr>
            </w:pPr>
            <w:r w:rsidRPr="001F4FDB">
              <w:rPr>
                <w:rFonts w:cs="Arial"/>
              </w:rPr>
              <w:t>297</w:t>
            </w:r>
          </w:p>
        </w:tc>
        <w:tc>
          <w:tcPr>
            <w:tcW w:w="1012" w:type="dxa"/>
            <w:tcBorders>
              <w:top w:val="nil"/>
              <w:left w:val="nil"/>
              <w:bottom w:val="single" w:sz="4" w:space="0" w:color="auto"/>
              <w:right w:val="single" w:sz="4" w:space="0" w:color="auto"/>
            </w:tcBorders>
          </w:tcPr>
          <w:p w14:paraId="67CB5465" w14:textId="77777777" w:rsidR="005A38A2" w:rsidRPr="001F4FDB" w:rsidRDefault="005A38A2" w:rsidP="000B6D24">
            <w:pPr>
              <w:jc w:val="right"/>
              <w:rPr>
                <w:rFonts w:cs="Arial"/>
              </w:rPr>
            </w:pPr>
            <w:r>
              <w:rPr>
                <w:rFonts w:cs="Arial"/>
              </w:rPr>
              <w:t>307</w:t>
            </w:r>
          </w:p>
        </w:tc>
        <w:tc>
          <w:tcPr>
            <w:tcW w:w="1012" w:type="dxa"/>
            <w:tcBorders>
              <w:top w:val="nil"/>
              <w:left w:val="nil"/>
              <w:bottom w:val="single" w:sz="4" w:space="0" w:color="auto"/>
              <w:right w:val="single" w:sz="4" w:space="0" w:color="auto"/>
            </w:tcBorders>
          </w:tcPr>
          <w:p w14:paraId="7536250C" w14:textId="1514423B" w:rsidR="005A38A2" w:rsidRDefault="005A38A2" w:rsidP="000B6D24">
            <w:pPr>
              <w:jc w:val="right"/>
              <w:rPr>
                <w:rFonts w:cs="Arial"/>
              </w:rPr>
            </w:pPr>
            <w:r>
              <w:rPr>
                <w:rFonts w:cs="Arial"/>
              </w:rPr>
              <w:t>297</w:t>
            </w:r>
          </w:p>
        </w:tc>
      </w:tr>
      <w:tr w:rsidR="005A38A2" w:rsidRPr="0093030B" w14:paraId="6CF2DC17" w14:textId="39382FDA" w:rsidTr="005A38A2">
        <w:trPr>
          <w:trHeight w:val="255"/>
        </w:trPr>
        <w:tc>
          <w:tcPr>
            <w:tcW w:w="3460" w:type="dxa"/>
            <w:tcBorders>
              <w:top w:val="nil"/>
              <w:left w:val="single" w:sz="4" w:space="0" w:color="auto"/>
              <w:bottom w:val="single" w:sz="4" w:space="0" w:color="auto"/>
              <w:right w:val="single" w:sz="4" w:space="0" w:color="auto"/>
            </w:tcBorders>
            <w:noWrap/>
            <w:vAlign w:val="bottom"/>
          </w:tcPr>
          <w:p w14:paraId="6539DD9C" w14:textId="77777777" w:rsidR="005A38A2" w:rsidRPr="0093030B" w:rsidRDefault="005A38A2" w:rsidP="000B6D24">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vAlign w:val="bottom"/>
          </w:tcPr>
          <w:p w14:paraId="6E62FFEA" w14:textId="77777777" w:rsidR="005A38A2" w:rsidRDefault="005A38A2" w:rsidP="000B6D24">
            <w:pPr>
              <w:jc w:val="right"/>
              <w:rPr>
                <w:rFonts w:cs="Arial"/>
              </w:rPr>
            </w:pPr>
            <w:r w:rsidRPr="005D5FC8">
              <w:rPr>
                <w:rFonts w:cs="Arial"/>
              </w:rPr>
              <w:t>200</w:t>
            </w:r>
          </w:p>
        </w:tc>
        <w:tc>
          <w:tcPr>
            <w:tcW w:w="1012" w:type="dxa"/>
            <w:tcBorders>
              <w:top w:val="nil"/>
              <w:left w:val="nil"/>
              <w:bottom w:val="single" w:sz="4" w:space="0" w:color="auto"/>
              <w:right w:val="single" w:sz="4" w:space="0" w:color="auto"/>
            </w:tcBorders>
          </w:tcPr>
          <w:p w14:paraId="67009D21" w14:textId="77777777" w:rsidR="005A38A2" w:rsidRDefault="005A38A2" w:rsidP="000B6D24">
            <w:pPr>
              <w:jc w:val="right"/>
              <w:rPr>
                <w:rFonts w:cs="Arial"/>
              </w:rPr>
            </w:pPr>
            <w:r>
              <w:rPr>
                <w:rFonts w:cs="Arial"/>
              </w:rPr>
              <w:t>188</w:t>
            </w:r>
          </w:p>
        </w:tc>
        <w:tc>
          <w:tcPr>
            <w:tcW w:w="1012" w:type="dxa"/>
            <w:tcBorders>
              <w:top w:val="nil"/>
              <w:left w:val="nil"/>
              <w:bottom w:val="single" w:sz="4" w:space="0" w:color="auto"/>
              <w:right w:val="single" w:sz="4" w:space="0" w:color="auto"/>
            </w:tcBorders>
            <w:vAlign w:val="bottom"/>
          </w:tcPr>
          <w:p w14:paraId="1D98F533" w14:textId="77777777" w:rsidR="005A38A2" w:rsidRDefault="005A38A2" w:rsidP="000B6D24">
            <w:pPr>
              <w:jc w:val="right"/>
              <w:rPr>
                <w:rFonts w:cs="Arial"/>
              </w:rPr>
            </w:pPr>
            <w:r w:rsidRPr="001F4FDB">
              <w:rPr>
                <w:rFonts w:cs="Arial"/>
              </w:rPr>
              <w:t>234</w:t>
            </w:r>
          </w:p>
        </w:tc>
        <w:tc>
          <w:tcPr>
            <w:tcW w:w="1012" w:type="dxa"/>
            <w:tcBorders>
              <w:top w:val="nil"/>
              <w:left w:val="nil"/>
              <w:bottom w:val="single" w:sz="4" w:space="0" w:color="auto"/>
              <w:right w:val="single" w:sz="4" w:space="0" w:color="auto"/>
            </w:tcBorders>
          </w:tcPr>
          <w:p w14:paraId="100362D2" w14:textId="77777777" w:rsidR="005A38A2" w:rsidRPr="001F4FDB" w:rsidRDefault="005A38A2" w:rsidP="000B6D24">
            <w:pPr>
              <w:jc w:val="right"/>
              <w:rPr>
                <w:rFonts w:cs="Arial"/>
              </w:rPr>
            </w:pPr>
            <w:r>
              <w:rPr>
                <w:rFonts w:cs="Arial"/>
              </w:rPr>
              <w:t>260</w:t>
            </w:r>
          </w:p>
        </w:tc>
        <w:tc>
          <w:tcPr>
            <w:tcW w:w="1012" w:type="dxa"/>
            <w:tcBorders>
              <w:top w:val="nil"/>
              <w:left w:val="nil"/>
              <w:bottom w:val="single" w:sz="4" w:space="0" w:color="auto"/>
              <w:right w:val="single" w:sz="4" w:space="0" w:color="auto"/>
            </w:tcBorders>
          </w:tcPr>
          <w:p w14:paraId="3B9086A7" w14:textId="68B966FC" w:rsidR="005A38A2" w:rsidRDefault="005A38A2" w:rsidP="000B6D24">
            <w:pPr>
              <w:jc w:val="right"/>
              <w:rPr>
                <w:rFonts w:cs="Arial"/>
              </w:rPr>
            </w:pPr>
            <w:r>
              <w:rPr>
                <w:rFonts w:cs="Arial"/>
              </w:rPr>
              <w:t>207</w:t>
            </w:r>
          </w:p>
        </w:tc>
      </w:tr>
      <w:tr w:rsidR="005A38A2" w:rsidRPr="0093030B" w14:paraId="5B212DA4" w14:textId="328A80F2" w:rsidTr="005A38A2">
        <w:trPr>
          <w:trHeight w:val="255"/>
        </w:trPr>
        <w:tc>
          <w:tcPr>
            <w:tcW w:w="3460" w:type="dxa"/>
            <w:tcBorders>
              <w:top w:val="nil"/>
              <w:left w:val="single" w:sz="4" w:space="0" w:color="auto"/>
              <w:bottom w:val="single" w:sz="4" w:space="0" w:color="auto"/>
              <w:right w:val="single" w:sz="4" w:space="0" w:color="auto"/>
            </w:tcBorders>
            <w:noWrap/>
            <w:vAlign w:val="bottom"/>
            <w:hideMark/>
          </w:tcPr>
          <w:p w14:paraId="3BF25B56" w14:textId="77777777" w:rsidR="005A38A2" w:rsidRPr="0093030B" w:rsidRDefault="005A38A2" w:rsidP="000B6D24">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vAlign w:val="bottom"/>
          </w:tcPr>
          <w:p w14:paraId="28CD94DB" w14:textId="77777777" w:rsidR="005A38A2" w:rsidRDefault="005A38A2" w:rsidP="000B6D24">
            <w:pPr>
              <w:jc w:val="right"/>
              <w:rPr>
                <w:rFonts w:cs="Arial"/>
              </w:rPr>
            </w:pPr>
            <w:r w:rsidRPr="005D5FC8">
              <w:rPr>
                <w:rFonts w:cs="Arial"/>
              </w:rPr>
              <w:t>51</w:t>
            </w:r>
          </w:p>
        </w:tc>
        <w:tc>
          <w:tcPr>
            <w:tcW w:w="1012" w:type="dxa"/>
            <w:tcBorders>
              <w:top w:val="nil"/>
              <w:left w:val="nil"/>
              <w:bottom w:val="single" w:sz="4" w:space="0" w:color="auto"/>
              <w:right w:val="single" w:sz="4" w:space="0" w:color="auto"/>
            </w:tcBorders>
          </w:tcPr>
          <w:p w14:paraId="71D453AC" w14:textId="77777777" w:rsidR="005A38A2" w:rsidRDefault="005A38A2" w:rsidP="000B6D24">
            <w:pPr>
              <w:jc w:val="right"/>
              <w:rPr>
                <w:rFonts w:cs="Arial"/>
              </w:rPr>
            </w:pPr>
            <w:r>
              <w:rPr>
                <w:rFonts w:cs="Arial"/>
              </w:rPr>
              <w:t>43</w:t>
            </w:r>
          </w:p>
        </w:tc>
        <w:tc>
          <w:tcPr>
            <w:tcW w:w="1012" w:type="dxa"/>
            <w:tcBorders>
              <w:top w:val="nil"/>
              <w:left w:val="nil"/>
              <w:bottom w:val="single" w:sz="4" w:space="0" w:color="auto"/>
              <w:right w:val="single" w:sz="4" w:space="0" w:color="auto"/>
            </w:tcBorders>
            <w:vAlign w:val="bottom"/>
          </w:tcPr>
          <w:p w14:paraId="799ADD93" w14:textId="77777777" w:rsidR="005A38A2" w:rsidRDefault="005A38A2" w:rsidP="000B6D24">
            <w:pPr>
              <w:jc w:val="right"/>
              <w:rPr>
                <w:rFonts w:cs="Arial"/>
              </w:rPr>
            </w:pPr>
            <w:r w:rsidRPr="001F4FDB">
              <w:rPr>
                <w:rFonts w:cs="Arial"/>
              </w:rPr>
              <w:t>63</w:t>
            </w:r>
          </w:p>
        </w:tc>
        <w:tc>
          <w:tcPr>
            <w:tcW w:w="1012" w:type="dxa"/>
            <w:tcBorders>
              <w:top w:val="nil"/>
              <w:left w:val="nil"/>
              <w:bottom w:val="single" w:sz="4" w:space="0" w:color="auto"/>
              <w:right w:val="single" w:sz="4" w:space="0" w:color="auto"/>
            </w:tcBorders>
          </w:tcPr>
          <w:p w14:paraId="4533466A" w14:textId="77777777" w:rsidR="005A38A2" w:rsidRPr="001F4FDB" w:rsidRDefault="005A38A2" w:rsidP="000B6D24">
            <w:pPr>
              <w:jc w:val="right"/>
              <w:rPr>
                <w:rFonts w:cs="Arial"/>
              </w:rPr>
            </w:pPr>
            <w:r>
              <w:rPr>
                <w:rFonts w:cs="Arial"/>
              </w:rPr>
              <w:t>30</w:t>
            </w:r>
          </w:p>
        </w:tc>
        <w:tc>
          <w:tcPr>
            <w:tcW w:w="1012" w:type="dxa"/>
            <w:tcBorders>
              <w:top w:val="nil"/>
              <w:left w:val="nil"/>
              <w:bottom w:val="single" w:sz="4" w:space="0" w:color="auto"/>
              <w:right w:val="single" w:sz="4" w:space="0" w:color="auto"/>
            </w:tcBorders>
          </w:tcPr>
          <w:p w14:paraId="06819A4F" w14:textId="39A501D6" w:rsidR="005A38A2" w:rsidRDefault="005A38A2" w:rsidP="000B6D24">
            <w:pPr>
              <w:jc w:val="right"/>
              <w:rPr>
                <w:rFonts w:cs="Arial"/>
              </w:rPr>
            </w:pPr>
            <w:r>
              <w:rPr>
                <w:rFonts w:cs="Arial"/>
              </w:rPr>
              <w:t>52</w:t>
            </w:r>
          </w:p>
        </w:tc>
      </w:tr>
      <w:tr w:rsidR="005A38A2" w:rsidRPr="0093030B" w14:paraId="63EBD652" w14:textId="35098CBC" w:rsidTr="005A38A2">
        <w:trPr>
          <w:trHeight w:val="255"/>
        </w:trPr>
        <w:tc>
          <w:tcPr>
            <w:tcW w:w="3460" w:type="dxa"/>
            <w:tcBorders>
              <w:top w:val="nil"/>
              <w:left w:val="single" w:sz="4" w:space="0" w:color="auto"/>
              <w:bottom w:val="single" w:sz="4" w:space="0" w:color="auto"/>
              <w:right w:val="single" w:sz="4" w:space="0" w:color="auto"/>
            </w:tcBorders>
            <w:noWrap/>
            <w:hideMark/>
          </w:tcPr>
          <w:p w14:paraId="22E0E451" w14:textId="77777777" w:rsidR="005A38A2" w:rsidRPr="0093030B" w:rsidRDefault="005A38A2" w:rsidP="000B6D24">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vAlign w:val="bottom"/>
          </w:tcPr>
          <w:p w14:paraId="2B616043" w14:textId="77777777" w:rsidR="005A38A2" w:rsidRDefault="005A38A2" w:rsidP="000B6D24">
            <w:pPr>
              <w:jc w:val="right"/>
              <w:rPr>
                <w:rFonts w:cs="Arial"/>
                <w:b/>
                <w:bCs/>
              </w:rPr>
            </w:pPr>
            <w:r w:rsidRPr="005D5FC8">
              <w:rPr>
                <w:rFonts w:cs="Arial"/>
                <w:b/>
                <w:bCs/>
              </w:rPr>
              <w:t>1125</w:t>
            </w:r>
          </w:p>
        </w:tc>
        <w:tc>
          <w:tcPr>
            <w:tcW w:w="1012" w:type="dxa"/>
            <w:tcBorders>
              <w:top w:val="nil"/>
              <w:left w:val="nil"/>
              <w:bottom w:val="single" w:sz="4" w:space="0" w:color="auto"/>
              <w:right w:val="single" w:sz="4" w:space="0" w:color="auto"/>
            </w:tcBorders>
          </w:tcPr>
          <w:p w14:paraId="51B6B498" w14:textId="77777777" w:rsidR="005A38A2" w:rsidRDefault="005A38A2" w:rsidP="000B6D24">
            <w:pPr>
              <w:jc w:val="right"/>
              <w:rPr>
                <w:rFonts w:cs="Arial"/>
                <w:b/>
                <w:bCs/>
              </w:rPr>
            </w:pPr>
            <w:r>
              <w:rPr>
                <w:rFonts w:cs="Arial"/>
                <w:b/>
                <w:bCs/>
              </w:rPr>
              <w:t>1059</w:t>
            </w:r>
          </w:p>
        </w:tc>
        <w:tc>
          <w:tcPr>
            <w:tcW w:w="1012" w:type="dxa"/>
            <w:tcBorders>
              <w:top w:val="nil"/>
              <w:left w:val="nil"/>
              <w:bottom w:val="single" w:sz="4" w:space="0" w:color="auto"/>
              <w:right w:val="single" w:sz="4" w:space="0" w:color="auto"/>
            </w:tcBorders>
            <w:vAlign w:val="bottom"/>
          </w:tcPr>
          <w:p w14:paraId="693B0548" w14:textId="77777777" w:rsidR="005A38A2" w:rsidRDefault="005A38A2" w:rsidP="000B6D24">
            <w:pPr>
              <w:jc w:val="right"/>
              <w:rPr>
                <w:rFonts w:cs="Arial"/>
                <w:b/>
                <w:bCs/>
              </w:rPr>
            </w:pPr>
            <w:r w:rsidRPr="001F4FDB">
              <w:rPr>
                <w:rFonts w:cs="Arial"/>
                <w:b/>
                <w:bCs/>
              </w:rPr>
              <w:t>1144</w:t>
            </w:r>
          </w:p>
        </w:tc>
        <w:tc>
          <w:tcPr>
            <w:tcW w:w="1012" w:type="dxa"/>
            <w:tcBorders>
              <w:top w:val="nil"/>
              <w:left w:val="nil"/>
              <w:bottom w:val="single" w:sz="4" w:space="0" w:color="auto"/>
              <w:right w:val="single" w:sz="4" w:space="0" w:color="auto"/>
            </w:tcBorders>
          </w:tcPr>
          <w:p w14:paraId="184681BC" w14:textId="77777777" w:rsidR="005A38A2" w:rsidRPr="001F4FDB" w:rsidRDefault="005A38A2" w:rsidP="000B6D24">
            <w:pPr>
              <w:jc w:val="right"/>
              <w:rPr>
                <w:rFonts w:cs="Arial"/>
                <w:b/>
                <w:bCs/>
              </w:rPr>
            </w:pPr>
            <w:r>
              <w:rPr>
                <w:rFonts w:cs="Arial"/>
                <w:b/>
                <w:bCs/>
              </w:rPr>
              <w:t>1096</w:t>
            </w:r>
          </w:p>
        </w:tc>
        <w:tc>
          <w:tcPr>
            <w:tcW w:w="1012" w:type="dxa"/>
            <w:tcBorders>
              <w:top w:val="nil"/>
              <w:left w:val="nil"/>
              <w:bottom w:val="single" w:sz="4" w:space="0" w:color="auto"/>
              <w:right w:val="single" w:sz="4" w:space="0" w:color="auto"/>
            </w:tcBorders>
          </w:tcPr>
          <w:p w14:paraId="4A68DF70" w14:textId="22945DF6" w:rsidR="005A38A2" w:rsidRDefault="005A38A2" w:rsidP="000B6D24">
            <w:pPr>
              <w:jc w:val="right"/>
              <w:rPr>
                <w:rFonts w:cs="Arial"/>
                <w:b/>
                <w:bCs/>
              </w:rPr>
            </w:pPr>
            <w:r>
              <w:rPr>
                <w:rFonts w:cs="Arial"/>
                <w:b/>
                <w:bCs/>
              </w:rPr>
              <w:t>1110</w:t>
            </w:r>
          </w:p>
        </w:tc>
      </w:tr>
    </w:tbl>
    <w:p w14:paraId="6BA31C39" w14:textId="1F669103" w:rsidR="005A5B78" w:rsidRDefault="005A5B78" w:rsidP="005A5B78">
      <w:pPr>
        <w:ind w:left="-142" w:right="-425"/>
        <w:jc w:val="both"/>
        <w:rPr>
          <w:rFonts w:cs="Arial"/>
        </w:rPr>
      </w:pPr>
    </w:p>
    <w:p w14:paraId="6B7E9BDC" w14:textId="37DC5708" w:rsidR="005A5B78" w:rsidRDefault="007E65A1" w:rsidP="005A5B78">
      <w:pPr>
        <w:ind w:left="-142" w:right="-425"/>
        <w:jc w:val="both"/>
        <w:rPr>
          <w:rFonts w:cs="Arial"/>
        </w:rPr>
      </w:pPr>
      <w:r>
        <w:rPr>
          <w:rFonts w:cs="Arial"/>
        </w:rPr>
        <w:t xml:space="preserve">For quarter </w:t>
      </w:r>
      <w:r w:rsidR="000C0A83">
        <w:rPr>
          <w:rFonts w:cs="Arial"/>
        </w:rPr>
        <w:t>54</w:t>
      </w:r>
      <w:r w:rsidR="00D4333F">
        <w:rPr>
          <w:rFonts w:cs="Arial"/>
        </w:rPr>
        <w:t>,</w:t>
      </w:r>
      <w:r>
        <w:rPr>
          <w:rFonts w:cs="Arial"/>
        </w:rPr>
        <w:t xml:space="preserve"> </w:t>
      </w:r>
      <w:r w:rsidR="001B7530">
        <w:rPr>
          <w:rFonts w:cs="Arial"/>
        </w:rPr>
        <w:t>44</w:t>
      </w:r>
      <w:r w:rsidR="001B7530" w:rsidRPr="004A208F">
        <w:rPr>
          <w:rFonts w:cs="Arial"/>
        </w:rPr>
        <w:t xml:space="preserve"> </w:t>
      </w:r>
      <w:r w:rsidR="005A5B78" w:rsidRPr="004A208F">
        <w:rPr>
          <w:rFonts w:cs="Arial"/>
        </w:rPr>
        <w:t>percent</w:t>
      </w:r>
      <w:r w:rsidR="00AF4062">
        <w:rPr>
          <w:rFonts w:cs="Arial"/>
        </w:rPr>
        <w:t xml:space="preserve"> </w:t>
      </w:r>
      <w:r w:rsidR="005A5B78" w:rsidRPr="004A208F">
        <w:rPr>
          <w:rFonts w:cs="Arial"/>
        </w:rPr>
        <w:t>of clients received more than one notice</w:t>
      </w:r>
      <w:r w:rsidR="008D6624" w:rsidRPr="004A208F">
        <w:rPr>
          <w:rFonts w:cs="Arial"/>
        </w:rPr>
        <w:t xml:space="preserve">. </w:t>
      </w:r>
      <w:r w:rsidR="005A5B78" w:rsidRPr="004A208F">
        <w:rPr>
          <w:rFonts w:cs="Arial"/>
        </w:rPr>
        <w:t>Frequently this illustrates multiple child school absences for the one family</w:t>
      </w:r>
      <w:r w:rsidR="00C84E0D" w:rsidRPr="004A208F">
        <w:rPr>
          <w:rFonts w:cs="Arial"/>
        </w:rPr>
        <w:t>,</w:t>
      </w:r>
      <w:r w:rsidR="005A5B78" w:rsidRPr="004A208F">
        <w:rPr>
          <w:rFonts w:cs="Arial"/>
        </w:rPr>
        <w:t xml:space="preserve"> or multiple Magistrates Court notices relating to one incident</w:t>
      </w:r>
      <w:r w:rsidR="008D6624" w:rsidRPr="004A208F">
        <w:rPr>
          <w:rFonts w:cs="Arial"/>
        </w:rPr>
        <w:t xml:space="preserve">. </w:t>
      </w:r>
      <w:r w:rsidR="0002417B">
        <w:rPr>
          <w:rFonts w:cs="Arial"/>
        </w:rPr>
        <w:t xml:space="preserve">This may also be suggestive of the complexity of behaviours experienced by a significant proportion of our clients. </w:t>
      </w:r>
      <w:r w:rsidR="0002417B" w:rsidRPr="004A208F">
        <w:rPr>
          <w:rFonts w:cs="Arial"/>
        </w:rPr>
        <w:t xml:space="preserve">Conversely, </w:t>
      </w:r>
      <w:r w:rsidR="0002417B">
        <w:rPr>
          <w:rFonts w:cs="Arial"/>
        </w:rPr>
        <w:t>it is important to note the majority of FRC clients (</w:t>
      </w:r>
      <w:r w:rsidR="001B7530">
        <w:rPr>
          <w:rFonts w:cs="Arial"/>
        </w:rPr>
        <w:t>56</w:t>
      </w:r>
      <w:r w:rsidR="001B7530" w:rsidRPr="004A208F">
        <w:rPr>
          <w:rFonts w:cs="Arial"/>
        </w:rPr>
        <w:t xml:space="preserve"> </w:t>
      </w:r>
      <w:r w:rsidR="00FC7C1D">
        <w:rPr>
          <w:rFonts w:cs="Arial"/>
        </w:rPr>
        <w:t>percent</w:t>
      </w:r>
      <w:r w:rsidR="0002417B">
        <w:rPr>
          <w:rFonts w:cs="Arial"/>
        </w:rPr>
        <w:t>)</w:t>
      </w:r>
      <w:r w:rsidR="0002417B" w:rsidRPr="004A208F">
        <w:rPr>
          <w:rFonts w:cs="Arial"/>
        </w:rPr>
        <w:t xml:space="preserve"> have received only one notice</w:t>
      </w:r>
      <w:r w:rsidR="0002417B">
        <w:rPr>
          <w:rFonts w:cs="Arial"/>
        </w:rPr>
        <w:t xml:space="preserve"> during the reporting period. </w:t>
      </w:r>
      <w:r w:rsidR="001B7530">
        <w:rPr>
          <w:rFonts w:cs="Arial"/>
        </w:rPr>
        <w:t xml:space="preserve">Sixteen </w:t>
      </w:r>
      <w:r w:rsidR="00CA73A5" w:rsidRPr="00626560">
        <w:rPr>
          <w:rFonts w:cs="Arial"/>
        </w:rPr>
        <w:t>new</w:t>
      </w:r>
      <w:r w:rsidR="00CA73A5">
        <w:rPr>
          <w:rFonts w:cs="Arial"/>
        </w:rPr>
        <w:t xml:space="preserve"> clients were added to the Commission’s database during the quarter.</w:t>
      </w:r>
    </w:p>
    <w:p w14:paraId="1B038CEC" w14:textId="72420A5B" w:rsidR="005C20E1" w:rsidRDefault="005C20E1" w:rsidP="005A5B78">
      <w:pPr>
        <w:ind w:left="-142" w:right="-425"/>
        <w:jc w:val="both"/>
        <w:rPr>
          <w:rFonts w:cs="Arial"/>
        </w:rPr>
      </w:pPr>
    </w:p>
    <w:p w14:paraId="520191D0" w14:textId="02AEA258" w:rsidR="005C20E1" w:rsidRPr="00D925BE" w:rsidRDefault="005C20E1" w:rsidP="005C20E1">
      <w:pPr>
        <w:spacing w:after="120" w:line="240" w:lineRule="auto"/>
        <w:ind w:right="-425"/>
        <w:jc w:val="both"/>
        <w:rPr>
          <w:b/>
          <w:sz w:val="16"/>
          <w:szCs w:val="16"/>
        </w:rPr>
      </w:pPr>
      <w:r w:rsidRPr="00362EE1">
        <w:rPr>
          <w:b/>
          <w:sz w:val="16"/>
          <w:szCs w:val="16"/>
        </w:rPr>
        <w:t xml:space="preserve">Table </w:t>
      </w:r>
      <w:r>
        <w:rPr>
          <w:b/>
          <w:sz w:val="16"/>
          <w:szCs w:val="16"/>
        </w:rPr>
        <w:t>12</w:t>
      </w:r>
      <w:r w:rsidRPr="00362EE1">
        <w:rPr>
          <w:b/>
          <w:sz w:val="16"/>
          <w:szCs w:val="16"/>
        </w:rPr>
        <w:t xml:space="preserve">: </w:t>
      </w:r>
      <w:r w:rsidRPr="00362EE1">
        <w:rPr>
          <w:sz w:val="16"/>
          <w:szCs w:val="16"/>
        </w:rPr>
        <w:t>FRC clients by numb</w:t>
      </w:r>
      <w:r>
        <w:rPr>
          <w:sz w:val="16"/>
          <w:szCs w:val="16"/>
        </w:rPr>
        <w:t>er of notices 1 October 2021 to 31 December 2021</w:t>
      </w:r>
    </w:p>
    <w:tbl>
      <w:tblPr>
        <w:tblW w:w="4693" w:type="dxa"/>
        <w:tblInd w:w="93" w:type="dxa"/>
        <w:tblLook w:val="04A0" w:firstRow="1" w:lastRow="0" w:firstColumn="1" w:lastColumn="0" w:noHBand="0" w:noVBand="1"/>
      </w:tblPr>
      <w:tblGrid>
        <w:gridCol w:w="3220"/>
        <w:gridCol w:w="1473"/>
      </w:tblGrid>
      <w:tr w:rsidR="005C20E1" w:rsidRPr="006E764C" w14:paraId="05FC32CF" w14:textId="77777777" w:rsidTr="000B6D24">
        <w:trPr>
          <w:trHeight w:val="510"/>
        </w:trPr>
        <w:tc>
          <w:tcPr>
            <w:tcW w:w="3220" w:type="dxa"/>
            <w:tcBorders>
              <w:top w:val="single" w:sz="4" w:space="0" w:color="auto"/>
              <w:left w:val="single" w:sz="4" w:space="0" w:color="auto"/>
              <w:bottom w:val="single" w:sz="4" w:space="0" w:color="auto"/>
              <w:right w:val="single" w:sz="4" w:space="0" w:color="auto"/>
            </w:tcBorders>
            <w:noWrap/>
            <w:hideMark/>
          </w:tcPr>
          <w:p w14:paraId="2143CC67" w14:textId="77777777" w:rsidR="005C20E1" w:rsidRPr="0093030B" w:rsidRDefault="005C20E1" w:rsidP="000B6D24">
            <w:pPr>
              <w:pStyle w:val="TableText"/>
              <w:jc w:val="center"/>
              <w:rPr>
                <w:b/>
                <w:lang w:eastAsia="en-AU"/>
              </w:rPr>
            </w:pPr>
            <w:r w:rsidRPr="0093030B">
              <w:rPr>
                <w:b/>
                <w:lang w:eastAsia="en-AU"/>
              </w:rPr>
              <w:t>Number of Notices Received</w:t>
            </w:r>
          </w:p>
        </w:tc>
        <w:tc>
          <w:tcPr>
            <w:tcW w:w="1473" w:type="dxa"/>
            <w:tcBorders>
              <w:top w:val="single" w:sz="4" w:space="0" w:color="auto"/>
              <w:left w:val="nil"/>
              <w:bottom w:val="single" w:sz="4" w:space="0" w:color="auto"/>
              <w:right w:val="single" w:sz="4" w:space="0" w:color="auto"/>
            </w:tcBorders>
            <w:hideMark/>
          </w:tcPr>
          <w:p w14:paraId="41055E37" w14:textId="77777777" w:rsidR="005C20E1" w:rsidRPr="0093030B" w:rsidRDefault="005C20E1" w:rsidP="000B6D24">
            <w:pPr>
              <w:pStyle w:val="TableText"/>
              <w:rPr>
                <w:b/>
                <w:lang w:eastAsia="en-AU"/>
              </w:rPr>
            </w:pPr>
            <w:r w:rsidRPr="0093030B">
              <w:rPr>
                <w:b/>
                <w:lang w:eastAsia="en-AU"/>
              </w:rPr>
              <w:t>Number of Clients</w:t>
            </w:r>
          </w:p>
        </w:tc>
      </w:tr>
      <w:tr w:rsidR="005C20E1" w:rsidRPr="006E764C" w14:paraId="6BAA72E5" w14:textId="77777777" w:rsidTr="000B6D24">
        <w:trPr>
          <w:trHeight w:val="255"/>
        </w:trPr>
        <w:tc>
          <w:tcPr>
            <w:tcW w:w="3220" w:type="dxa"/>
            <w:tcBorders>
              <w:top w:val="nil"/>
              <w:left w:val="single" w:sz="4" w:space="0" w:color="auto"/>
              <w:bottom w:val="single" w:sz="4" w:space="0" w:color="auto"/>
              <w:right w:val="single" w:sz="4" w:space="0" w:color="auto"/>
            </w:tcBorders>
            <w:noWrap/>
            <w:hideMark/>
          </w:tcPr>
          <w:p w14:paraId="3735E5F9" w14:textId="77777777" w:rsidR="005C20E1" w:rsidRPr="006E764C" w:rsidRDefault="005C20E1" w:rsidP="000B6D24">
            <w:pPr>
              <w:pStyle w:val="TableText"/>
              <w:jc w:val="center"/>
              <w:rPr>
                <w:lang w:eastAsia="en-AU"/>
              </w:rPr>
            </w:pPr>
            <w:r w:rsidRPr="006E764C">
              <w:rPr>
                <w:lang w:eastAsia="en-AU"/>
              </w:rPr>
              <w:t>1</w:t>
            </w:r>
          </w:p>
        </w:tc>
        <w:tc>
          <w:tcPr>
            <w:tcW w:w="1473" w:type="dxa"/>
            <w:tcBorders>
              <w:top w:val="nil"/>
              <w:left w:val="nil"/>
              <w:bottom w:val="single" w:sz="4" w:space="0" w:color="auto"/>
              <w:right w:val="single" w:sz="4" w:space="0" w:color="auto"/>
            </w:tcBorders>
            <w:vAlign w:val="bottom"/>
          </w:tcPr>
          <w:p w14:paraId="29C452D5" w14:textId="586BF082" w:rsidR="005C20E1" w:rsidRPr="00D609C2" w:rsidRDefault="005C20E1" w:rsidP="000B6D24">
            <w:pPr>
              <w:jc w:val="right"/>
              <w:rPr>
                <w:rFonts w:cs="Arial"/>
              </w:rPr>
            </w:pPr>
            <w:r>
              <w:rPr>
                <w:rFonts w:cs="Arial"/>
              </w:rPr>
              <w:t>326</w:t>
            </w:r>
          </w:p>
        </w:tc>
      </w:tr>
      <w:tr w:rsidR="005C20E1" w:rsidRPr="006E764C" w14:paraId="7CDF5B0B" w14:textId="77777777" w:rsidTr="000B6D24">
        <w:trPr>
          <w:trHeight w:val="255"/>
        </w:trPr>
        <w:tc>
          <w:tcPr>
            <w:tcW w:w="3220" w:type="dxa"/>
            <w:tcBorders>
              <w:top w:val="nil"/>
              <w:left w:val="single" w:sz="4" w:space="0" w:color="auto"/>
              <w:bottom w:val="single" w:sz="4" w:space="0" w:color="auto"/>
              <w:right w:val="single" w:sz="4" w:space="0" w:color="auto"/>
            </w:tcBorders>
            <w:noWrap/>
            <w:hideMark/>
          </w:tcPr>
          <w:p w14:paraId="050699E8" w14:textId="77777777" w:rsidR="005C20E1" w:rsidRPr="006E764C" w:rsidRDefault="005C20E1" w:rsidP="000B6D24">
            <w:pPr>
              <w:pStyle w:val="TableText"/>
              <w:jc w:val="center"/>
              <w:rPr>
                <w:lang w:eastAsia="en-AU"/>
              </w:rPr>
            </w:pPr>
            <w:r w:rsidRPr="006E764C">
              <w:rPr>
                <w:lang w:eastAsia="en-AU"/>
              </w:rPr>
              <w:t>2</w:t>
            </w:r>
          </w:p>
        </w:tc>
        <w:tc>
          <w:tcPr>
            <w:tcW w:w="1473" w:type="dxa"/>
            <w:tcBorders>
              <w:top w:val="nil"/>
              <w:left w:val="nil"/>
              <w:bottom w:val="single" w:sz="4" w:space="0" w:color="auto"/>
              <w:right w:val="single" w:sz="4" w:space="0" w:color="auto"/>
            </w:tcBorders>
            <w:vAlign w:val="bottom"/>
          </w:tcPr>
          <w:p w14:paraId="694AFD2B" w14:textId="258A7488" w:rsidR="005C20E1" w:rsidRPr="00D609C2" w:rsidRDefault="005C20E1" w:rsidP="000B6D24">
            <w:pPr>
              <w:jc w:val="right"/>
              <w:rPr>
                <w:rFonts w:cs="Arial"/>
              </w:rPr>
            </w:pPr>
            <w:r>
              <w:rPr>
                <w:rFonts w:cs="Arial"/>
              </w:rPr>
              <w:t>137</w:t>
            </w:r>
          </w:p>
        </w:tc>
      </w:tr>
      <w:tr w:rsidR="005C20E1" w:rsidRPr="006E764C" w14:paraId="0F4FAA34" w14:textId="77777777" w:rsidTr="000B6D24">
        <w:trPr>
          <w:trHeight w:val="255"/>
        </w:trPr>
        <w:tc>
          <w:tcPr>
            <w:tcW w:w="3220" w:type="dxa"/>
            <w:tcBorders>
              <w:top w:val="nil"/>
              <w:left w:val="single" w:sz="4" w:space="0" w:color="auto"/>
              <w:bottom w:val="single" w:sz="4" w:space="0" w:color="auto"/>
              <w:right w:val="single" w:sz="4" w:space="0" w:color="auto"/>
            </w:tcBorders>
            <w:noWrap/>
            <w:hideMark/>
          </w:tcPr>
          <w:p w14:paraId="1FB4C1F0" w14:textId="77777777" w:rsidR="005C20E1" w:rsidRPr="006E764C" w:rsidRDefault="005C20E1" w:rsidP="000B6D24">
            <w:pPr>
              <w:pStyle w:val="TableText"/>
              <w:jc w:val="center"/>
              <w:rPr>
                <w:lang w:eastAsia="en-AU"/>
              </w:rPr>
            </w:pPr>
            <w:r w:rsidRPr="006E764C">
              <w:rPr>
                <w:lang w:eastAsia="en-AU"/>
              </w:rPr>
              <w:t>3</w:t>
            </w:r>
          </w:p>
        </w:tc>
        <w:tc>
          <w:tcPr>
            <w:tcW w:w="1473" w:type="dxa"/>
            <w:tcBorders>
              <w:top w:val="nil"/>
              <w:left w:val="nil"/>
              <w:bottom w:val="single" w:sz="4" w:space="0" w:color="auto"/>
              <w:right w:val="single" w:sz="4" w:space="0" w:color="auto"/>
            </w:tcBorders>
            <w:vAlign w:val="bottom"/>
          </w:tcPr>
          <w:p w14:paraId="7480E149" w14:textId="1D785CC8" w:rsidR="005C20E1" w:rsidRPr="00D609C2" w:rsidRDefault="005C20E1" w:rsidP="000B6D24">
            <w:pPr>
              <w:jc w:val="right"/>
              <w:rPr>
                <w:rFonts w:cs="Arial"/>
              </w:rPr>
            </w:pPr>
            <w:r>
              <w:rPr>
                <w:rFonts w:cs="Arial"/>
              </w:rPr>
              <w:t>61</w:t>
            </w:r>
          </w:p>
        </w:tc>
      </w:tr>
      <w:tr w:rsidR="005C20E1" w:rsidRPr="006E764C" w14:paraId="22EC6ED6" w14:textId="77777777" w:rsidTr="000B6D24">
        <w:trPr>
          <w:trHeight w:val="255"/>
        </w:trPr>
        <w:tc>
          <w:tcPr>
            <w:tcW w:w="3220" w:type="dxa"/>
            <w:tcBorders>
              <w:top w:val="nil"/>
              <w:left w:val="single" w:sz="4" w:space="0" w:color="auto"/>
              <w:bottom w:val="single" w:sz="4" w:space="0" w:color="auto"/>
              <w:right w:val="single" w:sz="4" w:space="0" w:color="auto"/>
            </w:tcBorders>
            <w:noWrap/>
            <w:hideMark/>
          </w:tcPr>
          <w:p w14:paraId="7E4149F4" w14:textId="77777777" w:rsidR="005C20E1" w:rsidRPr="006E764C" w:rsidRDefault="005C20E1" w:rsidP="000B6D24">
            <w:pPr>
              <w:pStyle w:val="TableText"/>
              <w:jc w:val="center"/>
              <w:rPr>
                <w:lang w:eastAsia="en-AU"/>
              </w:rPr>
            </w:pPr>
            <w:r w:rsidRPr="006E764C">
              <w:rPr>
                <w:lang w:eastAsia="en-AU"/>
              </w:rPr>
              <w:t>4</w:t>
            </w:r>
          </w:p>
        </w:tc>
        <w:tc>
          <w:tcPr>
            <w:tcW w:w="1473" w:type="dxa"/>
            <w:tcBorders>
              <w:top w:val="nil"/>
              <w:left w:val="nil"/>
              <w:bottom w:val="single" w:sz="4" w:space="0" w:color="auto"/>
              <w:right w:val="single" w:sz="4" w:space="0" w:color="auto"/>
            </w:tcBorders>
            <w:vAlign w:val="bottom"/>
          </w:tcPr>
          <w:p w14:paraId="29BF1745" w14:textId="50A7CD47" w:rsidR="005C20E1" w:rsidRPr="00D609C2" w:rsidRDefault="005C20E1" w:rsidP="000B6D24">
            <w:pPr>
              <w:jc w:val="right"/>
              <w:rPr>
                <w:rFonts w:cs="Arial"/>
              </w:rPr>
            </w:pPr>
            <w:r>
              <w:rPr>
                <w:rFonts w:cs="Arial"/>
              </w:rPr>
              <w:t>26</w:t>
            </w:r>
          </w:p>
        </w:tc>
      </w:tr>
      <w:tr w:rsidR="005C20E1" w:rsidRPr="006E764C" w14:paraId="02A7A876" w14:textId="77777777" w:rsidTr="000B6D24">
        <w:trPr>
          <w:trHeight w:val="255"/>
        </w:trPr>
        <w:tc>
          <w:tcPr>
            <w:tcW w:w="3220" w:type="dxa"/>
            <w:tcBorders>
              <w:top w:val="nil"/>
              <w:left w:val="single" w:sz="4" w:space="0" w:color="auto"/>
              <w:bottom w:val="single" w:sz="4" w:space="0" w:color="auto"/>
              <w:right w:val="single" w:sz="4" w:space="0" w:color="auto"/>
            </w:tcBorders>
            <w:noWrap/>
            <w:hideMark/>
          </w:tcPr>
          <w:p w14:paraId="6364C721" w14:textId="77777777" w:rsidR="005C20E1" w:rsidRPr="006E764C" w:rsidRDefault="005C20E1" w:rsidP="000B6D24">
            <w:pPr>
              <w:pStyle w:val="TableText"/>
              <w:jc w:val="center"/>
              <w:rPr>
                <w:lang w:eastAsia="en-AU"/>
              </w:rPr>
            </w:pPr>
            <w:r w:rsidRPr="006E764C">
              <w:rPr>
                <w:lang w:eastAsia="en-AU"/>
              </w:rPr>
              <w:t>5</w:t>
            </w:r>
          </w:p>
        </w:tc>
        <w:tc>
          <w:tcPr>
            <w:tcW w:w="1473" w:type="dxa"/>
            <w:tcBorders>
              <w:top w:val="nil"/>
              <w:left w:val="nil"/>
              <w:bottom w:val="single" w:sz="4" w:space="0" w:color="auto"/>
              <w:right w:val="single" w:sz="4" w:space="0" w:color="auto"/>
            </w:tcBorders>
            <w:vAlign w:val="bottom"/>
          </w:tcPr>
          <w:p w14:paraId="2C383074" w14:textId="1A400069" w:rsidR="005C20E1" w:rsidRPr="00D609C2" w:rsidRDefault="005C20E1" w:rsidP="000B6D24">
            <w:pPr>
              <w:jc w:val="right"/>
              <w:rPr>
                <w:rFonts w:cs="Arial"/>
              </w:rPr>
            </w:pPr>
            <w:r w:rsidRPr="00D609C2">
              <w:rPr>
                <w:rFonts w:cs="Arial"/>
              </w:rPr>
              <w:t>1</w:t>
            </w:r>
            <w:r>
              <w:rPr>
                <w:rFonts w:cs="Arial"/>
              </w:rPr>
              <w:t>1</w:t>
            </w:r>
          </w:p>
        </w:tc>
      </w:tr>
      <w:tr w:rsidR="005C20E1" w:rsidRPr="006E764C" w14:paraId="4AAE0D0D" w14:textId="77777777" w:rsidTr="000B6D24">
        <w:trPr>
          <w:trHeight w:val="255"/>
        </w:trPr>
        <w:tc>
          <w:tcPr>
            <w:tcW w:w="3220" w:type="dxa"/>
            <w:tcBorders>
              <w:top w:val="nil"/>
              <w:left w:val="single" w:sz="4" w:space="0" w:color="auto"/>
              <w:bottom w:val="single" w:sz="4" w:space="0" w:color="auto"/>
              <w:right w:val="single" w:sz="4" w:space="0" w:color="auto"/>
            </w:tcBorders>
            <w:noWrap/>
            <w:hideMark/>
          </w:tcPr>
          <w:p w14:paraId="74F673EE" w14:textId="77777777" w:rsidR="005C20E1" w:rsidRPr="006E764C" w:rsidRDefault="005C20E1" w:rsidP="000B6D24">
            <w:pPr>
              <w:pStyle w:val="TableText"/>
              <w:jc w:val="center"/>
              <w:rPr>
                <w:lang w:eastAsia="en-AU"/>
              </w:rPr>
            </w:pPr>
            <w:r w:rsidRPr="006E764C">
              <w:rPr>
                <w:lang w:eastAsia="en-AU"/>
              </w:rPr>
              <w:t>&gt;5</w:t>
            </w:r>
          </w:p>
        </w:tc>
        <w:tc>
          <w:tcPr>
            <w:tcW w:w="1473" w:type="dxa"/>
            <w:tcBorders>
              <w:top w:val="nil"/>
              <w:left w:val="nil"/>
              <w:bottom w:val="single" w:sz="4" w:space="0" w:color="auto"/>
              <w:right w:val="single" w:sz="4" w:space="0" w:color="auto"/>
            </w:tcBorders>
            <w:vAlign w:val="bottom"/>
          </w:tcPr>
          <w:p w14:paraId="2DCA7317" w14:textId="0CC22F71" w:rsidR="005C20E1" w:rsidRPr="00D609C2" w:rsidRDefault="005C20E1" w:rsidP="000B6D24">
            <w:pPr>
              <w:jc w:val="right"/>
              <w:rPr>
                <w:rFonts w:cs="Arial"/>
              </w:rPr>
            </w:pPr>
            <w:r>
              <w:rPr>
                <w:rFonts w:cs="Arial"/>
              </w:rPr>
              <w:t>18</w:t>
            </w:r>
          </w:p>
        </w:tc>
      </w:tr>
      <w:tr w:rsidR="005C20E1" w:rsidRPr="006E764C" w14:paraId="6656FAF3" w14:textId="77777777" w:rsidTr="000B6D24">
        <w:trPr>
          <w:trHeight w:val="255"/>
        </w:trPr>
        <w:tc>
          <w:tcPr>
            <w:tcW w:w="3220" w:type="dxa"/>
            <w:tcBorders>
              <w:top w:val="nil"/>
              <w:left w:val="single" w:sz="4" w:space="0" w:color="auto"/>
              <w:bottom w:val="single" w:sz="4" w:space="0" w:color="auto"/>
              <w:right w:val="single" w:sz="4" w:space="0" w:color="auto"/>
            </w:tcBorders>
            <w:noWrap/>
            <w:hideMark/>
          </w:tcPr>
          <w:p w14:paraId="12378172" w14:textId="77777777" w:rsidR="005C20E1" w:rsidRPr="00645916" w:rsidRDefault="005C20E1" w:rsidP="000B6D24">
            <w:pPr>
              <w:pStyle w:val="TableText"/>
              <w:jc w:val="center"/>
              <w:rPr>
                <w:b/>
                <w:lang w:eastAsia="en-AU"/>
              </w:rPr>
            </w:pPr>
            <w:r w:rsidRPr="00645916">
              <w:rPr>
                <w:b/>
                <w:lang w:eastAsia="en-AU"/>
              </w:rPr>
              <w:t>TOTAL</w:t>
            </w:r>
          </w:p>
        </w:tc>
        <w:tc>
          <w:tcPr>
            <w:tcW w:w="1473" w:type="dxa"/>
            <w:tcBorders>
              <w:top w:val="nil"/>
              <w:left w:val="nil"/>
              <w:bottom w:val="single" w:sz="4" w:space="0" w:color="auto"/>
              <w:right w:val="single" w:sz="4" w:space="0" w:color="auto"/>
            </w:tcBorders>
            <w:noWrap/>
            <w:vAlign w:val="bottom"/>
          </w:tcPr>
          <w:p w14:paraId="766D9E18" w14:textId="4C9AE88C" w:rsidR="005C20E1" w:rsidRPr="00D609C2" w:rsidRDefault="005C20E1" w:rsidP="000B6D24">
            <w:pPr>
              <w:jc w:val="right"/>
              <w:rPr>
                <w:rFonts w:cs="Arial"/>
                <w:b/>
                <w:bCs/>
              </w:rPr>
            </w:pPr>
            <w:r w:rsidRPr="00D609C2">
              <w:rPr>
                <w:rFonts w:cs="Arial"/>
                <w:b/>
                <w:bCs/>
              </w:rPr>
              <w:t>5</w:t>
            </w:r>
            <w:r>
              <w:rPr>
                <w:rFonts w:cs="Arial"/>
                <w:b/>
                <w:bCs/>
              </w:rPr>
              <w:t>79</w:t>
            </w:r>
          </w:p>
        </w:tc>
      </w:tr>
    </w:tbl>
    <w:p w14:paraId="6A942FFB" w14:textId="77777777" w:rsidR="005C20E1" w:rsidRDefault="005C20E1" w:rsidP="005A5B78">
      <w:pPr>
        <w:ind w:left="-142" w:right="-425"/>
        <w:jc w:val="both"/>
        <w:rPr>
          <w:rFonts w:cs="Arial"/>
        </w:rPr>
      </w:pPr>
    </w:p>
    <w:p w14:paraId="5D53EAA0" w14:textId="77777777" w:rsidR="005A5B78" w:rsidRPr="00076ED0" w:rsidRDefault="005A5B78" w:rsidP="00D51DFA">
      <w:pPr>
        <w:pStyle w:val="Heading2"/>
      </w:pPr>
      <w:r w:rsidRPr="006E39F0">
        <w:t>Conferences</w:t>
      </w:r>
    </w:p>
    <w:p w14:paraId="3E20F69A" w14:textId="67A2F2FB" w:rsidR="00F81024" w:rsidRDefault="00477E0E" w:rsidP="00233EAC">
      <w:pPr>
        <w:ind w:left="-142" w:right="-425"/>
        <w:jc w:val="both"/>
        <w:rPr>
          <w:rFonts w:cs="Arial"/>
        </w:rPr>
      </w:pPr>
      <w:r>
        <w:rPr>
          <w:rFonts w:cs="Arial"/>
        </w:rPr>
        <w:t>The</w:t>
      </w:r>
      <w:r w:rsidR="00AE1804">
        <w:rPr>
          <w:rFonts w:cs="Arial"/>
        </w:rPr>
        <w:t xml:space="preserve"> total </w:t>
      </w:r>
      <w:r w:rsidR="00562176">
        <w:rPr>
          <w:rFonts w:cs="Arial"/>
        </w:rPr>
        <w:t xml:space="preserve">number of conferences </w:t>
      </w:r>
      <w:r w:rsidR="00A46793" w:rsidRPr="0098569F">
        <w:rPr>
          <w:rFonts w:cs="Arial"/>
        </w:rPr>
        <w:t xml:space="preserve">held </w:t>
      </w:r>
      <w:r w:rsidR="00A46793">
        <w:rPr>
          <w:rFonts w:cs="Arial"/>
        </w:rPr>
        <w:t xml:space="preserve">across the five communities in quarter </w:t>
      </w:r>
      <w:r w:rsidR="000C0A83">
        <w:rPr>
          <w:rFonts w:cs="Arial"/>
        </w:rPr>
        <w:t>54</w:t>
      </w:r>
      <w:r w:rsidR="00A46793">
        <w:rPr>
          <w:rFonts w:cs="Arial"/>
        </w:rPr>
        <w:t xml:space="preserve"> </w:t>
      </w:r>
      <w:r w:rsidR="00CC41F3">
        <w:rPr>
          <w:rFonts w:cs="Arial"/>
        </w:rPr>
        <w:t xml:space="preserve">decreased </w:t>
      </w:r>
      <w:r w:rsidR="00562176">
        <w:rPr>
          <w:rFonts w:cs="Arial"/>
        </w:rPr>
        <w:t xml:space="preserve">from </w:t>
      </w:r>
      <w:r w:rsidR="00D16AD9">
        <w:rPr>
          <w:rFonts w:cs="Arial"/>
        </w:rPr>
        <w:t>3</w:t>
      </w:r>
      <w:r w:rsidR="00CC41F3">
        <w:rPr>
          <w:rFonts w:cs="Arial"/>
        </w:rPr>
        <w:t>96</w:t>
      </w:r>
      <w:r w:rsidR="00D16AD9">
        <w:rPr>
          <w:rFonts w:cs="Arial"/>
        </w:rPr>
        <w:t xml:space="preserve"> </w:t>
      </w:r>
      <w:r w:rsidR="00562176">
        <w:rPr>
          <w:rFonts w:cs="Arial"/>
        </w:rPr>
        <w:t xml:space="preserve">in quarter </w:t>
      </w:r>
      <w:r w:rsidR="000C0A83">
        <w:rPr>
          <w:rFonts w:cs="Arial"/>
        </w:rPr>
        <w:t>53</w:t>
      </w:r>
      <w:r w:rsidR="00562176">
        <w:rPr>
          <w:rFonts w:cs="Arial"/>
        </w:rPr>
        <w:t xml:space="preserve"> to</w:t>
      </w:r>
      <w:r w:rsidR="00AE1804">
        <w:rPr>
          <w:rFonts w:cs="Arial"/>
        </w:rPr>
        <w:t xml:space="preserve"> </w:t>
      </w:r>
      <w:r w:rsidR="00D16AD9">
        <w:rPr>
          <w:rFonts w:cs="Arial"/>
        </w:rPr>
        <w:t>3</w:t>
      </w:r>
      <w:r w:rsidR="00CC41F3">
        <w:rPr>
          <w:rFonts w:cs="Arial"/>
        </w:rPr>
        <w:t>35</w:t>
      </w:r>
      <w:r w:rsidR="00D16AD9">
        <w:rPr>
          <w:rFonts w:cs="Arial"/>
        </w:rPr>
        <w:t xml:space="preserve"> </w:t>
      </w:r>
      <w:r w:rsidR="005A5B78" w:rsidRPr="00213E4C">
        <w:rPr>
          <w:rFonts w:cs="Arial"/>
        </w:rPr>
        <w:t>conferences</w:t>
      </w:r>
      <w:r w:rsidR="005A5B78" w:rsidRPr="0081647B">
        <w:rPr>
          <w:rStyle w:val="FootnoteReference"/>
        </w:rPr>
        <w:footnoteReference w:id="11"/>
      </w:r>
      <w:r w:rsidR="0051235F">
        <w:rPr>
          <w:rFonts w:cs="Arial"/>
        </w:rPr>
        <w:t xml:space="preserve"> </w:t>
      </w:r>
      <w:r w:rsidR="00E44EBF">
        <w:rPr>
          <w:rFonts w:cs="Arial"/>
        </w:rPr>
        <w:t>(</w:t>
      </w:r>
      <w:r w:rsidR="0051235F">
        <w:rPr>
          <w:rFonts w:cs="Arial"/>
        </w:rPr>
        <w:t xml:space="preserve">relating to </w:t>
      </w:r>
      <w:r w:rsidR="00CC41F3">
        <w:rPr>
          <w:rFonts w:cs="Arial"/>
        </w:rPr>
        <w:t xml:space="preserve">272 </w:t>
      </w:r>
      <w:r w:rsidR="0051235F">
        <w:rPr>
          <w:rFonts w:cs="Arial"/>
        </w:rPr>
        <w:t>clients</w:t>
      </w:r>
      <w:r w:rsidR="00FC76B8">
        <w:rPr>
          <w:rFonts w:cs="Arial"/>
        </w:rPr>
        <w:t xml:space="preserve"> </w:t>
      </w:r>
      <w:r w:rsidR="00A8670D">
        <w:rPr>
          <w:rFonts w:cs="Arial"/>
        </w:rPr>
        <w:t>served to attend conference</w:t>
      </w:r>
      <w:r w:rsidR="00E44EBF">
        <w:rPr>
          <w:rFonts w:cs="Arial"/>
        </w:rPr>
        <w:t>)</w:t>
      </w:r>
      <w:r w:rsidR="00C84E0D">
        <w:rPr>
          <w:rFonts w:cs="Arial"/>
        </w:rPr>
        <w:t>,</w:t>
      </w:r>
      <w:r w:rsidR="00FD4FC4">
        <w:rPr>
          <w:rFonts w:cs="Arial"/>
        </w:rPr>
        <w:t xml:space="preserve"> </w:t>
      </w:r>
      <w:r w:rsidR="005A5B78" w:rsidRPr="00901D09">
        <w:rPr>
          <w:rFonts w:cs="Arial"/>
        </w:rPr>
        <w:t>result</w:t>
      </w:r>
      <w:r w:rsidR="005A5B78">
        <w:rPr>
          <w:rFonts w:cs="Arial"/>
        </w:rPr>
        <w:t>ing</w:t>
      </w:r>
      <w:r w:rsidR="005A5B78" w:rsidRPr="00901D09">
        <w:rPr>
          <w:rFonts w:cs="Arial"/>
        </w:rPr>
        <w:t xml:space="preserve"> </w:t>
      </w:r>
      <w:r w:rsidR="005A5B78" w:rsidRPr="006220E1">
        <w:rPr>
          <w:rFonts w:cs="Arial"/>
        </w:rPr>
        <w:t>in</w:t>
      </w:r>
      <w:r w:rsidR="0042279A" w:rsidRPr="006220E1">
        <w:rPr>
          <w:rFonts w:cs="Arial"/>
        </w:rPr>
        <w:t xml:space="preserve"> </w:t>
      </w:r>
      <w:r w:rsidR="00CC41F3">
        <w:rPr>
          <w:rFonts w:cs="Arial"/>
        </w:rPr>
        <w:t>73</w:t>
      </w:r>
      <w:r w:rsidR="00CC41F3" w:rsidRPr="006220E1">
        <w:rPr>
          <w:rFonts w:cs="Arial"/>
        </w:rPr>
        <w:t xml:space="preserve"> </w:t>
      </w:r>
      <w:r w:rsidR="0070023D" w:rsidRPr="006220E1">
        <w:rPr>
          <w:rFonts w:cs="Arial"/>
        </w:rPr>
        <w:t xml:space="preserve">agreements to </w:t>
      </w:r>
      <w:r w:rsidR="007727B0" w:rsidRPr="006220E1">
        <w:rPr>
          <w:rFonts w:cs="Arial"/>
        </w:rPr>
        <w:t>attend community support services</w:t>
      </w:r>
      <w:r w:rsidR="00054E20" w:rsidRPr="006220E1">
        <w:rPr>
          <w:rFonts w:cs="Arial"/>
        </w:rPr>
        <w:t xml:space="preserve">, </w:t>
      </w:r>
      <w:r w:rsidR="00CC41F3">
        <w:rPr>
          <w:rFonts w:cs="Arial"/>
        </w:rPr>
        <w:t>1 agreement for CIM, 19</w:t>
      </w:r>
      <w:r w:rsidR="00CC41F3" w:rsidRPr="006220E1">
        <w:rPr>
          <w:rFonts w:cs="Arial"/>
        </w:rPr>
        <w:t xml:space="preserve"> </w:t>
      </w:r>
      <w:r w:rsidR="005A5B78" w:rsidRPr="006220E1">
        <w:rPr>
          <w:rFonts w:cs="Arial"/>
        </w:rPr>
        <w:t>orders to attend community support services</w:t>
      </w:r>
      <w:r w:rsidR="00CC41F3">
        <w:rPr>
          <w:rFonts w:cs="Arial"/>
        </w:rPr>
        <w:t xml:space="preserve"> </w:t>
      </w:r>
      <w:r w:rsidR="005A5B78" w:rsidRPr="006220E1">
        <w:rPr>
          <w:rFonts w:cs="Arial"/>
        </w:rPr>
        <w:t xml:space="preserve">and </w:t>
      </w:r>
      <w:r w:rsidR="00CC41F3">
        <w:rPr>
          <w:rFonts w:cs="Arial"/>
        </w:rPr>
        <w:t>28</w:t>
      </w:r>
      <w:r w:rsidR="00CC41F3" w:rsidRPr="006220E1">
        <w:rPr>
          <w:rFonts w:cs="Arial"/>
        </w:rPr>
        <w:t xml:space="preserve"> </w:t>
      </w:r>
      <w:r w:rsidR="00CC68A9">
        <w:rPr>
          <w:rFonts w:cs="Arial"/>
        </w:rPr>
        <w:t xml:space="preserve">new </w:t>
      </w:r>
      <w:r w:rsidR="005A5B78" w:rsidRPr="006220E1">
        <w:rPr>
          <w:rFonts w:cs="Arial"/>
        </w:rPr>
        <w:t>CIM orders</w:t>
      </w:r>
      <w:r w:rsidR="0034344C" w:rsidRPr="006220E1">
        <w:rPr>
          <w:rFonts w:cs="Arial"/>
        </w:rPr>
        <w:t xml:space="preserve"> </w:t>
      </w:r>
      <w:r w:rsidR="00057A8F" w:rsidRPr="006220E1">
        <w:rPr>
          <w:rFonts w:cs="Arial"/>
        </w:rPr>
        <w:t>issued</w:t>
      </w:r>
      <w:r w:rsidR="00D544BC" w:rsidRPr="006220E1">
        <w:rPr>
          <w:rFonts w:cs="Arial"/>
        </w:rPr>
        <w:t xml:space="preserve">. </w:t>
      </w:r>
      <w:r w:rsidR="009E2936" w:rsidRPr="006220E1">
        <w:rPr>
          <w:rFonts w:cs="Arial"/>
        </w:rPr>
        <w:t>When compared to last quarter</w:t>
      </w:r>
      <w:r w:rsidR="000806FF" w:rsidRPr="006220E1">
        <w:rPr>
          <w:rFonts w:cs="Arial"/>
        </w:rPr>
        <w:t xml:space="preserve"> there was</w:t>
      </w:r>
      <w:r w:rsidR="0042279A" w:rsidRPr="006220E1">
        <w:rPr>
          <w:rFonts w:cs="Arial"/>
        </w:rPr>
        <w:t xml:space="preserve"> a</w:t>
      </w:r>
      <w:r w:rsidR="004A25CE">
        <w:rPr>
          <w:rFonts w:cs="Arial"/>
        </w:rPr>
        <w:t xml:space="preserve"> </w:t>
      </w:r>
      <w:r w:rsidR="00CC41F3">
        <w:rPr>
          <w:rFonts w:cs="Arial"/>
        </w:rPr>
        <w:t xml:space="preserve">decrease </w:t>
      </w:r>
      <w:r w:rsidR="00E53D2A" w:rsidRPr="006220E1">
        <w:rPr>
          <w:rFonts w:cs="Arial"/>
        </w:rPr>
        <w:t xml:space="preserve">of </w:t>
      </w:r>
      <w:r w:rsidR="00CC41F3">
        <w:rPr>
          <w:rFonts w:cs="Arial"/>
        </w:rPr>
        <w:t>16</w:t>
      </w:r>
      <w:r w:rsidR="004A25CE">
        <w:rPr>
          <w:rFonts w:cs="Arial"/>
        </w:rPr>
        <w:t xml:space="preserve"> </w:t>
      </w:r>
      <w:r w:rsidR="007727B0" w:rsidRPr="006220E1">
        <w:rPr>
          <w:rFonts w:cs="Arial"/>
        </w:rPr>
        <w:t>agreements to attend community support services</w:t>
      </w:r>
      <w:r w:rsidR="00F172D6">
        <w:rPr>
          <w:rFonts w:cs="Arial"/>
        </w:rPr>
        <w:t xml:space="preserve">, </w:t>
      </w:r>
      <w:r w:rsidR="00CC41F3">
        <w:rPr>
          <w:rFonts w:cs="Arial"/>
        </w:rPr>
        <w:t xml:space="preserve">an increase of 1 agreement for </w:t>
      </w:r>
      <w:r w:rsidR="00CC41F3">
        <w:rPr>
          <w:rFonts w:cs="Arial"/>
        </w:rPr>
        <w:lastRenderedPageBreak/>
        <w:t xml:space="preserve">CIM, </w:t>
      </w:r>
      <w:r w:rsidR="00F172D6">
        <w:rPr>
          <w:rFonts w:cs="Arial"/>
        </w:rPr>
        <w:t>a</w:t>
      </w:r>
      <w:r w:rsidR="00CC41F3">
        <w:rPr>
          <w:rFonts w:cs="Arial"/>
        </w:rPr>
        <w:t xml:space="preserve"> decrease </w:t>
      </w:r>
      <w:r w:rsidR="006D359E" w:rsidRPr="006220E1">
        <w:rPr>
          <w:rFonts w:cs="Arial"/>
        </w:rPr>
        <w:t xml:space="preserve">of </w:t>
      </w:r>
      <w:r w:rsidR="00CC41F3">
        <w:rPr>
          <w:rFonts w:cs="Arial"/>
        </w:rPr>
        <w:t>32</w:t>
      </w:r>
      <w:r w:rsidR="00CC41F3" w:rsidRPr="006220E1">
        <w:rPr>
          <w:rFonts w:cs="Arial"/>
        </w:rPr>
        <w:t xml:space="preserve"> </w:t>
      </w:r>
      <w:r w:rsidR="0034344C" w:rsidRPr="006220E1">
        <w:rPr>
          <w:rFonts w:cs="Arial"/>
        </w:rPr>
        <w:t xml:space="preserve">orders to attend community support services and </w:t>
      </w:r>
      <w:r w:rsidR="00E53D2A" w:rsidRPr="006220E1">
        <w:rPr>
          <w:rFonts w:cs="Arial"/>
        </w:rPr>
        <w:t>a</w:t>
      </w:r>
      <w:r w:rsidR="00CC41F3">
        <w:rPr>
          <w:rFonts w:cs="Arial"/>
        </w:rPr>
        <w:t xml:space="preserve"> decrease</w:t>
      </w:r>
      <w:r w:rsidR="004A25CE">
        <w:rPr>
          <w:rFonts w:cs="Arial"/>
        </w:rPr>
        <w:t xml:space="preserve"> </w:t>
      </w:r>
      <w:r w:rsidR="006D359E" w:rsidRPr="006220E1">
        <w:rPr>
          <w:rFonts w:cs="Arial"/>
        </w:rPr>
        <w:t xml:space="preserve">of </w:t>
      </w:r>
      <w:r w:rsidR="00CC41F3">
        <w:rPr>
          <w:rFonts w:cs="Arial"/>
        </w:rPr>
        <w:t>8</w:t>
      </w:r>
      <w:r w:rsidR="00CC41F3" w:rsidRPr="006220E1">
        <w:rPr>
          <w:rFonts w:cs="Arial"/>
        </w:rPr>
        <w:t xml:space="preserve"> </w:t>
      </w:r>
      <w:r w:rsidR="009E2936" w:rsidRPr="006220E1">
        <w:rPr>
          <w:rFonts w:cs="Arial"/>
        </w:rPr>
        <w:t>CIM order</w:t>
      </w:r>
      <w:r w:rsidR="008E6D71" w:rsidRPr="006220E1">
        <w:rPr>
          <w:rFonts w:cs="Arial"/>
        </w:rPr>
        <w:t>s</w:t>
      </w:r>
      <w:r w:rsidR="00352196" w:rsidRPr="006220E1">
        <w:rPr>
          <w:rFonts w:cs="Arial"/>
        </w:rPr>
        <w:t>.</w:t>
      </w:r>
      <w:r w:rsidR="00352196">
        <w:rPr>
          <w:rFonts w:cs="Arial"/>
        </w:rPr>
        <w:t xml:space="preserve"> </w:t>
      </w:r>
      <w:r w:rsidR="000C4D78">
        <w:rPr>
          <w:rFonts w:cs="Arial"/>
        </w:rPr>
        <w:t>It should be noted</w:t>
      </w:r>
      <w:r w:rsidR="003F3BC6">
        <w:rPr>
          <w:rFonts w:cs="Arial"/>
        </w:rPr>
        <w:t xml:space="preserve"> that a decision by order </w:t>
      </w:r>
      <w:r w:rsidR="00352196">
        <w:rPr>
          <w:rFonts w:cs="Arial"/>
        </w:rPr>
        <w:t xml:space="preserve">in conference </w:t>
      </w:r>
      <w:r w:rsidR="003F3BC6">
        <w:rPr>
          <w:rFonts w:cs="Arial"/>
        </w:rPr>
        <w:t xml:space="preserve">may include </w:t>
      </w:r>
      <w:r w:rsidR="00352196">
        <w:rPr>
          <w:rFonts w:cs="Arial"/>
        </w:rPr>
        <w:t>a number of outcomes for a client</w:t>
      </w:r>
      <w:r w:rsidR="00D808C5">
        <w:rPr>
          <w:rFonts w:cs="Arial"/>
        </w:rPr>
        <w:t>. F</w:t>
      </w:r>
      <w:r w:rsidR="00352196">
        <w:rPr>
          <w:rFonts w:cs="Arial"/>
        </w:rPr>
        <w:t>or example</w:t>
      </w:r>
      <w:r w:rsidR="00D808C5">
        <w:rPr>
          <w:rFonts w:cs="Arial"/>
        </w:rPr>
        <w:t>,</w:t>
      </w:r>
      <w:r w:rsidR="00352196">
        <w:rPr>
          <w:rFonts w:cs="Arial"/>
        </w:rPr>
        <w:t xml:space="preserve"> </w:t>
      </w:r>
      <w:r w:rsidR="003F3BC6">
        <w:rPr>
          <w:rFonts w:cs="Arial"/>
        </w:rPr>
        <w:t xml:space="preserve">a </w:t>
      </w:r>
      <w:r w:rsidR="00352196">
        <w:rPr>
          <w:rFonts w:cs="Arial"/>
        </w:rPr>
        <w:t xml:space="preserve">client may be placed on a </w:t>
      </w:r>
      <w:r w:rsidR="003F3BC6">
        <w:rPr>
          <w:rFonts w:cs="Arial"/>
        </w:rPr>
        <w:t>case plan and an income management at the same</w:t>
      </w:r>
      <w:r w:rsidR="00352196">
        <w:rPr>
          <w:rFonts w:cs="Arial"/>
        </w:rPr>
        <w:t xml:space="preserve"> </w:t>
      </w:r>
      <w:r w:rsidR="003F3BC6">
        <w:rPr>
          <w:rFonts w:cs="Arial"/>
        </w:rPr>
        <w:t>time</w:t>
      </w:r>
      <w:r w:rsidR="00057A8F">
        <w:rPr>
          <w:rFonts w:cs="Arial"/>
        </w:rPr>
        <w:t>.</w:t>
      </w:r>
    </w:p>
    <w:p w14:paraId="71AEE92A" w14:textId="77777777" w:rsidR="00F81024" w:rsidRDefault="00F81024" w:rsidP="00233EAC">
      <w:pPr>
        <w:ind w:left="-142" w:right="-425"/>
        <w:jc w:val="both"/>
        <w:rPr>
          <w:rFonts w:cs="Arial"/>
        </w:rPr>
      </w:pPr>
    </w:p>
    <w:p w14:paraId="775CD6DC" w14:textId="407129C0" w:rsidR="00DD1B0A" w:rsidRDefault="005645FD" w:rsidP="00233EAC">
      <w:pPr>
        <w:ind w:left="-142" w:right="-425"/>
        <w:jc w:val="both"/>
        <w:rPr>
          <w:rFonts w:cs="Arial"/>
        </w:rPr>
      </w:pPr>
      <w:r>
        <w:rPr>
          <w:rFonts w:cs="Arial"/>
        </w:rPr>
        <w:t xml:space="preserve">Other outcomes as a result of conferencing during the quarter </w:t>
      </w:r>
      <w:r w:rsidR="000C4D78">
        <w:rPr>
          <w:rFonts w:cs="Arial"/>
        </w:rPr>
        <w:t>included</w:t>
      </w:r>
      <w:r>
        <w:rPr>
          <w:rFonts w:cs="Arial"/>
        </w:rPr>
        <w:t xml:space="preserve"> decisions for </w:t>
      </w:r>
      <w:r w:rsidR="005A5B78" w:rsidRPr="00DA470C">
        <w:rPr>
          <w:rFonts w:cs="Arial"/>
        </w:rPr>
        <w:t xml:space="preserve">no further action, </w:t>
      </w:r>
      <w:r w:rsidR="00B8453F">
        <w:rPr>
          <w:rFonts w:cs="Arial"/>
        </w:rPr>
        <w:t>reprimand,</w:t>
      </w:r>
      <w:r w:rsidR="00F172D6">
        <w:rPr>
          <w:rFonts w:cs="Arial"/>
        </w:rPr>
        <w:t xml:space="preserve"> recommending a support service,</w:t>
      </w:r>
      <w:r w:rsidR="00B8453F">
        <w:rPr>
          <w:rFonts w:cs="Arial"/>
        </w:rPr>
        <w:t xml:space="preserve"> </w:t>
      </w:r>
      <w:r w:rsidR="005A5B78" w:rsidRPr="00DA470C">
        <w:rPr>
          <w:rFonts w:cs="Arial"/>
        </w:rPr>
        <w:t>reschedul</w:t>
      </w:r>
      <w:r w:rsidR="00B8453F">
        <w:rPr>
          <w:rFonts w:cs="Arial"/>
        </w:rPr>
        <w:t xml:space="preserve">e and </w:t>
      </w:r>
      <w:r w:rsidR="00AE0E8E">
        <w:rPr>
          <w:rFonts w:cs="Arial"/>
        </w:rPr>
        <w:t xml:space="preserve">adjournment </w:t>
      </w:r>
      <w:r w:rsidR="00AE0E8E" w:rsidRPr="00DA470C">
        <w:rPr>
          <w:rFonts w:cs="Arial"/>
        </w:rPr>
        <w:t xml:space="preserve">to return </w:t>
      </w:r>
      <w:r w:rsidR="00AE0E8E">
        <w:rPr>
          <w:rFonts w:cs="Arial"/>
        </w:rPr>
        <w:t xml:space="preserve">for the purpose of determining if any parties of the adjourned conference have addressed the matter/s in question during the adjournment period. </w:t>
      </w:r>
      <w:r w:rsidR="00803D0A">
        <w:t xml:space="preserve">Attendance at conference </w:t>
      </w:r>
      <w:r w:rsidR="0087228F">
        <w:t xml:space="preserve">increased </w:t>
      </w:r>
      <w:r w:rsidR="00803D0A">
        <w:t xml:space="preserve">from </w:t>
      </w:r>
      <w:r w:rsidR="00D920E1">
        <w:t>5</w:t>
      </w:r>
      <w:r w:rsidR="0087228F">
        <w:t>3.0</w:t>
      </w:r>
      <w:r w:rsidR="00E720CE">
        <w:t xml:space="preserve"> </w:t>
      </w:r>
      <w:r w:rsidR="00FC7C1D">
        <w:rPr>
          <w:rFonts w:cs="Arial"/>
        </w:rPr>
        <w:t xml:space="preserve">percent </w:t>
      </w:r>
      <w:r w:rsidR="00803D0A">
        <w:t xml:space="preserve">in quarter </w:t>
      </w:r>
      <w:r w:rsidR="000C0A83">
        <w:t>53</w:t>
      </w:r>
      <w:r w:rsidR="00803D0A">
        <w:t xml:space="preserve"> to </w:t>
      </w:r>
      <w:r w:rsidR="0087228F">
        <w:t>60.6</w:t>
      </w:r>
      <w:r w:rsidR="00E720CE">
        <w:t xml:space="preserve"> </w:t>
      </w:r>
      <w:r w:rsidR="00FC7C1D">
        <w:rPr>
          <w:rFonts w:cs="Arial"/>
        </w:rPr>
        <w:t xml:space="preserve">percent </w:t>
      </w:r>
      <w:r w:rsidR="00803D0A">
        <w:t xml:space="preserve">in quarter </w:t>
      </w:r>
      <w:r w:rsidR="000C0A83">
        <w:t>54</w:t>
      </w:r>
      <w:r w:rsidR="00803D0A">
        <w:t xml:space="preserve">, and non-attendance with what the Commissioners considered a reasonable justification decreased from </w:t>
      </w:r>
      <w:r w:rsidR="00D920E1">
        <w:t>2</w:t>
      </w:r>
      <w:r w:rsidR="0087228F">
        <w:t>6.3</w:t>
      </w:r>
      <w:r w:rsidR="00E720CE">
        <w:t xml:space="preserve"> </w:t>
      </w:r>
      <w:r w:rsidR="00FC7C1D">
        <w:rPr>
          <w:rFonts w:cs="Arial"/>
        </w:rPr>
        <w:t xml:space="preserve">percent </w:t>
      </w:r>
      <w:r w:rsidR="00803D0A">
        <w:t>in the previous quarter to 2</w:t>
      </w:r>
      <w:r w:rsidR="0087228F">
        <w:t>2.7</w:t>
      </w:r>
      <w:r w:rsidR="00E720CE">
        <w:t xml:space="preserve"> </w:t>
      </w:r>
      <w:r w:rsidR="00FC7C1D">
        <w:rPr>
          <w:rFonts w:cs="Arial"/>
        </w:rPr>
        <w:t xml:space="preserve">percent </w:t>
      </w:r>
      <w:r w:rsidR="00803D0A">
        <w:t>during this reporting period.</w:t>
      </w:r>
      <w:r w:rsidR="002534A2">
        <w:t xml:space="preserve"> </w:t>
      </w:r>
      <w:r w:rsidR="002534A2" w:rsidRPr="001F0A2E">
        <w:t xml:space="preserve">Reasons for </w:t>
      </w:r>
      <w:r w:rsidR="007D4490">
        <w:t xml:space="preserve">non-attendance </w:t>
      </w:r>
      <w:r w:rsidR="002534A2" w:rsidRPr="001F0A2E">
        <w:t xml:space="preserve">at conference </w:t>
      </w:r>
      <w:r w:rsidR="007D4490">
        <w:t xml:space="preserve">generally </w:t>
      </w:r>
      <w:r w:rsidR="002534A2" w:rsidRPr="001F0A2E">
        <w:t xml:space="preserve">include </w:t>
      </w:r>
      <w:r w:rsidR="007D4490">
        <w:t xml:space="preserve">the effects of </w:t>
      </w:r>
      <w:r w:rsidR="002534A2" w:rsidRPr="001F0A2E">
        <w:t>community unrest</w:t>
      </w:r>
      <w:r w:rsidR="007D4490">
        <w:t xml:space="preserve">, the occurrence of </w:t>
      </w:r>
      <w:r w:rsidR="002534A2" w:rsidRPr="001F0A2E">
        <w:t>funerals</w:t>
      </w:r>
      <w:r w:rsidR="00D85A77" w:rsidRPr="001F0A2E">
        <w:t xml:space="preserve"> and associated Sorry Business</w:t>
      </w:r>
      <w:r w:rsidR="007978B1">
        <w:t xml:space="preserve">, illness, </w:t>
      </w:r>
      <w:r w:rsidR="00FB4B1F">
        <w:t>carer</w:t>
      </w:r>
      <w:r w:rsidR="007978B1">
        <w:t xml:space="preserve"> responsibilities and absence from community.</w:t>
      </w:r>
      <w:r w:rsidR="00114AA4">
        <w:rPr>
          <w:rFonts w:cs="Arial"/>
        </w:rPr>
        <w:t xml:space="preserve"> Refer to the application outcomes section of this report for matters heard under an amend/end application hearing process.</w:t>
      </w:r>
    </w:p>
    <w:p w14:paraId="6C2986ED" w14:textId="475F207A" w:rsidR="0051235F" w:rsidRDefault="0051235F" w:rsidP="00233EAC">
      <w:pPr>
        <w:ind w:left="-142" w:right="-425"/>
        <w:jc w:val="both"/>
        <w:rPr>
          <w:rFonts w:cs="Arial"/>
        </w:rPr>
      </w:pPr>
    </w:p>
    <w:p w14:paraId="39D54406" w14:textId="0096A925" w:rsidR="00E91BBF" w:rsidRPr="00D925BE" w:rsidRDefault="00E91BBF" w:rsidP="00E91BBF">
      <w:pPr>
        <w:spacing w:after="120" w:line="240" w:lineRule="auto"/>
        <w:ind w:right="-425"/>
        <w:jc w:val="both"/>
        <w:rPr>
          <w:b/>
          <w:sz w:val="16"/>
          <w:szCs w:val="16"/>
        </w:rPr>
      </w:pPr>
      <w:r w:rsidRPr="00D93672">
        <w:rPr>
          <w:b/>
          <w:sz w:val="16"/>
          <w:szCs w:val="16"/>
        </w:rPr>
        <w:t xml:space="preserve">Table </w:t>
      </w:r>
      <w:r>
        <w:rPr>
          <w:b/>
          <w:sz w:val="16"/>
          <w:szCs w:val="16"/>
        </w:rPr>
        <w:t>13</w:t>
      </w:r>
      <w:r w:rsidRPr="00D93672">
        <w:rPr>
          <w:b/>
          <w:sz w:val="16"/>
          <w:szCs w:val="16"/>
        </w:rPr>
        <w:t xml:space="preserve">: </w:t>
      </w:r>
      <w:r w:rsidRPr="00D93672">
        <w:rPr>
          <w:sz w:val="16"/>
          <w:szCs w:val="16"/>
        </w:rPr>
        <w:t xml:space="preserve">Conferences by community and quarter 1 </w:t>
      </w:r>
      <w:r>
        <w:rPr>
          <w:sz w:val="16"/>
          <w:szCs w:val="16"/>
        </w:rPr>
        <w:t>October 2020 to 31 December 2021</w:t>
      </w:r>
    </w:p>
    <w:tbl>
      <w:tblPr>
        <w:tblW w:w="6880" w:type="dxa"/>
        <w:tblInd w:w="93" w:type="dxa"/>
        <w:tblLook w:val="04A0" w:firstRow="1" w:lastRow="0" w:firstColumn="1" w:lastColumn="0" w:noHBand="0" w:noVBand="1"/>
      </w:tblPr>
      <w:tblGrid>
        <w:gridCol w:w="2080"/>
        <w:gridCol w:w="960"/>
        <w:gridCol w:w="960"/>
        <w:gridCol w:w="960"/>
        <w:gridCol w:w="960"/>
        <w:gridCol w:w="960"/>
      </w:tblGrid>
      <w:tr w:rsidR="00E91BBF" w:rsidRPr="00C5395B" w14:paraId="08588A9A" w14:textId="5BEFFC54" w:rsidTr="00E91BBF">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459F6376" w14:textId="77777777" w:rsidR="00E91BBF" w:rsidRPr="00C5395B" w:rsidRDefault="00E91BBF" w:rsidP="000B6D24">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2E9FEBF7" w14:textId="77777777" w:rsidR="00E91BBF" w:rsidRDefault="00E91BBF" w:rsidP="000B6D24">
            <w:pPr>
              <w:pStyle w:val="TableText"/>
              <w:jc w:val="right"/>
              <w:rPr>
                <w:b/>
                <w:lang w:eastAsia="en-AU"/>
              </w:rPr>
            </w:pPr>
            <w:r>
              <w:rPr>
                <w:b/>
                <w:lang w:eastAsia="en-AU"/>
              </w:rPr>
              <w:t>Qtr 50</w:t>
            </w:r>
          </w:p>
        </w:tc>
        <w:tc>
          <w:tcPr>
            <w:tcW w:w="960" w:type="dxa"/>
            <w:tcBorders>
              <w:top w:val="single" w:sz="4" w:space="0" w:color="auto"/>
              <w:left w:val="nil"/>
              <w:bottom w:val="single" w:sz="4" w:space="0" w:color="auto"/>
              <w:right w:val="single" w:sz="4" w:space="0" w:color="auto"/>
            </w:tcBorders>
          </w:tcPr>
          <w:p w14:paraId="482C2AE3" w14:textId="77777777" w:rsidR="00E91BBF" w:rsidRDefault="00E91BBF" w:rsidP="000B6D24">
            <w:pPr>
              <w:pStyle w:val="TableText"/>
              <w:jc w:val="right"/>
              <w:rPr>
                <w:b/>
                <w:lang w:eastAsia="en-AU"/>
              </w:rPr>
            </w:pPr>
            <w:r>
              <w:rPr>
                <w:b/>
                <w:lang w:eastAsia="en-AU"/>
              </w:rPr>
              <w:t>Qtr 51</w:t>
            </w:r>
          </w:p>
        </w:tc>
        <w:tc>
          <w:tcPr>
            <w:tcW w:w="960" w:type="dxa"/>
            <w:tcBorders>
              <w:top w:val="single" w:sz="4" w:space="0" w:color="auto"/>
              <w:left w:val="nil"/>
              <w:bottom w:val="single" w:sz="4" w:space="0" w:color="auto"/>
              <w:right w:val="single" w:sz="4" w:space="0" w:color="auto"/>
            </w:tcBorders>
          </w:tcPr>
          <w:p w14:paraId="61761D3B" w14:textId="77777777" w:rsidR="00E91BBF" w:rsidRDefault="00E91BBF" w:rsidP="000B6D24">
            <w:pPr>
              <w:pStyle w:val="TableText"/>
              <w:jc w:val="right"/>
              <w:rPr>
                <w:b/>
                <w:lang w:eastAsia="en-AU"/>
              </w:rPr>
            </w:pPr>
            <w:r>
              <w:rPr>
                <w:b/>
                <w:lang w:eastAsia="en-AU"/>
              </w:rPr>
              <w:t>Qtr 52</w:t>
            </w:r>
          </w:p>
        </w:tc>
        <w:tc>
          <w:tcPr>
            <w:tcW w:w="960" w:type="dxa"/>
            <w:tcBorders>
              <w:top w:val="single" w:sz="4" w:space="0" w:color="auto"/>
              <w:left w:val="nil"/>
              <w:bottom w:val="single" w:sz="4" w:space="0" w:color="auto"/>
              <w:right w:val="single" w:sz="4" w:space="0" w:color="auto"/>
            </w:tcBorders>
          </w:tcPr>
          <w:p w14:paraId="0B4C4750" w14:textId="77777777" w:rsidR="00E91BBF" w:rsidRDefault="00E91BBF" w:rsidP="000B6D24">
            <w:pPr>
              <w:pStyle w:val="TableText"/>
              <w:jc w:val="right"/>
              <w:rPr>
                <w:b/>
                <w:lang w:eastAsia="en-AU"/>
              </w:rPr>
            </w:pPr>
            <w:r>
              <w:rPr>
                <w:b/>
                <w:lang w:eastAsia="en-AU"/>
              </w:rPr>
              <w:t>Qtr 53</w:t>
            </w:r>
          </w:p>
        </w:tc>
        <w:tc>
          <w:tcPr>
            <w:tcW w:w="960" w:type="dxa"/>
            <w:tcBorders>
              <w:top w:val="single" w:sz="4" w:space="0" w:color="auto"/>
              <w:left w:val="nil"/>
              <w:bottom w:val="single" w:sz="4" w:space="0" w:color="auto"/>
              <w:right w:val="single" w:sz="4" w:space="0" w:color="auto"/>
            </w:tcBorders>
          </w:tcPr>
          <w:p w14:paraId="20AFF709" w14:textId="1DF821BC" w:rsidR="00E91BBF" w:rsidRDefault="00E91BBF" w:rsidP="000B6D24">
            <w:pPr>
              <w:pStyle w:val="TableText"/>
              <w:jc w:val="right"/>
              <w:rPr>
                <w:b/>
                <w:lang w:eastAsia="en-AU"/>
              </w:rPr>
            </w:pPr>
            <w:r>
              <w:rPr>
                <w:b/>
                <w:lang w:eastAsia="en-AU"/>
              </w:rPr>
              <w:t>Qtr 54</w:t>
            </w:r>
          </w:p>
        </w:tc>
      </w:tr>
      <w:tr w:rsidR="00E91BBF" w:rsidRPr="00C5395B" w14:paraId="291323A5" w14:textId="19A4E9EA" w:rsidTr="00E91BBF">
        <w:trPr>
          <w:trHeight w:val="255"/>
        </w:trPr>
        <w:tc>
          <w:tcPr>
            <w:tcW w:w="2080" w:type="dxa"/>
            <w:tcBorders>
              <w:top w:val="nil"/>
              <w:left w:val="single" w:sz="4" w:space="0" w:color="auto"/>
              <w:bottom w:val="single" w:sz="4" w:space="0" w:color="auto"/>
              <w:right w:val="single" w:sz="4" w:space="0" w:color="auto"/>
            </w:tcBorders>
            <w:noWrap/>
            <w:hideMark/>
          </w:tcPr>
          <w:p w14:paraId="47C9F4CF" w14:textId="77777777" w:rsidR="00E91BBF" w:rsidRPr="00C5395B" w:rsidRDefault="00E91BBF" w:rsidP="000B6D24">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vAlign w:val="bottom"/>
          </w:tcPr>
          <w:p w14:paraId="02146E0E" w14:textId="77777777" w:rsidR="00E91BBF" w:rsidRDefault="00E91BBF" w:rsidP="000B6D24">
            <w:pPr>
              <w:jc w:val="right"/>
              <w:rPr>
                <w:rFonts w:cs="Arial"/>
              </w:rPr>
            </w:pPr>
            <w:r w:rsidRPr="002D275B">
              <w:rPr>
                <w:rFonts w:cs="Arial"/>
              </w:rPr>
              <w:t>212</w:t>
            </w:r>
          </w:p>
        </w:tc>
        <w:tc>
          <w:tcPr>
            <w:tcW w:w="960" w:type="dxa"/>
            <w:tcBorders>
              <w:top w:val="nil"/>
              <w:left w:val="nil"/>
              <w:bottom w:val="single" w:sz="4" w:space="0" w:color="auto"/>
              <w:right w:val="single" w:sz="4" w:space="0" w:color="auto"/>
            </w:tcBorders>
            <w:vAlign w:val="bottom"/>
          </w:tcPr>
          <w:p w14:paraId="64CEC987" w14:textId="77777777" w:rsidR="00E91BBF" w:rsidRDefault="00E91BBF" w:rsidP="000B6D24">
            <w:pPr>
              <w:jc w:val="right"/>
              <w:rPr>
                <w:rFonts w:cs="Arial"/>
              </w:rPr>
            </w:pPr>
            <w:r w:rsidRPr="00F832E3">
              <w:rPr>
                <w:rFonts w:cs="Arial"/>
              </w:rPr>
              <w:t>145</w:t>
            </w:r>
          </w:p>
        </w:tc>
        <w:tc>
          <w:tcPr>
            <w:tcW w:w="960" w:type="dxa"/>
            <w:tcBorders>
              <w:top w:val="nil"/>
              <w:left w:val="nil"/>
              <w:bottom w:val="single" w:sz="4" w:space="0" w:color="auto"/>
              <w:right w:val="single" w:sz="4" w:space="0" w:color="auto"/>
            </w:tcBorders>
          </w:tcPr>
          <w:p w14:paraId="6C1633F5" w14:textId="77777777" w:rsidR="00E91BBF" w:rsidRPr="00B8398E" w:rsidRDefault="00E91BBF" w:rsidP="000B6D24">
            <w:pPr>
              <w:jc w:val="right"/>
              <w:rPr>
                <w:rFonts w:cs="Arial"/>
              </w:rPr>
            </w:pPr>
            <w:r w:rsidRPr="0078302F">
              <w:rPr>
                <w:rFonts w:cs="Arial"/>
              </w:rPr>
              <w:t>145</w:t>
            </w:r>
          </w:p>
        </w:tc>
        <w:tc>
          <w:tcPr>
            <w:tcW w:w="960" w:type="dxa"/>
            <w:tcBorders>
              <w:top w:val="nil"/>
              <w:left w:val="nil"/>
              <w:bottom w:val="single" w:sz="4" w:space="0" w:color="auto"/>
              <w:right w:val="single" w:sz="4" w:space="0" w:color="auto"/>
            </w:tcBorders>
          </w:tcPr>
          <w:p w14:paraId="2AD42EC6" w14:textId="77777777" w:rsidR="00E91BBF" w:rsidRPr="0078302F" w:rsidRDefault="00E91BBF" w:rsidP="000B6D24">
            <w:pPr>
              <w:jc w:val="right"/>
              <w:rPr>
                <w:rFonts w:cs="Arial"/>
              </w:rPr>
            </w:pPr>
            <w:r w:rsidRPr="003A524F">
              <w:rPr>
                <w:rFonts w:cs="Arial"/>
              </w:rPr>
              <w:t>162</w:t>
            </w:r>
          </w:p>
        </w:tc>
        <w:tc>
          <w:tcPr>
            <w:tcW w:w="960" w:type="dxa"/>
            <w:tcBorders>
              <w:top w:val="nil"/>
              <w:left w:val="nil"/>
              <w:bottom w:val="single" w:sz="4" w:space="0" w:color="auto"/>
              <w:right w:val="single" w:sz="4" w:space="0" w:color="auto"/>
            </w:tcBorders>
          </w:tcPr>
          <w:p w14:paraId="66AE8115" w14:textId="2B3B1CB6" w:rsidR="00E91BBF" w:rsidRPr="003A524F" w:rsidRDefault="00E91BBF" w:rsidP="000B6D24">
            <w:pPr>
              <w:jc w:val="right"/>
              <w:rPr>
                <w:rFonts w:cs="Arial"/>
              </w:rPr>
            </w:pPr>
            <w:r>
              <w:rPr>
                <w:rFonts w:cs="Arial"/>
              </w:rPr>
              <w:t>128</w:t>
            </w:r>
          </w:p>
        </w:tc>
      </w:tr>
      <w:tr w:rsidR="00E91BBF" w:rsidRPr="00C5395B" w14:paraId="2DBE5E54" w14:textId="4F9B02FB" w:rsidTr="00E91BBF">
        <w:trPr>
          <w:trHeight w:val="255"/>
        </w:trPr>
        <w:tc>
          <w:tcPr>
            <w:tcW w:w="2080" w:type="dxa"/>
            <w:tcBorders>
              <w:top w:val="nil"/>
              <w:left w:val="single" w:sz="4" w:space="0" w:color="auto"/>
              <w:bottom w:val="single" w:sz="4" w:space="0" w:color="auto"/>
              <w:right w:val="single" w:sz="4" w:space="0" w:color="auto"/>
            </w:tcBorders>
            <w:noWrap/>
            <w:hideMark/>
          </w:tcPr>
          <w:p w14:paraId="5E4B2FE1" w14:textId="77777777" w:rsidR="00E91BBF" w:rsidRPr="00C5395B" w:rsidRDefault="00E91BBF" w:rsidP="000B6D24">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vAlign w:val="bottom"/>
          </w:tcPr>
          <w:p w14:paraId="03A16D29" w14:textId="77777777" w:rsidR="00E91BBF" w:rsidRDefault="00E91BBF" w:rsidP="000B6D24">
            <w:pPr>
              <w:jc w:val="right"/>
              <w:rPr>
                <w:rFonts w:cs="Arial"/>
              </w:rPr>
            </w:pPr>
            <w:r w:rsidRPr="002D275B">
              <w:rPr>
                <w:rFonts w:cs="Arial"/>
              </w:rPr>
              <w:t>19</w:t>
            </w:r>
          </w:p>
        </w:tc>
        <w:tc>
          <w:tcPr>
            <w:tcW w:w="960" w:type="dxa"/>
            <w:tcBorders>
              <w:top w:val="nil"/>
              <w:left w:val="nil"/>
              <w:bottom w:val="single" w:sz="4" w:space="0" w:color="auto"/>
              <w:right w:val="single" w:sz="4" w:space="0" w:color="auto"/>
            </w:tcBorders>
            <w:vAlign w:val="bottom"/>
          </w:tcPr>
          <w:p w14:paraId="62E578B6" w14:textId="77777777" w:rsidR="00E91BBF" w:rsidRDefault="00E91BBF" w:rsidP="000B6D24">
            <w:pPr>
              <w:jc w:val="right"/>
              <w:rPr>
                <w:rFonts w:cs="Arial"/>
              </w:rPr>
            </w:pPr>
            <w:r w:rsidRPr="00F832E3">
              <w:rPr>
                <w:rFonts w:cs="Arial"/>
              </w:rPr>
              <w:t>9</w:t>
            </w:r>
          </w:p>
        </w:tc>
        <w:tc>
          <w:tcPr>
            <w:tcW w:w="960" w:type="dxa"/>
            <w:tcBorders>
              <w:top w:val="nil"/>
              <w:left w:val="nil"/>
              <w:bottom w:val="single" w:sz="4" w:space="0" w:color="auto"/>
              <w:right w:val="single" w:sz="4" w:space="0" w:color="auto"/>
            </w:tcBorders>
          </w:tcPr>
          <w:p w14:paraId="1854CE83" w14:textId="77777777" w:rsidR="00E91BBF" w:rsidRPr="00B8398E" w:rsidRDefault="00E91BBF" w:rsidP="000B6D24">
            <w:pPr>
              <w:jc w:val="right"/>
              <w:rPr>
                <w:rFonts w:cs="Arial"/>
              </w:rPr>
            </w:pPr>
            <w:r w:rsidRPr="0078302F">
              <w:rPr>
                <w:rFonts w:cs="Arial"/>
              </w:rPr>
              <w:t>26</w:t>
            </w:r>
          </w:p>
        </w:tc>
        <w:tc>
          <w:tcPr>
            <w:tcW w:w="960" w:type="dxa"/>
            <w:tcBorders>
              <w:top w:val="nil"/>
              <w:left w:val="nil"/>
              <w:bottom w:val="single" w:sz="4" w:space="0" w:color="auto"/>
              <w:right w:val="single" w:sz="4" w:space="0" w:color="auto"/>
            </w:tcBorders>
          </w:tcPr>
          <w:p w14:paraId="08833CC1" w14:textId="77777777" w:rsidR="00E91BBF" w:rsidRPr="0078302F" w:rsidRDefault="00E91BBF" w:rsidP="000B6D24">
            <w:pPr>
              <w:jc w:val="right"/>
              <w:rPr>
                <w:rFonts w:cs="Arial"/>
              </w:rPr>
            </w:pPr>
            <w:r w:rsidRPr="003A524F">
              <w:rPr>
                <w:rFonts w:cs="Arial"/>
              </w:rPr>
              <w:t>22</w:t>
            </w:r>
          </w:p>
        </w:tc>
        <w:tc>
          <w:tcPr>
            <w:tcW w:w="960" w:type="dxa"/>
            <w:tcBorders>
              <w:top w:val="nil"/>
              <w:left w:val="nil"/>
              <w:bottom w:val="single" w:sz="4" w:space="0" w:color="auto"/>
              <w:right w:val="single" w:sz="4" w:space="0" w:color="auto"/>
            </w:tcBorders>
          </w:tcPr>
          <w:p w14:paraId="08CE36CC" w14:textId="641DE293" w:rsidR="00E91BBF" w:rsidRPr="003A524F" w:rsidRDefault="00E91BBF" w:rsidP="000B6D24">
            <w:pPr>
              <w:jc w:val="right"/>
              <w:rPr>
                <w:rFonts w:cs="Arial"/>
              </w:rPr>
            </w:pPr>
            <w:r>
              <w:rPr>
                <w:rFonts w:cs="Arial"/>
              </w:rPr>
              <w:t>28</w:t>
            </w:r>
          </w:p>
        </w:tc>
      </w:tr>
      <w:tr w:rsidR="00E91BBF" w:rsidRPr="00C5395B" w14:paraId="4EF8DE55" w14:textId="6A18DAE4" w:rsidTr="00E91BBF">
        <w:trPr>
          <w:trHeight w:val="255"/>
        </w:trPr>
        <w:tc>
          <w:tcPr>
            <w:tcW w:w="2080" w:type="dxa"/>
            <w:tcBorders>
              <w:top w:val="nil"/>
              <w:left w:val="single" w:sz="4" w:space="0" w:color="auto"/>
              <w:bottom w:val="single" w:sz="4" w:space="0" w:color="auto"/>
              <w:right w:val="single" w:sz="4" w:space="0" w:color="auto"/>
            </w:tcBorders>
            <w:noWrap/>
          </w:tcPr>
          <w:p w14:paraId="7B35886A" w14:textId="77777777" w:rsidR="00E91BBF" w:rsidRPr="00C5395B" w:rsidRDefault="00E91BBF" w:rsidP="000B6D24">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vAlign w:val="bottom"/>
          </w:tcPr>
          <w:p w14:paraId="78A4D9A8" w14:textId="77777777" w:rsidR="00E91BBF" w:rsidRDefault="00E91BBF" w:rsidP="000B6D24">
            <w:pPr>
              <w:jc w:val="right"/>
              <w:rPr>
                <w:rFonts w:cs="Arial"/>
              </w:rPr>
            </w:pPr>
            <w:r w:rsidRPr="002D275B">
              <w:rPr>
                <w:rFonts w:cs="Arial"/>
              </w:rPr>
              <w:t>117</w:t>
            </w:r>
          </w:p>
        </w:tc>
        <w:tc>
          <w:tcPr>
            <w:tcW w:w="960" w:type="dxa"/>
            <w:tcBorders>
              <w:top w:val="nil"/>
              <w:left w:val="nil"/>
              <w:bottom w:val="single" w:sz="4" w:space="0" w:color="auto"/>
              <w:right w:val="single" w:sz="4" w:space="0" w:color="auto"/>
            </w:tcBorders>
            <w:vAlign w:val="bottom"/>
          </w:tcPr>
          <w:p w14:paraId="673EFDA9" w14:textId="77777777" w:rsidR="00E91BBF" w:rsidRDefault="00E91BBF" w:rsidP="000B6D24">
            <w:pPr>
              <w:jc w:val="right"/>
              <w:rPr>
                <w:rFonts w:cs="Arial"/>
              </w:rPr>
            </w:pPr>
            <w:r w:rsidRPr="00F832E3">
              <w:rPr>
                <w:rFonts w:cs="Arial"/>
              </w:rPr>
              <w:t>117</w:t>
            </w:r>
          </w:p>
        </w:tc>
        <w:tc>
          <w:tcPr>
            <w:tcW w:w="960" w:type="dxa"/>
            <w:tcBorders>
              <w:top w:val="nil"/>
              <w:left w:val="nil"/>
              <w:bottom w:val="single" w:sz="4" w:space="0" w:color="auto"/>
              <w:right w:val="single" w:sz="4" w:space="0" w:color="auto"/>
            </w:tcBorders>
          </w:tcPr>
          <w:p w14:paraId="76963181" w14:textId="77777777" w:rsidR="00E91BBF" w:rsidRPr="00B8398E" w:rsidRDefault="00E91BBF" w:rsidP="000B6D24">
            <w:pPr>
              <w:jc w:val="right"/>
              <w:rPr>
                <w:rFonts w:cs="Arial"/>
              </w:rPr>
            </w:pPr>
            <w:r w:rsidRPr="0078302F">
              <w:rPr>
                <w:rFonts w:cs="Arial"/>
              </w:rPr>
              <w:t>93</w:t>
            </w:r>
          </w:p>
        </w:tc>
        <w:tc>
          <w:tcPr>
            <w:tcW w:w="960" w:type="dxa"/>
            <w:tcBorders>
              <w:top w:val="nil"/>
              <w:left w:val="nil"/>
              <w:bottom w:val="single" w:sz="4" w:space="0" w:color="auto"/>
              <w:right w:val="single" w:sz="4" w:space="0" w:color="auto"/>
            </w:tcBorders>
          </w:tcPr>
          <w:p w14:paraId="7AF61E64" w14:textId="77777777" w:rsidR="00E91BBF" w:rsidRPr="0078302F" w:rsidRDefault="00E91BBF" w:rsidP="000B6D24">
            <w:pPr>
              <w:jc w:val="right"/>
              <w:rPr>
                <w:rFonts w:cs="Arial"/>
              </w:rPr>
            </w:pPr>
            <w:r w:rsidRPr="003A524F">
              <w:rPr>
                <w:rFonts w:cs="Arial"/>
              </w:rPr>
              <w:t>140</w:t>
            </w:r>
          </w:p>
        </w:tc>
        <w:tc>
          <w:tcPr>
            <w:tcW w:w="960" w:type="dxa"/>
            <w:tcBorders>
              <w:top w:val="nil"/>
              <w:left w:val="nil"/>
              <w:bottom w:val="single" w:sz="4" w:space="0" w:color="auto"/>
              <w:right w:val="single" w:sz="4" w:space="0" w:color="auto"/>
            </w:tcBorders>
          </w:tcPr>
          <w:p w14:paraId="5692522A" w14:textId="75ABE7F7" w:rsidR="00E91BBF" w:rsidRPr="003A524F" w:rsidRDefault="00E91BBF" w:rsidP="000B6D24">
            <w:pPr>
              <w:jc w:val="right"/>
              <w:rPr>
                <w:rFonts w:cs="Arial"/>
              </w:rPr>
            </w:pPr>
            <w:r>
              <w:rPr>
                <w:rFonts w:cs="Arial"/>
              </w:rPr>
              <w:t>122</w:t>
            </w:r>
          </w:p>
        </w:tc>
      </w:tr>
      <w:tr w:rsidR="00E91BBF" w:rsidRPr="00C5395B" w14:paraId="3DE9A72C" w14:textId="46670055" w:rsidTr="00E91BBF">
        <w:trPr>
          <w:trHeight w:val="255"/>
        </w:trPr>
        <w:tc>
          <w:tcPr>
            <w:tcW w:w="2080" w:type="dxa"/>
            <w:tcBorders>
              <w:top w:val="nil"/>
              <w:left w:val="single" w:sz="4" w:space="0" w:color="auto"/>
              <w:bottom w:val="single" w:sz="4" w:space="0" w:color="auto"/>
              <w:right w:val="single" w:sz="4" w:space="0" w:color="auto"/>
            </w:tcBorders>
            <w:noWrap/>
            <w:hideMark/>
          </w:tcPr>
          <w:p w14:paraId="3C765465" w14:textId="77777777" w:rsidR="00E91BBF" w:rsidRPr="00C5395B" w:rsidRDefault="00E91BBF" w:rsidP="000B6D24">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vAlign w:val="bottom"/>
          </w:tcPr>
          <w:p w14:paraId="1DB0C6CB" w14:textId="77777777" w:rsidR="00E91BBF" w:rsidRDefault="00E91BBF" w:rsidP="000B6D24">
            <w:pPr>
              <w:jc w:val="right"/>
              <w:rPr>
                <w:rFonts w:cs="Arial"/>
              </w:rPr>
            </w:pPr>
            <w:r w:rsidRPr="002D275B">
              <w:rPr>
                <w:rFonts w:cs="Arial"/>
              </w:rPr>
              <w:t>56</w:t>
            </w:r>
          </w:p>
        </w:tc>
        <w:tc>
          <w:tcPr>
            <w:tcW w:w="960" w:type="dxa"/>
            <w:tcBorders>
              <w:top w:val="nil"/>
              <w:left w:val="nil"/>
              <w:bottom w:val="single" w:sz="4" w:space="0" w:color="auto"/>
              <w:right w:val="single" w:sz="4" w:space="0" w:color="auto"/>
            </w:tcBorders>
            <w:vAlign w:val="bottom"/>
          </w:tcPr>
          <w:p w14:paraId="21C72B45" w14:textId="77777777" w:rsidR="00E91BBF" w:rsidRDefault="00E91BBF" w:rsidP="000B6D24">
            <w:pPr>
              <w:jc w:val="right"/>
              <w:rPr>
                <w:rFonts w:cs="Arial"/>
              </w:rPr>
            </w:pPr>
            <w:r w:rsidRPr="00F832E3">
              <w:rPr>
                <w:rFonts w:cs="Arial"/>
              </w:rPr>
              <w:t>74</w:t>
            </w:r>
          </w:p>
        </w:tc>
        <w:tc>
          <w:tcPr>
            <w:tcW w:w="960" w:type="dxa"/>
            <w:tcBorders>
              <w:top w:val="nil"/>
              <w:left w:val="nil"/>
              <w:bottom w:val="single" w:sz="4" w:space="0" w:color="auto"/>
              <w:right w:val="single" w:sz="4" w:space="0" w:color="auto"/>
            </w:tcBorders>
          </w:tcPr>
          <w:p w14:paraId="70D3C184" w14:textId="77777777" w:rsidR="00E91BBF" w:rsidRPr="00B8398E" w:rsidRDefault="00E91BBF" w:rsidP="000B6D24">
            <w:pPr>
              <w:jc w:val="right"/>
              <w:rPr>
                <w:rFonts w:cs="Arial"/>
              </w:rPr>
            </w:pPr>
            <w:r w:rsidRPr="0078302F">
              <w:rPr>
                <w:rFonts w:cs="Arial"/>
              </w:rPr>
              <w:t>60</w:t>
            </w:r>
          </w:p>
        </w:tc>
        <w:tc>
          <w:tcPr>
            <w:tcW w:w="960" w:type="dxa"/>
            <w:tcBorders>
              <w:top w:val="nil"/>
              <w:left w:val="nil"/>
              <w:bottom w:val="single" w:sz="4" w:space="0" w:color="auto"/>
              <w:right w:val="single" w:sz="4" w:space="0" w:color="auto"/>
            </w:tcBorders>
          </w:tcPr>
          <w:p w14:paraId="06B3E1CA" w14:textId="77777777" w:rsidR="00E91BBF" w:rsidRPr="0078302F" w:rsidRDefault="00E91BBF" w:rsidP="000B6D24">
            <w:pPr>
              <w:jc w:val="right"/>
              <w:rPr>
                <w:rFonts w:cs="Arial"/>
              </w:rPr>
            </w:pPr>
            <w:r w:rsidRPr="003A524F">
              <w:rPr>
                <w:rFonts w:cs="Arial"/>
              </w:rPr>
              <w:t>50</w:t>
            </w:r>
          </w:p>
        </w:tc>
        <w:tc>
          <w:tcPr>
            <w:tcW w:w="960" w:type="dxa"/>
            <w:tcBorders>
              <w:top w:val="nil"/>
              <w:left w:val="nil"/>
              <w:bottom w:val="single" w:sz="4" w:space="0" w:color="auto"/>
              <w:right w:val="single" w:sz="4" w:space="0" w:color="auto"/>
            </w:tcBorders>
          </w:tcPr>
          <w:p w14:paraId="78848601" w14:textId="0BA242FE" w:rsidR="00E91BBF" w:rsidRPr="003A524F" w:rsidRDefault="00E91BBF" w:rsidP="000B6D24">
            <w:pPr>
              <w:jc w:val="right"/>
              <w:rPr>
                <w:rFonts w:cs="Arial"/>
              </w:rPr>
            </w:pPr>
            <w:r>
              <w:rPr>
                <w:rFonts w:cs="Arial"/>
              </w:rPr>
              <w:t>43</w:t>
            </w:r>
          </w:p>
        </w:tc>
      </w:tr>
      <w:tr w:rsidR="00E91BBF" w:rsidRPr="00C5395B" w14:paraId="3F3A9786" w14:textId="0F15DF5C" w:rsidTr="00E91BBF">
        <w:trPr>
          <w:trHeight w:val="255"/>
        </w:trPr>
        <w:tc>
          <w:tcPr>
            <w:tcW w:w="2080" w:type="dxa"/>
            <w:tcBorders>
              <w:top w:val="nil"/>
              <w:left w:val="single" w:sz="4" w:space="0" w:color="auto"/>
              <w:bottom w:val="single" w:sz="4" w:space="0" w:color="auto"/>
              <w:right w:val="single" w:sz="4" w:space="0" w:color="auto"/>
            </w:tcBorders>
            <w:noWrap/>
            <w:hideMark/>
          </w:tcPr>
          <w:p w14:paraId="47BF23F1" w14:textId="77777777" w:rsidR="00E91BBF" w:rsidRPr="00C5395B" w:rsidRDefault="00E91BBF" w:rsidP="000B6D24">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vAlign w:val="bottom"/>
          </w:tcPr>
          <w:p w14:paraId="4FB84127" w14:textId="77777777" w:rsidR="00E91BBF" w:rsidRDefault="00E91BBF" w:rsidP="000B6D24">
            <w:pPr>
              <w:jc w:val="right"/>
              <w:rPr>
                <w:rFonts w:cs="Arial"/>
              </w:rPr>
            </w:pPr>
            <w:r w:rsidRPr="002D275B">
              <w:rPr>
                <w:rFonts w:cs="Arial"/>
              </w:rPr>
              <w:t>20</w:t>
            </w:r>
          </w:p>
        </w:tc>
        <w:tc>
          <w:tcPr>
            <w:tcW w:w="960" w:type="dxa"/>
            <w:tcBorders>
              <w:top w:val="nil"/>
              <w:left w:val="nil"/>
              <w:bottom w:val="single" w:sz="4" w:space="0" w:color="auto"/>
              <w:right w:val="single" w:sz="4" w:space="0" w:color="auto"/>
            </w:tcBorders>
            <w:vAlign w:val="bottom"/>
          </w:tcPr>
          <w:p w14:paraId="6AA866FB" w14:textId="77777777" w:rsidR="00E91BBF" w:rsidRDefault="00E91BBF" w:rsidP="000B6D24">
            <w:pPr>
              <w:jc w:val="right"/>
              <w:rPr>
                <w:rFonts w:cs="Arial"/>
              </w:rPr>
            </w:pPr>
            <w:r w:rsidRPr="00F832E3">
              <w:rPr>
                <w:rFonts w:cs="Arial"/>
              </w:rPr>
              <w:t>26</w:t>
            </w:r>
          </w:p>
        </w:tc>
        <w:tc>
          <w:tcPr>
            <w:tcW w:w="960" w:type="dxa"/>
            <w:tcBorders>
              <w:top w:val="nil"/>
              <w:left w:val="nil"/>
              <w:bottom w:val="single" w:sz="4" w:space="0" w:color="auto"/>
              <w:right w:val="single" w:sz="4" w:space="0" w:color="auto"/>
            </w:tcBorders>
          </w:tcPr>
          <w:p w14:paraId="5983A803" w14:textId="77777777" w:rsidR="00E91BBF" w:rsidRPr="00B8398E" w:rsidRDefault="00E91BBF" w:rsidP="000B6D24">
            <w:pPr>
              <w:jc w:val="right"/>
              <w:rPr>
                <w:rFonts w:cs="Arial"/>
              </w:rPr>
            </w:pPr>
            <w:r w:rsidRPr="0078302F">
              <w:rPr>
                <w:rFonts w:cs="Arial"/>
              </w:rPr>
              <w:t>41</w:t>
            </w:r>
          </w:p>
        </w:tc>
        <w:tc>
          <w:tcPr>
            <w:tcW w:w="960" w:type="dxa"/>
            <w:tcBorders>
              <w:top w:val="nil"/>
              <w:left w:val="nil"/>
              <w:bottom w:val="single" w:sz="4" w:space="0" w:color="auto"/>
              <w:right w:val="single" w:sz="4" w:space="0" w:color="auto"/>
            </w:tcBorders>
          </w:tcPr>
          <w:p w14:paraId="2AD16C75" w14:textId="77777777" w:rsidR="00E91BBF" w:rsidRPr="0078302F" w:rsidRDefault="00E91BBF" w:rsidP="000B6D24">
            <w:pPr>
              <w:jc w:val="right"/>
              <w:rPr>
                <w:rFonts w:cs="Arial"/>
              </w:rPr>
            </w:pPr>
            <w:r w:rsidRPr="003A524F">
              <w:rPr>
                <w:rFonts w:cs="Arial"/>
              </w:rPr>
              <w:t>22</w:t>
            </w:r>
          </w:p>
        </w:tc>
        <w:tc>
          <w:tcPr>
            <w:tcW w:w="960" w:type="dxa"/>
            <w:tcBorders>
              <w:top w:val="nil"/>
              <w:left w:val="nil"/>
              <w:bottom w:val="single" w:sz="4" w:space="0" w:color="auto"/>
              <w:right w:val="single" w:sz="4" w:space="0" w:color="auto"/>
            </w:tcBorders>
          </w:tcPr>
          <w:p w14:paraId="55267DCC" w14:textId="32FF45A7" w:rsidR="00E91BBF" w:rsidRPr="003A524F" w:rsidRDefault="00E91BBF" w:rsidP="000B6D24">
            <w:pPr>
              <w:jc w:val="right"/>
              <w:rPr>
                <w:rFonts w:cs="Arial"/>
              </w:rPr>
            </w:pPr>
            <w:r>
              <w:rPr>
                <w:rFonts w:cs="Arial"/>
              </w:rPr>
              <w:t>14</w:t>
            </w:r>
          </w:p>
        </w:tc>
      </w:tr>
      <w:tr w:rsidR="00E91BBF" w:rsidRPr="00C5395B" w14:paraId="3609DAA0" w14:textId="40B4EFD9" w:rsidTr="00E91BBF">
        <w:trPr>
          <w:trHeight w:val="255"/>
        </w:trPr>
        <w:tc>
          <w:tcPr>
            <w:tcW w:w="2080" w:type="dxa"/>
            <w:tcBorders>
              <w:top w:val="nil"/>
              <w:left w:val="single" w:sz="4" w:space="0" w:color="auto"/>
              <w:bottom w:val="single" w:sz="4" w:space="0" w:color="auto"/>
              <w:right w:val="single" w:sz="4" w:space="0" w:color="auto"/>
            </w:tcBorders>
            <w:noWrap/>
            <w:hideMark/>
          </w:tcPr>
          <w:p w14:paraId="45D3D369" w14:textId="77777777" w:rsidR="00E91BBF" w:rsidRPr="00C5395B" w:rsidRDefault="00E91BBF" w:rsidP="000B6D24">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vAlign w:val="bottom"/>
          </w:tcPr>
          <w:p w14:paraId="546E90DE" w14:textId="77777777" w:rsidR="00E91BBF" w:rsidRDefault="00E91BBF" w:rsidP="000B6D24">
            <w:pPr>
              <w:jc w:val="right"/>
              <w:rPr>
                <w:rFonts w:cs="Arial"/>
                <w:b/>
                <w:bCs/>
              </w:rPr>
            </w:pPr>
            <w:r w:rsidRPr="002D275B">
              <w:rPr>
                <w:rFonts w:cs="Arial"/>
                <w:b/>
                <w:bCs/>
              </w:rPr>
              <w:t>424</w:t>
            </w:r>
          </w:p>
        </w:tc>
        <w:tc>
          <w:tcPr>
            <w:tcW w:w="960" w:type="dxa"/>
            <w:tcBorders>
              <w:top w:val="nil"/>
              <w:left w:val="nil"/>
              <w:bottom w:val="single" w:sz="4" w:space="0" w:color="auto"/>
              <w:right w:val="single" w:sz="4" w:space="0" w:color="auto"/>
            </w:tcBorders>
            <w:vAlign w:val="bottom"/>
          </w:tcPr>
          <w:p w14:paraId="30B86DF7" w14:textId="77777777" w:rsidR="00E91BBF" w:rsidRDefault="00E91BBF" w:rsidP="000B6D24">
            <w:pPr>
              <w:jc w:val="right"/>
              <w:rPr>
                <w:rFonts w:cs="Arial"/>
                <w:b/>
                <w:bCs/>
              </w:rPr>
            </w:pPr>
            <w:r w:rsidRPr="00F832E3">
              <w:rPr>
                <w:rFonts w:cs="Arial"/>
                <w:b/>
                <w:bCs/>
              </w:rPr>
              <w:t>371</w:t>
            </w:r>
          </w:p>
        </w:tc>
        <w:tc>
          <w:tcPr>
            <w:tcW w:w="960" w:type="dxa"/>
            <w:tcBorders>
              <w:top w:val="nil"/>
              <w:left w:val="nil"/>
              <w:bottom w:val="single" w:sz="4" w:space="0" w:color="auto"/>
              <w:right w:val="single" w:sz="4" w:space="0" w:color="auto"/>
            </w:tcBorders>
          </w:tcPr>
          <w:p w14:paraId="2E5F63FD" w14:textId="77777777" w:rsidR="00E91BBF" w:rsidRPr="00B8398E" w:rsidRDefault="00E91BBF" w:rsidP="000B6D24">
            <w:pPr>
              <w:jc w:val="right"/>
              <w:rPr>
                <w:rFonts w:cs="Arial"/>
                <w:b/>
                <w:bCs/>
              </w:rPr>
            </w:pPr>
            <w:r w:rsidRPr="0078302F">
              <w:rPr>
                <w:rFonts w:cs="Arial"/>
                <w:b/>
                <w:bCs/>
              </w:rPr>
              <w:t>365</w:t>
            </w:r>
          </w:p>
        </w:tc>
        <w:tc>
          <w:tcPr>
            <w:tcW w:w="960" w:type="dxa"/>
            <w:tcBorders>
              <w:top w:val="nil"/>
              <w:left w:val="nil"/>
              <w:bottom w:val="single" w:sz="4" w:space="0" w:color="auto"/>
              <w:right w:val="single" w:sz="4" w:space="0" w:color="auto"/>
            </w:tcBorders>
          </w:tcPr>
          <w:p w14:paraId="1C8BB0C9" w14:textId="77777777" w:rsidR="00E91BBF" w:rsidRPr="003A524F" w:rsidRDefault="00E91BBF" w:rsidP="000B6D24">
            <w:pPr>
              <w:jc w:val="right"/>
              <w:rPr>
                <w:rFonts w:cs="Arial"/>
                <w:b/>
                <w:bCs/>
              </w:rPr>
            </w:pPr>
            <w:r w:rsidRPr="003A524F">
              <w:rPr>
                <w:rFonts w:cs="Arial"/>
                <w:b/>
                <w:bCs/>
              </w:rPr>
              <w:t>396</w:t>
            </w:r>
          </w:p>
        </w:tc>
        <w:tc>
          <w:tcPr>
            <w:tcW w:w="960" w:type="dxa"/>
            <w:tcBorders>
              <w:top w:val="nil"/>
              <w:left w:val="nil"/>
              <w:bottom w:val="single" w:sz="4" w:space="0" w:color="auto"/>
              <w:right w:val="single" w:sz="4" w:space="0" w:color="auto"/>
            </w:tcBorders>
          </w:tcPr>
          <w:p w14:paraId="78623185" w14:textId="0B186419" w:rsidR="00E91BBF" w:rsidRPr="003A524F" w:rsidRDefault="00C83A7B" w:rsidP="000B6D24">
            <w:pPr>
              <w:jc w:val="right"/>
              <w:rPr>
                <w:rFonts w:cs="Arial"/>
                <w:b/>
                <w:bCs/>
              </w:rPr>
            </w:pPr>
            <w:r>
              <w:rPr>
                <w:rFonts w:cs="Arial"/>
                <w:b/>
                <w:bCs/>
              </w:rPr>
              <w:t>335</w:t>
            </w:r>
          </w:p>
        </w:tc>
      </w:tr>
    </w:tbl>
    <w:p w14:paraId="3314EA2B" w14:textId="77777777" w:rsidR="00E91BBF" w:rsidRPr="001B31E3" w:rsidRDefault="00E91BBF" w:rsidP="00E91BBF">
      <w:pPr>
        <w:ind w:left="-142" w:right="-425"/>
        <w:jc w:val="both"/>
        <w:rPr>
          <w:rFonts w:cs="Arial"/>
        </w:rPr>
      </w:pPr>
    </w:p>
    <w:p w14:paraId="1BB531F5" w14:textId="77777777" w:rsidR="00DD1B0A" w:rsidRPr="006524B7" w:rsidRDefault="00DD1B0A" w:rsidP="00D51DFA">
      <w:pPr>
        <w:pStyle w:val="Heading2"/>
      </w:pPr>
      <w:r w:rsidRPr="006524B7">
        <w:t>Conferences for Domestic Violence</w:t>
      </w:r>
      <w:r w:rsidR="00970A79" w:rsidRPr="006524B7">
        <w:t xml:space="preserve"> related matters</w:t>
      </w:r>
    </w:p>
    <w:p w14:paraId="114A4DF6" w14:textId="505B7E5F" w:rsidR="00DD1B0A" w:rsidRDefault="00AE1804" w:rsidP="006524B7">
      <w:pPr>
        <w:ind w:left="-142" w:right="-425"/>
        <w:jc w:val="both"/>
        <w:rPr>
          <w:rFonts w:cs="Arial"/>
        </w:rPr>
      </w:pPr>
      <w:r>
        <w:rPr>
          <w:rFonts w:cs="Arial"/>
        </w:rPr>
        <w:t xml:space="preserve">As a subset of the total number of conferences conducted for the quarter, </w:t>
      </w:r>
      <w:r w:rsidR="0087228F">
        <w:rPr>
          <w:rFonts w:cs="Arial"/>
        </w:rPr>
        <w:t>5</w:t>
      </w:r>
      <w:r w:rsidR="00035B6E">
        <w:rPr>
          <w:rFonts w:cs="Arial"/>
        </w:rPr>
        <w:t>2</w:t>
      </w:r>
      <w:r w:rsidR="0087228F" w:rsidRPr="006524B7">
        <w:rPr>
          <w:rFonts w:cs="Arial"/>
        </w:rPr>
        <w:t xml:space="preserve"> </w:t>
      </w:r>
      <w:r w:rsidR="00FA47B4" w:rsidRPr="006524B7">
        <w:rPr>
          <w:rFonts w:cs="Arial"/>
        </w:rPr>
        <w:t>domestic violence conferences were conducted in Aurukun, Coen, Hope Vale and Mossman Gorge</w:t>
      </w:r>
      <w:r w:rsidR="007A156D" w:rsidRPr="006524B7">
        <w:rPr>
          <w:rFonts w:cs="Arial"/>
        </w:rPr>
        <w:t>, a</w:t>
      </w:r>
      <w:r w:rsidR="0087228F">
        <w:rPr>
          <w:rFonts w:cs="Arial"/>
        </w:rPr>
        <w:t xml:space="preserve"> decrease </w:t>
      </w:r>
      <w:r w:rsidR="007A156D" w:rsidRPr="006524B7">
        <w:rPr>
          <w:rFonts w:cs="Arial"/>
        </w:rPr>
        <w:t xml:space="preserve">of </w:t>
      </w:r>
      <w:r w:rsidR="0087228F">
        <w:rPr>
          <w:rFonts w:cs="Arial"/>
        </w:rPr>
        <w:t>2</w:t>
      </w:r>
      <w:r w:rsidR="00035B6E">
        <w:rPr>
          <w:rFonts w:cs="Arial"/>
        </w:rPr>
        <w:t>0</w:t>
      </w:r>
      <w:r w:rsidR="0087228F" w:rsidRPr="006524B7">
        <w:rPr>
          <w:rFonts w:cs="Arial"/>
        </w:rPr>
        <w:t xml:space="preserve"> </w:t>
      </w:r>
      <w:r w:rsidR="007A156D" w:rsidRPr="006524B7">
        <w:rPr>
          <w:rFonts w:cs="Arial"/>
        </w:rPr>
        <w:t>from the previous quarter</w:t>
      </w:r>
      <w:r w:rsidR="00B73322">
        <w:rPr>
          <w:rFonts w:cs="Arial"/>
        </w:rPr>
        <w:t xml:space="preserve">. </w:t>
      </w:r>
      <w:r w:rsidR="00AA43DD" w:rsidRPr="006524B7">
        <w:rPr>
          <w:rFonts w:cs="Arial"/>
        </w:rPr>
        <w:t xml:space="preserve">Domestic violence conferences in the communities during the quarter were as follows: Aurukun </w:t>
      </w:r>
      <w:r w:rsidR="0087228F">
        <w:rPr>
          <w:rFonts w:cs="Arial"/>
        </w:rPr>
        <w:t>decreased</w:t>
      </w:r>
      <w:r w:rsidR="0087228F" w:rsidRPr="006524B7">
        <w:rPr>
          <w:rFonts w:cs="Arial"/>
        </w:rPr>
        <w:t xml:space="preserve"> </w:t>
      </w:r>
      <w:r w:rsidR="00AA43DD" w:rsidRPr="006524B7">
        <w:rPr>
          <w:rFonts w:cs="Arial"/>
        </w:rPr>
        <w:t xml:space="preserve">by </w:t>
      </w:r>
      <w:r w:rsidR="0087228F">
        <w:rPr>
          <w:rFonts w:cs="Arial"/>
        </w:rPr>
        <w:t>9</w:t>
      </w:r>
      <w:r w:rsidR="00AA43DD" w:rsidRPr="006524B7">
        <w:rPr>
          <w:rFonts w:cs="Arial"/>
        </w:rPr>
        <w:t xml:space="preserve">, Coen </w:t>
      </w:r>
      <w:r w:rsidR="0087228F">
        <w:rPr>
          <w:rFonts w:cs="Arial"/>
        </w:rPr>
        <w:t>increased</w:t>
      </w:r>
      <w:r w:rsidR="0087228F" w:rsidRPr="006524B7">
        <w:rPr>
          <w:rFonts w:cs="Arial"/>
        </w:rPr>
        <w:t xml:space="preserve"> </w:t>
      </w:r>
      <w:r w:rsidR="00AA43DD" w:rsidRPr="006524B7">
        <w:rPr>
          <w:rFonts w:cs="Arial"/>
        </w:rPr>
        <w:t xml:space="preserve">by </w:t>
      </w:r>
      <w:r w:rsidR="00035B6E">
        <w:rPr>
          <w:rFonts w:cs="Arial"/>
        </w:rPr>
        <w:t>5</w:t>
      </w:r>
      <w:r w:rsidR="001E2D68">
        <w:rPr>
          <w:rFonts w:cs="Arial"/>
        </w:rPr>
        <w:t>,</w:t>
      </w:r>
      <w:r w:rsidR="00F7181C">
        <w:rPr>
          <w:rFonts w:cs="Arial"/>
        </w:rPr>
        <w:t xml:space="preserve"> </w:t>
      </w:r>
      <w:r w:rsidR="00524240">
        <w:rPr>
          <w:rFonts w:cs="Arial"/>
        </w:rPr>
        <w:t xml:space="preserve">and both </w:t>
      </w:r>
      <w:r w:rsidR="00A524DA">
        <w:rPr>
          <w:rFonts w:cs="Arial"/>
        </w:rPr>
        <w:t>Hope Vale</w:t>
      </w:r>
      <w:r w:rsidR="001E2D68">
        <w:rPr>
          <w:rFonts w:cs="Arial"/>
        </w:rPr>
        <w:t xml:space="preserve"> </w:t>
      </w:r>
      <w:r w:rsidR="0043313C">
        <w:rPr>
          <w:rFonts w:cs="Arial"/>
        </w:rPr>
        <w:t xml:space="preserve">and Mossman Gorge decreased </w:t>
      </w:r>
      <w:r w:rsidR="001E2D68">
        <w:rPr>
          <w:rFonts w:cs="Arial"/>
        </w:rPr>
        <w:t xml:space="preserve">by </w:t>
      </w:r>
      <w:r w:rsidR="0043313C">
        <w:rPr>
          <w:rFonts w:cs="Arial"/>
        </w:rPr>
        <w:t xml:space="preserve">8 </w:t>
      </w:r>
      <w:r w:rsidR="00995105">
        <w:rPr>
          <w:rFonts w:cs="Arial"/>
        </w:rPr>
        <w:t>conferences for DV related matters</w:t>
      </w:r>
      <w:r w:rsidR="007A156D" w:rsidRPr="006524B7">
        <w:rPr>
          <w:rFonts w:cs="Arial"/>
        </w:rPr>
        <w:t>.</w:t>
      </w:r>
    </w:p>
    <w:p w14:paraId="2392E6C3" w14:textId="4E2951A7" w:rsidR="00E46F27" w:rsidRDefault="00E46F27" w:rsidP="006524B7">
      <w:pPr>
        <w:ind w:left="-142" w:right="-425"/>
        <w:jc w:val="both"/>
        <w:rPr>
          <w:rFonts w:cs="Arial"/>
        </w:rPr>
      </w:pPr>
    </w:p>
    <w:p w14:paraId="64FBAA6C" w14:textId="2EE39323" w:rsidR="00C83A7B" w:rsidRPr="00D925BE" w:rsidRDefault="00C83A7B" w:rsidP="00C83A7B">
      <w:pPr>
        <w:pStyle w:val="TableCaption"/>
        <w:spacing w:before="0"/>
        <w:ind w:left="0" w:right="-425"/>
        <w:rPr>
          <w:b/>
          <w:i w:val="0"/>
          <w:sz w:val="16"/>
        </w:rPr>
      </w:pPr>
      <w:r>
        <w:rPr>
          <w:b/>
          <w:i w:val="0"/>
          <w:sz w:val="16"/>
        </w:rPr>
        <w:t>Table 14</w:t>
      </w:r>
      <w:r w:rsidRPr="00310F76">
        <w:rPr>
          <w:b/>
          <w:i w:val="0"/>
          <w:sz w:val="16"/>
        </w:rPr>
        <w:t xml:space="preserve">: </w:t>
      </w:r>
      <w:r w:rsidRPr="00A1458E">
        <w:rPr>
          <w:i w:val="0"/>
          <w:sz w:val="16"/>
        </w:rPr>
        <w:t xml:space="preserve">DV conferences by community and quarter 1 </w:t>
      </w:r>
      <w:r>
        <w:rPr>
          <w:i w:val="0"/>
          <w:sz w:val="16"/>
        </w:rPr>
        <w:t>October 2020 to 31 December 2021</w:t>
      </w:r>
    </w:p>
    <w:tbl>
      <w:tblPr>
        <w:tblW w:w="6991" w:type="dxa"/>
        <w:tblInd w:w="93" w:type="dxa"/>
        <w:tblLook w:val="04A0" w:firstRow="1" w:lastRow="0" w:firstColumn="1" w:lastColumn="0" w:noHBand="0" w:noVBand="1"/>
      </w:tblPr>
      <w:tblGrid>
        <w:gridCol w:w="2029"/>
        <w:gridCol w:w="992"/>
        <w:gridCol w:w="992"/>
        <w:gridCol w:w="992"/>
        <w:gridCol w:w="993"/>
        <w:gridCol w:w="993"/>
      </w:tblGrid>
      <w:tr w:rsidR="00C83A7B" w:rsidRPr="00C5395B" w14:paraId="5A0DC842" w14:textId="7757E855" w:rsidTr="00C83A7B">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25C5E7C6" w14:textId="77777777" w:rsidR="00C83A7B" w:rsidRPr="00C5395B" w:rsidRDefault="00C83A7B" w:rsidP="000B6D24">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629371EA" w14:textId="77777777" w:rsidR="00C83A7B" w:rsidRDefault="00C83A7B" w:rsidP="000B6D24">
            <w:pPr>
              <w:pStyle w:val="TableText"/>
              <w:jc w:val="right"/>
              <w:rPr>
                <w:b/>
                <w:lang w:eastAsia="en-AU"/>
              </w:rPr>
            </w:pPr>
            <w:r>
              <w:rPr>
                <w:b/>
                <w:lang w:eastAsia="en-AU"/>
              </w:rPr>
              <w:t>Qtr 50</w:t>
            </w:r>
          </w:p>
        </w:tc>
        <w:tc>
          <w:tcPr>
            <w:tcW w:w="992" w:type="dxa"/>
            <w:tcBorders>
              <w:top w:val="single" w:sz="4" w:space="0" w:color="auto"/>
              <w:left w:val="nil"/>
              <w:bottom w:val="single" w:sz="4" w:space="0" w:color="auto"/>
              <w:right w:val="single" w:sz="4" w:space="0" w:color="auto"/>
            </w:tcBorders>
          </w:tcPr>
          <w:p w14:paraId="4D8608A1" w14:textId="77777777" w:rsidR="00C83A7B" w:rsidRDefault="00C83A7B" w:rsidP="000B6D24">
            <w:pPr>
              <w:pStyle w:val="TableText"/>
              <w:jc w:val="right"/>
              <w:rPr>
                <w:b/>
                <w:lang w:eastAsia="en-AU"/>
              </w:rPr>
            </w:pPr>
            <w:r>
              <w:rPr>
                <w:b/>
                <w:lang w:eastAsia="en-AU"/>
              </w:rPr>
              <w:t>Qtr 51</w:t>
            </w:r>
          </w:p>
        </w:tc>
        <w:tc>
          <w:tcPr>
            <w:tcW w:w="992" w:type="dxa"/>
            <w:tcBorders>
              <w:top w:val="single" w:sz="4" w:space="0" w:color="auto"/>
              <w:left w:val="nil"/>
              <w:bottom w:val="single" w:sz="4" w:space="0" w:color="auto"/>
              <w:right w:val="single" w:sz="4" w:space="0" w:color="auto"/>
            </w:tcBorders>
          </w:tcPr>
          <w:p w14:paraId="2A05F489" w14:textId="77777777" w:rsidR="00C83A7B" w:rsidRDefault="00C83A7B" w:rsidP="000B6D24">
            <w:pPr>
              <w:pStyle w:val="TableText"/>
              <w:jc w:val="right"/>
              <w:rPr>
                <w:b/>
                <w:lang w:eastAsia="en-AU"/>
              </w:rPr>
            </w:pPr>
            <w:r>
              <w:rPr>
                <w:b/>
                <w:lang w:eastAsia="en-AU"/>
              </w:rPr>
              <w:t>Qtr 52</w:t>
            </w:r>
          </w:p>
        </w:tc>
        <w:tc>
          <w:tcPr>
            <w:tcW w:w="993" w:type="dxa"/>
            <w:tcBorders>
              <w:top w:val="single" w:sz="4" w:space="0" w:color="auto"/>
              <w:left w:val="nil"/>
              <w:bottom w:val="single" w:sz="4" w:space="0" w:color="auto"/>
              <w:right w:val="single" w:sz="4" w:space="0" w:color="auto"/>
            </w:tcBorders>
          </w:tcPr>
          <w:p w14:paraId="418302C3" w14:textId="77777777" w:rsidR="00C83A7B" w:rsidRDefault="00C83A7B" w:rsidP="000B6D24">
            <w:pPr>
              <w:pStyle w:val="TableText"/>
              <w:jc w:val="right"/>
              <w:rPr>
                <w:b/>
                <w:lang w:eastAsia="en-AU"/>
              </w:rPr>
            </w:pPr>
            <w:r>
              <w:rPr>
                <w:b/>
                <w:lang w:eastAsia="en-AU"/>
              </w:rPr>
              <w:t>Qtr 53</w:t>
            </w:r>
          </w:p>
        </w:tc>
        <w:tc>
          <w:tcPr>
            <w:tcW w:w="993" w:type="dxa"/>
            <w:tcBorders>
              <w:top w:val="single" w:sz="4" w:space="0" w:color="auto"/>
              <w:left w:val="nil"/>
              <w:bottom w:val="single" w:sz="4" w:space="0" w:color="auto"/>
              <w:right w:val="single" w:sz="4" w:space="0" w:color="auto"/>
            </w:tcBorders>
          </w:tcPr>
          <w:p w14:paraId="0278E9A0" w14:textId="54DD2BB9" w:rsidR="00C83A7B" w:rsidRDefault="00C83A7B" w:rsidP="000B6D24">
            <w:pPr>
              <w:pStyle w:val="TableText"/>
              <w:jc w:val="right"/>
              <w:rPr>
                <w:b/>
                <w:lang w:eastAsia="en-AU"/>
              </w:rPr>
            </w:pPr>
            <w:r>
              <w:rPr>
                <w:b/>
                <w:lang w:eastAsia="en-AU"/>
              </w:rPr>
              <w:t>Qtr 54</w:t>
            </w:r>
          </w:p>
        </w:tc>
      </w:tr>
      <w:tr w:rsidR="00C83A7B" w:rsidRPr="00C5395B" w14:paraId="5931894F" w14:textId="73A747CF" w:rsidTr="00C83A7B">
        <w:trPr>
          <w:trHeight w:val="255"/>
        </w:trPr>
        <w:tc>
          <w:tcPr>
            <w:tcW w:w="2029" w:type="dxa"/>
            <w:tcBorders>
              <w:top w:val="nil"/>
              <w:left w:val="single" w:sz="4" w:space="0" w:color="auto"/>
              <w:bottom w:val="single" w:sz="4" w:space="0" w:color="auto"/>
              <w:right w:val="single" w:sz="4" w:space="0" w:color="auto"/>
            </w:tcBorders>
            <w:noWrap/>
            <w:hideMark/>
          </w:tcPr>
          <w:p w14:paraId="5DC86883" w14:textId="77777777" w:rsidR="00C83A7B" w:rsidRPr="00C5395B" w:rsidRDefault="00C83A7B" w:rsidP="000B6D24">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tcPr>
          <w:p w14:paraId="792DAF08" w14:textId="77777777" w:rsidR="00C83A7B" w:rsidRDefault="00C83A7B" w:rsidP="000B6D24">
            <w:pPr>
              <w:jc w:val="right"/>
              <w:rPr>
                <w:rFonts w:cs="Arial"/>
              </w:rPr>
            </w:pPr>
            <w:r w:rsidRPr="00545DC0">
              <w:rPr>
                <w:rFonts w:cs="Arial"/>
              </w:rPr>
              <w:t>35</w:t>
            </w:r>
          </w:p>
        </w:tc>
        <w:tc>
          <w:tcPr>
            <w:tcW w:w="992" w:type="dxa"/>
            <w:tcBorders>
              <w:top w:val="nil"/>
              <w:left w:val="nil"/>
              <w:bottom w:val="single" w:sz="4" w:space="0" w:color="auto"/>
              <w:right w:val="single" w:sz="4" w:space="0" w:color="auto"/>
            </w:tcBorders>
            <w:vAlign w:val="bottom"/>
          </w:tcPr>
          <w:p w14:paraId="68A0C80E" w14:textId="77777777" w:rsidR="00C83A7B" w:rsidRDefault="00C83A7B" w:rsidP="000B6D24">
            <w:pPr>
              <w:jc w:val="right"/>
              <w:rPr>
                <w:rFonts w:cs="Arial"/>
              </w:rPr>
            </w:pPr>
            <w:r w:rsidRPr="00D35167">
              <w:rPr>
                <w:rFonts w:cs="Arial"/>
              </w:rPr>
              <w:t>46</w:t>
            </w:r>
          </w:p>
        </w:tc>
        <w:tc>
          <w:tcPr>
            <w:tcW w:w="992" w:type="dxa"/>
            <w:tcBorders>
              <w:top w:val="nil"/>
              <w:left w:val="nil"/>
              <w:bottom w:val="single" w:sz="4" w:space="0" w:color="auto"/>
              <w:right w:val="single" w:sz="4" w:space="0" w:color="auto"/>
            </w:tcBorders>
            <w:vAlign w:val="bottom"/>
          </w:tcPr>
          <w:p w14:paraId="7B27AE8E" w14:textId="77777777" w:rsidR="00C83A7B" w:rsidRPr="00B8398E" w:rsidRDefault="00C83A7B" w:rsidP="000B6D24">
            <w:pPr>
              <w:jc w:val="right"/>
              <w:rPr>
                <w:rFonts w:cs="Arial"/>
              </w:rPr>
            </w:pPr>
            <w:r w:rsidRPr="0078302F">
              <w:rPr>
                <w:rFonts w:cs="Arial"/>
              </w:rPr>
              <w:t>27</w:t>
            </w:r>
          </w:p>
        </w:tc>
        <w:tc>
          <w:tcPr>
            <w:tcW w:w="993" w:type="dxa"/>
            <w:tcBorders>
              <w:top w:val="nil"/>
              <w:left w:val="nil"/>
              <w:bottom w:val="single" w:sz="4" w:space="0" w:color="auto"/>
              <w:right w:val="single" w:sz="4" w:space="0" w:color="auto"/>
            </w:tcBorders>
            <w:vAlign w:val="bottom"/>
          </w:tcPr>
          <w:p w14:paraId="3C6065E3" w14:textId="77777777" w:rsidR="00C83A7B" w:rsidRPr="0078302F" w:rsidRDefault="00C83A7B" w:rsidP="000B6D24">
            <w:pPr>
              <w:jc w:val="right"/>
              <w:rPr>
                <w:rFonts w:cs="Arial"/>
              </w:rPr>
            </w:pPr>
            <w:r>
              <w:rPr>
                <w:rFonts w:cs="Arial"/>
              </w:rPr>
              <w:t>39</w:t>
            </w:r>
          </w:p>
        </w:tc>
        <w:tc>
          <w:tcPr>
            <w:tcW w:w="993" w:type="dxa"/>
            <w:tcBorders>
              <w:top w:val="nil"/>
              <w:left w:val="nil"/>
              <w:bottom w:val="single" w:sz="4" w:space="0" w:color="auto"/>
              <w:right w:val="single" w:sz="4" w:space="0" w:color="auto"/>
            </w:tcBorders>
          </w:tcPr>
          <w:p w14:paraId="737AC23D" w14:textId="7F095C42" w:rsidR="00C83A7B" w:rsidRDefault="00C83A7B" w:rsidP="000B6D24">
            <w:pPr>
              <w:jc w:val="right"/>
              <w:rPr>
                <w:rFonts w:cs="Arial"/>
              </w:rPr>
            </w:pPr>
            <w:r>
              <w:rPr>
                <w:rFonts w:cs="Arial"/>
              </w:rPr>
              <w:t>30</w:t>
            </w:r>
          </w:p>
        </w:tc>
      </w:tr>
      <w:tr w:rsidR="00C83A7B" w:rsidRPr="00C5395B" w14:paraId="2653F6F5" w14:textId="477AA09C" w:rsidTr="00C83A7B">
        <w:trPr>
          <w:trHeight w:val="255"/>
        </w:trPr>
        <w:tc>
          <w:tcPr>
            <w:tcW w:w="2029" w:type="dxa"/>
            <w:tcBorders>
              <w:top w:val="nil"/>
              <w:left w:val="single" w:sz="4" w:space="0" w:color="auto"/>
              <w:bottom w:val="single" w:sz="4" w:space="0" w:color="auto"/>
              <w:right w:val="single" w:sz="4" w:space="0" w:color="auto"/>
            </w:tcBorders>
            <w:noWrap/>
            <w:hideMark/>
          </w:tcPr>
          <w:p w14:paraId="5C6D7F5A" w14:textId="77777777" w:rsidR="00C83A7B" w:rsidRPr="00C5395B" w:rsidRDefault="00C83A7B" w:rsidP="000B6D24">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tcPr>
          <w:p w14:paraId="098AE7E8" w14:textId="77777777" w:rsidR="00C83A7B" w:rsidRDefault="00C83A7B" w:rsidP="000B6D24">
            <w:pPr>
              <w:jc w:val="right"/>
              <w:rPr>
                <w:rFonts w:cs="Arial"/>
              </w:rPr>
            </w:pPr>
            <w:r w:rsidRPr="00545DC0">
              <w:rPr>
                <w:rFonts w:cs="Arial"/>
              </w:rPr>
              <w:t>6</w:t>
            </w:r>
          </w:p>
        </w:tc>
        <w:tc>
          <w:tcPr>
            <w:tcW w:w="992" w:type="dxa"/>
            <w:tcBorders>
              <w:top w:val="nil"/>
              <w:left w:val="nil"/>
              <w:bottom w:val="single" w:sz="4" w:space="0" w:color="auto"/>
              <w:right w:val="single" w:sz="4" w:space="0" w:color="auto"/>
            </w:tcBorders>
            <w:vAlign w:val="bottom"/>
          </w:tcPr>
          <w:p w14:paraId="30EF61DC" w14:textId="77777777" w:rsidR="00C83A7B" w:rsidRDefault="00C83A7B" w:rsidP="000B6D24">
            <w:pPr>
              <w:jc w:val="right"/>
              <w:rPr>
                <w:rFonts w:cs="Arial"/>
              </w:rPr>
            </w:pPr>
            <w:r w:rsidRPr="00D35167">
              <w:rPr>
                <w:rFonts w:cs="Arial"/>
              </w:rPr>
              <w:t>4</w:t>
            </w:r>
          </w:p>
        </w:tc>
        <w:tc>
          <w:tcPr>
            <w:tcW w:w="992" w:type="dxa"/>
            <w:tcBorders>
              <w:top w:val="nil"/>
              <w:left w:val="nil"/>
              <w:bottom w:val="single" w:sz="4" w:space="0" w:color="auto"/>
              <w:right w:val="single" w:sz="4" w:space="0" w:color="auto"/>
            </w:tcBorders>
            <w:vAlign w:val="bottom"/>
          </w:tcPr>
          <w:p w14:paraId="6A89FFB3" w14:textId="77777777" w:rsidR="00C83A7B" w:rsidRPr="00B8398E" w:rsidRDefault="00C83A7B" w:rsidP="000B6D24">
            <w:pPr>
              <w:jc w:val="right"/>
              <w:rPr>
                <w:rFonts w:cs="Arial"/>
              </w:rPr>
            </w:pPr>
            <w:r w:rsidRPr="0078302F">
              <w:rPr>
                <w:rFonts w:cs="Arial"/>
              </w:rPr>
              <w:t>13</w:t>
            </w:r>
          </w:p>
        </w:tc>
        <w:tc>
          <w:tcPr>
            <w:tcW w:w="993" w:type="dxa"/>
            <w:tcBorders>
              <w:top w:val="nil"/>
              <w:left w:val="nil"/>
              <w:bottom w:val="single" w:sz="4" w:space="0" w:color="auto"/>
              <w:right w:val="single" w:sz="4" w:space="0" w:color="auto"/>
            </w:tcBorders>
            <w:vAlign w:val="bottom"/>
          </w:tcPr>
          <w:p w14:paraId="4B235A81" w14:textId="77777777" w:rsidR="00C83A7B" w:rsidRPr="0078302F" w:rsidRDefault="00C83A7B" w:rsidP="000B6D24">
            <w:pPr>
              <w:jc w:val="right"/>
              <w:rPr>
                <w:rFonts w:cs="Arial"/>
              </w:rPr>
            </w:pPr>
            <w:r>
              <w:rPr>
                <w:rFonts w:cs="Arial"/>
              </w:rPr>
              <w:t>7</w:t>
            </w:r>
          </w:p>
        </w:tc>
        <w:tc>
          <w:tcPr>
            <w:tcW w:w="993" w:type="dxa"/>
            <w:tcBorders>
              <w:top w:val="nil"/>
              <w:left w:val="nil"/>
              <w:bottom w:val="single" w:sz="4" w:space="0" w:color="auto"/>
              <w:right w:val="single" w:sz="4" w:space="0" w:color="auto"/>
            </w:tcBorders>
          </w:tcPr>
          <w:p w14:paraId="467063A7" w14:textId="24BB184A" w:rsidR="00C83A7B" w:rsidRDefault="00C83A7B" w:rsidP="000B6D24">
            <w:pPr>
              <w:jc w:val="right"/>
              <w:rPr>
                <w:rFonts w:cs="Arial"/>
              </w:rPr>
            </w:pPr>
            <w:r>
              <w:rPr>
                <w:rFonts w:cs="Arial"/>
              </w:rPr>
              <w:t>12</w:t>
            </w:r>
          </w:p>
        </w:tc>
      </w:tr>
      <w:tr w:rsidR="00C83A7B" w:rsidRPr="00C5395B" w14:paraId="34E6C546" w14:textId="60ABD57B" w:rsidTr="00C83A7B">
        <w:trPr>
          <w:trHeight w:val="255"/>
        </w:trPr>
        <w:tc>
          <w:tcPr>
            <w:tcW w:w="2029" w:type="dxa"/>
            <w:tcBorders>
              <w:top w:val="nil"/>
              <w:left w:val="single" w:sz="4" w:space="0" w:color="auto"/>
              <w:bottom w:val="single" w:sz="4" w:space="0" w:color="auto"/>
              <w:right w:val="single" w:sz="4" w:space="0" w:color="auto"/>
            </w:tcBorders>
            <w:noWrap/>
          </w:tcPr>
          <w:p w14:paraId="7E35E4A6" w14:textId="77777777" w:rsidR="00C83A7B" w:rsidRPr="00C5395B" w:rsidRDefault="00C83A7B" w:rsidP="000B6D24">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tcPr>
          <w:p w14:paraId="15424B7D" w14:textId="77777777" w:rsidR="00C83A7B" w:rsidRDefault="00C83A7B" w:rsidP="000B6D24">
            <w:pPr>
              <w:jc w:val="right"/>
              <w:rPr>
                <w:rFonts w:cs="Arial"/>
              </w:rPr>
            </w:pPr>
            <w:r w:rsidRPr="00545DC0">
              <w:rPr>
                <w:rFonts w:cs="Arial"/>
              </w:rPr>
              <w:t>6</w:t>
            </w:r>
          </w:p>
        </w:tc>
        <w:tc>
          <w:tcPr>
            <w:tcW w:w="992" w:type="dxa"/>
            <w:tcBorders>
              <w:top w:val="nil"/>
              <w:left w:val="nil"/>
              <w:bottom w:val="single" w:sz="4" w:space="0" w:color="auto"/>
              <w:right w:val="single" w:sz="4" w:space="0" w:color="auto"/>
            </w:tcBorders>
            <w:vAlign w:val="bottom"/>
          </w:tcPr>
          <w:p w14:paraId="2B56CA0F" w14:textId="77777777" w:rsidR="00C83A7B" w:rsidRDefault="00C83A7B" w:rsidP="000B6D24">
            <w:pPr>
              <w:jc w:val="right"/>
              <w:rPr>
                <w:rFonts w:cs="Arial"/>
              </w:rPr>
            </w:pPr>
            <w:r w:rsidRPr="00D35167">
              <w:rPr>
                <w:rFonts w:cs="Arial"/>
              </w:rPr>
              <w:t>10</w:t>
            </w:r>
          </w:p>
        </w:tc>
        <w:tc>
          <w:tcPr>
            <w:tcW w:w="992" w:type="dxa"/>
            <w:tcBorders>
              <w:top w:val="nil"/>
              <w:left w:val="nil"/>
              <w:bottom w:val="single" w:sz="4" w:space="0" w:color="auto"/>
              <w:right w:val="single" w:sz="4" w:space="0" w:color="auto"/>
            </w:tcBorders>
            <w:vAlign w:val="bottom"/>
          </w:tcPr>
          <w:p w14:paraId="3B927E83" w14:textId="77777777" w:rsidR="00C83A7B" w:rsidRPr="00B8398E" w:rsidRDefault="00C83A7B" w:rsidP="000B6D24">
            <w:pPr>
              <w:jc w:val="right"/>
              <w:rPr>
                <w:rFonts w:cs="Arial"/>
              </w:rPr>
            </w:pPr>
            <w:r w:rsidRPr="0078302F">
              <w:rPr>
                <w:rFonts w:cs="Arial"/>
              </w:rPr>
              <w:t>5</w:t>
            </w:r>
          </w:p>
        </w:tc>
        <w:tc>
          <w:tcPr>
            <w:tcW w:w="993" w:type="dxa"/>
            <w:tcBorders>
              <w:top w:val="nil"/>
              <w:left w:val="nil"/>
              <w:bottom w:val="single" w:sz="4" w:space="0" w:color="auto"/>
              <w:right w:val="single" w:sz="4" w:space="0" w:color="auto"/>
            </w:tcBorders>
            <w:vAlign w:val="bottom"/>
          </w:tcPr>
          <w:p w14:paraId="7E0C31FD" w14:textId="77777777" w:rsidR="00C83A7B" w:rsidRPr="0078302F" w:rsidRDefault="00C83A7B" w:rsidP="000B6D24">
            <w:pPr>
              <w:jc w:val="right"/>
              <w:rPr>
                <w:rFonts w:cs="Arial"/>
              </w:rPr>
            </w:pPr>
            <w:r>
              <w:rPr>
                <w:rFonts w:cs="Arial"/>
              </w:rPr>
              <w:t>17</w:t>
            </w:r>
          </w:p>
        </w:tc>
        <w:tc>
          <w:tcPr>
            <w:tcW w:w="993" w:type="dxa"/>
            <w:tcBorders>
              <w:top w:val="nil"/>
              <w:left w:val="nil"/>
              <w:bottom w:val="single" w:sz="4" w:space="0" w:color="auto"/>
              <w:right w:val="single" w:sz="4" w:space="0" w:color="auto"/>
            </w:tcBorders>
          </w:tcPr>
          <w:p w14:paraId="3B29CB64" w14:textId="389F8D13" w:rsidR="00C83A7B" w:rsidRDefault="00C83A7B" w:rsidP="000B6D24">
            <w:pPr>
              <w:jc w:val="right"/>
              <w:rPr>
                <w:rFonts w:cs="Arial"/>
              </w:rPr>
            </w:pPr>
            <w:r>
              <w:rPr>
                <w:rFonts w:cs="Arial"/>
              </w:rPr>
              <w:t>9</w:t>
            </w:r>
          </w:p>
        </w:tc>
      </w:tr>
      <w:tr w:rsidR="00C83A7B" w:rsidRPr="00C5395B" w14:paraId="0171D041" w14:textId="4D6C90E5" w:rsidTr="00C83A7B">
        <w:trPr>
          <w:trHeight w:val="255"/>
        </w:trPr>
        <w:tc>
          <w:tcPr>
            <w:tcW w:w="2029" w:type="dxa"/>
            <w:tcBorders>
              <w:top w:val="nil"/>
              <w:left w:val="single" w:sz="4" w:space="0" w:color="auto"/>
              <w:bottom w:val="single" w:sz="4" w:space="0" w:color="auto"/>
              <w:right w:val="single" w:sz="4" w:space="0" w:color="auto"/>
            </w:tcBorders>
            <w:noWrap/>
            <w:hideMark/>
          </w:tcPr>
          <w:p w14:paraId="142AECC4" w14:textId="77777777" w:rsidR="00C83A7B" w:rsidRPr="00C5395B" w:rsidRDefault="00C83A7B" w:rsidP="000B6D24">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tcPr>
          <w:p w14:paraId="55FBAD7D" w14:textId="77777777" w:rsidR="00C83A7B" w:rsidRDefault="00C83A7B" w:rsidP="000B6D24">
            <w:pPr>
              <w:jc w:val="right"/>
              <w:rPr>
                <w:rFonts w:cs="Arial"/>
              </w:rPr>
            </w:pPr>
            <w:r w:rsidRPr="00545DC0">
              <w:rPr>
                <w:rFonts w:cs="Arial"/>
              </w:rPr>
              <w:t>4</w:t>
            </w:r>
          </w:p>
        </w:tc>
        <w:tc>
          <w:tcPr>
            <w:tcW w:w="992" w:type="dxa"/>
            <w:tcBorders>
              <w:top w:val="nil"/>
              <w:left w:val="nil"/>
              <w:bottom w:val="single" w:sz="4" w:space="0" w:color="auto"/>
              <w:right w:val="single" w:sz="4" w:space="0" w:color="auto"/>
            </w:tcBorders>
            <w:vAlign w:val="bottom"/>
          </w:tcPr>
          <w:p w14:paraId="333B791D" w14:textId="77777777" w:rsidR="00C83A7B" w:rsidRDefault="00C83A7B" w:rsidP="000B6D24">
            <w:pPr>
              <w:jc w:val="right"/>
              <w:rPr>
                <w:rFonts w:cs="Arial"/>
              </w:rPr>
            </w:pPr>
            <w:r w:rsidRPr="00D35167">
              <w:rPr>
                <w:rFonts w:cs="Arial"/>
              </w:rPr>
              <w:t>8</w:t>
            </w:r>
          </w:p>
        </w:tc>
        <w:tc>
          <w:tcPr>
            <w:tcW w:w="992" w:type="dxa"/>
            <w:tcBorders>
              <w:top w:val="nil"/>
              <w:left w:val="nil"/>
              <w:bottom w:val="single" w:sz="4" w:space="0" w:color="auto"/>
              <w:right w:val="single" w:sz="4" w:space="0" w:color="auto"/>
            </w:tcBorders>
            <w:vAlign w:val="bottom"/>
          </w:tcPr>
          <w:p w14:paraId="0BA22C2C" w14:textId="77777777" w:rsidR="00C83A7B" w:rsidRPr="00B8398E" w:rsidRDefault="00C83A7B" w:rsidP="000B6D24">
            <w:pPr>
              <w:jc w:val="right"/>
              <w:rPr>
                <w:rFonts w:cs="Arial"/>
              </w:rPr>
            </w:pPr>
            <w:r w:rsidRPr="0078302F">
              <w:rPr>
                <w:rFonts w:cs="Arial"/>
              </w:rPr>
              <w:t>9</w:t>
            </w:r>
          </w:p>
        </w:tc>
        <w:tc>
          <w:tcPr>
            <w:tcW w:w="993" w:type="dxa"/>
            <w:tcBorders>
              <w:top w:val="nil"/>
              <w:left w:val="nil"/>
              <w:bottom w:val="single" w:sz="4" w:space="0" w:color="auto"/>
              <w:right w:val="single" w:sz="4" w:space="0" w:color="auto"/>
            </w:tcBorders>
            <w:vAlign w:val="bottom"/>
          </w:tcPr>
          <w:p w14:paraId="67855745" w14:textId="77777777" w:rsidR="00C83A7B" w:rsidRPr="0078302F" w:rsidRDefault="00C83A7B" w:rsidP="000B6D24">
            <w:pPr>
              <w:jc w:val="right"/>
              <w:rPr>
                <w:rFonts w:cs="Arial"/>
              </w:rPr>
            </w:pPr>
            <w:r w:rsidRPr="0078302F">
              <w:rPr>
                <w:rFonts w:cs="Arial"/>
              </w:rPr>
              <w:t>9</w:t>
            </w:r>
          </w:p>
        </w:tc>
        <w:tc>
          <w:tcPr>
            <w:tcW w:w="993" w:type="dxa"/>
            <w:tcBorders>
              <w:top w:val="nil"/>
              <w:left w:val="nil"/>
              <w:bottom w:val="single" w:sz="4" w:space="0" w:color="auto"/>
              <w:right w:val="single" w:sz="4" w:space="0" w:color="auto"/>
            </w:tcBorders>
          </w:tcPr>
          <w:p w14:paraId="58FF8BAA" w14:textId="5BF3E299" w:rsidR="00C83A7B" w:rsidRPr="0078302F" w:rsidRDefault="00C83A7B" w:rsidP="000B6D24">
            <w:pPr>
              <w:jc w:val="right"/>
              <w:rPr>
                <w:rFonts w:cs="Arial"/>
              </w:rPr>
            </w:pPr>
            <w:r>
              <w:rPr>
                <w:rFonts w:cs="Arial"/>
              </w:rPr>
              <w:t>1</w:t>
            </w:r>
          </w:p>
        </w:tc>
      </w:tr>
      <w:tr w:rsidR="00C83A7B" w:rsidRPr="00C5395B" w14:paraId="69921274" w14:textId="5E9DD6DE" w:rsidTr="00C83A7B">
        <w:trPr>
          <w:trHeight w:val="255"/>
        </w:trPr>
        <w:tc>
          <w:tcPr>
            <w:tcW w:w="2029" w:type="dxa"/>
            <w:tcBorders>
              <w:top w:val="nil"/>
              <w:left w:val="single" w:sz="4" w:space="0" w:color="auto"/>
              <w:bottom w:val="single" w:sz="4" w:space="0" w:color="auto"/>
              <w:right w:val="single" w:sz="4" w:space="0" w:color="auto"/>
            </w:tcBorders>
            <w:noWrap/>
            <w:hideMark/>
          </w:tcPr>
          <w:p w14:paraId="064F0D75" w14:textId="77777777" w:rsidR="00C83A7B" w:rsidRPr="00C5395B" w:rsidRDefault="00C83A7B" w:rsidP="000B6D24">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tcPr>
          <w:p w14:paraId="7435AE63" w14:textId="77777777" w:rsidR="00C83A7B" w:rsidRDefault="00C83A7B" w:rsidP="000B6D24">
            <w:pPr>
              <w:pStyle w:val="TableText"/>
              <w:jc w:val="right"/>
              <w:rPr>
                <w:b/>
                <w:lang w:eastAsia="en-AU"/>
              </w:rPr>
            </w:pPr>
            <w:r w:rsidRPr="00545DC0">
              <w:rPr>
                <w:rFonts w:cs="Arial"/>
                <w:b/>
                <w:bCs/>
              </w:rPr>
              <w:t>51</w:t>
            </w:r>
          </w:p>
        </w:tc>
        <w:tc>
          <w:tcPr>
            <w:tcW w:w="992" w:type="dxa"/>
            <w:tcBorders>
              <w:top w:val="nil"/>
              <w:left w:val="nil"/>
              <w:bottom w:val="single" w:sz="4" w:space="0" w:color="auto"/>
              <w:right w:val="single" w:sz="4" w:space="0" w:color="auto"/>
            </w:tcBorders>
            <w:vAlign w:val="bottom"/>
          </w:tcPr>
          <w:p w14:paraId="4A6FF8A6" w14:textId="77777777" w:rsidR="00C83A7B" w:rsidRDefault="00C83A7B" w:rsidP="000B6D24">
            <w:pPr>
              <w:pStyle w:val="TableText"/>
              <w:jc w:val="right"/>
              <w:rPr>
                <w:b/>
                <w:lang w:eastAsia="en-AU"/>
              </w:rPr>
            </w:pPr>
            <w:r w:rsidRPr="00D35167">
              <w:rPr>
                <w:rFonts w:cs="Arial"/>
                <w:b/>
                <w:bCs/>
              </w:rPr>
              <w:t>68</w:t>
            </w:r>
          </w:p>
        </w:tc>
        <w:tc>
          <w:tcPr>
            <w:tcW w:w="992" w:type="dxa"/>
            <w:tcBorders>
              <w:top w:val="nil"/>
              <w:left w:val="nil"/>
              <w:bottom w:val="single" w:sz="4" w:space="0" w:color="auto"/>
              <w:right w:val="single" w:sz="4" w:space="0" w:color="auto"/>
            </w:tcBorders>
            <w:vAlign w:val="bottom"/>
          </w:tcPr>
          <w:p w14:paraId="44A2D118" w14:textId="77777777" w:rsidR="00C83A7B" w:rsidRPr="00B8398E" w:rsidRDefault="00C83A7B" w:rsidP="000B6D24">
            <w:pPr>
              <w:pStyle w:val="TableText"/>
              <w:jc w:val="right"/>
              <w:rPr>
                <w:rFonts w:cs="Arial"/>
                <w:b/>
                <w:bCs/>
              </w:rPr>
            </w:pPr>
            <w:r w:rsidRPr="0078302F">
              <w:rPr>
                <w:rFonts w:cs="Arial"/>
                <w:b/>
                <w:bCs/>
              </w:rPr>
              <w:t>54</w:t>
            </w:r>
          </w:p>
        </w:tc>
        <w:tc>
          <w:tcPr>
            <w:tcW w:w="993" w:type="dxa"/>
            <w:tcBorders>
              <w:top w:val="nil"/>
              <w:left w:val="nil"/>
              <w:bottom w:val="single" w:sz="4" w:space="0" w:color="auto"/>
              <w:right w:val="single" w:sz="4" w:space="0" w:color="auto"/>
            </w:tcBorders>
            <w:vAlign w:val="bottom"/>
          </w:tcPr>
          <w:p w14:paraId="353C68ED" w14:textId="77777777" w:rsidR="00C83A7B" w:rsidRPr="0078302F" w:rsidRDefault="00C83A7B" w:rsidP="000B6D24">
            <w:pPr>
              <w:pStyle w:val="TableText"/>
              <w:jc w:val="right"/>
              <w:rPr>
                <w:rFonts w:cs="Arial"/>
                <w:b/>
                <w:bCs/>
              </w:rPr>
            </w:pPr>
            <w:r>
              <w:rPr>
                <w:rFonts w:cs="Arial"/>
                <w:b/>
                <w:bCs/>
              </w:rPr>
              <w:t>72</w:t>
            </w:r>
          </w:p>
        </w:tc>
        <w:tc>
          <w:tcPr>
            <w:tcW w:w="993" w:type="dxa"/>
            <w:tcBorders>
              <w:top w:val="nil"/>
              <w:left w:val="nil"/>
              <w:bottom w:val="single" w:sz="4" w:space="0" w:color="auto"/>
              <w:right w:val="single" w:sz="4" w:space="0" w:color="auto"/>
            </w:tcBorders>
          </w:tcPr>
          <w:p w14:paraId="6848E1E1" w14:textId="28977465" w:rsidR="00C83A7B" w:rsidRDefault="00C83A7B" w:rsidP="000B6D24">
            <w:pPr>
              <w:pStyle w:val="TableText"/>
              <w:jc w:val="right"/>
              <w:rPr>
                <w:rFonts w:cs="Arial"/>
                <w:b/>
                <w:bCs/>
              </w:rPr>
            </w:pPr>
            <w:r>
              <w:rPr>
                <w:rFonts w:cs="Arial"/>
                <w:b/>
                <w:bCs/>
              </w:rPr>
              <w:t>52</w:t>
            </w:r>
          </w:p>
        </w:tc>
      </w:tr>
    </w:tbl>
    <w:p w14:paraId="23DADB7C" w14:textId="77777777" w:rsidR="00C83A7B" w:rsidRDefault="00C83A7B" w:rsidP="00C83A7B">
      <w:pPr>
        <w:spacing w:after="120" w:line="240" w:lineRule="auto"/>
        <w:ind w:left="794" w:hanging="794"/>
        <w:rPr>
          <w:b/>
          <w:sz w:val="16"/>
          <w:szCs w:val="16"/>
        </w:rPr>
      </w:pPr>
    </w:p>
    <w:p w14:paraId="3A5902A6" w14:textId="17B4D952" w:rsidR="001748A5" w:rsidRDefault="001748A5" w:rsidP="001748A5">
      <w:pPr>
        <w:spacing w:after="120" w:line="240" w:lineRule="auto"/>
        <w:ind w:left="794" w:hanging="794"/>
        <w:rPr>
          <w:sz w:val="16"/>
          <w:szCs w:val="16"/>
        </w:rPr>
      </w:pPr>
      <w:r w:rsidRPr="006C6A65">
        <w:rPr>
          <w:b/>
          <w:sz w:val="16"/>
          <w:szCs w:val="16"/>
        </w:rPr>
        <w:t xml:space="preserve">Table </w:t>
      </w:r>
      <w:r w:rsidR="00C83A7B">
        <w:rPr>
          <w:b/>
          <w:sz w:val="16"/>
          <w:szCs w:val="16"/>
        </w:rPr>
        <w:t>15</w:t>
      </w:r>
      <w:r w:rsidRPr="006C6A65">
        <w:rPr>
          <w:b/>
          <w:sz w:val="16"/>
          <w:szCs w:val="16"/>
        </w:rPr>
        <w:t>:</w:t>
      </w:r>
      <w:r w:rsidRPr="006C6A65">
        <w:rPr>
          <w:sz w:val="16"/>
          <w:szCs w:val="16"/>
        </w:rPr>
        <w:t xml:space="preserve"> Number of conferences held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00F83C14">
        <w:rPr>
          <w:sz w:val="16"/>
          <w:szCs w:val="16"/>
        </w:rPr>
        <w:t xml:space="preserve">1 </w:t>
      </w:r>
      <w:r w:rsidR="00A40B8D">
        <w:rPr>
          <w:sz w:val="16"/>
          <w:szCs w:val="16"/>
        </w:rPr>
        <w:t xml:space="preserve">October </w:t>
      </w:r>
      <w:r w:rsidR="009A7C28">
        <w:rPr>
          <w:sz w:val="16"/>
          <w:szCs w:val="16"/>
        </w:rPr>
        <w:t>2021</w:t>
      </w:r>
      <w:r w:rsidR="00A41820">
        <w:rPr>
          <w:sz w:val="16"/>
          <w:szCs w:val="16"/>
        </w:rPr>
        <w:t xml:space="preserve"> to </w:t>
      </w:r>
      <w:r w:rsidR="00F83C14">
        <w:rPr>
          <w:sz w:val="16"/>
          <w:szCs w:val="16"/>
        </w:rPr>
        <w:t>3</w:t>
      </w:r>
      <w:r w:rsidR="00A40B8D">
        <w:rPr>
          <w:sz w:val="16"/>
          <w:szCs w:val="16"/>
        </w:rPr>
        <w:t xml:space="preserve">1 December </w:t>
      </w:r>
      <w:r w:rsidR="009A7C28">
        <w:rPr>
          <w:sz w:val="16"/>
          <w:szCs w:val="16"/>
        </w:rPr>
        <w:t>2021</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1748A5" w:rsidRPr="00650B45" w14:paraId="1769125C" w14:textId="77777777" w:rsidTr="00CE6F8C">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03C765D6" w14:textId="77777777" w:rsidR="001748A5" w:rsidRPr="0040594D" w:rsidRDefault="001748A5" w:rsidP="0087357E">
            <w:pPr>
              <w:spacing w:line="240" w:lineRule="auto"/>
              <w:rPr>
                <w:rFonts w:cs="Arial"/>
                <w:b/>
                <w:bCs/>
                <w:lang w:eastAsia="en-AU"/>
              </w:rPr>
            </w:pPr>
            <w:r>
              <w:rPr>
                <w:rFonts w:cs="Arial"/>
                <w:b/>
                <w:bCs/>
                <w:lang w:eastAsia="en-AU"/>
              </w:rPr>
              <w:t>Number of Domestic Violence Conferences</w:t>
            </w:r>
          </w:p>
        </w:tc>
        <w:tc>
          <w:tcPr>
            <w:tcW w:w="784" w:type="dxa"/>
            <w:tcBorders>
              <w:top w:val="single" w:sz="4" w:space="0" w:color="auto"/>
              <w:left w:val="nil"/>
              <w:bottom w:val="single" w:sz="4" w:space="0" w:color="auto"/>
              <w:right w:val="single" w:sz="4" w:space="0" w:color="auto"/>
            </w:tcBorders>
            <w:shd w:val="clear" w:color="auto" w:fill="auto"/>
            <w:hideMark/>
          </w:tcPr>
          <w:p w14:paraId="139A79D1" w14:textId="77777777" w:rsidR="001748A5" w:rsidRPr="0040594D" w:rsidRDefault="001748A5" w:rsidP="0087357E">
            <w:pPr>
              <w:spacing w:line="240" w:lineRule="auto"/>
              <w:jc w:val="right"/>
              <w:rPr>
                <w:rFonts w:cs="Arial"/>
                <w:b/>
                <w:bCs/>
                <w:lang w:eastAsia="en-AU"/>
              </w:rPr>
            </w:pPr>
            <w:r>
              <w:rPr>
                <w:rFonts w:cs="Arial"/>
                <w:b/>
                <w:bCs/>
                <w:lang w:eastAsia="en-AU"/>
              </w:rPr>
              <w:t>AU</w:t>
            </w:r>
          </w:p>
        </w:tc>
        <w:tc>
          <w:tcPr>
            <w:tcW w:w="784" w:type="dxa"/>
            <w:tcBorders>
              <w:top w:val="single" w:sz="4" w:space="0" w:color="auto"/>
              <w:left w:val="nil"/>
              <w:bottom w:val="single" w:sz="4" w:space="0" w:color="auto"/>
              <w:right w:val="single" w:sz="4" w:space="0" w:color="auto"/>
            </w:tcBorders>
            <w:shd w:val="clear" w:color="auto" w:fill="auto"/>
            <w:hideMark/>
          </w:tcPr>
          <w:p w14:paraId="28400DCF" w14:textId="77777777" w:rsidR="001748A5" w:rsidRPr="0040594D" w:rsidRDefault="001748A5" w:rsidP="0087357E">
            <w:pPr>
              <w:spacing w:line="240" w:lineRule="auto"/>
              <w:jc w:val="right"/>
              <w:rPr>
                <w:rFonts w:cs="Arial"/>
                <w:b/>
                <w:bCs/>
                <w:lang w:eastAsia="en-AU"/>
              </w:rPr>
            </w:pPr>
            <w:r>
              <w:rPr>
                <w:rFonts w:cs="Arial"/>
                <w:b/>
                <w:bCs/>
                <w:lang w:eastAsia="en-AU"/>
              </w:rPr>
              <w:t>CO</w:t>
            </w:r>
          </w:p>
        </w:tc>
        <w:tc>
          <w:tcPr>
            <w:tcW w:w="784" w:type="dxa"/>
            <w:tcBorders>
              <w:top w:val="single" w:sz="4" w:space="0" w:color="auto"/>
              <w:left w:val="nil"/>
              <w:bottom w:val="single" w:sz="4" w:space="0" w:color="auto"/>
              <w:right w:val="single" w:sz="4" w:space="0" w:color="auto"/>
            </w:tcBorders>
          </w:tcPr>
          <w:p w14:paraId="3C5E9198" w14:textId="77777777" w:rsidR="001748A5" w:rsidRPr="0040594D" w:rsidRDefault="001748A5" w:rsidP="0087357E">
            <w:pPr>
              <w:spacing w:line="240" w:lineRule="auto"/>
              <w:jc w:val="right"/>
              <w:rPr>
                <w:rFonts w:cs="Arial"/>
                <w:b/>
                <w:bCs/>
                <w:lang w:eastAsia="en-AU"/>
              </w:rPr>
            </w:pPr>
            <w:r>
              <w:rPr>
                <w:rFonts w:cs="Arial"/>
                <w:b/>
                <w:bCs/>
                <w:lang w:eastAsia="en-AU"/>
              </w:rPr>
              <w:t>HV</w:t>
            </w:r>
          </w:p>
        </w:tc>
        <w:tc>
          <w:tcPr>
            <w:tcW w:w="784" w:type="dxa"/>
            <w:tcBorders>
              <w:top w:val="single" w:sz="4" w:space="0" w:color="auto"/>
              <w:left w:val="nil"/>
              <w:bottom w:val="single" w:sz="4" w:space="0" w:color="auto"/>
              <w:right w:val="single" w:sz="4" w:space="0" w:color="auto"/>
            </w:tcBorders>
          </w:tcPr>
          <w:p w14:paraId="1304546E" w14:textId="77777777" w:rsidR="001748A5" w:rsidRPr="0040594D" w:rsidRDefault="001748A5" w:rsidP="0087357E">
            <w:pPr>
              <w:spacing w:line="240" w:lineRule="auto"/>
              <w:jc w:val="right"/>
              <w:rPr>
                <w:rFonts w:cs="Arial"/>
                <w:b/>
                <w:bCs/>
                <w:lang w:eastAsia="en-AU"/>
              </w:rPr>
            </w:pPr>
            <w:r>
              <w:rPr>
                <w:rFonts w:cs="Arial"/>
                <w:b/>
                <w:bCs/>
                <w:lang w:eastAsia="en-AU"/>
              </w:rPr>
              <w:t>MG</w:t>
            </w:r>
          </w:p>
        </w:tc>
        <w:tc>
          <w:tcPr>
            <w:tcW w:w="784" w:type="dxa"/>
            <w:tcBorders>
              <w:top w:val="single" w:sz="4" w:space="0" w:color="auto"/>
              <w:left w:val="nil"/>
              <w:bottom w:val="single" w:sz="4" w:space="0" w:color="auto"/>
              <w:right w:val="single" w:sz="4" w:space="0" w:color="auto"/>
            </w:tcBorders>
          </w:tcPr>
          <w:p w14:paraId="2827BC21" w14:textId="77777777" w:rsidR="001748A5" w:rsidRPr="0040594D" w:rsidRDefault="001748A5" w:rsidP="0087357E">
            <w:pPr>
              <w:spacing w:line="240" w:lineRule="auto"/>
              <w:jc w:val="right"/>
              <w:rPr>
                <w:rFonts w:cs="Arial"/>
                <w:b/>
                <w:bCs/>
                <w:lang w:eastAsia="en-AU"/>
              </w:rPr>
            </w:pPr>
            <w:r>
              <w:rPr>
                <w:rFonts w:cs="Arial"/>
                <w:b/>
                <w:bCs/>
                <w:lang w:eastAsia="en-AU"/>
              </w:rPr>
              <w:t>Total</w:t>
            </w:r>
          </w:p>
        </w:tc>
      </w:tr>
      <w:tr w:rsidR="00C64220" w:rsidRPr="0094558B" w14:paraId="2A713E69" w14:textId="77777777" w:rsidTr="00CE6F8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34F21B21" w14:textId="77777777" w:rsidR="00C64220" w:rsidRPr="00640E37" w:rsidRDefault="00C64220" w:rsidP="00C64220">
            <w:pPr>
              <w:spacing w:line="240" w:lineRule="auto"/>
              <w:rPr>
                <w:rFonts w:cs="Arial"/>
                <w:bCs/>
                <w:lang w:eastAsia="en-AU"/>
              </w:rPr>
            </w:pPr>
            <w:r>
              <w:t>R</w:t>
            </w:r>
            <w:r w:rsidRPr="00640E37">
              <w:t>elating to both a DVB and a DVO notice</w:t>
            </w:r>
          </w:p>
        </w:tc>
        <w:tc>
          <w:tcPr>
            <w:tcW w:w="784" w:type="dxa"/>
            <w:tcBorders>
              <w:top w:val="single" w:sz="4" w:space="0" w:color="auto"/>
              <w:left w:val="nil"/>
              <w:bottom w:val="single" w:sz="4" w:space="0" w:color="auto"/>
              <w:right w:val="single" w:sz="4" w:space="0" w:color="auto"/>
            </w:tcBorders>
            <w:shd w:val="clear" w:color="auto" w:fill="auto"/>
            <w:vAlign w:val="center"/>
          </w:tcPr>
          <w:p w14:paraId="4707944F" w14:textId="0B9007B1" w:rsidR="00C64220" w:rsidRPr="0094558B" w:rsidRDefault="00C64220" w:rsidP="00C64220">
            <w:pPr>
              <w:spacing w:line="240" w:lineRule="auto"/>
              <w:jc w:val="right"/>
              <w:rPr>
                <w:rFonts w:cs="Arial"/>
                <w:bCs/>
                <w:lang w:eastAsia="en-AU"/>
              </w:rPr>
            </w:pPr>
            <w:r>
              <w:rPr>
                <w:rFonts w:cs="Arial"/>
              </w:rPr>
              <w:t>2</w:t>
            </w:r>
          </w:p>
        </w:tc>
        <w:tc>
          <w:tcPr>
            <w:tcW w:w="784" w:type="dxa"/>
            <w:tcBorders>
              <w:top w:val="single" w:sz="4" w:space="0" w:color="auto"/>
              <w:left w:val="nil"/>
              <w:bottom w:val="single" w:sz="4" w:space="0" w:color="auto"/>
              <w:right w:val="single" w:sz="4" w:space="0" w:color="auto"/>
            </w:tcBorders>
            <w:shd w:val="clear" w:color="auto" w:fill="auto"/>
            <w:vAlign w:val="center"/>
          </w:tcPr>
          <w:p w14:paraId="08D173F1" w14:textId="2F83B6FE" w:rsidR="00C64220" w:rsidRPr="0094558B" w:rsidRDefault="00C64220" w:rsidP="00C64220">
            <w:pPr>
              <w:spacing w:line="240" w:lineRule="auto"/>
              <w:jc w:val="right"/>
              <w:rPr>
                <w:rFonts w:cs="Arial"/>
                <w:bCs/>
                <w:lang w:eastAsia="en-AU"/>
              </w:rPr>
            </w:pPr>
            <w:r>
              <w:rPr>
                <w:rFonts w:cs="Arial"/>
              </w:rPr>
              <w:t>1</w:t>
            </w:r>
          </w:p>
        </w:tc>
        <w:tc>
          <w:tcPr>
            <w:tcW w:w="784" w:type="dxa"/>
            <w:tcBorders>
              <w:top w:val="single" w:sz="4" w:space="0" w:color="auto"/>
              <w:left w:val="nil"/>
              <w:bottom w:val="single" w:sz="4" w:space="0" w:color="auto"/>
              <w:right w:val="single" w:sz="4" w:space="0" w:color="auto"/>
            </w:tcBorders>
            <w:vAlign w:val="center"/>
          </w:tcPr>
          <w:p w14:paraId="6659A4D6" w14:textId="6B0FEFC2" w:rsidR="00C64220" w:rsidRPr="0094558B" w:rsidRDefault="00C64220" w:rsidP="00C64220">
            <w:pPr>
              <w:spacing w:line="240" w:lineRule="auto"/>
              <w:jc w:val="right"/>
              <w:rPr>
                <w:rFonts w:cs="Arial"/>
                <w:bCs/>
                <w:lang w:eastAsia="en-AU"/>
              </w:rPr>
            </w:pPr>
            <w:r>
              <w:rPr>
                <w:rFonts w:cs="Arial"/>
              </w:rPr>
              <w:t>0</w:t>
            </w:r>
          </w:p>
        </w:tc>
        <w:tc>
          <w:tcPr>
            <w:tcW w:w="784" w:type="dxa"/>
            <w:tcBorders>
              <w:top w:val="single" w:sz="4" w:space="0" w:color="auto"/>
              <w:left w:val="nil"/>
              <w:bottom w:val="single" w:sz="4" w:space="0" w:color="auto"/>
              <w:right w:val="single" w:sz="4" w:space="0" w:color="auto"/>
            </w:tcBorders>
            <w:vAlign w:val="center"/>
          </w:tcPr>
          <w:p w14:paraId="1815A01A" w14:textId="5D6DDC3D" w:rsidR="00C64220" w:rsidRPr="0094558B" w:rsidRDefault="00C64220" w:rsidP="00C64220">
            <w:pPr>
              <w:spacing w:line="240" w:lineRule="auto"/>
              <w:jc w:val="right"/>
              <w:rPr>
                <w:rFonts w:cs="Arial"/>
                <w:bCs/>
                <w:lang w:eastAsia="en-AU"/>
              </w:rPr>
            </w:pPr>
            <w:r>
              <w:rPr>
                <w:rFonts w:cs="Arial"/>
              </w:rPr>
              <w:t>0</w:t>
            </w:r>
          </w:p>
        </w:tc>
        <w:tc>
          <w:tcPr>
            <w:tcW w:w="784" w:type="dxa"/>
            <w:tcBorders>
              <w:top w:val="single" w:sz="4" w:space="0" w:color="auto"/>
              <w:left w:val="nil"/>
              <w:bottom w:val="single" w:sz="4" w:space="0" w:color="auto"/>
              <w:right w:val="single" w:sz="4" w:space="0" w:color="auto"/>
            </w:tcBorders>
            <w:vAlign w:val="center"/>
          </w:tcPr>
          <w:p w14:paraId="10ABD0AD" w14:textId="5AA6E640" w:rsidR="00C64220" w:rsidRPr="0094558B" w:rsidRDefault="00C64220" w:rsidP="00C64220">
            <w:pPr>
              <w:spacing w:line="240" w:lineRule="auto"/>
              <w:jc w:val="right"/>
              <w:rPr>
                <w:rFonts w:cs="Arial"/>
                <w:b/>
                <w:bCs/>
                <w:lang w:eastAsia="en-AU"/>
              </w:rPr>
            </w:pPr>
            <w:r>
              <w:rPr>
                <w:rFonts w:cs="Arial"/>
                <w:b/>
                <w:bCs/>
              </w:rPr>
              <w:t>3</w:t>
            </w:r>
          </w:p>
        </w:tc>
      </w:tr>
      <w:tr w:rsidR="00C64220" w:rsidRPr="00650B45" w14:paraId="5725BEC2" w14:textId="77777777" w:rsidTr="00CE6F8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55741983" w14:textId="77777777" w:rsidR="00C64220" w:rsidRPr="00640E37" w:rsidRDefault="00C64220" w:rsidP="00C64220">
            <w:pPr>
              <w:spacing w:line="240" w:lineRule="auto"/>
              <w:rPr>
                <w:rFonts w:cs="Arial"/>
                <w:lang w:eastAsia="en-AU"/>
              </w:rPr>
            </w:pPr>
            <w:r>
              <w:t>Relating to a DVB</w:t>
            </w:r>
            <w:r w:rsidRPr="00640E37">
              <w:t xml:space="preserve"> notice</w:t>
            </w:r>
          </w:p>
        </w:tc>
        <w:tc>
          <w:tcPr>
            <w:tcW w:w="784" w:type="dxa"/>
            <w:tcBorders>
              <w:top w:val="nil"/>
              <w:left w:val="nil"/>
              <w:bottom w:val="single" w:sz="4" w:space="0" w:color="auto"/>
              <w:right w:val="single" w:sz="4" w:space="0" w:color="auto"/>
            </w:tcBorders>
            <w:shd w:val="clear" w:color="auto" w:fill="auto"/>
            <w:vAlign w:val="center"/>
          </w:tcPr>
          <w:p w14:paraId="6203887C" w14:textId="4FDC1A23" w:rsidR="00C64220" w:rsidRPr="0040594D" w:rsidRDefault="00C64220" w:rsidP="00C64220">
            <w:pPr>
              <w:spacing w:line="240" w:lineRule="auto"/>
              <w:jc w:val="right"/>
              <w:rPr>
                <w:rFonts w:cs="Arial"/>
                <w:lang w:eastAsia="en-AU"/>
              </w:rPr>
            </w:pPr>
            <w:r>
              <w:rPr>
                <w:rFonts w:cs="Arial"/>
              </w:rPr>
              <w:t>9</w:t>
            </w:r>
          </w:p>
        </w:tc>
        <w:tc>
          <w:tcPr>
            <w:tcW w:w="784" w:type="dxa"/>
            <w:tcBorders>
              <w:top w:val="nil"/>
              <w:left w:val="nil"/>
              <w:bottom w:val="single" w:sz="4" w:space="0" w:color="auto"/>
              <w:right w:val="single" w:sz="4" w:space="0" w:color="auto"/>
            </w:tcBorders>
            <w:shd w:val="clear" w:color="auto" w:fill="auto"/>
            <w:vAlign w:val="center"/>
          </w:tcPr>
          <w:p w14:paraId="3C97EB58" w14:textId="18731136" w:rsidR="00C64220" w:rsidRPr="0040594D" w:rsidRDefault="00035B6E" w:rsidP="00C64220">
            <w:pPr>
              <w:spacing w:line="240" w:lineRule="auto"/>
              <w:jc w:val="right"/>
              <w:rPr>
                <w:rFonts w:cs="Arial"/>
                <w:lang w:eastAsia="en-AU"/>
              </w:rPr>
            </w:pPr>
            <w:r>
              <w:rPr>
                <w:rFonts w:cs="Arial"/>
              </w:rPr>
              <w:t>6</w:t>
            </w:r>
          </w:p>
        </w:tc>
        <w:tc>
          <w:tcPr>
            <w:tcW w:w="784" w:type="dxa"/>
            <w:tcBorders>
              <w:top w:val="nil"/>
              <w:left w:val="nil"/>
              <w:bottom w:val="single" w:sz="4" w:space="0" w:color="auto"/>
              <w:right w:val="single" w:sz="4" w:space="0" w:color="auto"/>
            </w:tcBorders>
            <w:vAlign w:val="center"/>
          </w:tcPr>
          <w:p w14:paraId="2B2C50D5" w14:textId="3B582376" w:rsidR="00C64220" w:rsidRDefault="00C64220" w:rsidP="00C64220">
            <w:pPr>
              <w:spacing w:line="240" w:lineRule="auto"/>
              <w:jc w:val="right"/>
              <w:rPr>
                <w:rFonts w:cs="Arial"/>
                <w:lang w:eastAsia="en-AU"/>
              </w:rPr>
            </w:pPr>
            <w:r>
              <w:rPr>
                <w:rFonts w:cs="Arial"/>
              </w:rPr>
              <w:t>3</w:t>
            </w:r>
          </w:p>
        </w:tc>
        <w:tc>
          <w:tcPr>
            <w:tcW w:w="784" w:type="dxa"/>
            <w:tcBorders>
              <w:top w:val="nil"/>
              <w:left w:val="nil"/>
              <w:bottom w:val="single" w:sz="4" w:space="0" w:color="auto"/>
              <w:right w:val="single" w:sz="4" w:space="0" w:color="auto"/>
            </w:tcBorders>
            <w:vAlign w:val="center"/>
          </w:tcPr>
          <w:p w14:paraId="5E25C841" w14:textId="3F554840" w:rsidR="00C64220" w:rsidRDefault="00C64220" w:rsidP="00C64220">
            <w:pPr>
              <w:spacing w:line="240" w:lineRule="auto"/>
              <w:jc w:val="right"/>
              <w:rPr>
                <w:rFonts w:cs="Arial"/>
                <w:lang w:eastAsia="en-AU"/>
              </w:rPr>
            </w:pPr>
            <w:r>
              <w:rPr>
                <w:rFonts w:cs="Arial"/>
              </w:rPr>
              <w:t>1</w:t>
            </w:r>
          </w:p>
        </w:tc>
        <w:tc>
          <w:tcPr>
            <w:tcW w:w="784" w:type="dxa"/>
            <w:tcBorders>
              <w:top w:val="nil"/>
              <w:left w:val="nil"/>
              <w:bottom w:val="single" w:sz="4" w:space="0" w:color="auto"/>
              <w:right w:val="single" w:sz="4" w:space="0" w:color="auto"/>
            </w:tcBorders>
            <w:vAlign w:val="center"/>
          </w:tcPr>
          <w:p w14:paraId="6A804D63" w14:textId="5CF5FEC5" w:rsidR="00C64220" w:rsidRPr="0094558B" w:rsidRDefault="00C64220" w:rsidP="00C64220">
            <w:pPr>
              <w:spacing w:line="240" w:lineRule="auto"/>
              <w:jc w:val="right"/>
              <w:rPr>
                <w:rFonts w:cs="Arial"/>
                <w:b/>
                <w:lang w:eastAsia="en-AU"/>
              </w:rPr>
            </w:pPr>
            <w:r>
              <w:rPr>
                <w:rFonts w:cs="Arial"/>
                <w:b/>
                <w:bCs/>
              </w:rPr>
              <w:t>1</w:t>
            </w:r>
            <w:r w:rsidR="00035B6E">
              <w:rPr>
                <w:rFonts w:cs="Arial"/>
                <w:b/>
                <w:bCs/>
              </w:rPr>
              <w:t>9</w:t>
            </w:r>
          </w:p>
        </w:tc>
      </w:tr>
      <w:tr w:rsidR="00C64220" w:rsidRPr="00650B45" w14:paraId="6D0F82C5" w14:textId="77777777" w:rsidTr="00CE6F8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5E13F29D" w14:textId="77777777" w:rsidR="00C64220" w:rsidRPr="00640E37" w:rsidRDefault="00C64220" w:rsidP="00C64220">
            <w:pPr>
              <w:spacing w:line="240" w:lineRule="auto"/>
              <w:rPr>
                <w:rFonts w:cs="Arial"/>
              </w:rPr>
            </w:pPr>
            <w:r>
              <w:t>Relating to a DVO</w:t>
            </w:r>
            <w:r w:rsidRPr="00640E37">
              <w:t xml:space="preserve"> notice</w:t>
            </w:r>
          </w:p>
        </w:tc>
        <w:tc>
          <w:tcPr>
            <w:tcW w:w="784" w:type="dxa"/>
            <w:tcBorders>
              <w:top w:val="nil"/>
              <w:left w:val="nil"/>
              <w:bottom w:val="single" w:sz="4" w:space="0" w:color="auto"/>
              <w:right w:val="single" w:sz="4" w:space="0" w:color="auto"/>
            </w:tcBorders>
            <w:shd w:val="clear" w:color="auto" w:fill="auto"/>
            <w:vAlign w:val="center"/>
          </w:tcPr>
          <w:p w14:paraId="3E4F5E95" w14:textId="2C325A86" w:rsidR="00C64220" w:rsidRPr="0040594D" w:rsidRDefault="00C64220" w:rsidP="00C64220">
            <w:pPr>
              <w:spacing w:line="240" w:lineRule="auto"/>
              <w:jc w:val="right"/>
              <w:rPr>
                <w:rFonts w:cs="Arial"/>
                <w:lang w:eastAsia="en-AU"/>
              </w:rPr>
            </w:pPr>
            <w:r>
              <w:rPr>
                <w:rFonts w:cs="Arial"/>
              </w:rPr>
              <w:t>19</w:t>
            </w:r>
          </w:p>
        </w:tc>
        <w:tc>
          <w:tcPr>
            <w:tcW w:w="784" w:type="dxa"/>
            <w:tcBorders>
              <w:top w:val="nil"/>
              <w:left w:val="nil"/>
              <w:bottom w:val="single" w:sz="4" w:space="0" w:color="auto"/>
              <w:right w:val="single" w:sz="4" w:space="0" w:color="auto"/>
            </w:tcBorders>
            <w:shd w:val="clear" w:color="auto" w:fill="auto"/>
            <w:vAlign w:val="center"/>
          </w:tcPr>
          <w:p w14:paraId="05EC430A" w14:textId="22C79941" w:rsidR="00C64220" w:rsidRDefault="00C64220" w:rsidP="00C64220">
            <w:pPr>
              <w:spacing w:line="240" w:lineRule="auto"/>
              <w:jc w:val="right"/>
              <w:rPr>
                <w:rFonts w:cs="Arial"/>
                <w:lang w:eastAsia="en-AU"/>
              </w:rPr>
            </w:pPr>
            <w:r>
              <w:rPr>
                <w:rFonts w:cs="Arial"/>
              </w:rPr>
              <w:t>5</w:t>
            </w:r>
          </w:p>
        </w:tc>
        <w:tc>
          <w:tcPr>
            <w:tcW w:w="784" w:type="dxa"/>
            <w:tcBorders>
              <w:top w:val="nil"/>
              <w:left w:val="nil"/>
              <w:bottom w:val="single" w:sz="4" w:space="0" w:color="auto"/>
              <w:right w:val="single" w:sz="4" w:space="0" w:color="auto"/>
            </w:tcBorders>
            <w:vAlign w:val="center"/>
          </w:tcPr>
          <w:p w14:paraId="53D47FFE" w14:textId="5E4F0C88" w:rsidR="00C64220" w:rsidRDefault="00C64220" w:rsidP="00C64220">
            <w:pPr>
              <w:spacing w:line="240" w:lineRule="auto"/>
              <w:jc w:val="right"/>
              <w:rPr>
                <w:rFonts w:cs="Arial"/>
                <w:lang w:eastAsia="en-AU"/>
              </w:rPr>
            </w:pPr>
            <w:r>
              <w:rPr>
                <w:rFonts w:cs="Arial"/>
              </w:rPr>
              <w:t>6</w:t>
            </w:r>
          </w:p>
        </w:tc>
        <w:tc>
          <w:tcPr>
            <w:tcW w:w="784" w:type="dxa"/>
            <w:tcBorders>
              <w:top w:val="nil"/>
              <w:left w:val="nil"/>
              <w:bottom w:val="single" w:sz="4" w:space="0" w:color="auto"/>
              <w:right w:val="single" w:sz="4" w:space="0" w:color="auto"/>
            </w:tcBorders>
            <w:vAlign w:val="center"/>
          </w:tcPr>
          <w:p w14:paraId="1A3F174E" w14:textId="19A0A6E8" w:rsidR="00C64220" w:rsidRDefault="00C64220" w:rsidP="00C64220">
            <w:pPr>
              <w:spacing w:line="240" w:lineRule="auto"/>
              <w:jc w:val="right"/>
              <w:rPr>
                <w:rFonts w:cs="Arial"/>
                <w:lang w:eastAsia="en-AU"/>
              </w:rPr>
            </w:pPr>
            <w:r>
              <w:rPr>
                <w:rFonts w:cs="Arial"/>
              </w:rPr>
              <w:t>0</w:t>
            </w:r>
          </w:p>
        </w:tc>
        <w:tc>
          <w:tcPr>
            <w:tcW w:w="784" w:type="dxa"/>
            <w:tcBorders>
              <w:top w:val="nil"/>
              <w:left w:val="nil"/>
              <w:bottom w:val="single" w:sz="4" w:space="0" w:color="auto"/>
              <w:right w:val="single" w:sz="4" w:space="0" w:color="auto"/>
            </w:tcBorders>
            <w:vAlign w:val="center"/>
          </w:tcPr>
          <w:p w14:paraId="016DD19F" w14:textId="432FE288" w:rsidR="00C64220" w:rsidRPr="0094558B" w:rsidRDefault="00C64220" w:rsidP="00C64220">
            <w:pPr>
              <w:spacing w:line="240" w:lineRule="auto"/>
              <w:jc w:val="right"/>
              <w:rPr>
                <w:rFonts w:cs="Arial"/>
                <w:b/>
                <w:lang w:eastAsia="en-AU"/>
              </w:rPr>
            </w:pPr>
            <w:r>
              <w:rPr>
                <w:rFonts w:cs="Arial"/>
                <w:b/>
                <w:bCs/>
              </w:rPr>
              <w:t>30</w:t>
            </w:r>
          </w:p>
        </w:tc>
      </w:tr>
      <w:tr w:rsidR="00C64220" w:rsidRPr="00557E24" w14:paraId="63F8D415" w14:textId="77777777" w:rsidTr="00CE6F8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18C0BF" w14:textId="77777777" w:rsidR="00C64220" w:rsidRPr="00557E24" w:rsidRDefault="00C64220" w:rsidP="00C64220">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vAlign w:val="center"/>
          </w:tcPr>
          <w:p w14:paraId="5BA72418" w14:textId="1F12437D" w:rsidR="00C64220" w:rsidRPr="00557E24" w:rsidRDefault="00C64220" w:rsidP="00C64220">
            <w:pPr>
              <w:spacing w:line="240" w:lineRule="auto"/>
              <w:jc w:val="right"/>
              <w:rPr>
                <w:rFonts w:cs="Arial"/>
                <w:b/>
                <w:lang w:eastAsia="en-AU"/>
              </w:rPr>
            </w:pPr>
            <w:r>
              <w:rPr>
                <w:rFonts w:cs="Arial"/>
                <w:b/>
                <w:bCs/>
              </w:rPr>
              <w:t>30</w:t>
            </w:r>
          </w:p>
        </w:tc>
        <w:tc>
          <w:tcPr>
            <w:tcW w:w="784" w:type="dxa"/>
            <w:tcBorders>
              <w:top w:val="single" w:sz="4" w:space="0" w:color="auto"/>
              <w:left w:val="nil"/>
              <w:bottom w:val="single" w:sz="4" w:space="0" w:color="auto"/>
              <w:right w:val="single" w:sz="4" w:space="0" w:color="auto"/>
            </w:tcBorders>
            <w:shd w:val="clear" w:color="auto" w:fill="auto"/>
            <w:vAlign w:val="center"/>
          </w:tcPr>
          <w:p w14:paraId="36209C37" w14:textId="339F10A0" w:rsidR="00C64220" w:rsidRPr="00557E24" w:rsidRDefault="00C64220" w:rsidP="00C64220">
            <w:pPr>
              <w:spacing w:line="240" w:lineRule="auto"/>
              <w:jc w:val="right"/>
              <w:rPr>
                <w:rFonts w:cs="Arial"/>
                <w:b/>
                <w:lang w:eastAsia="en-AU"/>
              </w:rPr>
            </w:pPr>
            <w:r>
              <w:rPr>
                <w:rFonts w:cs="Arial"/>
                <w:b/>
                <w:bCs/>
              </w:rPr>
              <w:t>1</w:t>
            </w:r>
            <w:r w:rsidR="00035B6E">
              <w:rPr>
                <w:rFonts w:cs="Arial"/>
                <w:b/>
                <w:bCs/>
              </w:rPr>
              <w:t>2</w:t>
            </w:r>
          </w:p>
        </w:tc>
        <w:tc>
          <w:tcPr>
            <w:tcW w:w="784" w:type="dxa"/>
            <w:tcBorders>
              <w:top w:val="single" w:sz="4" w:space="0" w:color="auto"/>
              <w:left w:val="nil"/>
              <w:bottom w:val="single" w:sz="4" w:space="0" w:color="auto"/>
              <w:right w:val="single" w:sz="4" w:space="0" w:color="auto"/>
            </w:tcBorders>
            <w:vAlign w:val="center"/>
          </w:tcPr>
          <w:p w14:paraId="1C15A840" w14:textId="01F9F641" w:rsidR="00C64220" w:rsidRPr="00557E24" w:rsidRDefault="00C64220" w:rsidP="00C64220">
            <w:pPr>
              <w:spacing w:line="240" w:lineRule="auto"/>
              <w:jc w:val="right"/>
              <w:rPr>
                <w:rFonts w:cs="Arial"/>
                <w:b/>
                <w:lang w:eastAsia="en-AU"/>
              </w:rPr>
            </w:pPr>
            <w:r>
              <w:rPr>
                <w:rFonts w:cs="Arial"/>
                <w:b/>
                <w:bCs/>
              </w:rPr>
              <w:t>9</w:t>
            </w:r>
          </w:p>
        </w:tc>
        <w:tc>
          <w:tcPr>
            <w:tcW w:w="784" w:type="dxa"/>
            <w:tcBorders>
              <w:top w:val="single" w:sz="4" w:space="0" w:color="auto"/>
              <w:left w:val="nil"/>
              <w:bottom w:val="single" w:sz="4" w:space="0" w:color="auto"/>
              <w:right w:val="single" w:sz="4" w:space="0" w:color="auto"/>
            </w:tcBorders>
            <w:vAlign w:val="center"/>
          </w:tcPr>
          <w:p w14:paraId="05E4508F" w14:textId="6D68DDC6" w:rsidR="00C64220" w:rsidRPr="00557E24" w:rsidRDefault="00C64220" w:rsidP="00C64220">
            <w:pPr>
              <w:spacing w:line="240" w:lineRule="auto"/>
              <w:jc w:val="right"/>
              <w:rPr>
                <w:rFonts w:cs="Arial"/>
                <w:b/>
                <w:lang w:eastAsia="en-AU"/>
              </w:rPr>
            </w:pPr>
            <w:r>
              <w:rPr>
                <w:rFonts w:cs="Arial"/>
                <w:b/>
                <w:bCs/>
              </w:rPr>
              <w:t>1</w:t>
            </w:r>
          </w:p>
        </w:tc>
        <w:tc>
          <w:tcPr>
            <w:tcW w:w="784" w:type="dxa"/>
            <w:tcBorders>
              <w:top w:val="single" w:sz="4" w:space="0" w:color="auto"/>
              <w:left w:val="nil"/>
              <w:bottom w:val="single" w:sz="4" w:space="0" w:color="auto"/>
              <w:right w:val="single" w:sz="4" w:space="0" w:color="auto"/>
            </w:tcBorders>
            <w:vAlign w:val="center"/>
          </w:tcPr>
          <w:p w14:paraId="22F31EFF" w14:textId="784D949A" w:rsidR="00C64220" w:rsidRPr="0094558B" w:rsidRDefault="00C64220" w:rsidP="00C64220">
            <w:pPr>
              <w:spacing w:line="240" w:lineRule="auto"/>
              <w:jc w:val="right"/>
              <w:rPr>
                <w:rFonts w:cs="Arial"/>
                <w:b/>
                <w:lang w:eastAsia="en-AU"/>
              </w:rPr>
            </w:pPr>
            <w:r>
              <w:rPr>
                <w:rFonts w:cs="Arial"/>
                <w:b/>
                <w:bCs/>
              </w:rPr>
              <w:t>5</w:t>
            </w:r>
            <w:r w:rsidR="00035B6E">
              <w:rPr>
                <w:rFonts w:cs="Arial"/>
                <w:b/>
                <w:bCs/>
              </w:rPr>
              <w:t>2</w:t>
            </w:r>
          </w:p>
        </w:tc>
      </w:tr>
    </w:tbl>
    <w:p w14:paraId="5BED135A" w14:textId="0E7B4F66" w:rsidR="001748A5" w:rsidRDefault="001748A5" w:rsidP="001748A5">
      <w:pPr>
        <w:ind w:left="-142" w:right="-425"/>
        <w:jc w:val="both"/>
        <w:rPr>
          <w:rFonts w:cs="Arial"/>
          <w:noProof/>
          <w:lang w:eastAsia="en-AU"/>
        </w:rPr>
      </w:pPr>
    </w:p>
    <w:p w14:paraId="0F1BCE74" w14:textId="77777777" w:rsidR="00C83A7B" w:rsidRDefault="00C83A7B">
      <w:pPr>
        <w:spacing w:line="240" w:lineRule="auto"/>
        <w:rPr>
          <w:b/>
          <w:sz w:val="16"/>
          <w:szCs w:val="16"/>
        </w:rPr>
      </w:pPr>
      <w:r>
        <w:rPr>
          <w:b/>
          <w:sz w:val="16"/>
          <w:szCs w:val="16"/>
        </w:rPr>
        <w:br w:type="page"/>
      </w:r>
    </w:p>
    <w:p w14:paraId="17CBBA45" w14:textId="6C22D394" w:rsidR="00BA361D" w:rsidRPr="00BA361D" w:rsidRDefault="00BA361D" w:rsidP="00BA361D">
      <w:pPr>
        <w:spacing w:after="120" w:line="240" w:lineRule="auto"/>
        <w:ind w:left="794" w:hanging="794"/>
        <w:rPr>
          <w:sz w:val="16"/>
          <w:szCs w:val="16"/>
        </w:rPr>
      </w:pPr>
      <w:r w:rsidRPr="006C6A65">
        <w:rPr>
          <w:b/>
          <w:sz w:val="16"/>
          <w:szCs w:val="16"/>
        </w:rPr>
        <w:lastRenderedPageBreak/>
        <w:t xml:space="preserve">Table </w:t>
      </w:r>
      <w:r w:rsidR="00B03744">
        <w:rPr>
          <w:b/>
          <w:sz w:val="16"/>
          <w:szCs w:val="16"/>
        </w:rPr>
        <w:t>1</w:t>
      </w:r>
      <w:r w:rsidR="00C83A7B">
        <w:rPr>
          <w:b/>
          <w:sz w:val="16"/>
          <w:szCs w:val="16"/>
        </w:rPr>
        <w:t>6</w:t>
      </w:r>
      <w:r w:rsidRPr="006C6A65">
        <w:rPr>
          <w:b/>
          <w:sz w:val="16"/>
          <w:szCs w:val="16"/>
        </w:rPr>
        <w:t>:</w:t>
      </w:r>
      <w:r w:rsidRPr="006C6A65">
        <w:rPr>
          <w:sz w:val="16"/>
          <w:szCs w:val="16"/>
        </w:rPr>
        <w:t xml:space="preserve"> </w:t>
      </w:r>
      <w:r>
        <w:rPr>
          <w:rFonts w:cs="Arial"/>
          <w:sz w:val="16"/>
          <w:szCs w:val="16"/>
        </w:rPr>
        <w:t>Domestic violence c</w:t>
      </w:r>
      <w:r w:rsidRPr="00122C57">
        <w:rPr>
          <w:rFonts w:cs="Arial"/>
          <w:sz w:val="16"/>
          <w:szCs w:val="16"/>
        </w:rPr>
        <w:t xml:space="preserve">onferences by </w:t>
      </w:r>
      <w:r>
        <w:rPr>
          <w:rFonts w:cs="Arial"/>
          <w:sz w:val="16"/>
          <w:szCs w:val="16"/>
        </w:rPr>
        <w:t>type</w:t>
      </w:r>
      <w:r w:rsidRPr="00122C57">
        <w:rPr>
          <w:rFonts w:cs="Arial"/>
          <w:sz w:val="16"/>
          <w:szCs w:val="16"/>
        </w:rPr>
        <w:t xml:space="preserve"> and quarter </w:t>
      </w:r>
      <w:r w:rsidR="00F83C14">
        <w:rPr>
          <w:rFonts w:cs="Arial"/>
          <w:sz w:val="16"/>
          <w:szCs w:val="16"/>
        </w:rPr>
        <w:t xml:space="preserve">1 </w:t>
      </w:r>
      <w:r w:rsidR="00A40B8D">
        <w:rPr>
          <w:rFonts w:cs="Arial"/>
          <w:sz w:val="16"/>
          <w:szCs w:val="16"/>
        </w:rPr>
        <w:t xml:space="preserve">October </w:t>
      </w:r>
      <w:r>
        <w:rPr>
          <w:rFonts w:cs="Arial"/>
          <w:sz w:val="16"/>
          <w:szCs w:val="16"/>
        </w:rPr>
        <w:t xml:space="preserve">2020 to </w:t>
      </w:r>
      <w:r w:rsidR="00F83C14">
        <w:rPr>
          <w:rFonts w:cs="Arial"/>
          <w:sz w:val="16"/>
          <w:szCs w:val="16"/>
        </w:rPr>
        <w:t>3</w:t>
      </w:r>
      <w:r w:rsidR="00A40B8D">
        <w:rPr>
          <w:rFonts w:cs="Arial"/>
          <w:sz w:val="16"/>
          <w:szCs w:val="16"/>
        </w:rPr>
        <w:t xml:space="preserve">1 December </w:t>
      </w:r>
      <w:r>
        <w:rPr>
          <w:rFonts w:cs="Arial"/>
          <w:sz w:val="16"/>
          <w:szCs w:val="16"/>
        </w:rPr>
        <w:t>2021</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0C0A83" w:rsidRPr="00650B45" w14:paraId="4E475097" w14:textId="77777777" w:rsidTr="00CE6F8C">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3366C94A" w14:textId="77777777" w:rsidR="000C0A83" w:rsidRPr="0040594D" w:rsidRDefault="000C0A83" w:rsidP="000C0A83">
            <w:pPr>
              <w:spacing w:line="240" w:lineRule="auto"/>
              <w:rPr>
                <w:rFonts w:cs="Arial"/>
                <w:b/>
                <w:bCs/>
                <w:lang w:eastAsia="en-AU"/>
              </w:rPr>
            </w:pPr>
            <w:r>
              <w:rPr>
                <w:rFonts w:cs="Arial"/>
                <w:b/>
                <w:bCs/>
                <w:lang w:eastAsia="en-AU"/>
              </w:rPr>
              <w:t>Number of Domestic Violence Conferences</w:t>
            </w:r>
          </w:p>
        </w:tc>
        <w:tc>
          <w:tcPr>
            <w:tcW w:w="784" w:type="dxa"/>
            <w:tcBorders>
              <w:top w:val="single" w:sz="4" w:space="0" w:color="auto"/>
              <w:left w:val="nil"/>
              <w:bottom w:val="single" w:sz="4" w:space="0" w:color="auto"/>
              <w:right w:val="single" w:sz="4" w:space="0" w:color="auto"/>
            </w:tcBorders>
            <w:shd w:val="clear" w:color="auto" w:fill="auto"/>
            <w:hideMark/>
          </w:tcPr>
          <w:p w14:paraId="0944EA43" w14:textId="61022E0C" w:rsidR="000C0A83" w:rsidRPr="0040594D" w:rsidRDefault="000C0A83" w:rsidP="000C0A83">
            <w:pPr>
              <w:spacing w:line="240" w:lineRule="auto"/>
              <w:jc w:val="right"/>
              <w:rPr>
                <w:rFonts w:cs="Arial"/>
                <w:b/>
                <w:bCs/>
                <w:lang w:eastAsia="en-AU"/>
              </w:rPr>
            </w:pPr>
            <w:r>
              <w:rPr>
                <w:b/>
                <w:lang w:eastAsia="en-AU"/>
              </w:rPr>
              <w:t>Qtr 50</w:t>
            </w:r>
          </w:p>
        </w:tc>
        <w:tc>
          <w:tcPr>
            <w:tcW w:w="784" w:type="dxa"/>
            <w:tcBorders>
              <w:top w:val="single" w:sz="4" w:space="0" w:color="auto"/>
              <w:left w:val="nil"/>
              <w:bottom w:val="single" w:sz="4" w:space="0" w:color="auto"/>
              <w:right w:val="single" w:sz="4" w:space="0" w:color="auto"/>
            </w:tcBorders>
            <w:shd w:val="clear" w:color="auto" w:fill="auto"/>
            <w:hideMark/>
          </w:tcPr>
          <w:p w14:paraId="33DBBFAB" w14:textId="35777989" w:rsidR="000C0A83" w:rsidRPr="0040594D" w:rsidRDefault="000C0A83" w:rsidP="000C0A83">
            <w:pPr>
              <w:spacing w:line="240" w:lineRule="auto"/>
              <w:jc w:val="right"/>
              <w:rPr>
                <w:rFonts w:cs="Arial"/>
                <w:b/>
                <w:bCs/>
                <w:lang w:eastAsia="en-AU"/>
              </w:rPr>
            </w:pPr>
            <w:r>
              <w:rPr>
                <w:b/>
                <w:lang w:eastAsia="en-AU"/>
              </w:rPr>
              <w:t>Qtr 51</w:t>
            </w:r>
          </w:p>
        </w:tc>
        <w:tc>
          <w:tcPr>
            <w:tcW w:w="784" w:type="dxa"/>
            <w:tcBorders>
              <w:top w:val="single" w:sz="4" w:space="0" w:color="auto"/>
              <w:left w:val="nil"/>
              <w:bottom w:val="single" w:sz="4" w:space="0" w:color="auto"/>
              <w:right w:val="single" w:sz="4" w:space="0" w:color="auto"/>
            </w:tcBorders>
          </w:tcPr>
          <w:p w14:paraId="1054C6DC" w14:textId="5F99DE2E" w:rsidR="000C0A83" w:rsidRPr="0040594D" w:rsidRDefault="000C0A83" w:rsidP="000C0A83">
            <w:pPr>
              <w:spacing w:line="240" w:lineRule="auto"/>
              <w:jc w:val="right"/>
              <w:rPr>
                <w:rFonts w:cs="Arial"/>
                <w:b/>
                <w:bCs/>
                <w:lang w:eastAsia="en-AU"/>
              </w:rPr>
            </w:pPr>
            <w:r>
              <w:rPr>
                <w:b/>
                <w:lang w:eastAsia="en-AU"/>
              </w:rPr>
              <w:t>Qtr 52</w:t>
            </w:r>
          </w:p>
        </w:tc>
        <w:tc>
          <w:tcPr>
            <w:tcW w:w="784" w:type="dxa"/>
            <w:tcBorders>
              <w:top w:val="single" w:sz="4" w:space="0" w:color="auto"/>
              <w:left w:val="nil"/>
              <w:bottom w:val="single" w:sz="4" w:space="0" w:color="auto"/>
              <w:right w:val="single" w:sz="4" w:space="0" w:color="auto"/>
            </w:tcBorders>
          </w:tcPr>
          <w:p w14:paraId="1F5DA131" w14:textId="2CFD46F4" w:rsidR="000C0A83" w:rsidRPr="0040594D" w:rsidRDefault="000C0A83" w:rsidP="000C0A83">
            <w:pPr>
              <w:spacing w:line="240" w:lineRule="auto"/>
              <w:jc w:val="right"/>
              <w:rPr>
                <w:rFonts w:cs="Arial"/>
                <w:b/>
                <w:bCs/>
                <w:lang w:eastAsia="en-AU"/>
              </w:rPr>
            </w:pPr>
            <w:r>
              <w:rPr>
                <w:b/>
                <w:lang w:eastAsia="en-AU"/>
              </w:rPr>
              <w:t>Qtr 53</w:t>
            </w:r>
          </w:p>
        </w:tc>
        <w:tc>
          <w:tcPr>
            <w:tcW w:w="784" w:type="dxa"/>
            <w:tcBorders>
              <w:top w:val="single" w:sz="4" w:space="0" w:color="auto"/>
              <w:left w:val="nil"/>
              <w:bottom w:val="single" w:sz="4" w:space="0" w:color="auto"/>
              <w:right w:val="single" w:sz="4" w:space="0" w:color="auto"/>
            </w:tcBorders>
          </w:tcPr>
          <w:p w14:paraId="65FDA246" w14:textId="342BB863" w:rsidR="000C0A83" w:rsidRPr="0040594D" w:rsidRDefault="000C0A83" w:rsidP="000C0A83">
            <w:pPr>
              <w:spacing w:line="240" w:lineRule="auto"/>
              <w:jc w:val="right"/>
              <w:rPr>
                <w:rFonts w:cs="Arial"/>
                <w:b/>
                <w:bCs/>
                <w:lang w:eastAsia="en-AU"/>
              </w:rPr>
            </w:pPr>
            <w:r>
              <w:rPr>
                <w:b/>
                <w:lang w:eastAsia="en-AU"/>
              </w:rPr>
              <w:t>Qtr 54</w:t>
            </w:r>
          </w:p>
        </w:tc>
      </w:tr>
      <w:tr w:rsidR="00127A30" w:rsidRPr="0094558B" w14:paraId="7D13DCEB" w14:textId="77777777" w:rsidTr="00127A30">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20EB7FAF" w14:textId="77777777" w:rsidR="00127A30" w:rsidRPr="00640E37" w:rsidRDefault="00127A30" w:rsidP="00127A30">
            <w:pPr>
              <w:spacing w:line="240" w:lineRule="auto"/>
              <w:rPr>
                <w:rFonts w:cs="Arial"/>
                <w:bCs/>
                <w:lang w:eastAsia="en-AU"/>
              </w:rPr>
            </w:pPr>
            <w:r>
              <w:t>R</w:t>
            </w:r>
            <w:r w:rsidRPr="00640E37">
              <w:t>elating to both a DVB and a DVO notice</w:t>
            </w:r>
          </w:p>
        </w:tc>
        <w:tc>
          <w:tcPr>
            <w:tcW w:w="784" w:type="dxa"/>
            <w:tcBorders>
              <w:top w:val="single" w:sz="4" w:space="0" w:color="auto"/>
              <w:left w:val="nil"/>
              <w:bottom w:val="single" w:sz="4" w:space="0" w:color="auto"/>
              <w:right w:val="single" w:sz="4" w:space="0" w:color="auto"/>
            </w:tcBorders>
            <w:shd w:val="clear" w:color="auto" w:fill="auto"/>
            <w:vAlign w:val="bottom"/>
          </w:tcPr>
          <w:p w14:paraId="058E135A" w14:textId="5836BC70" w:rsidR="00127A30" w:rsidRPr="00BF08AE" w:rsidRDefault="00127A30" w:rsidP="00127A30">
            <w:pPr>
              <w:spacing w:line="240" w:lineRule="auto"/>
              <w:jc w:val="right"/>
              <w:rPr>
                <w:rFonts w:cs="Arial"/>
                <w:bCs/>
                <w:lang w:eastAsia="en-AU"/>
              </w:rPr>
            </w:pPr>
            <w:r w:rsidRPr="00BF08AE">
              <w:rPr>
                <w:rFonts w:cs="Arial"/>
              </w:rPr>
              <w:t>2</w:t>
            </w:r>
          </w:p>
        </w:tc>
        <w:tc>
          <w:tcPr>
            <w:tcW w:w="784" w:type="dxa"/>
            <w:tcBorders>
              <w:top w:val="single" w:sz="4" w:space="0" w:color="auto"/>
              <w:left w:val="nil"/>
              <w:bottom w:val="single" w:sz="4" w:space="0" w:color="auto"/>
              <w:right w:val="single" w:sz="4" w:space="0" w:color="auto"/>
            </w:tcBorders>
            <w:shd w:val="clear" w:color="auto" w:fill="auto"/>
            <w:vAlign w:val="bottom"/>
          </w:tcPr>
          <w:p w14:paraId="36890EB4" w14:textId="4A7A256E" w:rsidR="00127A30" w:rsidRPr="00BF08AE" w:rsidRDefault="00127A30" w:rsidP="00127A30">
            <w:pPr>
              <w:spacing w:line="240" w:lineRule="auto"/>
              <w:jc w:val="right"/>
              <w:rPr>
                <w:rFonts w:cs="Arial"/>
                <w:bCs/>
                <w:lang w:eastAsia="en-AU"/>
              </w:rPr>
            </w:pPr>
            <w:r w:rsidRPr="00BF08AE">
              <w:rPr>
                <w:rFonts w:cs="Arial"/>
              </w:rPr>
              <w:t>3</w:t>
            </w:r>
          </w:p>
        </w:tc>
        <w:tc>
          <w:tcPr>
            <w:tcW w:w="784" w:type="dxa"/>
            <w:tcBorders>
              <w:top w:val="single" w:sz="4" w:space="0" w:color="auto"/>
              <w:left w:val="nil"/>
              <w:bottom w:val="single" w:sz="4" w:space="0" w:color="auto"/>
              <w:right w:val="single" w:sz="4" w:space="0" w:color="auto"/>
            </w:tcBorders>
            <w:vAlign w:val="bottom"/>
          </w:tcPr>
          <w:p w14:paraId="4305F345" w14:textId="1310C7FB" w:rsidR="00127A30" w:rsidRPr="00BF08AE" w:rsidRDefault="00127A30" w:rsidP="00127A30">
            <w:pPr>
              <w:spacing w:line="240" w:lineRule="auto"/>
              <w:jc w:val="right"/>
              <w:rPr>
                <w:rFonts w:cs="Arial"/>
                <w:bCs/>
                <w:lang w:eastAsia="en-AU"/>
              </w:rPr>
            </w:pPr>
            <w:r w:rsidRPr="008B37CC">
              <w:rPr>
                <w:rFonts w:cs="Arial"/>
              </w:rPr>
              <w:t>2</w:t>
            </w:r>
          </w:p>
        </w:tc>
        <w:tc>
          <w:tcPr>
            <w:tcW w:w="784" w:type="dxa"/>
            <w:tcBorders>
              <w:top w:val="single" w:sz="4" w:space="0" w:color="auto"/>
              <w:left w:val="nil"/>
              <w:bottom w:val="single" w:sz="4" w:space="0" w:color="auto"/>
              <w:right w:val="single" w:sz="4" w:space="0" w:color="auto"/>
            </w:tcBorders>
            <w:vAlign w:val="bottom"/>
          </w:tcPr>
          <w:p w14:paraId="56527CC6" w14:textId="4B9D6EF3" w:rsidR="00127A30" w:rsidRPr="00BF08AE" w:rsidRDefault="00127A30" w:rsidP="00127A30">
            <w:pPr>
              <w:spacing w:line="240" w:lineRule="auto"/>
              <w:jc w:val="right"/>
              <w:rPr>
                <w:rFonts w:cs="Arial"/>
                <w:bCs/>
                <w:lang w:eastAsia="en-AU"/>
              </w:rPr>
            </w:pPr>
            <w:r w:rsidRPr="00A5580C">
              <w:rPr>
                <w:rFonts w:cs="Arial"/>
              </w:rPr>
              <w:t>9</w:t>
            </w:r>
          </w:p>
        </w:tc>
        <w:tc>
          <w:tcPr>
            <w:tcW w:w="784" w:type="dxa"/>
            <w:tcBorders>
              <w:top w:val="single" w:sz="4" w:space="0" w:color="auto"/>
              <w:left w:val="nil"/>
              <w:bottom w:val="single" w:sz="4" w:space="0" w:color="auto"/>
              <w:right w:val="single" w:sz="4" w:space="0" w:color="auto"/>
            </w:tcBorders>
            <w:vAlign w:val="bottom"/>
          </w:tcPr>
          <w:p w14:paraId="3589A88C" w14:textId="4D1C32B6" w:rsidR="00127A30" w:rsidRPr="00127A30" w:rsidRDefault="00127A30" w:rsidP="00127A30">
            <w:pPr>
              <w:spacing w:line="240" w:lineRule="auto"/>
              <w:jc w:val="right"/>
              <w:rPr>
                <w:rFonts w:cs="Arial"/>
                <w:b/>
                <w:bCs/>
                <w:lang w:eastAsia="en-AU"/>
              </w:rPr>
            </w:pPr>
            <w:r w:rsidRPr="00127A30">
              <w:rPr>
                <w:rFonts w:cs="Arial"/>
              </w:rPr>
              <w:t>3</w:t>
            </w:r>
          </w:p>
        </w:tc>
      </w:tr>
      <w:tr w:rsidR="00127A30" w:rsidRPr="00650B45" w14:paraId="72658614" w14:textId="77777777" w:rsidTr="00127A30">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E0F304F" w14:textId="77777777" w:rsidR="00127A30" w:rsidRPr="00640E37" w:rsidRDefault="00127A30" w:rsidP="00127A30">
            <w:pPr>
              <w:spacing w:line="240" w:lineRule="auto"/>
              <w:rPr>
                <w:rFonts w:cs="Arial"/>
                <w:lang w:eastAsia="en-AU"/>
              </w:rPr>
            </w:pPr>
            <w:r>
              <w:t>Relating to a DVB</w:t>
            </w:r>
            <w:r w:rsidRPr="00640E37">
              <w:t xml:space="preserve"> notice</w:t>
            </w:r>
          </w:p>
        </w:tc>
        <w:tc>
          <w:tcPr>
            <w:tcW w:w="784" w:type="dxa"/>
            <w:tcBorders>
              <w:top w:val="nil"/>
              <w:left w:val="nil"/>
              <w:bottom w:val="single" w:sz="4" w:space="0" w:color="auto"/>
              <w:right w:val="single" w:sz="4" w:space="0" w:color="auto"/>
            </w:tcBorders>
            <w:shd w:val="clear" w:color="auto" w:fill="auto"/>
            <w:vAlign w:val="bottom"/>
          </w:tcPr>
          <w:p w14:paraId="27BD3A2A" w14:textId="77C93818" w:rsidR="00127A30" w:rsidRPr="00BF08AE" w:rsidRDefault="00127A30" w:rsidP="00127A30">
            <w:pPr>
              <w:spacing w:line="240" w:lineRule="auto"/>
              <w:jc w:val="right"/>
              <w:rPr>
                <w:rFonts w:cs="Arial"/>
                <w:lang w:eastAsia="en-AU"/>
              </w:rPr>
            </w:pPr>
            <w:r w:rsidRPr="00BF08AE">
              <w:rPr>
                <w:rFonts w:cs="Arial"/>
              </w:rPr>
              <w:t>18</w:t>
            </w:r>
          </w:p>
        </w:tc>
        <w:tc>
          <w:tcPr>
            <w:tcW w:w="784" w:type="dxa"/>
            <w:tcBorders>
              <w:top w:val="nil"/>
              <w:left w:val="nil"/>
              <w:bottom w:val="single" w:sz="4" w:space="0" w:color="auto"/>
              <w:right w:val="single" w:sz="4" w:space="0" w:color="auto"/>
            </w:tcBorders>
            <w:shd w:val="clear" w:color="auto" w:fill="auto"/>
            <w:vAlign w:val="bottom"/>
          </w:tcPr>
          <w:p w14:paraId="216D33A7" w14:textId="46060E8E" w:rsidR="00127A30" w:rsidRPr="00BF08AE" w:rsidRDefault="00127A30" w:rsidP="00127A30">
            <w:pPr>
              <w:spacing w:line="240" w:lineRule="auto"/>
              <w:jc w:val="right"/>
              <w:rPr>
                <w:rFonts w:cs="Arial"/>
                <w:lang w:eastAsia="en-AU"/>
              </w:rPr>
            </w:pPr>
            <w:r w:rsidRPr="00BF08AE">
              <w:rPr>
                <w:rFonts w:cs="Arial"/>
              </w:rPr>
              <w:t>7</w:t>
            </w:r>
          </w:p>
        </w:tc>
        <w:tc>
          <w:tcPr>
            <w:tcW w:w="784" w:type="dxa"/>
            <w:tcBorders>
              <w:top w:val="nil"/>
              <w:left w:val="nil"/>
              <w:bottom w:val="single" w:sz="4" w:space="0" w:color="auto"/>
              <w:right w:val="single" w:sz="4" w:space="0" w:color="auto"/>
            </w:tcBorders>
            <w:vAlign w:val="bottom"/>
          </w:tcPr>
          <w:p w14:paraId="756351B3" w14:textId="6E129029" w:rsidR="00127A30" w:rsidRPr="00BF08AE" w:rsidRDefault="00127A30" w:rsidP="00127A30">
            <w:pPr>
              <w:spacing w:line="240" w:lineRule="auto"/>
              <w:jc w:val="right"/>
              <w:rPr>
                <w:rFonts w:cs="Arial"/>
                <w:lang w:eastAsia="en-AU"/>
              </w:rPr>
            </w:pPr>
            <w:r w:rsidRPr="008B37CC">
              <w:rPr>
                <w:rFonts w:cs="Arial"/>
              </w:rPr>
              <w:t>18</w:t>
            </w:r>
          </w:p>
        </w:tc>
        <w:tc>
          <w:tcPr>
            <w:tcW w:w="784" w:type="dxa"/>
            <w:tcBorders>
              <w:top w:val="nil"/>
              <w:left w:val="nil"/>
              <w:bottom w:val="single" w:sz="4" w:space="0" w:color="auto"/>
              <w:right w:val="single" w:sz="4" w:space="0" w:color="auto"/>
            </w:tcBorders>
            <w:vAlign w:val="bottom"/>
          </w:tcPr>
          <w:p w14:paraId="7E423D87" w14:textId="592114EE" w:rsidR="00127A30" w:rsidRPr="00BF08AE" w:rsidRDefault="00127A30" w:rsidP="00127A30">
            <w:pPr>
              <w:spacing w:line="240" w:lineRule="auto"/>
              <w:jc w:val="right"/>
              <w:rPr>
                <w:rFonts w:cs="Arial"/>
                <w:lang w:eastAsia="en-AU"/>
              </w:rPr>
            </w:pPr>
            <w:r w:rsidRPr="00A5580C">
              <w:rPr>
                <w:rFonts w:cs="Arial"/>
              </w:rPr>
              <w:t>21</w:t>
            </w:r>
          </w:p>
        </w:tc>
        <w:tc>
          <w:tcPr>
            <w:tcW w:w="784" w:type="dxa"/>
            <w:tcBorders>
              <w:top w:val="nil"/>
              <w:left w:val="nil"/>
              <w:bottom w:val="single" w:sz="4" w:space="0" w:color="auto"/>
              <w:right w:val="single" w:sz="4" w:space="0" w:color="auto"/>
            </w:tcBorders>
            <w:vAlign w:val="bottom"/>
          </w:tcPr>
          <w:p w14:paraId="4E3F6DD6" w14:textId="6C460DBA" w:rsidR="00127A30" w:rsidRPr="00127A30" w:rsidRDefault="00127A30" w:rsidP="00127A30">
            <w:pPr>
              <w:spacing w:line="240" w:lineRule="auto"/>
              <w:jc w:val="right"/>
              <w:rPr>
                <w:rFonts w:cs="Arial"/>
                <w:b/>
                <w:lang w:eastAsia="en-AU"/>
              </w:rPr>
            </w:pPr>
            <w:r w:rsidRPr="00127A30">
              <w:rPr>
                <w:rFonts w:cs="Arial"/>
              </w:rPr>
              <w:t>1</w:t>
            </w:r>
            <w:r w:rsidR="00035B6E">
              <w:rPr>
                <w:rFonts w:cs="Arial"/>
              </w:rPr>
              <w:t>9</w:t>
            </w:r>
          </w:p>
        </w:tc>
      </w:tr>
      <w:tr w:rsidR="00127A30" w:rsidRPr="00650B45" w14:paraId="25B410FB" w14:textId="77777777" w:rsidTr="00127A30">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3BD59737" w14:textId="77777777" w:rsidR="00127A30" w:rsidRPr="00640E37" w:rsidRDefault="00127A30" w:rsidP="00127A30">
            <w:pPr>
              <w:spacing w:line="240" w:lineRule="auto"/>
              <w:rPr>
                <w:rFonts w:cs="Arial"/>
              </w:rPr>
            </w:pPr>
            <w:r>
              <w:t>Relating to a DVO</w:t>
            </w:r>
            <w:r w:rsidRPr="00640E37">
              <w:t xml:space="preserve"> notice</w:t>
            </w:r>
          </w:p>
        </w:tc>
        <w:tc>
          <w:tcPr>
            <w:tcW w:w="784" w:type="dxa"/>
            <w:tcBorders>
              <w:top w:val="nil"/>
              <w:left w:val="nil"/>
              <w:bottom w:val="single" w:sz="4" w:space="0" w:color="auto"/>
              <w:right w:val="single" w:sz="4" w:space="0" w:color="auto"/>
            </w:tcBorders>
            <w:shd w:val="clear" w:color="auto" w:fill="auto"/>
            <w:vAlign w:val="bottom"/>
          </w:tcPr>
          <w:p w14:paraId="0C16ECD4" w14:textId="0659F21E" w:rsidR="00127A30" w:rsidRPr="00BF08AE" w:rsidRDefault="00127A30" w:rsidP="00127A30">
            <w:pPr>
              <w:spacing w:line="240" w:lineRule="auto"/>
              <w:jc w:val="right"/>
              <w:rPr>
                <w:rFonts w:cs="Arial"/>
                <w:lang w:eastAsia="en-AU"/>
              </w:rPr>
            </w:pPr>
            <w:r w:rsidRPr="00BF08AE">
              <w:rPr>
                <w:rFonts w:cs="Arial"/>
              </w:rPr>
              <w:t>31</w:t>
            </w:r>
          </w:p>
        </w:tc>
        <w:tc>
          <w:tcPr>
            <w:tcW w:w="784" w:type="dxa"/>
            <w:tcBorders>
              <w:top w:val="nil"/>
              <w:left w:val="nil"/>
              <w:bottom w:val="single" w:sz="4" w:space="0" w:color="auto"/>
              <w:right w:val="single" w:sz="4" w:space="0" w:color="auto"/>
            </w:tcBorders>
            <w:shd w:val="clear" w:color="auto" w:fill="auto"/>
            <w:vAlign w:val="bottom"/>
          </w:tcPr>
          <w:p w14:paraId="66883E4E" w14:textId="6F2C4AC3" w:rsidR="00127A30" w:rsidRPr="00BF08AE" w:rsidRDefault="00127A30" w:rsidP="00127A30">
            <w:pPr>
              <w:spacing w:line="240" w:lineRule="auto"/>
              <w:jc w:val="right"/>
              <w:rPr>
                <w:rFonts w:cs="Arial"/>
                <w:lang w:eastAsia="en-AU"/>
              </w:rPr>
            </w:pPr>
            <w:r w:rsidRPr="00BF08AE">
              <w:rPr>
                <w:rFonts w:cs="Arial"/>
              </w:rPr>
              <w:t>58</w:t>
            </w:r>
          </w:p>
        </w:tc>
        <w:tc>
          <w:tcPr>
            <w:tcW w:w="784" w:type="dxa"/>
            <w:tcBorders>
              <w:top w:val="nil"/>
              <w:left w:val="nil"/>
              <w:bottom w:val="single" w:sz="4" w:space="0" w:color="auto"/>
              <w:right w:val="single" w:sz="4" w:space="0" w:color="auto"/>
            </w:tcBorders>
            <w:vAlign w:val="bottom"/>
          </w:tcPr>
          <w:p w14:paraId="13CB2682" w14:textId="6D3E099B" w:rsidR="00127A30" w:rsidRPr="00BF08AE" w:rsidRDefault="00127A30" w:rsidP="00127A30">
            <w:pPr>
              <w:spacing w:line="240" w:lineRule="auto"/>
              <w:jc w:val="right"/>
              <w:rPr>
                <w:rFonts w:cs="Arial"/>
                <w:lang w:eastAsia="en-AU"/>
              </w:rPr>
            </w:pPr>
            <w:r w:rsidRPr="008B37CC">
              <w:rPr>
                <w:rFonts w:cs="Arial"/>
              </w:rPr>
              <w:t>34</w:t>
            </w:r>
          </w:p>
        </w:tc>
        <w:tc>
          <w:tcPr>
            <w:tcW w:w="784" w:type="dxa"/>
            <w:tcBorders>
              <w:top w:val="nil"/>
              <w:left w:val="nil"/>
              <w:bottom w:val="single" w:sz="4" w:space="0" w:color="auto"/>
              <w:right w:val="single" w:sz="4" w:space="0" w:color="auto"/>
            </w:tcBorders>
            <w:vAlign w:val="bottom"/>
          </w:tcPr>
          <w:p w14:paraId="7390F97A" w14:textId="1CECE834" w:rsidR="00127A30" w:rsidRPr="00BF08AE" w:rsidRDefault="00127A30" w:rsidP="00127A30">
            <w:pPr>
              <w:spacing w:line="240" w:lineRule="auto"/>
              <w:jc w:val="right"/>
              <w:rPr>
                <w:rFonts w:cs="Arial"/>
                <w:lang w:eastAsia="en-AU"/>
              </w:rPr>
            </w:pPr>
            <w:r w:rsidRPr="00A5580C">
              <w:rPr>
                <w:rFonts w:cs="Arial"/>
              </w:rPr>
              <w:t>42</w:t>
            </w:r>
          </w:p>
        </w:tc>
        <w:tc>
          <w:tcPr>
            <w:tcW w:w="784" w:type="dxa"/>
            <w:tcBorders>
              <w:top w:val="nil"/>
              <w:left w:val="nil"/>
              <w:bottom w:val="single" w:sz="4" w:space="0" w:color="auto"/>
              <w:right w:val="single" w:sz="4" w:space="0" w:color="auto"/>
            </w:tcBorders>
            <w:vAlign w:val="bottom"/>
          </w:tcPr>
          <w:p w14:paraId="1BBFBCA0" w14:textId="10D21D76" w:rsidR="00127A30" w:rsidRPr="00127A30" w:rsidRDefault="00127A30" w:rsidP="00127A30">
            <w:pPr>
              <w:spacing w:line="240" w:lineRule="auto"/>
              <w:jc w:val="right"/>
              <w:rPr>
                <w:rFonts w:cs="Arial"/>
                <w:b/>
                <w:lang w:eastAsia="en-AU"/>
              </w:rPr>
            </w:pPr>
            <w:r w:rsidRPr="00127A30">
              <w:rPr>
                <w:rFonts w:cs="Arial"/>
              </w:rPr>
              <w:t>30</w:t>
            </w:r>
          </w:p>
        </w:tc>
      </w:tr>
      <w:tr w:rsidR="00127A30" w:rsidRPr="00557E24" w14:paraId="6DD4ED1F" w14:textId="77777777" w:rsidTr="00127A30">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FC3245" w14:textId="77777777" w:rsidR="00127A30" w:rsidRPr="00557E24" w:rsidRDefault="00127A30" w:rsidP="00127A30">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vAlign w:val="bottom"/>
          </w:tcPr>
          <w:p w14:paraId="712146AC" w14:textId="359E54B3" w:rsidR="00127A30" w:rsidRPr="00BF08AE" w:rsidRDefault="00127A30" w:rsidP="00127A30">
            <w:pPr>
              <w:spacing w:line="240" w:lineRule="auto"/>
              <w:jc w:val="right"/>
              <w:rPr>
                <w:rFonts w:cs="Arial"/>
                <w:b/>
                <w:lang w:eastAsia="en-AU"/>
              </w:rPr>
            </w:pPr>
            <w:r w:rsidRPr="00BF08AE">
              <w:rPr>
                <w:rFonts w:cs="Arial"/>
                <w:b/>
                <w:bCs/>
              </w:rPr>
              <w:t>51</w:t>
            </w:r>
          </w:p>
        </w:tc>
        <w:tc>
          <w:tcPr>
            <w:tcW w:w="784" w:type="dxa"/>
            <w:tcBorders>
              <w:top w:val="single" w:sz="4" w:space="0" w:color="auto"/>
              <w:left w:val="nil"/>
              <w:bottom w:val="single" w:sz="4" w:space="0" w:color="auto"/>
              <w:right w:val="single" w:sz="4" w:space="0" w:color="auto"/>
            </w:tcBorders>
            <w:shd w:val="clear" w:color="auto" w:fill="auto"/>
            <w:vAlign w:val="bottom"/>
          </w:tcPr>
          <w:p w14:paraId="24A12AE0" w14:textId="057C25F0" w:rsidR="00127A30" w:rsidRPr="00BF08AE" w:rsidRDefault="00127A30" w:rsidP="00127A30">
            <w:pPr>
              <w:spacing w:line="240" w:lineRule="auto"/>
              <w:jc w:val="right"/>
              <w:rPr>
                <w:rFonts w:cs="Arial"/>
                <w:b/>
                <w:lang w:eastAsia="en-AU"/>
              </w:rPr>
            </w:pPr>
            <w:r w:rsidRPr="00BF08AE">
              <w:rPr>
                <w:rFonts w:cs="Arial"/>
                <w:b/>
                <w:bCs/>
              </w:rPr>
              <w:t>68</w:t>
            </w:r>
          </w:p>
        </w:tc>
        <w:tc>
          <w:tcPr>
            <w:tcW w:w="784" w:type="dxa"/>
            <w:tcBorders>
              <w:top w:val="single" w:sz="4" w:space="0" w:color="auto"/>
              <w:left w:val="nil"/>
              <w:bottom w:val="single" w:sz="4" w:space="0" w:color="auto"/>
              <w:right w:val="single" w:sz="4" w:space="0" w:color="auto"/>
            </w:tcBorders>
            <w:vAlign w:val="bottom"/>
          </w:tcPr>
          <w:p w14:paraId="55F6868D" w14:textId="43EE908B" w:rsidR="00127A30" w:rsidRPr="00BF08AE" w:rsidRDefault="00127A30" w:rsidP="00127A30">
            <w:pPr>
              <w:spacing w:line="240" w:lineRule="auto"/>
              <w:jc w:val="right"/>
              <w:rPr>
                <w:rFonts w:cs="Arial"/>
                <w:b/>
                <w:lang w:eastAsia="en-AU"/>
              </w:rPr>
            </w:pPr>
            <w:r w:rsidRPr="008B37CC">
              <w:rPr>
                <w:rFonts w:cs="Arial"/>
                <w:b/>
                <w:bCs/>
              </w:rPr>
              <w:t>54</w:t>
            </w:r>
          </w:p>
        </w:tc>
        <w:tc>
          <w:tcPr>
            <w:tcW w:w="784" w:type="dxa"/>
            <w:tcBorders>
              <w:top w:val="single" w:sz="4" w:space="0" w:color="auto"/>
              <w:left w:val="nil"/>
              <w:bottom w:val="single" w:sz="4" w:space="0" w:color="auto"/>
              <w:right w:val="single" w:sz="4" w:space="0" w:color="auto"/>
            </w:tcBorders>
            <w:vAlign w:val="bottom"/>
          </w:tcPr>
          <w:p w14:paraId="6D94AB62" w14:textId="5ED7033F" w:rsidR="00127A30" w:rsidRPr="00BF08AE" w:rsidRDefault="00127A30" w:rsidP="00127A30">
            <w:pPr>
              <w:spacing w:line="240" w:lineRule="auto"/>
              <w:jc w:val="right"/>
              <w:rPr>
                <w:rFonts w:cs="Arial"/>
                <w:b/>
                <w:lang w:eastAsia="en-AU"/>
              </w:rPr>
            </w:pPr>
            <w:r w:rsidRPr="00A5580C">
              <w:rPr>
                <w:rFonts w:cs="Arial"/>
                <w:b/>
                <w:bCs/>
              </w:rPr>
              <w:t>72</w:t>
            </w:r>
          </w:p>
        </w:tc>
        <w:tc>
          <w:tcPr>
            <w:tcW w:w="784" w:type="dxa"/>
            <w:tcBorders>
              <w:top w:val="single" w:sz="4" w:space="0" w:color="auto"/>
              <w:left w:val="nil"/>
              <w:bottom w:val="single" w:sz="4" w:space="0" w:color="auto"/>
              <w:right w:val="single" w:sz="4" w:space="0" w:color="auto"/>
            </w:tcBorders>
            <w:vAlign w:val="bottom"/>
          </w:tcPr>
          <w:p w14:paraId="7B7FB879" w14:textId="56897F98" w:rsidR="00127A30" w:rsidRPr="00127A30" w:rsidRDefault="00127A30" w:rsidP="00127A30">
            <w:pPr>
              <w:spacing w:line="240" w:lineRule="auto"/>
              <w:jc w:val="right"/>
              <w:rPr>
                <w:rFonts w:cs="Arial"/>
                <w:b/>
                <w:bCs/>
                <w:lang w:eastAsia="en-AU"/>
              </w:rPr>
            </w:pPr>
            <w:r w:rsidRPr="00127A30">
              <w:rPr>
                <w:rFonts w:cs="Arial"/>
                <w:b/>
                <w:bCs/>
              </w:rPr>
              <w:t>5</w:t>
            </w:r>
            <w:r w:rsidR="00035B6E">
              <w:rPr>
                <w:rFonts w:cs="Arial"/>
                <w:b/>
                <w:bCs/>
              </w:rPr>
              <w:t>2</w:t>
            </w:r>
          </w:p>
        </w:tc>
      </w:tr>
    </w:tbl>
    <w:p w14:paraId="19D7B370" w14:textId="18EEF851" w:rsidR="006F3C25" w:rsidRDefault="006F3C25" w:rsidP="00DD1B0A">
      <w:pPr>
        <w:ind w:left="-142" w:right="-425"/>
        <w:jc w:val="both"/>
        <w:rPr>
          <w:rFonts w:cs="Arial"/>
        </w:rPr>
      </w:pPr>
    </w:p>
    <w:p w14:paraId="7BAE3B75" w14:textId="7C598C1A" w:rsidR="005A5B78" w:rsidRPr="002D4651" w:rsidRDefault="005A5B78" w:rsidP="00D51DFA">
      <w:pPr>
        <w:pStyle w:val="Heading2"/>
      </w:pPr>
      <w:r w:rsidRPr="002D4651">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427710F4" w:rsidR="00C872F0" w:rsidRDefault="006F3F88" w:rsidP="00964A63">
      <w:pPr>
        <w:ind w:left="-142" w:right="-425"/>
        <w:jc w:val="both"/>
        <w:rPr>
          <w:rFonts w:cs="Arial"/>
        </w:rPr>
      </w:pPr>
      <w:r>
        <w:rPr>
          <w:rFonts w:cs="Arial"/>
        </w:rPr>
        <w:t xml:space="preserve">A total of </w:t>
      </w:r>
      <w:r w:rsidR="00B202DB">
        <w:rPr>
          <w:rFonts w:cs="Arial"/>
        </w:rPr>
        <w:t xml:space="preserve">105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B202DB">
        <w:rPr>
          <w:rFonts w:cs="Arial"/>
        </w:rPr>
        <w:t>91</w:t>
      </w:r>
      <w:r w:rsidR="00B202DB" w:rsidRPr="003573E3">
        <w:rPr>
          <w:rFonts w:cs="Arial"/>
        </w:rPr>
        <w:t xml:space="preserve"> </w:t>
      </w:r>
      <w:r w:rsidR="001E5AFF" w:rsidRPr="003573E3">
        <w:rPr>
          <w:rFonts w:cs="Arial"/>
        </w:rPr>
        <w:t xml:space="preserve">clients </w:t>
      </w:r>
      <w:r>
        <w:rPr>
          <w:rFonts w:cs="Arial"/>
        </w:rPr>
        <w:t xml:space="preserve">were made in quarter </w:t>
      </w:r>
      <w:r w:rsidR="000C0A83">
        <w:rPr>
          <w:rFonts w:cs="Arial"/>
        </w:rPr>
        <w:t>54</w:t>
      </w:r>
      <w:r>
        <w:rPr>
          <w:rFonts w:cs="Arial"/>
        </w:rPr>
        <w:t>, a</w:t>
      </w:r>
      <w:r w:rsidR="005B235C">
        <w:rPr>
          <w:rFonts w:cs="Arial"/>
        </w:rPr>
        <w:t xml:space="preserve"> decrease </w:t>
      </w:r>
      <w:r w:rsidR="00FE0076" w:rsidRPr="003573E3">
        <w:rPr>
          <w:rFonts w:cs="Arial"/>
        </w:rPr>
        <w:t xml:space="preserve">from </w:t>
      </w:r>
      <w:r w:rsidR="005B235C">
        <w:rPr>
          <w:rFonts w:cs="Arial"/>
        </w:rPr>
        <w:t>157</w:t>
      </w:r>
      <w:r w:rsidR="005B235C" w:rsidRPr="003573E3">
        <w:rPr>
          <w:rFonts w:cs="Arial"/>
        </w:rPr>
        <w:t xml:space="preserve"> </w:t>
      </w:r>
      <w:r>
        <w:rPr>
          <w:rFonts w:cs="Arial"/>
        </w:rPr>
        <w:t xml:space="preserve">referrals </w:t>
      </w:r>
      <w:r w:rsidR="00FE0076" w:rsidRPr="003573E3">
        <w:rPr>
          <w:rFonts w:cs="Arial"/>
        </w:rPr>
        <w:t xml:space="preserve">in </w:t>
      </w:r>
      <w:r w:rsidR="000257CF" w:rsidRPr="003573E3">
        <w:rPr>
          <w:rFonts w:cs="Arial"/>
        </w:rPr>
        <w:t xml:space="preserve">quarter </w:t>
      </w:r>
      <w:r w:rsidR="000C0A83">
        <w:rPr>
          <w:rFonts w:cs="Arial"/>
        </w:rPr>
        <w:t>53</w:t>
      </w:r>
      <w:r w:rsidR="00C66FEE" w:rsidRPr="003573E3">
        <w:rPr>
          <w:rFonts w:cs="Arial"/>
        </w:rPr>
        <w:t xml:space="preserve">. </w:t>
      </w:r>
      <w:r w:rsidR="00633907" w:rsidRPr="003573E3">
        <w:rPr>
          <w:rFonts w:cs="Arial"/>
        </w:rPr>
        <w:t xml:space="preserve">Since </w:t>
      </w:r>
      <w:r w:rsidR="007E6EC6" w:rsidRPr="003573E3">
        <w:rPr>
          <w:rFonts w:cs="Arial"/>
        </w:rPr>
        <w:t>2008</w:t>
      </w:r>
      <w:r w:rsidR="00633907" w:rsidRPr="003573E3">
        <w:rPr>
          <w:rFonts w:cs="Arial"/>
        </w:rPr>
        <w:t xml:space="preserve"> the Commission has referred 1,</w:t>
      </w:r>
      <w:r w:rsidR="009E1EDC">
        <w:rPr>
          <w:rFonts w:cs="Arial"/>
        </w:rPr>
        <w:t>3</w:t>
      </w:r>
      <w:r w:rsidR="005B235C">
        <w:rPr>
          <w:rFonts w:cs="Arial"/>
        </w:rPr>
        <w:t>25</w:t>
      </w:r>
      <w:r w:rsidR="00633907" w:rsidRPr="003573E3">
        <w:rPr>
          <w:rFonts w:cs="Arial"/>
        </w:rPr>
        <w:t xml:space="preserve"> clients</w:t>
      </w:r>
      <w:r w:rsidR="007E6EC6" w:rsidRPr="003573E3">
        <w:rPr>
          <w:rFonts w:cs="Arial"/>
        </w:rPr>
        <w:t xml:space="preserve"> </w:t>
      </w:r>
      <w:r w:rsidR="00EE3BD8" w:rsidRPr="003573E3">
        <w:rPr>
          <w:rFonts w:cs="Arial"/>
        </w:rPr>
        <w:t>(</w:t>
      </w:r>
      <w:r w:rsidR="00CF6A34">
        <w:rPr>
          <w:rFonts w:cs="Arial"/>
        </w:rPr>
        <w:t>6</w:t>
      </w:r>
      <w:r w:rsidR="005B235C">
        <w:rPr>
          <w:rFonts w:cs="Arial"/>
        </w:rPr>
        <w:t>95</w:t>
      </w:r>
      <w:r w:rsidR="00CF6A34" w:rsidRPr="003573E3">
        <w:rPr>
          <w:rFonts w:cs="Arial"/>
        </w:rPr>
        <w:t xml:space="preserve"> </w:t>
      </w:r>
      <w:r w:rsidR="00EE3BD8" w:rsidRPr="003573E3">
        <w:rPr>
          <w:rFonts w:cs="Arial"/>
        </w:rPr>
        <w:t xml:space="preserve">female and </w:t>
      </w:r>
      <w:r w:rsidR="00111D8A">
        <w:rPr>
          <w:rFonts w:cs="Arial"/>
        </w:rPr>
        <w:t>6</w:t>
      </w:r>
      <w:r w:rsidR="005B235C">
        <w:rPr>
          <w:rFonts w:cs="Arial"/>
        </w:rPr>
        <w:t>30</w:t>
      </w:r>
      <w:r w:rsidR="00111D8A" w:rsidRPr="003573E3">
        <w:rPr>
          <w:rFonts w:cs="Arial"/>
        </w:rPr>
        <w:t xml:space="preserve"> </w:t>
      </w:r>
      <w:r w:rsidR="00EE3BD8" w:rsidRPr="003573E3">
        <w:rPr>
          <w:rFonts w:cs="Arial"/>
        </w:rPr>
        <w:t xml:space="preserve">male) </w:t>
      </w:r>
      <w:r w:rsidR="007E6EC6" w:rsidRPr="003573E3">
        <w:rPr>
          <w:rFonts w:cs="Arial"/>
        </w:rPr>
        <w:t>to service providers for assistance</w:t>
      </w:r>
      <w:r w:rsidR="00010BBF">
        <w:rPr>
          <w:rFonts w:cs="Arial"/>
        </w:rPr>
        <w:t xml:space="preserve"> under a </w:t>
      </w:r>
      <w:r w:rsidR="00F20A3E">
        <w:rPr>
          <w:rFonts w:cs="Arial"/>
        </w:rPr>
        <w:t>‘</w:t>
      </w:r>
      <w:r w:rsidR="00010BBF">
        <w:rPr>
          <w:rFonts w:cs="Arial"/>
        </w:rPr>
        <w:t>Family Responsibilities</w:t>
      </w:r>
      <w:r w:rsidR="00F20A3E">
        <w:rPr>
          <w:rFonts w:cs="Arial"/>
        </w:rPr>
        <w:t>’</w:t>
      </w:r>
      <w:r w:rsidR="00010BBF">
        <w:rPr>
          <w:rFonts w:cs="Arial"/>
        </w:rPr>
        <w:t xml:space="preserve"> Agreement or Order</w:t>
      </w:r>
      <w:r w:rsidR="00633907" w:rsidRPr="003573E3">
        <w:rPr>
          <w:rFonts w:cs="Arial"/>
        </w:rPr>
        <w:t xml:space="preserve">. </w:t>
      </w:r>
      <w:r w:rsidR="005A5B78" w:rsidRPr="003573E3">
        <w:rPr>
          <w:rFonts w:cs="Arial"/>
        </w:rPr>
        <w:t>Referrals in the communities</w:t>
      </w:r>
      <w:r w:rsidR="005A5B78" w:rsidRPr="00A27155">
        <w:rPr>
          <w:rFonts w:cs="Arial"/>
        </w:rPr>
        <w:t xml:space="preserve"> </w:t>
      </w:r>
      <w:r w:rsidR="008136E8">
        <w:rPr>
          <w:rFonts w:cs="Arial"/>
        </w:rPr>
        <w:t xml:space="preserve">for </w:t>
      </w:r>
      <w:r w:rsidR="008136E8">
        <w:t>decisions by agreement and order</w:t>
      </w:r>
      <w:r w:rsidR="008136E8">
        <w:rPr>
          <w:rFonts w:cs="Arial"/>
        </w:rPr>
        <w:t xml:space="preserve"> </w:t>
      </w:r>
      <w:r w:rsidR="005A5B78" w:rsidRPr="00A27155">
        <w:rPr>
          <w:rFonts w:cs="Arial"/>
        </w:rPr>
        <w:t xml:space="preserve">during </w:t>
      </w:r>
      <w:r w:rsidR="005A5B78" w:rsidRPr="0040025B">
        <w:rPr>
          <w:rFonts w:cs="Arial"/>
        </w:rPr>
        <w:t xml:space="preserve">the quarter were as follows: Aurukun </w:t>
      </w:r>
      <w:r w:rsidR="006E0855">
        <w:rPr>
          <w:rFonts w:cs="Arial"/>
        </w:rPr>
        <w:t>decreased</w:t>
      </w:r>
      <w:r w:rsidR="006E0855" w:rsidRPr="0040025B">
        <w:rPr>
          <w:rFonts w:cs="Arial"/>
        </w:rPr>
        <w:t xml:space="preserve"> </w:t>
      </w:r>
      <w:r w:rsidR="00A27155" w:rsidRPr="0040025B">
        <w:rPr>
          <w:rFonts w:cs="Arial"/>
        </w:rPr>
        <w:t xml:space="preserve">by </w:t>
      </w:r>
      <w:r w:rsidR="006E0855">
        <w:rPr>
          <w:rFonts w:cs="Arial"/>
        </w:rPr>
        <w:t>37</w:t>
      </w:r>
      <w:r w:rsidR="001E5AFF">
        <w:rPr>
          <w:rFonts w:cs="Arial"/>
        </w:rPr>
        <w:t>,</w:t>
      </w:r>
      <w:r w:rsidR="005A5B78" w:rsidRPr="0040025B">
        <w:rPr>
          <w:rFonts w:cs="Arial"/>
        </w:rPr>
        <w:t xml:space="preserve"> Coen </w:t>
      </w:r>
      <w:r w:rsidR="006E0855">
        <w:rPr>
          <w:rFonts w:cs="Arial"/>
        </w:rPr>
        <w:t xml:space="preserve">increased </w:t>
      </w:r>
      <w:r w:rsidR="00F751CA">
        <w:rPr>
          <w:rFonts w:cs="Arial"/>
        </w:rPr>
        <w:t xml:space="preserve">by </w:t>
      </w:r>
      <w:r w:rsidR="006E0855">
        <w:rPr>
          <w:rFonts w:cs="Arial"/>
        </w:rPr>
        <w:t>4</w:t>
      </w:r>
      <w:r w:rsidR="001E5AFF">
        <w:rPr>
          <w:rFonts w:cs="Arial"/>
        </w:rPr>
        <w:t>,</w:t>
      </w:r>
      <w:r w:rsidR="005A5B78" w:rsidRPr="0040025B">
        <w:rPr>
          <w:rFonts w:cs="Arial"/>
        </w:rPr>
        <w:t xml:space="preserve"> </w:t>
      </w:r>
      <w:r w:rsidR="00CB55CE" w:rsidRPr="0040025B">
        <w:rPr>
          <w:rFonts w:cs="Arial"/>
        </w:rPr>
        <w:t xml:space="preserve">Doomadgee </w:t>
      </w:r>
      <w:r w:rsidR="006E0855">
        <w:rPr>
          <w:rFonts w:cs="Arial"/>
        </w:rPr>
        <w:t xml:space="preserve">decreased </w:t>
      </w:r>
      <w:r w:rsidR="00533727">
        <w:rPr>
          <w:rFonts w:cs="Arial"/>
        </w:rPr>
        <w:t xml:space="preserve">by </w:t>
      </w:r>
      <w:r w:rsidR="006E0855">
        <w:rPr>
          <w:rFonts w:cs="Arial"/>
        </w:rPr>
        <w:t>13</w:t>
      </w:r>
      <w:r w:rsidR="001E5AFF">
        <w:rPr>
          <w:rFonts w:cs="Arial"/>
        </w:rPr>
        <w:t>,</w:t>
      </w:r>
      <w:r w:rsidR="00533727">
        <w:rPr>
          <w:rFonts w:cs="Arial"/>
        </w:rPr>
        <w:t xml:space="preserve"> </w:t>
      </w:r>
      <w:r w:rsidR="003C0891">
        <w:rPr>
          <w:rFonts w:cs="Arial"/>
        </w:rPr>
        <w:t xml:space="preserve">Hope Vale </w:t>
      </w:r>
      <w:r w:rsidR="009E1EDC">
        <w:rPr>
          <w:rFonts w:cs="Arial"/>
        </w:rPr>
        <w:t xml:space="preserve">decreased </w:t>
      </w:r>
      <w:r w:rsidR="00F45AA8">
        <w:rPr>
          <w:rFonts w:cs="Arial"/>
        </w:rPr>
        <w:t xml:space="preserve">by </w:t>
      </w:r>
      <w:r w:rsidR="00844A9F">
        <w:rPr>
          <w:rFonts w:cs="Arial"/>
        </w:rPr>
        <w:t>2</w:t>
      </w:r>
      <w:r w:rsidR="00B0165E">
        <w:rPr>
          <w:rFonts w:cs="Arial"/>
        </w:rPr>
        <w:t xml:space="preserve"> </w:t>
      </w:r>
      <w:r w:rsidR="00604D65">
        <w:rPr>
          <w:rFonts w:cs="Arial"/>
        </w:rPr>
        <w:t xml:space="preserve">and Mossman Gorge </w:t>
      </w:r>
      <w:r w:rsidR="009E1EDC">
        <w:rPr>
          <w:rFonts w:cs="Arial"/>
        </w:rPr>
        <w:t xml:space="preserve">decreased </w:t>
      </w:r>
      <w:r w:rsidR="00F45AA8">
        <w:rPr>
          <w:rFonts w:cs="Arial"/>
        </w:rPr>
        <w:t xml:space="preserve">by </w:t>
      </w:r>
      <w:r w:rsidR="00844A9F">
        <w:rPr>
          <w:rFonts w:cs="Arial"/>
        </w:rPr>
        <w:t>4</w:t>
      </w:r>
      <w:r w:rsidR="00604D65">
        <w:rPr>
          <w:rFonts w:cs="Arial"/>
        </w:rPr>
        <w:t>.</w:t>
      </w:r>
    </w:p>
    <w:p w14:paraId="6CD24830" w14:textId="5A285AB0" w:rsidR="00047D74" w:rsidRDefault="00047D74" w:rsidP="00964A63">
      <w:pPr>
        <w:ind w:left="-142" w:right="-425"/>
        <w:jc w:val="both"/>
        <w:rPr>
          <w:rFonts w:cs="Arial"/>
        </w:rPr>
      </w:pPr>
    </w:p>
    <w:p w14:paraId="06E9ACFC" w14:textId="6B907402" w:rsidR="00047D74" w:rsidRPr="00D925BE" w:rsidRDefault="00047D74" w:rsidP="00047D74">
      <w:pPr>
        <w:pStyle w:val="TableCaption"/>
        <w:spacing w:before="0"/>
        <w:ind w:left="0" w:right="-425"/>
        <w:rPr>
          <w:b/>
          <w:i w:val="0"/>
          <w:sz w:val="16"/>
        </w:rPr>
      </w:pPr>
      <w:r>
        <w:rPr>
          <w:b/>
          <w:i w:val="0"/>
          <w:sz w:val="16"/>
        </w:rPr>
        <w:t>Table 17</w:t>
      </w:r>
      <w:r w:rsidRPr="00F85AA1">
        <w:rPr>
          <w:b/>
          <w:i w:val="0"/>
          <w:sz w:val="16"/>
        </w:rPr>
        <w:t xml:space="preserve">: </w:t>
      </w:r>
      <w:r w:rsidRPr="00F85AA1">
        <w:rPr>
          <w:i w:val="0"/>
          <w:sz w:val="16"/>
        </w:rPr>
        <w:t xml:space="preserve">Referral pathways by referral type and quarter 1 </w:t>
      </w:r>
      <w:r>
        <w:rPr>
          <w:i w:val="0"/>
          <w:sz w:val="16"/>
        </w:rPr>
        <w:t>October 2020 to 31 December 2021</w:t>
      </w:r>
    </w:p>
    <w:tbl>
      <w:tblPr>
        <w:tblW w:w="7133" w:type="dxa"/>
        <w:tblInd w:w="93" w:type="dxa"/>
        <w:tblLook w:val="04A0" w:firstRow="1" w:lastRow="0" w:firstColumn="1" w:lastColumn="0" w:noHBand="0" w:noVBand="1"/>
      </w:tblPr>
      <w:tblGrid>
        <w:gridCol w:w="2029"/>
        <w:gridCol w:w="992"/>
        <w:gridCol w:w="1134"/>
        <w:gridCol w:w="992"/>
        <w:gridCol w:w="993"/>
        <w:gridCol w:w="993"/>
      </w:tblGrid>
      <w:tr w:rsidR="00047D74" w:rsidRPr="00C5395B" w14:paraId="50798E35" w14:textId="39AE8780" w:rsidTr="00047D74">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4D9DE888" w14:textId="77777777" w:rsidR="00047D74" w:rsidRPr="00C5395B" w:rsidRDefault="00047D74" w:rsidP="000B6D24">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043BE1E5" w14:textId="77777777" w:rsidR="00047D74" w:rsidRDefault="00047D74" w:rsidP="000B6D24">
            <w:pPr>
              <w:pStyle w:val="TableText"/>
              <w:jc w:val="right"/>
              <w:rPr>
                <w:b/>
                <w:lang w:eastAsia="en-AU"/>
              </w:rPr>
            </w:pPr>
            <w:r>
              <w:rPr>
                <w:b/>
                <w:lang w:eastAsia="en-AU"/>
              </w:rPr>
              <w:t>Qtr 50</w:t>
            </w:r>
          </w:p>
        </w:tc>
        <w:tc>
          <w:tcPr>
            <w:tcW w:w="1134" w:type="dxa"/>
            <w:tcBorders>
              <w:top w:val="single" w:sz="4" w:space="0" w:color="auto"/>
              <w:left w:val="nil"/>
              <w:bottom w:val="single" w:sz="4" w:space="0" w:color="auto"/>
              <w:right w:val="single" w:sz="4" w:space="0" w:color="auto"/>
            </w:tcBorders>
          </w:tcPr>
          <w:p w14:paraId="0855CE55" w14:textId="77777777" w:rsidR="00047D74" w:rsidRDefault="00047D74" w:rsidP="000B6D24">
            <w:pPr>
              <w:pStyle w:val="TableText"/>
              <w:jc w:val="right"/>
              <w:rPr>
                <w:b/>
                <w:lang w:eastAsia="en-AU"/>
              </w:rPr>
            </w:pPr>
            <w:r>
              <w:rPr>
                <w:b/>
                <w:lang w:eastAsia="en-AU"/>
              </w:rPr>
              <w:t>Qtr 51</w:t>
            </w:r>
          </w:p>
        </w:tc>
        <w:tc>
          <w:tcPr>
            <w:tcW w:w="992" w:type="dxa"/>
            <w:tcBorders>
              <w:top w:val="single" w:sz="4" w:space="0" w:color="auto"/>
              <w:left w:val="nil"/>
              <w:bottom w:val="single" w:sz="4" w:space="0" w:color="auto"/>
              <w:right w:val="single" w:sz="4" w:space="0" w:color="auto"/>
            </w:tcBorders>
          </w:tcPr>
          <w:p w14:paraId="5ED958EF" w14:textId="77777777" w:rsidR="00047D74" w:rsidRDefault="00047D74" w:rsidP="000B6D24">
            <w:pPr>
              <w:pStyle w:val="TableText"/>
              <w:jc w:val="right"/>
              <w:rPr>
                <w:b/>
                <w:lang w:eastAsia="en-AU"/>
              </w:rPr>
            </w:pPr>
            <w:r>
              <w:rPr>
                <w:b/>
                <w:lang w:eastAsia="en-AU"/>
              </w:rPr>
              <w:t>Qtr 52</w:t>
            </w:r>
          </w:p>
        </w:tc>
        <w:tc>
          <w:tcPr>
            <w:tcW w:w="993" w:type="dxa"/>
            <w:tcBorders>
              <w:top w:val="single" w:sz="4" w:space="0" w:color="auto"/>
              <w:left w:val="nil"/>
              <w:bottom w:val="single" w:sz="4" w:space="0" w:color="auto"/>
              <w:right w:val="single" w:sz="4" w:space="0" w:color="auto"/>
            </w:tcBorders>
          </w:tcPr>
          <w:p w14:paraId="5335C2A8" w14:textId="77777777" w:rsidR="00047D74" w:rsidRDefault="00047D74" w:rsidP="000B6D24">
            <w:pPr>
              <w:pStyle w:val="TableText"/>
              <w:jc w:val="right"/>
              <w:rPr>
                <w:b/>
                <w:lang w:eastAsia="en-AU"/>
              </w:rPr>
            </w:pPr>
            <w:r>
              <w:rPr>
                <w:b/>
                <w:lang w:eastAsia="en-AU"/>
              </w:rPr>
              <w:t>Qtr 53</w:t>
            </w:r>
          </w:p>
        </w:tc>
        <w:tc>
          <w:tcPr>
            <w:tcW w:w="993" w:type="dxa"/>
            <w:tcBorders>
              <w:top w:val="single" w:sz="4" w:space="0" w:color="auto"/>
              <w:left w:val="nil"/>
              <w:bottom w:val="single" w:sz="4" w:space="0" w:color="auto"/>
              <w:right w:val="single" w:sz="4" w:space="0" w:color="auto"/>
            </w:tcBorders>
          </w:tcPr>
          <w:p w14:paraId="77910C84" w14:textId="113B2699" w:rsidR="00047D74" w:rsidRDefault="00047D74" w:rsidP="000B6D24">
            <w:pPr>
              <w:pStyle w:val="TableText"/>
              <w:jc w:val="right"/>
              <w:rPr>
                <w:b/>
                <w:lang w:eastAsia="en-AU"/>
              </w:rPr>
            </w:pPr>
            <w:r>
              <w:rPr>
                <w:b/>
                <w:lang w:eastAsia="en-AU"/>
              </w:rPr>
              <w:t>Qtr 54</w:t>
            </w:r>
          </w:p>
        </w:tc>
      </w:tr>
      <w:tr w:rsidR="00047D74" w:rsidRPr="00C5395B" w14:paraId="4A12CD03" w14:textId="129A2E0D" w:rsidTr="00047D74">
        <w:trPr>
          <w:trHeight w:val="255"/>
        </w:trPr>
        <w:tc>
          <w:tcPr>
            <w:tcW w:w="2029" w:type="dxa"/>
            <w:tcBorders>
              <w:top w:val="nil"/>
              <w:left w:val="single" w:sz="4" w:space="0" w:color="auto"/>
              <w:bottom w:val="single" w:sz="4" w:space="0" w:color="auto"/>
              <w:right w:val="single" w:sz="4" w:space="0" w:color="auto"/>
            </w:tcBorders>
            <w:noWrap/>
            <w:hideMark/>
          </w:tcPr>
          <w:p w14:paraId="625165A9" w14:textId="77777777" w:rsidR="00047D74" w:rsidRPr="00C5395B" w:rsidRDefault="00047D74" w:rsidP="000B6D24">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vAlign w:val="bottom"/>
          </w:tcPr>
          <w:p w14:paraId="4C17BC0C" w14:textId="77777777" w:rsidR="00047D74" w:rsidRPr="00AA5933" w:rsidRDefault="00047D74" w:rsidP="000B6D24">
            <w:pPr>
              <w:jc w:val="right"/>
              <w:rPr>
                <w:rFonts w:cs="Arial"/>
              </w:rPr>
            </w:pPr>
            <w:r w:rsidRPr="00DF7212">
              <w:rPr>
                <w:rFonts w:cs="Arial"/>
              </w:rPr>
              <w:t>46</w:t>
            </w:r>
          </w:p>
        </w:tc>
        <w:tc>
          <w:tcPr>
            <w:tcW w:w="1134" w:type="dxa"/>
            <w:tcBorders>
              <w:top w:val="nil"/>
              <w:left w:val="nil"/>
              <w:bottom w:val="single" w:sz="4" w:space="0" w:color="auto"/>
              <w:right w:val="single" w:sz="4" w:space="0" w:color="auto"/>
            </w:tcBorders>
            <w:vAlign w:val="bottom"/>
          </w:tcPr>
          <w:p w14:paraId="4595FD70" w14:textId="77777777" w:rsidR="00047D74" w:rsidRPr="00AA5933" w:rsidRDefault="00047D74" w:rsidP="000B6D24">
            <w:pPr>
              <w:jc w:val="right"/>
              <w:rPr>
                <w:rFonts w:cs="Arial"/>
              </w:rPr>
            </w:pPr>
            <w:r w:rsidRPr="00D35167">
              <w:rPr>
                <w:rFonts w:cs="Arial"/>
              </w:rPr>
              <w:t>99</w:t>
            </w:r>
          </w:p>
        </w:tc>
        <w:tc>
          <w:tcPr>
            <w:tcW w:w="992" w:type="dxa"/>
            <w:tcBorders>
              <w:top w:val="nil"/>
              <w:left w:val="nil"/>
              <w:bottom w:val="single" w:sz="4" w:space="0" w:color="auto"/>
              <w:right w:val="single" w:sz="4" w:space="0" w:color="auto"/>
            </w:tcBorders>
            <w:vAlign w:val="bottom"/>
          </w:tcPr>
          <w:p w14:paraId="26288CCD" w14:textId="77777777" w:rsidR="00047D74" w:rsidRPr="00DF7212" w:rsidRDefault="00047D74" w:rsidP="000B6D24">
            <w:pPr>
              <w:jc w:val="right"/>
              <w:rPr>
                <w:rFonts w:cs="Arial"/>
              </w:rPr>
            </w:pPr>
            <w:r w:rsidRPr="007E5A38">
              <w:rPr>
                <w:rFonts w:cs="Arial"/>
              </w:rPr>
              <w:t>56</w:t>
            </w:r>
          </w:p>
        </w:tc>
        <w:tc>
          <w:tcPr>
            <w:tcW w:w="993" w:type="dxa"/>
            <w:tcBorders>
              <w:top w:val="nil"/>
              <w:left w:val="nil"/>
              <w:bottom w:val="single" w:sz="4" w:space="0" w:color="auto"/>
              <w:right w:val="single" w:sz="4" w:space="0" w:color="auto"/>
            </w:tcBorders>
          </w:tcPr>
          <w:p w14:paraId="7CAE6983" w14:textId="77777777" w:rsidR="00047D74" w:rsidRPr="007E5A38" w:rsidRDefault="00047D74" w:rsidP="000B6D24">
            <w:pPr>
              <w:jc w:val="right"/>
              <w:rPr>
                <w:rFonts w:cs="Arial"/>
              </w:rPr>
            </w:pPr>
            <w:r w:rsidRPr="003069C4">
              <w:rPr>
                <w:rFonts w:cs="Arial"/>
              </w:rPr>
              <w:t>75</w:t>
            </w:r>
          </w:p>
        </w:tc>
        <w:tc>
          <w:tcPr>
            <w:tcW w:w="993" w:type="dxa"/>
            <w:tcBorders>
              <w:top w:val="nil"/>
              <w:left w:val="nil"/>
              <w:bottom w:val="single" w:sz="4" w:space="0" w:color="auto"/>
              <w:right w:val="single" w:sz="4" w:space="0" w:color="auto"/>
            </w:tcBorders>
          </w:tcPr>
          <w:p w14:paraId="3FE55335" w14:textId="4D6843FE" w:rsidR="00047D74" w:rsidRPr="003069C4" w:rsidRDefault="00047D74" w:rsidP="000B6D24">
            <w:pPr>
              <w:jc w:val="right"/>
              <w:rPr>
                <w:rFonts w:cs="Arial"/>
              </w:rPr>
            </w:pPr>
            <w:r>
              <w:rPr>
                <w:rFonts w:cs="Arial"/>
              </w:rPr>
              <w:t>38</w:t>
            </w:r>
          </w:p>
        </w:tc>
      </w:tr>
      <w:tr w:rsidR="00047D74" w:rsidRPr="00C5395B" w14:paraId="6D91B1FB" w14:textId="5BB5F1B8" w:rsidTr="00047D74">
        <w:trPr>
          <w:trHeight w:val="255"/>
        </w:trPr>
        <w:tc>
          <w:tcPr>
            <w:tcW w:w="2029" w:type="dxa"/>
            <w:tcBorders>
              <w:top w:val="nil"/>
              <w:left w:val="single" w:sz="4" w:space="0" w:color="auto"/>
              <w:bottom w:val="single" w:sz="4" w:space="0" w:color="auto"/>
              <w:right w:val="single" w:sz="4" w:space="0" w:color="auto"/>
            </w:tcBorders>
            <w:noWrap/>
            <w:hideMark/>
          </w:tcPr>
          <w:p w14:paraId="4E4FC0D5" w14:textId="77777777" w:rsidR="00047D74" w:rsidRPr="00C5395B" w:rsidRDefault="00047D74" w:rsidP="000B6D24">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vAlign w:val="bottom"/>
          </w:tcPr>
          <w:p w14:paraId="3F758A2D" w14:textId="77777777" w:rsidR="00047D74" w:rsidRPr="00AA5933" w:rsidRDefault="00047D74" w:rsidP="000B6D24">
            <w:pPr>
              <w:jc w:val="right"/>
              <w:rPr>
                <w:rFonts w:cs="Arial"/>
              </w:rPr>
            </w:pPr>
            <w:r w:rsidRPr="00DF7212">
              <w:rPr>
                <w:rFonts w:cs="Arial"/>
              </w:rPr>
              <w:t>10</w:t>
            </w:r>
          </w:p>
        </w:tc>
        <w:tc>
          <w:tcPr>
            <w:tcW w:w="1134" w:type="dxa"/>
            <w:tcBorders>
              <w:top w:val="nil"/>
              <w:left w:val="nil"/>
              <w:bottom w:val="single" w:sz="4" w:space="0" w:color="auto"/>
              <w:right w:val="single" w:sz="4" w:space="0" w:color="auto"/>
            </w:tcBorders>
            <w:vAlign w:val="bottom"/>
          </w:tcPr>
          <w:p w14:paraId="1B42BB77" w14:textId="77777777" w:rsidR="00047D74" w:rsidRPr="00AA5933" w:rsidRDefault="00047D74" w:rsidP="000B6D24">
            <w:pPr>
              <w:jc w:val="right"/>
              <w:rPr>
                <w:rFonts w:cs="Arial"/>
              </w:rPr>
            </w:pPr>
            <w:r w:rsidRPr="00D35167">
              <w:rPr>
                <w:rFonts w:cs="Arial"/>
              </w:rPr>
              <w:t>4</w:t>
            </w:r>
          </w:p>
        </w:tc>
        <w:tc>
          <w:tcPr>
            <w:tcW w:w="992" w:type="dxa"/>
            <w:tcBorders>
              <w:top w:val="nil"/>
              <w:left w:val="nil"/>
              <w:bottom w:val="single" w:sz="4" w:space="0" w:color="auto"/>
              <w:right w:val="single" w:sz="4" w:space="0" w:color="auto"/>
            </w:tcBorders>
            <w:vAlign w:val="bottom"/>
          </w:tcPr>
          <w:p w14:paraId="6A1E72E9" w14:textId="77777777" w:rsidR="00047D74" w:rsidRPr="00DF7212" w:rsidRDefault="00047D74" w:rsidP="000B6D24">
            <w:pPr>
              <w:jc w:val="right"/>
              <w:rPr>
                <w:rFonts w:cs="Arial"/>
              </w:rPr>
            </w:pPr>
            <w:r w:rsidRPr="007E5A38">
              <w:rPr>
                <w:rFonts w:cs="Arial"/>
              </w:rPr>
              <w:t>13</w:t>
            </w:r>
          </w:p>
        </w:tc>
        <w:tc>
          <w:tcPr>
            <w:tcW w:w="993" w:type="dxa"/>
            <w:tcBorders>
              <w:top w:val="nil"/>
              <w:left w:val="nil"/>
              <w:bottom w:val="single" w:sz="4" w:space="0" w:color="auto"/>
              <w:right w:val="single" w:sz="4" w:space="0" w:color="auto"/>
            </w:tcBorders>
          </w:tcPr>
          <w:p w14:paraId="2D2B34B4" w14:textId="77777777" w:rsidR="00047D74" w:rsidRPr="007E5A38" w:rsidRDefault="00047D74" w:rsidP="000B6D24">
            <w:pPr>
              <w:jc w:val="right"/>
              <w:rPr>
                <w:rFonts w:cs="Arial"/>
              </w:rPr>
            </w:pPr>
            <w:r w:rsidRPr="003069C4">
              <w:rPr>
                <w:rFonts w:cs="Arial"/>
              </w:rPr>
              <w:t>11</w:t>
            </w:r>
          </w:p>
        </w:tc>
        <w:tc>
          <w:tcPr>
            <w:tcW w:w="993" w:type="dxa"/>
            <w:tcBorders>
              <w:top w:val="nil"/>
              <w:left w:val="nil"/>
              <w:bottom w:val="single" w:sz="4" w:space="0" w:color="auto"/>
              <w:right w:val="single" w:sz="4" w:space="0" w:color="auto"/>
            </w:tcBorders>
          </w:tcPr>
          <w:p w14:paraId="6E06F509" w14:textId="47F06F19" w:rsidR="00047D74" w:rsidRPr="003069C4" w:rsidRDefault="00047D74" w:rsidP="000B6D24">
            <w:pPr>
              <w:jc w:val="right"/>
              <w:rPr>
                <w:rFonts w:cs="Arial"/>
              </w:rPr>
            </w:pPr>
            <w:r>
              <w:rPr>
                <w:rFonts w:cs="Arial"/>
              </w:rPr>
              <w:t>15</w:t>
            </w:r>
          </w:p>
        </w:tc>
      </w:tr>
      <w:tr w:rsidR="00047D74" w:rsidRPr="00C5395B" w14:paraId="58A621A1" w14:textId="1BF34844" w:rsidTr="00047D74">
        <w:trPr>
          <w:trHeight w:val="255"/>
        </w:trPr>
        <w:tc>
          <w:tcPr>
            <w:tcW w:w="2029" w:type="dxa"/>
            <w:tcBorders>
              <w:top w:val="nil"/>
              <w:left w:val="single" w:sz="4" w:space="0" w:color="auto"/>
              <w:bottom w:val="single" w:sz="4" w:space="0" w:color="auto"/>
              <w:right w:val="single" w:sz="4" w:space="0" w:color="auto"/>
            </w:tcBorders>
            <w:noWrap/>
          </w:tcPr>
          <w:p w14:paraId="0965ED29" w14:textId="77777777" w:rsidR="00047D74" w:rsidRPr="00C5395B" w:rsidRDefault="00047D74" w:rsidP="000B6D24">
            <w:pPr>
              <w:pStyle w:val="TableText"/>
              <w:rPr>
                <w:lang w:eastAsia="en-AU"/>
              </w:rPr>
            </w:pPr>
            <w:r>
              <w:rPr>
                <w:lang w:eastAsia="en-AU"/>
              </w:rPr>
              <w:t>Doomadgee</w:t>
            </w:r>
          </w:p>
        </w:tc>
        <w:tc>
          <w:tcPr>
            <w:tcW w:w="992" w:type="dxa"/>
            <w:tcBorders>
              <w:top w:val="nil"/>
              <w:left w:val="nil"/>
              <w:bottom w:val="single" w:sz="4" w:space="0" w:color="auto"/>
              <w:right w:val="single" w:sz="4" w:space="0" w:color="auto"/>
            </w:tcBorders>
            <w:vAlign w:val="bottom"/>
          </w:tcPr>
          <w:p w14:paraId="33EEF98F" w14:textId="77777777" w:rsidR="00047D74" w:rsidRPr="00AA5933" w:rsidRDefault="00047D74" w:rsidP="000B6D24">
            <w:pPr>
              <w:jc w:val="right"/>
              <w:rPr>
                <w:rFonts w:cs="Arial"/>
              </w:rPr>
            </w:pPr>
            <w:r w:rsidRPr="00DF7212">
              <w:rPr>
                <w:rFonts w:cs="Arial"/>
              </w:rPr>
              <w:t>66</w:t>
            </w:r>
          </w:p>
        </w:tc>
        <w:tc>
          <w:tcPr>
            <w:tcW w:w="1134" w:type="dxa"/>
            <w:tcBorders>
              <w:top w:val="nil"/>
              <w:left w:val="nil"/>
              <w:bottom w:val="single" w:sz="4" w:space="0" w:color="auto"/>
              <w:right w:val="single" w:sz="4" w:space="0" w:color="auto"/>
            </w:tcBorders>
            <w:vAlign w:val="bottom"/>
          </w:tcPr>
          <w:p w14:paraId="71E8BF09" w14:textId="77777777" w:rsidR="00047D74" w:rsidRPr="00AA5933" w:rsidRDefault="00047D74" w:rsidP="000B6D24">
            <w:pPr>
              <w:jc w:val="right"/>
              <w:rPr>
                <w:rFonts w:cs="Arial"/>
              </w:rPr>
            </w:pPr>
            <w:r w:rsidRPr="00D35167">
              <w:rPr>
                <w:rFonts w:cs="Arial"/>
              </w:rPr>
              <w:t>26</w:t>
            </w:r>
          </w:p>
        </w:tc>
        <w:tc>
          <w:tcPr>
            <w:tcW w:w="992" w:type="dxa"/>
            <w:tcBorders>
              <w:top w:val="nil"/>
              <w:left w:val="nil"/>
              <w:bottom w:val="single" w:sz="4" w:space="0" w:color="auto"/>
              <w:right w:val="single" w:sz="4" w:space="0" w:color="auto"/>
            </w:tcBorders>
            <w:vAlign w:val="bottom"/>
          </w:tcPr>
          <w:p w14:paraId="08F59F2E" w14:textId="77777777" w:rsidR="00047D74" w:rsidRPr="00DF7212" w:rsidRDefault="00047D74" w:rsidP="000B6D24">
            <w:pPr>
              <w:jc w:val="right"/>
              <w:rPr>
                <w:rFonts w:cs="Arial"/>
              </w:rPr>
            </w:pPr>
            <w:r w:rsidRPr="007E5A38">
              <w:rPr>
                <w:rFonts w:cs="Arial"/>
              </w:rPr>
              <w:t>30</w:t>
            </w:r>
          </w:p>
        </w:tc>
        <w:tc>
          <w:tcPr>
            <w:tcW w:w="993" w:type="dxa"/>
            <w:tcBorders>
              <w:top w:val="nil"/>
              <w:left w:val="nil"/>
              <w:bottom w:val="single" w:sz="4" w:space="0" w:color="auto"/>
              <w:right w:val="single" w:sz="4" w:space="0" w:color="auto"/>
            </w:tcBorders>
          </w:tcPr>
          <w:p w14:paraId="51E85232" w14:textId="77777777" w:rsidR="00047D74" w:rsidRPr="007E5A38" w:rsidRDefault="00047D74" w:rsidP="000B6D24">
            <w:pPr>
              <w:jc w:val="right"/>
              <w:rPr>
                <w:rFonts w:cs="Arial"/>
              </w:rPr>
            </w:pPr>
            <w:r w:rsidRPr="003069C4">
              <w:rPr>
                <w:rFonts w:cs="Arial"/>
              </w:rPr>
              <w:t>44</w:t>
            </w:r>
          </w:p>
        </w:tc>
        <w:tc>
          <w:tcPr>
            <w:tcW w:w="993" w:type="dxa"/>
            <w:tcBorders>
              <w:top w:val="nil"/>
              <w:left w:val="nil"/>
              <w:bottom w:val="single" w:sz="4" w:space="0" w:color="auto"/>
              <w:right w:val="single" w:sz="4" w:space="0" w:color="auto"/>
            </w:tcBorders>
          </w:tcPr>
          <w:p w14:paraId="5F28250E" w14:textId="32DE0CCD" w:rsidR="00047D74" w:rsidRPr="003069C4" w:rsidRDefault="00047D74" w:rsidP="000B6D24">
            <w:pPr>
              <w:jc w:val="right"/>
              <w:rPr>
                <w:rFonts w:cs="Arial"/>
              </w:rPr>
            </w:pPr>
            <w:r>
              <w:rPr>
                <w:rFonts w:cs="Arial"/>
              </w:rPr>
              <w:t>31</w:t>
            </w:r>
          </w:p>
        </w:tc>
      </w:tr>
      <w:tr w:rsidR="00047D74" w:rsidRPr="00C5395B" w14:paraId="1640E5E0" w14:textId="22226773" w:rsidTr="00047D74">
        <w:trPr>
          <w:trHeight w:val="255"/>
        </w:trPr>
        <w:tc>
          <w:tcPr>
            <w:tcW w:w="2029" w:type="dxa"/>
            <w:tcBorders>
              <w:top w:val="nil"/>
              <w:left w:val="single" w:sz="4" w:space="0" w:color="auto"/>
              <w:bottom w:val="single" w:sz="4" w:space="0" w:color="auto"/>
              <w:right w:val="single" w:sz="4" w:space="0" w:color="auto"/>
            </w:tcBorders>
            <w:noWrap/>
          </w:tcPr>
          <w:p w14:paraId="7864F2AE" w14:textId="77777777" w:rsidR="00047D74" w:rsidRPr="00C5395B" w:rsidRDefault="00047D74" w:rsidP="000B6D24">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vAlign w:val="bottom"/>
          </w:tcPr>
          <w:p w14:paraId="5E521C9B" w14:textId="77777777" w:rsidR="00047D74" w:rsidRPr="00AA5933" w:rsidRDefault="00047D74" w:rsidP="000B6D24">
            <w:pPr>
              <w:jc w:val="right"/>
              <w:rPr>
                <w:rFonts w:cs="Arial"/>
              </w:rPr>
            </w:pPr>
            <w:r w:rsidRPr="00DF7212">
              <w:rPr>
                <w:rFonts w:cs="Arial"/>
              </w:rPr>
              <w:t>12</w:t>
            </w:r>
          </w:p>
        </w:tc>
        <w:tc>
          <w:tcPr>
            <w:tcW w:w="1134" w:type="dxa"/>
            <w:tcBorders>
              <w:top w:val="nil"/>
              <w:left w:val="nil"/>
              <w:bottom w:val="single" w:sz="4" w:space="0" w:color="auto"/>
              <w:right w:val="single" w:sz="4" w:space="0" w:color="auto"/>
            </w:tcBorders>
            <w:vAlign w:val="bottom"/>
          </w:tcPr>
          <w:p w14:paraId="0F2043AC" w14:textId="77777777" w:rsidR="00047D74" w:rsidRPr="00AA5933" w:rsidRDefault="00047D74" w:rsidP="000B6D24">
            <w:pPr>
              <w:jc w:val="right"/>
              <w:rPr>
                <w:rFonts w:cs="Arial"/>
              </w:rPr>
            </w:pPr>
            <w:r w:rsidRPr="00D35167">
              <w:rPr>
                <w:rFonts w:cs="Arial"/>
              </w:rPr>
              <w:t>18</w:t>
            </w:r>
          </w:p>
        </w:tc>
        <w:tc>
          <w:tcPr>
            <w:tcW w:w="992" w:type="dxa"/>
            <w:tcBorders>
              <w:top w:val="nil"/>
              <w:left w:val="nil"/>
              <w:bottom w:val="single" w:sz="4" w:space="0" w:color="auto"/>
              <w:right w:val="single" w:sz="4" w:space="0" w:color="auto"/>
            </w:tcBorders>
            <w:vAlign w:val="bottom"/>
          </w:tcPr>
          <w:p w14:paraId="63D0DD65" w14:textId="77777777" w:rsidR="00047D74" w:rsidRPr="00DF7212" w:rsidRDefault="00047D74" w:rsidP="000B6D24">
            <w:pPr>
              <w:jc w:val="right"/>
              <w:rPr>
                <w:rFonts w:cs="Arial"/>
              </w:rPr>
            </w:pPr>
            <w:r w:rsidRPr="007E5A38">
              <w:rPr>
                <w:rFonts w:cs="Arial"/>
              </w:rPr>
              <w:t>23</w:t>
            </w:r>
          </w:p>
        </w:tc>
        <w:tc>
          <w:tcPr>
            <w:tcW w:w="993" w:type="dxa"/>
            <w:tcBorders>
              <w:top w:val="nil"/>
              <w:left w:val="nil"/>
              <w:bottom w:val="single" w:sz="4" w:space="0" w:color="auto"/>
              <w:right w:val="single" w:sz="4" w:space="0" w:color="auto"/>
            </w:tcBorders>
          </w:tcPr>
          <w:p w14:paraId="5ECA6992" w14:textId="77777777" w:rsidR="00047D74" w:rsidRPr="007E5A38" w:rsidRDefault="00047D74" w:rsidP="000B6D24">
            <w:pPr>
              <w:jc w:val="right"/>
              <w:rPr>
                <w:rFonts w:cs="Arial"/>
              </w:rPr>
            </w:pPr>
            <w:r w:rsidRPr="003069C4">
              <w:rPr>
                <w:rFonts w:cs="Arial"/>
              </w:rPr>
              <w:t>14</w:t>
            </w:r>
          </w:p>
        </w:tc>
        <w:tc>
          <w:tcPr>
            <w:tcW w:w="993" w:type="dxa"/>
            <w:tcBorders>
              <w:top w:val="nil"/>
              <w:left w:val="nil"/>
              <w:bottom w:val="single" w:sz="4" w:space="0" w:color="auto"/>
              <w:right w:val="single" w:sz="4" w:space="0" w:color="auto"/>
            </w:tcBorders>
          </w:tcPr>
          <w:p w14:paraId="1CE766B2" w14:textId="4065776E" w:rsidR="00047D74" w:rsidRPr="003069C4" w:rsidRDefault="00047D74" w:rsidP="000B6D24">
            <w:pPr>
              <w:jc w:val="right"/>
              <w:rPr>
                <w:rFonts w:cs="Arial"/>
              </w:rPr>
            </w:pPr>
            <w:r>
              <w:rPr>
                <w:rFonts w:cs="Arial"/>
              </w:rPr>
              <w:t>12</w:t>
            </w:r>
          </w:p>
        </w:tc>
      </w:tr>
      <w:tr w:rsidR="00047D74" w:rsidRPr="00C5395B" w14:paraId="20C4C374" w14:textId="745B6BD0" w:rsidTr="00047D74">
        <w:trPr>
          <w:trHeight w:val="255"/>
        </w:trPr>
        <w:tc>
          <w:tcPr>
            <w:tcW w:w="2029" w:type="dxa"/>
            <w:tcBorders>
              <w:top w:val="nil"/>
              <w:left w:val="single" w:sz="4" w:space="0" w:color="auto"/>
              <w:bottom w:val="single" w:sz="4" w:space="0" w:color="auto"/>
              <w:right w:val="single" w:sz="4" w:space="0" w:color="auto"/>
            </w:tcBorders>
            <w:noWrap/>
            <w:hideMark/>
          </w:tcPr>
          <w:p w14:paraId="52BF8210" w14:textId="77777777" w:rsidR="00047D74" w:rsidRPr="00C5395B" w:rsidRDefault="00047D74" w:rsidP="000B6D24">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vAlign w:val="bottom"/>
          </w:tcPr>
          <w:p w14:paraId="0EA57338" w14:textId="77777777" w:rsidR="00047D74" w:rsidRPr="00AA5933" w:rsidRDefault="00047D74" w:rsidP="000B6D24">
            <w:pPr>
              <w:jc w:val="right"/>
              <w:rPr>
                <w:rFonts w:cs="Arial"/>
              </w:rPr>
            </w:pPr>
            <w:r w:rsidRPr="00DF7212">
              <w:rPr>
                <w:rFonts w:cs="Arial"/>
              </w:rPr>
              <w:t>5</w:t>
            </w:r>
          </w:p>
        </w:tc>
        <w:tc>
          <w:tcPr>
            <w:tcW w:w="1134" w:type="dxa"/>
            <w:tcBorders>
              <w:top w:val="nil"/>
              <w:left w:val="nil"/>
              <w:bottom w:val="single" w:sz="4" w:space="0" w:color="auto"/>
              <w:right w:val="single" w:sz="4" w:space="0" w:color="auto"/>
            </w:tcBorders>
            <w:vAlign w:val="bottom"/>
          </w:tcPr>
          <w:p w14:paraId="7C41E9E8" w14:textId="77777777" w:rsidR="00047D74" w:rsidRPr="00AA5933" w:rsidRDefault="00047D74" w:rsidP="000B6D24">
            <w:pPr>
              <w:jc w:val="right"/>
              <w:rPr>
                <w:rFonts w:cs="Arial"/>
              </w:rPr>
            </w:pPr>
            <w:r w:rsidRPr="00D35167">
              <w:rPr>
                <w:rFonts w:cs="Arial"/>
              </w:rPr>
              <w:t>7</w:t>
            </w:r>
          </w:p>
        </w:tc>
        <w:tc>
          <w:tcPr>
            <w:tcW w:w="992" w:type="dxa"/>
            <w:tcBorders>
              <w:top w:val="nil"/>
              <w:left w:val="nil"/>
              <w:bottom w:val="single" w:sz="4" w:space="0" w:color="auto"/>
              <w:right w:val="single" w:sz="4" w:space="0" w:color="auto"/>
            </w:tcBorders>
            <w:vAlign w:val="bottom"/>
          </w:tcPr>
          <w:p w14:paraId="07B75CD3" w14:textId="77777777" w:rsidR="00047D74" w:rsidRPr="00DF7212" w:rsidRDefault="00047D74" w:rsidP="000B6D24">
            <w:pPr>
              <w:jc w:val="right"/>
              <w:rPr>
                <w:rFonts w:cs="Arial"/>
              </w:rPr>
            </w:pPr>
            <w:r w:rsidRPr="007E5A38">
              <w:rPr>
                <w:rFonts w:cs="Arial"/>
              </w:rPr>
              <w:t>14</w:t>
            </w:r>
          </w:p>
        </w:tc>
        <w:tc>
          <w:tcPr>
            <w:tcW w:w="993" w:type="dxa"/>
            <w:tcBorders>
              <w:top w:val="nil"/>
              <w:left w:val="nil"/>
              <w:bottom w:val="single" w:sz="4" w:space="0" w:color="auto"/>
              <w:right w:val="single" w:sz="4" w:space="0" w:color="auto"/>
            </w:tcBorders>
          </w:tcPr>
          <w:p w14:paraId="2070C1BA" w14:textId="77777777" w:rsidR="00047D74" w:rsidRPr="007E5A38" w:rsidRDefault="00047D74" w:rsidP="000B6D24">
            <w:pPr>
              <w:jc w:val="right"/>
              <w:rPr>
                <w:rFonts w:cs="Arial"/>
              </w:rPr>
            </w:pPr>
            <w:r w:rsidRPr="003069C4">
              <w:rPr>
                <w:rFonts w:cs="Arial"/>
              </w:rPr>
              <w:t>13</w:t>
            </w:r>
          </w:p>
        </w:tc>
        <w:tc>
          <w:tcPr>
            <w:tcW w:w="993" w:type="dxa"/>
            <w:tcBorders>
              <w:top w:val="nil"/>
              <w:left w:val="nil"/>
              <w:bottom w:val="single" w:sz="4" w:space="0" w:color="auto"/>
              <w:right w:val="single" w:sz="4" w:space="0" w:color="auto"/>
            </w:tcBorders>
          </w:tcPr>
          <w:p w14:paraId="724410C2" w14:textId="0FA3948D" w:rsidR="00047D74" w:rsidRPr="003069C4" w:rsidRDefault="00047D74" w:rsidP="000B6D24">
            <w:pPr>
              <w:jc w:val="right"/>
              <w:rPr>
                <w:rFonts w:cs="Arial"/>
              </w:rPr>
            </w:pPr>
            <w:r>
              <w:rPr>
                <w:rFonts w:cs="Arial"/>
              </w:rPr>
              <w:t>9</w:t>
            </w:r>
          </w:p>
        </w:tc>
      </w:tr>
      <w:tr w:rsidR="00047D74" w:rsidRPr="00C5395B" w14:paraId="228E95AE" w14:textId="3843C89B" w:rsidTr="00047D74">
        <w:trPr>
          <w:trHeight w:val="255"/>
        </w:trPr>
        <w:tc>
          <w:tcPr>
            <w:tcW w:w="2029" w:type="dxa"/>
            <w:tcBorders>
              <w:top w:val="nil"/>
              <w:left w:val="single" w:sz="4" w:space="0" w:color="auto"/>
              <w:bottom w:val="single" w:sz="4" w:space="0" w:color="auto"/>
              <w:right w:val="single" w:sz="4" w:space="0" w:color="auto"/>
            </w:tcBorders>
            <w:noWrap/>
            <w:hideMark/>
          </w:tcPr>
          <w:p w14:paraId="378B0C89" w14:textId="77777777" w:rsidR="00047D74" w:rsidRPr="00C5395B" w:rsidRDefault="00047D74" w:rsidP="000B6D24">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vAlign w:val="bottom"/>
          </w:tcPr>
          <w:p w14:paraId="23A7305A" w14:textId="77777777" w:rsidR="00047D74" w:rsidRPr="00AA5933" w:rsidRDefault="00047D74" w:rsidP="000B6D24">
            <w:pPr>
              <w:pStyle w:val="TableText"/>
              <w:jc w:val="right"/>
              <w:rPr>
                <w:b/>
                <w:lang w:eastAsia="en-AU"/>
              </w:rPr>
            </w:pPr>
            <w:r w:rsidRPr="00DF7212">
              <w:rPr>
                <w:rFonts w:cs="Arial"/>
                <w:b/>
                <w:bCs/>
              </w:rPr>
              <w:t>139</w:t>
            </w:r>
          </w:p>
        </w:tc>
        <w:tc>
          <w:tcPr>
            <w:tcW w:w="1134" w:type="dxa"/>
            <w:tcBorders>
              <w:top w:val="nil"/>
              <w:left w:val="nil"/>
              <w:bottom w:val="single" w:sz="4" w:space="0" w:color="auto"/>
              <w:right w:val="single" w:sz="4" w:space="0" w:color="auto"/>
            </w:tcBorders>
            <w:vAlign w:val="bottom"/>
          </w:tcPr>
          <w:p w14:paraId="5FF6C123" w14:textId="77777777" w:rsidR="00047D74" w:rsidRPr="00AA5933" w:rsidRDefault="00047D74" w:rsidP="000B6D24">
            <w:pPr>
              <w:pStyle w:val="TableText"/>
              <w:jc w:val="right"/>
              <w:rPr>
                <w:b/>
                <w:lang w:eastAsia="en-AU"/>
              </w:rPr>
            </w:pPr>
            <w:r w:rsidRPr="00D35167">
              <w:rPr>
                <w:rFonts w:cs="Arial"/>
                <w:b/>
                <w:bCs/>
              </w:rPr>
              <w:t>154</w:t>
            </w:r>
          </w:p>
        </w:tc>
        <w:tc>
          <w:tcPr>
            <w:tcW w:w="992" w:type="dxa"/>
            <w:tcBorders>
              <w:top w:val="nil"/>
              <w:left w:val="nil"/>
              <w:bottom w:val="single" w:sz="4" w:space="0" w:color="auto"/>
              <w:right w:val="single" w:sz="4" w:space="0" w:color="auto"/>
            </w:tcBorders>
            <w:vAlign w:val="bottom"/>
          </w:tcPr>
          <w:p w14:paraId="185C50C1" w14:textId="77777777" w:rsidR="00047D74" w:rsidRPr="00DF7212" w:rsidRDefault="00047D74" w:rsidP="000B6D24">
            <w:pPr>
              <w:pStyle w:val="TableText"/>
              <w:jc w:val="right"/>
              <w:rPr>
                <w:rFonts w:cs="Arial"/>
                <w:b/>
                <w:bCs/>
              </w:rPr>
            </w:pPr>
            <w:r w:rsidRPr="007E5A38">
              <w:rPr>
                <w:rFonts w:cs="Arial"/>
                <w:b/>
                <w:bCs/>
              </w:rPr>
              <w:t>136</w:t>
            </w:r>
          </w:p>
        </w:tc>
        <w:tc>
          <w:tcPr>
            <w:tcW w:w="993" w:type="dxa"/>
            <w:tcBorders>
              <w:top w:val="nil"/>
              <w:left w:val="nil"/>
              <w:bottom w:val="single" w:sz="4" w:space="0" w:color="auto"/>
              <w:right w:val="single" w:sz="4" w:space="0" w:color="auto"/>
            </w:tcBorders>
          </w:tcPr>
          <w:p w14:paraId="2892CB50" w14:textId="77777777" w:rsidR="00047D74" w:rsidRPr="003069C4" w:rsidRDefault="00047D74" w:rsidP="000B6D24">
            <w:pPr>
              <w:jc w:val="right"/>
              <w:rPr>
                <w:rFonts w:cs="Arial"/>
                <w:b/>
                <w:bCs/>
              </w:rPr>
            </w:pPr>
            <w:r w:rsidRPr="003069C4">
              <w:rPr>
                <w:rFonts w:cs="Arial"/>
                <w:b/>
                <w:bCs/>
              </w:rPr>
              <w:t>157</w:t>
            </w:r>
          </w:p>
        </w:tc>
        <w:tc>
          <w:tcPr>
            <w:tcW w:w="993" w:type="dxa"/>
            <w:tcBorders>
              <w:top w:val="nil"/>
              <w:left w:val="nil"/>
              <w:bottom w:val="single" w:sz="4" w:space="0" w:color="auto"/>
              <w:right w:val="single" w:sz="4" w:space="0" w:color="auto"/>
            </w:tcBorders>
          </w:tcPr>
          <w:p w14:paraId="1B73ABF7" w14:textId="075DE1BF" w:rsidR="00047D74" w:rsidRPr="003069C4" w:rsidRDefault="00047D74" w:rsidP="000B6D24">
            <w:pPr>
              <w:jc w:val="right"/>
              <w:rPr>
                <w:rFonts w:cs="Arial"/>
                <w:b/>
                <w:bCs/>
              </w:rPr>
            </w:pPr>
            <w:r>
              <w:rPr>
                <w:rFonts w:cs="Arial"/>
                <w:b/>
                <w:bCs/>
              </w:rPr>
              <w:t>105</w:t>
            </w:r>
          </w:p>
        </w:tc>
      </w:tr>
    </w:tbl>
    <w:p w14:paraId="5310F0FA" w14:textId="77777777" w:rsidR="00047D74" w:rsidRPr="00EB0579" w:rsidRDefault="00047D74" w:rsidP="00047D74">
      <w:pPr>
        <w:ind w:left="-142" w:right="-425"/>
        <w:jc w:val="both"/>
        <w:rPr>
          <w:rFonts w:cs="Arial"/>
        </w:rPr>
      </w:pPr>
    </w:p>
    <w:p w14:paraId="1357C4B9" w14:textId="77777777" w:rsidR="002F3FD3" w:rsidRPr="006524B7" w:rsidRDefault="002F3FD3" w:rsidP="00D51DFA">
      <w:pPr>
        <w:pStyle w:val="Heading2"/>
      </w:pPr>
      <w:r>
        <w:t>Referrals</w:t>
      </w:r>
      <w:r w:rsidRPr="006524B7">
        <w:t xml:space="preserve"> for Domestic Violence related matters</w:t>
      </w:r>
    </w:p>
    <w:p w14:paraId="70D27E82" w14:textId="0A6CA994" w:rsidR="00A66AAA" w:rsidRDefault="002F33AF" w:rsidP="00A66AAA">
      <w:pPr>
        <w:ind w:left="-142" w:right="-425"/>
        <w:jc w:val="both"/>
        <w:rPr>
          <w:rFonts w:cs="Arial"/>
        </w:rPr>
      </w:pPr>
      <w:r>
        <w:rPr>
          <w:rFonts w:cs="Arial"/>
        </w:rPr>
        <w:t xml:space="preserve">As a subset of the total number of referrals </w:t>
      </w:r>
      <w:r w:rsidR="005B13F8">
        <w:rPr>
          <w:rFonts w:cs="Arial"/>
        </w:rPr>
        <w:t xml:space="preserve">from FRAs and orders </w:t>
      </w:r>
      <w:r>
        <w:rPr>
          <w:rFonts w:cs="Arial"/>
        </w:rPr>
        <w:t xml:space="preserve">in the quarter, </w:t>
      </w:r>
      <w:r w:rsidR="00627859">
        <w:rPr>
          <w:rFonts w:cs="Arial"/>
        </w:rPr>
        <w:t>3</w:t>
      </w:r>
      <w:r w:rsidR="006A6C2F">
        <w:rPr>
          <w:rFonts w:cs="Arial"/>
        </w:rPr>
        <w:t>2</w:t>
      </w:r>
      <w:r w:rsidR="00627859">
        <w:rPr>
          <w:rFonts w:cs="Arial"/>
        </w:rPr>
        <w:t xml:space="preserve"> </w:t>
      </w:r>
      <w:r w:rsidR="002F3FD3">
        <w:rPr>
          <w:rFonts w:cs="Arial"/>
        </w:rPr>
        <w:t>referrals were made in relation to</w:t>
      </w:r>
      <w:r w:rsidR="002F3FD3" w:rsidRPr="006524B7">
        <w:rPr>
          <w:rFonts w:cs="Arial"/>
        </w:rPr>
        <w:t xml:space="preserve"> domestic violence conferences</w:t>
      </w:r>
      <w:r w:rsidR="002F3FD3">
        <w:rPr>
          <w:rFonts w:cs="Arial"/>
        </w:rPr>
        <w:t xml:space="preserve">, </w:t>
      </w:r>
      <w:r w:rsidR="000C098B">
        <w:rPr>
          <w:rFonts w:cs="Arial"/>
        </w:rPr>
        <w:t>a</w:t>
      </w:r>
      <w:r w:rsidR="0037671E">
        <w:rPr>
          <w:rFonts w:cs="Arial"/>
        </w:rPr>
        <w:t xml:space="preserve"> decrease </w:t>
      </w:r>
      <w:r w:rsidR="000C098B">
        <w:rPr>
          <w:rFonts w:cs="Arial"/>
        </w:rPr>
        <w:t xml:space="preserve">of </w:t>
      </w:r>
      <w:r w:rsidR="006A6C2F">
        <w:rPr>
          <w:rFonts w:cs="Arial"/>
        </w:rPr>
        <w:t>7</w:t>
      </w:r>
      <w:r w:rsidR="0037671E">
        <w:rPr>
          <w:rFonts w:cs="Arial"/>
        </w:rPr>
        <w:t xml:space="preserve"> </w:t>
      </w:r>
      <w:r w:rsidR="009D0578">
        <w:rPr>
          <w:rFonts w:cs="Arial"/>
        </w:rPr>
        <w:t>from</w:t>
      </w:r>
      <w:r w:rsidR="002F3FD3" w:rsidRPr="006524B7">
        <w:rPr>
          <w:rFonts w:cs="Arial"/>
        </w:rPr>
        <w:t xml:space="preserve"> quarter</w:t>
      </w:r>
      <w:r w:rsidR="000013AA">
        <w:rPr>
          <w:rFonts w:cs="Arial"/>
        </w:rPr>
        <w:t xml:space="preserve"> </w:t>
      </w:r>
      <w:r w:rsidR="000C0A83">
        <w:rPr>
          <w:rFonts w:cs="Arial"/>
        </w:rPr>
        <w:t>53</w:t>
      </w:r>
      <w:r w:rsidR="002F3FD3" w:rsidRPr="006524B7">
        <w:rPr>
          <w:rFonts w:cs="Arial"/>
        </w:rPr>
        <w:t>.</w:t>
      </w:r>
      <w:r w:rsidR="00A66AAA">
        <w:rPr>
          <w:rFonts w:cs="Arial"/>
        </w:rPr>
        <w:t xml:space="preserve"> </w:t>
      </w:r>
      <w:r w:rsidR="00993A9C" w:rsidRPr="006524B7">
        <w:rPr>
          <w:rFonts w:cs="Arial"/>
        </w:rPr>
        <w:t xml:space="preserve">Domestic violence </w:t>
      </w:r>
      <w:r w:rsidR="00993A9C">
        <w:rPr>
          <w:rFonts w:cs="Arial"/>
        </w:rPr>
        <w:t>referrals</w:t>
      </w:r>
      <w:r w:rsidR="00993A9C" w:rsidRPr="006524B7">
        <w:rPr>
          <w:rFonts w:cs="Arial"/>
        </w:rPr>
        <w:t xml:space="preserve"> in the communities during the quarter were as follows: Aurukun</w:t>
      </w:r>
      <w:r w:rsidR="00AE52D3">
        <w:rPr>
          <w:rFonts w:cs="Arial"/>
        </w:rPr>
        <w:t xml:space="preserve">, Hope Vale and Mossman Gorge </w:t>
      </w:r>
      <w:r w:rsidR="00993A9C">
        <w:rPr>
          <w:rFonts w:cs="Arial"/>
        </w:rPr>
        <w:t>decreased</w:t>
      </w:r>
      <w:r w:rsidR="00993A9C" w:rsidRPr="006524B7">
        <w:rPr>
          <w:rFonts w:cs="Arial"/>
        </w:rPr>
        <w:t xml:space="preserve"> by </w:t>
      </w:r>
      <w:r w:rsidR="00993A9C">
        <w:rPr>
          <w:rFonts w:cs="Arial"/>
        </w:rPr>
        <w:t>6</w:t>
      </w:r>
      <w:r w:rsidR="00993A9C" w:rsidRPr="006524B7">
        <w:rPr>
          <w:rFonts w:cs="Arial"/>
        </w:rPr>
        <w:t xml:space="preserve">, </w:t>
      </w:r>
      <w:r w:rsidR="00AE52D3">
        <w:rPr>
          <w:rFonts w:cs="Arial"/>
        </w:rPr>
        <w:t xml:space="preserve">1 and 6 respectively, whilst </w:t>
      </w:r>
      <w:r w:rsidR="00993A9C" w:rsidRPr="006524B7">
        <w:rPr>
          <w:rFonts w:cs="Arial"/>
        </w:rPr>
        <w:t xml:space="preserve">Coen </w:t>
      </w:r>
      <w:r w:rsidR="00993A9C">
        <w:rPr>
          <w:rFonts w:cs="Arial"/>
        </w:rPr>
        <w:t>increased</w:t>
      </w:r>
      <w:r w:rsidR="00993A9C" w:rsidRPr="006524B7">
        <w:rPr>
          <w:rFonts w:cs="Arial"/>
        </w:rPr>
        <w:t xml:space="preserve"> by </w:t>
      </w:r>
      <w:r w:rsidR="00993A9C">
        <w:rPr>
          <w:rFonts w:cs="Arial"/>
        </w:rPr>
        <w:t>6</w:t>
      </w:r>
      <w:r w:rsidR="00993A9C" w:rsidRPr="006524B7">
        <w:rPr>
          <w:rFonts w:cs="Arial"/>
        </w:rPr>
        <w:t>.</w:t>
      </w:r>
      <w:r w:rsidR="00993A9C">
        <w:rPr>
          <w:rFonts w:cs="Arial"/>
        </w:rPr>
        <w:t xml:space="preserve"> </w:t>
      </w:r>
      <w:r w:rsidR="00A66AAA">
        <w:rPr>
          <w:rFonts w:cs="Arial"/>
        </w:rPr>
        <w:t xml:space="preserve">The Local Commissioners continue to raise concerns </w:t>
      </w:r>
      <w:r w:rsidR="001A4696">
        <w:rPr>
          <w:rFonts w:cs="Arial"/>
        </w:rPr>
        <w:t>regarding</w:t>
      </w:r>
      <w:r w:rsidR="00A66AAA">
        <w:rPr>
          <w:rFonts w:cs="Arial"/>
        </w:rPr>
        <w:t xml:space="preserve"> the availability of appropriate perpetrator intervention programs suitable for client referrals</w:t>
      </w:r>
      <w:r w:rsidR="00D85A77">
        <w:rPr>
          <w:rFonts w:cs="Arial"/>
        </w:rPr>
        <w:t xml:space="preserve"> so community members can be supported to address these behaviours. </w:t>
      </w:r>
      <w:r w:rsidR="00B307C5" w:rsidRPr="000811C7">
        <w:rPr>
          <w:rFonts w:cs="Arial"/>
        </w:rPr>
        <w:t xml:space="preserve">The broader social impacts of domestic and family violence </w:t>
      </w:r>
      <w:r w:rsidR="00AE52D3">
        <w:rPr>
          <w:rFonts w:cs="Arial"/>
        </w:rPr>
        <w:t>are</w:t>
      </w:r>
      <w:r w:rsidR="00B307C5" w:rsidRPr="000811C7">
        <w:rPr>
          <w:rFonts w:cs="Arial"/>
        </w:rPr>
        <w:t xml:space="preserve"> set out in</w:t>
      </w:r>
      <w:r w:rsidR="00D85A77" w:rsidRPr="000811C7">
        <w:rPr>
          <w:rFonts w:cs="Arial"/>
        </w:rPr>
        <w:t xml:space="preserve"> </w:t>
      </w:r>
      <w:r w:rsidR="00D85A77" w:rsidRPr="000811C7">
        <w:t xml:space="preserve">Table </w:t>
      </w:r>
      <w:r w:rsidR="00515E8F">
        <w:t>3</w:t>
      </w:r>
      <w:r w:rsidR="00B307C5" w:rsidRPr="000811C7">
        <w:t xml:space="preserve"> with analysis on page </w:t>
      </w:r>
      <w:r w:rsidR="00714FBD">
        <w:t>7</w:t>
      </w:r>
      <w:r w:rsidR="000013AA" w:rsidRPr="000811C7">
        <w:t>, i</w:t>
      </w:r>
      <w:r w:rsidR="00B307C5" w:rsidRPr="000811C7">
        <w:t>llustrat</w:t>
      </w:r>
      <w:r w:rsidR="000013AA" w:rsidRPr="000811C7">
        <w:t>ing</w:t>
      </w:r>
      <w:r w:rsidR="00B307C5" w:rsidRPr="000811C7">
        <w:t xml:space="preserve"> the nexus between </w:t>
      </w:r>
      <w:r w:rsidR="00D85A77" w:rsidRPr="000811C7">
        <w:t xml:space="preserve">Court convictions and domestic violence orders/breaches </w:t>
      </w:r>
      <w:r w:rsidR="00B307C5" w:rsidRPr="000811C7">
        <w:t>with</w:t>
      </w:r>
      <w:r w:rsidR="00D85A77" w:rsidRPr="000811C7">
        <w:t xml:space="preserve"> education and child safety issues</w:t>
      </w:r>
      <w:r w:rsidR="00B307C5" w:rsidRPr="000811C7">
        <w:t>.</w:t>
      </w:r>
    </w:p>
    <w:p w14:paraId="3E000A78" w14:textId="77777777" w:rsidR="00047D74" w:rsidRDefault="00047D74" w:rsidP="00047D74">
      <w:pPr>
        <w:ind w:left="-142" w:right="-425"/>
        <w:jc w:val="both"/>
        <w:rPr>
          <w:rFonts w:cs="Arial"/>
        </w:rPr>
      </w:pPr>
    </w:p>
    <w:p w14:paraId="229E738A" w14:textId="05B242E0" w:rsidR="00047D74" w:rsidRPr="00D925BE" w:rsidRDefault="00047D74" w:rsidP="00047D74">
      <w:pPr>
        <w:pStyle w:val="TableCaption"/>
        <w:spacing w:before="0"/>
        <w:ind w:left="0" w:right="-425"/>
        <w:rPr>
          <w:b/>
          <w:i w:val="0"/>
          <w:sz w:val="16"/>
        </w:rPr>
      </w:pPr>
      <w:r>
        <w:rPr>
          <w:b/>
          <w:i w:val="0"/>
          <w:sz w:val="16"/>
        </w:rPr>
        <w:t>Table 18</w:t>
      </w:r>
      <w:r w:rsidRPr="00F85AA1">
        <w:rPr>
          <w:b/>
          <w:i w:val="0"/>
          <w:sz w:val="16"/>
        </w:rPr>
        <w:t xml:space="preserve">: </w:t>
      </w:r>
      <w:r w:rsidRPr="00DF7212">
        <w:rPr>
          <w:rFonts w:cs="Arial"/>
          <w:i w:val="0"/>
          <w:iCs/>
          <w:sz w:val="16"/>
          <w:szCs w:val="16"/>
        </w:rPr>
        <w:t xml:space="preserve">Domestic violence referrals by community and quarter 1 </w:t>
      </w:r>
      <w:r>
        <w:rPr>
          <w:rFonts w:cs="Arial"/>
          <w:i w:val="0"/>
          <w:iCs/>
          <w:sz w:val="16"/>
          <w:szCs w:val="16"/>
        </w:rPr>
        <w:t>October</w:t>
      </w:r>
      <w:r w:rsidRPr="00DF7212">
        <w:rPr>
          <w:rFonts w:cs="Arial"/>
          <w:i w:val="0"/>
          <w:iCs/>
          <w:sz w:val="16"/>
          <w:szCs w:val="16"/>
        </w:rPr>
        <w:t xml:space="preserve"> 20</w:t>
      </w:r>
      <w:r>
        <w:rPr>
          <w:rFonts w:cs="Arial"/>
          <w:i w:val="0"/>
          <w:iCs/>
          <w:sz w:val="16"/>
          <w:szCs w:val="16"/>
        </w:rPr>
        <w:t>20</w:t>
      </w:r>
      <w:r w:rsidRPr="00DF7212">
        <w:rPr>
          <w:rFonts w:cs="Arial"/>
          <w:i w:val="0"/>
          <w:iCs/>
          <w:sz w:val="16"/>
          <w:szCs w:val="16"/>
        </w:rPr>
        <w:t xml:space="preserve"> to 3</w:t>
      </w:r>
      <w:r>
        <w:rPr>
          <w:rFonts w:cs="Arial"/>
          <w:i w:val="0"/>
          <w:iCs/>
          <w:sz w:val="16"/>
          <w:szCs w:val="16"/>
        </w:rPr>
        <w:t xml:space="preserve">1 December </w:t>
      </w:r>
      <w:r w:rsidRPr="00DF7212">
        <w:rPr>
          <w:rFonts w:cs="Arial"/>
          <w:i w:val="0"/>
          <w:iCs/>
          <w:sz w:val="16"/>
          <w:szCs w:val="16"/>
        </w:rPr>
        <w:t>202</w:t>
      </w:r>
      <w:r>
        <w:rPr>
          <w:rFonts w:cs="Arial"/>
          <w:i w:val="0"/>
          <w:iCs/>
          <w:sz w:val="16"/>
          <w:szCs w:val="16"/>
        </w:rPr>
        <w:t>1</w:t>
      </w:r>
    </w:p>
    <w:tbl>
      <w:tblPr>
        <w:tblW w:w="7133" w:type="dxa"/>
        <w:tblInd w:w="93" w:type="dxa"/>
        <w:tblLook w:val="04A0" w:firstRow="1" w:lastRow="0" w:firstColumn="1" w:lastColumn="0" w:noHBand="0" w:noVBand="1"/>
      </w:tblPr>
      <w:tblGrid>
        <w:gridCol w:w="2029"/>
        <w:gridCol w:w="992"/>
        <w:gridCol w:w="1134"/>
        <w:gridCol w:w="992"/>
        <w:gridCol w:w="993"/>
        <w:gridCol w:w="993"/>
      </w:tblGrid>
      <w:tr w:rsidR="00047D74" w:rsidRPr="00C5395B" w14:paraId="571C1A95" w14:textId="1FD6631E" w:rsidTr="00047D74">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33C335B9" w14:textId="77777777" w:rsidR="00047D74" w:rsidRPr="00C5395B" w:rsidRDefault="00047D74" w:rsidP="000B6D24">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4990FE39" w14:textId="77777777" w:rsidR="00047D74" w:rsidRDefault="00047D74" w:rsidP="000B6D24">
            <w:pPr>
              <w:pStyle w:val="TableText"/>
              <w:jc w:val="right"/>
              <w:rPr>
                <w:b/>
                <w:lang w:eastAsia="en-AU"/>
              </w:rPr>
            </w:pPr>
            <w:r>
              <w:rPr>
                <w:b/>
                <w:lang w:eastAsia="en-AU"/>
              </w:rPr>
              <w:t>Qtr 50</w:t>
            </w:r>
          </w:p>
        </w:tc>
        <w:tc>
          <w:tcPr>
            <w:tcW w:w="1134" w:type="dxa"/>
            <w:tcBorders>
              <w:top w:val="single" w:sz="4" w:space="0" w:color="auto"/>
              <w:left w:val="nil"/>
              <w:bottom w:val="single" w:sz="4" w:space="0" w:color="auto"/>
              <w:right w:val="single" w:sz="4" w:space="0" w:color="auto"/>
            </w:tcBorders>
          </w:tcPr>
          <w:p w14:paraId="5A75BA21" w14:textId="77777777" w:rsidR="00047D74" w:rsidRDefault="00047D74" w:rsidP="000B6D24">
            <w:pPr>
              <w:pStyle w:val="TableText"/>
              <w:jc w:val="right"/>
              <w:rPr>
                <w:b/>
                <w:lang w:eastAsia="en-AU"/>
              </w:rPr>
            </w:pPr>
            <w:r>
              <w:rPr>
                <w:b/>
                <w:lang w:eastAsia="en-AU"/>
              </w:rPr>
              <w:t>Qtr 51</w:t>
            </w:r>
          </w:p>
        </w:tc>
        <w:tc>
          <w:tcPr>
            <w:tcW w:w="992" w:type="dxa"/>
            <w:tcBorders>
              <w:top w:val="single" w:sz="4" w:space="0" w:color="auto"/>
              <w:left w:val="nil"/>
              <w:bottom w:val="single" w:sz="4" w:space="0" w:color="auto"/>
              <w:right w:val="single" w:sz="4" w:space="0" w:color="auto"/>
            </w:tcBorders>
          </w:tcPr>
          <w:p w14:paraId="717273A1" w14:textId="77777777" w:rsidR="00047D74" w:rsidRDefault="00047D74" w:rsidP="000B6D24">
            <w:pPr>
              <w:pStyle w:val="TableText"/>
              <w:jc w:val="right"/>
              <w:rPr>
                <w:b/>
                <w:lang w:eastAsia="en-AU"/>
              </w:rPr>
            </w:pPr>
            <w:r>
              <w:rPr>
                <w:b/>
                <w:lang w:eastAsia="en-AU"/>
              </w:rPr>
              <w:t>Qtr 52</w:t>
            </w:r>
          </w:p>
        </w:tc>
        <w:tc>
          <w:tcPr>
            <w:tcW w:w="993" w:type="dxa"/>
            <w:tcBorders>
              <w:top w:val="single" w:sz="4" w:space="0" w:color="auto"/>
              <w:left w:val="nil"/>
              <w:bottom w:val="single" w:sz="4" w:space="0" w:color="auto"/>
              <w:right w:val="single" w:sz="4" w:space="0" w:color="auto"/>
            </w:tcBorders>
          </w:tcPr>
          <w:p w14:paraId="4ECADA0E" w14:textId="77777777" w:rsidR="00047D74" w:rsidRDefault="00047D74" w:rsidP="000B6D24">
            <w:pPr>
              <w:pStyle w:val="TableText"/>
              <w:jc w:val="right"/>
              <w:rPr>
                <w:b/>
                <w:lang w:eastAsia="en-AU"/>
              </w:rPr>
            </w:pPr>
            <w:r>
              <w:rPr>
                <w:b/>
                <w:lang w:eastAsia="en-AU"/>
              </w:rPr>
              <w:t>Qtr 53</w:t>
            </w:r>
          </w:p>
        </w:tc>
        <w:tc>
          <w:tcPr>
            <w:tcW w:w="993" w:type="dxa"/>
            <w:tcBorders>
              <w:top w:val="single" w:sz="4" w:space="0" w:color="auto"/>
              <w:left w:val="nil"/>
              <w:bottom w:val="single" w:sz="4" w:space="0" w:color="auto"/>
              <w:right w:val="single" w:sz="4" w:space="0" w:color="auto"/>
            </w:tcBorders>
          </w:tcPr>
          <w:p w14:paraId="7EA540F9" w14:textId="7D593651" w:rsidR="00047D74" w:rsidRDefault="00047D74" w:rsidP="000B6D24">
            <w:pPr>
              <w:pStyle w:val="TableText"/>
              <w:jc w:val="right"/>
              <w:rPr>
                <w:b/>
                <w:lang w:eastAsia="en-AU"/>
              </w:rPr>
            </w:pPr>
            <w:r>
              <w:rPr>
                <w:b/>
                <w:lang w:eastAsia="en-AU"/>
              </w:rPr>
              <w:t>Qtr 54</w:t>
            </w:r>
          </w:p>
        </w:tc>
      </w:tr>
      <w:tr w:rsidR="00047D74" w:rsidRPr="00C5395B" w14:paraId="2A51F7D4" w14:textId="24BA90D0" w:rsidTr="00047D74">
        <w:trPr>
          <w:trHeight w:val="255"/>
        </w:trPr>
        <w:tc>
          <w:tcPr>
            <w:tcW w:w="2029" w:type="dxa"/>
            <w:tcBorders>
              <w:top w:val="nil"/>
              <w:left w:val="single" w:sz="4" w:space="0" w:color="auto"/>
              <w:bottom w:val="single" w:sz="4" w:space="0" w:color="auto"/>
              <w:right w:val="single" w:sz="4" w:space="0" w:color="auto"/>
            </w:tcBorders>
            <w:noWrap/>
            <w:hideMark/>
          </w:tcPr>
          <w:p w14:paraId="6C34BB9D" w14:textId="77777777" w:rsidR="00047D74" w:rsidRPr="00C5395B" w:rsidRDefault="00047D74" w:rsidP="000B6D24">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vAlign w:val="bottom"/>
          </w:tcPr>
          <w:p w14:paraId="4AC6E052" w14:textId="77777777" w:rsidR="00047D74" w:rsidRPr="002F43C8" w:rsidRDefault="00047D74" w:rsidP="000B6D24">
            <w:pPr>
              <w:jc w:val="right"/>
              <w:rPr>
                <w:rFonts w:cs="Arial"/>
              </w:rPr>
            </w:pPr>
            <w:r w:rsidRPr="002F43C8">
              <w:rPr>
                <w:rFonts w:cs="Arial"/>
              </w:rPr>
              <w:t>12</w:t>
            </w:r>
          </w:p>
        </w:tc>
        <w:tc>
          <w:tcPr>
            <w:tcW w:w="1134" w:type="dxa"/>
            <w:tcBorders>
              <w:top w:val="nil"/>
              <w:left w:val="nil"/>
              <w:bottom w:val="single" w:sz="4" w:space="0" w:color="auto"/>
              <w:right w:val="single" w:sz="4" w:space="0" w:color="auto"/>
            </w:tcBorders>
          </w:tcPr>
          <w:p w14:paraId="4A989623" w14:textId="77777777" w:rsidR="00047D74" w:rsidRPr="002F43C8" w:rsidRDefault="00047D74" w:rsidP="000B6D24">
            <w:pPr>
              <w:jc w:val="right"/>
              <w:rPr>
                <w:rFonts w:cs="Arial"/>
              </w:rPr>
            </w:pPr>
            <w:r w:rsidRPr="00073A0B">
              <w:rPr>
                <w:rFonts w:cs="Arial"/>
              </w:rPr>
              <w:t>43</w:t>
            </w:r>
          </w:p>
        </w:tc>
        <w:tc>
          <w:tcPr>
            <w:tcW w:w="992" w:type="dxa"/>
            <w:tcBorders>
              <w:top w:val="nil"/>
              <w:left w:val="nil"/>
              <w:bottom w:val="single" w:sz="4" w:space="0" w:color="auto"/>
              <w:right w:val="single" w:sz="4" w:space="0" w:color="auto"/>
            </w:tcBorders>
            <w:vAlign w:val="bottom"/>
          </w:tcPr>
          <w:p w14:paraId="5AC48937" w14:textId="77777777" w:rsidR="00047D74" w:rsidRPr="002F43C8" w:rsidRDefault="00047D74" w:rsidP="000B6D24">
            <w:pPr>
              <w:jc w:val="right"/>
              <w:rPr>
                <w:rFonts w:cs="Arial"/>
              </w:rPr>
            </w:pPr>
            <w:r w:rsidRPr="007E5A38">
              <w:rPr>
                <w:rFonts w:cs="Arial"/>
              </w:rPr>
              <w:t>14</w:t>
            </w:r>
          </w:p>
        </w:tc>
        <w:tc>
          <w:tcPr>
            <w:tcW w:w="993" w:type="dxa"/>
            <w:tcBorders>
              <w:top w:val="nil"/>
              <w:left w:val="nil"/>
              <w:bottom w:val="single" w:sz="4" w:space="0" w:color="auto"/>
              <w:right w:val="single" w:sz="4" w:space="0" w:color="auto"/>
            </w:tcBorders>
            <w:vAlign w:val="bottom"/>
          </w:tcPr>
          <w:p w14:paraId="40D0EE47" w14:textId="77777777" w:rsidR="00047D74" w:rsidRPr="007E5A38" w:rsidRDefault="00047D74" w:rsidP="000B6D24">
            <w:pPr>
              <w:jc w:val="right"/>
              <w:rPr>
                <w:rFonts w:cs="Arial"/>
              </w:rPr>
            </w:pPr>
            <w:r>
              <w:rPr>
                <w:rFonts w:cs="Arial"/>
              </w:rPr>
              <w:t>22</w:t>
            </w:r>
          </w:p>
        </w:tc>
        <w:tc>
          <w:tcPr>
            <w:tcW w:w="993" w:type="dxa"/>
            <w:tcBorders>
              <w:top w:val="nil"/>
              <w:left w:val="nil"/>
              <w:bottom w:val="single" w:sz="4" w:space="0" w:color="auto"/>
              <w:right w:val="single" w:sz="4" w:space="0" w:color="auto"/>
            </w:tcBorders>
          </w:tcPr>
          <w:p w14:paraId="245234E2" w14:textId="0539C182" w:rsidR="00047D74" w:rsidRDefault="00047D74" w:rsidP="000B6D24">
            <w:pPr>
              <w:jc w:val="right"/>
              <w:rPr>
                <w:rFonts w:cs="Arial"/>
              </w:rPr>
            </w:pPr>
            <w:r>
              <w:rPr>
                <w:rFonts w:cs="Arial"/>
              </w:rPr>
              <w:t>16</w:t>
            </w:r>
          </w:p>
        </w:tc>
      </w:tr>
      <w:tr w:rsidR="00047D74" w:rsidRPr="00C5395B" w14:paraId="4B45FB63" w14:textId="00C39A39" w:rsidTr="00047D74">
        <w:trPr>
          <w:trHeight w:val="255"/>
        </w:trPr>
        <w:tc>
          <w:tcPr>
            <w:tcW w:w="2029" w:type="dxa"/>
            <w:tcBorders>
              <w:top w:val="nil"/>
              <w:left w:val="single" w:sz="4" w:space="0" w:color="auto"/>
              <w:bottom w:val="single" w:sz="4" w:space="0" w:color="auto"/>
              <w:right w:val="single" w:sz="4" w:space="0" w:color="auto"/>
            </w:tcBorders>
            <w:noWrap/>
            <w:hideMark/>
          </w:tcPr>
          <w:p w14:paraId="259D5848" w14:textId="77777777" w:rsidR="00047D74" w:rsidRPr="00C5395B" w:rsidRDefault="00047D74" w:rsidP="000B6D24">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vAlign w:val="bottom"/>
          </w:tcPr>
          <w:p w14:paraId="4F55191E" w14:textId="77777777" w:rsidR="00047D74" w:rsidRPr="002F43C8" w:rsidRDefault="00047D74" w:rsidP="000B6D24">
            <w:pPr>
              <w:jc w:val="right"/>
              <w:rPr>
                <w:rFonts w:cs="Arial"/>
              </w:rPr>
            </w:pPr>
            <w:r w:rsidRPr="002F43C8">
              <w:rPr>
                <w:rFonts w:cs="Arial"/>
              </w:rPr>
              <w:t>2</w:t>
            </w:r>
          </w:p>
        </w:tc>
        <w:tc>
          <w:tcPr>
            <w:tcW w:w="1134" w:type="dxa"/>
            <w:tcBorders>
              <w:top w:val="nil"/>
              <w:left w:val="nil"/>
              <w:bottom w:val="single" w:sz="4" w:space="0" w:color="auto"/>
              <w:right w:val="single" w:sz="4" w:space="0" w:color="auto"/>
            </w:tcBorders>
          </w:tcPr>
          <w:p w14:paraId="0EB1809F" w14:textId="77777777" w:rsidR="00047D74" w:rsidRPr="002F43C8" w:rsidRDefault="00047D74" w:rsidP="000B6D24">
            <w:pPr>
              <w:jc w:val="right"/>
              <w:rPr>
                <w:rFonts w:cs="Arial"/>
              </w:rPr>
            </w:pPr>
            <w:r w:rsidRPr="00073A0B">
              <w:rPr>
                <w:rFonts w:cs="Arial"/>
              </w:rPr>
              <w:t>1</w:t>
            </w:r>
          </w:p>
        </w:tc>
        <w:tc>
          <w:tcPr>
            <w:tcW w:w="992" w:type="dxa"/>
            <w:tcBorders>
              <w:top w:val="nil"/>
              <w:left w:val="nil"/>
              <w:bottom w:val="single" w:sz="4" w:space="0" w:color="auto"/>
              <w:right w:val="single" w:sz="4" w:space="0" w:color="auto"/>
            </w:tcBorders>
            <w:vAlign w:val="bottom"/>
          </w:tcPr>
          <w:p w14:paraId="4AA01CBE" w14:textId="77777777" w:rsidR="00047D74" w:rsidRPr="002F43C8" w:rsidRDefault="00047D74" w:rsidP="000B6D24">
            <w:pPr>
              <w:jc w:val="right"/>
              <w:rPr>
                <w:rFonts w:cs="Arial"/>
              </w:rPr>
            </w:pPr>
            <w:r w:rsidRPr="007E5A38">
              <w:rPr>
                <w:rFonts w:cs="Arial"/>
              </w:rPr>
              <w:t>11</w:t>
            </w:r>
          </w:p>
        </w:tc>
        <w:tc>
          <w:tcPr>
            <w:tcW w:w="993" w:type="dxa"/>
            <w:tcBorders>
              <w:top w:val="nil"/>
              <w:left w:val="nil"/>
              <w:bottom w:val="single" w:sz="4" w:space="0" w:color="auto"/>
              <w:right w:val="single" w:sz="4" w:space="0" w:color="auto"/>
            </w:tcBorders>
            <w:vAlign w:val="bottom"/>
          </w:tcPr>
          <w:p w14:paraId="7B7B7BB6" w14:textId="77777777" w:rsidR="00047D74" w:rsidRPr="007E5A38" w:rsidRDefault="00047D74" w:rsidP="000B6D24">
            <w:pPr>
              <w:jc w:val="right"/>
              <w:rPr>
                <w:rFonts w:cs="Arial"/>
              </w:rPr>
            </w:pPr>
            <w:r>
              <w:rPr>
                <w:rFonts w:cs="Arial"/>
              </w:rPr>
              <w:t>4</w:t>
            </w:r>
          </w:p>
        </w:tc>
        <w:tc>
          <w:tcPr>
            <w:tcW w:w="993" w:type="dxa"/>
            <w:tcBorders>
              <w:top w:val="nil"/>
              <w:left w:val="nil"/>
              <w:bottom w:val="single" w:sz="4" w:space="0" w:color="auto"/>
              <w:right w:val="single" w:sz="4" w:space="0" w:color="auto"/>
            </w:tcBorders>
          </w:tcPr>
          <w:p w14:paraId="6B002132" w14:textId="7B0058DC" w:rsidR="00047D74" w:rsidRDefault="00047D74" w:rsidP="000B6D24">
            <w:pPr>
              <w:jc w:val="right"/>
              <w:rPr>
                <w:rFonts w:cs="Arial"/>
              </w:rPr>
            </w:pPr>
            <w:r>
              <w:rPr>
                <w:rFonts w:cs="Arial"/>
              </w:rPr>
              <w:t>10</w:t>
            </w:r>
          </w:p>
        </w:tc>
      </w:tr>
      <w:tr w:rsidR="00047D74" w:rsidRPr="00C5395B" w14:paraId="285751E8" w14:textId="7F06669C" w:rsidTr="00047D74">
        <w:trPr>
          <w:trHeight w:val="255"/>
        </w:trPr>
        <w:tc>
          <w:tcPr>
            <w:tcW w:w="2029" w:type="dxa"/>
            <w:tcBorders>
              <w:top w:val="nil"/>
              <w:left w:val="single" w:sz="4" w:space="0" w:color="auto"/>
              <w:bottom w:val="single" w:sz="4" w:space="0" w:color="auto"/>
              <w:right w:val="single" w:sz="4" w:space="0" w:color="auto"/>
            </w:tcBorders>
            <w:noWrap/>
          </w:tcPr>
          <w:p w14:paraId="56C9F1FC" w14:textId="77777777" w:rsidR="00047D74" w:rsidRPr="00C5395B" w:rsidRDefault="00047D74" w:rsidP="000B6D24">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vAlign w:val="bottom"/>
          </w:tcPr>
          <w:p w14:paraId="0BEE76A1" w14:textId="77777777" w:rsidR="00047D74" w:rsidRPr="002F43C8" w:rsidRDefault="00047D74" w:rsidP="000B6D24">
            <w:pPr>
              <w:jc w:val="right"/>
              <w:rPr>
                <w:rFonts w:cs="Arial"/>
              </w:rPr>
            </w:pPr>
            <w:r w:rsidRPr="002F43C8">
              <w:rPr>
                <w:rFonts w:cs="Arial"/>
              </w:rPr>
              <w:t>2</w:t>
            </w:r>
          </w:p>
        </w:tc>
        <w:tc>
          <w:tcPr>
            <w:tcW w:w="1134" w:type="dxa"/>
            <w:tcBorders>
              <w:top w:val="nil"/>
              <w:left w:val="nil"/>
              <w:bottom w:val="single" w:sz="4" w:space="0" w:color="auto"/>
              <w:right w:val="single" w:sz="4" w:space="0" w:color="auto"/>
            </w:tcBorders>
          </w:tcPr>
          <w:p w14:paraId="5649B988" w14:textId="77777777" w:rsidR="00047D74" w:rsidRPr="002F43C8" w:rsidRDefault="00047D74" w:rsidP="000B6D24">
            <w:pPr>
              <w:jc w:val="right"/>
              <w:rPr>
                <w:rFonts w:cs="Arial"/>
              </w:rPr>
            </w:pPr>
            <w:r w:rsidRPr="00073A0B">
              <w:rPr>
                <w:rFonts w:cs="Arial"/>
              </w:rPr>
              <w:t>4</w:t>
            </w:r>
          </w:p>
        </w:tc>
        <w:tc>
          <w:tcPr>
            <w:tcW w:w="992" w:type="dxa"/>
            <w:tcBorders>
              <w:top w:val="nil"/>
              <w:left w:val="nil"/>
              <w:bottom w:val="single" w:sz="4" w:space="0" w:color="auto"/>
              <w:right w:val="single" w:sz="4" w:space="0" w:color="auto"/>
            </w:tcBorders>
            <w:vAlign w:val="bottom"/>
          </w:tcPr>
          <w:p w14:paraId="655F7557" w14:textId="77777777" w:rsidR="00047D74" w:rsidRPr="002F43C8" w:rsidRDefault="00047D74" w:rsidP="000B6D24">
            <w:pPr>
              <w:jc w:val="right"/>
              <w:rPr>
                <w:rFonts w:cs="Arial"/>
              </w:rPr>
            </w:pPr>
            <w:r w:rsidRPr="007E5A38">
              <w:rPr>
                <w:rFonts w:cs="Arial"/>
              </w:rPr>
              <w:t>0</w:t>
            </w:r>
          </w:p>
        </w:tc>
        <w:tc>
          <w:tcPr>
            <w:tcW w:w="993" w:type="dxa"/>
            <w:tcBorders>
              <w:top w:val="nil"/>
              <w:left w:val="nil"/>
              <w:bottom w:val="single" w:sz="4" w:space="0" w:color="auto"/>
              <w:right w:val="single" w:sz="4" w:space="0" w:color="auto"/>
            </w:tcBorders>
            <w:vAlign w:val="bottom"/>
          </w:tcPr>
          <w:p w14:paraId="1A2569C4" w14:textId="77777777" w:rsidR="00047D74" w:rsidRPr="007E5A38" w:rsidRDefault="00047D74" w:rsidP="000B6D24">
            <w:pPr>
              <w:jc w:val="right"/>
              <w:rPr>
                <w:rFonts w:cs="Arial"/>
              </w:rPr>
            </w:pPr>
            <w:r>
              <w:rPr>
                <w:rFonts w:cs="Arial"/>
              </w:rPr>
              <w:t>7</w:t>
            </w:r>
          </w:p>
        </w:tc>
        <w:tc>
          <w:tcPr>
            <w:tcW w:w="993" w:type="dxa"/>
            <w:tcBorders>
              <w:top w:val="nil"/>
              <w:left w:val="nil"/>
              <w:bottom w:val="single" w:sz="4" w:space="0" w:color="auto"/>
              <w:right w:val="single" w:sz="4" w:space="0" w:color="auto"/>
            </w:tcBorders>
          </w:tcPr>
          <w:p w14:paraId="339B662F" w14:textId="575DE4A9" w:rsidR="00047D74" w:rsidRDefault="00047D74" w:rsidP="000B6D24">
            <w:pPr>
              <w:jc w:val="right"/>
              <w:rPr>
                <w:rFonts w:cs="Arial"/>
              </w:rPr>
            </w:pPr>
            <w:r>
              <w:rPr>
                <w:rFonts w:cs="Arial"/>
              </w:rPr>
              <w:t>6</w:t>
            </w:r>
          </w:p>
        </w:tc>
      </w:tr>
      <w:tr w:rsidR="00047D74" w:rsidRPr="00C5395B" w14:paraId="67B4DBC3" w14:textId="6BABE81F" w:rsidTr="00047D74">
        <w:trPr>
          <w:trHeight w:val="255"/>
        </w:trPr>
        <w:tc>
          <w:tcPr>
            <w:tcW w:w="2029" w:type="dxa"/>
            <w:tcBorders>
              <w:top w:val="nil"/>
              <w:left w:val="single" w:sz="4" w:space="0" w:color="auto"/>
              <w:bottom w:val="single" w:sz="4" w:space="0" w:color="auto"/>
              <w:right w:val="single" w:sz="4" w:space="0" w:color="auto"/>
            </w:tcBorders>
            <w:noWrap/>
            <w:hideMark/>
          </w:tcPr>
          <w:p w14:paraId="38EDF29F" w14:textId="77777777" w:rsidR="00047D74" w:rsidRPr="00C5395B" w:rsidRDefault="00047D74" w:rsidP="000B6D24">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vAlign w:val="bottom"/>
          </w:tcPr>
          <w:p w14:paraId="5220E8F7" w14:textId="77777777" w:rsidR="00047D74" w:rsidRPr="002F43C8" w:rsidRDefault="00047D74" w:rsidP="000B6D24">
            <w:pPr>
              <w:jc w:val="right"/>
              <w:rPr>
                <w:rFonts w:cs="Arial"/>
              </w:rPr>
            </w:pPr>
            <w:r w:rsidRPr="002F43C8">
              <w:rPr>
                <w:rFonts w:cs="Arial"/>
              </w:rPr>
              <w:t>1</w:t>
            </w:r>
          </w:p>
        </w:tc>
        <w:tc>
          <w:tcPr>
            <w:tcW w:w="1134" w:type="dxa"/>
            <w:tcBorders>
              <w:top w:val="nil"/>
              <w:left w:val="nil"/>
              <w:bottom w:val="single" w:sz="4" w:space="0" w:color="auto"/>
              <w:right w:val="single" w:sz="4" w:space="0" w:color="auto"/>
            </w:tcBorders>
          </w:tcPr>
          <w:p w14:paraId="539638E6" w14:textId="77777777" w:rsidR="00047D74" w:rsidRPr="002F43C8" w:rsidRDefault="00047D74" w:rsidP="000B6D24">
            <w:pPr>
              <w:jc w:val="right"/>
              <w:rPr>
                <w:rFonts w:cs="Arial"/>
              </w:rPr>
            </w:pPr>
            <w:r w:rsidRPr="00073A0B">
              <w:rPr>
                <w:rFonts w:cs="Arial"/>
              </w:rPr>
              <w:t>2</w:t>
            </w:r>
          </w:p>
        </w:tc>
        <w:tc>
          <w:tcPr>
            <w:tcW w:w="992" w:type="dxa"/>
            <w:tcBorders>
              <w:top w:val="nil"/>
              <w:left w:val="nil"/>
              <w:bottom w:val="single" w:sz="4" w:space="0" w:color="auto"/>
              <w:right w:val="single" w:sz="4" w:space="0" w:color="auto"/>
            </w:tcBorders>
            <w:vAlign w:val="bottom"/>
          </w:tcPr>
          <w:p w14:paraId="4511C258" w14:textId="77777777" w:rsidR="00047D74" w:rsidRPr="002F43C8" w:rsidRDefault="00047D74" w:rsidP="000B6D24">
            <w:pPr>
              <w:jc w:val="right"/>
              <w:rPr>
                <w:rFonts w:cs="Arial"/>
              </w:rPr>
            </w:pPr>
            <w:r w:rsidRPr="007E5A38">
              <w:rPr>
                <w:rFonts w:cs="Arial"/>
              </w:rPr>
              <w:t>1</w:t>
            </w:r>
          </w:p>
        </w:tc>
        <w:tc>
          <w:tcPr>
            <w:tcW w:w="993" w:type="dxa"/>
            <w:tcBorders>
              <w:top w:val="nil"/>
              <w:left w:val="nil"/>
              <w:bottom w:val="single" w:sz="4" w:space="0" w:color="auto"/>
              <w:right w:val="single" w:sz="4" w:space="0" w:color="auto"/>
            </w:tcBorders>
            <w:vAlign w:val="bottom"/>
          </w:tcPr>
          <w:p w14:paraId="55598E4C" w14:textId="77777777" w:rsidR="00047D74" w:rsidRPr="007E5A38" w:rsidRDefault="00047D74" w:rsidP="000B6D24">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3CF4DF4E" w14:textId="481A013C" w:rsidR="00047D74" w:rsidRDefault="00047D74" w:rsidP="000B6D24">
            <w:pPr>
              <w:jc w:val="right"/>
              <w:rPr>
                <w:rFonts w:cs="Arial"/>
              </w:rPr>
            </w:pPr>
            <w:r>
              <w:rPr>
                <w:rFonts w:cs="Arial"/>
              </w:rPr>
              <w:t>0</w:t>
            </w:r>
          </w:p>
        </w:tc>
      </w:tr>
      <w:tr w:rsidR="00047D74" w:rsidRPr="00C5395B" w14:paraId="5951FD4D" w14:textId="1927787F" w:rsidTr="00047D74">
        <w:trPr>
          <w:trHeight w:val="255"/>
        </w:trPr>
        <w:tc>
          <w:tcPr>
            <w:tcW w:w="2029" w:type="dxa"/>
            <w:tcBorders>
              <w:top w:val="nil"/>
              <w:left w:val="single" w:sz="4" w:space="0" w:color="auto"/>
              <w:bottom w:val="single" w:sz="4" w:space="0" w:color="auto"/>
              <w:right w:val="single" w:sz="4" w:space="0" w:color="auto"/>
            </w:tcBorders>
            <w:noWrap/>
            <w:hideMark/>
          </w:tcPr>
          <w:p w14:paraId="205FC619" w14:textId="77777777" w:rsidR="00047D74" w:rsidRPr="00C5395B" w:rsidRDefault="00047D74" w:rsidP="000B6D24">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vAlign w:val="bottom"/>
          </w:tcPr>
          <w:p w14:paraId="3BC6FB5B" w14:textId="77777777" w:rsidR="00047D74" w:rsidRPr="002F43C8" w:rsidRDefault="00047D74" w:rsidP="000B6D24">
            <w:pPr>
              <w:pStyle w:val="TableText"/>
              <w:jc w:val="right"/>
              <w:rPr>
                <w:b/>
                <w:lang w:eastAsia="en-AU"/>
              </w:rPr>
            </w:pPr>
            <w:r w:rsidRPr="002F43C8">
              <w:rPr>
                <w:rFonts w:cs="Arial"/>
                <w:b/>
                <w:bCs/>
              </w:rPr>
              <w:t>17</w:t>
            </w:r>
          </w:p>
        </w:tc>
        <w:tc>
          <w:tcPr>
            <w:tcW w:w="1134" w:type="dxa"/>
            <w:tcBorders>
              <w:top w:val="nil"/>
              <w:left w:val="nil"/>
              <w:bottom w:val="single" w:sz="4" w:space="0" w:color="auto"/>
              <w:right w:val="single" w:sz="4" w:space="0" w:color="auto"/>
            </w:tcBorders>
            <w:vAlign w:val="bottom"/>
          </w:tcPr>
          <w:p w14:paraId="5BA5968B" w14:textId="77777777" w:rsidR="00047D74" w:rsidRPr="002F43C8" w:rsidRDefault="00047D74" w:rsidP="000B6D24">
            <w:pPr>
              <w:pStyle w:val="TableText"/>
              <w:jc w:val="right"/>
              <w:rPr>
                <w:b/>
                <w:lang w:eastAsia="en-AU"/>
              </w:rPr>
            </w:pPr>
            <w:r w:rsidRPr="00073A0B">
              <w:rPr>
                <w:rFonts w:cs="Arial"/>
                <w:b/>
                <w:bCs/>
              </w:rPr>
              <w:t>50</w:t>
            </w:r>
          </w:p>
        </w:tc>
        <w:tc>
          <w:tcPr>
            <w:tcW w:w="992" w:type="dxa"/>
            <w:tcBorders>
              <w:top w:val="nil"/>
              <w:left w:val="nil"/>
              <w:bottom w:val="single" w:sz="4" w:space="0" w:color="auto"/>
              <w:right w:val="single" w:sz="4" w:space="0" w:color="auto"/>
            </w:tcBorders>
            <w:vAlign w:val="bottom"/>
          </w:tcPr>
          <w:p w14:paraId="7A8D2D15" w14:textId="77777777" w:rsidR="00047D74" w:rsidRPr="002F43C8" w:rsidRDefault="00047D74" w:rsidP="000B6D24">
            <w:pPr>
              <w:pStyle w:val="TableText"/>
              <w:jc w:val="right"/>
              <w:rPr>
                <w:rFonts w:cs="Arial"/>
                <w:b/>
                <w:bCs/>
              </w:rPr>
            </w:pPr>
            <w:r w:rsidRPr="007E5A38">
              <w:rPr>
                <w:rFonts w:cs="Arial"/>
                <w:b/>
                <w:bCs/>
              </w:rPr>
              <w:t>26</w:t>
            </w:r>
          </w:p>
        </w:tc>
        <w:tc>
          <w:tcPr>
            <w:tcW w:w="993" w:type="dxa"/>
            <w:tcBorders>
              <w:top w:val="nil"/>
              <w:left w:val="nil"/>
              <w:bottom w:val="single" w:sz="4" w:space="0" w:color="auto"/>
              <w:right w:val="single" w:sz="4" w:space="0" w:color="auto"/>
            </w:tcBorders>
            <w:vAlign w:val="bottom"/>
          </w:tcPr>
          <w:p w14:paraId="15076FA0" w14:textId="77777777" w:rsidR="00047D74" w:rsidRPr="007E5A38" w:rsidRDefault="00047D74" w:rsidP="000B6D24">
            <w:pPr>
              <w:pStyle w:val="TableText"/>
              <w:jc w:val="right"/>
              <w:rPr>
                <w:rFonts w:cs="Arial"/>
                <w:b/>
                <w:bCs/>
              </w:rPr>
            </w:pPr>
            <w:r>
              <w:rPr>
                <w:rFonts w:cs="Arial"/>
                <w:b/>
                <w:bCs/>
              </w:rPr>
              <w:t>39</w:t>
            </w:r>
          </w:p>
        </w:tc>
        <w:tc>
          <w:tcPr>
            <w:tcW w:w="993" w:type="dxa"/>
            <w:tcBorders>
              <w:top w:val="nil"/>
              <w:left w:val="nil"/>
              <w:bottom w:val="single" w:sz="4" w:space="0" w:color="auto"/>
              <w:right w:val="single" w:sz="4" w:space="0" w:color="auto"/>
            </w:tcBorders>
          </w:tcPr>
          <w:p w14:paraId="1A466CB7" w14:textId="3CECD0FC" w:rsidR="00047D74" w:rsidRDefault="00047D74" w:rsidP="000B6D24">
            <w:pPr>
              <w:pStyle w:val="TableText"/>
              <w:jc w:val="right"/>
              <w:rPr>
                <w:rFonts w:cs="Arial"/>
                <w:b/>
                <w:bCs/>
              </w:rPr>
            </w:pPr>
            <w:r>
              <w:rPr>
                <w:rFonts w:cs="Arial"/>
                <w:b/>
                <w:bCs/>
              </w:rPr>
              <w:t>32</w:t>
            </w:r>
          </w:p>
        </w:tc>
      </w:tr>
    </w:tbl>
    <w:p w14:paraId="11BFC9AE" w14:textId="77777777" w:rsidR="00D40971" w:rsidRDefault="00D40971" w:rsidP="002F3FD3">
      <w:pPr>
        <w:ind w:left="-142" w:right="-425"/>
        <w:jc w:val="both"/>
        <w:rPr>
          <w:rFonts w:cs="Arial"/>
        </w:rPr>
      </w:pPr>
    </w:p>
    <w:p w14:paraId="3DA4D471" w14:textId="3D83B91D" w:rsidR="005A5B78" w:rsidRPr="00076ED0" w:rsidRDefault="005A5B78" w:rsidP="00D51DFA">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7776CF22" w14:textId="19619985" w:rsidR="005A5B78" w:rsidRPr="0059763E" w:rsidRDefault="00DD2557" w:rsidP="0059763E">
      <w:pPr>
        <w:ind w:left="-142" w:right="-425"/>
        <w:jc w:val="both"/>
        <w:rPr>
          <w:rFonts w:cs="Arial"/>
          <w:lang w:val="en-GB"/>
        </w:rPr>
      </w:pPr>
      <w:r w:rsidRPr="00DD2557">
        <w:rPr>
          <w:rFonts w:cs="Arial"/>
          <w:lang w:val="en-GB"/>
        </w:rPr>
        <w:t xml:space="preserve">Local Commissioners continue to use Conditional Income Management (CIM) as a decision of last </w:t>
      </w:r>
      <w:r w:rsidRPr="00F859DE">
        <w:rPr>
          <w:rFonts w:cs="Arial"/>
          <w:lang w:val="en-GB"/>
        </w:rPr>
        <w:t xml:space="preserve">resort. </w:t>
      </w:r>
      <w:r w:rsidR="00FE3120">
        <w:rPr>
          <w:rFonts w:cs="Arial"/>
        </w:rPr>
        <w:t xml:space="preserve">A total of </w:t>
      </w:r>
      <w:r w:rsidR="00884383">
        <w:rPr>
          <w:rFonts w:cs="Arial"/>
        </w:rPr>
        <w:t xml:space="preserve">29 </w:t>
      </w:r>
      <w:r w:rsidR="007F0C96">
        <w:rPr>
          <w:rFonts w:cs="Arial"/>
        </w:rPr>
        <w:t>new</w:t>
      </w:r>
      <w:r w:rsidR="00C4793F" w:rsidRPr="00306884">
        <w:rPr>
          <w:rFonts w:cs="Arial"/>
        </w:rPr>
        <w:t xml:space="preserve"> </w:t>
      </w:r>
      <w:r w:rsidR="005A5B78" w:rsidRPr="00306884">
        <w:rPr>
          <w:rFonts w:cs="Arial"/>
        </w:rPr>
        <w:t>CIMs</w:t>
      </w:r>
      <w:r w:rsidR="008875CF">
        <w:rPr>
          <w:rFonts w:cs="Arial"/>
        </w:rPr>
        <w:t xml:space="preserve"> </w:t>
      </w:r>
      <w:r w:rsidR="00EA0435">
        <w:rPr>
          <w:rFonts w:cs="Arial"/>
        </w:rPr>
        <w:t xml:space="preserve">(28 CIM orders and 1 CIM agreement) </w:t>
      </w:r>
      <w:r w:rsidR="001E59F8">
        <w:rPr>
          <w:rFonts w:cs="Arial"/>
        </w:rPr>
        <w:t>relating to</w:t>
      </w:r>
      <w:r w:rsidR="00CD2E78">
        <w:rPr>
          <w:rFonts w:cs="Arial"/>
        </w:rPr>
        <w:t xml:space="preserve"> </w:t>
      </w:r>
      <w:r w:rsidR="00884383">
        <w:rPr>
          <w:rFonts w:cs="Arial"/>
        </w:rPr>
        <w:t xml:space="preserve">29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0C0A83">
        <w:rPr>
          <w:rFonts w:cs="Arial"/>
        </w:rPr>
        <w:t>54</w:t>
      </w:r>
      <w:r w:rsidR="005A5B78" w:rsidRPr="00306884">
        <w:rPr>
          <w:rFonts w:cs="Arial"/>
        </w:rPr>
        <w:t xml:space="preserve">, </w:t>
      </w:r>
      <w:r w:rsidR="00D1657C" w:rsidRPr="00D1657C">
        <w:rPr>
          <w:rFonts w:cs="Arial"/>
        </w:rPr>
        <w:t>a</w:t>
      </w:r>
      <w:r w:rsidR="00884383">
        <w:rPr>
          <w:rFonts w:cs="Arial"/>
        </w:rPr>
        <w:t xml:space="preserve"> decrease </w:t>
      </w:r>
      <w:r w:rsidR="005A5B78" w:rsidRPr="00D1657C">
        <w:rPr>
          <w:rFonts w:cs="Arial"/>
        </w:rPr>
        <w:t>of</w:t>
      </w:r>
      <w:r w:rsidR="005A5B78" w:rsidRPr="007C135D">
        <w:rPr>
          <w:rFonts w:cs="Arial"/>
        </w:rPr>
        <w:t xml:space="preserve"> </w:t>
      </w:r>
      <w:r w:rsidR="00884383">
        <w:rPr>
          <w:rFonts w:cs="Arial"/>
        </w:rPr>
        <w:t>7</w:t>
      </w:r>
      <w:r w:rsidR="00884383" w:rsidRPr="007C135D">
        <w:rPr>
          <w:rFonts w:cs="Arial"/>
        </w:rPr>
        <w:t xml:space="preserve"> </w:t>
      </w:r>
      <w:r w:rsidR="00B516C0">
        <w:rPr>
          <w:rFonts w:cs="Arial"/>
        </w:rPr>
        <w:t xml:space="preserve">CIMs </w:t>
      </w:r>
      <w:r w:rsidR="005A5B78" w:rsidRPr="007C135D">
        <w:rPr>
          <w:rFonts w:cs="Arial"/>
        </w:rPr>
        <w:t xml:space="preserve">from </w:t>
      </w:r>
      <w:r w:rsidR="000257CF">
        <w:rPr>
          <w:rFonts w:cs="Arial"/>
        </w:rPr>
        <w:t xml:space="preserve">quarter </w:t>
      </w:r>
      <w:r w:rsidR="000C0A83">
        <w:rPr>
          <w:rFonts w:cs="Arial"/>
        </w:rPr>
        <w:t>53</w:t>
      </w:r>
      <w:r w:rsidR="00324B7B">
        <w:rPr>
          <w:rFonts w:cs="Arial"/>
        </w:rPr>
        <w:t xml:space="preserve">. </w:t>
      </w:r>
      <w:r w:rsidR="00DE1B45">
        <w:rPr>
          <w:rFonts w:cs="Arial"/>
        </w:rPr>
        <w:t>Ninety-seven percent of CIMs</w:t>
      </w:r>
      <w:r w:rsidR="00324B7B">
        <w:rPr>
          <w:rFonts w:cs="Arial"/>
        </w:rPr>
        <w:t xml:space="preserve"> quarantine</w:t>
      </w:r>
      <w:r w:rsidR="00DE1B45">
        <w:rPr>
          <w:rFonts w:cs="Arial"/>
        </w:rPr>
        <w:t>d</w:t>
      </w:r>
      <w:r w:rsidR="00324B7B">
        <w:rPr>
          <w:rFonts w:cs="Arial"/>
        </w:rPr>
        <w:t xml:space="preserve"> </w:t>
      </w:r>
      <w:r w:rsidR="00C41FA3">
        <w:rPr>
          <w:rFonts w:cs="Arial"/>
        </w:rPr>
        <w:t xml:space="preserve">60 percent </w:t>
      </w:r>
      <w:r w:rsidR="00364C47">
        <w:rPr>
          <w:rFonts w:cs="Arial"/>
        </w:rPr>
        <w:t>of welfare payments</w:t>
      </w:r>
      <w:r w:rsidR="00180AEF">
        <w:rPr>
          <w:rFonts w:cs="Arial"/>
        </w:rPr>
        <w:t xml:space="preserve"> </w:t>
      </w:r>
      <w:r w:rsidR="00364C47">
        <w:rPr>
          <w:rFonts w:cs="Arial"/>
        </w:rPr>
        <w:t>with 13 CIMs issued for a 6-month duration and 14 CIMs issued for a 12-month duration</w:t>
      </w:r>
      <w:r w:rsidR="0061573D">
        <w:rPr>
          <w:rFonts w:cs="Arial"/>
        </w:rPr>
        <w:t xml:space="preserve">. </w:t>
      </w:r>
      <w:r w:rsidR="005A5B78" w:rsidRPr="007C135D">
        <w:rPr>
          <w:rFonts w:cs="Arial"/>
        </w:rPr>
        <w:t xml:space="preserve">Since the commencement of the </w:t>
      </w:r>
      <w:r w:rsidR="005A5B78" w:rsidRPr="00E618E7">
        <w:rPr>
          <w:rFonts w:cs="Arial"/>
        </w:rPr>
        <w:t xml:space="preserve">Commission </w:t>
      </w:r>
      <w:r w:rsidR="005A5B78" w:rsidRPr="004D3A02">
        <w:rPr>
          <w:rFonts w:cs="Arial"/>
        </w:rPr>
        <w:t>CIM</w:t>
      </w:r>
      <w:r w:rsidR="00FE06FE">
        <w:rPr>
          <w:rFonts w:cs="Arial"/>
        </w:rPr>
        <w:t xml:space="preserve">s </w:t>
      </w:r>
      <w:r w:rsidR="005A5B78" w:rsidRPr="007C135D">
        <w:rPr>
          <w:rFonts w:cs="Arial"/>
        </w:rPr>
        <w:t xml:space="preserve">inclusive of original </w:t>
      </w:r>
      <w:r w:rsidR="00FE06FE">
        <w:rPr>
          <w:rFonts w:cs="Arial"/>
        </w:rPr>
        <w:t xml:space="preserve">agreements </w:t>
      </w:r>
      <w:r w:rsidR="00FE06FE">
        <w:rPr>
          <w:rFonts w:cs="Arial"/>
        </w:rPr>
        <w:lastRenderedPageBreak/>
        <w:t xml:space="preserve">and </w:t>
      </w:r>
      <w:r w:rsidR="005A5B78" w:rsidRPr="007C135D">
        <w:rPr>
          <w:rFonts w:cs="Arial"/>
        </w:rPr>
        <w:t xml:space="preserve">orders, extensions and amendments have been made </w:t>
      </w:r>
      <w:r w:rsidR="005A5B78" w:rsidRPr="007C7A9E">
        <w:rPr>
          <w:rFonts w:cs="Arial"/>
        </w:rPr>
        <w:t xml:space="preserve">relating to </w:t>
      </w:r>
      <w:r w:rsidR="00C4793F">
        <w:rPr>
          <w:rFonts w:cs="Arial"/>
        </w:rPr>
        <w:t>9</w:t>
      </w:r>
      <w:r w:rsidR="0093151F">
        <w:rPr>
          <w:rFonts w:cs="Arial"/>
        </w:rPr>
        <w:t>8</w:t>
      </w:r>
      <w:r w:rsidR="00884383">
        <w:rPr>
          <w:rFonts w:cs="Arial"/>
        </w:rPr>
        <w:t>9</w:t>
      </w:r>
      <w:r w:rsidR="00C4793F" w:rsidRPr="007C7A9E">
        <w:rPr>
          <w:rFonts w:cs="Arial"/>
        </w:rPr>
        <w:t xml:space="preserve"> </w:t>
      </w:r>
      <w:r w:rsidR="005A5B78" w:rsidRPr="007C7A9E">
        <w:rPr>
          <w:rFonts w:cs="Arial"/>
        </w:rPr>
        <w:t>clients</w:t>
      </w:r>
      <w:r w:rsidR="00932DF5">
        <w:rPr>
          <w:rFonts w:cs="Arial"/>
        </w:rPr>
        <w:t xml:space="preserve"> (</w:t>
      </w:r>
      <w:r w:rsidR="0093151F">
        <w:rPr>
          <w:rFonts w:cs="Arial"/>
        </w:rPr>
        <w:t>5</w:t>
      </w:r>
      <w:r w:rsidR="00884383">
        <w:rPr>
          <w:rFonts w:cs="Arial"/>
        </w:rPr>
        <w:t>72</w:t>
      </w:r>
      <w:r w:rsidR="0093151F">
        <w:rPr>
          <w:rFonts w:cs="Arial"/>
        </w:rPr>
        <w:t xml:space="preserve"> </w:t>
      </w:r>
      <w:r w:rsidR="00932DF5">
        <w:rPr>
          <w:rFonts w:cs="Arial"/>
        </w:rPr>
        <w:t xml:space="preserve">female and </w:t>
      </w:r>
      <w:r w:rsidR="00C4793F">
        <w:rPr>
          <w:rFonts w:cs="Arial"/>
        </w:rPr>
        <w:t>4</w:t>
      </w:r>
      <w:r w:rsidR="002E5903">
        <w:rPr>
          <w:rFonts w:cs="Arial"/>
        </w:rPr>
        <w:t>1</w:t>
      </w:r>
      <w:r w:rsidR="0093151F">
        <w:rPr>
          <w:rFonts w:cs="Arial"/>
        </w:rPr>
        <w:t>7</w:t>
      </w:r>
      <w:r w:rsidR="00C4793F">
        <w:rPr>
          <w:rFonts w:cs="Arial"/>
        </w:rPr>
        <w:t xml:space="preserve"> </w:t>
      </w:r>
      <w:r w:rsidR="00932DF5">
        <w:rPr>
          <w:rFonts w:cs="Arial"/>
        </w:rPr>
        <w:t>male)</w:t>
      </w:r>
      <w:r w:rsidR="00127CEE">
        <w:rPr>
          <w:rFonts w:cs="Arial"/>
        </w:rPr>
        <w:t xml:space="preserve">. </w:t>
      </w:r>
      <w:r w:rsidR="00884383">
        <w:rPr>
          <w:rFonts w:cs="Arial"/>
        </w:rPr>
        <w:t xml:space="preserve">Decreases </w:t>
      </w:r>
      <w:r w:rsidR="00D63035">
        <w:rPr>
          <w:rFonts w:cs="Arial"/>
        </w:rPr>
        <w:t xml:space="preserve">in quarter </w:t>
      </w:r>
      <w:r w:rsidR="000C0A83">
        <w:rPr>
          <w:rFonts w:cs="Arial"/>
        </w:rPr>
        <w:t>54</w:t>
      </w:r>
      <w:r w:rsidR="00D63035">
        <w:rPr>
          <w:rFonts w:cs="Arial"/>
        </w:rPr>
        <w:t xml:space="preserve"> </w:t>
      </w:r>
      <w:r w:rsidR="00596D78" w:rsidRPr="007C7A9E">
        <w:rPr>
          <w:rFonts w:cs="Arial"/>
        </w:rPr>
        <w:t>were seen in</w:t>
      </w:r>
      <w:r w:rsidR="00D014F4">
        <w:rPr>
          <w:rFonts w:cs="Arial"/>
        </w:rPr>
        <w:t xml:space="preserve"> </w:t>
      </w:r>
      <w:r w:rsidR="00C4793F">
        <w:rPr>
          <w:rFonts w:cs="Arial"/>
        </w:rPr>
        <w:t>Aurukun</w:t>
      </w:r>
      <w:r w:rsidR="00D014F4" w:rsidRPr="007C7A9E">
        <w:rPr>
          <w:rFonts w:cs="Arial"/>
        </w:rPr>
        <w:t xml:space="preserve"> </w:t>
      </w:r>
      <w:r w:rsidR="00D570F8">
        <w:rPr>
          <w:rFonts w:cs="Arial"/>
        </w:rPr>
        <w:t xml:space="preserve">and Hope Vale </w:t>
      </w:r>
      <w:r w:rsidR="00596D78" w:rsidRPr="007C7A9E">
        <w:rPr>
          <w:rFonts w:cs="Arial"/>
        </w:rPr>
        <w:t xml:space="preserve">of </w:t>
      </w:r>
      <w:r w:rsidR="00884383">
        <w:rPr>
          <w:rFonts w:cs="Arial"/>
        </w:rPr>
        <w:t>6</w:t>
      </w:r>
      <w:r w:rsidR="00E341E0">
        <w:rPr>
          <w:rFonts w:cs="Arial"/>
        </w:rPr>
        <w:t xml:space="preserve"> </w:t>
      </w:r>
      <w:r w:rsidR="00C4793F">
        <w:rPr>
          <w:rFonts w:cs="Arial"/>
        </w:rPr>
        <w:t>and</w:t>
      </w:r>
      <w:r w:rsidR="00D014F4">
        <w:rPr>
          <w:rFonts w:cs="Arial"/>
        </w:rPr>
        <w:t xml:space="preserve"> </w:t>
      </w:r>
      <w:r w:rsidR="00884383">
        <w:rPr>
          <w:rFonts w:cs="Arial"/>
        </w:rPr>
        <w:t>4</w:t>
      </w:r>
      <w:r w:rsidR="00492630">
        <w:rPr>
          <w:rFonts w:cs="Arial"/>
        </w:rPr>
        <w:t xml:space="preserve"> </w:t>
      </w:r>
      <w:r w:rsidR="004A53F2" w:rsidRPr="007C7A9E">
        <w:rPr>
          <w:rFonts w:cs="Arial"/>
        </w:rPr>
        <w:t>CIM</w:t>
      </w:r>
      <w:r w:rsidR="00492630">
        <w:rPr>
          <w:rFonts w:cs="Arial"/>
        </w:rPr>
        <w:t>s</w:t>
      </w:r>
      <w:r w:rsidR="004A53F2" w:rsidRPr="007C7A9E">
        <w:rPr>
          <w:rFonts w:cs="Arial"/>
        </w:rPr>
        <w:t xml:space="preserve"> </w:t>
      </w:r>
      <w:r w:rsidR="00596D78" w:rsidRPr="007C7A9E">
        <w:rPr>
          <w:rFonts w:cs="Arial"/>
        </w:rPr>
        <w:t>respectively</w:t>
      </w:r>
      <w:r w:rsidR="00920FDA" w:rsidRPr="007C7A9E">
        <w:rPr>
          <w:rFonts w:cs="Arial"/>
        </w:rPr>
        <w:t xml:space="preserve">, </w:t>
      </w:r>
      <w:r w:rsidR="00884383">
        <w:rPr>
          <w:rFonts w:cs="Arial"/>
        </w:rPr>
        <w:t xml:space="preserve">Doomadgee increased by 3 CIMs and </w:t>
      </w:r>
      <w:r w:rsidR="0093151F">
        <w:rPr>
          <w:rFonts w:cs="Arial"/>
        </w:rPr>
        <w:t xml:space="preserve">Coen and </w:t>
      </w:r>
      <w:r w:rsidR="00C4793F">
        <w:rPr>
          <w:rFonts w:cs="Arial"/>
        </w:rPr>
        <w:t xml:space="preserve">Mossman Gorge </w:t>
      </w:r>
      <w:r w:rsidR="00CF5A21">
        <w:rPr>
          <w:rFonts w:cs="Arial"/>
        </w:rPr>
        <w:t xml:space="preserve">remain unchanged </w:t>
      </w:r>
      <w:r w:rsidR="006D2DFF">
        <w:rPr>
          <w:rFonts w:cs="Arial"/>
        </w:rPr>
        <w:t xml:space="preserve">from the preceding quarter </w:t>
      </w:r>
      <w:r w:rsidR="00CF5A21">
        <w:rPr>
          <w:rFonts w:cs="Arial"/>
        </w:rPr>
        <w:t xml:space="preserve">recording zero and 1 CIM </w:t>
      </w:r>
      <w:r w:rsidR="002872AF">
        <w:rPr>
          <w:rFonts w:cs="Arial"/>
        </w:rPr>
        <w:t>respectively</w:t>
      </w:r>
      <w:r w:rsidR="00A078B9" w:rsidRPr="004D3A02">
        <w:t>.</w:t>
      </w:r>
    </w:p>
    <w:p w14:paraId="23F5549F" w14:textId="77777777" w:rsidR="005A5B78" w:rsidRPr="00386FF7" w:rsidRDefault="005A5B78" w:rsidP="005A5B78">
      <w:pPr>
        <w:ind w:left="-142" w:right="-425"/>
        <w:jc w:val="both"/>
        <w:rPr>
          <w:rFonts w:cs="Arial"/>
        </w:rPr>
      </w:pPr>
    </w:p>
    <w:p w14:paraId="15BC289D" w14:textId="46C9B1D4" w:rsidR="005A5B78" w:rsidRDefault="005A5B78" w:rsidP="005A5B78">
      <w:pPr>
        <w:ind w:left="-142" w:right="-425"/>
        <w:jc w:val="both"/>
        <w:rPr>
          <w:rFonts w:cs="Arial"/>
        </w:rPr>
      </w:pPr>
      <w:r w:rsidRPr="00C313D5">
        <w:rPr>
          <w:rFonts w:cs="Arial"/>
        </w:rPr>
        <w:t xml:space="preserve">As at </w:t>
      </w:r>
      <w:r w:rsidR="00F83C14">
        <w:rPr>
          <w:rFonts w:cs="Arial"/>
        </w:rPr>
        <w:t>3</w:t>
      </w:r>
      <w:r w:rsidR="00CF5A21">
        <w:rPr>
          <w:rFonts w:cs="Arial"/>
        </w:rPr>
        <w:t xml:space="preserve">1 December </w:t>
      </w:r>
      <w:r w:rsidR="009A7C28">
        <w:rPr>
          <w:rFonts w:cs="Arial"/>
        </w:rPr>
        <w:t>2021</w:t>
      </w:r>
      <w:r w:rsidRPr="00C313D5">
        <w:rPr>
          <w:rFonts w:cs="Arial"/>
        </w:rPr>
        <w:t xml:space="preserve"> there were </w:t>
      </w:r>
      <w:r w:rsidR="0021315B">
        <w:rPr>
          <w:rFonts w:cs="Arial"/>
        </w:rPr>
        <w:t>62</w:t>
      </w:r>
      <w:r w:rsidR="0021315B" w:rsidRPr="00C313D5">
        <w:rPr>
          <w:rFonts w:cs="Arial"/>
        </w:rPr>
        <w:t xml:space="preserve"> </w:t>
      </w:r>
      <w:r w:rsidRPr="00C313D5">
        <w:rPr>
          <w:rFonts w:cs="Arial"/>
        </w:rPr>
        <w:t xml:space="preserve">clients subject to a </w:t>
      </w:r>
      <w:r w:rsidR="00A20D65" w:rsidRPr="00C313D5">
        <w:rPr>
          <w:rFonts w:cs="Arial"/>
        </w:rPr>
        <w:t xml:space="preserve">current </w:t>
      </w:r>
      <w:r w:rsidRPr="00C313D5">
        <w:rPr>
          <w:rFonts w:cs="Arial"/>
        </w:rPr>
        <w:t>CIM</w:t>
      </w:r>
      <w:r w:rsidR="00984127">
        <w:rPr>
          <w:rFonts w:cs="Arial"/>
        </w:rPr>
        <w:t xml:space="preserve">, </w:t>
      </w:r>
      <w:bookmarkStart w:id="17" w:name="_Hlk80798728"/>
      <w:r w:rsidR="00984127">
        <w:rPr>
          <w:rFonts w:cs="Arial"/>
        </w:rPr>
        <w:t xml:space="preserve">with </w:t>
      </w:r>
      <w:r w:rsidR="0021315B">
        <w:rPr>
          <w:rFonts w:cs="Arial"/>
        </w:rPr>
        <w:t xml:space="preserve">90 </w:t>
      </w:r>
      <w:r w:rsidR="00984127">
        <w:rPr>
          <w:rFonts w:cs="Arial"/>
        </w:rPr>
        <w:t xml:space="preserve">percent at 60 percent conditional income management and </w:t>
      </w:r>
      <w:r w:rsidR="0021315B">
        <w:rPr>
          <w:rFonts w:cs="Arial"/>
        </w:rPr>
        <w:t xml:space="preserve">66 </w:t>
      </w:r>
      <w:r w:rsidR="00984127">
        <w:rPr>
          <w:rFonts w:cs="Arial"/>
        </w:rPr>
        <w:t xml:space="preserve">percent for a </w:t>
      </w:r>
      <w:r w:rsidR="0093151F">
        <w:rPr>
          <w:rFonts w:cs="Arial"/>
        </w:rPr>
        <w:t>6</w:t>
      </w:r>
      <w:r w:rsidR="00984127">
        <w:rPr>
          <w:rFonts w:cs="Arial"/>
        </w:rPr>
        <w:t>-month duration</w:t>
      </w:r>
      <w:r w:rsidR="00CE5828" w:rsidRPr="00C313D5">
        <w:rPr>
          <w:rFonts w:cs="Arial"/>
        </w:rPr>
        <w:t>.</w:t>
      </w:r>
      <w:r w:rsidR="0061573D">
        <w:rPr>
          <w:rFonts w:cs="Arial"/>
        </w:rPr>
        <w:t xml:space="preserve"> </w:t>
      </w:r>
      <w:bookmarkEnd w:id="17"/>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w:t>
      </w:r>
      <w:r w:rsidR="00BE4505">
        <w:rPr>
          <w:rFonts w:cs="Arial"/>
        </w:rPr>
        <w:t xml:space="preserve">amending or ending </w:t>
      </w:r>
      <w:r w:rsidR="00001E8D">
        <w:rPr>
          <w:rFonts w:cs="Arial"/>
        </w:rPr>
        <w:t xml:space="preserve">a </w:t>
      </w:r>
      <w:r>
        <w:rPr>
          <w:rFonts w:cs="Arial"/>
        </w:rPr>
        <w:t>CIM when requested by the client.</w:t>
      </w:r>
    </w:p>
    <w:p w14:paraId="42B7F166" w14:textId="25B4B8AA" w:rsidR="00250C7D" w:rsidRDefault="00250C7D" w:rsidP="005A5B78">
      <w:pPr>
        <w:ind w:left="-142" w:right="-425"/>
        <w:jc w:val="both"/>
        <w:rPr>
          <w:rFonts w:cs="Arial"/>
        </w:rPr>
      </w:pPr>
    </w:p>
    <w:p w14:paraId="71981DE1" w14:textId="22BC3004" w:rsidR="00250C7D" w:rsidRPr="00B01FE8" w:rsidRDefault="00250C7D" w:rsidP="00250C7D">
      <w:pPr>
        <w:pStyle w:val="TableCaption"/>
        <w:spacing w:before="0"/>
        <w:ind w:left="0" w:right="-425"/>
        <w:rPr>
          <w:b/>
          <w:i w:val="0"/>
          <w:sz w:val="16"/>
        </w:rPr>
      </w:pPr>
      <w:r w:rsidRPr="00B01FE8">
        <w:rPr>
          <w:b/>
          <w:i w:val="0"/>
          <w:sz w:val="16"/>
        </w:rPr>
        <w:t>Table 1</w:t>
      </w:r>
      <w:r>
        <w:rPr>
          <w:b/>
          <w:i w:val="0"/>
          <w:sz w:val="16"/>
        </w:rPr>
        <w:t>9</w:t>
      </w:r>
      <w:r w:rsidRPr="00B01FE8">
        <w:rPr>
          <w:b/>
          <w:i w:val="0"/>
          <w:sz w:val="16"/>
        </w:rPr>
        <w:t xml:space="preserve">: </w:t>
      </w:r>
      <w:r w:rsidRPr="00B01FE8">
        <w:rPr>
          <w:i w:val="0"/>
          <w:sz w:val="16"/>
        </w:rPr>
        <w:t xml:space="preserve">Conditional Income Management orders by community and quarter 1 </w:t>
      </w:r>
      <w:r>
        <w:rPr>
          <w:i w:val="0"/>
          <w:sz w:val="16"/>
        </w:rPr>
        <w:t xml:space="preserve">October 2020 to 31 December </w:t>
      </w:r>
      <w:r w:rsidRPr="00B01FE8">
        <w:rPr>
          <w:i w:val="0"/>
          <w:sz w:val="16"/>
        </w:rPr>
        <w:t>20</w:t>
      </w:r>
      <w:r>
        <w:rPr>
          <w:i w:val="0"/>
          <w:sz w:val="16"/>
        </w:rPr>
        <w:t>21</w:t>
      </w:r>
    </w:p>
    <w:tbl>
      <w:tblPr>
        <w:tblW w:w="6840" w:type="dxa"/>
        <w:tblInd w:w="93" w:type="dxa"/>
        <w:tblLook w:val="04A0" w:firstRow="1" w:lastRow="0" w:firstColumn="1" w:lastColumn="0" w:noHBand="0" w:noVBand="1"/>
      </w:tblPr>
      <w:tblGrid>
        <w:gridCol w:w="2040"/>
        <w:gridCol w:w="960"/>
        <w:gridCol w:w="960"/>
        <w:gridCol w:w="960"/>
        <w:gridCol w:w="960"/>
        <w:gridCol w:w="960"/>
      </w:tblGrid>
      <w:tr w:rsidR="00250C7D" w:rsidRPr="00C5395B" w14:paraId="09DABD65" w14:textId="4C4A4F88" w:rsidTr="00250C7D">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73BF3ACB" w14:textId="77777777" w:rsidR="00250C7D" w:rsidRPr="00C5395B" w:rsidRDefault="00250C7D" w:rsidP="000B6D24">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40346C02" w14:textId="77777777" w:rsidR="00250C7D" w:rsidRDefault="00250C7D" w:rsidP="000B6D24">
            <w:pPr>
              <w:pStyle w:val="TableText"/>
              <w:jc w:val="right"/>
              <w:rPr>
                <w:b/>
                <w:lang w:eastAsia="en-AU"/>
              </w:rPr>
            </w:pPr>
            <w:r>
              <w:rPr>
                <w:b/>
                <w:lang w:eastAsia="en-AU"/>
              </w:rPr>
              <w:t>Qtr 50</w:t>
            </w:r>
          </w:p>
        </w:tc>
        <w:tc>
          <w:tcPr>
            <w:tcW w:w="960" w:type="dxa"/>
            <w:tcBorders>
              <w:top w:val="single" w:sz="4" w:space="0" w:color="auto"/>
              <w:left w:val="nil"/>
              <w:bottom w:val="single" w:sz="4" w:space="0" w:color="auto"/>
              <w:right w:val="single" w:sz="4" w:space="0" w:color="auto"/>
            </w:tcBorders>
          </w:tcPr>
          <w:p w14:paraId="36206171" w14:textId="77777777" w:rsidR="00250C7D" w:rsidRDefault="00250C7D" w:rsidP="000B6D24">
            <w:pPr>
              <w:pStyle w:val="TableText"/>
              <w:jc w:val="right"/>
              <w:rPr>
                <w:b/>
                <w:lang w:eastAsia="en-AU"/>
              </w:rPr>
            </w:pPr>
            <w:r>
              <w:rPr>
                <w:b/>
                <w:lang w:eastAsia="en-AU"/>
              </w:rPr>
              <w:t>Qtr 51</w:t>
            </w:r>
          </w:p>
        </w:tc>
        <w:tc>
          <w:tcPr>
            <w:tcW w:w="960" w:type="dxa"/>
            <w:tcBorders>
              <w:top w:val="single" w:sz="4" w:space="0" w:color="auto"/>
              <w:left w:val="nil"/>
              <w:bottom w:val="single" w:sz="4" w:space="0" w:color="auto"/>
              <w:right w:val="single" w:sz="4" w:space="0" w:color="auto"/>
            </w:tcBorders>
          </w:tcPr>
          <w:p w14:paraId="1347084A" w14:textId="77777777" w:rsidR="00250C7D" w:rsidRDefault="00250C7D" w:rsidP="000B6D24">
            <w:pPr>
              <w:pStyle w:val="TableText"/>
              <w:jc w:val="right"/>
              <w:rPr>
                <w:b/>
                <w:lang w:eastAsia="en-AU"/>
              </w:rPr>
            </w:pPr>
            <w:r>
              <w:rPr>
                <w:b/>
                <w:lang w:eastAsia="en-AU"/>
              </w:rPr>
              <w:t>Qtr 52</w:t>
            </w:r>
          </w:p>
        </w:tc>
        <w:tc>
          <w:tcPr>
            <w:tcW w:w="960" w:type="dxa"/>
            <w:tcBorders>
              <w:top w:val="single" w:sz="4" w:space="0" w:color="auto"/>
              <w:left w:val="nil"/>
              <w:bottom w:val="single" w:sz="4" w:space="0" w:color="auto"/>
              <w:right w:val="single" w:sz="4" w:space="0" w:color="auto"/>
            </w:tcBorders>
          </w:tcPr>
          <w:p w14:paraId="2715C95D" w14:textId="77777777" w:rsidR="00250C7D" w:rsidRDefault="00250C7D" w:rsidP="000B6D24">
            <w:pPr>
              <w:pStyle w:val="TableText"/>
              <w:jc w:val="right"/>
              <w:rPr>
                <w:b/>
                <w:lang w:eastAsia="en-AU"/>
              </w:rPr>
            </w:pPr>
            <w:r>
              <w:rPr>
                <w:b/>
                <w:lang w:eastAsia="en-AU"/>
              </w:rPr>
              <w:t>Qtr 53</w:t>
            </w:r>
          </w:p>
        </w:tc>
        <w:tc>
          <w:tcPr>
            <w:tcW w:w="960" w:type="dxa"/>
            <w:tcBorders>
              <w:top w:val="single" w:sz="4" w:space="0" w:color="auto"/>
              <w:left w:val="nil"/>
              <w:bottom w:val="single" w:sz="4" w:space="0" w:color="auto"/>
              <w:right w:val="single" w:sz="4" w:space="0" w:color="auto"/>
            </w:tcBorders>
          </w:tcPr>
          <w:p w14:paraId="59D9E255" w14:textId="317BFFAF" w:rsidR="00250C7D" w:rsidRDefault="00250C7D" w:rsidP="000B6D24">
            <w:pPr>
              <w:pStyle w:val="TableText"/>
              <w:jc w:val="right"/>
              <w:rPr>
                <w:b/>
                <w:lang w:eastAsia="en-AU"/>
              </w:rPr>
            </w:pPr>
            <w:r>
              <w:rPr>
                <w:b/>
                <w:lang w:eastAsia="en-AU"/>
              </w:rPr>
              <w:t>Qtr 54</w:t>
            </w:r>
          </w:p>
        </w:tc>
      </w:tr>
      <w:tr w:rsidR="00250C7D" w:rsidRPr="00C5395B" w14:paraId="2E912438" w14:textId="16CCAD20" w:rsidTr="00250C7D">
        <w:trPr>
          <w:trHeight w:val="255"/>
        </w:trPr>
        <w:tc>
          <w:tcPr>
            <w:tcW w:w="2040" w:type="dxa"/>
            <w:tcBorders>
              <w:top w:val="nil"/>
              <w:left w:val="single" w:sz="4" w:space="0" w:color="auto"/>
              <w:bottom w:val="single" w:sz="4" w:space="0" w:color="auto"/>
              <w:right w:val="single" w:sz="4" w:space="0" w:color="auto"/>
            </w:tcBorders>
            <w:noWrap/>
            <w:hideMark/>
          </w:tcPr>
          <w:p w14:paraId="27A07F8B" w14:textId="77777777" w:rsidR="00250C7D" w:rsidRPr="00C5395B" w:rsidRDefault="00250C7D" w:rsidP="000B6D24">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50303617" w14:textId="77777777" w:rsidR="00250C7D" w:rsidRDefault="00250C7D" w:rsidP="000B6D24">
            <w:pPr>
              <w:jc w:val="right"/>
              <w:rPr>
                <w:rFonts w:cs="Arial"/>
              </w:rPr>
            </w:pPr>
            <w:r w:rsidRPr="003F75B5">
              <w:rPr>
                <w:rFonts w:cs="Arial"/>
              </w:rPr>
              <w:t>14</w:t>
            </w:r>
          </w:p>
        </w:tc>
        <w:tc>
          <w:tcPr>
            <w:tcW w:w="960" w:type="dxa"/>
            <w:tcBorders>
              <w:top w:val="nil"/>
              <w:left w:val="nil"/>
              <w:bottom w:val="single" w:sz="4" w:space="0" w:color="auto"/>
              <w:right w:val="single" w:sz="4" w:space="0" w:color="auto"/>
            </w:tcBorders>
            <w:vAlign w:val="bottom"/>
          </w:tcPr>
          <w:p w14:paraId="6497E074" w14:textId="77777777" w:rsidR="00250C7D" w:rsidRDefault="00250C7D" w:rsidP="000B6D24">
            <w:pPr>
              <w:jc w:val="right"/>
              <w:rPr>
                <w:rFonts w:cs="Arial"/>
              </w:rPr>
            </w:pPr>
            <w:r w:rsidRPr="00FB4759">
              <w:rPr>
                <w:rFonts w:cs="Arial"/>
              </w:rPr>
              <w:t>4</w:t>
            </w:r>
          </w:p>
        </w:tc>
        <w:tc>
          <w:tcPr>
            <w:tcW w:w="960" w:type="dxa"/>
            <w:tcBorders>
              <w:top w:val="nil"/>
              <w:left w:val="nil"/>
              <w:bottom w:val="single" w:sz="4" w:space="0" w:color="auto"/>
              <w:right w:val="single" w:sz="4" w:space="0" w:color="auto"/>
            </w:tcBorders>
          </w:tcPr>
          <w:p w14:paraId="318AA2A6" w14:textId="77777777" w:rsidR="00250C7D" w:rsidRPr="00EE6BD7" w:rsidRDefault="00250C7D" w:rsidP="000B6D24">
            <w:pPr>
              <w:jc w:val="right"/>
              <w:rPr>
                <w:rFonts w:cs="Arial"/>
              </w:rPr>
            </w:pPr>
            <w:r w:rsidRPr="00F1223C">
              <w:rPr>
                <w:rFonts w:cs="Arial"/>
              </w:rPr>
              <w:t>8</w:t>
            </w:r>
          </w:p>
        </w:tc>
        <w:tc>
          <w:tcPr>
            <w:tcW w:w="960" w:type="dxa"/>
            <w:tcBorders>
              <w:top w:val="nil"/>
              <w:left w:val="nil"/>
              <w:bottom w:val="single" w:sz="4" w:space="0" w:color="auto"/>
              <w:right w:val="single" w:sz="4" w:space="0" w:color="auto"/>
            </w:tcBorders>
          </w:tcPr>
          <w:p w14:paraId="2E8E9259" w14:textId="77777777" w:rsidR="00250C7D" w:rsidRPr="00A969C0" w:rsidRDefault="00250C7D" w:rsidP="000B6D24">
            <w:pPr>
              <w:jc w:val="right"/>
              <w:rPr>
                <w:rFonts w:cs="Arial"/>
              </w:rPr>
            </w:pPr>
            <w:r w:rsidRPr="00A969C0">
              <w:rPr>
                <w:rFonts w:cs="Arial"/>
              </w:rPr>
              <w:t>22</w:t>
            </w:r>
          </w:p>
        </w:tc>
        <w:tc>
          <w:tcPr>
            <w:tcW w:w="960" w:type="dxa"/>
            <w:tcBorders>
              <w:top w:val="nil"/>
              <w:left w:val="nil"/>
              <w:bottom w:val="single" w:sz="4" w:space="0" w:color="auto"/>
              <w:right w:val="single" w:sz="4" w:space="0" w:color="auto"/>
            </w:tcBorders>
          </w:tcPr>
          <w:p w14:paraId="451A5AB9" w14:textId="6A3DA382" w:rsidR="00250C7D" w:rsidRPr="00A969C0" w:rsidRDefault="00250C7D" w:rsidP="000B6D24">
            <w:pPr>
              <w:jc w:val="right"/>
              <w:rPr>
                <w:rFonts w:cs="Arial"/>
              </w:rPr>
            </w:pPr>
            <w:r>
              <w:rPr>
                <w:rFonts w:cs="Arial"/>
              </w:rPr>
              <w:t>16</w:t>
            </w:r>
          </w:p>
        </w:tc>
      </w:tr>
      <w:tr w:rsidR="00250C7D" w:rsidRPr="00C5395B" w14:paraId="126C5047" w14:textId="1F174A98" w:rsidTr="00250C7D">
        <w:trPr>
          <w:trHeight w:val="255"/>
        </w:trPr>
        <w:tc>
          <w:tcPr>
            <w:tcW w:w="2040" w:type="dxa"/>
            <w:tcBorders>
              <w:top w:val="nil"/>
              <w:left w:val="single" w:sz="4" w:space="0" w:color="auto"/>
              <w:bottom w:val="single" w:sz="4" w:space="0" w:color="auto"/>
              <w:right w:val="single" w:sz="4" w:space="0" w:color="auto"/>
            </w:tcBorders>
            <w:noWrap/>
            <w:hideMark/>
          </w:tcPr>
          <w:p w14:paraId="1127418D" w14:textId="77777777" w:rsidR="00250C7D" w:rsidRPr="00C5395B" w:rsidRDefault="00250C7D" w:rsidP="000B6D24">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7061F30C" w14:textId="77777777" w:rsidR="00250C7D" w:rsidRDefault="00250C7D" w:rsidP="000B6D24">
            <w:pPr>
              <w:jc w:val="right"/>
              <w:rPr>
                <w:rFonts w:cs="Arial"/>
              </w:rPr>
            </w:pPr>
            <w:r>
              <w:rPr>
                <w:rFonts w:cs="Arial"/>
              </w:rPr>
              <w:t>2</w:t>
            </w:r>
          </w:p>
        </w:tc>
        <w:tc>
          <w:tcPr>
            <w:tcW w:w="960" w:type="dxa"/>
            <w:tcBorders>
              <w:top w:val="nil"/>
              <w:left w:val="nil"/>
              <w:bottom w:val="single" w:sz="4" w:space="0" w:color="auto"/>
              <w:right w:val="single" w:sz="4" w:space="0" w:color="auto"/>
            </w:tcBorders>
            <w:vAlign w:val="bottom"/>
          </w:tcPr>
          <w:p w14:paraId="78B60180" w14:textId="77777777" w:rsidR="00250C7D" w:rsidRDefault="00250C7D" w:rsidP="000B6D24">
            <w:pPr>
              <w:jc w:val="right"/>
              <w:rPr>
                <w:rFonts w:cs="Arial"/>
              </w:rPr>
            </w:pPr>
            <w:r w:rsidRPr="00FB4759">
              <w:rPr>
                <w:rFonts w:cs="Arial"/>
              </w:rPr>
              <w:t>0</w:t>
            </w:r>
          </w:p>
        </w:tc>
        <w:tc>
          <w:tcPr>
            <w:tcW w:w="960" w:type="dxa"/>
            <w:tcBorders>
              <w:top w:val="nil"/>
              <w:left w:val="nil"/>
              <w:bottom w:val="single" w:sz="4" w:space="0" w:color="auto"/>
              <w:right w:val="single" w:sz="4" w:space="0" w:color="auto"/>
            </w:tcBorders>
          </w:tcPr>
          <w:p w14:paraId="79648C4C" w14:textId="77777777" w:rsidR="00250C7D" w:rsidRPr="00EE6BD7" w:rsidRDefault="00250C7D" w:rsidP="000B6D24">
            <w:pPr>
              <w:jc w:val="right"/>
              <w:rPr>
                <w:rFonts w:cs="Arial"/>
              </w:rPr>
            </w:pPr>
            <w:r w:rsidRPr="00F1223C">
              <w:rPr>
                <w:rFonts w:cs="Arial"/>
              </w:rPr>
              <w:t>3</w:t>
            </w:r>
          </w:p>
        </w:tc>
        <w:tc>
          <w:tcPr>
            <w:tcW w:w="960" w:type="dxa"/>
            <w:tcBorders>
              <w:top w:val="nil"/>
              <w:left w:val="nil"/>
              <w:bottom w:val="single" w:sz="4" w:space="0" w:color="auto"/>
              <w:right w:val="single" w:sz="4" w:space="0" w:color="auto"/>
            </w:tcBorders>
          </w:tcPr>
          <w:p w14:paraId="2167491B" w14:textId="77777777" w:rsidR="00250C7D" w:rsidRPr="00A969C0" w:rsidRDefault="00250C7D" w:rsidP="000B6D24">
            <w:pPr>
              <w:jc w:val="right"/>
              <w:rPr>
                <w:rFonts w:cs="Arial"/>
              </w:rPr>
            </w:pPr>
            <w:r w:rsidRPr="00A969C0">
              <w:rPr>
                <w:rFonts w:cs="Arial"/>
              </w:rPr>
              <w:t>0</w:t>
            </w:r>
          </w:p>
        </w:tc>
        <w:tc>
          <w:tcPr>
            <w:tcW w:w="960" w:type="dxa"/>
            <w:tcBorders>
              <w:top w:val="nil"/>
              <w:left w:val="nil"/>
              <w:bottom w:val="single" w:sz="4" w:space="0" w:color="auto"/>
              <w:right w:val="single" w:sz="4" w:space="0" w:color="auto"/>
            </w:tcBorders>
          </w:tcPr>
          <w:p w14:paraId="5B956576" w14:textId="59B69AC0" w:rsidR="00250C7D" w:rsidRPr="00A969C0" w:rsidRDefault="00250C7D" w:rsidP="000B6D24">
            <w:pPr>
              <w:jc w:val="right"/>
              <w:rPr>
                <w:rFonts w:cs="Arial"/>
              </w:rPr>
            </w:pPr>
            <w:r>
              <w:rPr>
                <w:rFonts w:cs="Arial"/>
              </w:rPr>
              <w:t>0</w:t>
            </w:r>
          </w:p>
        </w:tc>
      </w:tr>
      <w:tr w:rsidR="00250C7D" w:rsidRPr="00C5395B" w14:paraId="05306218" w14:textId="0D623B35" w:rsidTr="00250C7D">
        <w:trPr>
          <w:trHeight w:val="255"/>
        </w:trPr>
        <w:tc>
          <w:tcPr>
            <w:tcW w:w="2040" w:type="dxa"/>
            <w:tcBorders>
              <w:top w:val="nil"/>
              <w:left w:val="single" w:sz="4" w:space="0" w:color="auto"/>
              <w:bottom w:val="single" w:sz="4" w:space="0" w:color="auto"/>
              <w:right w:val="single" w:sz="4" w:space="0" w:color="auto"/>
            </w:tcBorders>
            <w:noWrap/>
          </w:tcPr>
          <w:p w14:paraId="6050617F" w14:textId="77777777" w:rsidR="00250C7D" w:rsidRPr="00C5395B" w:rsidRDefault="00250C7D" w:rsidP="000B6D24">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0B80B979" w14:textId="77777777" w:rsidR="00250C7D" w:rsidRDefault="00250C7D" w:rsidP="000B6D24">
            <w:pPr>
              <w:jc w:val="right"/>
              <w:rPr>
                <w:rFonts w:cs="Arial"/>
              </w:rPr>
            </w:pPr>
            <w:r>
              <w:rPr>
                <w:rFonts w:cs="Arial"/>
              </w:rPr>
              <w:t>6</w:t>
            </w:r>
          </w:p>
        </w:tc>
        <w:tc>
          <w:tcPr>
            <w:tcW w:w="960" w:type="dxa"/>
            <w:tcBorders>
              <w:top w:val="nil"/>
              <w:left w:val="nil"/>
              <w:bottom w:val="single" w:sz="4" w:space="0" w:color="auto"/>
              <w:right w:val="single" w:sz="4" w:space="0" w:color="auto"/>
            </w:tcBorders>
            <w:vAlign w:val="bottom"/>
          </w:tcPr>
          <w:p w14:paraId="64580855" w14:textId="77777777" w:rsidR="00250C7D" w:rsidRDefault="00250C7D" w:rsidP="000B6D24">
            <w:pPr>
              <w:jc w:val="right"/>
              <w:rPr>
                <w:rFonts w:cs="Arial"/>
              </w:rPr>
            </w:pPr>
            <w:r w:rsidRPr="00FB4759">
              <w:rPr>
                <w:rFonts w:cs="Arial"/>
              </w:rPr>
              <w:t>2</w:t>
            </w:r>
          </w:p>
        </w:tc>
        <w:tc>
          <w:tcPr>
            <w:tcW w:w="960" w:type="dxa"/>
            <w:tcBorders>
              <w:top w:val="nil"/>
              <w:left w:val="nil"/>
              <w:bottom w:val="single" w:sz="4" w:space="0" w:color="auto"/>
              <w:right w:val="single" w:sz="4" w:space="0" w:color="auto"/>
            </w:tcBorders>
          </w:tcPr>
          <w:p w14:paraId="2044999F" w14:textId="77777777" w:rsidR="00250C7D" w:rsidRPr="00EE6BD7" w:rsidRDefault="00250C7D" w:rsidP="000B6D24">
            <w:pPr>
              <w:jc w:val="right"/>
              <w:rPr>
                <w:rFonts w:cs="Arial"/>
              </w:rPr>
            </w:pPr>
            <w:r w:rsidRPr="00F1223C">
              <w:rPr>
                <w:rFonts w:cs="Arial"/>
              </w:rPr>
              <w:t>7</w:t>
            </w:r>
          </w:p>
        </w:tc>
        <w:tc>
          <w:tcPr>
            <w:tcW w:w="960" w:type="dxa"/>
            <w:tcBorders>
              <w:top w:val="nil"/>
              <w:left w:val="nil"/>
              <w:bottom w:val="single" w:sz="4" w:space="0" w:color="auto"/>
              <w:right w:val="single" w:sz="4" w:space="0" w:color="auto"/>
            </w:tcBorders>
          </w:tcPr>
          <w:p w14:paraId="02C61C17" w14:textId="77777777" w:rsidR="00250C7D" w:rsidRPr="00A969C0" w:rsidRDefault="00250C7D" w:rsidP="000B6D24">
            <w:pPr>
              <w:jc w:val="right"/>
              <w:rPr>
                <w:rFonts w:cs="Arial"/>
              </w:rPr>
            </w:pPr>
            <w:r w:rsidRPr="00A969C0">
              <w:rPr>
                <w:rFonts w:cs="Arial"/>
              </w:rPr>
              <w:t>8</w:t>
            </w:r>
          </w:p>
        </w:tc>
        <w:tc>
          <w:tcPr>
            <w:tcW w:w="960" w:type="dxa"/>
            <w:tcBorders>
              <w:top w:val="nil"/>
              <w:left w:val="nil"/>
              <w:bottom w:val="single" w:sz="4" w:space="0" w:color="auto"/>
              <w:right w:val="single" w:sz="4" w:space="0" w:color="auto"/>
            </w:tcBorders>
          </w:tcPr>
          <w:p w14:paraId="0C8623D8" w14:textId="4F2925CA" w:rsidR="00250C7D" w:rsidRPr="00A969C0" w:rsidRDefault="00250C7D" w:rsidP="000B6D24">
            <w:pPr>
              <w:jc w:val="right"/>
              <w:rPr>
                <w:rFonts w:cs="Arial"/>
              </w:rPr>
            </w:pPr>
            <w:r>
              <w:rPr>
                <w:rFonts w:cs="Arial"/>
              </w:rPr>
              <w:t>11</w:t>
            </w:r>
          </w:p>
        </w:tc>
      </w:tr>
      <w:tr w:rsidR="00250C7D" w:rsidRPr="00C5395B" w14:paraId="008DBE10" w14:textId="1119C2CE" w:rsidTr="00250C7D">
        <w:trPr>
          <w:trHeight w:val="255"/>
        </w:trPr>
        <w:tc>
          <w:tcPr>
            <w:tcW w:w="2040" w:type="dxa"/>
            <w:tcBorders>
              <w:top w:val="nil"/>
              <w:left w:val="single" w:sz="4" w:space="0" w:color="auto"/>
              <w:bottom w:val="single" w:sz="4" w:space="0" w:color="auto"/>
              <w:right w:val="single" w:sz="4" w:space="0" w:color="auto"/>
            </w:tcBorders>
            <w:noWrap/>
            <w:hideMark/>
          </w:tcPr>
          <w:p w14:paraId="2C2FEDFE" w14:textId="77777777" w:rsidR="00250C7D" w:rsidRPr="00C5395B" w:rsidRDefault="00250C7D" w:rsidP="000B6D24">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6DBE5515" w14:textId="77777777" w:rsidR="00250C7D" w:rsidRDefault="00250C7D" w:rsidP="000B6D24">
            <w:pPr>
              <w:jc w:val="right"/>
              <w:rPr>
                <w:rFonts w:cs="Arial"/>
              </w:rPr>
            </w:pPr>
            <w:r>
              <w:rPr>
                <w:rFonts w:cs="Arial"/>
              </w:rPr>
              <w:t>0</w:t>
            </w:r>
          </w:p>
        </w:tc>
        <w:tc>
          <w:tcPr>
            <w:tcW w:w="960" w:type="dxa"/>
            <w:tcBorders>
              <w:top w:val="nil"/>
              <w:left w:val="nil"/>
              <w:bottom w:val="single" w:sz="4" w:space="0" w:color="auto"/>
              <w:right w:val="single" w:sz="4" w:space="0" w:color="auto"/>
            </w:tcBorders>
            <w:vAlign w:val="bottom"/>
          </w:tcPr>
          <w:p w14:paraId="39D2EAE2" w14:textId="77777777" w:rsidR="00250C7D" w:rsidRDefault="00250C7D" w:rsidP="000B6D24">
            <w:pPr>
              <w:jc w:val="right"/>
              <w:rPr>
                <w:rFonts w:cs="Arial"/>
              </w:rPr>
            </w:pPr>
            <w:r w:rsidRPr="00FB4759">
              <w:rPr>
                <w:rFonts w:cs="Arial"/>
              </w:rPr>
              <w:t>2</w:t>
            </w:r>
          </w:p>
        </w:tc>
        <w:tc>
          <w:tcPr>
            <w:tcW w:w="960" w:type="dxa"/>
            <w:tcBorders>
              <w:top w:val="nil"/>
              <w:left w:val="nil"/>
              <w:bottom w:val="single" w:sz="4" w:space="0" w:color="auto"/>
              <w:right w:val="single" w:sz="4" w:space="0" w:color="auto"/>
            </w:tcBorders>
          </w:tcPr>
          <w:p w14:paraId="6B89BB70" w14:textId="77777777" w:rsidR="00250C7D" w:rsidRPr="00EE6BD7" w:rsidRDefault="00250C7D" w:rsidP="000B6D24">
            <w:pPr>
              <w:jc w:val="right"/>
              <w:rPr>
                <w:rFonts w:cs="Arial"/>
              </w:rPr>
            </w:pPr>
            <w:r w:rsidRPr="00F1223C">
              <w:rPr>
                <w:rFonts w:cs="Arial"/>
              </w:rPr>
              <w:t>4</w:t>
            </w:r>
          </w:p>
        </w:tc>
        <w:tc>
          <w:tcPr>
            <w:tcW w:w="960" w:type="dxa"/>
            <w:tcBorders>
              <w:top w:val="nil"/>
              <w:left w:val="nil"/>
              <w:bottom w:val="single" w:sz="4" w:space="0" w:color="auto"/>
              <w:right w:val="single" w:sz="4" w:space="0" w:color="auto"/>
            </w:tcBorders>
          </w:tcPr>
          <w:p w14:paraId="1DE8A1A3" w14:textId="77777777" w:rsidR="00250C7D" w:rsidRPr="00A969C0" w:rsidRDefault="00250C7D" w:rsidP="000B6D24">
            <w:pPr>
              <w:jc w:val="right"/>
              <w:rPr>
                <w:rFonts w:cs="Arial"/>
              </w:rPr>
            </w:pPr>
            <w:r w:rsidRPr="00A969C0">
              <w:rPr>
                <w:rFonts w:cs="Arial"/>
              </w:rPr>
              <w:t>5</w:t>
            </w:r>
          </w:p>
        </w:tc>
        <w:tc>
          <w:tcPr>
            <w:tcW w:w="960" w:type="dxa"/>
            <w:tcBorders>
              <w:top w:val="nil"/>
              <w:left w:val="nil"/>
              <w:bottom w:val="single" w:sz="4" w:space="0" w:color="auto"/>
              <w:right w:val="single" w:sz="4" w:space="0" w:color="auto"/>
            </w:tcBorders>
          </w:tcPr>
          <w:p w14:paraId="24530831" w14:textId="789BA7AC" w:rsidR="00250C7D" w:rsidRPr="00A969C0" w:rsidRDefault="00250C7D" w:rsidP="000B6D24">
            <w:pPr>
              <w:jc w:val="right"/>
              <w:rPr>
                <w:rFonts w:cs="Arial"/>
              </w:rPr>
            </w:pPr>
            <w:r>
              <w:rPr>
                <w:rFonts w:cs="Arial"/>
              </w:rPr>
              <w:t>1</w:t>
            </w:r>
          </w:p>
        </w:tc>
      </w:tr>
      <w:tr w:rsidR="00250C7D" w:rsidRPr="00C5395B" w14:paraId="6B4C4229" w14:textId="206E11D9" w:rsidTr="00250C7D">
        <w:trPr>
          <w:trHeight w:val="255"/>
        </w:trPr>
        <w:tc>
          <w:tcPr>
            <w:tcW w:w="2040" w:type="dxa"/>
            <w:tcBorders>
              <w:top w:val="nil"/>
              <w:left w:val="single" w:sz="4" w:space="0" w:color="auto"/>
              <w:bottom w:val="single" w:sz="4" w:space="0" w:color="auto"/>
              <w:right w:val="single" w:sz="4" w:space="0" w:color="auto"/>
            </w:tcBorders>
            <w:noWrap/>
            <w:hideMark/>
          </w:tcPr>
          <w:p w14:paraId="58C1291A" w14:textId="77777777" w:rsidR="00250C7D" w:rsidRPr="00C5395B" w:rsidRDefault="00250C7D" w:rsidP="000B6D24">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51CDFB1E" w14:textId="77777777" w:rsidR="00250C7D" w:rsidRDefault="00250C7D" w:rsidP="000B6D24">
            <w:pPr>
              <w:jc w:val="right"/>
              <w:rPr>
                <w:rFonts w:cs="Arial"/>
              </w:rPr>
            </w:pPr>
            <w:r>
              <w:rPr>
                <w:rFonts w:cs="Arial"/>
              </w:rPr>
              <w:t>0</w:t>
            </w:r>
          </w:p>
        </w:tc>
        <w:tc>
          <w:tcPr>
            <w:tcW w:w="960" w:type="dxa"/>
            <w:tcBorders>
              <w:top w:val="nil"/>
              <w:left w:val="nil"/>
              <w:bottom w:val="single" w:sz="4" w:space="0" w:color="auto"/>
              <w:right w:val="single" w:sz="4" w:space="0" w:color="auto"/>
            </w:tcBorders>
            <w:vAlign w:val="bottom"/>
          </w:tcPr>
          <w:p w14:paraId="66277ED2" w14:textId="77777777" w:rsidR="00250C7D" w:rsidRDefault="00250C7D" w:rsidP="000B6D24">
            <w:pPr>
              <w:jc w:val="right"/>
              <w:rPr>
                <w:rFonts w:cs="Arial"/>
              </w:rPr>
            </w:pPr>
            <w:r w:rsidRPr="00FB4759">
              <w:rPr>
                <w:rFonts w:cs="Arial"/>
              </w:rPr>
              <w:t>4</w:t>
            </w:r>
          </w:p>
        </w:tc>
        <w:tc>
          <w:tcPr>
            <w:tcW w:w="960" w:type="dxa"/>
            <w:tcBorders>
              <w:top w:val="nil"/>
              <w:left w:val="nil"/>
              <w:bottom w:val="single" w:sz="4" w:space="0" w:color="auto"/>
              <w:right w:val="single" w:sz="4" w:space="0" w:color="auto"/>
            </w:tcBorders>
          </w:tcPr>
          <w:p w14:paraId="14391EBA" w14:textId="77777777" w:rsidR="00250C7D" w:rsidRPr="00EE6BD7" w:rsidRDefault="00250C7D" w:rsidP="000B6D24">
            <w:pPr>
              <w:jc w:val="right"/>
              <w:rPr>
                <w:rFonts w:cs="Arial"/>
              </w:rPr>
            </w:pPr>
            <w:r w:rsidRPr="00F1223C">
              <w:rPr>
                <w:rFonts w:cs="Arial"/>
              </w:rPr>
              <w:t>3</w:t>
            </w:r>
          </w:p>
        </w:tc>
        <w:tc>
          <w:tcPr>
            <w:tcW w:w="960" w:type="dxa"/>
            <w:tcBorders>
              <w:top w:val="nil"/>
              <w:left w:val="nil"/>
              <w:bottom w:val="single" w:sz="4" w:space="0" w:color="auto"/>
              <w:right w:val="single" w:sz="4" w:space="0" w:color="auto"/>
            </w:tcBorders>
          </w:tcPr>
          <w:p w14:paraId="6E5C7047" w14:textId="77777777" w:rsidR="00250C7D" w:rsidRPr="00A969C0" w:rsidRDefault="00250C7D" w:rsidP="000B6D24">
            <w:pPr>
              <w:jc w:val="right"/>
              <w:rPr>
                <w:rFonts w:cs="Arial"/>
              </w:rPr>
            </w:pPr>
            <w:r w:rsidRPr="00A969C0">
              <w:rPr>
                <w:rFonts w:cs="Arial"/>
              </w:rPr>
              <w:t>1</w:t>
            </w:r>
          </w:p>
        </w:tc>
        <w:tc>
          <w:tcPr>
            <w:tcW w:w="960" w:type="dxa"/>
            <w:tcBorders>
              <w:top w:val="nil"/>
              <w:left w:val="nil"/>
              <w:bottom w:val="single" w:sz="4" w:space="0" w:color="auto"/>
              <w:right w:val="single" w:sz="4" w:space="0" w:color="auto"/>
            </w:tcBorders>
          </w:tcPr>
          <w:p w14:paraId="39AF87B3" w14:textId="067C63E7" w:rsidR="00250C7D" w:rsidRPr="00A969C0" w:rsidRDefault="00250C7D" w:rsidP="000B6D24">
            <w:pPr>
              <w:jc w:val="right"/>
              <w:rPr>
                <w:rFonts w:cs="Arial"/>
              </w:rPr>
            </w:pPr>
            <w:r>
              <w:rPr>
                <w:rFonts w:cs="Arial"/>
              </w:rPr>
              <w:t>1</w:t>
            </w:r>
          </w:p>
        </w:tc>
      </w:tr>
      <w:tr w:rsidR="00250C7D" w:rsidRPr="00C5395B" w14:paraId="068701B1" w14:textId="1DF5BE03" w:rsidTr="00250C7D">
        <w:trPr>
          <w:trHeight w:val="255"/>
        </w:trPr>
        <w:tc>
          <w:tcPr>
            <w:tcW w:w="2040" w:type="dxa"/>
            <w:tcBorders>
              <w:top w:val="nil"/>
              <w:left w:val="single" w:sz="4" w:space="0" w:color="auto"/>
              <w:bottom w:val="single" w:sz="4" w:space="0" w:color="auto"/>
              <w:right w:val="single" w:sz="4" w:space="0" w:color="auto"/>
            </w:tcBorders>
            <w:noWrap/>
            <w:hideMark/>
          </w:tcPr>
          <w:p w14:paraId="67930E29" w14:textId="77777777" w:rsidR="00250C7D" w:rsidRPr="00C5395B" w:rsidRDefault="00250C7D" w:rsidP="000B6D24">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1CCDD116" w14:textId="77777777" w:rsidR="00250C7D" w:rsidRDefault="00250C7D" w:rsidP="000B6D24">
            <w:pPr>
              <w:jc w:val="right"/>
              <w:rPr>
                <w:rFonts w:cs="Arial"/>
                <w:b/>
                <w:bCs/>
              </w:rPr>
            </w:pPr>
            <w:r>
              <w:rPr>
                <w:rFonts w:cs="Arial"/>
                <w:b/>
                <w:bCs/>
              </w:rPr>
              <w:t>22</w:t>
            </w:r>
          </w:p>
        </w:tc>
        <w:tc>
          <w:tcPr>
            <w:tcW w:w="960" w:type="dxa"/>
            <w:tcBorders>
              <w:top w:val="nil"/>
              <w:left w:val="nil"/>
              <w:bottom w:val="single" w:sz="4" w:space="0" w:color="auto"/>
              <w:right w:val="single" w:sz="4" w:space="0" w:color="auto"/>
            </w:tcBorders>
            <w:vAlign w:val="bottom"/>
          </w:tcPr>
          <w:p w14:paraId="1EDAFB28" w14:textId="77777777" w:rsidR="00250C7D" w:rsidRDefault="00250C7D" w:rsidP="000B6D24">
            <w:pPr>
              <w:jc w:val="right"/>
              <w:rPr>
                <w:rFonts w:cs="Arial"/>
                <w:b/>
                <w:bCs/>
              </w:rPr>
            </w:pPr>
            <w:r w:rsidRPr="00FB4759">
              <w:rPr>
                <w:rFonts w:cs="Arial"/>
                <w:b/>
                <w:bCs/>
              </w:rPr>
              <w:t>12</w:t>
            </w:r>
          </w:p>
        </w:tc>
        <w:tc>
          <w:tcPr>
            <w:tcW w:w="960" w:type="dxa"/>
            <w:tcBorders>
              <w:top w:val="nil"/>
              <w:left w:val="nil"/>
              <w:bottom w:val="single" w:sz="4" w:space="0" w:color="auto"/>
              <w:right w:val="single" w:sz="4" w:space="0" w:color="auto"/>
            </w:tcBorders>
          </w:tcPr>
          <w:p w14:paraId="51E1EFEB" w14:textId="77777777" w:rsidR="00250C7D" w:rsidRPr="00EE6BD7" w:rsidRDefault="00250C7D" w:rsidP="000B6D24">
            <w:pPr>
              <w:jc w:val="right"/>
              <w:rPr>
                <w:rFonts w:cs="Arial"/>
                <w:b/>
                <w:bCs/>
              </w:rPr>
            </w:pPr>
            <w:r w:rsidRPr="00F1223C">
              <w:rPr>
                <w:rFonts w:cs="Arial"/>
                <w:b/>
                <w:bCs/>
              </w:rPr>
              <w:t>25</w:t>
            </w:r>
          </w:p>
        </w:tc>
        <w:tc>
          <w:tcPr>
            <w:tcW w:w="960" w:type="dxa"/>
            <w:tcBorders>
              <w:top w:val="nil"/>
              <w:left w:val="nil"/>
              <w:bottom w:val="single" w:sz="4" w:space="0" w:color="auto"/>
              <w:right w:val="single" w:sz="4" w:space="0" w:color="auto"/>
            </w:tcBorders>
          </w:tcPr>
          <w:p w14:paraId="63BDE1A9" w14:textId="77777777" w:rsidR="00250C7D" w:rsidRPr="00A969C0" w:rsidRDefault="00250C7D" w:rsidP="000B6D24">
            <w:pPr>
              <w:jc w:val="right"/>
              <w:rPr>
                <w:rFonts w:cs="Arial"/>
                <w:b/>
                <w:bCs/>
              </w:rPr>
            </w:pPr>
            <w:r w:rsidRPr="00A969C0">
              <w:rPr>
                <w:rFonts w:cs="Arial"/>
                <w:b/>
                <w:bCs/>
              </w:rPr>
              <w:t>36</w:t>
            </w:r>
          </w:p>
        </w:tc>
        <w:tc>
          <w:tcPr>
            <w:tcW w:w="960" w:type="dxa"/>
            <w:tcBorders>
              <w:top w:val="nil"/>
              <w:left w:val="nil"/>
              <w:bottom w:val="single" w:sz="4" w:space="0" w:color="auto"/>
              <w:right w:val="single" w:sz="4" w:space="0" w:color="auto"/>
            </w:tcBorders>
          </w:tcPr>
          <w:p w14:paraId="778746B6" w14:textId="45911DBB" w:rsidR="00250C7D" w:rsidRPr="00A969C0" w:rsidRDefault="00EE2614" w:rsidP="000B6D24">
            <w:pPr>
              <w:jc w:val="right"/>
              <w:rPr>
                <w:rFonts w:cs="Arial"/>
                <w:b/>
                <w:bCs/>
              </w:rPr>
            </w:pPr>
            <w:r>
              <w:rPr>
                <w:rFonts w:cs="Arial"/>
                <w:b/>
                <w:bCs/>
              </w:rPr>
              <w:t>29</w:t>
            </w:r>
          </w:p>
        </w:tc>
      </w:tr>
    </w:tbl>
    <w:p w14:paraId="5C00370B" w14:textId="77777777" w:rsidR="00433562" w:rsidRDefault="00433562" w:rsidP="00D51DFA">
      <w:pPr>
        <w:pStyle w:val="Heading2"/>
      </w:pPr>
    </w:p>
    <w:p w14:paraId="0F4C8C26" w14:textId="77777777" w:rsidR="00D802EF" w:rsidRPr="00076ED0" w:rsidRDefault="00D802EF" w:rsidP="00D51DFA">
      <w:pPr>
        <w:pStyle w:val="Heading2"/>
      </w:pPr>
      <w:r w:rsidRPr="0021097A">
        <w:t>Conditional Income Management for Domestic Violence related matters</w:t>
      </w:r>
    </w:p>
    <w:p w14:paraId="06A9378B" w14:textId="10CFEF04" w:rsidR="00D802EF" w:rsidRDefault="00A40532" w:rsidP="00D802EF">
      <w:pPr>
        <w:ind w:left="-142" w:right="-425"/>
        <w:jc w:val="both"/>
        <w:rPr>
          <w:rFonts w:cs="Arial"/>
        </w:rPr>
      </w:pPr>
      <w:r w:rsidRPr="00280B6D">
        <w:rPr>
          <w:rFonts w:cs="Arial"/>
        </w:rPr>
        <w:t xml:space="preserve">As a subset of the total number of CIMs in the quarter, </w:t>
      </w:r>
      <w:r w:rsidR="00CF5A21">
        <w:rPr>
          <w:rFonts w:cs="Arial"/>
        </w:rPr>
        <w:t>1</w:t>
      </w:r>
      <w:r w:rsidR="00553F31" w:rsidRPr="00280B6D">
        <w:rPr>
          <w:rFonts w:cs="Arial"/>
        </w:rPr>
        <w:t xml:space="preserve"> </w:t>
      </w:r>
      <w:r w:rsidR="00CF5A21">
        <w:rPr>
          <w:rFonts w:cs="Arial"/>
        </w:rPr>
        <w:t>was</w:t>
      </w:r>
      <w:r w:rsidR="00CF5A21" w:rsidRPr="00280B6D">
        <w:rPr>
          <w:rFonts w:cs="Arial"/>
        </w:rPr>
        <w:t xml:space="preserve"> </w:t>
      </w:r>
      <w:r w:rsidR="00D802EF" w:rsidRPr="00280B6D">
        <w:rPr>
          <w:rFonts w:cs="Arial"/>
        </w:rPr>
        <w:t xml:space="preserve">made in relation to domestic violence conferences in </w:t>
      </w:r>
      <w:r w:rsidR="00856C85">
        <w:rPr>
          <w:rFonts w:cs="Arial"/>
        </w:rPr>
        <w:t xml:space="preserve">quarter </w:t>
      </w:r>
      <w:r w:rsidR="000C0A83">
        <w:rPr>
          <w:rFonts w:cs="Arial"/>
        </w:rPr>
        <w:t>54</w:t>
      </w:r>
      <w:r w:rsidR="00D802EF" w:rsidRPr="00280B6D">
        <w:rPr>
          <w:rFonts w:cs="Arial"/>
        </w:rPr>
        <w:t>.</w:t>
      </w:r>
    </w:p>
    <w:p w14:paraId="24C489A4" w14:textId="4B2CDC60" w:rsidR="00433562" w:rsidRDefault="00433562" w:rsidP="00D51DFA">
      <w:pPr>
        <w:pStyle w:val="Heading2"/>
      </w:pPr>
    </w:p>
    <w:p w14:paraId="45973D4D" w14:textId="2B93F4DA" w:rsidR="007460C6" w:rsidRPr="00BA361D" w:rsidRDefault="007460C6" w:rsidP="007460C6">
      <w:pPr>
        <w:spacing w:after="120" w:line="240" w:lineRule="auto"/>
        <w:ind w:left="794" w:hanging="794"/>
        <w:rPr>
          <w:sz w:val="16"/>
          <w:szCs w:val="16"/>
        </w:rPr>
      </w:pPr>
      <w:r w:rsidRPr="006C6A65">
        <w:rPr>
          <w:b/>
          <w:sz w:val="16"/>
          <w:szCs w:val="16"/>
        </w:rPr>
        <w:t xml:space="preserve">Table </w:t>
      </w:r>
      <w:r w:rsidR="00EE2614">
        <w:rPr>
          <w:b/>
          <w:sz w:val="16"/>
          <w:szCs w:val="16"/>
        </w:rPr>
        <w:t>20</w:t>
      </w:r>
      <w:r w:rsidRPr="006C6A65">
        <w:rPr>
          <w:b/>
          <w:sz w:val="16"/>
          <w:szCs w:val="16"/>
        </w:rPr>
        <w:t>:</w:t>
      </w:r>
      <w:r w:rsidRPr="006C6A65">
        <w:rPr>
          <w:sz w:val="16"/>
          <w:szCs w:val="16"/>
        </w:rPr>
        <w:t xml:space="preserve"> </w:t>
      </w:r>
      <w:r>
        <w:rPr>
          <w:rFonts w:cs="Arial"/>
          <w:sz w:val="16"/>
          <w:szCs w:val="16"/>
        </w:rPr>
        <w:t>Domestic violence conditional income m</w:t>
      </w:r>
      <w:r w:rsidRPr="005A620F">
        <w:rPr>
          <w:rFonts w:cs="Arial"/>
          <w:sz w:val="16"/>
          <w:szCs w:val="16"/>
        </w:rPr>
        <w:t xml:space="preserve">anagement </w:t>
      </w:r>
      <w:r>
        <w:rPr>
          <w:rFonts w:cs="Arial"/>
          <w:sz w:val="16"/>
          <w:szCs w:val="16"/>
        </w:rPr>
        <w:t xml:space="preserve">by community and quarter </w:t>
      </w:r>
      <w:r w:rsidR="00F83C14">
        <w:rPr>
          <w:rFonts w:cs="Arial"/>
          <w:sz w:val="16"/>
          <w:szCs w:val="16"/>
        </w:rPr>
        <w:t xml:space="preserve">1 </w:t>
      </w:r>
      <w:r w:rsidR="00A40B8D">
        <w:rPr>
          <w:rFonts w:cs="Arial"/>
          <w:sz w:val="16"/>
          <w:szCs w:val="16"/>
        </w:rPr>
        <w:t xml:space="preserve">October </w:t>
      </w:r>
      <w:r>
        <w:rPr>
          <w:rFonts w:cs="Arial"/>
          <w:sz w:val="16"/>
          <w:szCs w:val="16"/>
        </w:rPr>
        <w:t xml:space="preserve">2020 to </w:t>
      </w:r>
      <w:r w:rsidR="00F83C14">
        <w:rPr>
          <w:rFonts w:cs="Arial"/>
          <w:sz w:val="16"/>
          <w:szCs w:val="16"/>
        </w:rPr>
        <w:t>3</w:t>
      </w:r>
      <w:r w:rsidR="00A40B8D">
        <w:rPr>
          <w:rFonts w:cs="Arial"/>
          <w:sz w:val="16"/>
          <w:szCs w:val="16"/>
        </w:rPr>
        <w:t xml:space="preserve">1 December </w:t>
      </w:r>
      <w:r>
        <w:rPr>
          <w:rFonts w:cs="Arial"/>
          <w:sz w:val="16"/>
          <w:szCs w:val="16"/>
        </w:rPr>
        <w:t>2021</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0C0A83" w:rsidRPr="0040594D" w14:paraId="4F3E1B9E" w14:textId="77777777" w:rsidTr="00DA793B">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23AE00A8" w14:textId="29B2506B" w:rsidR="000C0A83" w:rsidRPr="0040594D" w:rsidRDefault="000C0A83" w:rsidP="000C0A83">
            <w:pPr>
              <w:spacing w:line="240" w:lineRule="auto"/>
              <w:rPr>
                <w:rFonts w:cs="Arial"/>
                <w:b/>
                <w:bCs/>
                <w:lang w:eastAsia="en-AU"/>
              </w:rPr>
            </w:pPr>
            <w:r>
              <w:rPr>
                <w:rFonts w:cs="Arial"/>
                <w:b/>
                <w:bCs/>
                <w:lang w:eastAsia="en-AU"/>
              </w:rPr>
              <w:t>Number of Domestic Violence CIMs</w:t>
            </w:r>
          </w:p>
        </w:tc>
        <w:tc>
          <w:tcPr>
            <w:tcW w:w="784" w:type="dxa"/>
            <w:tcBorders>
              <w:top w:val="single" w:sz="4" w:space="0" w:color="auto"/>
              <w:left w:val="nil"/>
              <w:bottom w:val="single" w:sz="4" w:space="0" w:color="auto"/>
              <w:right w:val="single" w:sz="4" w:space="0" w:color="auto"/>
            </w:tcBorders>
            <w:shd w:val="clear" w:color="auto" w:fill="auto"/>
            <w:hideMark/>
          </w:tcPr>
          <w:p w14:paraId="655BFD21" w14:textId="6D9336E8" w:rsidR="000C0A83" w:rsidRPr="0040594D" w:rsidRDefault="000C0A83" w:rsidP="000C0A83">
            <w:pPr>
              <w:spacing w:line="240" w:lineRule="auto"/>
              <w:jc w:val="right"/>
              <w:rPr>
                <w:rFonts w:cs="Arial"/>
                <w:b/>
                <w:bCs/>
                <w:lang w:eastAsia="en-AU"/>
              </w:rPr>
            </w:pPr>
            <w:r>
              <w:rPr>
                <w:b/>
                <w:lang w:eastAsia="en-AU"/>
              </w:rPr>
              <w:t>Qtr 50</w:t>
            </w:r>
          </w:p>
        </w:tc>
        <w:tc>
          <w:tcPr>
            <w:tcW w:w="784" w:type="dxa"/>
            <w:tcBorders>
              <w:top w:val="single" w:sz="4" w:space="0" w:color="auto"/>
              <w:left w:val="nil"/>
              <w:bottom w:val="single" w:sz="4" w:space="0" w:color="auto"/>
              <w:right w:val="single" w:sz="4" w:space="0" w:color="auto"/>
            </w:tcBorders>
            <w:shd w:val="clear" w:color="auto" w:fill="auto"/>
            <w:hideMark/>
          </w:tcPr>
          <w:p w14:paraId="150ABB80" w14:textId="0FD1F12A" w:rsidR="000C0A83" w:rsidRPr="0040594D" w:rsidRDefault="000C0A83" w:rsidP="000C0A83">
            <w:pPr>
              <w:spacing w:line="240" w:lineRule="auto"/>
              <w:jc w:val="right"/>
              <w:rPr>
                <w:rFonts w:cs="Arial"/>
                <w:b/>
                <w:bCs/>
                <w:lang w:eastAsia="en-AU"/>
              </w:rPr>
            </w:pPr>
            <w:r>
              <w:rPr>
                <w:b/>
                <w:lang w:eastAsia="en-AU"/>
              </w:rPr>
              <w:t>Qtr 51</w:t>
            </w:r>
          </w:p>
        </w:tc>
        <w:tc>
          <w:tcPr>
            <w:tcW w:w="784" w:type="dxa"/>
            <w:tcBorders>
              <w:top w:val="single" w:sz="4" w:space="0" w:color="auto"/>
              <w:left w:val="nil"/>
              <w:bottom w:val="single" w:sz="4" w:space="0" w:color="auto"/>
              <w:right w:val="single" w:sz="4" w:space="0" w:color="auto"/>
            </w:tcBorders>
          </w:tcPr>
          <w:p w14:paraId="57C7CF2D" w14:textId="7E834613" w:rsidR="000C0A83" w:rsidRPr="0040594D" w:rsidRDefault="000C0A83" w:rsidP="000C0A83">
            <w:pPr>
              <w:spacing w:line="240" w:lineRule="auto"/>
              <w:jc w:val="right"/>
              <w:rPr>
                <w:rFonts w:cs="Arial"/>
                <w:b/>
                <w:bCs/>
                <w:lang w:eastAsia="en-AU"/>
              </w:rPr>
            </w:pPr>
            <w:r>
              <w:rPr>
                <w:b/>
                <w:lang w:eastAsia="en-AU"/>
              </w:rPr>
              <w:t>Qtr 52</w:t>
            </w:r>
          </w:p>
        </w:tc>
        <w:tc>
          <w:tcPr>
            <w:tcW w:w="784" w:type="dxa"/>
            <w:tcBorders>
              <w:top w:val="single" w:sz="4" w:space="0" w:color="auto"/>
              <w:left w:val="nil"/>
              <w:bottom w:val="single" w:sz="4" w:space="0" w:color="auto"/>
              <w:right w:val="single" w:sz="4" w:space="0" w:color="auto"/>
            </w:tcBorders>
          </w:tcPr>
          <w:p w14:paraId="2763DB99" w14:textId="43A34A50" w:rsidR="000C0A83" w:rsidRPr="0040594D" w:rsidRDefault="000C0A83" w:rsidP="000C0A83">
            <w:pPr>
              <w:spacing w:line="240" w:lineRule="auto"/>
              <w:jc w:val="right"/>
              <w:rPr>
                <w:rFonts w:cs="Arial"/>
                <w:b/>
                <w:bCs/>
                <w:lang w:eastAsia="en-AU"/>
              </w:rPr>
            </w:pPr>
            <w:r>
              <w:rPr>
                <w:b/>
                <w:lang w:eastAsia="en-AU"/>
              </w:rPr>
              <w:t>Qtr 53</w:t>
            </w:r>
          </w:p>
        </w:tc>
        <w:tc>
          <w:tcPr>
            <w:tcW w:w="784" w:type="dxa"/>
            <w:tcBorders>
              <w:top w:val="single" w:sz="4" w:space="0" w:color="auto"/>
              <w:left w:val="nil"/>
              <w:bottom w:val="single" w:sz="4" w:space="0" w:color="auto"/>
              <w:right w:val="single" w:sz="4" w:space="0" w:color="auto"/>
            </w:tcBorders>
          </w:tcPr>
          <w:p w14:paraId="1C0D052D" w14:textId="35C80370" w:rsidR="000C0A83" w:rsidRDefault="000C0A83" w:rsidP="000C0A83">
            <w:pPr>
              <w:spacing w:line="240" w:lineRule="auto"/>
              <w:jc w:val="right"/>
              <w:rPr>
                <w:b/>
                <w:lang w:eastAsia="en-AU"/>
              </w:rPr>
            </w:pPr>
            <w:r>
              <w:rPr>
                <w:b/>
                <w:lang w:eastAsia="en-AU"/>
              </w:rPr>
              <w:t>Qtr 54</w:t>
            </w:r>
          </w:p>
        </w:tc>
      </w:tr>
      <w:tr w:rsidR="000C0A83" w:rsidRPr="0094558B" w14:paraId="2694F73B" w14:textId="77777777" w:rsidTr="00DA793B">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1CB64FF2" w14:textId="03F0B653" w:rsidR="000C0A83" w:rsidRPr="00640E37" w:rsidRDefault="000C0A83" w:rsidP="000C0A83">
            <w:pPr>
              <w:spacing w:line="240" w:lineRule="auto"/>
              <w:rPr>
                <w:rFonts w:cs="Arial"/>
                <w:bCs/>
                <w:lang w:eastAsia="en-AU"/>
              </w:rPr>
            </w:pPr>
            <w:r>
              <w:t>Aurukun</w:t>
            </w:r>
          </w:p>
        </w:tc>
        <w:tc>
          <w:tcPr>
            <w:tcW w:w="784" w:type="dxa"/>
            <w:tcBorders>
              <w:top w:val="single" w:sz="4" w:space="0" w:color="auto"/>
              <w:left w:val="nil"/>
              <w:bottom w:val="single" w:sz="4" w:space="0" w:color="auto"/>
              <w:right w:val="single" w:sz="4" w:space="0" w:color="auto"/>
            </w:tcBorders>
            <w:shd w:val="clear" w:color="auto" w:fill="auto"/>
          </w:tcPr>
          <w:p w14:paraId="1925BEB3" w14:textId="005D7847" w:rsidR="000C0A83" w:rsidRPr="00D44DFE" w:rsidRDefault="000C0A83" w:rsidP="000C0A83">
            <w:pPr>
              <w:spacing w:line="240" w:lineRule="auto"/>
              <w:jc w:val="right"/>
              <w:rPr>
                <w:rFonts w:cs="Arial"/>
                <w:bCs/>
                <w:lang w:eastAsia="en-AU"/>
              </w:rPr>
            </w:pPr>
            <w:r w:rsidRPr="00D44DFE">
              <w:rPr>
                <w:rFonts w:cs="Arial"/>
              </w:rPr>
              <w:t>1</w:t>
            </w:r>
          </w:p>
        </w:tc>
        <w:tc>
          <w:tcPr>
            <w:tcW w:w="784" w:type="dxa"/>
            <w:tcBorders>
              <w:top w:val="single" w:sz="4" w:space="0" w:color="auto"/>
              <w:left w:val="nil"/>
              <w:bottom w:val="single" w:sz="4" w:space="0" w:color="auto"/>
              <w:right w:val="single" w:sz="4" w:space="0" w:color="auto"/>
            </w:tcBorders>
            <w:shd w:val="clear" w:color="auto" w:fill="auto"/>
          </w:tcPr>
          <w:p w14:paraId="58118CF4" w14:textId="3B93E5F5" w:rsidR="000C0A83" w:rsidRPr="00D44DFE" w:rsidRDefault="000C0A83" w:rsidP="000C0A83">
            <w:pPr>
              <w:spacing w:line="240" w:lineRule="auto"/>
              <w:jc w:val="right"/>
              <w:rPr>
                <w:rFonts w:cs="Arial"/>
                <w:bCs/>
                <w:lang w:eastAsia="en-AU"/>
              </w:rPr>
            </w:pPr>
            <w:r w:rsidRPr="00D44DFE">
              <w:rPr>
                <w:rFonts w:cs="Arial"/>
              </w:rPr>
              <w:t>1</w:t>
            </w:r>
          </w:p>
        </w:tc>
        <w:tc>
          <w:tcPr>
            <w:tcW w:w="784" w:type="dxa"/>
            <w:tcBorders>
              <w:top w:val="single" w:sz="4" w:space="0" w:color="auto"/>
              <w:left w:val="nil"/>
              <w:bottom w:val="single" w:sz="4" w:space="0" w:color="auto"/>
              <w:right w:val="single" w:sz="4" w:space="0" w:color="auto"/>
            </w:tcBorders>
          </w:tcPr>
          <w:p w14:paraId="345941C3" w14:textId="28E0F71A" w:rsidR="000C0A83" w:rsidRPr="00D44DFE" w:rsidRDefault="000C0A83" w:rsidP="000C0A83">
            <w:pPr>
              <w:spacing w:line="240" w:lineRule="auto"/>
              <w:jc w:val="right"/>
              <w:rPr>
                <w:rFonts w:cs="Arial"/>
                <w:bCs/>
                <w:lang w:eastAsia="en-AU"/>
              </w:rPr>
            </w:pPr>
            <w:r w:rsidRPr="00A34423">
              <w:rPr>
                <w:rFonts w:cs="Arial"/>
                <w:lang w:eastAsia="en-AU"/>
              </w:rPr>
              <w:t>0</w:t>
            </w:r>
          </w:p>
        </w:tc>
        <w:tc>
          <w:tcPr>
            <w:tcW w:w="784" w:type="dxa"/>
            <w:tcBorders>
              <w:top w:val="single" w:sz="4" w:space="0" w:color="auto"/>
              <w:left w:val="nil"/>
              <w:bottom w:val="single" w:sz="4" w:space="0" w:color="auto"/>
              <w:right w:val="single" w:sz="4" w:space="0" w:color="auto"/>
            </w:tcBorders>
          </w:tcPr>
          <w:p w14:paraId="5F3C9680" w14:textId="6042A534" w:rsidR="000C0A83" w:rsidRPr="00D44DFE" w:rsidRDefault="000C0A83" w:rsidP="000C0A83">
            <w:pPr>
              <w:spacing w:line="240" w:lineRule="auto"/>
              <w:jc w:val="right"/>
              <w:rPr>
                <w:rFonts w:cs="Arial"/>
                <w:bCs/>
                <w:lang w:eastAsia="en-AU"/>
              </w:rPr>
            </w:pPr>
            <w:r>
              <w:rPr>
                <w:rFonts w:cs="Arial"/>
                <w:lang w:eastAsia="en-AU"/>
              </w:rPr>
              <w:t>7</w:t>
            </w:r>
          </w:p>
        </w:tc>
        <w:tc>
          <w:tcPr>
            <w:tcW w:w="784" w:type="dxa"/>
            <w:tcBorders>
              <w:top w:val="single" w:sz="4" w:space="0" w:color="auto"/>
              <w:left w:val="nil"/>
              <w:bottom w:val="single" w:sz="4" w:space="0" w:color="auto"/>
              <w:right w:val="single" w:sz="4" w:space="0" w:color="auto"/>
            </w:tcBorders>
          </w:tcPr>
          <w:p w14:paraId="352B24F3" w14:textId="14112853" w:rsidR="000C0A83" w:rsidRPr="00DA793B" w:rsidRDefault="00CF5A21" w:rsidP="000C0A83">
            <w:pPr>
              <w:spacing w:line="240" w:lineRule="auto"/>
              <w:jc w:val="right"/>
              <w:rPr>
                <w:rFonts w:cs="Arial"/>
                <w:lang w:eastAsia="en-AU"/>
              </w:rPr>
            </w:pPr>
            <w:r>
              <w:rPr>
                <w:rFonts w:cs="Arial"/>
                <w:lang w:eastAsia="en-AU"/>
              </w:rPr>
              <w:t>1</w:t>
            </w:r>
          </w:p>
        </w:tc>
      </w:tr>
      <w:tr w:rsidR="000C0A83" w:rsidRPr="0094558B" w14:paraId="338D0CE6" w14:textId="77777777" w:rsidTr="00DA793B">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3BDD55DF" w14:textId="1CC78104" w:rsidR="000C0A83" w:rsidRPr="00640E37" w:rsidRDefault="000C0A83" w:rsidP="000C0A83">
            <w:pPr>
              <w:spacing w:line="240" w:lineRule="auto"/>
              <w:rPr>
                <w:rFonts w:cs="Arial"/>
                <w:lang w:eastAsia="en-AU"/>
              </w:rPr>
            </w:pPr>
            <w:r>
              <w:t>Coen</w:t>
            </w:r>
          </w:p>
        </w:tc>
        <w:tc>
          <w:tcPr>
            <w:tcW w:w="784" w:type="dxa"/>
            <w:tcBorders>
              <w:top w:val="nil"/>
              <w:left w:val="nil"/>
              <w:bottom w:val="single" w:sz="4" w:space="0" w:color="auto"/>
              <w:right w:val="single" w:sz="4" w:space="0" w:color="auto"/>
            </w:tcBorders>
            <w:shd w:val="clear" w:color="auto" w:fill="auto"/>
          </w:tcPr>
          <w:p w14:paraId="353411C5" w14:textId="692CEA2D" w:rsidR="000C0A83" w:rsidRPr="00D44DFE" w:rsidRDefault="000C0A83" w:rsidP="000C0A83">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shd w:val="clear" w:color="auto" w:fill="auto"/>
          </w:tcPr>
          <w:p w14:paraId="299A9087" w14:textId="2F3A98EB" w:rsidR="000C0A83" w:rsidRPr="00D44DFE" w:rsidRDefault="000C0A83" w:rsidP="000C0A83">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29A75C58" w14:textId="5AD20ABD" w:rsidR="000C0A83" w:rsidRPr="00D44DFE" w:rsidRDefault="000C0A83" w:rsidP="000C0A83">
            <w:pPr>
              <w:spacing w:line="240" w:lineRule="auto"/>
              <w:jc w:val="right"/>
              <w:rPr>
                <w:rFonts w:cs="Arial"/>
                <w:lang w:eastAsia="en-AU"/>
              </w:rPr>
            </w:pPr>
            <w:r w:rsidRPr="00A34423">
              <w:rPr>
                <w:rFonts w:cs="Arial"/>
                <w:lang w:eastAsia="en-AU"/>
              </w:rPr>
              <w:t>2</w:t>
            </w:r>
          </w:p>
        </w:tc>
        <w:tc>
          <w:tcPr>
            <w:tcW w:w="784" w:type="dxa"/>
            <w:tcBorders>
              <w:top w:val="nil"/>
              <w:left w:val="nil"/>
              <w:bottom w:val="single" w:sz="4" w:space="0" w:color="auto"/>
              <w:right w:val="single" w:sz="4" w:space="0" w:color="auto"/>
            </w:tcBorders>
          </w:tcPr>
          <w:p w14:paraId="148E5285" w14:textId="6F80ACC9" w:rsidR="000C0A83" w:rsidRPr="00D44DFE" w:rsidRDefault="000C0A83" w:rsidP="000C0A83">
            <w:pPr>
              <w:spacing w:line="240" w:lineRule="auto"/>
              <w:jc w:val="right"/>
              <w:rPr>
                <w:rFonts w:cs="Arial"/>
                <w:lang w:eastAsia="en-AU"/>
              </w:rPr>
            </w:pPr>
            <w:r>
              <w:rPr>
                <w:rFonts w:cs="Arial"/>
                <w:lang w:eastAsia="en-AU"/>
              </w:rPr>
              <w:t>0</w:t>
            </w:r>
          </w:p>
        </w:tc>
        <w:tc>
          <w:tcPr>
            <w:tcW w:w="784" w:type="dxa"/>
            <w:tcBorders>
              <w:top w:val="single" w:sz="4" w:space="0" w:color="auto"/>
              <w:left w:val="nil"/>
              <w:bottom w:val="single" w:sz="4" w:space="0" w:color="auto"/>
              <w:right w:val="single" w:sz="4" w:space="0" w:color="auto"/>
            </w:tcBorders>
          </w:tcPr>
          <w:p w14:paraId="402EEC52" w14:textId="7144B0A5" w:rsidR="000C0A83" w:rsidRPr="00DA793B" w:rsidRDefault="00CF5A21" w:rsidP="000C0A83">
            <w:pPr>
              <w:spacing w:line="240" w:lineRule="auto"/>
              <w:jc w:val="right"/>
              <w:rPr>
                <w:rFonts w:cs="Arial"/>
                <w:lang w:eastAsia="en-AU"/>
              </w:rPr>
            </w:pPr>
            <w:r>
              <w:rPr>
                <w:rFonts w:cs="Arial"/>
                <w:lang w:eastAsia="en-AU"/>
              </w:rPr>
              <w:t>0</w:t>
            </w:r>
          </w:p>
        </w:tc>
      </w:tr>
      <w:tr w:rsidR="000C0A83" w:rsidRPr="0094558B" w14:paraId="32ED62C4" w14:textId="77777777" w:rsidTr="00DA793B">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4534B124" w14:textId="57F39905" w:rsidR="000C0A83" w:rsidRPr="00640E37" w:rsidRDefault="000C0A83" w:rsidP="000C0A83">
            <w:pPr>
              <w:spacing w:line="240" w:lineRule="auto"/>
              <w:rPr>
                <w:rFonts w:cs="Arial"/>
              </w:rPr>
            </w:pPr>
            <w:r>
              <w:t>Hope Vale</w:t>
            </w:r>
          </w:p>
        </w:tc>
        <w:tc>
          <w:tcPr>
            <w:tcW w:w="784" w:type="dxa"/>
            <w:tcBorders>
              <w:top w:val="nil"/>
              <w:left w:val="nil"/>
              <w:bottom w:val="single" w:sz="4" w:space="0" w:color="auto"/>
              <w:right w:val="single" w:sz="4" w:space="0" w:color="auto"/>
            </w:tcBorders>
            <w:shd w:val="clear" w:color="auto" w:fill="auto"/>
          </w:tcPr>
          <w:p w14:paraId="117C86E6" w14:textId="3D238510" w:rsidR="000C0A83" w:rsidRPr="00D44DFE" w:rsidRDefault="000C0A83" w:rsidP="000C0A83">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shd w:val="clear" w:color="auto" w:fill="auto"/>
          </w:tcPr>
          <w:p w14:paraId="714FF0B5" w14:textId="24E52D75" w:rsidR="000C0A83" w:rsidRPr="00D44DFE" w:rsidRDefault="000C0A83" w:rsidP="000C0A83">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22D230B7" w14:textId="33CD9CAB" w:rsidR="000C0A83" w:rsidRPr="00D44DFE" w:rsidRDefault="000C0A83" w:rsidP="000C0A83">
            <w:pPr>
              <w:spacing w:line="240" w:lineRule="auto"/>
              <w:jc w:val="right"/>
              <w:rPr>
                <w:rFonts w:cs="Arial"/>
                <w:lang w:eastAsia="en-AU"/>
              </w:rPr>
            </w:pPr>
            <w:r w:rsidRPr="00A34423">
              <w:rPr>
                <w:rFonts w:cs="Arial"/>
                <w:lang w:eastAsia="en-AU"/>
              </w:rPr>
              <w:t>0</w:t>
            </w:r>
          </w:p>
        </w:tc>
        <w:tc>
          <w:tcPr>
            <w:tcW w:w="784" w:type="dxa"/>
            <w:tcBorders>
              <w:top w:val="nil"/>
              <w:left w:val="nil"/>
              <w:bottom w:val="single" w:sz="4" w:space="0" w:color="auto"/>
              <w:right w:val="single" w:sz="4" w:space="0" w:color="auto"/>
            </w:tcBorders>
          </w:tcPr>
          <w:p w14:paraId="74A391C0" w14:textId="0A9D8177" w:rsidR="000C0A83" w:rsidRPr="00D44DFE" w:rsidRDefault="000C0A83" w:rsidP="000C0A83">
            <w:pPr>
              <w:spacing w:line="240" w:lineRule="auto"/>
              <w:jc w:val="right"/>
              <w:rPr>
                <w:rFonts w:cs="Arial"/>
                <w:lang w:eastAsia="en-AU"/>
              </w:rPr>
            </w:pPr>
            <w:r>
              <w:rPr>
                <w:rFonts w:cs="Arial"/>
                <w:lang w:eastAsia="en-AU"/>
              </w:rPr>
              <w:t>3</w:t>
            </w:r>
          </w:p>
        </w:tc>
        <w:tc>
          <w:tcPr>
            <w:tcW w:w="784" w:type="dxa"/>
            <w:tcBorders>
              <w:top w:val="single" w:sz="4" w:space="0" w:color="auto"/>
              <w:left w:val="nil"/>
              <w:bottom w:val="single" w:sz="4" w:space="0" w:color="auto"/>
              <w:right w:val="single" w:sz="4" w:space="0" w:color="auto"/>
            </w:tcBorders>
          </w:tcPr>
          <w:p w14:paraId="4C244E4E" w14:textId="7339A87E" w:rsidR="000C0A83" w:rsidRPr="00DA793B" w:rsidRDefault="00CF5A21" w:rsidP="000C0A83">
            <w:pPr>
              <w:spacing w:line="240" w:lineRule="auto"/>
              <w:jc w:val="right"/>
              <w:rPr>
                <w:rFonts w:cs="Arial"/>
                <w:lang w:eastAsia="en-AU"/>
              </w:rPr>
            </w:pPr>
            <w:r>
              <w:rPr>
                <w:rFonts w:cs="Arial"/>
                <w:lang w:eastAsia="en-AU"/>
              </w:rPr>
              <w:t>0</w:t>
            </w:r>
          </w:p>
        </w:tc>
      </w:tr>
      <w:tr w:rsidR="000C0A83" w:rsidRPr="0094558B" w14:paraId="25571DA3" w14:textId="77777777" w:rsidTr="00DA793B">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487D7ACE" w14:textId="6C8E82C5" w:rsidR="000C0A83" w:rsidRDefault="000C0A83" w:rsidP="000C0A83">
            <w:pPr>
              <w:spacing w:line="240" w:lineRule="auto"/>
            </w:pPr>
            <w:r>
              <w:t>Mossman Gorge</w:t>
            </w:r>
          </w:p>
        </w:tc>
        <w:tc>
          <w:tcPr>
            <w:tcW w:w="784" w:type="dxa"/>
            <w:tcBorders>
              <w:top w:val="nil"/>
              <w:left w:val="nil"/>
              <w:bottom w:val="single" w:sz="4" w:space="0" w:color="auto"/>
              <w:right w:val="single" w:sz="4" w:space="0" w:color="auto"/>
            </w:tcBorders>
            <w:shd w:val="clear" w:color="auto" w:fill="auto"/>
          </w:tcPr>
          <w:p w14:paraId="10DCFD57" w14:textId="5B53970B" w:rsidR="000C0A83" w:rsidRPr="00D44DFE" w:rsidRDefault="000C0A83" w:rsidP="000C0A83">
            <w:pPr>
              <w:spacing w:line="240" w:lineRule="auto"/>
              <w:jc w:val="right"/>
              <w:rPr>
                <w:rFonts w:cs="Arial"/>
              </w:rPr>
            </w:pPr>
            <w:r w:rsidRPr="00D44DFE">
              <w:rPr>
                <w:rFonts w:cs="Arial"/>
              </w:rPr>
              <w:t>0</w:t>
            </w:r>
          </w:p>
        </w:tc>
        <w:tc>
          <w:tcPr>
            <w:tcW w:w="784" w:type="dxa"/>
            <w:tcBorders>
              <w:top w:val="nil"/>
              <w:left w:val="nil"/>
              <w:bottom w:val="single" w:sz="4" w:space="0" w:color="auto"/>
              <w:right w:val="single" w:sz="4" w:space="0" w:color="auto"/>
            </w:tcBorders>
            <w:shd w:val="clear" w:color="auto" w:fill="auto"/>
          </w:tcPr>
          <w:p w14:paraId="08EFB78B" w14:textId="2D7B31FB" w:rsidR="000C0A83" w:rsidRPr="00D44DFE" w:rsidRDefault="000C0A83" w:rsidP="000C0A83">
            <w:pPr>
              <w:spacing w:line="240" w:lineRule="auto"/>
              <w:jc w:val="right"/>
              <w:rPr>
                <w:rFonts w:cs="Arial"/>
              </w:rPr>
            </w:pPr>
            <w:r w:rsidRPr="00D44DFE">
              <w:rPr>
                <w:rFonts w:cs="Arial"/>
              </w:rPr>
              <w:t>2</w:t>
            </w:r>
          </w:p>
        </w:tc>
        <w:tc>
          <w:tcPr>
            <w:tcW w:w="784" w:type="dxa"/>
            <w:tcBorders>
              <w:top w:val="nil"/>
              <w:left w:val="nil"/>
              <w:bottom w:val="single" w:sz="4" w:space="0" w:color="auto"/>
              <w:right w:val="single" w:sz="4" w:space="0" w:color="auto"/>
            </w:tcBorders>
          </w:tcPr>
          <w:p w14:paraId="6F61072A" w14:textId="2F640957" w:rsidR="000C0A83" w:rsidRPr="00D44DFE" w:rsidRDefault="000C0A83" w:rsidP="000C0A83">
            <w:pPr>
              <w:spacing w:line="240" w:lineRule="auto"/>
              <w:jc w:val="right"/>
              <w:rPr>
                <w:rFonts w:cs="Arial"/>
              </w:rPr>
            </w:pPr>
            <w:r w:rsidRPr="00A34423">
              <w:rPr>
                <w:rFonts w:cs="Arial"/>
              </w:rPr>
              <w:t>1</w:t>
            </w:r>
          </w:p>
        </w:tc>
        <w:tc>
          <w:tcPr>
            <w:tcW w:w="784" w:type="dxa"/>
            <w:tcBorders>
              <w:top w:val="nil"/>
              <w:left w:val="nil"/>
              <w:bottom w:val="single" w:sz="4" w:space="0" w:color="auto"/>
              <w:right w:val="single" w:sz="4" w:space="0" w:color="auto"/>
            </w:tcBorders>
          </w:tcPr>
          <w:p w14:paraId="785CD4E2" w14:textId="0F6AD17D" w:rsidR="000C0A83" w:rsidRPr="00D44DFE" w:rsidRDefault="000C0A83" w:rsidP="000C0A83">
            <w:pPr>
              <w:spacing w:line="240" w:lineRule="auto"/>
              <w:jc w:val="right"/>
              <w:rPr>
                <w:rFonts w:cs="Arial"/>
              </w:rPr>
            </w:pPr>
            <w:r>
              <w:rPr>
                <w:rFonts w:cs="Arial"/>
                <w:lang w:eastAsia="en-AU"/>
              </w:rPr>
              <w:t>1</w:t>
            </w:r>
          </w:p>
        </w:tc>
        <w:tc>
          <w:tcPr>
            <w:tcW w:w="784" w:type="dxa"/>
            <w:tcBorders>
              <w:top w:val="single" w:sz="4" w:space="0" w:color="auto"/>
              <w:left w:val="nil"/>
              <w:bottom w:val="single" w:sz="4" w:space="0" w:color="auto"/>
              <w:right w:val="single" w:sz="4" w:space="0" w:color="auto"/>
            </w:tcBorders>
          </w:tcPr>
          <w:p w14:paraId="6142FC7D" w14:textId="0601E20A" w:rsidR="000C0A83" w:rsidRPr="00DA793B" w:rsidRDefault="00CF5A21" w:rsidP="000C0A83">
            <w:pPr>
              <w:spacing w:line="240" w:lineRule="auto"/>
              <w:jc w:val="right"/>
              <w:rPr>
                <w:rFonts w:cs="Arial"/>
                <w:lang w:eastAsia="en-AU"/>
              </w:rPr>
            </w:pPr>
            <w:r>
              <w:rPr>
                <w:rFonts w:cs="Arial"/>
                <w:lang w:eastAsia="en-AU"/>
              </w:rPr>
              <w:t>0</w:t>
            </w:r>
          </w:p>
        </w:tc>
      </w:tr>
      <w:tr w:rsidR="000C0A83" w:rsidRPr="0094558B" w14:paraId="66769C8F" w14:textId="77777777" w:rsidTr="00DA793B">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57F2B7FE" w14:textId="77777777" w:rsidR="000C0A83" w:rsidRPr="00557E24" w:rsidRDefault="000C0A83" w:rsidP="000C0A83">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tcPr>
          <w:p w14:paraId="15896D5C" w14:textId="0954BFE5" w:rsidR="000C0A83" w:rsidRPr="00D44DFE" w:rsidRDefault="000C0A83" w:rsidP="000C0A83">
            <w:pPr>
              <w:spacing w:line="240" w:lineRule="auto"/>
              <w:jc w:val="right"/>
              <w:rPr>
                <w:rFonts w:cs="Arial"/>
                <w:b/>
                <w:lang w:eastAsia="en-AU"/>
              </w:rPr>
            </w:pPr>
            <w:r w:rsidRPr="00D44DFE">
              <w:rPr>
                <w:rFonts w:cs="Arial"/>
                <w:b/>
                <w:bCs/>
              </w:rPr>
              <w:t>1</w:t>
            </w:r>
          </w:p>
        </w:tc>
        <w:tc>
          <w:tcPr>
            <w:tcW w:w="784" w:type="dxa"/>
            <w:tcBorders>
              <w:top w:val="single" w:sz="4" w:space="0" w:color="auto"/>
              <w:left w:val="nil"/>
              <w:bottom w:val="single" w:sz="4" w:space="0" w:color="auto"/>
              <w:right w:val="single" w:sz="4" w:space="0" w:color="auto"/>
            </w:tcBorders>
            <w:shd w:val="clear" w:color="auto" w:fill="auto"/>
          </w:tcPr>
          <w:p w14:paraId="54350CFB" w14:textId="5BAA996E" w:rsidR="000C0A83" w:rsidRPr="00D44DFE" w:rsidRDefault="000C0A83" w:rsidP="000C0A83">
            <w:pPr>
              <w:spacing w:line="240" w:lineRule="auto"/>
              <w:jc w:val="right"/>
              <w:rPr>
                <w:rFonts w:cs="Arial"/>
                <w:b/>
                <w:lang w:eastAsia="en-AU"/>
              </w:rPr>
            </w:pPr>
            <w:r w:rsidRPr="00D44DFE">
              <w:rPr>
                <w:rFonts w:cs="Arial"/>
                <w:b/>
                <w:bCs/>
              </w:rPr>
              <w:t>3</w:t>
            </w:r>
          </w:p>
        </w:tc>
        <w:tc>
          <w:tcPr>
            <w:tcW w:w="784" w:type="dxa"/>
            <w:tcBorders>
              <w:top w:val="single" w:sz="4" w:space="0" w:color="auto"/>
              <w:left w:val="nil"/>
              <w:bottom w:val="single" w:sz="4" w:space="0" w:color="auto"/>
              <w:right w:val="single" w:sz="4" w:space="0" w:color="auto"/>
            </w:tcBorders>
          </w:tcPr>
          <w:p w14:paraId="123FD99F" w14:textId="6377FF36" w:rsidR="000C0A83" w:rsidRPr="00D44DFE" w:rsidRDefault="000C0A83" w:rsidP="000C0A83">
            <w:pPr>
              <w:spacing w:line="240" w:lineRule="auto"/>
              <w:jc w:val="right"/>
              <w:rPr>
                <w:rFonts w:cs="Arial"/>
                <w:b/>
                <w:lang w:eastAsia="en-AU"/>
              </w:rPr>
            </w:pPr>
            <w:r>
              <w:rPr>
                <w:rFonts w:cs="Arial"/>
                <w:b/>
                <w:lang w:eastAsia="en-AU"/>
              </w:rPr>
              <w:t>3</w:t>
            </w:r>
          </w:p>
        </w:tc>
        <w:tc>
          <w:tcPr>
            <w:tcW w:w="784" w:type="dxa"/>
            <w:tcBorders>
              <w:top w:val="single" w:sz="4" w:space="0" w:color="auto"/>
              <w:left w:val="nil"/>
              <w:bottom w:val="single" w:sz="4" w:space="0" w:color="auto"/>
              <w:right w:val="single" w:sz="4" w:space="0" w:color="auto"/>
            </w:tcBorders>
          </w:tcPr>
          <w:p w14:paraId="368C5379" w14:textId="00644DE3" w:rsidR="000C0A83" w:rsidRPr="00D44DFE" w:rsidRDefault="000C0A83" w:rsidP="000C0A83">
            <w:pPr>
              <w:spacing w:line="240" w:lineRule="auto"/>
              <w:jc w:val="right"/>
              <w:rPr>
                <w:rFonts w:cs="Arial"/>
                <w:b/>
                <w:lang w:eastAsia="en-AU"/>
              </w:rPr>
            </w:pPr>
            <w:r w:rsidRPr="00DA793B">
              <w:rPr>
                <w:rFonts w:cs="Arial"/>
                <w:b/>
                <w:bCs/>
                <w:lang w:eastAsia="en-AU"/>
              </w:rPr>
              <w:t>11</w:t>
            </w:r>
          </w:p>
        </w:tc>
        <w:tc>
          <w:tcPr>
            <w:tcW w:w="784" w:type="dxa"/>
            <w:tcBorders>
              <w:top w:val="single" w:sz="4" w:space="0" w:color="auto"/>
              <w:left w:val="nil"/>
              <w:bottom w:val="single" w:sz="4" w:space="0" w:color="auto"/>
              <w:right w:val="single" w:sz="4" w:space="0" w:color="auto"/>
            </w:tcBorders>
          </w:tcPr>
          <w:p w14:paraId="7FBB1318" w14:textId="632A4CBC" w:rsidR="000C0A83" w:rsidRPr="00DA793B" w:rsidRDefault="00CF5A21" w:rsidP="000C0A83">
            <w:pPr>
              <w:spacing w:line="240" w:lineRule="auto"/>
              <w:jc w:val="right"/>
              <w:rPr>
                <w:rFonts w:cs="Arial"/>
                <w:b/>
                <w:bCs/>
                <w:lang w:eastAsia="en-AU"/>
              </w:rPr>
            </w:pPr>
            <w:r>
              <w:rPr>
                <w:rFonts w:cs="Arial"/>
                <w:b/>
                <w:bCs/>
                <w:lang w:eastAsia="en-AU"/>
              </w:rPr>
              <w:t>1</w:t>
            </w:r>
          </w:p>
        </w:tc>
      </w:tr>
    </w:tbl>
    <w:p w14:paraId="5EFCCF6A" w14:textId="77777777" w:rsidR="007460C6" w:rsidRPr="007460C6" w:rsidRDefault="007460C6" w:rsidP="007460C6"/>
    <w:p w14:paraId="36B5CDB3" w14:textId="6F3DDB06" w:rsidR="00AC7F6B" w:rsidRPr="002D4651" w:rsidRDefault="00AC7F6B" w:rsidP="00D51DFA">
      <w:pPr>
        <w:pStyle w:val="Heading2"/>
      </w:pPr>
      <w:r>
        <w:t>Voluntary self-r</w:t>
      </w:r>
      <w:r w:rsidRPr="002D4651">
        <w:t>eferrals</w:t>
      </w:r>
      <w:r>
        <w:t xml:space="preserve"> from clients to the Commission</w:t>
      </w:r>
    </w:p>
    <w:p w14:paraId="77A10D70" w14:textId="6AB83534" w:rsidR="00AC7F6B" w:rsidRDefault="00AC7F6B" w:rsidP="00AC7F6B">
      <w:pPr>
        <w:ind w:left="-142" w:right="-425"/>
        <w:jc w:val="both"/>
        <w:rPr>
          <w:rFonts w:cs="Arial"/>
        </w:rPr>
      </w:pPr>
      <w:r>
        <w:rPr>
          <w:rFonts w:cs="Arial"/>
        </w:rPr>
        <w:t xml:space="preserve">The FRC Act sets out a process under which a community member can voluntarily seek help from the Commission for a referral to a community support service (voluntary case plan) or be subject to voluntary income management. During quarter </w:t>
      </w:r>
      <w:r w:rsidR="000C0A83">
        <w:rPr>
          <w:rFonts w:cs="Arial"/>
        </w:rPr>
        <w:t>54</w:t>
      </w:r>
      <w:r w:rsidR="00F45BD7">
        <w:rPr>
          <w:rFonts w:cs="Arial"/>
        </w:rPr>
        <w:t>,</w:t>
      </w:r>
      <w:r>
        <w:rPr>
          <w:rFonts w:cs="Arial"/>
        </w:rPr>
        <w:t xml:space="preserve"> </w:t>
      </w:r>
      <w:r w:rsidR="00811386">
        <w:rPr>
          <w:rFonts w:cs="Arial"/>
        </w:rPr>
        <w:t>1</w:t>
      </w:r>
      <w:r w:rsidR="00945E64">
        <w:rPr>
          <w:rFonts w:cs="Arial"/>
        </w:rPr>
        <w:t xml:space="preserve"> </w:t>
      </w:r>
      <w:r>
        <w:rPr>
          <w:rFonts w:cs="Arial"/>
        </w:rPr>
        <w:t xml:space="preserve">voluntary agreement </w:t>
      </w:r>
      <w:r w:rsidR="00945E64">
        <w:rPr>
          <w:rFonts w:cs="Arial"/>
        </w:rPr>
        <w:t xml:space="preserve">was </w:t>
      </w:r>
      <w:r>
        <w:rPr>
          <w:rFonts w:cs="Arial"/>
        </w:rPr>
        <w:t>entered into for</w:t>
      </w:r>
      <w:r w:rsidR="00E8768E">
        <w:rPr>
          <w:rFonts w:cs="Arial"/>
        </w:rPr>
        <w:t xml:space="preserve"> the</w:t>
      </w:r>
      <w:r>
        <w:rPr>
          <w:rFonts w:cs="Arial"/>
        </w:rPr>
        <w:t xml:space="preserve"> client to attend community support services under a case plan. Although the number of clients who have engaged with the FRC on a voluntary basis remains small, it is nonetheless consistent with a broader trend of clients – specifically those entering into Family Responsibility Agreements – who are exhibiting an increased self-awareness of their personal circumstances and are willing to accept assistance from the Commission at the earliest opportunity in the conferencing process. This is discussed in more detail at </w:t>
      </w:r>
      <w:r w:rsidRPr="00DE0966">
        <w:rPr>
          <w:rFonts w:cs="Arial"/>
          <w:i/>
          <w:iCs/>
        </w:rPr>
        <w:t>Interactions during the quarter</w:t>
      </w:r>
      <w:r>
        <w:rPr>
          <w:rFonts w:cs="Arial"/>
        </w:rPr>
        <w:t>.</w:t>
      </w:r>
    </w:p>
    <w:p w14:paraId="654755D2" w14:textId="77777777" w:rsidR="00AC7F6B" w:rsidRDefault="00AC7F6B" w:rsidP="00D51DFA">
      <w:pPr>
        <w:pStyle w:val="Heading2"/>
      </w:pPr>
    </w:p>
    <w:p w14:paraId="21435433" w14:textId="67F0DB95" w:rsidR="00EC3C3E" w:rsidRPr="006524B7" w:rsidRDefault="00D802EF" w:rsidP="00D51DFA">
      <w:pPr>
        <w:pStyle w:val="Heading2"/>
      </w:pPr>
      <w:r w:rsidRPr="00113244">
        <w:t>Voluntary</w:t>
      </w:r>
      <w:r w:rsidR="00EC3C3E" w:rsidRPr="00113244">
        <w:t xml:space="preserve"> </w:t>
      </w:r>
      <w:r w:rsidR="00334F4D">
        <w:t>Income Management</w:t>
      </w:r>
    </w:p>
    <w:p w14:paraId="2F01F04F" w14:textId="7277C4E5"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7E68A8">
        <w:rPr>
          <w:rFonts w:cs="Arial"/>
        </w:rPr>
        <w:t>3</w:t>
      </w:r>
      <w:r w:rsidR="0023758A">
        <w:rPr>
          <w:rFonts w:cs="Arial"/>
        </w:rPr>
        <w:t>3</w:t>
      </w:r>
      <w:r w:rsidR="007E68A8">
        <w:rPr>
          <w:rFonts w:cs="Arial"/>
        </w:rPr>
        <w:t xml:space="preserve"> </w:t>
      </w:r>
      <w:r w:rsidR="00505E6F">
        <w:rPr>
          <w:rFonts w:cs="Arial"/>
        </w:rPr>
        <w:t>Voluntary Income Management (VIM)</w:t>
      </w:r>
      <w:r w:rsidR="00D802EF">
        <w:rPr>
          <w:rFonts w:cs="Arial"/>
        </w:rPr>
        <w:t xml:space="preserve"> agreement</w:t>
      </w:r>
      <w:r w:rsidR="00B504D5">
        <w:rPr>
          <w:rFonts w:cs="Arial"/>
        </w:rPr>
        <w:t>s</w:t>
      </w:r>
      <w:r w:rsidR="00D802EF">
        <w:rPr>
          <w:rFonts w:cs="Arial"/>
        </w:rPr>
        <w:t xml:space="preserve"> </w:t>
      </w:r>
      <w:r w:rsidR="000F0D55">
        <w:rPr>
          <w:rFonts w:cs="Arial"/>
        </w:rPr>
        <w:t xml:space="preserve">with </w:t>
      </w:r>
      <w:r w:rsidR="004E765A">
        <w:rPr>
          <w:rFonts w:cs="Arial"/>
        </w:rPr>
        <w:t xml:space="preserve">approximately three </w:t>
      </w:r>
      <w:r w:rsidR="004E765A" w:rsidRPr="009C5078">
        <w:rPr>
          <w:rFonts w:cs="Arial"/>
        </w:rPr>
        <w:t>quarters of clients electing to have</w:t>
      </w:r>
      <w:r w:rsidR="000F0D55" w:rsidRPr="009C5078">
        <w:rPr>
          <w:rFonts w:cs="Arial"/>
        </w:rPr>
        <w:t xml:space="preserve"> 60 percent</w:t>
      </w:r>
      <w:r w:rsidR="004E765A" w:rsidRPr="009C5078">
        <w:rPr>
          <w:rFonts w:cs="Arial"/>
        </w:rPr>
        <w:t xml:space="preserve"> of their welfare payments</w:t>
      </w:r>
      <w:r w:rsidR="000F0D55" w:rsidRPr="009C5078">
        <w:rPr>
          <w:rFonts w:cs="Arial"/>
        </w:rPr>
        <w:t xml:space="preserve"> voluntar</w:t>
      </w:r>
      <w:r w:rsidR="004E765A" w:rsidRPr="009C5078">
        <w:rPr>
          <w:rFonts w:cs="Arial"/>
        </w:rPr>
        <w:t>ily</w:t>
      </w:r>
      <w:r w:rsidR="000F0D55" w:rsidRPr="009C5078">
        <w:rPr>
          <w:rFonts w:cs="Arial"/>
        </w:rPr>
        <w:t xml:space="preserve"> income manag</w:t>
      </w:r>
      <w:r w:rsidR="004E765A" w:rsidRPr="009C5078">
        <w:rPr>
          <w:rFonts w:cs="Arial"/>
        </w:rPr>
        <w:t>ed</w:t>
      </w:r>
      <w:r w:rsidR="00AE4A0C" w:rsidRPr="009C5078">
        <w:rPr>
          <w:rFonts w:cs="Arial"/>
        </w:rPr>
        <w:t xml:space="preserve"> (see </w:t>
      </w:r>
      <w:r w:rsidR="00B53A76">
        <w:rPr>
          <w:rFonts w:cs="Arial"/>
        </w:rPr>
        <w:t>Table 24</w:t>
      </w:r>
      <w:r w:rsidR="00AE4A0C" w:rsidRPr="009C5078">
        <w:rPr>
          <w:rFonts w:cs="Arial"/>
        </w:rPr>
        <w:t>)</w:t>
      </w:r>
      <w:r w:rsidR="004E765A" w:rsidRPr="009C5078">
        <w:rPr>
          <w:rFonts w:cs="Arial"/>
        </w:rPr>
        <w:t>.</w:t>
      </w:r>
      <w:r w:rsidR="000F0D55" w:rsidRPr="009C5078">
        <w:rPr>
          <w:rFonts w:cs="Arial"/>
        </w:rPr>
        <w:t xml:space="preserve"> </w:t>
      </w:r>
      <w:r w:rsidR="00AE4A0C" w:rsidRPr="009C5078">
        <w:rPr>
          <w:rFonts w:cs="Arial"/>
        </w:rPr>
        <w:t xml:space="preserve">Clients also showed a preference to be subjected to income management for longer durations (see </w:t>
      </w:r>
      <w:r w:rsidR="00B53A76">
        <w:rPr>
          <w:rFonts w:cs="Arial"/>
        </w:rPr>
        <w:t>Table 22</w:t>
      </w:r>
      <w:r w:rsidR="00AE4A0C" w:rsidRPr="009C5078">
        <w:rPr>
          <w:rFonts w:cs="Arial"/>
        </w:rPr>
        <w:t xml:space="preserve">). </w:t>
      </w:r>
      <w:r w:rsidR="000F0D55">
        <w:rPr>
          <w:rFonts w:cs="Arial"/>
        </w:rPr>
        <w:t>S</w:t>
      </w:r>
      <w:r w:rsidR="00D802EF">
        <w:rPr>
          <w:rFonts w:cs="Arial"/>
        </w:rPr>
        <w:t xml:space="preserve">ince the commencement of the Commission in 2008, </w:t>
      </w:r>
      <w:r w:rsidR="007E68A8">
        <w:rPr>
          <w:rFonts w:cs="Arial"/>
        </w:rPr>
        <w:t xml:space="preserve">285 </w:t>
      </w:r>
      <w:r w:rsidR="00D802EF">
        <w:rPr>
          <w:rFonts w:cs="Arial"/>
        </w:rPr>
        <w:t>clients</w:t>
      </w:r>
      <w:r w:rsidR="00E26269">
        <w:rPr>
          <w:rFonts w:cs="Arial"/>
        </w:rPr>
        <w:t xml:space="preserve"> </w:t>
      </w:r>
      <w:r w:rsidR="00B32201" w:rsidRPr="007C7A9E">
        <w:rPr>
          <w:rFonts w:cs="Arial"/>
        </w:rPr>
        <w:t>(</w:t>
      </w:r>
      <w:r w:rsidR="007E68A8">
        <w:rPr>
          <w:rFonts w:cs="Arial"/>
        </w:rPr>
        <w:t xml:space="preserve">180 </w:t>
      </w:r>
      <w:r w:rsidR="00794683">
        <w:rPr>
          <w:rFonts w:cs="Arial"/>
        </w:rPr>
        <w:t xml:space="preserve">female and </w:t>
      </w:r>
      <w:r w:rsidR="003C599E">
        <w:rPr>
          <w:rFonts w:cs="Arial"/>
        </w:rPr>
        <w:t>10</w:t>
      </w:r>
      <w:r w:rsidR="007E68A8">
        <w:rPr>
          <w:rFonts w:cs="Arial"/>
        </w:rPr>
        <w:t>5</w:t>
      </w:r>
      <w:r w:rsidR="003C599E">
        <w:rPr>
          <w:rFonts w:cs="Arial"/>
        </w:rPr>
        <w:t xml:space="preserve"> </w:t>
      </w:r>
      <w:r w:rsidR="00794683">
        <w:rPr>
          <w:rFonts w:cs="Arial"/>
        </w:rPr>
        <w:t xml:space="preserve">male) </w:t>
      </w:r>
      <w:r w:rsidR="00D802EF">
        <w:rPr>
          <w:rFonts w:cs="Arial"/>
        </w:rPr>
        <w:t>have had an active VIM agreement</w:t>
      </w:r>
      <w:r w:rsidR="005A6206">
        <w:rPr>
          <w:rFonts w:cs="Arial"/>
        </w:rPr>
        <w:t xml:space="preserve">. </w:t>
      </w:r>
      <w:r w:rsidR="00D30730" w:rsidRPr="00C313D5">
        <w:rPr>
          <w:rFonts w:cs="Arial"/>
        </w:rPr>
        <w:lastRenderedPageBreak/>
        <w:t xml:space="preserve">As at </w:t>
      </w:r>
      <w:r w:rsidR="00F83C14">
        <w:rPr>
          <w:rFonts w:cs="Arial"/>
        </w:rPr>
        <w:t>3</w:t>
      </w:r>
      <w:r w:rsidR="007E68A8">
        <w:rPr>
          <w:rFonts w:cs="Arial"/>
        </w:rPr>
        <w:t xml:space="preserve">1 December </w:t>
      </w:r>
      <w:r w:rsidR="009A7C28">
        <w:rPr>
          <w:rFonts w:cs="Arial"/>
        </w:rPr>
        <w:t>2021</w:t>
      </w:r>
      <w:r w:rsidR="00D30730" w:rsidRPr="00C313D5">
        <w:rPr>
          <w:rFonts w:cs="Arial"/>
        </w:rPr>
        <w:t xml:space="preserve"> there were </w:t>
      </w:r>
      <w:r w:rsidR="002F4F9D" w:rsidRPr="002925DB">
        <w:rPr>
          <w:rFonts w:cs="Arial"/>
        </w:rPr>
        <w:t xml:space="preserve">105 </w:t>
      </w:r>
      <w:r w:rsidR="00D30730" w:rsidRPr="002925DB">
        <w:rPr>
          <w:rFonts w:cs="Arial"/>
        </w:rPr>
        <w:t>clients</w:t>
      </w:r>
      <w:r w:rsidR="00D30730" w:rsidRPr="00C313D5">
        <w:rPr>
          <w:rFonts w:cs="Arial"/>
        </w:rPr>
        <w:t xml:space="preserve"> </w:t>
      </w:r>
      <w:r w:rsidR="00D30730">
        <w:rPr>
          <w:rFonts w:cs="Arial"/>
        </w:rPr>
        <w:t>on</w:t>
      </w:r>
      <w:r w:rsidR="00D30730" w:rsidRPr="00C313D5">
        <w:rPr>
          <w:rFonts w:cs="Arial"/>
        </w:rPr>
        <w:t xml:space="preserve"> a current </w:t>
      </w:r>
      <w:r w:rsidR="00D30730">
        <w:rPr>
          <w:rFonts w:cs="Arial"/>
        </w:rPr>
        <w:t>VIM</w:t>
      </w:r>
      <w:r w:rsidR="00D30730" w:rsidRPr="00C313D5">
        <w:rPr>
          <w:rFonts w:cs="Arial"/>
        </w:rPr>
        <w:t xml:space="preserve"> </w:t>
      </w:r>
      <w:r w:rsidR="00D30730">
        <w:rPr>
          <w:rFonts w:cs="Arial"/>
        </w:rPr>
        <w:t>agreement</w:t>
      </w:r>
      <w:r w:rsidR="007847CF">
        <w:rPr>
          <w:rFonts w:cs="Arial"/>
        </w:rPr>
        <w:t>.</w:t>
      </w:r>
      <w:r w:rsidR="0090496B">
        <w:rPr>
          <w:rFonts w:cs="Arial"/>
        </w:rPr>
        <w:t xml:space="preserve"> The growth in the number of community members willing to enter into a VIM agreement</w:t>
      </w:r>
      <w:r w:rsidR="009C2950">
        <w:rPr>
          <w:rFonts w:cs="Arial"/>
        </w:rPr>
        <w:t xml:space="preserve"> continues to exceed levels reported in periods prior to the introduction of the Cashless Debit Card (CDC) in March 2021</w:t>
      </w:r>
      <w:r w:rsidR="00C14593">
        <w:rPr>
          <w:rFonts w:cs="Arial"/>
        </w:rPr>
        <w:t xml:space="preserve"> (see </w:t>
      </w:r>
      <w:r w:rsidR="002925DB">
        <w:rPr>
          <w:rFonts w:cs="Arial"/>
        </w:rPr>
        <w:t>section</w:t>
      </w:r>
      <w:r w:rsidR="00C14593">
        <w:rPr>
          <w:rFonts w:cs="Arial"/>
        </w:rPr>
        <w:t xml:space="preserve"> below </w:t>
      </w:r>
      <w:r w:rsidR="00DC3E72">
        <w:rPr>
          <w:rFonts w:cs="Arial"/>
        </w:rPr>
        <w:t xml:space="preserve">on the </w:t>
      </w:r>
      <w:r w:rsidR="00C14593">
        <w:rPr>
          <w:rFonts w:cs="Arial"/>
        </w:rPr>
        <w:t xml:space="preserve">Status of </w:t>
      </w:r>
      <w:r w:rsidR="00DC3E72">
        <w:rPr>
          <w:rFonts w:cs="Arial"/>
        </w:rPr>
        <w:t xml:space="preserve">the </w:t>
      </w:r>
      <w:r w:rsidR="00C14593">
        <w:rPr>
          <w:rFonts w:cs="Arial"/>
        </w:rPr>
        <w:t>CD</w:t>
      </w:r>
      <w:r w:rsidR="00DC3E72">
        <w:rPr>
          <w:rFonts w:cs="Arial"/>
        </w:rPr>
        <w:t>C).</w:t>
      </w:r>
    </w:p>
    <w:p w14:paraId="45432E30" w14:textId="1B99792C" w:rsidR="006B6030" w:rsidRDefault="006B6030" w:rsidP="005A02C1">
      <w:pPr>
        <w:ind w:left="-142" w:right="-425"/>
        <w:jc w:val="both"/>
        <w:rPr>
          <w:rFonts w:cs="Arial"/>
        </w:rPr>
      </w:pPr>
    </w:p>
    <w:p w14:paraId="1087AFFD" w14:textId="55F9B6D0" w:rsidR="003833F9" w:rsidRPr="005212BC" w:rsidRDefault="003833F9" w:rsidP="003833F9">
      <w:pPr>
        <w:ind w:left="-142" w:right="-425"/>
        <w:jc w:val="both"/>
        <w:rPr>
          <w:rFonts w:cs="Arial"/>
          <w:b/>
          <w:bCs/>
        </w:rPr>
      </w:pPr>
      <w:r w:rsidRPr="005212BC">
        <w:rPr>
          <w:rFonts w:cs="Arial"/>
          <w:b/>
          <w:bCs/>
        </w:rPr>
        <w:t xml:space="preserve">Status of CDC in FRC Communities for quarter </w:t>
      </w:r>
      <w:r w:rsidR="000C0A83">
        <w:rPr>
          <w:rFonts w:cs="Arial"/>
          <w:b/>
          <w:bCs/>
        </w:rPr>
        <w:t>54</w:t>
      </w:r>
    </w:p>
    <w:p w14:paraId="40773987" w14:textId="2BBCD9A8" w:rsidR="003833F9" w:rsidRDefault="000101BA" w:rsidP="003833F9">
      <w:pPr>
        <w:ind w:left="-142" w:right="-425"/>
        <w:jc w:val="both"/>
        <w:rPr>
          <w:rFonts w:cs="Arial"/>
        </w:rPr>
      </w:pPr>
      <w:r>
        <w:rPr>
          <w:rFonts w:cs="Arial"/>
        </w:rPr>
        <w:t>Sixty-two</w:t>
      </w:r>
      <w:r w:rsidR="003833F9">
        <w:rPr>
          <w:rFonts w:cs="Arial"/>
        </w:rPr>
        <w:t xml:space="preserve"> Cashless Debit Cards </w:t>
      </w:r>
      <w:r w:rsidR="00386ABC">
        <w:rPr>
          <w:rFonts w:cs="Arial"/>
        </w:rPr>
        <w:t>(</w:t>
      </w:r>
      <w:r>
        <w:rPr>
          <w:rFonts w:cs="Arial"/>
        </w:rPr>
        <w:t xml:space="preserve">29 </w:t>
      </w:r>
      <w:r w:rsidR="00386ABC">
        <w:rPr>
          <w:rFonts w:cs="Arial"/>
        </w:rPr>
        <w:t xml:space="preserve">for CIM and </w:t>
      </w:r>
      <w:r>
        <w:rPr>
          <w:rFonts w:cs="Arial"/>
        </w:rPr>
        <w:t xml:space="preserve">33 </w:t>
      </w:r>
      <w:r w:rsidR="00386ABC">
        <w:rPr>
          <w:rFonts w:cs="Arial"/>
        </w:rPr>
        <w:t xml:space="preserve">for VIM) </w:t>
      </w:r>
      <w:r w:rsidR="003833F9">
        <w:rPr>
          <w:rFonts w:cs="Arial"/>
        </w:rPr>
        <w:t xml:space="preserve">were processed for the period 1 </w:t>
      </w:r>
      <w:r>
        <w:rPr>
          <w:rFonts w:cs="Arial"/>
        </w:rPr>
        <w:t xml:space="preserve">October </w:t>
      </w:r>
      <w:r w:rsidR="003833F9">
        <w:rPr>
          <w:rFonts w:cs="Arial"/>
        </w:rPr>
        <w:t>2021 to 3</w:t>
      </w:r>
      <w:r>
        <w:rPr>
          <w:rFonts w:cs="Arial"/>
        </w:rPr>
        <w:t xml:space="preserve">1 December </w:t>
      </w:r>
      <w:r w:rsidR="003833F9">
        <w:rPr>
          <w:rFonts w:cs="Arial"/>
        </w:rPr>
        <w:t>2021, including orders and agreements that were still awaiting Centrelink action as at 3</w:t>
      </w:r>
      <w:r>
        <w:rPr>
          <w:rFonts w:cs="Arial"/>
        </w:rPr>
        <w:t>1 December</w:t>
      </w:r>
      <w:r w:rsidR="003833F9">
        <w:rPr>
          <w:rFonts w:cs="Arial"/>
        </w:rPr>
        <w:t>.</w:t>
      </w:r>
    </w:p>
    <w:p w14:paraId="06F6BF54" w14:textId="43169CF5" w:rsidR="00FB15DD" w:rsidRDefault="00FB15DD" w:rsidP="003833F9">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FB15DD" w14:paraId="2D8CB62D" w14:textId="77777777" w:rsidTr="000B6D24">
        <w:trPr>
          <w:trHeight w:val="278"/>
        </w:trPr>
        <w:tc>
          <w:tcPr>
            <w:tcW w:w="4106" w:type="dxa"/>
            <w:gridSpan w:val="2"/>
          </w:tcPr>
          <w:p w14:paraId="18FF61B4" w14:textId="288ADC7A" w:rsidR="00FB15DD" w:rsidRPr="002C0A49" w:rsidRDefault="00FB15DD" w:rsidP="000B6D24">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21</w:t>
            </w:r>
            <w:r w:rsidRPr="002C0A49">
              <w:rPr>
                <w:rFonts w:cs="Arial"/>
                <w:b/>
                <w:bCs/>
                <w:noProof/>
                <w:sz w:val="16"/>
                <w:szCs w:val="16"/>
              </w:rPr>
              <w:t>:</w:t>
            </w:r>
            <w:r w:rsidRPr="002C0A49">
              <w:rPr>
                <w:rFonts w:cs="Arial"/>
                <w:noProof/>
                <w:sz w:val="16"/>
                <w:szCs w:val="16"/>
              </w:rPr>
              <w:t xml:space="preserve"> Breakdown of CDC CIMs by duration 1 </w:t>
            </w:r>
            <w:r>
              <w:rPr>
                <w:rFonts w:cs="Arial"/>
                <w:noProof/>
                <w:sz w:val="16"/>
                <w:szCs w:val="16"/>
              </w:rPr>
              <w:t>October</w:t>
            </w:r>
            <w:r w:rsidRPr="002C0A49">
              <w:rPr>
                <w:rFonts w:cs="Arial"/>
                <w:noProof/>
                <w:sz w:val="16"/>
                <w:szCs w:val="16"/>
              </w:rPr>
              <w:t xml:space="preserve"> 2021 – 3</w:t>
            </w:r>
            <w:r>
              <w:rPr>
                <w:rFonts w:cs="Arial"/>
                <w:noProof/>
                <w:sz w:val="16"/>
                <w:szCs w:val="16"/>
              </w:rPr>
              <w:t xml:space="preserve">1 December </w:t>
            </w:r>
            <w:r w:rsidRPr="002C0A49">
              <w:rPr>
                <w:rFonts w:cs="Arial"/>
                <w:noProof/>
                <w:sz w:val="16"/>
                <w:szCs w:val="16"/>
              </w:rPr>
              <w:t>2021</w:t>
            </w:r>
          </w:p>
        </w:tc>
        <w:tc>
          <w:tcPr>
            <w:tcW w:w="709" w:type="dxa"/>
            <w:tcBorders>
              <w:top w:val="nil"/>
              <w:bottom w:val="nil"/>
            </w:tcBorders>
          </w:tcPr>
          <w:p w14:paraId="1854012C" w14:textId="77777777" w:rsidR="00FB15DD" w:rsidRDefault="00FB15DD" w:rsidP="000B6D24">
            <w:pPr>
              <w:rPr>
                <w:rFonts w:cs="Arial"/>
                <w:b/>
                <w:bCs/>
                <w:noProof/>
                <w:sz w:val="16"/>
                <w:szCs w:val="16"/>
              </w:rPr>
            </w:pPr>
          </w:p>
        </w:tc>
        <w:tc>
          <w:tcPr>
            <w:tcW w:w="4098" w:type="dxa"/>
            <w:gridSpan w:val="2"/>
          </w:tcPr>
          <w:p w14:paraId="69BDB319" w14:textId="7238F1AF" w:rsidR="00FB15DD" w:rsidRPr="00E33A8C" w:rsidRDefault="00FB15DD" w:rsidP="000B6D24">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22</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duration 1 </w:t>
            </w:r>
            <w:r>
              <w:rPr>
                <w:rFonts w:cs="Arial"/>
                <w:noProof/>
                <w:sz w:val="16"/>
                <w:szCs w:val="16"/>
              </w:rPr>
              <w:t>October</w:t>
            </w:r>
            <w:r w:rsidRPr="00523A30">
              <w:rPr>
                <w:rFonts w:cs="Arial"/>
                <w:noProof/>
                <w:sz w:val="16"/>
                <w:szCs w:val="16"/>
              </w:rPr>
              <w:t xml:space="preserve"> 2021 – 3</w:t>
            </w:r>
            <w:r>
              <w:rPr>
                <w:rFonts w:cs="Arial"/>
                <w:noProof/>
                <w:sz w:val="16"/>
                <w:szCs w:val="16"/>
              </w:rPr>
              <w:t xml:space="preserve">1 December </w:t>
            </w:r>
            <w:r w:rsidRPr="00523A30">
              <w:rPr>
                <w:rFonts w:cs="Arial"/>
                <w:noProof/>
                <w:sz w:val="16"/>
                <w:szCs w:val="16"/>
              </w:rPr>
              <w:t>2021</w:t>
            </w:r>
          </w:p>
        </w:tc>
      </w:tr>
      <w:tr w:rsidR="00FB15DD" w14:paraId="512D542A" w14:textId="77777777" w:rsidTr="000B6D24">
        <w:trPr>
          <w:trHeight w:val="278"/>
        </w:trPr>
        <w:tc>
          <w:tcPr>
            <w:tcW w:w="2972" w:type="dxa"/>
            <w:vAlign w:val="center"/>
          </w:tcPr>
          <w:p w14:paraId="0A35AC00" w14:textId="77777777" w:rsidR="00FB15DD" w:rsidRPr="00CB1588" w:rsidRDefault="00FB15DD" w:rsidP="000B6D24">
            <w:pPr>
              <w:rPr>
                <w:rFonts w:cs="Arial"/>
                <w:b/>
                <w:bCs/>
                <w:noProof/>
              </w:rPr>
            </w:pPr>
            <w:r w:rsidRPr="00CB1588">
              <w:rPr>
                <w:rFonts w:cs="Arial"/>
                <w:b/>
                <w:bCs/>
                <w:noProof/>
              </w:rPr>
              <w:t>CIM Duration</w:t>
            </w:r>
          </w:p>
        </w:tc>
        <w:tc>
          <w:tcPr>
            <w:tcW w:w="1134" w:type="dxa"/>
            <w:vAlign w:val="center"/>
          </w:tcPr>
          <w:p w14:paraId="481432B3" w14:textId="77777777" w:rsidR="00FB15DD" w:rsidRPr="00CB1588" w:rsidRDefault="00FB15DD" w:rsidP="000B6D24">
            <w:pPr>
              <w:jc w:val="right"/>
              <w:rPr>
                <w:rFonts w:cs="Arial"/>
                <w:b/>
                <w:bCs/>
                <w:noProof/>
              </w:rPr>
            </w:pPr>
            <w:r>
              <w:rPr>
                <w:rFonts w:cs="Arial"/>
                <w:b/>
                <w:bCs/>
                <w:noProof/>
              </w:rPr>
              <w:t xml:space="preserve">% </w:t>
            </w:r>
            <w:r w:rsidRPr="00CB1588">
              <w:rPr>
                <w:rFonts w:cs="Arial"/>
                <w:b/>
                <w:bCs/>
                <w:noProof/>
              </w:rPr>
              <w:t>Split</w:t>
            </w:r>
          </w:p>
        </w:tc>
        <w:tc>
          <w:tcPr>
            <w:tcW w:w="709" w:type="dxa"/>
            <w:tcBorders>
              <w:top w:val="nil"/>
              <w:bottom w:val="nil"/>
            </w:tcBorders>
          </w:tcPr>
          <w:p w14:paraId="49E9C76E" w14:textId="77777777" w:rsidR="00FB15DD" w:rsidRDefault="00FB15DD" w:rsidP="000B6D24">
            <w:pPr>
              <w:rPr>
                <w:rFonts w:cs="Arial"/>
                <w:noProof/>
              </w:rPr>
            </w:pPr>
          </w:p>
        </w:tc>
        <w:tc>
          <w:tcPr>
            <w:tcW w:w="2977" w:type="dxa"/>
            <w:vAlign w:val="center"/>
          </w:tcPr>
          <w:p w14:paraId="2894AEF7" w14:textId="77777777" w:rsidR="00FB15DD" w:rsidRPr="00CB1588" w:rsidRDefault="00FB15DD" w:rsidP="000B6D24">
            <w:pPr>
              <w:rPr>
                <w:rFonts w:cs="Arial"/>
                <w:b/>
                <w:bCs/>
                <w:noProof/>
              </w:rPr>
            </w:pPr>
            <w:r w:rsidRPr="00CB1588">
              <w:rPr>
                <w:rFonts w:cs="Arial"/>
                <w:b/>
                <w:bCs/>
                <w:noProof/>
              </w:rPr>
              <w:t>VIM Duration</w:t>
            </w:r>
          </w:p>
        </w:tc>
        <w:tc>
          <w:tcPr>
            <w:tcW w:w="1121" w:type="dxa"/>
            <w:vAlign w:val="center"/>
          </w:tcPr>
          <w:p w14:paraId="6B08F1B3" w14:textId="77777777" w:rsidR="00FB15DD" w:rsidRPr="001D1C01" w:rsidRDefault="00FB15DD" w:rsidP="000B6D24">
            <w:pPr>
              <w:jc w:val="right"/>
              <w:rPr>
                <w:rFonts w:cs="Arial"/>
                <w:noProof/>
              </w:rPr>
            </w:pPr>
            <w:r>
              <w:rPr>
                <w:rFonts w:cs="Arial"/>
                <w:b/>
                <w:bCs/>
                <w:noProof/>
              </w:rPr>
              <w:t xml:space="preserve">% </w:t>
            </w:r>
            <w:r w:rsidRPr="00CB1588">
              <w:rPr>
                <w:rFonts w:cs="Arial"/>
                <w:b/>
                <w:bCs/>
                <w:noProof/>
              </w:rPr>
              <w:t>Split</w:t>
            </w:r>
          </w:p>
        </w:tc>
      </w:tr>
      <w:tr w:rsidR="00FB15DD" w14:paraId="22D80AF4" w14:textId="77777777" w:rsidTr="000B6D24">
        <w:trPr>
          <w:trHeight w:val="278"/>
        </w:trPr>
        <w:tc>
          <w:tcPr>
            <w:tcW w:w="2972" w:type="dxa"/>
            <w:vAlign w:val="center"/>
          </w:tcPr>
          <w:p w14:paraId="5302BE13" w14:textId="77777777" w:rsidR="00FB15DD" w:rsidRPr="002819D6" w:rsidRDefault="00FB15DD" w:rsidP="000B6D24">
            <w:pPr>
              <w:rPr>
                <w:rFonts w:cs="Arial"/>
                <w:noProof/>
              </w:rPr>
            </w:pPr>
            <w:r w:rsidRPr="002819D6">
              <w:rPr>
                <w:rFonts w:cs="Arial"/>
                <w:noProof/>
              </w:rPr>
              <w:t>3 months</w:t>
            </w:r>
          </w:p>
        </w:tc>
        <w:tc>
          <w:tcPr>
            <w:tcW w:w="1134" w:type="dxa"/>
            <w:vAlign w:val="center"/>
          </w:tcPr>
          <w:p w14:paraId="2B42D18B" w14:textId="6FC8918F" w:rsidR="00FB15DD" w:rsidRPr="001D1C01" w:rsidRDefault="00FB15DD" w:rsidP="000B6D24">
            <w:pPr>
              <w:jc w:val="right"/>
              <w:rPr>
                <w:rFonts w:cs="Arial"/>
                <w:noProof/>
              </w:rPr>
            </w:pPr>
            <w:r>
              <w:rPr>
                <w:rFonts w:cs="Arial"/>
                <w:noProof/>
              </w:rPr>
              <w:t>7</w:t>
            </w:r>
            <w:r w:rsidRPr="001D1C01">
              <w:rPr>
                <w:rFonts w:cs="Arial"/>
                <w:noProof/>
              </w:rPr>
              <w:t>%</w:t>
            </w:r>
          </w:p>
        </w:tc>
        <w:tc>
          <w:tcPr>
            <w:tcW w:w="709" w:type="dxa"/>
            <w:tcBorders>
              <w:top w:val="nil"/>
              <w:bottom w:val="nil"/>
            </w:tcBorders>
          </w:tcPr>
          <w:p w14:paraId="3D6D97E4" w14:textId="77777777" w:rsidR="00FB15DD" w:rsidRDefault="00FB15DD" w:rsidP="000B6D24">
            <w:pPr>
              <w:rPr>
                <w:rFonts w:cs="Arial"/>
                <w:noProof/>
              </w:rPr>
            </w:pPr>
          </w:p>
        </w:tc>
        <w:tc>
          <w:tcPr>
            <w:tcW w:w="2977" w:type="dxa"/>
            <w:vAlign w:val="center"/>
          </w:tcPr>
          <w:p w14:paraId="3068C9DD" w14:textId="77777777" w:rsidR="00FB15DD" w:rsidRPr="001D1C01" w:rsidRDefault="00FB15DD" w:rsidP="000B6D24">
            <w:pPr>
              <w:rPr>
                <w:rFonts w:cs="Arial"/>
                <w:noProof/>
              </w:rPr>
            </w:pPr>
            <w:r w:rsidRPr="001D1C01">
              <w:rPr>
                <w:rFonts w:cs="Arial"/>
                <w:noProof/>
              </w:rPr>
              <w:t>3 months</w:t>
            </w:r>
          </w:p>
        </w:tc>
        <w:tc>
          <w:tcPr>
            <w:tcW w:w="1121" w:type="dxa"/>
            <w:vAlign w:val="center"/>
          </w:tcPr>
          <w:p w14:paraId="3F14FA6D" w14:textId="4FB4D3C7" w:rsidR="00FB15DD" w:rsidRPr="001D1C01" w:rsidRDefault="00FB15DD" w:rsidP="000B6D24">
            <w:pPr>
              <w:jc w:val="right"/>
              <w:rPr>
                <w:rFonts w:cs="Arial"/>
                <w:noProof/>
              </w:rPr>
            </w:pPr>
            <w:r>
              <w:rPr>
                <w:rFonts w:cs="Arial"/>
                <w:noProof/>
              </w:rPr>
              <w:t>15</w:t>
            </w:r>
            <w:r w:rsidRPr="001D1C01">
              <w:rPr>
                <w:rFonts w:cs="Arial"/>
                <w:noProof/>
              </w:rPr>
              <w:t>%</w:t>
            </w:r>
          </w:p>
        </w:tc>
      </w:tr>
      <w:tr w:rsidR="00FB15DD" w14:paraId="22917FCD" w14:textId="77777777" w:rsidTr="000B6D24">
        <w:trPr>
          <w:trHeight w:val="278"/>
        </w:trPr>
        <w:tc>
          <w:tcPr>
            <w:tcW w:w="2972" w:type="dxa"/>
            <w:vAlign w:val="center"/>
          </w:tcPr>
          <w:p w14:paraId="552906EF" w14:textId="77777777" w:rsidR="00FB15DD" w:rsidRPr="002819D6" w:rsidRDefault="00FB15DD" w:rsidP="000B6D24">
            <w:pPr>
              <w:rPr>
                <w:rFonts w:cs="Arial"/>
                <w:noProof/>
              </w:rPr>
            </w:pPr>
            <w:r w:rsidRPr="002819D6">
              <w:rPr>
                <w:rFonts w:cs="Arial"/>
                <w:noProof/>
              </w:rPr>
              <w:t>6 months</w:t>
            </w:r>
          </w:p>
        </w:tc>
        <w:tc>
          <w:tcPr>
            <w:tcW w:w="1134" w:type="dxa"/>
            <w:vAlign w:val="center"/>
          </w:tcPr>
          <w:p w14:paraId="21FBE5ED" w14:textId="0801F304" w:rsidR="00FB15DD" w:rsidRPr="001D1C01" w:rsidRDefault="00FB15DD" w:rsidP="000B6D24">
            <w:pPr>
              <w:jc w:val="right"/>
              <w:rPr>
                <w:rFonts w:cs="Arial"/>
                <w:noProof/>
              </w:rPr>
            </w:pPr>
            <w:r>
              <w:rPr>
                <w:rFonts w:cs="Arial"/>
                <w:noProof/>
              </w:rPr>
              <w:t>45</w:t>
            </w:r>
            <w:r w:rsidRPr="001D1C01">
              <w:rPr>
                <w:rFonts w:cs="Arial"/>
                <w:noProof/>
              </w:rPr>
              <w:t>%</w:t>
            </w:r>
          </w:p>
        </w:tc>
        <w:tc>
          <w:tcPr>
            <w:tcW w:w="709" w:type="dxa"/>
            <w:tcBorders>
              <w:top w:val="nil"/>
              <w:bottom w:val="nil"/>
            </w:tcBorders>
          </w:tcPr>
          <w:p w14:paraId="57B08C8A" w14:textId="77777777" w:rsidR="00FB15DD" w:rsidRDefault="00FB15DD" w:rsidP="000B6D24">
            <w:pPr>
              <w:rPr>
                <w:rFonts w:cs="Arial"/>
                <w:noProof/>
              </w:rPr>
            </w:pPr>
          </w:p>
        </w:tc>
        <w:tc>
          <w:tcPr>
            <w:tcW w:w="2977" w:type="dxa"/>
            <w:vAlign w:val="center"/>
          </w:tcPr>
          <w:p w14:paraId="2B0C6300" w14:textId="77777777" w:rsidR="00FB15DD" w:rsidRPr="001D1C01" w:rsidRDefault="00FB15DD" w:rsidP="000B6D24">
            <w:pPr>
              <w:rPr>
                <w:rFonts w:cs="Arial"/>
                <w:noProof/>
              </w:rPr>
            </w:pPr>
            <w:r w:rsidRPr="001D1C01">
              <w:rPr>
                <w:rFonts w:cs="Arial"/>
                <w:noProof/>
              </w:rPr>
              <w:t>6 months</w:t>
            </w:r>
          </w:p>
        </w:tc>
        <w:tc>
          <w:tcPr>
            <w:tcW w:w="1121" w:type="dxa"/>
            <w:vAlign w:val="center"/>
          </w:tcPr>
          <w:p w14:paraId="153EBAD0" w14:textId="4B9E5224" w:rsidR="00FB15DD" w:rsidRPr="001D1C01" w:rsidRDefault="00FB15DD" w:rsidP="000B6D24">
            <w:pPr>
              <w:jc w:val="right"/>
              <w:rPr>
                <w:rFonts w:cs="Arial"/>
                <w:noProof/>
              </w:rPr>
            </w:pPr>
            <w:r>
              <w:rPr>
                <w:rFonts w:cs="Arial"/>
                <w:noProof/>
              </w:rPr>
              <w:t>24</w:t>
            </w:r>
            <w:r w:rsidRPr="001D1C01">
              <w:rPr>
                <w:rFonts w:cs="Arial"/>
                <w:noProof/>
              </w:rPr>
              <w:t>%</w:t>
            </w:r>
          </w:p>
        </w:tc>
      </w:tr>
      <w:tr w:rsidR="00FB15DD" w14:paraId="210910A7" w14:textId="77777777" w:rsidTr="000B6D24">
        <w:trPr>
          <w:trHeight w:val="278"/>
        </w:trPr>
        <w:tc>
          <w:tcPr>
            <w:tcW w:w="2972" w:type="dxa"/>
            <w:vAlign w:val="center"/>
          </w:tcPr>
          <w:p w14:paraId="42E0A4D4" w14:textId="77777777" w:rsidR="00FB15DD" w:rsidRPr="002819D6" w:rsidRDefault="00FB15DD" w:rsidP="000B6D24">
            <w:pPr>
              <w:rPr>
                <w:rFonts w:cs="Arial"/>
                <w:noProof/>
              </w:rPr>
            </w:pPr>
            <w:r w:rsidRPr="002819D6">
              <w:rPr>
                <w:rFonts w:cs="Arial"/>
                <w:noProof/>
              </w:rPr>
              <w:t>9 months</w:t>
            </w:r>
          </w:p>
        </w:tc>
        <w:tc>
          <w:tcPr>
            <w:tcW w:w="1134" w:type="dxa"/>
            <w:vAlign w:val="center"/>
          </w:tcPr>
          <w:p w14:paraId="3F202C30" w14:textId="77777777" w:rsidR="00FB15DD" w:rsidRPr="001D1C01" w:rsidRDefault="00FB15DD" w:rsidP="000B6D24">
            <w:pPr>
              <w:jc w:val="right"/>
              <w:rPr>
                <w:rFonts w:cs="Arial"/>
                <w:noProof/>
              </w:rPr>
            </w:pPr>
            <w:r w:rsidRPr="001D1C01">
              <w:rPr>
                <w:rFonts w:cs="Arial"/>
                <w:noProof/>
              </w:rPr>
              <w:t>0%</w:t>
            </w:r>
          </w:p>
        </w:tc>
        <w:tc>
          <w:tcPr>
            <w:tcW w:w="709" w:type="dxa"/>
            <w:tcBorders>
              <w:top w:val="nil"/>
              <w:bottom w:val="nil"/>
            </w:tcBorders>
          </w:tcPr>
          <w:p w14:paraId="504BF8BD" w14:textId="77777777" w:rsidR="00FB15DD" w:rsidRDefault="00FB15DD" w:rsidP="000B6D24">
            <w:pPr>
              <w:rPr>
                <w:rFonts w:cs="Arial"/>
                <w:noProof/>
              </w:rPr>
            </w:pPr>
          </w:p>
        </w:tc>
        <w:tc>
          <w:tcPr>
            <w:tcW w:w="2977" w:type="dxa"/>
            <w:vAlign w:val="center"/>
          </w:tcPr>
          <w:p w14:paraId="0D92598F" w14:textId="77777777" w:rsidR="00FB15DD" w:rsidRPr="001D1C01" w:rsidRDefault="00FB15DD" w:rsidP="000B6D24">
            <w:pPr>
              <w:rPr>
                <w:rFonts w:cs="Arial"/>
                <w:noProof/>
              </w:rPr>
            </w:pPr>
            <w:r w:rsidRPr="001D1C01">
              <w:rPr>
                <w:rFonts w:cs="Arial"/>
                <w:noProof/>
              </w:rPr>
              <w:t>9 months</w:t>
            </w:r>
          </w:p>
        </w:tc>
        <w:tc>
          <w:tcPr>
            <w:tcW w:w="1121" w:type="dxa"/>
            <w:vAlign w:val="center"/>
          </w:tcPr>
          <w:p w14:paraId="42826FD5" w14:textId="148120B2" w:rsidR="00FB15DD" w:rsidRPr="001D1C01" w:rsidRDefault="00FB15DD" w:rsidP="000B6D24">
            <w:pPr>
              <w:jc w:val="right"/>
              <w:rPr>
                <w:rFonts w:cs="Arial"/>
                <w:noProof/>
              </w:rPr>
            </w:pPr>
            <w:r>
              <w:rPr>
                <w:rFonts w:cs="Arial"/>
                <w:noProof/>
              </w:rPr>
              <w:t>0</w:t>
            </w:r>
            <w:r w:rsidRPr="001D1C01">
              <w:rPr>
                <w:rFonts w:cs="Arial"/>
                <w:noProof/>
              </w:rPr>
              <w:t>%</w:t>
            </w:r>
          </w:p>
        </w:tc>
      </w:tr>
      <w:tr w:rsidR="00FB15DD" w14:paraId="6F4C161D" w14:textId="77777777" w:rsidTr="000B6D24">
        <w:trPr>
          <w:trHeight w:val="278"/>
        </w:trPr>
        <w:tc>
          <w:tcPr>
            <w:tcW w:w="2972" w:type="dxa"/>
            <w:vAlign w:val="center"/>
          </w:tcPr>
          <w:p w14:paraId="73D09B13" w14:textId="77777777" w:rsidR="00FB15DD" w:rsidRDefault="00FB15DD" w:rsidP="000B6D24">
            <w:pPr>
              <w:rPr>
                <w:rFonts w:cs="Arial"/>
                <w:noProof/>
              </w:rPr>
            </w:pPr>
            <w:r w:rsidRPr="002819D6">
              <w:rPr>
                <w:rFonts w:cs="Arial"/>
                <w:noProof/>
              </w:rPr>
              <w:t>12 months</w:t>
            </w:r>
          </w:p>
        </w:tc>
        <w:tc>
          <w:tcPr>
            <w:tcW w:w="1134" w:type="dxa"/>
            <w:vAlign w:val="center"/>
          </w:tcPr>
          <w:p w14:paraId="24DA21E3" w14:textId="4988AE80" w:rsidR="00FB15DD" w:rsidRPr="001D1C01" w:rsidRDefault="00FB15DD" w:rsidP="000B6D24">
            <w:pPr>
              <w:jc w:val="right"/>
              <w:rPr>
                <w:rFonts w:cs="Arial"/>
                <w:noProof/>
              </w:rPr>
            </w:pPr>
            <w:r>
              <w:rPr>
                <w:rFonts w:cs="Arial"/>
                <w:noProof/>
              </w:rPr>
              <w:t>48</w:t>
            </w:r>
            <w:r w:rsidRPr="001D1C01">
              <w:rPr>
                <w:rFonts w:cs="Arial"/>
                <w:noProof/>
              </w:rPr>
              <w:t>%</w:t>
            </w:r>
          </w:p>
        </w:tc>
        <w:tc>
          <w:tcPr>
            <w:tcW w:w="709" w:type="dxa"/>
            <w:tcBorders>
              <w:top w:val="nil"/>
              <w:bottom w:val="nil"/>
            </w:tcBorders>
          </w:tcPr>
          <w:p w14:paraId="5F52D037" w14:textId="77777777" w:rsidR="00FB15DD" w:rsidRDefault="00FB15DD" w:rsidP="000B6D24">
            <w:pPr>
              <w:rPr>
                <w:rFonts w:cs="Arial"/>
                <w:noProof/>
              </w:rPr>
            </w:pPr>
          </w:p>
        </w:tc>
        <w:tc>
          <w:tcPr>
            <w:tcW w:w="2977" w:type="dxa"/>
            <w:vAlign w:val="center"/>
          </w:tcPr>
          <w:p w14:paraId="070AA427" w14:textId="77777777" w:rsidR="00FB15DD" w:rsidRDefault="00FB15DD" w:rsidP="000B6D24">
            <w:pPr>
              <w:rPr>
                <w:rFonts w:cs="Arial"/>
                <w:noProof/>
              </w:rPr>
            </w:pPr>
            <w:r w:rsidRPr="001D1C01">
              <w:rPr>
                <w:rFonts w:cs="Arial"/>
                <w:noProof/>
              </w:rPr>
              <w:t>12 months</w:t>
            </w:r>
          </w:p>
        </w:tc>
        <w:tc>
          <w:tcPr>
            <w:tcW w:w="1121" w:type="dxa"/>
            <w:vAlign w:val="center"/>
          </w:tcPr>
          <w:p w14:paraId="3E481B4C" w14:textId="1E8E17A8" w:rsidR="00FB15DD" w:rsidRDefault="00FB15DD" w:rsidP="000B6D24">
            <w:pPr>
              <w:jc w:val="right"/>
              <w:rPr>
                <w:rFonts w:cs="Arial"/>
                <w:noProof/>
              </w:rPr>
            </w:pPr>
            <w:r w:rsidRPr="001D1C01">
              <w:rPr>
                <w:rFonts w:cs="Arial"/>
                <w:noProof/>
              </w:rPr>
              <w:t>6</w:t>
            </w:r>
            <w:r>
              <w:rPr>
                <w:rFonts w:cs="Arial"/>
                <w:noProof/>
              </w:rPr>
              <w:t>1</w:t>
            </w:r>
            <w:r w:rsidRPr="001D1C01">
              <w:rPr>
                <w:rFonts w:cs="Arial"/>
                <w:noProof/>
              </w:rPr>
              <w:t>%</w:t>
            </w:r>
          </w:p>
        </w:tc>
      </w:tr>
      <w:tr w:rsidR="00FB15DD" w14:paraId="58BF2EB3" w14:textId="77777777" w:rsidTr="000B6D24">
        <w:trPr>
          <w:trHeight w:val="278"/>
        </w:trPr>
        <w:tc>
          <w:tcPr>
            <w:tcW w:w="2972" w:type="dxa"/>
            <w:vAlign w:val="center"/>
          </w:tcPr>
          <w:p w14:paraId="54F938C4" w14:textId="77777777" w:rsidR="00FB15DD" w:rsidRPr="00065259" w:rsidRDefault="00FB15DD" w:rsidP="000B6D24">
            <w:pPr>
              <w:rPr>
                <w:rFonts w:cs="Arial"/>
                <w:b/>
                <w:bCs/>
                <w:noProof/>
              </w:rPr>
            </w:pPr>
            <w:r w:rsidRPr="00065259">
              <w:rPr>
                <w:rFonts w:cs="Arial"/>
                <w:b/>
                <w:bCs/>
                <w:noProof/>
              </w:rPr>
              <w:t>Total</w:t>
            </w:r>
          </w:p>
        </w:tc>
        <w:tc>
          <w:tcPr>
            <w:tcW w:w="1134" w:type="dxa"/>
            <w:vAlign w:val="center"/>
          </w:tcPr>
          <w:p w14:paraId="78039622" w14:textId="77777777" w:rsidR="00FB15DD" w:rsidRPr="00065259" w:rsidRDefault="00FB15DD" w:rsidP="000B6D24">
            <w:pPr>
              <w:jc w:val="right"/>
              <w:rPr>
                <w:rFonts w:cs="Arial"/>
                <w:b/>
                <w:bCs/>
                <w:noProof/>
              </w:rPr>
            </w:pPr>
            <w:r w:rsidRPr="00065259">
              <w:rPr>
                <w:rFonts w:cs="Arial"/>
                <w:b/>
                <w:bCs/>
                <w:noProof/>
              </w:rPr>
              <w:t>100%</w:t>
            </w:r>
          </w:p>
        </w:tc>
        <w:tc>
          <w:tcPr>
            <w:tcW w:w="709" w:type="dxa"/>
            <w:tcBorders>
              <w:top w:val="nil"/>
              <w:bottom w:val="nil"/>
            </w:tcBorders>
          </w:tcPr>
          <w:p w14:paraId="3CA39BE0" w14:textId="77777777" w:rsidR="00FB15DD" w:rsidRDefault="00FB15DD" w:rsidP="000B6D24">
            <w:pPr>
              <w:rPr>
                <w:rFonts w:cs="Arial"/>
                <w:noProof/>
              </w:rPr>
            </w:pPr>
          </w:p>
        </w:tc>
        <w:tc>
          <w:tcPr>
            <w:tcW w:w="2977" w:type="dxa"/>
            <w:vAlign w:val="center"/>
          </w:tcPr>
          <w:p w14:paraId="6B9FAE39" w14:textId="77777777" w:rsidR="00FB15DD" w:rsidRPr="00065259" w:rsidRDefault="00FB15DD" w:rsidP="000B6D24">
            <w:pPr>
              <w:rPr>
                <w:rFonts w:cs="Arial"/>
                <w:b/>
                <w:bCs/>
                <w:noProof/>
              </w:rPr>
            </w:pPr>
            <w:r w:rsidRPr="00065259">
              <w:rPr>
                <w:rFonts w:cs="Arial"/>
                <w:b/>
                <w:bCs/>
                <w:noProof/>
              </w:rPr>
              <w:t>Total</w:t>
            </w:r>
          </w:p>
        </w:tc>
        <w:tc>
          <w:tcPr>
            <w:tcW w:w="1121" w:type="dxa"/>
            <w:vAlign w:val="center"/>
          </w:tcPr>
          <w:p w14:paraId="67EBB658" w14:textId="77777777" w:rsidR="00FB15DD" w:rsidRPr="00065259" w:rsidRDefault="00FB15DD" w:rsidP="000B6D24">
            <w:pPr>
              <w:jc w:val="right"/>
              <w:rPr>
                <w:rFonts w:cs="Arial"/>
                <w:b/>
                <w:bCs/>
                <w:noProof/>
              </w:rPr>
            </w:pPr>
            <w:r w:rsidRPr="00065259">
              <w:rPr>
                <w:rFonts w:cs="Arial"/>
                <w:b/>
                <w:bCs/>
                <w:noProof/>
              </w:rPr>
              <w:t>100%</w:t>
            </w:r>
          </w:p>
        </w:tc>
      </w:tr>
    </w:tbl>
    <w:p w14:paraId="5590399F" w14:textId="77777777" w:rsidR="00FB15DD" w:rsidRDefault="00FB15DD"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3762D58B" w14:textId="77777777" w:rsidTr="007B6069">
        <w:trPr>
          <w:trHeight w:val="877"/>
        </w:trPr>
        <w:tc>
          <w:tcPr>
            <w:tcW w:w="10060" w:type="dxa"/>
            <w:shd w:val="clear" w:color="auto" w:fill="D9D9D9" w:themeFill="background1" w:themeFillShade="D9"/>
          </w:tcPr>
          <w:p w14:paraId="0E3C38FC" w14:textId="36E7CCA1" w:rsidR="007B6069" w:rsidRPr="00F22E2D" w:rsidRDefault="007B6069" w:rsidP="00324B7B">
            <w:pPr>
              <w:jc w:val="both"/>
              <w:rPr>
                <w:rFonts w:cs="Arial"/>
                <w:noProof/>
              </w:rPr>
            </w:pPr>
            <w:r w:rsidRPr="002D4F48">
              <w:rPr>
                <w:rFonts w:cs="Arial"/>
                <w:noProof/>
              </w:rPr>
              <w:t xml:space="preserve">Although initially </w:t>
            </w:r>
            <w:r w:rsidR="00D0632D">
              <w:rPr>
                <w:rFonts w:cs="Arial"/>
                <w:noProof/>
              </w:rPr>
              <w:t xml:space="preserve">(March 2021) </w:t>
            </w:r>
            <w:r w:rsidR="00964194">
              <w:rPr>
                <w:rFonts w:cs="Arial"/>
                <w:noProof/>
              </w:rPr>
              <w:t xml:space="preserve">the majority </w:t>
            </w:r>
            <w:r w:rsidR="00A360AD">
              <w:rPr>
                <w:rFonts w:cs="Arial"/>
                <w:noProof/>
              </w:rPr>
              <w:t>(</w:t>
            </w:r>
            <w:r w:rsidR="004E765A">
              <w:rPr>
                <w:rFonts w:cs="Arial"/>
                <w:noProof/>
              </w:rPr>
              <w:t>66</w:t>
            </w:r>
            <w:r w:rsidR="00A360AD">
              <w:rPr>
                <w:rFonts w:cs="Arial"/>
                <w:noProof/>
              </w:rPr>
              <w:t xml:space="preserve"> percent)</w:t>
            </w:r>
            <w:r w:rsidRPr="002D4F48">
              <w:rPr>
                <w:rFonts w:cs="Arial"/>
                <w:noProof/>
              </w:rPr>
              <w:t xml:space="preserve"> of VIM applications entered into were for a 3</w:t>
            </w:r>
            <w:r w:rsidR="00C7548A">
              <w:rPr>
                <w:rFonts w:cs="Arial"/>
                <w:noProof/>
              </w:rPr>
              <w:t>-</w:t>
            </w:r>
            <w:r w:rsidRPr="002D4F48">
              <w:rPr>
                <w:rFonts w:cs="Arial"/>
                <w:noProof/>
              </w:rPr>
              <w:t>month duration</w:t>
            </w:r>
            <w:r w:rsidR="00D0632D">
              <w:rPr>
                <w:rFonts w:cs="Arial"/>
                <w:noProof/>
              </w:rPr>
              <w:t>,</w:t>
            </w:r>
            <w:r w:rsidRPr="002D4F48">
              <w:rPr>
                <w:rFonts w:cs="Arial"/>
                <w:noProof/>
              </w:rPr>
              <w:t xml:space="preserve"> the VIM </w:t>
            </w:r>
            <w:r w:rsidR="000F5359">
              <w:rPr>
                <w:rFonts w:cs="Arial"/>
                <w:noProof/>
              </w:rPr>
              <w:t>table</w:t>
            </w:r>
            <w:r w:rsidRPr="002D4F48">
              <w:rPr>
                <w:rFonts w:cs="Arial"/>
                <w:noProof/>
              </w:rPr>
              <w:t xml:space="preserve"> above shows th</w:t>
            </w:r>
            <w:r w:rsidR="00A360AD">
              <w:rPr>
                <w:rFonts w:cs="Arial"/>
                <w:noProof/>
              </w:rPr>
              <w:t>at clients are now more inclined to volutarily elect to be subjected to IM for longer duration periods</w:t>
            </w:r>
            <w:r w:rsidR="00D63206">
              <w:rPr>
                <w:rFonts w:cs="Arial"/>
                <w:noProof/>
              </w:rPr>
              <w:t xml:space="preserve"> with </w:t>
            </w:r>
            <w:r w:rsidR="004E765A">
              <w:rPr>
                <w:rFonts w:cs="Arial"/>
                <w:noProof/>
              </w:rPr>
              <w:t>85</w:t>
            </w:r>
            <w:r w:rsidR="00A360AD">
              <w:rPr>
                <w:rFonts w:cs="Arial"/>
                <w:noProof/>
              </w:rPr>
              <w:t xml:space="preserve"> percent of </w:t>
            </w:r>
            <w:r w:rsidR="005156A1">
              <w:rPr>
                <w:rFonts w:cs="Arial"/>
                <w:noProof/>
              </w:rPr>
              <w:t xml:space="preserve">agreements entered into for </w:t>
            </w:r>
            <w:r w:rsidR="00A360AD">
              <w:rPr>
                <w:rFonts w:cs="Arial"/>
                <w:noProof/>
              </w:rPr>
              <w:t xml:space="preserve">a duration </w:t>
            </w:r>
            <w:r w:rsidR="00D63206">
              <w:rPr>
                <w:rFonts w:cs="Arial"/>
                <w:noProof/>
              </w:rPr>
              <w:t xml:space="preserve">of </w:t>
            </w:r>
            <w:r w:rsidR="00A360AD">
              <w:rPr>
                <w:rFonts w:cs="Arial"/>
                <w:noProof/>
              </w:rPr>
              <w:t>six months or more.</w:t>
            </w:r>
          </w:p>
        </w:tc>
      </w:tr>
    </w:tbl>
    <w:p w14:paraId="264762F5" w14:textId="5A3751C1" w:rsidR="007B6069" w:rsidRDefault="007B6069" w:rsidP="003833F9">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5E0C1E" w14:paraId="497711F4" w14:textId="77777777" w:rsidTr="000B6D24">
        <w:trPr>
          <w:trHeight w:val="278"/>
        </w:trPr>
        <w:tc>
          <w:tcPr>
            <w:tcW w:w="4106" w:type="dxa"/>
            <w:gridSpan w:val="2"/>
          </w:tcPr>
          <w:p w14:paraId="6AB0B1D7" w14:textId="0D9CBDB7" w:rsidR="005E0C1E" w:rsidRPr="00523A30" w:rsidRDefault="005E0C1E" w:rsidP="000B6D24">
            <w:pPr>
              <w:rPr>
                <w:rFonts w:cs="Arial"/>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23</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percentage</w:t>
            </w:r>
            <w:r w:rsidRPr="00523A30">
              <w:rPr>
                <w:rFonts w:cs="Arial"/>
                <w:noProof/>
                <w:sz w:val="16"/>
                <w:szCs w:val="16"/>
              </w:rPr>
              <w:t xml:space="preserve"> 1 </w:t>
            </w:r>
            <w:r>
              <w:rPr>
                <w:rFonts w:cs="Arial"/>
                <w:noProof/>
                <w:sz w:val="16"/>
                <w:szCs w:val="16"/>
              </w:rPr>
              <w:t>October</w:t>
            </w:r>
            <w:r w:rsidRPr="00523A30">
              <w:rPr>
                <w:rFonts w:cs="Arial"/>
                <w:noProof/>
                <w:sz w:val="16"/>
                <w:szCs w:val="16"/>
              </w:rPr>
              <w:t xml:space="preserve"> 2021 – 3</w:t>
            </w:r>
            <w:r>
              <w:rPr>
                <w:rFonts w:cs="Arial"/>
                <w:noProof/>
                <w:sz w:val="16"/>
                <w:szCs w:val="16"/>
              </w:rPr>
              <w:t xml:space="preserve">1 December </w:t>
            </w:r>
            <w:r w:rsidRPr="00523A30">
              <w:rPr>
                <w:rFonts w:cs="Arial"/>
                <w:noProof/>
                <w:sz w:val="16"/>
                <w:szCs w:val="16"/>
              </w:rPr>
              <w:t>2021</w:t>
            </w:r>
          </w:p>
        </w:tc>
        <w:tc>
          <w:tcPr>
            <w:tcW w:w="709" w:type="dxa"/>
            <w:tcBorders>
              <w:top w:val="nil"/>
              <w:bottom w:val="nil"/>
            </w:tcBorders>
          </w:tcPr>
          <w:p w14:paraId="17A37008" w14:textId="77777777" w:rsidR="005E0C1E" w:rsidRDefault="005E0C1E" w:rsidP="000B6D24">
            <w:pPr>
              <w:rPr>
                <w:rFonts w:cs="Arial"/>
                <w:b/>
                <w:bCs/>
                <w:noProof/>
                <w:sz w:val="16"/>
                <w:szCs w:val="16"/>
              </w:rPr>
            </w:pPr>
          </w:p>
        </w:tc>
        <w:tc>
          <w:tcPr>
            <w:tcW w:w="4098" w:type="dxa"/>
            <w:gridSpan w:val="2"/>
          </w:tcPr>
          <w:p w14:paraId="740D9E19" w14:textId="5126C1C3" w:rsidR="005E0C1E" w:rsidRPr="00E33A8C" w:rsidRDefault="005E0C1E" w:rsidP="000B6D24">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24</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percentage</w:t>
            </w:r>
            <w:r w:rsidRPr="00523A30">
              <w:rPr>
                <w:rFonts w:cs="Arial"/>
                <w:noProof/>
                <w:sz w:val="16"/>
                <w:szCs w:val="16"/>
              </w:rPr>
              <w:t xml:space="preserve"> 1 </w:t>
            </w:r>
            <w:r>
              <w:rPr>
                <w:rFonts w:cs="Arial"/>
                <w:noProof/>
                <w:sz w:val="16"/>
                <w:szCs w:val="16"/>
              </w:rPr>
              <w:t>October</w:t>
            </w:r>
            <w:r w:rsidRPr="00523A30">
              <w:rPr>
                <w:rFonts w:cs="Arial"/>
                <w:noProof/>
                <w:sz w:val="16"/>
                <w:szCs w:val="16"/>
              </w:rPr>
              <w:t xml:space="preserve"> 2021 – 3</w:t>
            </w:r>
            <w:r>
              <w:rPr>
                <w:rFonts w:cs="Arial"/>
                <w:noProof/>
                <w:sz w:val="16"/>
                <w:szCs w:val="16"/>
              </w:rPr>
              <w:t xml:space="preserve">1 December </w:t>
            </w:r>
            <w:r w:rsidRPr="00523A30">
              <w:rPr>
                <w:rFonts w:cs="Arial"/>
                <w:noProof/>
                <w:sz w:val="16"/>
                <w:szCs w:val="16"/>
              </w:rPr>
              <w:t>2021</w:t>
            </w:r>
          </w:p>
        </w:tc>
      </w:tr>
      <w:tr w:rsidR="005E0C1E" w14:paraId="6F2A976E" w14:textId="77777777" w:rsidTr="000B6D24">
        <w:trPr>
          <w:trHeight w:val="278"/>
        </w:trPr>
        <w:tc>
          <w:tcPr>
            <w:tcW w:w="2972" w:type="dxa"/>
            <w:vAlign w:val="center"/>
          </w:tcPr>
          <w:p w14:paraId="77F894A1" w14:textId="77777777" w:rsidR="005E0C1E" w:rsidRPr="00CB1588" w:rsidRDefault="005E0C1E" w:rsidP="000B6D24">
            <w:pPr>
              <w:rPr>
                <w:rFonts w:cs="Arial"/>
                <w:b/>
                <w:bCs/>
                <w:noProof/>
              </w:rPr>
            </w:pPr>
            <w:r w:rsidRPr="00CB1588">
              <w:rPr>
                <w:rFonts w:cs="Arial"/>
                <w:b/>
                <w:bCs/>
                <w:noProof/>
              </w:rPr>
              <w:t>CIM Percentage</w:t>
            </w:r>
          </w:p>
        </w:tc>
        <w:tc>
          <w:tcPr>
            <w:tcW w:w="1134" w:type="dxa"/>
            <w:vAlign w:val="center"/>
          </w:tcPr>
          <w:p w14:paraId="166AE046" w14:textId="77777777" w:rsidR="005E0C1E" w:rsidRPr="001D1C01" w:rsidRDefault="005E0C1E" w:rsidP="000B6D24">
            <w:pPr>
              <w:jc w:val="right"/>
              <w:rPr>
                <w:rFonts w:cs="Arial"/>
                <w:noProof/>
              </w:rPr>
            </w:pPr>
            <w:r>
              <w:rPr>
                <w:rFonts w:cs="Arial"/>
                <w:b/>
                <w:bCs/>
                <w:noProof/>
              </w:rPr>
              <w:t xml:space="preserve">% </w:t>
            </w:r>
            <w:r w:rsidRPr="00CB1588">
              <w:rPr>
                <w:rFonts w:cs="Arial"/>
                <w:b/>
                <w:bCs/>
                <w:noProof/>
              </w:rPr>
              <w:t>Split</w:t>
            </w:r>
          </w:p>
        </w:tc>
        <w:tc>
          <w:tcPr>
            <w:tcW w:w="709" w:type="dxa"/>
            <w:tcBorders>
              <w:top w:val="nil"/>
              <w:bottom w:val="nil"/>
            </w:tcBorders>
          </w:tcPr>
          <w:p w14:paraId="1D2A939B" w14:textId="77777777" w:rsidR="005E0C1E" w:rsidRDefault="005E0C1E" w:rsidP="000B6D24">
            <w:pPr>
              <w:rPr>
                <w:rFonts w:cs="Arial"/>
                <w:noProof/>
              </w:rPr>
            </w:pPr>
          </w:p>
        </w:tc>
        <w:tc>
          <w:tcPr>
            <w:tcW w:w="2977" w:type="dxa"/>
            <w:vAlign w:val="center"/>
          </w:tcPr>
          <w:p w14:paraId="056D614D" w14:textId="77777777" w:rsidR="005E0C1E" w:rsidRPr="00CB1588" w:rsidRDefault="005E0C1E" w:rsidP="000B6D24">
            <w:pPr>
              <w:rPr>
                <w:rFonts w:cs="Arial"/>
                <w:b/>
                <w:bCs/>
                <w:noProof/>
              </w:rPr>
            </w:pPr>
            <w:r w:rsidRPr="00CB1588">
              <w:rPr>
                <w:rFonts w:cs="Arial"/>
                <w:b/>
                <w:bCs/>
                <w:noProof/>
              </w:rPr>
              <w:t>VIM Percentage</w:t>
            </w:r>
          </w:p>
        </w:tc>
        <w:tc>
          <w:tcPr>
            <w:tcW w:w="1121" w:type="dxa"/>
            <w:vAlign w:val="center"/>
          </w:tcPr>
          <w:p w14:paraId="503A7F18" w14:textId="77777777" w:rsidR="005E0C1E" w:rsidRPr="001D1C01" w:rsidRDefault="005E0C1E" w:rsidP="000B6D24">
            <w:pPr>
              <w:jc w:val="right"/>
              <w:rPr>
                <w:rFonts w:cs="Arial"/>
                <w:noProof/>
              </w:rPr>
            </w:pPr>
            <w:r>
              <w:rPr>
                <w:rFonts w:cs="Arial"/>
                <w:b/>
                <w:bCs/>
                <w:noProof/>
              </w:rPr>
              <w:t xml:space="preserve">% </w:t>
            </w:r>
            <w:r w:rsidRPr="00CB1588">
              <w:rPr>
                <w:rFonts w:cs="Arial"/>
                <w:b/>
                <w:bCs/>
                <w:noProof/>
              </w:rPr>
              <w:t>Split</w:t>
            </w:r>
          </w:p>
        </w:tc>
      </w:tr>
      <w:tr w:rsidR="005E0C1E" w14:paraId="53726E71" w14:textId="77777777" w:rsidTr="000B6D24">
        <w:trPr>
          <w:trHeight w:val="278"/>
        </w:trPr>
        <w:tc>
          <w:tcPr>
            <w:tcW w:w="2972" w:type="dxa"/>
            <w:vAlign w:val="center"/>
          </w:tcPr>
          <w:p w14:paraId="50003D63" w14:textId="77777777" w:rsidR="005E0C1E" w:rsidRDefault="005E0C1E" w:rsidP="000B6D24">
            <w:pPr>
              <w:rPr>
                <w:rFonts w:cs="Arial"/>
                <w:noProof/>
              </w:rPr>
            </w:pPr>
            <w:r>
              <w:rPr>
                <w:rFonts w:cs="Arial"/>
                <w:noProof/>
              </w:rPr>
              <w:t>60 percent</w:t>
            </w:r>
          </w:p>
        </w:tc>
        <w:tc>
          <w:tcPr>
            <w:tcW w:w="1134" w:type="dxa"/>
            <w:vAlign w:val="center"/>
          </w:tcPr>
          <w:p w14:paraId="343FE47E" w14:textId="75D9014A" w:rsidR="005E0C1E" w:rsidRDefault="005E0C1E" w:rsidP="000B6D24">
            <w:pPr>
              <w:jc w:val="right"/>
              <w:rPr>
                <w:rFonts w:cs="Arial"/>
                <w:noProof/>
              </w:rPr>
            </w:pPr>
            <w:r>
              <w:rPr>
                <w:rFonts w:cs="Arial"/>
                <w:noProof/>
              </w:rPr>
              <w:t>97</w:t>
            </w:r>
            <w:r w:rsidRPr="001D1C01">
              <w:rPr>
                <w:rFonts w:cs="Arial"/>
                <w:noProof/>
              </w:rPr>
              <w:t>%</w:t>
            </w:r>
          </w:p>
        </w:tc>
        <w:tc>
          <w:tcPr>
            <w:tcW w:w="709" w:type="dxa"/>
            <w:tcBorders>
              <w:top w:val="nil"/>
              <w:bottom w:val="nil"/>
            </w:tcBorders>
          </w:tcPr>
          <w:p w14:paraId="122D9456" w14:textId="77777777" w:rsidR="005E0C1E" w:rsidRDefault="005E0C1E" w:rsidP="000B6D24">
            <w:pPr>
              <w:rPr>
                <w:rFonts w:cs="Arial"/>
                <w:noProof/>
              </w:rPr>
            </w:pPr>
          </w:p>
        </w:tc>
        <w:tc>
          <w:tcPr>
            <w:tcW w:w="2977" w:type="dxa"/>
            <w:vAlign w:val="center"/>
          </w:tcPr>
          <w:p w14:paraId="79A0638E" w14:textId="77777777" w:rsidR="005E0C1E" w:rsidRDefault="005E0C1E" w:rsidP="000B6D24">
            <w:pPr>
              <w:rPr>
                <w:rFonts w:cs="Arial"/>
                <w:noProof/>
              </w:rPr>
            </w:pPr>
            <w:r>
              <w:rPr>
                <w:rFonts w:cs="Arial"/>
                <w:noProof/>
              </w:rPr>
              <w:t>60 percent</w:t>
            </w:r>
          </w:p>
        </w:tc>
        <w:tc>
          <w:tcPr>
            <w:tcW w:w="1121" w:type="dxa"/>
            <w:vAlign w:val="center"/>
          </w:tcPr>
          <w:p w14:paraId="19184742" w14:textId="32E747C8" w:rsidR="005E0C1E" w:rsidRDefault="005E0C1E" w:rsidP="000B6D24">
            <w:pPr>
              <w:jc w:val="right"/>
              <w:rPr>
                <w:rFonts w:cs="Arial"/>
                <w:noProof/>
              </w:rPr>
            </w:pPr>
            <w:r>
              <w:rPr>
                <w:rFonts w:cs="Arial"/>
                <w:noProof/>
              </w:rPr>
              <w:t>7</w:t>
            </w:r>
            <w:r w:rsidR="00266CA9">
              <w:rPr>
                <w:rFonts w:cs="Arial"/>
                <w:noProof/>
              </w:rPr>
              <w:t>6</w:t>
            </w:r>
            <w:r w:rsidRPr="001D1C01">
              <w:rPr>
                <w:rFonts w:cs="Arial"/>
                <w:noProof/>
              </w:rPr>
              <w:t>%</w:t>
            </w:r>
          </w:p>
        </w:tc>
      </w:tr>
      <w:tr w:rsidR="005E0C1E" w14:paraId="453BDE28" w14:textId="77777777" w:rsidTr="000B6D24">
        <w:trPr>
          <w:trHeight w:val="278"/>
        </w:trPr>
        <w:tc>
          <w:tcPr>
            <w:tcW w:w="2972" w:type="dxa"/>
            <w:vAlign w:val="center"/>
          </w:tcPr>
          <w:p w14:paraId="6803B91E" w14:textId="77777777" w:rsidR="005E0C1E" w:rsidRPr="002819D6" w:rsidRDefault="005E0C1E" w:rsidP="000B6D24">
            <w:pPr>
              <w:rPr>
                <w:rFonts w:cs="Arial"/>
                <w:noProof/>
              </w:rPr>
            </w:pPr>
            <w:r>
              <w:rPr>
                <w:rFonts w:cs="Arial"/>
                <w:noProof/>
              </w:rPr>
              <w:t>75 percent</w:t>
            </w:r>
          </w:p>
        </w:tc>
        <w:tc>
          <w:tcPr>
            <w:tcW w:w="1134" w:type="dxa"/>
            <w:vAlign w:val="center"/>
          </w:tcPr>
          <w:p w14:paraId="71E1AC75" w14:textId="46D64905" w:rsidR="005E0C1E" w:rsidRPr="001D1C01" w:rsidRDefault="005E0C1E" w:rsidP="000B6D24">
            <w:pPr>
              <w:jc w:val="right"/>
              <w:rPr>
                <w:rFonts w:cs="Arial"/>
                <w:noProof/>
              </w:rPr>
            </w:pPr>
            <w:r>
              <w:rPr>
                <w:rFonts w:cs="Arial"/>
                <w:noProof/>
              </w:rPr>
              <w:t>0</w:t>
            </w:r>
            <w:r w:rsidRPr="001D1C01">
              <w:rPr>
                <w:rFonts w:cs="Arial"/>
                <w:noProof/>
              </w:rPr>
              <w:t>%</w:t>
            </w:r>
          </w:p>
        </w:tc>
        <w:tc>
          <w:tcPr>
            <w:tcW w:w="709" w:type="dxa"/>
            <w:tcBorders>
              <w:top w:val="nil"/>
              <w:bottom w:val="nil"/>
            </w:tcBorders>
          </w:tcPr>
          <w:p w14:paraId="79A1E84E" w14:textId="77777777" w:rsidR="005E0C1E" w:rsidRDefault="005E0C1E" w:rsidP="000B6D24">
            <w:pPr>
              <w:rPr>
                <w:rFonts w:cs="Arial"/>
                <w:noProof/>
              </w:rPr>
            </w:pPr>
          </w:p>
        </w:tc>
        <w:tc>
          <w:tcPr>
            <w:tcW w:w="2977" w:type="dxa"/>
            <w:vAlign w:val="center"/>
          </w:tcPr>
          <w:p w14:paraId="5359F670" w14:textId="77777777" w:rsidR="005E0C1E" w:rsidRPr="001D1C01" w:rsidRDefault="005E0C1E" w:rsidP="000B6D24">
            <w:pPr>
              <w:rPr>
                <w:rFonts w:cs="Arial"/>
                <w:noProof/>
              </w:rPr>
            </w:pPr>
            <w:r>
              <w:rPr>
                <w:rFonts w:cs="Arial"/>
                <w:noProof/>
              </w:rPr>
              <w:t>75 percent</w:t>
            </w:r>
          </w:p>
        </w:tc>
        <w:tc>
          <w:tcPr>
            <w:tcW w:w="1121" w:type="dxa"/>
            <w:vAlign w:val="center"/>
          </w:tcPr>
          <w:p w14:paraId="3D501B80" w14:textId="6DB993D4" w:rsidR="005E0C1E" w:rsidRPr="001D1C01" w:rsidRDefault="005E0C1E" w:rsidP="000B6D24">
            <w:pPr>
              <w:jc w:val="right"/>
              <w:rPr>
                <w:rFonts w:cs="Arial"/>
                <w:noProof/>
              </w:rPr>
            </w:pPr>
            <w:r>
              <w:rPr>
                <w:rFonts w:cs="Arial"/>
                <w:noProof/>
              </w:rPr>
              <w:t>9</w:t>
            </w:r>
            <w:r w:rsidRPr="001D1C01">
              <w:rPr>
                <w:rFonts w:cs="Arial"/>
                <w:noProof/>
              </w:rPr>
              <w:t>%</w:t>
            </w:r>
          </w:p>
        </w:tc>
      </w:tr>
      <w:tr w:rsidR="005E0C1E" w14:paraId="707B77AF" w14:textId="77777777" w:rsidTr="000B6D24">
        <w:trPr>
          <w:trHeight w:val="278"/>
        </w:trPr>
        <w:tc>
          <w:tcPr>
            <w:tcW w:w="2972" w:type="dxa"/>
            <w:vAlign w:val="center"/>
          </w:tcPr>
          <w:p w14:paraId="24C68A83" w14:textId="77777777" w:rsidR="005E0C1E" w:rsidRPr="002819D6" w:rsidRDefault="005E0C1E" w:rsidP="000B6D24">
            <w:pPr>
              <w:rPr>
                <w:rFonts w:cs="Arial"/>
                <w:noProof/>
              </w:rPr>
            </w:pPr>
            <w:r>
              <w:rPr>
                <w:rFonts w:cs="Arial"/>
                <w:noProof/>
              </w:rPr>
              <w:t>90 percent</w:t>
            </w:r>
          </w:p>
        </w:tc>
        <w:tc>
          <w:tcPr>
            <w:tcW w:w="1134" w:type="dxa"/>
            <w:vAlign w:val="center"/>
          </w:tcPr>
          <w:p w14:paraId="6FBC7F3B" w14:textId="3E2D2D7B" w:rsidR="005E0C1E" w:rsidRPr="001D1C01" w:rsidRDefault="005E0C1E" w:rsidP="000B6D24">
            <w:pPr>
              <w:jc w:val="right"/>
              <w:rPr>
                <w:rFonts w:cs="Arial"/>
                <w:noProof/>
              </w:rPr>
            </w:pPr>
            <w:r>
              <w:rPr>
                <w:rFonts w:cs="Arial"/>
                <w:noProof/>
              </w:rPr>
              <w:t>3</w:t>
            </w:r>
            <w:r w:rsidRPr="001D1C01">
              <w:rPr>
                <w:rFonts w:cs="Arial"/>
                <w:noProof/>
              </w:rPr>
              <w:t>%</w:t>
            </w:r>
          </w:p>
        </w:tc>
        <w:tc>
          <w:tcPr>
            <w:tcW w:w="709" w:type="dxa"/>
            <w:tcBorders>
              <w:top w:val="nil"/>
              <w:bottom w:val="nil"/>
            </w:tcBorders>
          </w:tcPr>
          <w:p w14:paraId="2D69EAC1" w14:textId="77777777" w:rsidR="005E0C1E" w:rsidRDefault="005E0C1E" w:rsidP="000B6D24">
            <w:pPr>
              <w:rPr>
                <w:rFonts w:cs="Arial"/>
                <w:noProof/>
              </w:rPr>
            </w:pPr>
          </w:p>
        </w:tc>
        <w:tc>
          <w:tcPr>
            <w:tcW w:w="2977" w:type="dxa"/>
            <w:vAlign w:val="center"/>
          </w:tcPr>
          <w:p w14:paraId="535FAC61" w14:textId="77777777" w:rsidR="005E0C1E" w:rsidRPr="001D1C01" w:rsidRDefault="005E0C1E" w:rsidP="000B6D24">
            <w:pPr>
              <w:rPr>
                <w:rFonts w:cs="Arial"/>
                <w:noProof/>
              </w:rPr>
            </w:pPr>
            <w:r>
              <w:rPr>
                <w:rFonts w:cs="Arial"/>
                <w:noProof/>
              </w:rPr>
              <w:t>90 percent</w:t>
            </w:r>
          </w:p>
        </w:tc>
        <w:tc>
          <w:tcPr>
            <w:tcW w:w="1121" w:type="dxa"/>
            <w:vAlign w:val="center"/>
          </w:tcPr>
          <w:p w14:paraId="1864DCE8" w14:textId="1813FCCC" w:rsidR="005E0C1E" w:rsidRPr="001D1C01" w:rsidRDefault="00266CA9" w:rsidP="000B6D24">
            <w:pPr>
              <w:jc w:val="right"/>
              <w:rPr>
                <w:rFonts w:cs="Arial"/>
                <w:noProof/>
              </w:rPr>
            </w:pPr>
            <w:r>
              <w:rPr>
                <w:rFonts w:cs="Arial"/>
                <w:noProof/>
              </w:rPr>
              <w:t>15</w:t>
            </w:r>
            <w:r w:rsidR="005E0C1E" w:rsidRPr="001D1C01">
              <w:rPr>
                <w:rFonts w:cs="Arial"/>
                <w:noProof/>
              </w:rPr>
              <w:t>%</w:t>
            </w:r>
          </w:p>
        </w:tc>
      </w:tr>
      <w:tr w:rsidR="005E0C1E" w14:paraId="38470F47" w14:textId="77777777" w:rsidTr="000B6D24">
        <w:trPr>
          <w:trHeight w:val="278"/>
        </w:trPr>
        <w:tc>
          <w:tcPr>
            <w:tcW w:w="2972" w:type="dxa"/>
            <w:vAlign w:val="center"/>
          </w:tcPr>
          <w:p w14:paraId="4BAB78BF" w14:textId="77777777" w:rsidR="005E0C1E" w:rsidRPr="00065259" w:rsidRDefault="005E0C1E" w:rsidP="000B6D24">
            <w:pPr>
              <w:rPr>
                <w:rFonts w:cs="Arial"/>
                <w:b/>
                <w:bCs/>
                <w:noProof/>
              </w:rPr>
            </w:pPr>
            <w:r w:rsidRPr="00065259">
              <w:rPr>
                <w:rFonts w:cs="Arial"/>
                <w:b/>
                <w:bCs/>
                <w:noProof/>
              </w:rPr>
              <w:t>Total</w:t>
            </w:r>
          </w:p>
        </w:tc>
        <w:tc>
          <w:tcPr>
            <w:tcW w:w="1134" w:type="dxa"/>
            <w:vAlign w:val="center"/>
          </w:tcPr>
          <w:p w14:paraId="0C44211D" w14:textId="77777777" w:rsidR="005E0C1E" w:rsidRPr="00065259" w:rsidRDefault="005E0C1E" w:rsidP="000B6D24">
            <w:pPr>
              <w:jc w:val="right"/>
              <w:rPr>
                <w:rFonts w:cs="Arial"/>
                <w:b/>
                <w:bCs/>
                <w:noProof/>
              </w:rPr>
            </w:pPr>
            <w:r w:rsidRPr="00065259">
              <w:rPr>
                <w:rFonts w:cs="Arial"/>
                <w:b/>
                <w:bCs/>
                <w:noProof/>
              </w:rPr>
              <w:t>100%</w:t>
            </w:r>
          </w:p>
        </w:tc>
        <w:tc>
          <w:tcPr>
            <w:tcW w:w="709" w:type="dxa"/>
            <w:tcBorders>
              <w:top w:val="nil"/>
              <w:bottom w:val="nil"/>
            </w:tcBorders>
          </w:tcPr>
          <w:p w14:paraId="2CB71454" w14:textId="77777777" w:rsidR="005E0C1E" w:rsidRDefault="005E0C1E" w:rsidP="000B6D24">
            <w:pPr>
              <w:rPr>
                <w:rFonts w:cs="Arial"/>
                <w:noProof/>
              </w:rPr>
            </w:pPr>
          </w:p>
        </w:tc>
        <w:tc>
          <w:tcPr>
            <w:tcW w:w="2977" w:type="dxa"/>
            <w:vAlign w:val="center"/>
          </w:tcPr>
          <w:p w14:paraId="0693963D" w14:textId="77777777" w:rsidR="005E0C1E" w:rsidRPr="00065259" w:rsidRDefault="005E0C1E" w:rsidP="000B6D24">
            <w:pPr>
              <w:rPr>
                <w:rFonts w:cs="Arial"/>
                <w:b/>
                <w:bCs/>
                <w:noProof/>
              </w:rPr>
            </w:pPr>
            <w:r w:rsidRPr="00065259">
              <w:rPr>
                <w:rFonts w:cs="Arial"/>
                <w:b/>
                <w:bCs/>
                <w:noProof/>
              </w:rPr>
              <w:t>Total</w:t>
            </w:r>
          </w:p>
        </w:tc>
        <w:tc>
          <w:tcPr>
            <w:tcW w:w="1121" w:type="dxa"/>
            <w:vAlign w:val="center"/>
          </w:tcPr>
          <w:p w14:paraId="66F74CB8" w14:textId="77777777" w:rsidR="005E0C1E" w:rsidRPr="00065259" w:rsidRDefault="005E0C1E" w:rsidP="000B6D24">
            <w:pPr>
              <w:jc w:val="right"/>
              <w:rPr>
                <w:rFonts w:cs="Arial"/>
                <w:b/>
                <w:bCs/>
                <w:noProof/>
              </w:rPr>
            </w:pPr>
            <w:r w:rsidRPr="00065259">
              <w:rPr>
                <w:rFonts w:cs="Arial"/>
                <w:b/>
                <w:bCs/>
                <w:noProof/>
              </w:rPr>
              <w:t>100%</w:t>
            </w:r>
          </w:p>
        </w:tc>
      </w:tr>
    </w:tbl>
    <w:p w14:paraId="4B7BE298" w14:textId="77777777" w:rsidR="005E0C1E" w:rsidRDefault="005E0C1E"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59BE5E10" w14:textId="77777777" w:rsidTr="00324B7B">
        <w:trPr>
          <w:trHeight w:val="877"/>
        </w:trPr>
        <w:tc>
          <w:tcPr>
            <w:tcW w:w="10060" w:type="dxa"/>
            <w:shd w:val="clear" w:color="auto" w:fill="D9D9D9" w:themeFill="background1" w:themeFillShade="D9"/>
          </w:tcPr>
          <w:p w14:paraId="2F51372C" w14:textId="1CF26CD9" w:rsidR="007B6069" w:rsidRPr="00F22E2D" w:rsidRDefault="007B6069" w:rsidP="00324B7B">
            <w:pPr>
              <w:jc w:val="both"/>
              <w:rPr>
                <w:rFonts w:cs="Arial"/>
                <w:noProof/>
              </w:rPr>
            </w:pPr>
            <w:r w:rsidRPr="002D4F48">
              <w:rPr>
                <w:rFonts w:cs="Arial"/>
                <w:noProof/>
              </w:rPr>
              <w:t xml:space="preserve">This quarter saw </w:t>
            </w:r>
            <w:r w:rsidR="004E765A">
              <w:rPr>
                <w:rFonts w:cs="Arial"/>
                <w:noProof/>
              </w:rPr>
              <w:t xml:space="preserve">the vast majority </w:t>
            </w:r>
            <w:r w:rsidRPr="002D4F48">
              <w:rPr>
                <w:rFonts w:cs="Arial"/>
                <w:noProof/>
              </w:rPr>
              <w:t xml:space="preserve">of CIM orders issued at 60 percent. The preference by clients to enter into a VIM at 60 percent remains the </w:t>
            </w:r>
            <w:r w:rsidR="006018DB">
              <w:rPr>
                <w:rFonts w:cs="Arial"/>
                <w:noProof/>
              </w:rPr>
              <w:t xml:space="preserve">popular </w:t>
            </w:r>
            <w:r w:rsidRPr="002D4F48">
              <w:rPr>
                <w:rFonts w:cs="Arial"/>
                <w:noProof/>
              </w:rPr>
              <w:t>option with 7</w:t>
            </w:r>
            <w:r>
              <w:rPr>
                <w:rFonts w:cs="Arial"/>
                <w:noProof/>
              </w:rPr>
              <w:t>6</w:t>
            </w:r>
            <w:r w:rsidRPr="002D4F48">
              <w:rPr>
                <w:rFonts w:cs="Arial"/>
                <w:noProof/>
              </w:rPr>
              <w:t>% of VIM agreements entered into at 60 percent for the quarter.</w:t>
            </w:r>
          </w:p>
        </w:tc>
      </w:tr>
    </w:tbl>
    <w:p w14:paraId="1DAF2BF0" w14:textId="77777777" w:rsidR="003833F9" w:rsidRDefault="003833F9" w:rsidP="007B6069">
      <w:pPr>
        <w:ind w:left="-142" w:right="-425"/>
        <w:jc w:val="both"/>
        <w:rPr>
          <w:rFonts w:cs="Arial"/>
        </w:rPr>
      </w:pPr>
    </w:p>
    <w:p w14:paraId="09FA0CC0" w14:textId="65889BB3" w:rsidR="00700320" w:rsidRDefault="009D31EC" w:rsidP="00700320">
      <w:pPr>
        <w:ind w:left="-142" w:right="-425"/>
        <w:jc w:val="both"/>
        <w:rPr>
          <w:rFonts w:cs="Arial"/>
        </w:rPr>
      </w:pPr>
      <w:r>
        <w:rPr>
          <w:rFonts w:cs="Arial"/>
        </w:rPr>
        <w:t>It is interesting to note that the majority of community members conditionally income managed by the FRC (community members notified to the FRC) were in the 2</w:t>
      </w:r>
      <w:r w:rsidR="00347B60">
        <w:rPr>
          <w:rFonts w:cs="Arial"/>
        </w:rPr>
        <w:t>6</w:t>
      </w:r>
      <w:r>
        <w:rPr>
          <w:rFonts w:cs="Arial"/>
        </w:rPr>
        <w:t xml:space="preserve"> to 3</w:t>
      </w:r>
      <w:r w:rsidR="00347B60">
        <w:rPr>
          <w:rFonts w:cs="Arial"/>
        </w:rPr>
        <w:t>5</w:t>
      </w:r>
      <w:r>
        <w:rPr>
          <w:rFonts w:cs="Arial"/>
        </w:rPr>
        <w:t xml:space="preserve"> year age group</w:t>
      </w:r>
      <w:r w:rsidR="0042231A">
        <w:rPr>
          <w:rFonts w:cs="Arial"/>
        </w:rPr>
        <w:t xml:space="preserve"> with females accounting for 83 percent of </w:t>
      </w:r>
      <w:r w:rsidR="006422F6">
        <w:rPr>
          <w:rFonts w:cs="Arial"/>
        </w:rPr>
        <w:t xml:space="preserve">all </w:t>
      </w:r>
      <w:r w:rsidR="00166D38">
        <w:rPr>
          <w:rFonts w:cs="Arial"/>
        </w:rPr>
        <w:t xml:space="preserve">the </w:t>
      </w:r>
      <w:r w:rsidR="0042231A">
        <w:rPr>
          <w:rFonts w:cs="Arial"/>
        </w:rPr>
        <w:t>CIMs</w:t>
      </w:r>
      <w:r w:rsidR="00C46528">
        <w:rPr>
          <w:rFonts w:cs="Arial"/>
        </w:rPr>
        <w:t>.</w:t>
      </w:r>
      <w:r w:rsidR="005A3730">
        <w:rPr>
          <w:rFonts w:cs="Arial"/>
        </w:rPr>
        <w:t xml:space="preserve"> No community member older than 65 years was conditionally income managed by the FRC during the quarter.</w:t>
      </w:r>
      <w:r w:rsidR="00C46528">
        <w:rPr>
          <w:rFonts w:cs="Arial"/>
        </w:rPr>
        <w:t xml:space="preserve"> For the 24 CIMs relating to females</w:t>
      </w:r>
      <w:r w:rsidR="00F12673">
        <w:rPr>
          <w:rFonts w:cs="Arial"/>
        </w:rPr>
        <w:t>,</w:t>
      </w:r>
      <w:r w:rsidR="00EE4BD9">
        <w:rPr>
          <w:rFonts w:cs="Arial"/>
        </w:rPr>
        <w:t xml:space="preserve"> 6</w:t>
      </w:r>
      <w:r w:rsidR="00D928A7">
        <w:rPr>
          <w:rFonts w:cs="Arial"/>
        </w:rPr>
        <w:t>3</w:t>
      </w:r>
      <w:r w:rsidR="00EE4BD9">
        <w:rPr>
          <w:rFonts w:cs="Arial"/>
        </w:rPr>
        <w:t xml:space="preserve"> percent </w:t>
      </w:r>
      <w:r w:rsidR="00C46528">
        <w:rPr>
          <w:rFonts w:cs="Arial"/>
        </w:rPr>
        <w:t xml:space="preserve">were </w:t>
      </w:r>
      <w:r w:rsidR="00EE4BD9">
        <w:rPr>
          <w:rFonts w:cs="Arial"/>
        </w:rPr>
        <w:t xml:space="preserve">for a school attendance notice only and a further 13 percent </w:t>
      </w:r>
      <w:r w:rsidR="00F12673">
        <w:rPr>
          <w:rFonts w:cs="Arial"/>
        </w:rPr>
        <w:t xml:space="preserve">were </w:t>
      </w:r>
      <w:r w:rsidR="00EE4BD9">
        <w:rPr>
          <w:rFonts w:cs="Arial"/>
        </w:rPr>
        <w:t>for a child safety and welfare notice only</w:t>
      </w:r>
      <w:r w:rsidR="006422F6">
        <w:rPr>
          <w:rFonts w:cs="Arial"/>
        </w:rPr>
        <w:t>,</w:t>
      </w:r>
      <w:r w:rsidR="00C46528">
        <w:rPr>
          <w:rFonts w:cs="Arial"/>
        </w:rPr>
        <w:t xml:space="preserve"> which correlates to the </w:t>
      </w:r>
      <w:r w:rsidR="006422F6">
        <w:rPr>
          <w:rFonts w:cs="Arial"/>
        </w:rPr>
        <w:t xml:space="preserve">female </w:t>
      </w:r>
      <w:r w:rsidR="00C46528">
        <w:rPr>
          <w:rFonts w:cs="Arial"/>
        </w:rPr>
        <w:t>role of caregiver in the family structure</w:t>
      </w:r>
      <w:r w:rsidR="00EE4BD9">
        <w:rPr>
          <w:rFonts w:cs="Arial"/>
        </w:rPr>
        <w:t>.</w:t>
      </w:r>
    </w:p>
    <w:p w14:paraId="047CED0F" w14:textId="77777777" w:rsidR="00700320" w:rsidRDefault="00700320" w:rsidP="00700320">
      <w:pPr>
        <w:ind w:left="-142" w:right="-425"/>
        <w:jc w:val="both"/>
        <w:rPr>
          <w:rFonts w:cs="Arial"/>
        </w:rPr>
      </w:pPr>
    </w:p>
    <w:p w14:paraId="5026F836" w14:textId="7C5AC68D" w:rsidR="00700320" w:rsidRDefault="00F12673" w:rsidP="00700320">
      <w:pPr>
        <w:ind w:left="-142" w:right="-425"/>
        <w:jc w:val="both"/>
        <w:rPr>
          <w:rFonts w:cs="Arial"/>
        </w:rPr>
      </w:pPr>
      <w:r>
        <w:rPr>
          <w:rFonts w:cs="Arial"/>
        </w:rPr>
        <w:t>T</w:t>
      </w:r>
      <w:r w:rsidR="009D31EC">
        <w:rPr>
          <w:rFonts w:cs="Arial"/>
        </w:rPr>
        <w:t>he majority of community members voluntarily participating in voluntary income management</w:t>
      </w:r>
      <w:r w:rsidR="00DE66D7">
        <w:rPr>
          <w:rFonts w:cs="Arial"/>
        </w:rPr>
        <w:t xml:space="preserve"> belong to an older cohort</w:t>
      </w:r>
      <w:r w:rsidR="009D31EC">
        <w:rPr>
          <w:rFonts w:cs="Arial"/>
        </w:rPr>
        <w:t xml:space="preserve"> </w:t>
      </w:r>
      <w:r w:rsidR="00DE66D7">
        <w:rPr>
          <w:rFonts w:cs="Arial"/>
        </w:rPr>
        <w:t>(</w:t>
      </w:r>
      <w:r w:rsidR="00347B60">
        <w:rPr>
          <w:rFonts w:cs="Arial"/>
        </w:rPr>
        <w:t>46</w:t>
      </w:r>
      <w:r w:rsidR="009D31EC">
        <w:rPr>
          <w:rFonts w:cs="Arial"/>
        </w:rPr>
        <w:t xml:space="preserve"> to </w:t>
      </w:r>
      <w:r w:rsidR="00347B60">
        <w:rPr>
          <w:rFonts w:cs="Arial"/>
        </w:rPr>
        <w:t>55</w:t>
      </w:r>
      <w:r w:rsidR="009D31EC">
        <w:rPr>
          <w:rFonts w:cs="Arial"/>
        </w:rPr>
        <w:t xml:space="preserve"> year age group</w:t>
      </w:r>
      <w:r w:rsidR="00DE66D7">
        <w:rPr>
          <w:rFonts w:cs="Arial"/>
        </w:rPr>
        <w:t xml:space="preserve">) with applications for VIMs made by community members from each of the </w:t>
      </w:r>
      <w:r w:rsidR="005A3730">
        <w:rPr>
          <w:rFonts w:cs="Arial"/>
        </w:rPr>
        <w:t>cohorts including the 66 years and above.</w:t>
      </w:r>
      <w:r w:rsidR="00FF351C">
        <w:rPr>
          <w:rFonts w:cs="Arial"/>
        </w:rPr>
        <w:t xml:space="preserve"> </w:t>
      </w:r>
      <w:r w:rsidR="005A3730">
        <w:rPr>
          <w:rFonts w:cs="Arial"/>
        </w:rPr>
        <w:t>F</w:t>
      </w:r>
      <w:r w:rsidR="00FF351C">
        <w:rPr>
          <w:rFonts w:cs="Arial"/>
        </w:rPr>
        <w:t xml:space="preserve">emales account for </w:t>
      </w:r>
      <w:r w:rsidR="0042231A">
        <w:rPr>
          <w:rFonts w:cs="Arial"/>
        </w:rPr>
        <w:t>64</w:t>
      </w:r>
      <w:r w:rsidR="00FF351C">
        <w:rPr>
          <w:rFonts w:cs="Arial"/>
        </w:rPr>
        <w:t xml:space="preserve"> percent of </w:t>
      </w:r>
      <w:r w:rsidR="00166D38">
        <w:rPr>
          <w:rFonts w:cs="Arial"/>
        </w:rPr>
        <w:t xml:space="preserve">the </w:t>
      </w:r>
      <w:r w:rsidR="0042231A">
        <w:rPr>
          <w:rFonts w:cs="Arial"/>
        </w:rPr>
        <w:t>VIMs. Over</w:t>
      </w:r>
      <w:r w:rsidR="00FF351C">
        <w:rPr>
          <w:rFonts w:cs="Arial"/>
        </w:rPr>
        <w:t xml:space="preserve">all </w:t>
      </w:r>
      <w:r w:rsidR="0042231A">
        <w:rPr>
          <w:rFonts w:cs="Arial"/>
        </w:rPr>
        <w:t xml:space="preserve">females accounted for 73 percent of all </w:t>
      </w:r>
      <w:r w:rsidR="00FF351C">
        <w:rPr>
          <w:rFonts w:cs="Arial"/>
        </w:rPr>
        <w:t>CDCs</w:t>
      </w:r>
      <w:r w:rsidR="005A3730">
        <w:rPr>
          <w:rFonts w:cs="Arial"/>
        </w:rPr>
        <w:t xml:space="preserve"> (voluntary and conditional)</w:t>
      </w:r>
      <w:r w:rsidR="0042231A">
        <w:rPr>
          <w:rFonts w:cs="Arial"/>
        </w:rPr>
        <w:t xml:space="preserve"> </w:t>
      </w:r>
      <w:r w:rsidR="009122F0">
        <w:rPr>
          <w:rFonts w:cs="Arial"/>
        </w:rPr>
        <w:t>in</w:t>
      </w:r>
      <w:r w:rsidR="0042231A">
        <w:rPr>
          <w:rFonts w:cs="Arial"/>
        </w:rPr>
        <w:t xml:space="preserve"> quarter 54</w:t>
      </w:r>
      <w:r w:rsidR="009D31EC">
        <w:rPr>
          <w:rFonts w:cs="Arial"/>
        </w:rPr>
        <w:t>.</w:t>
      </w:r>
    </w:p>
    <w:p w14:paraId="4A3BF326" w14:textId="77777777" w:rsidR="00700320" w:rsidRDefault="00700320" w:rsidP="00700320">
      <w:pPr>
        <w:ind w:left="-142" w:right="-425"/>
        <w:jc w:val="both"/>
        <w:rPr>
          <w:rFonts w:cs="Arial"/>
        </w:rPr>
      </w:pPr>
    </w:p>
    <w:p w14:paraId="5C28C434" w14:textId="5CF39FEC" w:rsidR="009D31EC" w:rsidRDefault="009D31EC" w:rsidP="00700320">
      <w:pPr>
        <w:ind w:left="-142" w:right="-425"/>
        <w:jc w:val="both"/>
        <w:rPr>
          <w:rFonts w:cs="Arial"/>
        </w:rPr>
      </w:pPr>
      <w:r>
        <w:rPr>
          <w:rFonts w:cs="Arial"/>
        </w:rPr>
        <w:t>Reasons for applying for the CDC were primarily to buy food</w:t>
      </w:r>
      <w:r w:rsidR="00C06F76">
        <w:rPr>
          <w:rFonts w:cs="Arial"/>
        </w:rPr>
        <w:t xml:space="preserve"> (70 percent)</w:t>
      </w:r>
      <w:r w:rsidR="0094130D">
        <w:rPr>
          <w:rFonts w:cs="Arial"/>
        </w:rPr>
        <w:t>,</w:t>
      </w:r>
      <w:r>
        <w:rPr>
          <w:rFonts w:cs="Arial"/>
        </w:rPr>
        <w:t xml:space="preserve"> </w:t>
      </w:r>
      <w:r w:rsidR="0094130D">
        <w:rPr>
          <w:rFonts w:cs="Arial"/>
        </w:rPr>
        <w:t>to pay bills</w:t>
      </w:r>
      <w:r w:rsidR="00C06F76">
        <w:rPr>
          <w:rFonts w:cs="Arial"/>
        </w:rPr>
        <w:t xml:space="preserve"> (52 percent)</w:t>
      </w:r>
      <w:r w:rsidR="0094130D">
        <w:rPr>
          <w:rFonts w:cs="Arial"/>
        </w:rPr>
        <w:t xml:space="preserve">, </w:t>
      </w:r>
      <w:r>
        <w:rPr>
          <w:rFonts w:cs="Arial"/>
        </w:rPr>
        <w:t xml:space="preserve">to </w:t>
      </w:r>
      <w:r w:rsidR="00A374A8">
        <w:rPr>
          <w:rFonts w:cs="Arial"/>
        </w:rPr>
        <w:t>budget</w:t>
      </w:r>
      <w:r w:rsidR="00C06F76">
        <w:rPr>
          <w:rFonts w:cs="Arial"/>
        </w:rPr>
        <w:t xml:space="preserve"> (45 percent)</w:t>
      </w:r>
      <w:r w:rsidR="0094130D">
        <w:rPr>
          <w:rFonts w:cs="Arial"/>
        </w:rPr>
        <w:t xml:space="preserve"> and to save for something they needed</w:t>
      </w:r>
      <w:r w:rsidR="00C06F76">
        <w:rPr>
          <w:rFonts w:cs="Arial"/>
        </w:rPr>
        <w:t xml:space="preserve"> (42 percent)</w:t>
      </w:r>
      <w:r>
        <w:rPr>
          <w:rFonts w:cs="Arial"/>
        </w:rPr>
        <w:t xml:space="preserve">. </w:t>
      </w:r>
      <w:r w:rsidR="00F966ED">
        <w:rPr>
          <w:rFonts w:cs="Arial"/>
        </w:rPr>
        <w:t xml:space="preserve">Circumstances given by </w:t>
      </w:r>
      <w:r w:rsidR="00F966ED">
        <w:rPr>
          <w:rFonts w:cs="Arial"/>
        </w:rPr>
        <w:lastRenderedPageBreak/>
        <w:t xml:space="preserve">voluntary income management participants when applying for the CDC were primarily to support themselves (52 percent). </w:t>
      </w:r>
      <w:r w:rsidR="005A3730">
        <w:rPr>
          <w:rFonts w:cs="Arial"/>
        </w:rPr>
        <w:t>Approximately three quarters of clients (</w:t>
      </w:r>
      <w:r w:rsidR="00686C92">
        <w:rPr>
          <w:rFonts w:cs="Arial"/>
        </w:rPr>
        <w:t>76</w:t>
      </w:r>
      <w:r>
        <w:rPr>
          <w:rFonts w:cs="Arial"/>
        </w:rPr>
        <w:t xml:space="preserve"> percent</w:t>
      </w:r>
      <w:r w:rsidR="005A3730">
        <w:rPr>
          <w:rFonts w:cs="Arial"/>
        </w:rPr>
        <w:t>)</w:t>
      </w:r>
      <w:r>
        <w:rPr>
          <w:rFonts w:cs="Arial"/>
        </w:rPr>
        <w:t xml:space="preserve"> reported on their applications they liked the CDC.</w:t>
      </w:r>
      <w:r w:rsidR="00AC37B0" w:rsidRPr="00AC37B0">
        <w:rPr>
          <w:rFonts w:cs="Arial"/>
        </w:rPr>
        <w:t xml:space="preserve"> </w:t>
      </w:r>
      <w:r w:rsidR="00AC37B0">
        <w:rPr>
          <w:rFonts w:cs="Arial"/>
        </w:rPr>
        <w:t>Please note</w:t>
      </w:r>
      <w:r w:rsidR="00F12673">
        <w:rPr>
          <w:rFonts w:cs="Arial"/>
        </w:rPr>
        <w:t>,</w:t>
      </w:r>
      <w:r w:rsidR="00AC37B0">
        <w:rPr>
          <w:rFonts w:cs="Arial"/>
        </w:rPr>
        <w:t xml:space="preserve"> </w:t>
      </w:r>
      <w:r w:rsidR="00AC37B0" w:rsidRPr="00AC37B0">
        <w:rPr>
          <w:rFonts w:cs="Arial"/>
        </w:rPr>
        <w:t>a client may choose one or more option</w:t>
      </w:r>
      <w:r w:rsidR="00AC37B0">
        <w:rPr>
          <w:rFonts w:cs="Arial"/>
        </w:rPr>
        <w:t xml:space="preserve">s </w:t>
      </w:r>
      <w:r w:rsidR="00AC37B0" w:rsidRPr="00AC37B0">
        <w:rPr>
          <w:rFonts w:cs="Arial"/>
        </w:rPr>
        <w:t xml:space="preserve">to reflect their individual </w:t>
      </w:r>
      <w:r w:rsidR="00AC37B0">
        <w:rPr>
          <w:rFonts w:cs="Arial"/>
        </w:rPr>
        <w:t xml:space="preserve">reasons </w:t>
      </w:r>
      <w:r w:rsidR="00CD64F4">
        <w:rPr>
          <w:rFonts w:cs="Arial"/>
        </w:rPr>
        <w:t xml:space="preserve">and circumstances </w:t>
      </w:r>
      <w:r w:rsidR="00764182">
        <w:rPr>
          <w:rFonts w:cs="Arial"/>
        </w:rPr>
        <w:t>for participating in voluntary income management</w:t>
      </w:r>
      <w:r w:rsidR="00AC37B0" w:rsidRPr="00AC37B0">
        <w:rPr>
          <w:rFonts w:cs="Arial"/>
        </w:rPr>
        <w:t>.</w:t>
      </w:r>
    </w:p>
    <w:p w14:paraId="51EBBFC5" w14:textId="51D42E44" w:rsidR="009D31EC" w:rsidRDefault="009D31EC" w:rsidP="003833F9">
      <w:pPr>
        <w:ind w:left="-142" w:right="-425"/>
        <w:jc w:val="both"/>
        <w:rPr>
          <w:rFonts w:cs="Arial"/>
        </w:rPr>
      </w:pPr>
    </w:p>
    <w:tbl>
      <w:tblPr>
        <w:tblStyle w:val="TableGrid"/>
        <w:tblW w:w="9351" w:type="dxa"/>
        <w:tblLayout w:type="fixed"/>
        <w:tblLook w:val="04A0" w:firstRow="1" w:lastRow="0" w:firstColumn="1" w:lastColumn="0" w:noHBand="0" w:noVBand="1"/>
      </w:tblPr>
      <w:tblGrid>
        <w:gridCol w:w="1418"/>
        <w:gridCol w:w="987"/>
        <w:gridCol w:w="1134"/>
        <w:gridCol w:w="851"/>
        <w:gridCol w:w="567"/>
        <w:gridCol w:w="1417"/>
        <w:gridCol w:w="992"/>
        <w:gridCol w:w="1134"/>
        <w:gridCol w:w="851"/>
      </w:tblGrid>
      <w:tr w:rsidR="00266CA9" w14:paraId="3995AFFD" w14:textId="77777777" w:rsidTr="000B6D24">
        <w:trPr>
          <w:trHeight w:val="278"/>
        </w:trPr>
        <w:tc>
          <w:tcPr>
            <w:tcW w:w="4390" w:type="dxa"/>
            <w:gridSpan w:val="4"/>
          </w:tcPr>
          <w:p w14:paraId="038B1DAD" w14:textId="56E43D17" w:rsidR="00266CA9" w:rsidRDefault="00266CA9" w:rsidP="000B6D24">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25</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age group</w:t>
            </w:r>
            <w:r w:rsidRPr="00523A30">
              <w:rPr>
                <w:rFonts w:cs="Arial"/>
                <w:noProof/>
                <w:sz w:val="16"/>
                <w:szCs w:val="16"/>
              </w:rPr>
              <w:t xml:space="preserve"> </w:t>
            </w:r>
            <w:r>
              <w:rPr>
                <w:rFonts w:cs="Arial"/>
                <w:noProof/>
                <w:sz w:val="16"/>
                <w:szCs w:val="16"/>
              </w:rPr>
              <w:br/>
            </w:r>
            <w:r w:rsidRPr="00523A30">
              <w:rPr>
                <w:rFonts w:cs="Arial"/>
                <w:noProof/>
                <w:sz w:val="16"/>
                <w:szCs w:val="16"/>
              </w:rPr>
              <w:t xml:space="preserve">1 </w:t>
            </w:r>
            <w:r>
              <w:rPr>
                <w:rFonts w:cs="Arial"/>
                <w:noProof/>
                <w:sz w:val="16"/>
                <w:szCs w:val="16"/>
              </w:rPr>
              <w:t>October</w:t>
            </w:r>
            <w:r w:rsidRPr="00523A30">
              <w:rPr>
                <w:rFonts w:cs="Arial"/>
                <w:noProof/>
                <w:sz w:val="16"/>
                <w:szCs w:val="16"/>
              </w:rPr>
              <w:t xml:space="preserve"> 2021 – 3</w:t>
            </w:r>
            <w:r>
              <w:rPr>
                <w:rFonts w:cs="Arial"/>
                <w:noProof/>
                <w:sz w:val="16"/>
                <w:szCs w:val="16"/>
              </w:rPr>
              <w:t xml:space="preserve">1 December </w:t>
            </w:r>
            <w:r w:rsidRPr="00523A30">
              <w:rPr>
                <w:rFonts w:cs="Arial"/>
                <w:noProof/>
                <w:sz w:val="16"/>
                <w:szCs w:val="16"/>
              </w:rPr>
              <w:t>2021</w:t>
            </w:r>
          </w:p>
        </w:tc>
        <w:tc>
          <w:tcPr>
            <w:tcW w:w="567" w:type="dxa"/>
            <w:tcBorders>
              <w:top w:val="nil"/>
              <w:bottom w:val="nil"/>
            </w:tcBorders>
          </w:tcPr>
          <w:p w14:paraId="0AFE18EB" w14:textId="77777777" w:rsidR="00266CA9" w:rsidRDefault="00266CA9" w:rsidP="000B6D24">
            <w:pPr>
              <w:rPr>
                <w:rFonts w:cs="Arial"/>
                <w:b/>
                <w:bCs/>
                <w:noProof/>
                <w:sz w:val="16"/>
                <w:szCs w:val="16"/>
              </w:rPr>
            </w:pPr>
          </w:p>
        </w:tc>
        <w:tc>
          <w:tcPr>
            <w:tcW w:w="4394" w:type="dxa"/>
            <w:gridSpan w:val="4"/>
          </w:tcPr>
          <w:p w14:paraId="510EA325" w14:textId="0D0880BD" w:rsidR="00266CA9" w:rsidRDefault="00266CA9" w:rsidP="000B6D24">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26</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age group</w:t>
            </w:r>
            <w:r>
              <w:rPr>
                <w:rFonts w:cs="Arial"/>
                <w:noProof/>
                <w:sz w:val="16"/>
                <w:szCs w:val="16"/>
              </w:rPr>
              <w:br/>
            </w:r>
            <w:r w:rsidRPr="00523A30">
              <w:rPr>
                <w:rFonts w:cs="Arial"/>
                <w:noProof/>
                <w:sz w:val="16"/>
                <w:szCs w:val="16"/>
              </w:rPr>
              <w:t xml:space="preserve">1 </w:t>
            </w:r>
            <w:r>
              <w:rPr>
                <w:rFonts w:cs="Arial"/>
                <w:noProof/>
                <w:sz w:val="16"/>
                <w:szCs w:val="16"/>
              </w:rPr>
              <w:t>October</w:t>
            </w:r>
            <w:r w:rsidRPr="00523A30">
              <w:rPr>
                <w:rFonts w:cs="Arial"/>
                <w:noProof/>
                <w:sz w:val="16"/>
                <w:szCs w:val="16"/>
              </w:rPr>
              <w:t xml:space="preserve"> 2021 – 3</w:t>
            </w:r>
            <w:r>
              <w:rPr>
                <w:rFonts w:cs="Arial"/>
                <w:noProof/>
                <w:sz w:val="16"/>
                <w:szCs w:val="16"/>
              </w:rPr>
              <w:t>1 December</w:t>
            </w:r>
            <w:r w:rsidRPr="00523A30">
              <w:rPr>
                <w:rFonts w:cs="Arial"/>
                <w:noProof/>
                <w:sz w:val="16"/>
                <w:szCs w:val="16"/>
              </w:rPr>
              <w:t xml:space="preserve"> 2021</w:t>
            </w:r>
          </w:p>
        </w:tc>
      </w:tr>
      <w:tr w:rsidR="00266CA9" w14:paraId="1E3E5347" w14:textId="77777777" w:rsidTr="000B6D24">
        <w:trPr>
          <w:trHeight w:val="278"/>
        </w:trPr>
        <w:tc>
          <w:tcPr>
            <w:tcW w:w="1418" w:type="dxa"/>
            <w:vAlign w:val="center"/>
          </w:tcPr>
          <w:p w14:paraId="3E8D45D1" w14:textId="77777777" w:rsidR="00266CA9" w:rsidRPr="002F3F87" w:rsidRDefault="00266CA9" w:rsidP="000B6D24">
            <w:pPr>
              <w:jc w:val="center"/>
              <w:rPr>
                <w:rFonts w:cs="Arial"/>
                <w:b/>
                <w:bCs/>
                <w:noProof/>
              </w:rPr>
            </w:pPr>
            <w:r w:rsidRPr="002F3F87">
              <w:rPr>
                <w:rFonts w:cs="Arial"/>
                <w:b/>
                <w:bCs/>
                <w:noProof/>
              </w:rPr>
              <w:t>Age</w:t>
            </w:r>
            <w:r>
              <w:rPr>
                <w:rFonts w:cs="Arial"/>
                <w:b/>
                <w:bCs/>
                <w:noProof/>
              </w:rPr>
              <w:t xml:space="preserve"> Group</w:t>
            </w:r>
          </w:p>
        </w:tc>
        <w:tc>
          <w:tcPr>
            <w:tcW w:w="987" w:type="dxa"/>
            <w:vAlign w:val="center"/>
          </w:tcPr>
          <w:p w14:paraId="4CBC32A6" w14:textId="77777777" w:rsidR="00266CA9" w:rsidRPr="002F3F87" w:rsidRDefault="00266CA9" w:rsidP="000B6D24">
            <w:pPr>
              <w:jc w:val="center"/>
              <w:rPr>
                <w:rFonts w:cs="Arial"/>
                <w:b/>
                <w:bCs/>
                <w:noProof/>
              </w:rPr>
            </w:pPr>
            <w:r w:rsidRPr="002F3F87">
              <w:rPr>
                <w:rFonts w:cs="Arial"/>
                <w:b/>
                <w:bCs/>
                <w:noProof/>
              </w:rPr>
              <w:t>Male</w:t>
            </w:r>
          </w:p>
        </w:tc>
        <w:tc>
          <w:tcPr>
            <w:tcW w:w="1134" w:type="dxa"/>
            <w:vAlign w:val="center"/>
          </w:tcPr>
          <w:p w14:paraId="6AEFEE55" w14:textId="77777777" w:rsidR="00266CA9" w:rsidRPr="002F3F87" w:rsidRDefault="00266CA9" w:rsidP="000B6D24">
            <w:pPr>
              <w:jc w:val="center"/>
              <w:rPr>
                <w:rFonts w:cs="Arial"/>
                <w:b/>
                <w:bCs/>
                <w:noProof/>
              </w:rPr>
            </w:pPr>
            <w:r w:rsidRPr="002F3F87">
              <w:rPr>
                <w:rFonts w:cs="Arial"/>
                <w:b/>
                <w:bCs/>
                <w:noProof/>
              </w:rPr>
              <w:t>Female</w:t>
            </w:r>
          </w:p>
        </w:tc>
        <w:tc>
          <w:tcPr>
            <w:tcW w:w="851" w:type="dxa"/>
          </w:tcPr>
          <w:p w14:paraId="11971F87" w14:textId="77777777" w:rsidR="00266CA9" w:rsidRPr="002F3F87" w:rsidRDefault="00266CA9" w:rsidP="000B6D24">
            <w:pPr>
              <w:jc w:val="center"/>
              <w:rPr>
                <w:rFonts w:cs="Arial"/>
                <w:b/>
                <w:bCs/>
                <w:noProof/>
              </w:rPr>
            </w:pPr>
            <w:r>
              <w:rPr>
                <w:rFonts w:cs="Arial"/>
                <w:b/>
                <w:bCs/>
                <w:noProof/>
              </w:rPr>
              <w:t>Total</w:t>
            </w:r>
          </w:p>
        </w:tc>
        <w:tc>
          <w:tcPr>
            <w:tcW w:w="567" w:type="dxa"/>
            <w:tcBorders>
              <w:top w:val="nil"/>
              <w:bottom w:val="nil"/>
            </w:tcBorders>
          </w:tcPr>
          <w:p w14:paraId="6DA14034" w14:textId="77777777" w:rsidR="00266CA9" w:rsidRPr="002F3F87" w:rsidRDefault="00266CA9" w:rsidP="000B6D24">
            <w:pPr>
              <w:rPr>
                <w:rFonts w:cs="Arial"/>
                <w:b/>
                <w:bCs/>
                <w:noProof/>
              </w:rPr>
            </w:pPr>
          </w:p>
        </w:tc>
        <w:tc>
          <w:tcPr>
            <w:tcW w:w="1417" w:type="dxa"/>
            <w:vAlign w:val="center"/>
          </w:tcPr>
          <w:p w14:paraId="5E28F3A4" w14:textId="77777777" w:rsidR="00266CA9" w:rsidRPr="002F3F87" w:rsidRDefault="00266CA9" w:rsidP="000B6D24">
            <w:pPr>
              <w:jc w:val="center"/>
              <w:rPr>
                <w:rFonts w:cs="Arial"/>
                <w:b/>
                <w:bCs/>
                <w:noProof/>
              </w:rPr>
            </w:pPr>
            <w:r w:rsidRPr="002F3F87">
              <w:rPr>
                <w:rFonts w:cs="Arial"/>
                <w:b/>
                <w:bCs/>
                <w:noProof/>
              </w:rPr>
              <w:t>Age</w:t>
            </w:r>
            <w:r>
              <w:rPr>
                <w:rFonts w:cs="Arial"/>
                <w:b/>
                <w:bCs/>
                <w:noProof/>
              </w:rPr>
              <w:t xml:space="preserve"> Group</w:t>
            </w:r>
          </w:p>
        </w:tc>
        <w:tc>
          <w:tcPr>
            <w:tcW w:w="992" w:type="dxa"/>
            <w:vAlign w:val="center"/>
          </w:tcPr>
          <w:p w14:paraId="6417B204" w14:textId="77777777" w:rsidR="00266CA9" w:rsidRPr="002F3F87" w:rsidRDefault="00266CA9" w:rsidP="000B6D24">
            <w:pPr>
              <w:jc w:val="center"/>
              <w:rPr>
                <w:rFonts w:cs="Arial"/>
                <w:b/>
                <w:bCs/>
                <w:noProof/>
              </w:rPr>
            </w:pPr>
            <w:r w:rsidRPr="002F3F87">
              <w:rPr>
                <w:rFonts w:cs="Arial"/>
                <w:b/>
                <w:bCs/>
                <w:noProof/>
              </w:rPr>
              <w:t>Male</w:t>
            </w:r>
          </w:p>
        </w:tc>
        <w:tc>
          <w:tcPr>
            <w:tcW w:w="1134" w:type="dxa"/>
            <w:vAlign w:val="center"/>
          </w:tcPr>
          <w:p w14:paraId="7C1542AE" w14:textId="77777777" w:rsidR="00266CA9" w:rsidRPr="002F3F87" w:rsidRDefault="00266CA9" w:rsidP="000B6D24">
            <w:pPr>
              <w:jc w:val="center"/>
              <w:rPr>
                <w:rFonts w:cs="Arial"/>
                <w:b/>
                <w:bCs/>
                <w:noProof/>
              </w:rPr>
            </w:pPr>
            <w:r w:rsidRPr="002F3F87">
              <w:rPr>
                <w:rFonts w:cs="Arial"/>
                <w:b/>
                <w:bCs/>
                <w:noProof/>
              </w:rPr>
              <w:t>Female</w:t>
            </w:r>
          </w:p>
        </w:tc>
        <w:tc>
          <w:tcPr>
            <w:tcW w:w="851" w:type="dxa"/>
          </w:tcPr>
          <w:p w14:paraId="56ABF762" w14:textId="77777777" w:rsidR="00266CA9" w:rsidRPr="002F3F87" w:rsidRDefault="00266CA9" w:rsidP="000B6D24">
            <w:pPr>
              <w:jc w:val="center"/>
              <w:rPr>
                <w:rFonts w:cs="Arial"/>
                <w:b/>
                <w:bCs/>
                <w:noProof/>
              </w:rPr>
            </w:pPr>
            <w:r>
              <w:rPr>
                <w:rFonts w:cs="Arial"/>
                <w:b/>
                <w:bCs/>
                <w:noProof/>
              </w:rPr>
              <w:t>Total</w:t>
            </w:r>
          </w:p>
        </w:tc>
      </w:tr>
      <w:tr w:rsidR="00266CA9" w14:paraId="1AF65746" w14:textId="77777777" w:rsidTr="000B6D24">
        <w:trPr>
          <w:trHeight w:val="278"/>
        </w:trPr>
        <w:tc>
          <w:tcPr>
            <w:tcW w:w="1418" w:type="dxa"/>
            <w:vAlign w:val="center"/>
          </w:tcPr>
          <w:p w14:paraId="580D9B1D" w14:textId="66220502" w:rsidR="00266CA9" w:rsidRPr="002819D6" w:rsidRDefault="00266CA9" w:rsidP="00266CA9">
            <w:pPr>
              <w:rPr>
                <w:rFonts w:cs="Arial"/>
                <w:noProof/>
              </w:rPr>
            </w:pPr>
            <w:r>
              <w:rPr>
                <w:rFonts w:cs="Arial"/>
                <w:noProof/>
              </w:rPr>
              <w:t>18-25</w:t>
            </w:r>
          </w:p>
        </w:tc>
        <w:tc>
          <w:tcPr>
            <w:tcW w:w="987" w:type="dxa"/>
            <w:vAlign w:val="center"/>
          </w:tcPr>
          <w:p w14:paraId="1D049CF3" w14:textId="2E8D0D69" w:rsidR="00266CA9" w:rsidRPr="001D1C01" w:rsidRDefault="00266CA9" w:rsidP="00266CA9">
            <w:pPr>
              <w:jc w:val="right"/>
              <w:rPr>
                <w:rFonts w:cs="Arial"/>
                <w:noProof/>
              </w:rPr>
            </w:pPr>
            <w:r>
              <w:rPr>
                <w:rFonts w:cs="Arial"/>
                <w:noProof/>
              </w:rPr>
              <w:t>0</w:t>
            </w:r>
          </w:p>
        </w:tc>
        <w:tc>
          <w:tcPr>
            <w:tcW w:w="1134" w:type="dxa"/>
            <w:vAlign w:val="center"/>
          </w:tcPr>
          <w:p w14:paraId="5505E1F4" w14:textId="77777777" w:rsidR="00266CA9" w:rsidRPr="001D1C01" w:rsidRDefault="00266CA9" w:rsidP="00266CA9">
            <w:pPr>
              <w:jc w:val="right"/>
              <w:rPr>
                <w:rFonts w:cs="Arial"/>
                <w:noProof/>
              </w:rPr>
            </w:pPr>
            <w:r>
              <w:rPr>
                <w:rFonts w:cs="Arial"/>
                <w:noProof/>
              </w:rPr>
              <w:t>5</w:t>
            </w:r>
          </w:p>
        </w:tc>
        <w:tc>
          <w:tcPr>
            <w:tcW w:w="851" w:type="dxa"/>
          </w:tcPr>
          <w:p w14:paraId="5DBA3903" w14:textId="07709601" w:rsidR="00266CA9" w:rsidRPr="006B597B" w:rsidRDefault="00266CA9" w:rsidP="00266CA9">
            <w:pPr>
              <w:jc w:val="right"/>
              <w:rPr>
                <w:rFonts w:cs="Arial"/>
                <w:b/>
                <w:bCs/>
                <w:noProof/>
              </w:rPr>
            </w:pPr>
            <w:r>
              <w:rPr>
                <w:rFonts w:cs="Arial"/>
                <w:b/>
                <w:bCs/>
                <w:noProof/>
              </w:rPr>
              <w:t>5</w:t>
            </w:r>
          </w:p>
        </w:tc>
        <w:tc>
          <w:tcPr>
            <w:tcW w:w="567" w:type="dxa"/>
            <w:tcBorders>
              <w:top w:val="nil"/>
              <w:bottom w:val="nil"/>
            </w:tcBorders>
          </w:tcPr>
          <w:p w14:paraId="4C2A0D18" w14:textId="77777777" w:rsidR="00266CA9" w:rsidRDefault="00266CA9" w:rsidP="00266CA9">
            <w:pPr>
              <w:rPr>
                <w:rFonts w:cs="Arial"/>
                <w:noProof/>
              </w:rPr>
            </w:pPr>
          </w:p>
        </w:tc>
        <w:tc>
          <w:tcPr>
            <w:tcW w:w="1417" w:type="dxa"/>
            <w:vAlign w:val="center"/>
          </w:tcPr>
          <w:p w14:paraId="044525DE" w14:textId="3BADCF19" w:rsidR="00266CA9" w:rsidRPr="001D1C01" w:rsidRDefault="00266CA9" w:rsidP="00266CA9">
            <w:pPr>
              <w:rPr>
                <w:rFonts w:cs="Arial"/>
                <w:noProof/>
              </w:rPr>
            </w:pPr>
            <w:r>
              <w:rPr>
                <w:rFonts w:cs="Arial"/>
                <w:noProof/>
              </w:rPr>
              <w:t>18-25</w:t>
            </w:r>
          </w:p>
        </w:tc>
        <w:tc>
          <w:tcPr>
            <w:tcW w:w="992" w:type="dxa"/>
            <w:vAlign w:val="center"/>
          </w:tcPr>
          <w:p w14:paraId="6BCA6873" w14:textId="2CD05F4D" w:rsidR="00266CA9" w:rsidRPr="001D1C01" w:rsidRDefault="008373BF" w:rsidP="00266CA9">
            <w:pPr>
              <w:jc w:val="right"/>
              <w:rPr>
                <w:rFonts w:cs="Arial"/>
                <w:noProof/>
              </w:rPr>
            </w:pPr>
            <w:r>
              <w:rPr>
                <w:rFonts w:cs="Arial"/>
                <w:noProof/>
              </w:rPr>
              <w:t>0</w:t>
            </w:r>
          </w:p>
        </w:tc>
        <w:tc>
          <w:tcPr>
            <w:tcW w:w="1134" w:type="dxa"/>
            <w:vAlign w:val="center"/>
          </w:tcPr>
          <w:p w14:paraId="4F15E376" w14:textId="31ABBBC9" w:rsidR="00266CA9" w:rsidRPr="001D1C01" w:rsidRDefault="008373BF" w:rsidP="00266CA9">
            <w:pPr>
              <w:jc w:val="right"/>
              <w:rPr>
                <w:rFonts w:cs="Arial"/>
                <w:noProof/>
              </w:rPr>
            </w:pPr>
            <w:r>
              <w:rPr>
                <w:rFonts w:cs="Arial"/>
                <w:noProof/>
              </w:rPr>
              <w:t>1</w:t>
            </w:r>
          </w:p>
        </w:tc>
        <w:tc>
          <w:tcPr>
            <w:tcW w:w="851" w:type="dxa"/>
          </w:tcPr>
          <w:p w14:paraId="15C3FE10" w14:textId="5D4A9C2D" w:rsidR="00266CA9" w:rsidRPr="006B597B" w:rsidRDefault="0089345C" w:rsidP="00266CA9">
            <w:pPr>
              <w:jc w:val="right"/>
              <w:rPr>
                <w:rFonts w:cs="Arial"/>
                <w:b/>
                <w:bCs/>
                <w:noProof/>
              </w:rPr>
            </w:pPr>
            <w:r>
              <w:rPr>
                <w:rFonts w:cs="Arial"/>
                <w:b/>
                <w:bCs/>
                <w:noProof/>
              </w:rPr>
              <w:t>1</w:t>
            </w:r>
          </w:p>
        </w:tc>
      </w:tr>
      <w:tr w:rsidR="00266CA9" w14:paraId="0D2A2190" w14:textId="77777777" w:rsidTr="000B6D24">
        <w:trPr>
          <w:trHeight w:val="278"/>
        </w:trPr>
        <w:tc>
          <w:tcPr>
            <w:tcW w:w="1418" w:type="dxa"/>
            <w:vAlign w:val="center"/>
          </w:tcPr>
          <w:p w14:paraId="777ED964" w14:textId="09002A95" w:rsidR="00266CA9" w:rsidRPr="002819D6" w:rsidRDefault="00266CA9" w:rsidP="00266CA9">
            <w:pPr>
              <w:rPr>
                <w:rFonts w:cs="Arial"/>
                <w:noProof/>
              </w:rPr>
            </w:pPr>
            <w:r>
              <w:rPr>
                <w:rFonts w:cs="Arial"/>
                <w:noProof/>
              </w:rPr>
              <w:t>26-35</w:t>
            </w:r>
          </w:p>
        </w:tc>
        <w:tc>
          <w:tcPr>
            <w:tcW w:w="987" w:type="dxa"/>
            <w:vAlign w:val="center"/>
          </w:tcPr>
          <w:p w14:paraId="5866BDAC" w14:textId="1333806E" w:rsidR="00266CA9" w:rsidRPr="001D1C01" w:rsidRDefault="00266CA9" w:rsidP="00266CA9">
            <w:pPr>
              <w:jc w:val="right"/>
              <w:rPr>
                <w:rFonts w:cs="Arial"/>
                <w:noProof/>
              </w:rPr>
            </w:pPr>
            <w:r>
              <w:rPr>
                <w:rFonts w:cs="Arial"/>
                <w:noProof/>
              </w:rPr>
              <w:t>0</w:t>
            </w:r>
          </w:p>
        </w:tc>
        <w:tc>
          <w:tcPr>
            <w:tcW w:w="1134" w:type="dxa"/>
            <w:vAlign w:val="center"/>
          </w:tcPr>
          <w:p w14:paraId="7887627F" w14:textId="70F16983" w:rsidR="00266CA9" w:rsidRPr="001D1C01" w:rsidRDefault="00266CA9" w:rsidP="00266CA9">
            <w:pPr>
              <w:jc w:val="right"/>
              <w:rPr>
                <w:rFonts w:cs="Arial"/>
                <w:noProof/>
              </w:rPr>
            </w:pPr>
            <w:r>
              <w:rPr>
                <w:rFonts w:cs="Arial"/>
                <w:noProof/>
              </w:rPr>
              <w:t>12</w:t>
            </w:r>
          </w:p>
        </w:tc>
        <w:tc>
          <w:tcPr>
            <w:tcW w:w="851" w:type="dxa"/>
          </w:tcPr>
          <w:p w14:paraId="7CDA9B5E" w14:textId="35CD34D1" w:rsidR="00266CA9" w:rsidRPr="006B597B" w:rsidRDefault="00266CA9" w:rsidP="00266CA9">
            <w:pPr>
              <w:jc w:val="right"/>
              <w:rPr>
                <w:rFonts w:cs="Arial"/>
                <w:b/>
                <w:bCs/>
                <w:noProof/>
              </w:rPr>
            </w:pPr>
            <w:r w:rsidRPr="006B597B">
              <w:rPr>
                <w:rFonts w:cs="Arial"/>
                <w:b/>
                <w:bCs/>
                <w:noProof/>
              </w:rPr>
              <w:t>1</w:t>
            </w:r>
            <w:r>
              <w:rPr>
                <w:rFonts w:cs="Arial"/>
                <w:b/>
                <w:bCs/>
                <w:noProof/>
              </w:rPr>
              <w:t>2</w:t>
            </w:r>
          </w:p>
        </w:tc>
        <w:tc>
          <w:tcPr>
            <w:tcW w:w="567" w:type="dxa"/>
            <w:tcBorders>
              <w:top w:val="nil"/>
              <w:bottom w:val="nil"/>
            </w:tcBorders>
          </w:tcPr>
          <w:p w14:paraId="69876174" w14:textId="77777777" w:rsidR="00266CA9" w:rsidRDefault="00266CA9" w:rsidP="00266CA9">
            <w:pPr>
              <w:rPr>
                <w:rFonts w:cs="Arial"/>
                <w:noProof/>
              </w:rPr>
            </w:pPr>
          </w:p>
        </w:tc>
        <w:tc>
          <w:tcPr>
            <w:tcW w:w="1417" w:type="dxa"/>
            <w:vAlign w:val="center"/>
          </w:tcPr>
          <w:p w14:paraId="09B2862C" w14:textId="0476B565" w:rsidR="00266CA9" w:rsidRPr="001D1C01" w:rsidRDefault="00266CA9" w:rsidP="00266CA9">
            <w:pPr>
              <w:rPr>
                <w:rFonts w:cs="Arial"/>
                <w:noProof/>
              </w:rPr>
            </w:pPr>
            <w:r>
              <w:rPr>
                <w:rFonts w:cs="Arial"/>
                <w:noProof/>
              </w:rPr>
              <w:t>26-35</w:t>
            </w:r>
          </w:p>
        </w:tc>
        <w:tc>
          <w:tcPr>
            <w:tcW w:w="992" w:type="dxa"/>
            <w:vAlign w:val="center"/>
          </w:tcPr>
          <w:p w14:paraId="20D1F019" w14:textId="78F325AC" w:rsidR="00266CA9" w:rsidRPr="001D1C01" w:rsidRDefault="008373BF" w:rsidP="00266CA9">
            <w:pPr>
              <w:jc w:val="right"/>
              <w:rPr>
                <w:rFonts w:cs="Arial"/>
                <w:noProof/>
              </w:rPr>
            </w:pPr>
            <w:r>
              <w:rPr>
                <w:rFonts w:cs="Arial"/>
                <w:noProof/>
              </w:rPr>
              <w:t>3</w:t>
            </w:r>
          </w:p>
        </w:tc>
        <w:tc>
          <w:tcPr>
            <w:tcW w:w="1134" w:type="dxa"/>
            <w:vAlign w:val="center"/>
          </w:tcPr>
          <w:p w14:paraId="30F4A5B5" w14:textId="24CCFF25" w:rsidR="00266CA9" w:rsidRPr="001D1C01" w:rsidRDefault="008373BF" w:rsidP="00266CA9">
            <w:pPr>
              <w:jc w:val="right"/>
              <w:rPr>
                <w:rFonts w:cs="Arial"/>
                <w:noProof/>
              </w:rPr>
            </w:pPr>
            <w:r>
              <w:rPr>
                <w:rFonts w:cs="Arial"/>
                <w:noProof/>
              </w:rPr>
              <w:t>2</w:t>
            </w:r>
          </w:p>
        </w:tc>
        <w:tc>
          <w:tcPr>
            <w:tcW w:w="851" w:type="dxa"/>
          </w:tcPr>
          <w:p w14:paraId="3485D431" w14:textId="7860BC09" w:rsidR="00266CA9" w:rsidRPr="006B597B" w:rsidRDefault="0089345C" w:rsidP="00266CA9">
            <w:pPr>
              <w:jc w:val="right"/>
              <w:rPr>
                <w:rFonts w:cs="Arial"/>
                <w:b/>
                <w:bCs/>
                <w:noProof/>
              </w:rPr>
            </w:pPr>
            <w:r>
              <w:rPr>
                <w:rFonts w:cs="Arial"/>
                <w:b/>
                <w:bCs/>
                <w:noProof/>
              </w:rPr>
              <w:t>5</w:t>
            </w:r>
          </w:p>
        </w:tc>
      </w:tr>
      <w:tr w:rsidR="00266CA9" w14:paraId="5F7FA953" w14:textId="77777777" w:rsidTr="000B6D24">
        <w:trPr>
          <w:trHeight w:val="278"/>
        </w:trPr>
        <w:tc>
          <w:tcPr>
            <w:tcW w:w="1418" w:type="dxa"/>
            <w:vAlign w:val="center"/>
          </w:tcPr>
          <w:p w14:paraId="245648E9" w14:textId="4A7A8A0F" w:rsidR="00266CA9" w:rsidRPr="002819D6" w:rsidRDefault="00266CA9" w:rsidP="00266CA9">
            <w:pPr>
              <w:rPr>
                <w:rFonts w:cs="Arial"/>
                <w:noProof/>
              </w:rPr>
            </w:pPr>
            <w:r>
              <w:rPr>
                <w:rFonts w:cs="Arial"/>
                <w:noProof/>
              </w:rPr>
              <w:t>36-45</w:t>
            </w:r>
          </w:p>
        </w:tc>
        <w:tc>
          <w:tcPr>
            <w:tcW w:w="987" w:type="dxa"/>
            <w:vAlign w:val="center"/>
          </w:tcPr>
          <w:p w14:paraId="1D37E3F2" w14:textId="096BB8E6" w:rsidR="00266CA9" w:rsidRPr="001D1C01" w:rsidRDefault="00266CA9" w:rsidP="00266CA9">
            <w:pPr>
              <w:jc w:val="right"/>
              <w:rPr>
                <w:rFonts w:cs="Arial"/>
                <w:noProof/>
              </w:rPr>
            </w:pPr>
            <w:r>
              <w:rPr>
                <w:rFonts w:cs="Arial"/>
                <w:noProof/>
              </w:rPr>
              <w:t>4</w:t>
            </w:r>
          </w:p>
        </w:tc>
        <w:tc>
          <w:tcPr>
            <w:tcW w:w="1134" w:type="dxa"/>
            <w:vAlign w:val="center"/>
          </w:tcPr>
          <w:p w14:paraId="04307177" w14:textId="0C77F172" w:rsidR="00266CA9" w:rsidRPr="001D1C01" w:rsidRDefault="00266CA9" w:rsidP="00266CA9">
            <w:pPr>
              <w:jc w:val="right"/>
              <w:rPr>
                <w:rFonts w:cs="Arial"/>
                <w:noProof/>
              </w:rPr>
            </w:pPr>
            <w:r>
              <w:rPr>
                <w:rFonts w:cs="Arial"/>
                <w:noProof/>
              </w:rPr>
              <w:t>4</w:t>
            </w:r>
          </w:p>
        </w:tc>
        <w:tc>
          <w:tcPr>
            <w:tcW w:w="851" w:type="dxa"/>
          </w:tcPr>
          <w:p w14:paraId="517D9EB2" w14:textId="7F523477" w:rsidR="00266CA9" w:rsidRPr="006B597B" w:rsidRDefault="00266CA9" w:rsidP="00266CA9">
            <w:pPr>
              <w:jc w:val="right"/>
              <w:rPr>
                <w:rFonts w:cs="Arial"/>
                <w:b/>
                <w:bCs/>
                <w:noProof/>
              </w:rPr>
            </w:pPr>
            <w:r>
              <w:rPr>
                <w:rFonts w:cs="Arial"/>
                <w:b/>
                <w:bCs/>
                <w:noProof/>
              </w:rPr>
              <w:t>8</w:t>
            </w:r>
          </w:p>
        </w:tc>
        <w:tc>
          <w:tcPr>
            <w:tcW w:w="567" w:type="dxa"/>
            <w:tcBorders>
              <w:top w:val="nil"/>
              <w:bottom w:val="nil"/>
            </w:tcBorders>
          </w:tcPr>
          <w:p w14:paraId="5B3E02E8" w14:textId="77777777" w:rsidR="00266CA9" w:rsidRDefault="00266CA9" w:rsidP="00266CA9">
            <w:pPr>
              <w:rPr>
                <w:rFonts w:cs="Arial"/>
                <w:noProof/>
              </w:rPr>
            </w:pPr>
          </w:p>
        </w:tc>
        <w:tc>
          <w:tcPr>
            <w:tcW w:w="1417" w:type="dxa"/>
            <w:vAlign w:val="center"/>
          </w:tcPr>
          <w:p w14:paraId="75025BDD" w14:textId="4492AC43" w:rsidR="00266CA9" w:rsidRPr="001D1C01" w:rsidRDefault="00266CA9" w:rsidP="00266CA9">
            <w:pPr>
              <w:rPr>
                <w:rFonts w:cs="Arial"/>
                <w:noProof/>
              </w:rPr>
            </w:pPr>
            <w:r>
              <w:rPr>
                <w:rFonts w:cs="Arial"/>
                <w:noProof/>
              </w:rPr>
              <w:t>36-45</w:t>
            </w:r>
          </w:p>
        </w:tc>
        <w:tc>
          <w:tcPr>
            <w:tcW w:w="992" w:type="dxa"/>
            <w:vAlign w:val="center"/>
          </w:tcPr>
          <w:p w14:paraId="768B2877" w14:textId="4A39B662" w:rsidR="00266CA9" w:rsidRPr="001D1C01" w:rsidRDefault="008373BF" w:rsidP="00266CA9">
            <w:pPr>
              <w:jc w:val="right"/>
              <w:rPr>
                <w:rFonts w:cs="Arial"/>
                <w:noProof/>
              </w:rPr>
            </w:pPr>
            <w:r>
              <w:rPr>
                <w:rFonts w:cs="Arial"/>
                <w:noProof/>
              </w:rPr>
              <w:t>2</w:t>
            </w:r>
          </w:p>
        </w:tc>
        <w:tc>
          <w:tcPr>
            <w:tcW w:w="1134" w:type="dxa"/>
            <w:vAlign w:val="center"/>
          </w:tcPr>
          <w:p w14:paraId="539C4EBF" w14:textId="26219030" w:rsidR="00266CA9" w:rsidRPr="001D1C01" w:rsidRDefault="008373BF" w:rsidP="00266CA9">
            <w:pPr>
              <w:jc w:val="right"/>
              <w:rPr>
                <w:rFonts w:cs="Arial"/>
                <w:noProof/>
              </w:rPr>
            </w:pPr>
            <w:r>
              <w:rPr>
                <w:rFonts w:cs="Arial"/>
                <w:noProof/>
              </w:rPr>
              <w:t>5</w:t>
            </w:r>
          </w:p>
        </w:tc>
        <w:tc>
          <w:tcPr>
            <w:tcW w:w="851" w:type="dxa"/>
          </w:tcPr>
          <w:p w14:paraId="2E85D66C" w14:textId="7C3BEBE8" w:rsidR="00266CA9" w:rsidRPr="006B597B" w:rsidRDefault="0089345C" w:rsidP="00266CA9">
            <w:pPr>
              <w:jc w:val="right"/>
              <w:rPr>
                <w:rFonts w:cs="Arial"/>
                <w:b/>
                <w:bCs/>
                <w:noProof/>
              </w:rPr>
            </w:pPr>
            <w:r>
              <w:rPr>
                <w:rFonts w:cs="Arial"/>
                <w:b/>
                <w:bCs/>
                <w:noProof/>
              </w:rPr>
              <w:t>7</w:t>
            </w:r>
          </w:p>
        </w:tc>
      </w:tr>
      <w:tr w:rsidR="00266CA9" w14:paraId="5D099335" w14:textId="77777777" w:rsidTr="000B6D24">
        <w:trPr>
          <w:trHeight w:val="278"/>
        </w:trPr>
        <w:tc>
          <w:tcPr>
            <w:tcW w:w="1418" w:type="dxa"/>
            <w:vAlign w:val="center"/>
          </w:tcPr>
          <w:p w14:paraId="3F8FC8EB" w14:textId="4EA592E2" w:rsidR="00266CA9" w:rsidRDefault="00266CA9" w:rsidP="00266CA9">
            <w:pPr>
              <w:rPr>
                <w:rFonts w:cs="Arial"/>
                <w:noProof/>
              </w:rPr>
            </w:pPr>
            <w:r>
              <w:rPr>
                <w:rFonts w:cs="Arial"/>
                <w:noProof/>
              </w:rPr>
              <w:t>46-55</w:t>
            </w:r>
          </w:p>
        </w:tc>
        <w:tc>
          <w:tcPr>
            <w:tcW w:w="987" w:type="dxa"/>
            <w:vAlign w:val="center"/>
          </w:tcPr>
          <w:p w14:paraId="0A1BAB34" w14:textId="405121F7" w:rsidR="00266CA9" w:rsidRPr="001D1C01" w:rsidRDefault="00266CA9" w:rsidP="00266CA9">
            <w:pPr>
              <w:jc w:val="right"/>
              <w:rPr>
                <w:rFonts w:cs="Arial"/>
                <w:noProof/>
              </w:rPr>
            </w:pPr>
            <w:r>
              <w:rPr>
                <w:rFonts w:cs="Arial"/>
                <w:noProof/>
              </w:rPr>
              <w:t>0</w:t>
            </w:r>
          </w:p>
        </w:tc>
        <w:tc>
          <w:tcPr>
            <w:tcW w:w="1134" w:type="dxa"/>
            <w:vAlign w:val="center"/>
          </w:tcPr>
          <w:p w14:paraId="62839679" w14:textId="77777777" w:rsidR="00266CA9" w:rsidRPr="001D1C01" w:rsidRDefault="00266CA9" w:rsidP="00266CA9">
            <w:pPr>
              <w:jc w:val="right"/>
              <w:rPr>
                <w:rFonts w:cs="Arial"/>
                <w:noProof/>
              </w:rPr>
            </w:pPr>
            <w:r>
              <w:rPr>
                <w:rFonts w:cs="Arial"/>
                <w:noProof/>
              </w:rPr>
              <w:t>2</w:t>
            </w:r>
          </w:p>
        </w:tc>
        <w:tc>
          <w:tcPr>
            <w:tcW w:w="851" w:type="dxa"/>
          </w:tcPr>
          <w:p w14:paraId="6D307CB7" w14:textId="7E3F393C" w:rsidR="00266CA9" w:rsidRPr="006B597B" w:rsidRDefault="00266CA9" w:rsidP="00266CA9">
            <w:pPr>
              <w:jc w:val="right"/>
              <w:rPr>
                <w:rFonts w:cs="Arial"/>
                <w:b/>
                <w:bCs/>
                <w:noProof/>
              </w:rPr>
            </w:pPr>
            <w:r>
              <w:rPr>
                <w:rFonts w:cs="Arial"/>
                <w:b/>
                <w:bCs/>
                <w:noProof/>
              </w:rPr>
              <w:t>2</w:t>
            </w:r>
          </w:p>
        </w:tc>
        <w:tc>
          <w:tcPr>
            <w:tcW w:w="567" w:type="dxa"/>
            <w:tcBorders>
              <w:top w:val="nil"/>
              <w:bottom w:val="nil"/>
            </w:tcBorders>
          </w:tcPr>
          <w:p w14:paraId="782D73BC" w14:textId="77777777" w:rsidR="00266CA9" w:rsidRDefault="00266CA9" w:rsidP="00266CA9">
            <w:pPr>
              <w:rPr>
                <w:rFonts w:cs="Arial"/>
                <w:noProof/>
              </w:rPr>
            </w:pPr>
          </w:p>
        </w:tc>
        <w:tc>
          <w:tcPr>
            <w:tcW w:w="1417" w:type="dxa"/>
            <w:vAlign w:val="center"/>
          </w:tcPr>
          <w:p w14:paraId="02BDEBDC" w14:textId="4A05F18A" w:rsidR="00266CA9" w:rsidRPr="001D1C01" w:rsidRDefault="00266CA9" w:rsidP="00266CA9">
            <w:pPr>
              <w:rPr>
                <w:rFonts w:cs="Arial"/>
                <w:noProof/>
              </w:rPr>
            </w:pPr>
            <w:r>
              <w:rPr>
                <w:rFonts w:cs="Arial"/>
                <w:noProof/>
              </w:rPr>
              <w:t>46-55</w:t>
            </w:r>
          </w:p>
        </w:tc>
        <w:tc>
          <w:tcPr>
            <w:tcW w:w="992" w:type="dxa"/>
            <w:vAlign w:val="center"/>
          </w:tcPr>
          <w:p w14:paraId="4B0E1470" w14:textId="3553A08C" w:rsidR="00266CA9" w:rsidRDefault="008373BF" w:rsidP="00266CA9">
            <w:pPr>
              <w:jc w:val="right"/>
              <w:rPr>
                <w:rFonts w:cs="Arial"/>
                <w:noProof/>
              </w:rPr>
            </w:pPr>
            <w:r>
              <w:rPr>
                <w:rFonts w:cs="Arial"/>
                <w:noProof/>
              </w:rPr>
              <w:t>2</w:t>
            </w:r>
          </w:p>
        </w:tc>
        <w:tc>
          <w:tcPr>
            <w:tcW w:w="1134" w:type="dxa"/>
            <w:vAlign w:val="center"/>
          </w:tcPr>
          <w:p w14:paraId="7632EB65" w14:textId="77777777" w:rsidR="00266CA9" w:rsidRDefault="00266CA9" w:rsidP="00266CA9">
            <w:pPr>
              <w:jc w:val="right"/>
              <w:rPr>
                <w:rFonts w:cs="Arial"/>
                <w:noProof/>
              </w:rPr>
            </w:pPr>
            <w:r>
              <w:rPr>
                <w:rFonts w:cs="Arial"/>
                <w:noProof/>
              </w:rPr>
              <w:t>7</w:t>
            </w:r>
          </w:p>
        </w:tc>
        <w:tc>
          <w:tcPr>
            <w:tcW w:w="851" w:type="dxa"/>
          </w:tcPr>
          <w:p w14:paraId="1A7D8950" w14:textId="6C899F92" w:rsidR="00266CA9" w:rsidRPr="006B597B" w:rsidRDefault="0089345C" w:rsidP="00266CA9">
            <w:pPr>
              <w:jc w:val="right"/>
              <w:rPr>
                <w:rFonts w:cs="Arial"/>
                <w:b/>
                <w:bCs/>
                <w:noProof/>
              </w:rPr>
            </w:pPr>
            <w:r>
              <w:rPr>
                <w:rFonts w:cs="Arial"/>
                <w:b/>
                <w:bCs/>
                <w:noProof/>
              </w:rPr>
              <w:t>9</w:t>
            </w:r>
          </w:p>
        </w:tc>
      </w:tr>
      <w:tr w:rsidR="00266CA9" w14:paraId="5BDA6FC6" w14:textId="77777777" w:rsidTr="000B6D24">
        <w:trPr>
          <w:trHeight w:val="278"/>
        </w:trPr>
        <w:tc>
          <w:tcPr>
            <w:tcW w:w="1418" w:type="dxa"/>
            <w:vAlign w:val="center"/>
          </w:tcPr>
          <w:p w14:paraId="53614D97" w14:textId="2DED39EB" w:rsidR="00266CA9" w:rsidRDefault="00266CA9" w:rsidP="00266CA9">
            <w:pPr>
              <w:rPr>
                <w:rFonts w:cs="Arial"/>
                <w:noProof/>
              </w:rPr>
            </w:pPr>
            <w:r>
              <w:rPr>
                <w:rFonts w:cs="Arial"/>
                <w:noProof/>
              </w:rPr>
              <w:t>56-65</w:t>
            </w:r>
          </w:p>
        </w:tc>
        <w:tc>
          <w:tcPr>
            <w:tcW w:w="987" w:type="dxa"/>
            <w:vAlign w:val="center"/>
          </w:tcPr>
          <w:p w14:paraId="56EA84ED" w14:textId="640A4825" w:rsidR="00266CA9" w:rsidRPr="001D1C01" w:rsidRDefault="00266CA9" w:rsidP="00266CA9">
            <w:pPr>
              <w:jc w:val="right"/>
              <w:rPr>
                <w:rFonts w:cs="Arial"/>
                <w:noProof/>
              </w:rPr>
            </w:pPr>
            <w:r>
              <w:rPr>
                <w:rFonts w:cs="Arial"/>
                <w:noProof/>
              </w:rPr>
              <w:t>1</w:t>
            </w:r>
          </w:p>
        </w:tc>
        <w:tc>
          <w:tcPr>
            <w:tcW w:w="1134" w:type="dxa"/>
            <w:vAlign w:val="center"/>
          </w:tcPr>
          <w:p w14:paraId="7DFA6796" w14:textId="77777777" w:rsidR="00266CA9" w:rsidRPr="001D1C01" w:rsidRDefault="00266CA9" w:rsidP="00266CA9">
            <w:pPr>
              <w:jc w:val="right"/>
              <w:rPr>
                <w:rFonts w:cs="Arial"/>
                <w:noProof/>
              </w:rPr>
            </w:pPr>
            <w:r>
              <w:rPr>
                <w:rFonts w:cs="Arial"/>
                <w:noProof/>
              </w:rPr>
              <w:t>1</w:t>
            </w:r>
          </w:p>
        </w:tc>
        <w:tc>
          <w:tcPr>
            <w:tcW w:w="851" w:type="dxa"/>
          </w:tcPr>
          <w:p w14:paraId="0A64F07D" w14:textId="0A42EFA5" w:rsidR="00266CA9" w:rsidRPr="006B597B" w:rsidRDefault="00266CA9" w:rsidP="00266CA9">
            <w:pPr>
              <w:jc w:val="right"/>
              <w:rPr>
                <w:rFonts w:cs="Arial"/>
                <w:b/>
                <w:bCs/>
                <w:noProof/>
              </w:rPr>
            </w:pPr>
            <w:r>
              <w:rPr>
                <w:rFonts w:cs="Arial"/>
                <w:b/>
                <w:bCs/>
                <w:noProof/>
              </w:rPr>
              <w:t>2</w:t>
            </w:r>
          </w:p>
        </w:tc>
        <w:tc>
          <w:tcPr>
            <w:tcW w:w="567" w:type="dxa"/>
            <w:tcBorders>
              <w:top w:val="nil"/>
              <w:bottom w:val="nil"/>
            </w:tcBorders>
          </w:tcPr>
          <w:p w14:paraId="5D6A9CC9" w14:textId="77777777" w:rsidR="00266CA9" w:rsidRDefault="00266CA9" w:rsidP="00266CA9">
            <w:pPr>
              <w:rPr>
                <w:rFonts w:cs="Arial"/>
                <w:noProof/>
              </w:rPr>
            </w:pPr>
          </w:p>
        </w:tc>
        <w:tc>
          <w:tcPr>
            <w:tcW w:w="1417" w:type="dxa"/>
            <w:vAlign w:val="center"/>
          </w:tcPr>
          <w:p w14:paraId="5E0DBFC2" w14:textId="442641EB" w:rsidR="00266CA9" w:rsidRPr="001D1C01" w:rsidRDefault="00266CA9" w:rsidP="00266CA9">
            <w:pPr>
              <w:rPr>
                <w:rFonts w:cs="Arial"/>
                <w:noProof/>
              </w:rPr>
            </w:pPr>
            <w:r>
              <w:rPr>
                <w:rFonts w:cs="Arial"/>
                <w:noProof/>
              </w:rPr>
              <w:t>56-65</w:t>
            </w:r>
          </w:p>
        </w:tc>
        <w:tc>
          <w:tcPr>
            <w:tcW w:w="992" w:type="dxa"/>
            <w:vAlign w:val="center"/>
          </w:tcPr>
          <w:p w14:paraId="50824F2A" w14:textId="73C9E0D4" w:rsidR="00266CA9" w:rsidRDefault="008373BF" w:rsidP="00266CA9">
            <w:pPr>
              <w:jc w:val="right"/>
              <w:rPr>
                <w:rFonts w:cs="Arial"/>
                <w:noProof/>
              </w:rPr>
            </w:pPr>
            <w:r>
              <w:rPr>
                <w:rFonts w:cs="Arial"/>
                <w:noProof/>
              </w:rPr>
              <w:t>4</w:t>
            </w:r>
          </w:p>
        </w:tc>
        <w:tc>
          <w:tcPr>
            <w:tcW w:w="1134" w:type="dxa"/>
            <w:vAlign w:val="center"/>
          </w:tcPr>
          <w:p w14:paraId="3223E85C" w14:textId="11B72F76" w:rsidR="00266CA9" w:rsidRDefault="008373BF" w:rsidP="00266CA9">
            <w:pPr>
              <w:jc w:val="right"/>
              <w:rPr>
                <w:rFonts w:cs="Arial"/>
                <w:noProof/>
              </w:rPr>
            </w:pPr>
            <w:r>
              <w:rPr>
                <w:rFonts w:cs="Arial"/>
                <w:noProof/>
              </w:rPr>
              <w:t>1</w:t>
            </w:r>
          </w:p>
        </w:tc>
        <w:tc>
          <w:tcPr>
            <w:tcW w:w="851" w:type="dxa"/>
          </w:tcPr>
          <w:p w14:paraId="2695CCB1" w14:textId="76BB99C0" w:rsidR="00266CA9" w:rsidRPr="006B597B" w:rsidRDefault="00266CA9" w:rsidP="00266CA9">
            <w:pPr>
              <w:jc w:val="right"/>
              <w:rPr>
                <w:rFonts w:cs="Arial"/>
                <w:b/>
                <w:bCs/>
                <w:noProof/>
              </w:rPr>
            </w:pPr>
            <w:r w:rsidRPr="006B597B">
              <w:rPr>
                <w:rFonts w:cs="Arial"/>
                <w:b/>
                <w:bCs/>
                <w:noProof/>
              </w:rPr>
              <w:t>5</w:t>
            </w:r>
          </w:p>
        </w:tc>
      </w:tr>
      <w:tr w:rsidR="00266CA9" w14:paraId="06FF8D6A" w14:textId="77777777" w:rsidTr="000B6D24">
        <w:trPr>
          <w:trHeight w:val="278"/>
        </w:trPr>
        <w:tc>
          <w:tcPr>
            <w:tcW w:w="1418" w:type="dxa"/>
            <w:vAlign w:val="center"/>
          </w:tcPr>
          <w:p w14:paraId="65FEF816" w14:textId="7DD21BB8" w:rsidR="00266CA9" w:rsidRDefault="00266CA9" w:rsidP="00266CA9">
            <w:pPr>
              <w:rPr>
                <w:rFonts w:cs="Arial"/>
                <w:noProof/>
              </w:rPr>
            </w:pPr>
            <w:r>
              <w:rPr>
                <w:rFonts w:cs="Arial"/>
                <w:noProof/>
              </w:rPr>
              <w:t>66-75</w:t>
            </w:r>
          </w:p>
        </w:tc>
        <w:tc>
          <w:tcPr>
            <w:tcW w:w="987" w:type="dxa"/>
            <w:vAlign w:val="center"/>
          </w:tcPr>
          <w:p w14:paraId="0180592F" w14:textId="77777777" w:rsidR="00266CA9" w:rsidRPr="001D1C01" w:rsidRDefault="00266CA9" w:rsidP="00266CA9">
            <w:pPr>
              <w:jc w:val="right"/>
              <w:rPr>
                <w:rFonts w:cs="Arial"/>
                <w:noProof/>
              </w:rPr>
            </w:pPr>
            <w:r>
              <w:rPr>
                <w:rFonts w:cs="Arial"/>
                <w:noProof/>
              </w:rPr>
              <w:t>0</w:t>
            </w:r>
          </w:p>
        </w:tc>
        <w:tc>
          <w:tcPr>
            <w:tcW w:w="1134" w:type="dxa"/>
            <w:vAlign w:val="center"/>
          </w:tcPr>
          <w:p w14:paraId="33EA16D9" w14:textId="77777777" w:rsidR="00266CA9" w:rsidRPr="001D1C01" w:rsidRDefault="00266CA9" w:rsidP="00266CA9">
            <w:pPr>
              <w:jc w:val="right"/>
              <w:rPr>
                <w:rFonts w:cs="Arial"/>
                <w:noProof/>
              </w:rPr>
            </w:pPr>
            <w:r>
              <w:rPr>
                <w:rFonts w:cs="Arial"/>
                <w:noProof/>
              </w:rPr>
              <w:t>0</w:t>
            </w:r>
          </w:p>
        </w:tc>
        <w:tc>
          <w:tcPr>
            <w:tcW w:w="851" w:type="dxa"/>
          </w:tcPr>
          <w:p w14:paraId="367B5435" w14:textId="77777777" w:rsidR="00266CA9" w:rsidRPr="006B597B" w:rsidRDefault="00266CA9" w:rsidP="00266CA9">
            <w:pPr>
              <w:jc w:val="right"/>
              <w:rPr>
                <w:rFonts w:cs="Arial"/>
                <w:b/>
                <w:bCs/>
                <w:noProof/>
              </w:rPr>
            </w:pPr>
            <w:r w:rsidRPr="006B597B">
              <w:rPr>
                <w:rFonts w:cs="Arial"/>
                <w:b/>
                <w:bCs/>
                <w:noProof/>
              </w:rPr>
              <w:t>0</w:t>
            </w:r>
          </w:p>
        </w:tc>
        <w:tc>
          <w:tcPr>
            <w:tcW w:w="567" w:type="dxa"/>
            <w:tcBorders>
              <w:top w:val="nil"/>
              <w:bottom w:val="nil"/>
            </w:tcBorders>
          </w:tcPr>
          <w:p w14:paraId="345A3E46" w14:textId="77777777" w:rsidR="00266CA9" w:rsidRDefault="00266CA9" w:rsidP="00266CA9">
            <w:pPr>
              <w:rPr>
                <w:rFonts w:cs="Arial"/>
                <w:noProof/>
              </w:rPr>
            </w:pPr>
          </w:p>
        </w:tc>
        <w:tc>
          <w:tcPr>
            <w:tcW w:w="1417" w:type="dxa"/>
            <w:vAlign w:val="center"/>
          </w:tcPr>
          <w:p w14:paraId="0513CA77" w14:textId="5C92E53D" w:rsidR="00266CA9" w:rsidRPr="001D1C01" w:rsidRDefault="00266CA9" w:rsidP="00266CA9">
            <w:pPr>
              <w:rPr>
                <w:rFonts w:cs="Arial"/>
                <w:noProof/>
              </w:rPr>
            </w:pPr>
            <w:r>
              <w:rPr>
                <w:rFonts w:cs="Arial"/>
                <w:noProof/>
              </w:rPr>
              <w:t>66-75</w:t>
            </w:r>
          </w:p>
        </w:tc>
        <w:tc>
          <w:tcPr>
            <w:tcW w:w="992" w:type="dxa"/>
            <w:vAlign w:val="center"/>
          </w:tcPr>
          <w:p w14:paraId="634AF232" w14:textId="76AA068A" w:rsidR="00266CA9" w:rsidRDefault="008373BF" w:rsidP="00266CA9">
            <w:pPr>
              <w:jc w:val="right"/>
              <w:rPr>
                <w:rFonts w:cs="Arial"/>
                <w:noProof/>
              </w:rPr>
            </w:pPr>
            <w:r>
              <w:rPr>
                <w:rFonts w:cs="Arial"/>
                <w:noProof/>
              </w:rPr>
              <w:t>1</w:t>
            </w:r>
          </w:p>
        </w:tc>
        <w:tc>
          <w:tcPr>
            <w:tcW w:w="1134" w:type="dxa"/>
            <w:vAlign w:val="center"/>
          </w:tcPr>
          <w:p w14:paraId="4D3A667E" w14:textId="2013B2E5" w:rsidR="00266CA9" w:rsidRDefault="008373BF" w:rsidP="00266CA9">
            <w:pPr>
              <w:jc w:val="right"/>
              <w:rPr>
                <w:rFonts w:cs="Arial"/>
                <w:noProof/>
              </w:rPr>
            </w:pPr>
            <w:r>
              <w:rPr>
                <w:rFonts w:cs="Arial"/>
                <w:noProof/>
              </w:rPr>
              <w:t>3</w:t>
            </w:r>
          </w:p>
        </w:tc>
        <w:tc>
          <w:tcPr>
            <w:tcW w:w="851" w:type="dxa"/>
          </w:tcPr>
          <w:p w14:paraId="547AD30D" w14:textId="092D3ECF" w:rsidR="00266CA9" w:rsidRPr="006B597B" w:rsidRDefault="0089345C" w:rsidP="00266CA9">
            <w:pPr>
              <w:jc w:val="right"/>
              <w:rPr>
                <w:rFonts w:cs="Arial"/>
                <w:b/>
                <w:bCs/>
                <w:noProof/>
              </w:rPr>
            </w:pPr>
            <w:r>
              <w:rPr>
                <w:rFonts w:cs="Arial"/>
                <w:b/>
                <w:bCs/>
                <w:noProof/>
              </w:rPr>
              <w:t>4</w:t>
            </w:r>
          </w:p>
        </w:tc>
      </w:tr>
      <w:tr w:rsidR="00266CA9" w14:paraId="17CE5405" w14:textId="77777777" w:rsidTr="000B6D24">
        <w:trPr>
          <w:trHeight w:val="278"/>
        </w:trPr>
        <w:tc>
          <w:tcPr>
            <w:tcW w:w="1418" w:type="dxa"/>
            <w:vAlign w:val="center"/>
          </w:tcPr>
          <w:p w14:paraId="14E0E05F" w14:textId="5D62E9E8" w:rsidR="00266CA9" w:rsidRDefault="00266CA9" w:rsidP="00266CA9">
            <w:pPr>
              <w:rPr>
                <w:rFonts w:cs="Arial"/>
                <w:noProof/>
              </w:rPr>
            </w:pPr>
            <w:r>
              <w:rPr>
                <w:rFonts w:cs="Arial"/>
                <w:noProof/>
              </w:rPr>
              <w:t>76-85</w:t>
            </w:r>
          </w:p>
        </w:tc>
        <w:tc>
          <w:tcPr>
            <w:tcW w:w="987" w:type="dxa"/>
            <w:vAlign w:val="center"/>
          </w:tcPr>
          <w:p w14:paraId="120C4D38" w14:textId="77777777" w:rsidR="00266CA9" w:rsidRPr="001D1C01" w:rsidRDefault="00266CA9" w:rsidP="00266CA9">
            <w:pPr>
              <w:jc w:val="right"/>
              <w:rPr>
                <w:rFonts w:cs="Arial"/>
                <w:noProof/>
              </w:rPr>
            </w:pPr>
            <w:r>
              <w:rPr>
                <w:rFonts w:cs="Arial"/>
                <w:noProof/>
              </w:rPr>
              <w:t>0</w:t>
            </w:r>
          </w:p>
        </w:tc>
        <w:tc>
          <w:tcPr>
            <w:tcW w:w="1134" w:type="dxa"/>
            <w:vAlign w:val="center"/>
          </w:tcPr>
          <w:p w14:paraId="7CFB135D" w14:textId="77777777" w:rsidR="00266CA9" w:rsidRPr="001D1C01" w:rsidRDefault="00266CA9" w:rsidP="00266CA9">
            <w:pPr>
              <w:jc w:val="right"/>
              <w:rPr>
                <w:rFonts w:cs="Arial"/>
                <w:noProof/>
              </w:rPr>
            </w:pPr>
            <w:r>
              <w:rPr>
                <w:rFonts w:cs="Arial"/>
                <w:noProof/>
              </w:rPr>
              <w:t>0</w:t>
            </w:r>
          </w:p>
        </w:tc>
        <w:tc>
          <w:tcPr>
            <w:tcW w:w="851" w:type="dxa"/>
          </w:tcPr>
          <w:p w14:paraId="4722D590" w14:textId="77777777" w:rsidR="00266CA9" w:rsidRPr="006B597B" w:rsidRDefault="00266CA9" w:rsidP="00266CA9">
            <w:pPr>
              <w:jc w:val="right"/>
              <w:rPr>
                <w:rFonts w:cs="Arial"/>
                <w:b/>
                <w:bCs/>
                <w:noProof/>
              </w:rPr>
            </w:pPr>
            <w:r w:rsidRPr="006B597B">
              <w:rPr>
                <w:rFonts w:cs="Arial"/>
                <w:b/>
                <w:bCs/>
                <w:noProof/>
              </w:rPr>
              <w:t>0</w:t>
            </w:r>
          </w:p>
        </w:tc>
        <w:tc>
          <w:tcPr>
            <w:tcW w:w="567" w:type="dxa"/>
            <w:tcBorders>
              <w:top w:val="nil"/>
              <w:bottom w:val="nil"/>
            </w:tcBorders>
          </w:tcPr>
          <w:p w14:paraId="1E67DC0B" w14:textId="77777777" w:rsidR="00266CA9" w:rsidRDefault="00266CA9" w:rsidP="00266CA9">
            <w:pPr>
              <w:rPr>
                <w:rFonts w:cs="Arial"/>
                <w:noProof/>
              </w:rPr>
            </w:pPr>
          </w:p>
        </w:tc>
        <w:tc>
          <w:tcPr>
            <w:tcW w:w="1417" w:type="dxa"/>
            <w:vAlign w:val="center"/>
          </w:tcPr>
          <w:p w14:paraId="11714699" w14:textId="32BD6954" w:rsidR="00266CA9" w:rsidRPr="001D1C01" w:rsidRDefault="00266CA9" w:rsidP="00266CA9">
            <w:pPr>
              <w:rPr>
                <w:rFonts w:cs="Arial"/>
                <w:noProof/>
              </w:rPr>
            </w:pPr>
            <w:r>
              <w:rPr>
                <w:rFonts w:cs="Arial"/>
                <w:noProof/>
              </w:rPr>
              <w:t>76-85</w:t>
            </w:r>
          </w:p>
        </w:tc>
        <w:tc>
          <w:tcPr>
            <w:tcW w:w="992" w:type="dxa"/>
            <w:vAlign w:val="center"/>
          </w:tcPr>
          <w:p w14:paraId="41AE22B0" w14:textId="77777777" w:rsidR="00266CA9" w:rsidRDefault="00266CA9" w:rsidP="00266CA9">
            <w:pPr>
              <w:jc w:val="right"/>
              <w:rPr>
                <w:rFonts w:cs="Arial"/>
                <w:noProof/>
              </w:rPr>
            </w:pPr>
            <w:r>
              <w:rPr>
                <w:rFonts w:cs="Arial"/>
                <w:noProof/>
              </w:rPr>
              <w:t>0</w:t>
            </w:r>
          </w:p>
        </w:tc>
        <w:tc>
          <w:tcPr>
            <w:tcW w:w="1134" w:type="dxa"/>
            <w:vAlign w:val="center"/>
          </w:tcPr>
          <w:p w14:paraId="5075A23D" w14:textId="7D5D6BAB" w:rsidR="00266CA9" w:rsidRDefault="008373BF" w:rsidP="00266CA9">
            <w:pPr>
              <w:jc w:val="right"/>
              <w:rPr>
                <w:rFonts w:cs="Arial"/>
                <w:noProof/>
              </w:rPr>
            </w:pPr>
            <w:r>
              <w:rPr>
                <w:rFonts w:cs="Arial"/>
                <w:noProof/>
              </w:rPr>
              <w:t>2</w:t>
            </w:r>
          </w:p>
        </w:tc>
        <w:tc>
          <w:tcPr>
            <w:tcW w:w="851" w:type="dxa"/>
          </w:tcPr>
          <w:p w14:paraId="4BDDD201" w14:textId="757C76F3" w:rsidR="00266CA9" w:rsidRPr="006B597B" w:rsidRDefault="0089345C" w:rsidP="00266CA9">
            <w:pPr>
              <w:jc w:val="right"/>
              <w:rPr>
                <w:rFonts w:cs="Arial"/>
                <w:b/>
                <w:bCs/>
                <w:noProof/>
              </w:rPr>
            </w:pPr>
            <w:r>
              <w:rPr>
                <w:rFonts w:cs="Arial"/>
                <w:b/>
                <w:bCs/>
                <w:noProof/>
              </w:rPr>
              <w:t>2</w:t>
            </w:r>
          </w:p>
        </w:tc>
      </w:tr>
      <w:tr w:rsidR="00266CA9" w14:paraId="3AD5A1F8" w14:textId="77777777" w:rsidTr="000B6D24">
        <w:trPr>
          <w:trHeight w:val="278"/>
        </w:trPr>
        <w:tc>
          <w:tcPr>
            <w:tcW w:w="1418" w:type="dxa"/>
            <w:vAlign w:val="center"/>
          </w:tcPr>
          <w:p w14:paraId="617A0D9E" w14:textId="77777777" w:rsidR="00266CA9" w:rsidRPr="0093391D" w:rsidRDefault="00266CA9" w:rsidP="000B6D24">
            <w:pPr>
              <w:rPr>
                <w:rFonts w:cs="Arial"/>
                <w:b/>
                <w:bCs/>
                <w:noProof/>
              </w:rPr>
            </w:pPr>
            <w:r w:rsidRPr="0093391D">
              <w:rPr>
                <w:rFonts w:cs="Arial"/>
                <w:b/>
                <w:bCs/>
                <w:noProof/>
              </w:rPr>
              <w:t>Total</w:t>
            </w:r>
          </w:p>
        </w:tc>
        <w:tc>
          <w:tcPr>
            <w:tcW w:w="987" w:type="dxa"/>
            <w:vAlign w:val="center"/>
          </w:tcPr>
          <w:p w14:paraId="22696362" w14:textId="3CC029F7" w:rsidR="00266CA9" w:rsidRPr="0093391D" w:rsidRDefault="00266CA9" w:rsidP="000B6D24">
            <w:pPr>
              <w:jc w:val="right"/>
              <w:rPr>
                <w:rFonts w:cs="Arial"/>
                <w:b/>
                <w:bCs/>
                <w:noProof/>
              </w:rPr>
            </w:pPr>
            <w:r>
              <w:rPr>
                <w:rFonts w:cs="Arial"/>
                <w:b/>
                <w:bCs/>
                <w:noProof/>
              </w:rPr>
              <w:t>5</w:t>
            </w:r>
          </w:p>
        </w:tc>
        <w:tc>
          <w:tcPr>
            <w:tcW w:w="1134" w:type="dxa"/>
            <w:vAlign w:val="center"/>
          </w:tcPr>
          <w:p w14:paraId="4016592E" w14:textId="77777777" w:rsidR="00266CA9" w:rsidRPr="0093391D" w:rsidRDefault="00266CA9" w:rsidP="000B6D24">
            <w:pPr>
              <w:jc w:val="right"/>
              <w:rPr>
                <w:rFonts w:cs="Arial"/>
                <w:b/>
                <w:bCs/>
                <w:noProof/>
              </w:rPr>
            </w:pPr>
            <w:r w:rsidRPr="0093391D">
              <w:rPr>
                <w:rFonts w:cs="Arial"/>
                <w:b/>
                <w:bCs/>
                <w:noProof/>
              </w:rPr>
              <w:t>24</w:t>
            </w:r>
          </w:p>
        </w:tc>
        <w:tc>
          <w:tcPr>
            <w:tcW w:w="851" w:type="dxa"/>
          </w:tcPr>
          <w:p w14:paraId="3468047E" w14:textId="2C5AE91A" w:rsidR="00266CA9" w:rsidRPr="006B597B" w:rsidRDefault="00266CA9" w:rsidP="000B6D24">
            <w:pPr>
              <w:jc w:val="right"/>
              <w:rPr>
                <w:rFonts w:cs="Arial"/>
                <w:b/>
                <w:bCs/>
                <w:noProof/>
              </w:rPr>
            </w:pPr>
            <w:r>
              <w:rPr>
                <w:rFonts w:cs="Arial"/>
                <w:b/>
                <w:bCs/>
                <w:noProof/>
              </w:rPr>
              <w:t>29</w:t>
            </w:r>
          </w:p>
        </w:tc>
        <w:tc>
          <w:tcPr>
            <w:tcW w:w="567" w:type="dxa"/>
            <w:tcBorders>
              <w:top w:val="nil"/>
              <w:bottom w:val="nil"/>
            </w:tcBorders>
          </w:tcPr>
          <w:p w14:paraId="158113E4" w14:textId="77777777" w:rsidR="00266CA9" w:rsidRDefault="00266CA9" w:rsidP="000B6D24">
            <w:pPr>
              <w:rPr>
                <w:rFonts w:cs="Arial"/>
                <w:noProof/>
              </w:rPr>
            </w:pPr>
          </w:p>
        </w:tc>
        <w:tc>
          <w:tcPr>
            <w:tcW w:w="1417" w:type="dxa"/>
            <w:vAlign w:val="center"/>
          </w:tcPr>
          <w:p w14:paraId="13E4DB90" w14:textId="77777777" w:rsidR="00266CA9" w:rsidRPr="0093391D" w:rsidRDefault="00266CA9" w:rsidP="000B6D24">
            <w:pPr>
              <w:rPr>
                <w:rFonts w:cs="Arial"/>
                <w:b/>
                <w:bCs/>
                <w:noProof/>
              </w:rPr>
            </w:pPr>
            <w:r w:rsidRPr="0093391D">
              <w:rPr>
                <w:rFonts w:cs="Arial"/>
                <w:b/>
                <w:bCs/>
                <w:noProof/>
              </w:rPr>
              <w:t>Total</w:t>
            </w:r>
          </w:p>
        </w:tc>
        <w:tc>
          <w:tcPr>
            <w:tcW w:w="992" w:type="dxa"/>
            <w:vAlign w:val="center"/>
          </w:tcPr>
          <w:p w14:paraId="4DC7CC99" w14:textId="3561D029" w:rsidR="00266CA9" w:rsidRPr="0093391D" w:rsidRDefault="008373BF" w:rsidP="000B6D24">
            <w:pPr>
              <w:jc w:val="right"/>
              <w:rPr>
                <w:rFonts w:cs="Arial"/>
                <w:b/>
                <w:bCs/>
                <w:noProof/>
              </w:rPr>
            </w:pPr>
            <w:r>
              <w:rPr>
                <w:rFonts w:cs="Arial"/>
                <w:b/>
                <w:bCs/>
                <w:noProof/>
              </w:rPr>
              <w:t>12</w:t>
            </w:r>
          </w:p>
        </w:tc>
        <w:tc>
          <w:tcPr>
            <w:tcW w:w="1134" w:type="dxa"/>
            <w:vAlign w:val="center"/>
          </w:tcPr>
          <w:p w14:paraId="0500E6A6" w14:textId="04109ECE" w:rsidR="00266CA9" w:rsidRPr="0093391D" w:rsidRDefault="008373BF" w:rsidP="000B6D24">
            <w:pPr>
              <w:jc w:val="right"/>
              <w:rPr>
                <w:rFonts w:cs="Arial"/>
                <w:b/>
                <w:bCs/>
                <w:noProof/>
              </w:rPr>
            </w:pPr>
            <w:r>
              <w:rPr>
                <w:rFonts w:cs="Arial"/>
                <w:b/>
                <w:bCs/>
                <w:noProof/>
              </w:rPr>
              <w:t>21</w:t>
            </w:r>
          </w:p>
        </w:tc>
        <w:tc>
          <w:tcPr>
            <w:tcW w:w="851" w:type="dxa"/>
          </w:tcPr>
          <w:p w14:paraId="0E9D1259" w14:textId="2A1CB321" w:rsidR="00266CA9" w:rsidRPr="0093391D" w:rsidRDefault="0089345C" w:rsidP="000B6D24">
            <w:pPr>
              <w:jc w:val="right"/>
              <w:rPr>
                <w:rFonts w:cs="Arial"/>
                <w:b/>
                <w:bCs/>
                <w:noProof/>
              </w:rPr>
            </w:pPr>
            <w:r>
              <w:rPr>
                <w:rFonts w:cs="Arial"/>
                <w:b/>
                <w:bCs/>
                <w:noProof/>
              </w:rPr>
              <w:t>3</w:t>
            </w:r>
            <w:r w:rsidR="00266CA9">
              <w:rPr>
                <w:rFonts w:cs="Arial"/>
                <w:b/>
                <w:bCs/>
                <w:noProof/>
              </w:rPr>
              <w:t>3</w:t>
            </w:r>
          </w:p>
        </w:tc>
      </w:tr>
    </w:tbl>
    <w:p w14:paraId="402AE86C" w14:textId="77777777" w:rsidR="007B6069" w:rsidRPr="007B6069" w:rsidRDefault="007B6069" w:rsidP="00D51DFA">
      <w:pPr>
        <w:pStyle w:val="Heading2"/>
        <w:rPr>
          <w:b w:val="0"/>
          <w:bCs w:val="0"/>
        </w:rPr>
      </w:pPr>
    </w:p>
    <w:p w14:paraId="1159CB03" w14:textId="2C1BC395" w:rsidR="009466F4" w:rsidRPr="00076ED0" w:rsidRDefault="009466F4" w:rsidP="00D51DFA">
      <w:pPr>
        <w:pStyle w:val="Heading2"/>
      </w:pPr>
      <w:r w:rsidRPr="00076ED0">
        <w:t>Case Management</w:t>
      </w:r>
    </w:p>
    <w:p w14:paraId="4B9C16E2" w14:textId="2B740B65" w:rsidR="00D32026" w:rsidRDefault="00D32026" w:rsidP="00D32026">
      <w:pPr>
        <w:ind w:left="-142" w:right="-425"/>
        <w:jc w:val="both"/>
        <w:rPr>
          <w:rFonts w:cs="Arial"/>
        </w:rPr>
      </w:pPr>
      <w:r w:rsidRPr="00D32026">
        <w:rPr>
          <w:rFonts w:cs="Arial"/>
        </w:rPr>
        <w:t>Commissioners are guided by the FRC Act, sections 4 and 5, to encourage community members to engage in socially responsible ways, and in doing so, make appropriate use of</w:t>
      </w:r>
      <w:r w:rsidRPr="00F1037E">
        <w:rPr>
          <w:rFonts w:cs="Arial"/>
        </w:rPr>
        <w:t xml:space="preserve"> community support services. The Commissioners use the referral pathways available in each community to strengthen the client’s resilience to face the challenges they experience, and to ensure the wellbeing and safety of children and vulnerable people thro</w:t>
      </w:r>
      <w:r w:rsidRPr="007E39AC">
        <w:rPr>
          <w:rFonts w:cs="Arial"/>
        </w:rPr>
        <w:t xml:space="preserve">ugh broad-based counselling and education. </w:t>
      </w:r>
      <w:r w:rsidR="0048467D">
        <w:rPr>
          <w:rFonts w:cs="Arial"/>
        </w:rPr>
        <w:t xml:space="preserve">After conference and for the duration of a case plan referral, the FRC registry liaises with clients and support services to monitor the client’s progress against meeting case plan goals. Where appropriate, clients are encouraged to make an application to amend or end their case plan to ensure their evolving needs are met. </w:t>
      </w:r>
      <w:r w:rsidRPr="00D32026">
        <w:rPr>
          <w:rFonts w:cs="Arial"/>
        </w:rPr>
        <w:t xml:space="preserve">Commissioners </w:t>
      </w:r>
      <w:r w:rsidRPr="00280607">
        <w:rPr>
          <w:rFonts w:cs="Arial"/>
        </w:rPr>
        <w:t xml:space="preserve">then consider each application to ascertain whether the client has made sufficient progress to justify </w:t>
      </w:r>
      <w:r w:rsidR="00111A66">
        <w:rPr>
          <w:rFonts w:cs="Arial"/>
        </w:rPr>
        <w:t xml:space="preserve">approving the application </w:t>
      </w:r>
      <w:r w:rsidR="00B85205">
        <w:rPr>
          <w:rFonts w:cs="Arial"/>
        </w:rPr>
        <w:t xml:space="preserve">and </w:t>
      </w:r>
      <w:r w:rsidR="00111A66">
        <w:rPr>
          <w:rFonts w:cs="Arial"/>
        </w:rPr>
        <w:t xml:space="preserve">in doing so must consider </w:t>
      </w:r>
      <w:r w:rsidR="00B85205">
        <w:rPr>
          <w:rFonts w:cs="Arial"/>
        </w:rPr>
        <w:t xml:space="preserve">whether any detriment might </w:t>
      </w:r>
      <w:r w:rsidR="00111A66">
        <w:rPr>
          <w:rFonts w:cs="Arial"/>
        </w:rPr>
        <w:t xml:space="preserve">impact the welfare of relevant </w:t>
      </w:r>
      <w:r w:rsidR="00B85205">
        <w:rPr>
          <w:rFonts w:cs="Arial"/>
        </w:rPr>
        <w:t>children</w:t>
      </w:r>
      <w:r w:rsidR="00111A66">
        <w:rPr>
          <w:rFonts w:cs="Arial"/>
        </w:rPr>
        <w:t xml:space="preserve"> and</w:t>
      </w:r>
      <w:r w:rsidR="00B85205">
        <w:rPr>
          <w:rFonts w:cs="Arial"/>
        </w:rPr>
        <w:t>/</w:t>
      </w:r>
      <w:r w:rsidR="00111A66">
        <w:rPr>
          <w:rFonts w:cs="Arial"/>
        </w:rPr>
        <w:t xml:space="preserve">or </w:t>
      </w:r>
      <w:r w:rsidR="00B85205">
        <w:rPr>
          <w:rFonts w:cs="Arial"/>
        </w:rPr>
        <w:t>vulnerable persons</w:t>
      </w:r>
      <w:r w:rsidRPr="00280607">
        <w:rPr>
          <w:rFonts w:cs="Arial"/>
        </w:rPr>
        <w:t>.</w:t>
      </w:r>
    </w:p>
    <w:p w14:paraId="71660A75" w14:textId="77777777" w:rsidR="00D32026" w:rsidRDefault="00D32026" w:rsidP="009466F4">
      <w:pPr>
        <w:ind w:left="-142" w:right="-425"/>
        <w:jc w:val="both"/>
        <w:rPr>
          <w:rFonts w:cs="Arial"/>
        </w:rPr>
      </w:pPr>
    </w:p>
    <w:p w14:paraId="60B1E8CC" w14:textId="3E26CBD2" w:rsidR="00C56656" w:rsidRDefault="009466F4" w:rsidP="009466F4">
      <w:pPr>
        <w:ind w:left="-142" w:right="-425"/>
        <w:jc w:val="both"/>
        <w:rPr>
          <w:rFonts w:cs="Arial"/>
        </w:rPr>
      </w:pPr>
      <w:r w:rsidRPr="00350FFE">
        <w:rPr>
          <w:rFonts w:cs="Arial"/>
        </w:rPr>
        <w:t xml:space="preserve">As at </w:t>
      </w:r>
      <w:r w:rsidR="00F83C14">
        <w:rPr>
          <w:rFonts w:cs="Arial"/>
        </w:rPr>
        <w:t>3</w:t>
      </w:r>
      <w:r w:rsidR="007E68A8">
        <w:rPr>
          <w:rFonts w:cs="Arial"/>
        </w:rPr>
        <w:t xml:space="preserve">1 December </w:t>
      </w:r>
      <w:r w:rsidR="009A7C28">
        <w:rPr>
          <w:rFonts w:cs="Arial"/>
        </w:rPr>
        <w:t>2021</w:t>
      </w:r>
      <w:r w:rsidRPr="00303C40">
        <w:rPr>
          <w:rFonts w:cs="Arial"/>
        </w:rPr>
        <w:t xml:space="preserve">, </w:t>
      </w:r>
      <w:r w:rsidR="002F4F9D">
        <w:rPr>
          <w:rFonts w:cs="Arial"/>
        </w:rPr>
        <w:t>224</w:t>
      </w:r>
      <w:r w:rsidR="002F4F9D" w:rsidRPr="00303C40">
        <w:rPr>
          <w:rFonts w:cs="Arial"/>
        </w:rPr>
        <w:t xml:space="preserve"> </w:t>
      </w:r>
      <w:r w:rsidRPr="00303C40">
        <w:rPr>
          <w:rFonts w:cs="Arial"/>
        </w:rPr>
        <w:t xml:space="preserve">clients were being </w:t>
      </w:r>
      <w:r w:rsidRPr="00490975">
        <w:rPr>
          <w:rFonts w:cs="Arial"/>
        </w:rPr>
        <w:t>case-managed</w:t>
      </w:r>
      <w:r>
        <w:rPr>
          <w:rFonts w:cs="Arial"/>
        </w:rPr>
        <w:t xml:space="preserve"> through a current </w:t>
      </w:r>
      <w:r w:rsidR="002D09E1">
        <w:rPr>
          <w:rFonts w:cs="Arial"/>
        </w:rPr>
        <w:t xml:space="preserve">non-voluntary </w:t>
      </w:r>
      <w:r>
        <w:rPr>
          <w:rFonts w:cs="Arial"/>
        </w:rPr>
        <w:t>case plan</w:t>
      </w:r>
      <w:r w:rsidRPr="00E75A03">
        <w:rPr>
          <w:rFonts w:cs="Arial"/>
        </w:rPr>
        <w:t xml:space="preserve">, </w:t>
      </w:r>
      <w:r>
        <w:rPr>
          <w:rFonts w:cs="Arial"/>
        </w:rPr>
        <w:t>a</w:t>
      </w:r>
      <w:r w:rsidR="004A72B4">
        <w:rPr>
          <w:rFonts w:cs="Arial"/>
        </w:rPr>
        <w:t xml:space="preserve"> </w:t>
      </w:r>
      <w:r w:rsidR="004A72B4" w:rsidRPr="002F4F9D">
        <w:rPr>
          <w:rFonts w:cs="Arial"/>
        </w:rPr>
        <w:t>decrease</w:t>
      </w:r>
      <w:r w:rsidRPr="002F4F9D">
        <w:rPr>
          <w:rFonts w:cs="Arial"/>
        </w:rPr>
        <w:t xml:space="preserve"> </w:t>
      </w:r>
      <w:r w:rsidR="00A836AD" w:rsidRPr="002F4F9D">
        <w:rPr>
          <w:rFonts w:cs="Arial"/>
        </w:rPr>
        <w:t xml:space="preserve">of </w:t>
      </w:r>
      <w:r w:rsidR="002F4F9D">
        <w:rPr>
          <w:rFonts w:cs="Arial"/>
        </w:rPr>
        <w:t xml:space="preserve">16 </w:t>
      </w:r>
      <w:r w:rsidR="00A836AD">
        <w:rPr>
          <w:rFonts w:cs="Arial"/>
        </w:rPr>
        <w:t>from</w:t>
      </w:r>
      <w:r w:rsidRPr="00303C40">
        <w:rPr>
          <w:rFonts w:cs="Arial"/>
        </w:rPr>
        <w:t xml:space="preserve"> </w:t>
      </w:r>
      <w:r>
        <w:rPr>
          <w:rFonts w:cs="Arial"/>
        </w:rPr>
        <w:t xml:space="preserve">quarter </w:t>
      </w:r>
      <w:r w:rsidR="000C0A83">
        <w:rPr>
          <w:rFonts w:cs="Arial"/>
        </w:rPr>
        <w:t>53</w:t>
      </w:r>
      <w:r>
        <w:rPr>
          <w:rFonts w:cs="Arial"/>
        </w:rPr>
        <w:t>.</w:t>
      </w:r>
      <w:r w:rsidRPr="00303C40">
        <w:rPr>
          <w:rFonts w:cs="Arial"/>
        </w:rPr>
        <w:t xml:space="preserve"> </w:t>
      </w:r>
      <w:r w:rsidR="004D5E96" w:rsidRPr="002F4F9D">
        <w:rPr>
          <w:rFonts w:cs="Arial"/>
        </w:rPr>
        <w:t xml:space="preserve">Decreases </w:t>
      </w:r>
      <w:r w:rsidRPr="002F4F9D">
        <w:rPr>
          <w:rFonts w:cs="Arial"/>
        </w:rPr>
        <w:t xml:space="preserve">were seen in Aurukun, </w:t>
      </w:r>
      <w:r w:rsidR="00C56656" w:rsidRPr="002F4F9D">
        <w:rPr>
          <w:rFonts w:cs="Arial"/>
        </w:rPr>
        <w:t xml:space="preserve">Hope Vale </w:t>
      </w:r>
      <w:r w:rsidR="002F4F9D" w:rsidRPr="002F4F9D">
        <w:rPr>
          <w:rFonts w:cs="Arial"/>
        </w:rPr>
        <w:t xml:space="preserve">and Mossman Gorge </w:t>
      </w:r>
      <w:r w:rsidR="004D5E96" w:rsidRPr="002F4F9D">
        <w:rPr>
          <w:rFonts w:cs="Arial"/>
        </w:rPr>
        <w:t xml:space="preserve">of </w:t>
      </w:r>
      <w:r w:rsidR="002F4F9D" w:rsidRPr="002F4F9D">
        <w:rPr>
          <w:rFonts w:cs="Arial"/>
        </w:rPr>
        <w:t>18</w:t>
      </w:r>
      <w:r w:rsidR="004D5E96" w:rsidRPr="002F4F9D">
        <w:rPr>
          <w:rFonts w:cs="Arial"/>
        </w:rPr>
        <w:t xml:space="preserve">, </w:t>
      </w:r>
      <w:r w:rsidR="002F4F9D" w:rsidRPr="002F4F9D">
        <w:rPr>
          <w:rFonts w:cs="Arial"/>
        </w:rPr>
        <w:t>9</w:t>
      </w:r>
      <w:r w:rsidR="00C56656" w:rsidRPr="002F4F9D">
        <w:rPr>
          <w:rFonts w:cs="Arial"/>
        </w:rPr>
        <w:t xml:space="preserve">, </w:t>
      </w:r>
      <w:r w:rsidR="002F4F9D" w:rsidRPr="002F4F9D">
        <w:rPr>
          <w:rFonts w:cs="Arial"/>
        </w:rPr>
        <w:t>3</w:t>
      </w:r>
      <w:r w:rsidR="00C56656" w:rsidRPr="002F4F9D">
        <w:rPr>
          <w:rFonts w:cs="Arial"/>
        </w:rPr>
        <w:t xml:space="preserve"> </w:t>
      </w:r>
      <w:r w:rsidR="004D5E96" w:rsidRPr="002F4F9D">
        <w:rPr>
          <w:rFonts w:cs="Arial"/>
        </w:rPr>
        <w:t xml:space="preserve">respectively, whilst </w:t>
      </w:r>
      <w:r w:rsidR="002F4F9D" w:rsidRPr="002F4F9D">
        <w:rPr>
          <w:rFonts w:cs="Arial"/>
        </w:rPr>
        <w:t xml:space="preserve">Coen and Doomadgee </w:t>
      </w:r>
      <w:r w:rsidR="00C56656" w:rsidRPr="002F4F9D">
        <w:rPr>
          <w:rFonts w:cs="Arial"/>
        </w:rPr>
        <w:t xml:space="preserve">increased by </w:t>
      </w:r>
      <w:r w:rsidR="002F4F9D" w:rsidRPr="002F4F9D">
        <w:rPr>
          <w:rFonts w:cs="Arial"/>
        </w:rPr>
        <w:t>4 and 10 respectively</w:t>
      </w:r>
      <w:r w:rsidR="00C56656" w:rsidRPr="002F4F9D">
        <w:rPr>
          <w:rFonts w:cs="Arial"/>
        </w:rPr>
        <w:t>.</w:t>
      </w:r>
    </w:p>
    <w:p w14:paraId="0DE12B56" w14:textId="77777777" w:rsidR="008D6080" w:rsidRDefault="008D6080" w:rsidP="00E2657A">
      <w:pPr>
        <w:ind w:left="-142" w:right="-425"/>
        <w:jc w:val="both"/>
        <w:rPr>
          <w:rFonts w:cs="Arial"/>
        </w:rPr>
      </w:pPr>
    </w:p>
    <w:p w14:paraId="6544B717" w14:textId="44C27BD3" w:rsidR="005A5B78" w:rsidRDefault="005A5B78" w:rsidP="00D51DFA">
      <w:pPr>
        <w:pStyle w:val="Heading2"/>
      </w:pPr>
      <w:r w:rsidRPr="00076ED0">
        <w:t xml:space="preserve">Applications to </w:t>
      </w:r>
      <w:r w:rsidR="009017F3">
        <w:t>a</w:t>
      </w:r>
      <w:r w:rsidRPr="00076ED0">
        <w:t xml:space="preserve">mend or </w:t>
      </w:r>
      <w:r w:rsidR="009017F3">
        <w:t>e</w:t>
      </w:r>
      <w:r w:rsidRPr="00076ED0">
        <w:t>nd Agreements or Orders</w:t>
      </w:r>
      <w:r w:rsidR="008E2BAB">
        <w:t xml:space="preserve"> inclusive of Voluntary Agreements</w:t>
      </w:r>
    </w:p>
    <w:p w14:paraId="09B56767" w14:textId="11888827" w:rsidR="00BA2C0C" w:rsidRPr="00280607" w:rsidRDefault="00BA2C0C" w:rsidP="00280607">
      <w:pPr>
        <w:ind w:left="-142" w:right="-425"/>
        <w:jc w:val="both"/>
        <w:rPr>
          <w:rFonts w:cs="Arial"/>
        </w:rPr>
      </w:pPr>
      <w:r w:rsidRPr="00280607">
        <w:rPr>
          <w:rFonts w:cs="Arial"/>
        </w:rPr>
        <w:t>Applications to amend or end an agreement or order are considered an important means of ensuring that FRC decisions remain applicable to the changing needs and circumstances of clients. This mechanism affords clients an opportunity to apply to the Commission to amend or end their agreement or original order by providing their reasons for making the application. Commissioners view the hearing of the applications as an opportunity to engage with clients.</w:t>
      </w:r>
    </w:p>
    <w:p w14:paraId="042E9276" w14:textId="77777777" w:rsidR="00BA2C0C" w:rsidRDefault="00BA2C0C" w:rsidP="00FF351C">
      <w:pPr>
        <w:ind w:left="-142" w:right="-425"/>
        <w:jc w:val="both"/>
        <w:rPr>
          <w:rFonts w:cs="Arial"/>
        </w:rPr>
      </w:pPr>
    </w:p>
    <w:p w14:paraId="747CCCBA" w14:textId="4C89AF9D" w:rsidR="00FF351C" w:rsidRDefault="00FF351C" w:rsidP="00FF351C">
      <w:pPr>
        <w:ind w:left="-142" w:right="-425"/>
        <w:jc w:val="both"/>
        <w:rPr>
          <w:rFonts w:cs="Arial"/>
        </w:rPr>
      </w:pPr>
      <w:r>
        <w:rPr>
          <w:rFonts w:cs="Arial"/>
        </w:rPr>
        <w:t>Thirty-two a</w:t>
      </w:r>
      <w:r w:rsidRPr="009E1D38">
        <w:rPr>
          <w:rFonts w:cs="Arial"/>
        </w:rPr>
        <w:t xml:space="preserve">pplications </w:t>
      </w:r>
      <w:r>
        <w:rPr>
          <w:rFonts w:cs="Arial"/>
        </w:rPr>
        <w:t>relating to 29 clients (1</w:t>
      </w:r>
      <w:r w:rsidR="00A62ADE">
        <w:rPr>
          <w:rFonts w:cs="Arial"/>
        </w:rPr>
        <w:t>9</w:t>
      </w:r>
      <w:r>
        <w:rPr>
          <w:rFonts w:cs="Arial"/>
        </w:rPr>
        <w:t xml:space="preserve"> female and 10 male) </w:t>
      </w:r>
      <w:r w:rsidRPr="009E1D38">
        <w:rPr>
          <w:rFonts w:cs="Arial"/>
        </w:rPr>
        <w:t xml:space="preserve">to </w:t>
      </w:r>
      <w:r w:rsidR="009017F3">
        <w:rPr>
          <w:rFonts w:cs="Arial"/>
        </w:rPr>
        <w:t>a</w:t>
      </w:r>
      <w:r w:rsidRPr="009E1D38">
        <w:rPr>
          <w:rFonts w:cs="Arial"/>
        </w:rPr>
        <w:t xml:space="preserve">mend or </w:t>
      </w:r>
      <w:r w:rsidR="009017F3">
        <w:rPr>
          <w:rFonts w:cs="Arial"/>
        </w:rPr>
        <w:t>e</w:t>
      </w:r>
      <w:r w:rsidRPr="009E1D38">
        <w:rPr>
          <w:rFonts w:cs="Arial"/>
        </w:rPr>
        <w:t xml:space="preserve">nd </w:t>
      </w:r>
      <w:r>
        <w:rPr>
          <w:rFonts w:cs="Arial"/>
        </w:rPr>
        <w:t xml:space="preserve">an </w:t>
      </w:r>
      <w:r w:rsidRPr="009E1D38">
        <w:rPr>
          <w:rFonts w:cs="Arial"/>
        </w:rPr>
        <w:t>Agreement</w:t>
      </w:r>
      <w:r>
        <w:rPr>
          <w:rFonts w:cs="Arial"/>
        </w:rPr>
        <w:t xml:space="preserve">, </w:t>
      </w:r>
      <w:r w:rsidRPr="009E1D38">
        <w:rPr>
          <w:rFonts w:cs="Arial"/>
        </w:rPr>
        <w:t xml:space="preserve">Order </w:t>
      </w:r>
      <w:r>
        <w:rPr>
          <w:rFonts w:cs="Arial"/>
        </w:rPr>
        <w:t xml:space="preserve">or Voluntary Agreement were </w:t>
      </w:r>
      <w:r w:rsidRPr="009E1D38">
        <w:rPr>
          <w:rFonts w:cs="Arial"/>
        </w:rPr>
        <w:t xml:space="preserve">received in </w:t>
      </w:r>
      <w:r>
        <w:rPr>
          <w:rFonts w:cs="Arial"/>
        </w:rPr>
        <w:t xml:space="preserve">quarter 54, an increase </w:t>
      </w:r>
      <w:r w:rsidRPr="009D1AAB">
        <w:rPr>
          <w:rFonts w:cs="Arial"/>
        </w:rPr>
        <w:t xml:space="preserve">of </w:t>
      </w:r>
      <w:r>
        <w:rPr>
          <w:rFonts w:cs="Arial"/>
        </w:rPr>
        <w:t>16</w:t>
      </w:r>
      <w:r w:rsidRPr="009D1AAB">
        <w:rPr>
          <w:rFonts w:cs="Arial"/>
        </w:rPr>
        <w:t xml:space="preserve"> </w:t>
      </w:r>
      <w:r>
        <w:rPr>
          <w:rFonts w:cs="Arial"/>
        </w:rPr>
        <w:t xml:space="preserve">applications </w:t>
      </w:r>
      <w:r w:rsidRPr="009D1AAB">
        <w:rPr>
          <w:rFonts w:cs="Arial"/>
        </w:rPr>
        <w:t>from</w:t>
      </w:r>
      <w:r>
        <w:rPr>
          <w:rFonts w:cs="Arial"/>
        </w:rPr>
        <w:t xml:space="preserve"> the previous </w:t>
      </w:r>
      <w:r>
        <w:t>quarter</w:t>
      </w:r>
      <w:r w:rsidRPr="00AF2C25">
        <w:rPr>
          <w:rFonts w:cs="Arial"/>
        </w:rPr>
        <w:t>.</w:t>
      </w:r>
      <w:r>
        <w:rPr>
          <w:rFonts w:cs="Arial"/>
        </w:rPr>
        <w:t xml:space="preserve"> It should be noted that a client may apply to amend or end their Family Responsibilities Agreement, Family Responsibilities Order or Voluntary Agreement on multiple occasions throughout a quarter.</w:t>
      </w:r>
    </w:p>
    <w:p w14:paraId="5922F226" w14:textId="2CB08D06" w:rsidR="001C1891" w:rsidRDefault="001C1891" w:rsidP="00FF351C">
      <w:pPr>
        <w:ind w:left="-142" w:right="-425"/>
        <w:jc w:val="both"/>
        <w:rPr>
          <w:rFonts w:cs="Arial"/>
        </w:rPr>
      </w:pPr>
    </w:p>
    <w:p w14:paraId="11EE3E6B" w14:textId="77777777" w:rsidR="004F478C" w:rsidRDefault="004F478C">
      <w:pPr>
        <w:spacing w:line="240" w:lineRule="auto"/>
        <w:rPr>
          <w:b/>
          <w:sz w:val="16"/>
        </w:rPr>
      </w:pPr>
      <w:r>
        <w:rPr>
          <w:b/>
          <w:i/>
          <w:sz w:val="16"/>
        </w:rPr>
        <w:br w:type="page"/>
      </w:r>
    </w:p>
    <w:p w14:paraId="1827CA50" w14:textId="69001A7E" w:rsidR="001C1891" w:rsidRPr="008E49AE" w:rsidRDefault="001C1891" w:rsidP="001C1891">
      <w:pPr>
        <w:pStyle w:val="TableCaption"/>
        <w:spacing w:before="0"/>
        <w:ind w:left="0" w:right="-425"/>
        <w:rPr>
          <w:b/>
          <w:i w:val="0"/>
          <w:sz w:val="16"/>
        </w:rPr>
      </w:pPr>
      <w:r w:rsidRPr="008E49AE">
        <w:rPr>
          <w:b/>
          <w:i w:val="0"/>
          <w:sz w:val="16"/>
        </w:rPr>
        <w:lastRenderedPageBreak/>
        <w:t xml:space="preserve">Table </w:t>
      </w:r>
      <w:r>
        <w:rPr>
          <w:b/>
          <w:i w:val="0"/>
          <w:sz w:val="16"/>
        </w:rPr>
        <w:t>27</w:t>
      </w:r>
      <w:r w:rsidRPr="008E49AE">
        <w:rPr>
          <w:b/>
          <w:i w:val="0"/>
          <w:sz w:val="16"/>
        </w:rPr>
        <w:t xml:space="preserve">: </w:t>
      </w:r>
      <w:r w:rsidRPr="008E49AE">
        <w:rPr>
          <w:i w:val="0"/>
          <w:sz w:val="16"/>
        </w:rPr>
        <w:t xml:space="preserve">Applications to Amend or End FRA or Order by community and quarter 1 </w:t>
      </w:r>
      <w:r>
        <w:rPr>
          <w:i w:val="0"/>
          <w:sz w:val="16"/>
        </w:rPr>
        <w:t xml:space="preserve">October 2020 to 31 December </w:t>
      </w:r>
      <w:r w:rsidRPr="008E49AE">
        <w:rPr>
          <w:i w:val="0"/>
          <w:sz w:val="16"/>
        </w:rPr>
        <w:t>20</w:t>
      </w:r>
      <w:r>
        <w:rPr>
          <w:i w:val="0"/>
          <w:sz w:val="16"/>
        </w:rPr>
        <w:t>21</w:t>
      </w:r>
    </w:p>
    <w:tbl>
      <w:tblPr>
        <w:tblW w:w="6840" w:type="dxa"/>
        <w:tblInd w:w="93" w:type="dxa"/>
        <w:tblLook w:val="04A0" w:firstRow="1" w:lastRow="0" w:firstColumn="1" w:lastColumn="0" w:noHBand="0" w:noVBand="1"/>
      </w:tblPr>
      <w:tblGrid>
        <w:gridCol w:w="2040"/>
        <w:gridCol w:w="960"/>
        <w:gridCol w:w="960"/>
        <w:gridCol w:w="960"/>
        <w:gridCol w:w="960"/>
        <w:gridCol w:w="960"/>
      </w:tblGrid>
      <w:tr w:rsidR="001C1891" w:rsidRPr="00C5395B" w14:paraId="6F205C75" w14:textId="0954916F" w:rsidTr="001C1891">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49892F16" w14:textId="77777777" w:rsidR="001C1891" w:rsidRPr="00C5395B" w:rsidRDefault="001C1891" w:rsidP="000B6D24">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6AE59591" w14:textId="77777777" w:rsidR="001C1891" w:rsidRPr="00C5395B" w:rsidRDefault="001C1891" w:rsidP="000B6D24">
            <w:pPr>
              <w:pStyle w:val="TableText"/>
              <w:jc w:val="right"/>
              <w:rPr>
                <w:b/>
                <w:lang w:eastAsia="en-AU"/>
              </w:rPr>
            </w:pPr>
            <w:r>
              <w:rPr>
                <w:b/>
                <w:lang w:eastAsia="en-AU"/>
              </w:rPr>
              <w:t>Qtr 50</w:t>
            </w:r>
          </w:p>
        </w:tc>
        <w:tc>
          <w:tcPr>
            <w:tcW w:w="960" w:type="dxa"/>
            <w:tcBorders>
              <w:top w:val="single" w:sz="4" w:space="0" w:color="auto"/>
              <w:left w:val="nil"/>
              <w:bottom w:val="single" w:sz="4" w:space="0" w:color="auto"/>
              <w:right w:val="single" w:sz="4" w:space="0" w:color="auto"/>
            </w:tcBorders>
          </w:tcPr>
          <w:p w14:paraId="04A7C58E" w14:textId="77777777" w:rsidR="001C1891" w:rsidRDefault="001C1891" w:rsidP="000B6D24">
            <w:pPr>
              <w:pStyle w:val="TableText"/>
              <w:jc w:val="right"/>
              <w:rPr>
                <w:b/>
                <w:lang w:eastAsia="en-AU"/>
              </w:rPr>
            </w:pPr>
            <w:r>
              <w:rPr>
                <w:b/>
                <w:lang w:eastAsia="en-AU"/>
              </w:rPr>
              <w:t>Qtr 51</w:t>
            </w:r>
          </w:p>
        </w:tc>
        <w:tc>
          <w:tcPr>
            <w:tcW w:w="960" w:type="dxa"/>
            <w:tcBorders>
              <w:top w:val="single" w:sz="4" w:space="0" w:color="auto"/>
              <w:left w:val="nil"/>
              <w:bottom w:val="single" w:sz="4" w:space="0" w:color="auto"/>
              <w:right w:val="single" w:sz="4" w:space="0" w:color="auto"/>
            </w:tcBorders>
          </w:tcPr>
          <w:p w14:paraId="33527F06" w14:textId="77777777" w:rsidR="001C1891" w:rsidRDefault="001C1891" w:rsidP="000B6D24">
            <w:pPr>
              <w:pStyle w:val="TableText"/>
              <w:jc w:val="right"/>
              <w:rPr>
                <w:b/>
                <w:lang w:eastAsia="en-AU"/>
              </w:rPr>
            </w:pPr>
            <w:r>
              <w:rPr>
                <w:b/>
                <w:lang w:eastAsia="en-AU"/>
              </w:rPr>
              <w:t>Qtr 52</w:t>
            </w:r>
          </w:p>
        </w:tc>
        <w:tc>
          <w:tcPr>
            <w:tcW w:w="960" w:type="dxa"/>
            <w:tcBorders>
              <w:top w:val="single" w:sz="4" w:space="0" w:color="auto"/>
              <w:left w:val="nil"/>
              <w:bottom w:val="single" w:sz="4" w:space="0" w:color="auto"/>
              <w:right w:val="single" w:sz="4" w:space="0" w:color="auto"/>
            </w:tcBorders>
          </w:tcPr>
          <w:p w14:paraId="7EDFE9FC" w14:textId="77777777" w:rsidR="001C1891" w:rsidRDefault="001C1891" w:rsidP="000B6D24">
            <w:pPr>
              <w:pStyle w:val="TableText"/>
              <w:jc w:val="right"/>
              <w:rPr>
                <w:b/>
                <w:lang w:eastAsia="en-AU"/>
              </w:rPr>
            </w:pPr>
            <w:r>
              <w:rPr>
                <w:b/>
                <w:lang w:eastAsia="en-AU"/>
              </w:rPr>
              <w:t>Qtr 53</w:t>
            </w:r>
          </w:p>
        </w:tc>
        <w:tc>
          <w:tcPr>
            <w:tcW w:w="960" w:type="dxa"/>
            <w:tcBorders>
              <w:top w:val="single" w:sz="4" w:space="0" w:color="auto"/>
              <w:left w:val="nil"/>
              <w:bottom w:val="single" w:sz="4" w:space="0" w:color="auto"/>
              <w:right w:val="single" w:sz="4" w:space="0" w:color="auto"/>
            </w:tcBorders>
          </w:tcPr>
          <w:p w14:paraId="0C5C0760" w14:textId="46F862B4" w:rsidR="001C1891" w:rsidRDefault="001C1891" w:rsidP="000B6D24">
            <w:pPr>
              <w:pStyle w:val="TableText"/>
              <w:jc w:val="right"/>
              <w:rPr>
                <w:b/>
                <w:lang w:eastAsia="en-AU"/>
              </w:rPr>
            </w:pPr>
            <w:r>
              <w:rPr>
                <w:b/>
                <w:lang w:eastAsia="en-AU"/>
              </w:rPr>
              <w:t>Qtr 54</w:t>
            </w:r>
          </w:p>
        </w:tc>
      </w:tr>
      <w:tr w:rsidR="001C1891" w:rsidRPr="00C5395B" w14:paraId="33A2AAB8" w14:textId="41939C41" w:rsidTr="001C1891">
        <w:trPr>
          <w:trHeight w:val="255"/>
        </w:trPr>
        <w:tc>
          <w:tcPr>
            <w:tcW w:w="2040" w:type="dxa"/>
            <w:tcBorders>
              <w:top w:val="nil"/>
              <w:left w:val="single" w:sz="4" w:space="0" w:color="auto"/>
              <w:bottom w:val="single" w:sz="4" w:space="0" w:color="auto"/>
              <w:right w:val="single" w:sz="4" w:space="0" w:color="auto"/>
            </w:tcBorders>
            <w:noWrap/>
            <w:hideMark/>
          </w:tcPr>
          <w:p w14:paraId="4787F4B5" w14:textId="77777777" w:rsidR="001C1891" w:rsidRPr="00C5395B" w:rsidRDefault="001C1891" w:rsidP="000B6D24">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7B4B2FDB" w14:textId="77777777" w:rsidR="001C1891" w:rsidRDefault="001C1891" w:rsidP="000B6D24">
            <w:pPr>
              <w:jc w:val="right"/>
              <w:rPr>
                <w:rFonts w:cs="Arial"/>
              </w:rPr>
            </w:pPr>
            <w:r>
              <w:rPr>
                <w:rFonts w:cs="Arial"/>
              </w:rPr>
              <w:t>2</w:t>
            </w:r>
          </w:p>
        </w:tc>
        <w:tc>
          <w:tcPr>
            <w:tcW w:w="960" w:type="dxa"/>
            <w:tcBorders>
              <w:top w:val="nil"/>
              <w:left w:val="nil"/>
              <w:bottom w:val="single" w:sz="4" w:space="0" w:color="auto"/>
              <w:right w:val="single" w:sz="4" w:space="0" w:color="auto"/>
            </w:tcBorders>
            <w:vAlign w:val="bottom"/>
          </w:tcPr>
          <w:p w14:paraId="0E77D508" w14:textId="77777777" w:rsidR="001C1891" w:rsidRDefault="001C1891" w:rsidP="000B6D24">
            <w:pPr>
              <w:jc w:val="right"/>
              <w:rPr>
                <w:rFonts w:cs="Arial"/>
              </w:rPr>
            </w:pPr>
            <w:r w:rsidRPr="00DD04C0">
              <w:rPr>
                <w:rFonts w:cs="Arial"/>
              </w:rPr>
              <w:t>7</w:t>
            </w:r>
          </w:p>
        </w:tc>
        <w:tc>
          <w:tcPr>
            <w:tcW w:w="960" w:type="dxa"/>
            <w:tcBorders>
              <w:top w:val="nil"/>
              <w:left w:val="nil"/>
              <w:bottom w:val="single" w:sz="4" w:space="0" w:color="auto"/>
              <w:right w:val="single" w:sz="4" w:space="0" w:color="auto"/>
            </w:tcBorders>
            <w:vAlign w:val="bottom"/>
          </w:tcPr>
          <w:p w14:paraId="263439BF" w14:textId="77777777" w:rsidR="001C1891" w:rsidRPr="00550A24" w:rsidRDefault="001C1891" w:rsidP="000B6D24">
            <w:pPr>
              <w:jc w:val="right"/>
              <w:rPr>
                <w:rFonts w:cs="Arial"/>
              </w:rPr>
            </w:pPr>
            <w:r w:rsidRPr="00F1223C">
              <w:rPr>
                <w:rFonts w:cs="Arial"/>
              </w:rPr>
              <w:t>3</w:t>
            </w:r>
          </w:p>
        </w:tc>
        <w:tc>
          <w:tcPr>
            <w:tcW w:w="960" w:type="dxa"/>
            <w:tcBorders>
              <w:top w:val="nil"/>
              <w:left w:val="nil"/>
              <w:bottom w:val="single" w:sz="4" w:space="0" w:color="auto"/>
              <w:right w:val="single" w:sz="4" w:space="0" w:color="auto"/>
            </w:tcBorders>
          </w:tcPr>
          <w:p w14:paraId="3C9823D0" w14:textId="77777777" w:rsidR="001C1891" w:rsidRPr="00D919B5" w:rsidRDefault="001C1891" w:rsidP="000B6D24">
            <w:pPr>
              <w:jc w:val="right"/>
              <w:rPr>
                <w:rFonts w:cs="Arial"/>
              </w:rPr>
            </w:pPr>
            <w:r w:rsidRPr="00D919B5">
              <w:rPr>
                <w:rFonts w:cs="Arial"/>
              </w:rPr>
              <w:t>10</w:t>
            </w:r>
          </w:p>
        </w:tc>
        <w:tc>
          <w:tcPr>
            <w:tcW w:w="960" w:type="dxa"/>
            <w:tcBorders>
              <w:top w:val="nil"/>
              <w:left w:val="nil"/>
              <w:bottom w:val="single" w:sz="4" w:space="0" w:color="auto"/>
              <w:right w:val="single" w:sz="4" w:space="0" w:color="auto"/>
            </w:tcBorders>
          </w:tcPr>
          <w:p w14:paraId="56DE5429" w14:textId="233C8925" w:rsidR="001C1891" w:rsidRPr="00D919B5" w:rsidRDefault="001C1891" w:rsidP="000B6D24">
            <w:pPr>
              <w:jc w:val="right"/>
              <w:rPr>
                <w:rFonts w:cs="Arial"/>
              </w:rPr>
            </w:pPr>
            <w:r>
              <w:rPr>
                <w:rFonts w:cs="Arial"/>
              </w:rPr>
              <w:t>29</w:t>
            </w:r>
          </w:p>
        </w:tc>
      </w:tr>
      <w:tr w:rsidR="001C1891" w:rsidRPr="00C5395B" w14:paraId="464A7F74" w14:textId="2A4F8DF9" w:rsidTr="001C1891">
        <w:trPr>
          <w:trHeight w:val="255"/>
        </w:trPr>
        <w:tc>
          <w:tcPr>
            <w:tcW w:w="2040" w:type="dxa"/>
            <w:tcBorders>
              <w:top w:val="nil"/>
              <w:left w:val="single" w:sz="4" w:space="0" w:color="auto"/>
              <w:bottom w:val="single" w:sz="4" w:space="0" w:color="auto"/>
              <w:right w:val="single" w:sz="4" w:space="0" w:color="auto"/>
            </w:tcBorders>
            <w:noWrap/>
            <w:hideMark/>
          </w:tcPr>
          <w:p w14:paraId="027C2B9D" w14:textId="77777777" w:rsidR="001C1891" w:rsidRPr="00C5395B" w:rsidRDefault="001C1891" w:rsidP="000B6D24">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0E1671C4" w14:textId="77777777" w:rsidR="001C1891" w:rsidRDefault="001C1891" w:rsidP="000B6D24">
            <w:pPr>
              <w:jc w:val="right"/>
              <w:rPr>
                <w:rFonts w:cs="Arial"/>
              </w:rPr>
            </w:pPr>
            <w:r w:rsidRPr="00DE1099">
              <w:rPr>
                <w:rFonts w:cs="Arial"/>
              </w:rPr>
              <w:t>0</w:t>
            </w:r>
          </w:p>
        </w:tc>
        <w:tc>
          <w:tcPr>
            <w:tcW w:w="960" w:type="dxa"/>
            <w:tcBorders>
              <w:top w:val="nil"/>
              <w:left w:val="nil"/>
              <w:bottom w:val="single" w:sz="4" w:space="0" w:color="auto"/>
              <w:right w:val="single" w:sz="4" w:space="0" w:color="auto"/>
            </w:tcBorders>
            <w:vAlign w:val="bottom"/>
          </w:tcPr>
          <w:p w14:paraId="0E171BC9" w14:textId="77777777" w:rsidR="001C1891" w:rsidRDefault="001C1891" w:rsidP="000B6D24">
            <w:pPr>
              <w:jc w:val="right"/>
              <w:rPr>
                <w:rFonts w:cs="Arial"/>
              </w:rPr>
            </w:pPr>
            <w:r w:rsidRPr="00DD04C0">
              <w:rPr>
                <w:rFonts w:cs="Arial"/>
              </w:rPr>
              <w:t>1</w:t>
            </w:r>
          </w:p>
        </w:tc>
        <w:tc>
          <w:tcPr>
            <w:tcW w:w="960" w:type="dxa"/>
            <w:tcBorders>
              <w:top w:val="nil"/>
              <w:left w:val="nil"/>
              <w:bottom w:val="single" w:sz="4" w:space="0" w:color="auto"/>
              <w:right w:val="single" w:sz="4" w:space="0" w:color="auto"/>
            </w:tcBorders>
            <w:vAlign w:val="bottom"/>
          </w:tcPr>
          <w:p w14:paraId="2791AE9C" w14:textId="77777777" w:rsidR="001C1891" w:rsidRPr="00550A24" w:rsidRDefault="001C1891" w:rsidP="000B6D24">
            <w:pPr>
              <w:jc w:val="right"/>
              <w:rPr>
                <w:rFonts w:cs="Arial"/>
              </w:rPr>
            </w:pPr>
            <w:r w:rsidRPr="00F1223C">
              <w:rPr>
                <w:rFonts w:cs="Arial"/>
              </w:rPr>
              <w:t>0</w:t>
            </w:r>
          </w:p>
        </w:tc>
        <w:tc>
          <w:tcPr>
            <w:tcW w:w="960" w:type="dxa"/>
            <w:tcBorders>
              <w:top w:val="nil"/>
              <w:left w:val="nil"/>
              <w:bottom w:val="single" w:sz="4" w:space="0" w:color="auto"/>
              <w:right w:val="single" w:sz="4" w:space="0" w:color="auto"/>
            </w:tcBorders>
          </w:tcPr>
          <w:p w14:paraId="1AE4602E" w14:textId="77777777" w:rsidR="001C1891" w:rsidRPr="00D919B5" w:rsidRDefault="001C1891" w:rsidP="000B6D24">
            <w:pPr>
              <w:jc w:val="right"/>
              <w:rPr>
                <w:rFonts w:cs="Arial"/>
              </w:rPr>
            </w:pPr>
            <w:r w:rsidRPr="00D919B5">
              <w:rPr>
                <w:rFonts w:cs="Arial"/>
              </w:rPr>
              <w:t>1</w:t>
            </w:r>
          </w:p>
        </w:tc>
        <w:tc>
          <w:tcPr>
            <w:tcW w:w="960" w:type="dxa"/>
            <w:tcBorders>
              <w:top w:val="nil"/>
              <w:left w:val="nil"/>
              <w:bottom w:val="single" w:sz="4" w:space="0" w:color="auto"/>
              <w:right w:val="single" w:sz="4" w:space="0" w:color="auto"/>
            </w:tcBorders>
          </w:tcPr>
          <w:p w14:paraId="49066492" w14:textId="646623AF" w:rsidR="001C1891" w:rsidRPr="00D919B5" w:rsidRDefault="001C1891" w:rsidP="000B6D24">
            <w:pPr>
              <w:jc w:val="right"/>
              <w:rPr>
                <w:rFonts w:cs="Arial"/>
              </w:rPr>
            </w:pPr>
            <w:r>
              <w:rPr>
                <w:rFonts w:cs="Arial"/>
              </w:rPr>
              <w:t>0</w:t>
            </w:r>
          </w:p>
        </w:tc>
      </w:tr>
      <w:tr w:rsidR="001C1891" w:rsidRPr="00C5395B" w14:paraId="52135F09" w14:textId="154D0A16" w:rsidTr="001C1891">
        <w:trPr>
          <w:trHeight w:val="255"/>
        </w:trPr>
        <w:tc>
          <w:tcPr>
            <w:tcW w:w="2040" w:type="dxa"/>
            <w:tcBorders>
              <w:top w:val="nil"/>
              <w:left w:val="single" w:sz="4" w:space="0" w:color="auto"/>
              <w:bottom w:val="single" w:sz="4" w:space="0" w:color="auto"/>
              <w:right w:val="single" w:sz="4" w:space="0" w:color="auto"/>
            </w:tcBorders>
            <w:noWrap/>
          </w:tcPr>
          <w:p w14:paraId="33086E91" w14:textId="77777777" w:rsidR="001C1891" w:rsidRPr="00C5395B" w:rsidRDefault="001C1891" w:rsidP="000B6D24">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73017834" w14:textId="77777777" w:rsidR="001C1891" w:rsidRDefault="001C1891" w:rsidP="000B6D24">
            <w:pPr>
              <w:jc w:val="right"/>
              <w:rPr>
                <w:rFonts w:cs="Arial"/>
              </w:rPr>
            </w:pPr>
            <w:r>
              <w:rPr>
                <w:rFonts w:cs="Arial"/>
              </w:rPr>
              <w:t>2</w:t>
            </w:r>
          </w:p>
        </w:tc>
        <w:tc>
          <w:tcPr>
            <w:tcW w:w="960" w:type="dxa"/>
            <w:tcBorders>
              <w:top w:val="nil"/>
              <w:left w:val="nil"/>
              <w:bottom w:val="single" w:sz="4" w:space="0" w:color="auto"/>
              <w:right w:val="single" w:sz="4" w:space="0" w:color="auto"/>
            </w:tcBorders>
            <w:vAlign w:val="bottom"/>
          </w:tcPr>
          <w:p w14:paraId="1A6D58AE" w14:textId="77777777" w:rsidR="001C1891" w:rsidRDefault="001C1891" w:rsidP="000B6D24">
            <w:pPr>
              <w:jc w:val="right"/>
              <w:rPr>
                <w:rFonts w:cs="Arial"/>
              </w:rPr>
            </w:pPr>
            <w:r w:rsidRPr="00DD04C0">
              <w:rPr>
                <w:rFonts w:cs="Arial"/>
              </w:rPr>
              <w:t>3</w:t>
            </w:r>
          </w:p>
        </w:tc>
        <w:tc>
          <w:tcPr>
            <w:tcW w:w="960" w:type="dxa"/>
            <w:tcBorders>
              <w:top w:val="nil"/>
              <w:left w:val="nil"/>
              <w:bottom w:val="single" w:sz="4" w:space="0" w:color="auto"/>
              <w:right w:val="single" w:sz="4" w:space="0" w:color="auto"/>
            </w:tcBorders>
            <w:vAlign w:val="bottom"/>
          </w:tcPr>
          <w:p w14:paraId="6FEFD35D" w14:textId="77777777" w:rsidR="001C1891" w:rsidRPr="00550A24" w:rsidRDefault="001C1891" w:rsidP="000B6D24">
            <w:pPr>
              <w:jc w:val="right"/>
              <w:rPr>
                <w:rFonts w:cs="Arial"/>
              </w:rPr>
            </w:pPr>
            <w:r w:rsidRPr="00F1223C">
              <w:rPr>
                <w:rFonts w:cs="Arial"/>
              </w:rPr>
              <w:t>0</w:t>
            </w:r>
          </w:p>
        </w:tc>
        <w:tc>
          <w:tcPr>
            <w:tcW w:w="960" w:type="dxa"/>
            <w:tcBorders>
              <w:top w:val="nil"/>
              <w:left w:val="nil"/>
              <w:bottom w:val="single" w:sz="4" w:space="0" w:color="auto"/>
              <w:right w:val="single" w:sz="4" w:space="0" w:color="auto"/>
            </w:tcBorders>
          </w:tcPr>
          <w:p w14:paraId="5E8C93EA" w14:textId="77777777" w:rsidR="001C1891" w:rsidRPr="00D919B5" w:rsidRDefault="001C1891" w:rsidP="000B6D24">
            <w:pPr>
              <w:jc w:val="right"/>
              <w:rPr>
                <w:rFonts w:cs="Arial"/>
              </w:rPr>
            </w:pPr>
            <w:r w:rsidRPr="00D919B5">
              <w:rPr>
                <w:rFonts w:cs="Arial"/>
              </w:rPr>
              <w:t>2</w:t>
            </w:r>
          </w:p>
        </w:tc>
        <w:tc>
          <w:tcPr>
            <w:tcW w:w="960" w:type="dxa"/>
            <w:tcBorders>
              <w:top w:val="nil"/>
              <w:left w:val="nil"/>
              <w:bottom w:val="single" w:sz="4" w:space="0" w:color="auto"/>
              <w:right w:val="single" w:sz="4" w:space="0" w:color="auto"/>
            </w:tcBorders>
          </w:tcPr>
          <w:p w14:paraId="4788A7B0" w14:textId="3D73E936" w:rsidR="001C1891" w:rsidRPr="00D919B5" w:rsidRDefault="001C1891" w:rsidP="000B6D24">
            <w:pPr>
              <w:jc w:val="right"/>
              <w:rPr>
                <w:rFonts w:cs="Arial"/>
              </w:rPr>
            </w:pPr>
            <w:r>
              <w:rPr>
                <w:rFonts w:cs="Arial"/>
              </w:rPr>
              <w:t>0</w:t>
            </w:r>
          </w:p>
        </w:tc>
      </w:tr>
      <w:tr w:rsidR="001C1891" w:rsidRPr="00C5395B" w14:paraId="4258076F" w14:textId="6095DF88" w:rsidTr="001C1891">
        <w:trPr>
          <w:trHeight w:val="255"/>
        </w:trPr>
        <w:tc>
          <w:tcPr>
            <w:tcW w:w="2040" w:type="dxa"/>
            <w:tcBorders>
              <w:top w:val="nil"/>
              <w:left w:val="single" w:sz="4" w:space="0" w:color="auto"/>
              <w:bottom w:val="single" w:sz="4" w:space="0" w:color="auto"/>
              <w:right w:val="single" w:sz="4" w:space="0" w:color="auto"/>
            </w:tcBorders>
            <w:noWrap/>
            <w:hideMark/>
          </w:tcPr>
          <w:p w14:paraId="4C31ACBE" w14:textId="77777777" w:rsidR="001C1891" w:rsidRPr="00C5395B" w:rsidRDefault="001C1891" w:rsidP="000B6D24">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6ED18086" w14:textId="77777777" w:rsidR="001C1891" w:rsidRDefault="001C1891" w:rsidP="000B6D24">
            <w:pPr>
              <w:jc w:val="right"/>
              <w:rPr>
                <w:rFonts w:cs="Arial"/>
              </w:rPr>
            </w:pPr>
            <w:r>
              <w:rPr>
                <w:rFonts w:cs="Arial"/>
              </w:rPr>
              <w:t>2</w:t>
            </w:r>
          </w:p>
        </w:tc>
        <w:tc>
          <w:tcPr>
            <w:tcW w:w="960" w:type="dxa"/>
            <w:tcBorders>
              <w:top w:val="nil"/>
              <w:left w:val="nil"/>
              <w:bottom w:val="single" w:sz="4" w:space="0" w:color="auto"/>
              <w:right w:val="single" w:sz="4" w:space="0" w:color="auto"/>
            </w:tcBorders>
            <w:vAlign w:val="bottom"/>
          </w:tcPr>
          <w:p w14:paraId="763C80CC" w14:textId="77777777" w:rsidR="001C1891" w:rsidRDefault="001C1891" w:rsidP="000B6D24">
            <w:pPr>
              <w:jc w:val="right"/>
              <w:rPr>
                <w:rFonts w:cs="Arial"/>
              </w:rPr>
            </w:pPr>
            <w:r w:rsidRPr="00DD04C0">
              <w:rPr>
                <w:rFonts w:cs="Arial"/>
              </w:rPr>
              <w:t>1</w:t>
            </w:r>
          </w:p>
        </w:tc>
        <w:tc>
          <w:tcPr>
            <w:tcW w:w="960" w:type="dxa"/>
            <w:tcBorders>
              <w:top w:val="nil"/>
              <w:left w:val="nil"/>
              <w:bottom w:val="single" w:sz="4" w:space="0" w:color="auto"/>
              <w:right w:val="single" w:sz="4" w:space="0" w:color="auto"/>
            </w:tcBorders>
            <w:vAlign w:val="bottom"/>
          </w:tcPr>
          <w:p w14:paraId="0A261683" w14:textId="77777777" w:rsidR="001C1891" w:rsidRPr="00550A24" w:rsidRDefault="001C1891" w:rsidP="000B6D24">
            <w:pPr>
              <w:jc w:val="right"/>
              <w:rPr>
                <w:rFonts w:cs="Arial"/>
              </w:rPr>
            </w:pPr>
            <w:r w:rsidRPr="00F1223C">
              <w:rPr>
                <w:rFonts w:cs="Arial"/>
              </w:rPr>
              <w:t>0</w:t>
            </w:r>
          </w:p>
        </w:tc>
        <w:tc>
          <w:tcPr>
            <w:tcW w:w="960" w:type="dxa"/>
            <w:tcBorders>
              <w:top w:val="nil"/>
              <w:left w:val="nil"/>
              <w:bottom w:val="single" w:sz="4" w:space="0" w:color="auto"/>
              <w:right w:val="single" w:sz="4" w:space="0" w:color="auto"/>
            </w:tcBorders>
          </w:tcPr>
          <w:p w14:paraId="723A5190" w14:textId="77777777" w:rsidR="001C1891" w:rsidRPr="00D919B5" w:rsidRDefault="001C1891" w:rsidP="000B6D24">
            <w:pPr>
              <w:jc w:val="right"/>
              <w:rPr>
                <w:rFonts w:cs="Arial"/>
              </w:rPr>
            </w:pPr>
            <w:r w:rsidRPr="00D919B5">
              <w:rPr>
                <w:rFonts w:cs="Arial"/>
              </w:rPr>
              <w:t>3</w:t>
            </w:r>
          </w:p>
        </w:tc>
        <w:tc>
          <w:tcPr>
            <w:tcW w:w="960" w:type="dxa"/>
            <w:tcBorders>
              <w:top w:val="nil"/>
              <w:left w:val="nil"/>
              <w:bottom w:val="single" w:sz="4" w:space="0" w:color="auto"/>
              <w:right w:val="single" w:sz="4" w:space="0" w:color="auto"/>
            </w:tcBorders>
          </w:tcPr>
          <w:p w14:paraId="70AD4104" w14:textId="22C68107" w:rsidR="001C1891" w:rsidRPr="00D919B5" w:rsidRDefault="001C1891" w:rsidP="000B6D24">
            <w:pPr>
              <w:jc w:val="right"/>
              <w:rPr>
                <w:rFonts w:cs="Arial"/>
              </w:rPr>
            </w:pPr>
            <w:r>
              <w:rPr>
                <w:rFonts w:cs="Arial"/>
              </w:rPr>
              <w:t>3</w:t>
            </w:r>
          </w:p>
        </w:tc>
      </w:tr>
      <w:tr w:rsidR="001C1891" w:rsidRPr="00C5395B" w14:paraId="799FE677" w14:textId="41A423C6" w:rsidTr="001C1891">
        <w:trPr>
          <w:trHeight w:val="255"/>
        </w:trPr>
        <w:tc>
          <w:tcPr>
            <w:tcW w:w="2040" w:type="dxa"/>
            <w:tcBorders>
              <w:top w:val="nil"/>
              <w:left w:val="single" w:sz="4" w:space="0" w:color="auto"/>
              <w:bottom w:val="single" w:sz="4" w:space="0" w:color="auto"/>
              <w:right w:val="single" w:sz="4" w:space="0" w:color="auto"/>
            </w:tcBorders>
            <w:noWrap/>
            <w:hideMark/>
          </w:tcPr>
          <w:p w14:paraId="46220C8F" w14:textId="77777777" w:rsidR="001C1891" w:rsidRPr="00C5395B" w:rsidRDefault="001C1891" w:rsidP="000B6D24">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33F9F6FB" w14:textId="77777777" w:rsidR="001C1891" w:rsidRDefault="001C1891" w:rsidP="000B6D24">
            <w:pPr>
              <w:jc w:val="right"/>
              <w:rPr>
                <w:rFonts w:cs="Arial"/>
              </w:rPr>
            </w:pPr>
            <w:r>
              <w:rPr>
                <w:rFonts w:cs="Arial"/>
              </w:rPr>
              <w:t>0</w:t>
            </w:r>
          </w:p>
        </w:tc>
        <w:tc>
          <w:tcPr>
            <w:tcW w:w="960" w:type="dxa"/>
            <w:tcBorders>
              <w:top w:val="nil"/>
              <w:left w:val="nil"/>
              <w:bottom w:val="single" w:sz="4" w:space="0" w:color="auto"/>
              <w:right w:val="single" w:sz="4" w:space="0" w:color="auto"/>
            </w:tcBorders>
            <w:vAlign w:val="bottom"/>
          </w:tcPr>
          <w:p w14:paraId="1784BE06" w14:textId="77777777" w:rsidR="001C1891" w:rsidRDefault="001C1891" w:rsidP="000B6D24">
            <w:pPr>
              <w:jc w:val="right"/>
              <w:rPr>
                <w:rFonts w:cs="Arial"/>
              </w:rPr>
            </w:pPr>
            <w:r w:rsidRPr="00DD04C0">
              <w:rPr>
                <w:rFonts w:cs="Arial"/>
              </w:rPr>
              <w:t>0</w:t>
            </w:r>
          </w:p>
        </w:tc>
        <w:tc>
          <w:tcPr>
            <w:tcW w:w="960" w:type="dxa"/>
            <w:tcBorders>
              <w:top w:val="nil"/>
              <w:left w:val="nil"/>
              <w:bottom w:val="single" w:sz="4" w:space="0" w:color="auto"/>
              <w:right w:val="single" w:sz="4" w:space="0" w:color="auto"/>
            </w:tcBorders>
            <w:vAlign w:val="bottom"/>
          </w:tcPr>
          <w:p w14:paraId="5A7AA08E" w14:textId="77777777" w:rsidR="001C1891" w:rsidRPr="00550A24" w:rsidRDefault="001C1891" w:rsidP="000B6D24">
            <w:pPr>
              <w:jc w:val="right"/>
              <w:rPr>
                <w:rFonts w:cs="Arial"/>
              </w:rPr>
            </w:pPr>
            <w:r w:rsidRPr="00F1223C">
              <w:rPr>
                <w:rFonts w:cs="Arial"/>
              </w:rPr>
              <w:t>0</w:t>
            </w:r>
          </w:p>
        </w:tc>
        <w:tc>
          <w:tcPr>
            <w:tcW w:w="960" w:type="dxa"/>
            <w:tcBorders>
              <w:top w:val="nil"/>
              <w:left w:val="nil"/>
              <w:bottom w:val="single" w:sz="4" w:space="0" w:color="auto"/>
              <w:right w:val="single" w:sz="4" w:space="0" w:color="auto"/>
            </w:tcBorders>
          </w:tcPr>
          <w:p w14:paraId="2D6E4027" w14:textId="77777777" w:rsidR="001C1891" w:rsidRPr="00D919B5" w:rsidRDefault="001C1891" w:rsidP="000B6D24">
            <w:pPr>
              <w:jc w:val="right"/>
              <w:rPr>
                <w:rFonts w:cs="Arial"/>
              </w:rPr>
            </w:pPr>
            <w:r w:rsidRPr="00D919B5">
              <w:rPr>
                <w:rFonts w:cs="Arial"/>
              </w:rPr>
              <w:t>0</w:t>
            </w:r>
          </w:p>
        </w:tc>
        <w:tc>
          <w:tcPr>
            <w:tcW w:w="960" w:type="dxa"/>
            <w:tcBorders>
              <w:top w:val="nil"/>
              <w:left w:val="nil"/>
              <w:bottom w:val="single" w:sz="4" w:space="0" w:color="auto"/>
              <w:right w:val="single" w:sz="4" w:space="0" w:color="auto"/>
            </w:tcBorders>
          </w:tcPr>
          <w:p w14:paraId="50FD3D5E" w14:textId="3450BD2A" w:rsidR="001C1891" w:rsidRPr="00D919B5" w:rsidRDefault="001C1891" w:rsidP="000B6D24">
            <w:pPr>
              <w:jc w:val="right"/>
              <w:rPr>
                <w:rFonts w:cs="Arial"/>
              </w:rPr>
            </w:pPr>
            <w:r>
              <w:rPr>
                <w:rFonts w:cs="Arial"/>
              </w:rPr>
              <w:t>0</w:t>
            </w:r>
          </w:p>
        </w:tc>
      </w:tr>
      <w:tr w:rsidR="001C1891" w:rsidRPr="00C5395B" w14:paraId="5B4F9F69" w14:textId="1E282235" w:rsidTr="001C1891">
        <w:trPr>
          <w:trHeight w:val="255"/>
        </w:trPr>
        <w:tc>
          <w:tcPr>
            <w:tcW w:w="2040" w:type="dxa"/>
            <w:tcBorders>
              <w:top w:val="nil"/>
              <w:left w:val="single" w:sz="4" w:space="0" w:color="auto"/>
              <w:bottom w:val="single" w:sz="4" w:space="0" w:color="auto"/>
              <w:right w:val="single" w:sz="4" w:space="0" w:color="auto"/>
            </w:tcBorders>
            <w:noWrap/>
            <w:hideMark/>
          </w:tcPr>
          <w:p w14:paraId="06595C52" w14:textId="77777777" w:rsidR="001C1891" w:rsidRPr="00C5395B" w:rsidRDefault="001C1891" w:rsidP="000B6D24">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3F1C466A" w14:textId="77777777" w:rsidR="001C1891" w:rsidRDefault="001C1891" w:rsidP="000B6D24">
            <w:pPr>
              <w:jc w:val="right"/>
              <w:rPr>
                <w:rFonts w:cs="Arial"/>
                <w:b/>
                <w:bCs/>
              </w:rPr>
            </w:pPr>
            <w:r>
              <w:rPr>
                <w:rFonts w:cs="Arial"/>
                <w:b/>
                <w:bCs/>
              </w:rPr>
              <w:t>6</w:t>
            </w:r>
          </w:p>
        </w:tc>
        <w:tc>
          <w:tcPr>
            <w:tcW w:w="960" w:type="dxa"/>
            <w:tcBorders>
              <w:top w:val="nil"/>
              <w:left w:val="nil"/>
              <w:bottom w:val="single" w:sz="4" w:space="0" w:color="auto"/>
              <w:right w:val="single" w:sz="4" w:space="0" w:color="auto"/>
            </w:tcBorders>
            <w:vAlign w:val="bottom"/>
          </w:tcPr>
          <w:p w14:paraId="3AC62182" w14:textId="77777777" w:rsidR="001C1891" w:rsidRDefault="001C1891" w:rsidP="000B6D24">
            <w:pPr>
              <w:jc w:val="right"/>
              <w:rPr>
                <w:rFonts w:cs="Arial"/>
                <w:b/>
                <w:bCs/>
              </w:rPr>
            </w:pPr>
            <w:r w:rsidRPr="00DD04C0">
              <w:rPr>
                <w:rFonts w:cs="Arial"/>
                <w:b/>
                <w:bCs/>
              </w:rPr>
              <w:t>12</w:t>
            </w:r>
          </w:p>
        </w:tc>
        <w:tc>
          <w:tcPr>
            <w:tcW w:w="960" w:type="dxa"/>
            <w:tcBorders>
              <w:top w:val="nil"/>
              <w:left w:val="nil"/>
              <w:bottom w:val="single" w:sz="4" w:space="0" w:color="auto"/>
              <w:right w:val="single" w:sz="4" w:space="0" w:color="auto"/>
            </w:tcBorders>
            <w:vAlign w:val="bottom"/>
          </w:tcPr>
          <w:p w14:paraId="5E003943" w14:textId="77777777" w:rsidR="001C1891" w:rsidRPr="00550A24" w:rsidRDefault="001C1891" w:rsidP="000B6D24">
            <w:pPr>
              <w:jc w:val="right"/>
              <w:rPr>
                <w:rFonts w:cs="Arial"/>
                <w:b/>
                <w:bCs/>
              </w:rPr>
            </w:pPr>
            <w:r w:rsidRPr="00F1223C">
              <w:rPr>
                <w:rFonts w:cs="Arial"/>
                <w:b/>
                <w:bCs/>
              </w:rPr>
              <w:t>3</w:t>
            </w:r>
          </w:p>
        </w:tc>
        <w:tc>
          <w:tcPr>
            <w:tcW w:w="960" w:type="dxa"/>
            <w:tcBorders>
              <w:top w:val="nil"/>
              <w:left w:val="nil"/>
              <w:bottom w:val="single" w:sz="4" w:space="0" w:color="auto"/>
              <w:right w:val="single" w:sz="4" w:space="0" w:color="auto"/>
            </w:tcBorders>
          </w:tcPr>
          <w:p w14:paraId="49A1B2A7" w14:textId="77777777" w:rsidR="001C1891" w:rsidRPr="00D919B5" w:rsidRDefault="001C1891" w:rsidP="000B6D24">
            <w:pPr>
              <w:jc w:val="right"/>
              <w:rPr>
                <w:rFonts w:cs="Arial"/>
                <w:b/>
                <w:bCs/>
              </w:rPr>
            </w:pPr>
            <w:r w:rsidRPr="00D919B5">
              <w:rPr>
                <w:rFonts w:cs="Arial"/>
                <w:b/>
                <w:bCs/>
              </w:rPr>
              <w:t>16</w:t>
            </w:r>
          </w:p>
        </w:tc>
        <w:tc>
          <w:tcPr>
            <w:tcW w:w="960" w:type="dxa"/>
            <w:tcBorders>
              <w:top w:val="nil"/>
              <w:left w:val="nil"/>
              <w:bottom w:val="single" w:sz="4" w:space="0" w:color="auto"/>
              <w:right w:val="single" w:sz="4" w:space="0" w:color="auto"/>
            </w:tcBorders>
          </w:tcPr>
          <w:p w14:paraId="04B503AE" w14:textId="78C6F9E4" w:rsidR="001C1891" w:rsidRPr="00D919B5" w:rsidRDefault="001C1891" w:rsidP="000B6D24">
            <w:pPr>
              <w:jc w:val="right"/>
              <w:rPr>
                <w:rFonts w:cs="Arial"/>
                <w:b/>
                <w:bCs/>
              </w:rPr>
            </w:pPr>
            <w:r>
              <w:rPr>
                <w:rFonts w:cs="Arial"/>
                <w:b/>
                <w:bCs/>
              </w:rPr>
              <w:t>32</w:t>
            </w:r>
          </w:p>
        </w:tc>
      </w:tr>
    </w:tbl>
    <w:p w14:paraId="46EB1DDC" w14:textId="77777777" w:rsidR="003E589C" w:rsidRDefault="003E589C" w:rsidP="00D51DFA">
      <w:pPr>
        <w:pStyle w:val="Heading2"/>
      </w:pPr>
    </w:p>
    <w:p w14:paraId="0C44E9B8" w14:textId="207B5029" w:rsidR="004E7166" w:rsidRPr="00076ED0" w:rsidRDefault="004E7166" w:rsidP="00D51DFA">
      <w:pPr>
        <w:pStyle w:val="Heading2"/>
      </w:pPr>
      <w:r w:rsidRPr="00076ED0">
        <w:t>Application</w:t>
      </w:r>
      <w:r>
        <w:t xml:space="preserve"> </w:t>
      </w:r>
      <w:r w:rsidR="001D6F7E">
        <w:t>decisions</w:t>
      </w:r>
    </w:p>
    <w:p w14:paraId="0887A42F" w14:textId="6224C3A9" w:rsidR="00280607" w:rsidRDefault="00280607" w:rsidP="00280607">
      <w:pPr>
        <w:ind w:left="-142" w:right="-425"/>
        <w:jc w:val="both"/>
      </w:pPr>
      <w:r w:rsidRPr="005371FE">
        <w:t>Each application follows a transparent process and is considered by the Commissioners on its own merit whilst observing the principles of natural justice. A timely decision on the application is made pursuant to section 99 or section 109 of the FRC Act and may include either agreeing or refusing to amend or end an agreement or order, or if the Commissioners deem the application frivolous or vexatious, dismissing the application</w:t>
      </w:r>
      <w:r w:rsidR="00B220F7">
        <w:t xml:space="preserve">, noting that </w:t>
      </w:r>
      <w:r w:rsidR="00B220F7">
        <w:rPr>
          <w:rFonts w:cs="Arial"/>
        </w:rPr>
        <w:t>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 If the Commission fails to make a decision within two months of receipt of the application</w:t>
      </w:r>
      <w:r w:rsidR="00A84CE6">
        <w:rPr>
          <w:rFonts w:cs="Arial"/>
        </w:rPr>
        <w:t>,</w:t>
      </w:r>
      <w:r w:rsidR="00B220F7">
        <w:rPr>
          <w:rFonts w:cs="Arial"/>
        </w:rPr>
        <w:t xml:space="preserve"> s</w:t>
      </w:r>
      <w:r w:rsidR="00C43E81">
        <w:rPr>
          <w:rFonts w:cs="Arial"/>
        </w:rPr>
        <w:t xml:space="preserve">ection 101 of the FRC Act </w:t>
      </w:r>
      <w:r w:rsidR="006410EA">
        <w:rPr>
          <w:rFonts w:cs="Arial"/>
        </w:rPr>
        <w:t xml:space="preserve">determines that </w:t>
      </w:r>
      <w:r w:rsidR="00C43E81">
        <w:rPr>
          <w:rFonts w:cs="Arial"/>
        </w:rPr>
        <w:t xml:space="preserve">the failure is taken to be a decision by the Commission to refuse to amend or end the Family Responsibilities Agreement or </w:t>
      </w:r>
      <w:r w:rsidR="006C5ADD">
        <w:rPr>
          <w:rFonts w:cs="Arial"/>
        </w:rPr>
        <w:t>O</w:t>
      </w:r>
      <w:r w:rsidR="00C43E81">
        <w:rPr>
          <w:rFonts w:cs="Arial"/>
        </w:rPr>
        <w:t xml:space="preserve">rder. </w:t>
      </w:r>
      <w:r w:rsidRPr="005371FE">
        <w:t>The opportunity afforded in hearing these applications is utilised by the Commissioners to encourage clients to continue to address any remaining challenges and to exercise personal responsibility in their lives.</w:t>
      </w:r>
    </w:p>
    <w:p w14:paraId="6331CCB8" w14:textId="77777777" w:rsidR="00280607" w:rsidRDefault="00280607" w:rsidP="00384152">
      <w:pPr>
        <w:ind w:left="-142" w:right="-425"/>
        <w:jc w:val="both"/>
        <w:rPr>
          <w:rFonts w:cs="Arial"/>
        </w:rPr>
      </w:pPr>
    </w:p>
    <w:p w14:paraId="181814BC" w14:textId="2FD6106C" w:rsidR="00FD09DB" w:rsidRDefault="00C029A0" w:rsidP="00384152">
      <w:pPr>
        <w:ind w:left="-142" w:right="-425"/>
        <w:jc w:val="both"/>
        <w:rPr>
          <w:rFonts w:cs="Arial"/>
        </w:rPr>
      </w:pPr>
      <w:r>
        <w:rPr>
          <w:rFonts w:cs="Arial"/>
        </w:rPr>
        <w:t>It should be noted that a hearing for an amend/end application may not take place in the same quarter as the application was received, especially where an application was received towards the end of a quarter with the resulting hearing scheduled for the following quarter.</w:t>
      </w:r>
    </w:p>
    <w:p w14:paraId="7E5502CC" w14:textId="1E593C35" w:rsidR="00B408D8" w:rsidRDefault="00B408D8" w:rsidP="005A5B78">
      <w:pPr>
        <w:ind w:left="-142" w:right="-425"/>
        <w:jc w:val="both"/>
        <w:rPr>
          <w:rFonts w:cs="Arial"/>
        </w:rPr>
      </w:pPr>
    </w:p>
    <w:p w14:paraId="50602F91" w14:textId="57787207" w:rsidR="00C029A0" w:rsidRDefault="00B408D8" w:rsidP="00B408D8">
      <w:pPr>
        <w:ind w:left="-142" w:right="-425"/>
        <w:jc w:val="both"/>
        <w:rPr>
          <w:rFonts w:cs="Arial"/>
        </w:rPr>
      </w:pPr>
      <w:r>
        <w:rPr>
          <w:rFonts w:cs="Arial"/>
        </w:rPr>
        <w:t xml:space="preserve">A total of </w:t>
      </w:r>
      <w:r w:rsidR="00500C91">
        <w:rPr>
          <w:rFonts w:cs="Arial"/>
        </w:rPr>
        <w:t>8</w:t>
      </w:r>
      <w:r>
        <w:rPr>
          <w:rFonts w:cs="Arial"/>
        </w:rPr>
        <w:t xml:space="preserve"> </w:t>
      </w:r>
      <w:r w:rsidR="00CA1B19">
        <w:rPr>
          <w:rFonts w:cs="Arial"/>
        </w:rPr>
        <w:t xml:space="preserve">amend/end </w:t>
      </w:r>
      <w:r>
        <w:rPr>
          <w:rFonts w:cs="Arial"/>
        </w:rPr>
        <w:t>application</w:t>
      </w:r>
      <w:r w:rsidR="00CA1B19">
        <w:rPr>
          <w:rFonts w:cs="Arial"/>
        </w:rPr>
        <w:t>s</w:t>
      </w:r>
      <w:r w:rsidR="007A7B2F">
        <w:rPr>
          <w:rFonts w:cs="Arial"/>
        </w:rPr>
        <w:t>,</w:t>
      </w:r>
      <w:r w:rsidR="00CA1B19">
        <w:rPr>
          <w:rFonts w:cs="Arial"/>
        </w:rPr>
        <w:t xml:space="preserve"> all</w:t>
      </w:r>
      <w:r>
        <w:rPr>
          <w:rFonts w:cs="Arial"/>
        </w:rPr>
        <w:t xml:space="preserve"> </w:t>
      </w:r>
      <w:r w:rsidR="00CA1B19">
        <w:rPr>
          <w:rFonts w:cs="Arial"/>
        </w:rPr>
        <w:t>for Family Responsibilities Orders</w:t>
      </w:r>
      <w:r w:rsidR="007A7B2F">
        <w:rPr>
          <w:rFonts w:cs="Arial"/>
        </w:rPr>
        <w:t>,</w:t>
      </w:r>
      <w:r w:rsidR="00CA1B19">
        <w:rPr>
          <w:rFonts w:cs="Arial"/>
        </w:rPr>
        <w:t xml:space="preserve"> were decided </w:t>
      </w:r>
      <w:r>
        <w:rPr>
          <w:rFonts w:cs="Arial"/>
        </w:rPr>
        <w:t xml:space="preserve">in quarter </w:t>
      </w:r>
      <w:r w:rsidR="000C0A83">
        <w:rPr>
          <w:rFonts w:cs="Arial"/>
        </w:rPr>
        <w:t>54</w:t>
      </w:r>
      <w:r w:rsidR="00686C92">
        <w:rPr>
          <w:rFonts w:cs="Arial"/>
        </w:rPr>
        <w:t xml:space="preserve"> with three</w:t>
      </w:r>
      <w:r w:rsidR="007A7B2F">
        <w:rPr>
          <w:rFonts w:cs="Arial"/>
        </w:rPr>
        <w:t>-</w:t>
      </w:r>
      <w:r w:rsidR="00686C92">
        <w:rPr>
          <w:rFonts w:cs="Arial"/>
        </w:rPr>
        <w:t xml:space="preserve">quarters of </w:t>
      </w:r>
      <w:r w:rsidR="007A7B2F">
        <w:rPr>
          <w:rFonts w:cs="Arial"/>
        </w:rPr>
        <w:t xml:space="preserve">the </w:t>
      </w:r>
      <w:r w:rsidR="00686C92">
        <w:rPr>
          <w:rFonts w:cs="Arial"/>
        </w:rPr>
        <w:t>applications made by clients</w:t>
      </w:r>
      <w:r w:rsidR="00211380">
        <w:rPr>
          <w:rFonts w:cs="Arial"/>
        </w:rPr>
        <w:t xml:space="preserve"> accepted by the FRC. A breakdown of the type of applications is as follows</w:t>
      </w:r>
      <w:r w:rsidR="00C029A0">
        <w:rPr>
          <w:rFonts w:cs="Arial"/>
        </w:rPr>
        <w:t>:</w:t>
      </w:r>
    </w:p>
    <w:p w14:paraId="42BB4ECF" w14:textId="77777777" w:rsidR="00C81DF4" w:rsidRDefault="00C81DF4" w:rsidP="00B408D8">
      <w:pPr>
        <w:ind w:left="-142" w:right="-425"/>
        <w:jc w:val="both"/>
        <w:rPr>
          <w:rFonts w:cs="Arial"/>
        </w:rPr>
      </w:pPr>
    </w:p>
    <w:p w14:paraId="3A6244EA" w14:textId="7561F364" w:rsidR="00C029A0" w:rsidRPr="00FB5E8C" w:rsidRDefault="00C029A0"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 xml:space="preserve">2 Applications were accepted and </w:t>
      </w:r>
      <w:r w:rsidR="00C23ACD">
        <w:rPr>
          <w:rFonts w:ascii="Verdana" w:hAnsi="Verdana" w:cs="Arial"/>
          <w:sz w:val="20"/>
          <w:szCs w:val="20"/>
        </w:rPr>
        <w:t>case plan orders</w:t>
      </w:r>
      <w:r w:rsidRPr="00FB5E8C">
        <w:rPr>
          <w:rFonts w:ascii="Verdana" w:hAnsi="Verdana" w:cs="Arial"/>
          <w:sz w:val="20"/>
          <w:szCs w:val="20"/>
        </w:rPr>
        <w:t xml:space="preserve"> ended</w:t>
      </w:r>
    </w:p>
    <w:p w14:paraId="62619165" w14:textId="77777777" w:rsidR="00C23ACD" w:rsidRDefault="00C029A0"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 xml:space="preserve">1 </w:t>
      </w:r>
      <w:r w:rsidR="00CC3EFE">
        <w:rPr>
          <w:rFonts w:ascii="Verdana" w:hAnsi="Verdana" w:cs="Arial"/>
          <w:sz w:val="20"/>
          <w:szCs w:val="20"/>
        </w:rPr>
        <w:t>Application</w:t>
      </w:r>
      <w:r w:rsidR="00CC3EFE" w:rsidRPr="00FB5E8C">
        <w:rPr>
          <w:rFonts w:ascii="Verdana" w:hAnsi="Verdana" w:cs="Arial"/>
          <w:sz w:val="20"/>
          <w:szCs w:val="20"/>
        </w:rPr>
        <w:t xml:space="preserve"> </w:t>
      </w:r>
      <w:r w:rsidRPr="00FB5E8C">
        <w:rPr>
          <w:rFonts w:ascii="Verdana" w:hAnsi="Verdana" w:cs="Arial"/>
          <w:sz w:val="20"/>
          <w:szCs w:val="20"/>
        </w:rPr>
        <w:t xml:space="preserve">was accepted and conditional income management order </w:t>
      </w:r>
      <w:r w:rsidR="00C23ACD">
        <w:rPr>
          <w:rFonts w:ascii="Verdana" w:hAnsi="Verdana" w:cs="Arial"/>
          <w:sz w:val="20"/>
          <w:szCs w:val="20"/>
        </w:rPr>
        <w:t>amended</w:t>
      </w:r>
    </w:p>
    <w:p w14:paraId="66FA8FC9" w14:textId="4C831337" w:rsidR="00C029A0" w:rsidRPr="00FB5E8C" w:rsidRDefault="00C23ACD"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3 Applications were accepted and conditional income management orders ended</w:t>
      </w:r>
      <w:r w:rsidRPr="00FB5E8C">
        <w:rPr>
          <w:rFonts w:ascii="Verdana" w:hAnsi="Verdana" w:cs="Arial"/>
          <w:sz w:val="20"/>
          <w:szCs w:val="20"/>
        </w:rPr>
        <w:t xml:space="preserve"> </w:t>
      </w:r>
      <w:r w:rsidR="00C029A0" w:rsidRPr="00FB5E8C">
        <w:rPr>
          <w:rFonts w:ascii="Verdana" w:hAnsi="Verdana" w:cs="Arial"/>
          <w:sz w:val="20"/>
          <w:szCs w:val="20"/>
        </w:rPr>
        <w:t>and</w:t>
      </w:r>
    </w:p>
    <w:p w14:paraId="5BCF4A4D" w14:textId="7654C313" w:rsidR="00C029A0" w:rsidRPr="000238EE" w:rsidRDefault="00CA1B19" w:rsidP="000238EE">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2</w:t>
      </w:r>
      <w:r w:rsidR="00C029A0" w:rsidRPr="00FB5E8C">
        <w:rPr>
          <w:rFonts w:ascii="Verdana" w:hAnsi="Verdana" w:cs="Arial"/>
          <w:sz w:val="20"/>
          <w:szCs w:val="20"/>
        </w:rPr>
        <w:t xml:space="preserve"> Application</w:t>
      </w:r>
      <w:r w:rsidR="007926BC">
        <w:rPr>
          <w:rFonts w:ascii="Verdana" w:hAnsi="Verdana" w:cs="Arial"/>
          <w:sz w:val="20"/>
          <w:szCs w:val="20"/>
        </w:rPr>
        <w:t>s</w:t>
      </w:r>
      <w:r w:rsidR="00C029A0" w:rsidRPr="00FB5E8C">
        <w:rPr>
          <w:rFonts w:ascii="Verdana" w:hAnsi="Verdana" w:cs="Arial"/>
          <w:sz w:val="20"/>
          <w:szCs w:val="20"/>
        </w:rPr>
        <w:t xml:space="preserve"> </w:t>
      </w:r>
      <w:r>
        <w:rPr>
          <w:rFonts w:ascii="Verdana" w:hAnsi="Verdana" w:cs="Arial"/>
          <w:sz w:val="20"/>
          <w:szCs w:val="20"/>
        </w:rPr>
        <w:t>were</w:t>
      </w:r>
      <w:r w:rsidR="004028FB" w:rsidRPr="00FB5E8C">
        <w:rPr>
          <w:rFonts w:ascii="Verdana" w:hAnsi="Verdana" w:cs="Arial"/>
          <w:sz w:val="20"/>
          <w:szCs w:val="20"/>
        </w:rPr>
        <w:t xml:space="preserve"> </w:t>
      </w:r>
      <w:r w:rsidR="00C029A0" w:rsidRPr="00FB5E8C">
        <w:rPr>
          <w:rFonts w:ascii="Verdana" w:hAnsi="Verdana" w:cs="Arial"/>
          <w:sz w:val="20"/>
          <w:szCs w:val="20"/>
        </w:rPr>
        <w:t>refused.</w:t>
      </w:r>
    </w:p>
    <w:p w14:paraId="3ED534EB" w14:textId="77777777" w:rsidR="00CA1B19" w:rsidRDefault="00CA1B19" w:rsidP="00B408D8">
      <w:pPr>
        <w:ind w:left="-142" w:right="-425"/>
        <w:jc w:val="both"/>
        <w:rPr>
          <w:rFonts w:cs="Arial"/>
        </w:rPr>
      </w:pPr>
    </w:p>
    <w:p w14:paraId="44D0AC43" w14:textId="26CB33FE" w:rsidR="00B9549C" w:rsidRDefault="00C029A0" w:rsidP="00B408D8">
      <w:pPr>
        <w:ind w:left="-142" w:right="-425"/>
        <w:jc w:val="both"/>
        <w:rPr>
          <w:rFonts w:cs="Arial"/>
        </w:rPr>
      </w:pPr>
      <w:r>
        <w:rPr>
          <w:rFonts w:cs="Arial"/>
        </w:rPr>
        <w:t>A total of</w:t>
      </w:r>
      <w:r w:rsidR="00464E31">
        <w:rPr>
          <w:rFonts w:cs="Arial"/>
        </w:rPr>
        <w:t xml:space="preserve"> </w:t>
      </w:r>
      <w:r w:rsidR="0011612A">
        <w:rPr>
          <w:rFonts w:cs="Arial"/>
        </w:rPr>
        <w:t>2</w:t>
      </w:r>
      <w:r w:rsidR="002425F8">
        <w:rPr>
          <w:rFonts w:cs="Arial"/>
        </w:rPr>
        <w:t>7</w:t>
      </w:r>
      <w:r w:rsidR="0011612A" w:rsidRPr="004F62C3">
        <w:rPr>
          <w:rFonts w:cs="Arial"/>
        </w:rPr>
        <w:t xml:space="preserve"> </w:t>
      </w:r>
      <w:r w:rsidR="00BF36AA" w:rsidRPr="004F62C3">
        <w:rPr>
          <w:rFonts w:cs="Arial"/>
        </w:rPr>
        <w:t>amend/end application</w:t>
      </w:r>
      <w:r w:rsidR="00DA57D8" w:rsidRPr="004F62C3">
        <w:rPr>
          <w:rFonts w:cs="Arial"/>
        </w:rPr>
        <w:t>s</w:t>
      </w:r>
      <w:r w:rsidR="00BF36AA" w:rsidRPr="004F62C3">
        <w:rPr>
          <w:rFonts w:cs="Arial"/>
        </w:rPr>
        <w:t xml:space="preserve"> for a voluntary agreement</w:t>
      </w:r>
      <w:r w:rsidR="00464E31">
        <w:rPr>
          <w:rFonts w:cs="Arial"/>
        </w:rPr>
        <w:t xml:space="preserve"> were decided</w:t>
      </w:r>
      <w:r w:rsidR="00211380">
        <w:rPr>
          <w:rFonts w:cs="Arial"/>
        </w:rPr>
        <w:t xml:space="preserve"> in the reporting period with all applications made by clients accepted by the FRC</w:t>
      </w:r>
      <w:r w:rsidR="00C37FA9">
        <w:rPr>
          <w:rFonts w:cs="Arial"/>
        </w:rPr>
        <w:t>.</w:t>
      </w:r>
      <w:r w:rsidR="00211380">
        <w:rPr>
          <w:rFonts w:cs="Arial"/>
        </w:rPr>
        <w:t xml:space="preserve"> A breakdown of the type of applications is as follows</w:t>
      </w:r>
      <w:r>
        <w:rPr>
          <w:rFonts w:cs="Arial"/>
        </w:rPr>
        <w:t>:</w:t>
      </w:r>
    </w:p>
    <w:p w14:paraId="5C96541D" w14:textId="77777777" w:rsidR="00C81DF4" w:rsidRDefault="00C81DF4" w:rsidP="00B408D8">
      <w:pPr>
        <w:ind w:left="-142" w:right="-425"/>
        <w:jc w:val="both"/>
        <w:rPr>
          <w:rFonts w:cs="Arial"/>
        </w:rPr>
      </w:pPr>
    </w:p>
    <w:p w14:paraId="1E5C4343" w14:textId="7D7A2B73" w:rsidR="00C029A0" w:rsidRPr="00FB5E8C" w:rsidRDefault="0011612A"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2</w:t>
      </w:r>
      <w:r w:rsidR="002425F8">
        <w:rPr>
          <w:rFonts w:ascii="Verdana" w:hAnsi="Verdana" w:cs="Arial"/>
          <w:sz w:val="20"/>
          <w:szCs w:val="20"/>
        </w:rPr>
        <w:t>4</w:t>
      </w:r>
      <w:r w:rsidR="00C029A0" w:rsidRPr="00FB5E8C">
        <w:rPr>
          <w:rFonts w:ascii="Verdana" w:hAnsi="Verdana" w:cs="Arial"/>
          <w:sz w:val="20"/>
          <w:szCs w:val="20"/>
        </w:rPr>
        <w:t xml:space="preserve"> Applications were accepted and voluntary income management agreements ended</w:t>
      </w:r>
    </w:p>
    <w:p w14:paraId="548D302A" w14:textId="4C424B94" w:rsidR="00C029A0" w:rsidRPr="00FB5E8C" w:rsidRDefault="00C029A0"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2 Applications were accepted and voluntary income management agreements amended</w:t>
      </w:r>
      <w:r w:rsidR="007A7B2F">
        <w:rPr>
          <w:rFonts w:ascii="Verdana" w:hAnsi="Verdana" w:cs="Arial"/>
          <w:sz w:val="20"/>
          <w:szCs w:val="20"/>
        </w:rPr>
        <w:t>,</w:t>
      </w:r>
      <w:r w:rsidRPr="00FB5E8C">
        <w:rPr>
          <w:rFonts w:ascii="Verdana" w:hAnsi="Verdana" w:cs="Arial"/>
          <w:sz w:val="20"/>
          <w:szCs w:val="20"/>
        </w:rPr>
        <w:t xml:space="preserve"> reducing from 90% to 60% for the remaining period of the voluntary agreement</w:t>
      </w:r>
    </w:p>
    <w:p w14:paraId="477D9865" w14:textId="19B83E7F" w:rsidR="00C029A0" w:rsidRPr="00FB5E8C" w:rsidRDefault="00C029A0"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1 Application was accepted and the voluntary income management agreement amended</w:t>
      </w:r>
      <w:r w:rsidR="007A7B2F">
        <w:rPr>
          <w:rFonts w:ascii="Verdana" w:hAnsi="Verdana" w:cs="Arial"/>
          <w:sz w:val="20"/>
          <w:szCs w:val="20"/>
        </w:rPr>
        <w:t>,</w:t>
      </w:r>
      <w:r w:rsidRPr="00FB5E8C">
        <w:rPr>
          <w:rFonts w:ascii="Verdana" w:hAnsi="Verdana" w:cs="Arial"/>
          <w:sz w:val="20"/>
          <w:szCs w:val="20"/>
        </w:rPr>
        <w:t xml:space="preserve"> reducing </w:t>
      </w:r>
      <w:r w:rsidR="0011612A" w:rsidRPr="00FB5E8C">
        <w:rPr>
          <w:rFonts w:ascii="Verdana" w:hAnsi="Verdana" w:cs="Arial"/>
          <w:sz w:val="20"/>
          <w:szCs w:val="20"/>
        </w:rPr>
        <w:t xml:space="preserve">from </w:t>
      </w:r>
      <w:r w:rsidR="0011612A">
        <w:rPr>
          <w:rFonts w:ascii="Verdana" w:hAnsi="Verdana" w:cs="Arial"/>
          <w:sz w:val="20"/>
          <w:szCs w:val="20"/>
        </w:rPr>
        <w:t>75</w:t>
      </w:r>
      <w:r w:rsidR="0011612A" w:rsidRPr="00FB5E8C">
        <w:rPr>
          <w:rFonts w:ascii="Verdana" w:hAnsi="Verdana" w:cs="Arial"/>
          <w:sz w:val="20"/>
          <w:szCs w:val="20"/>
        </w:rPr>
        <w:t>% to 60% for the remaining period of the voluntary agreement</w:t>
      </w:r>
      <w:r w:rsidR="0011612A">
        <w:rPr>
          <w:rFonts w:ascii="Verdana" w:hAnsi="Verdana" w:cs="Arial"/>
          <w:sz w:val="20"/>
          <w:szCs w:val="20"/>
        </w:rPr>
        <w:t>.</w:t>
      </w:r>
    </w:p>
    <w:p w14:paraId="7C8DE59B" w14:textId="77777777" w:rsidR="00A10F39" w:rsidRDefault="00A10F39" w:rsidP="00FF351C">
      <w:pPr>
        <w:ind w:left="-142" w:right="-425"/>
        <w:jc w:val="both"/>
      </w:pPr>
    </w:p>
    <w:p w14:paraId="477AE162" w14:textId="7BDD389A" w:rsidR="00477817" w:rsidRPr="004F478C" w:rsidRDefault="00353EB2" w:rsidP="004F478C">
      <w:pPr>
        <w:ind w:left="-142" w:right="-425"/>
        <w:jc w:val="both"/>
      </w:pPr>
      <w:r>
        <w:t>Th</w:t>
      </w:r>
      <w:r w:rsidR="005A5B78" w:rsidRPr="00E34093">
        <w:t>e Commission continues to encourage clients to participa</w:t>
      </w:r>
      <w:r w:rsidR="0061573D">
        <w:t xml:space="preserve">te in the </w:t>
      </w:r>
      <w:r w:rsidR="007A7B2F">
        <w:t>a</w:t>
      </w:r>
      <w:r w:rsidR="0061573D">
        <w:t xml:space="preserve">mend or </w:t>
      </w:r>
      <w:r w:rsidR="007A7B2F">
        <w:t>e</w:t>
      </w:r>
      <w:r w:rsidR="0061573D">
        <w:t>nd process.</w:t>
      </w:r>
      <w:r w:rsidR="005A5B78" w:rsidRPr="00E34093">
        <w:t xml:space="preserve"> Commissioners </w:t>
      </w:r>
      <w:r w:rsidR="00FB4B1F">
        <w:t>consider that the participation of clients in the amend/end process is indicative of c</w:t>
      </w:r>
      <w:r w:rsidR="005A5B78" w:rsidRPr="00E34093">
        <w:t>lient confidence to question decisions and the reasons behind decisions, both for decisions delivered by the Commission and decisions delivered by external agencies and bodies.</w:t>
      </w:r>
      <w:bookmarkStart w:id="18" w:name="_Toc222226583"/>
      <w:bookmarkStart w:id="19" w:name="_Toc304386232"/>
      <w:bookmarkStart w:id="20" w:name="_Toc304386309"/>
      <w:bookmarkStart w:id="21" w:name="_Toc306011182"/>
      <w:r w:rsidR="00477817">
        <w:br w:type="page"/>
      </w:r>
    </w:p>
    <w:p w14:paraId="0CA7602F" w14:textId="7A2062CA" w:rsidR="0013112F" w:rsidRDefault="0013112F" w:rsidP="00D51DFA">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06EBD9E4" w:rsidR="0013112F" w:rsidRDefault="0013112F" w:rsidP="0013112F">
      <w:pPr>
        <w:ind w:left="-142"/>
        <w:jc w:val="both"/>
      </w:pPr>
      <w:r w:rsidRPr="006C6A65">
        <w:rPr>
          <w:b/>
          <w:sz w:val="16"/>
          <w:szCs w:val="16"/>
        </w:rPr>
        <w:t xml:space="preserve">Table </w:t>
      </w:r>
      <w:r w:rsidR="001C1891">
        <w:rPr>
          <w:b/>
          <w:sz w:val="16"/>
          <w:szCs w:val="16"/>
        </w:rPr>
        <w:t>28</w:t>
      </w:r>
      <w:r w:rsidRPr="006C6A65">
        <w:rPr>
          <w:b/>
          <w:sz w:val="16"/>
          <w:szCs w:val="16"/>
        </w:rPr>
        <w:t>:</w:t>
      </w:r>
      <w:r w:rsidRPr="006C6A65">
        <w:rPr>
          <w:sz w:val="16"/>
          <w:szCs w:val="16"/>
        </w:rPr>
        <w:t xml:space="preserve"> </w:t>
      </w:r>
      <w:r>
        <w:rPr>
          <w:sz w:val="16"/>
          <w:szCs w:val="16"/>
        </w:rPr>
        <w:t xml:space="preserve">FRC client population by gender and age </w:t>
      </w:r>
      <w:r w:rsidR="00F83C14">
        <w:rPr>
          <w:sz w:val="16"/>
          <w:szCs w:val="16"/>
        </w:rPr>
        <w:t xml:space="preserve">1 </w:t>
      </w:r>
      <w:r w:rsidR="000D553F">
        <w:rPr>
          <w:sz w:val="16"/>
          <w:szCs w:val="16"/>
        </w:rPr>
        <w:t xml:space="preserve">October </w:t>
      </w:r>
      <w:r w:rsidR="009A7C28">
        <w:rPr>
          <w:sz w:val="16"/>
          <w:szCs w:val="16"/>
        </w:rPr>
        <w:t>2021</w:t>
      </w:r>
      <w:r w:rsidR="00FC7F2E">
        <w:rPr>
          <w:sz w:val="16"/>
          <w:szCs w:val="16"/>
        </w:rPr>
        <w:t xml:space="preserve"> to </w:t>
      </w:r>
      <w:r w:rsidR="00F83C14">
        <w:rPr>
          <w:sz w:val="16"/>
          <w:szCs w:val="16"/>
        </w:rPr>
        <w:t>3</w:t>
      </w:r>
      <w:r w:rsidR="000D553F">
        <w:rPr>
          <w:sz w:val="16"/>
          <w:szCs w:val="16"/>
        </w:rPr>
        <w:t xml:space="preserve">1 December </w:t>
      </w:r>
      <w:r w:rsidR="009A7C28">
        <w:rPr>
          <w:sz w:val="16"/>
          <w:szCs w:val="16"/>
        </w:rPr>
        <w:t>2021</w:t>
      </w:r>
    </w:p>
    <w:p w14:paraId="24F3C459" w14:textId="77777777" w:rsidR="0013112F" w:rsidRPr="007F7FD6" w:rsidRDefault="0013112F" w:rsidP="0013112F">
      <w:pPr>
        <w:ind w:left="-142"/>
        <w:jc w:val="both"/>
        <w:rPr>
          <w:sz w:val="16"/>
          <w:szCs w:val="16"/>
        </w:rPr>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DA57D8" w14:paraId="0C5B3812" w14:textId="77777777" w:rsidTr="00925DD5">
        <w:tc>
          <w:tcPr>
            <w:tcW w:w="5127" w:type="dxa"/>
          </w:tcPr>
          <w:p w14:paraId="465196A7" w14:textId="2741AD5F" w:rsidR="00DA57D8" w:rsidRDefault="00DA57D8" w:rsidP="00DA57D8">
            <w:pPr>
              <w:spacing w:line="240" w:lineRule="auto"/>
            </w:pPr>
            <w:r>
              <w:t>Clients for whom a notice was received</w:t>
            </w:r>
            <w:r>
              <w:rPr>
                <w:rStyle w:val="FootnoteReference"/>
              </w:rPr>
              <w:footnoteReference w:id="12"/>
            </w:r>
          </w:p>
        </w:tc>
        <w:tc>
          <w:tcPr>
            <w:tcW w:w="1026" w:type="dxa"/>
            <w:vAlign w:val="center"/>
          </w:tcPr>
          <w:p w14:paraId="430D610E" w14:textId="184B5B69" w:rsidR="00DA57D8" w:rsidRPr="00EF2D65" w:rsidRDefault="002574D4" w:rsidP="00DA57D8">
            <w:pPr>
              <w:spacing w:line="240" w:lineRule="auto"/>
              <w:jc w:val="right"/>
            </w:pPr>
            <w:r>
              <w:t>370</w:t>
            </w:r>
          </w:p>
        </w:tc>
        <w:tc>
          <w:tcPr>
            <w:tcW w:w="875" w:type="dxa"/>
            <w:vAlign w:val="center"/>
          </w:tcPr>
          <w:p w14:paraId="73512E80" w14:textId="1A08B573" w:rsidR="00DA57D8" w:rsidRPr="00EF2D65" w:rsidRDefault="002574D4" w:rsidP="00DA57D8">
            <w:pPr>
              <w:spacing w:line="240" w:lineRule="auto"/>
              <w:jc w:val="right"/>
            </w:pPr>
            <w:r>
              <w:t>20</w:t>
            </w:r>
            <w:r w:rsidR="004D1D19">
              <w:t>9</w:t>
            </w:r>
          </w:p>
        </w:tc>
        <w:tc>
          <w:tcPr>
            <w:tcW w:w="463" w:type="dxa"/>
            <w:vAlign w:val="center"/>
          </w:tcPr>
          <w:p w14:paraId="0C71CB3B" w14:textId="3FB83C2E" w:rsidR="00DA57D8" w:rsidRPr="00EF2D65" w:rsidRDefault="00DA57D8" w:rsidP="00DA57D8">
            <w:pPr>
              <w:spacing w:line="240" w:lineRule="auto"/>
              <w:jc w:val="right"/>
            </w:pPr>
          </w:p>
        </w:tc>
        <w:tc>
          <w:tcPr>
            <w:tcW w:w="1140" w:type="dxa"/>
            <w:vAlign w:val="center"/>
          </w:tcPr>
          <w:p w14:paraId="048E4B1D" w14:textId="4353F943" w:rsidR="00DA57D8" w:rsidRPr="00EF2D65" w:rsidRDefault="002574D4" w:rsidP="00DA57D8">
            <w:pPr>
              <w:spacing w:line="240" w:lineRule="auto"/>
              <w:jc w:val="right"/>
            </w:pPr>
            <w:r>
              <w:t>38</w:t>
            </w:r>
          </w:p>
        </w:tc>
        <w:tc>
          <w:tcPr>
            <w:tcW w:w="1140" w:type="dxa"/>
            <w:vAlign w:val="center"/>
          </w:tcPr>
          <w:p w14:paraId="61E43F3F" w14:textId="7B36A8EC" w:rsidR="00DA57D8" w:rsidRPr="00EF2D65" w:rsidRDefault="002574D4" w:rsidP="00DA57D8">
            <w:pPr>
              <w:spacing w:line="240" w:lineRule="auto"/>
              <w:jc w:val="right"/>
            </w:pPr>
            <w:r>
              <w:t>39</w:t>
            </w:r>
          </w:p>
        </w:tc>
      </w:tr>
      <w:tr w:rsidR="00143912" w14:paraId="0C43D4D1" w14:textId="77777777" w:rsidTr="00925DD5">
        <w:tc>
          <w:tcPr>
            <w:tcW w:w="5127" w:type="dxa"/>
          </w:tcPr>
          <w:p w14:paraId="2282B866" w14:textId="3960C31B" w:rsidR="00143912" w:rsidRDefault="00143912" w:rsidP="00143912">
            <w:pPr>
              <w:spacing w:line="240" w:lineRule="auto"/>
            </w:pPr>
            <w:r>
              <w:t>Clients who conferenced</w:t>
            </w:r>
            <w:r>
              <w:rPr>
                <w:rStyle w:val="FootnoteReference"/>
              </w:rPr>
              <w:footnoteReference w:id="13"/>
            </w:r>
          </w:p>
        </w:tc>
        <w:tc>
          <w:tcPr>
            <w:tcW w:w="1026" w:type="dxa"/>
            <w:vAlign w:val="center"/>
          </w:tcPr>
          <w:p w14:paraId="0BE8DAD4" w14:textId="1141A77D" w:rsidR="00143912" w:rsidRPr="00143912" w:rsidRDefault="00143912" w:rsidP="00143912">
            <w:pPr>
              <w:spacing w:line="240" w:lineRule="auto"/>
              <w:jc w:val="right"/>
            </w:pPr>
            <w:r w:rsidRPr="00143912">
              <w:rPr>
                <w:rFonts w:cs="Arial"/>
              </w:rPr>
              <w:t>194</w:t>
            </w:r>
          </w:p>
        </w:tc>
        <w:tc>
          <w:tcPr>
            <w:tcW w:w="875" w:type="dxa"/>
            <w:vAlign w:val="center"/>
          </w:tcPr>
          <w:p w14:paraId="7F1FAC36" w14:textId="1EC32A86" w:rsidR="00143912" w:rsidRPr="00143912" w:rsidRDefault="00143912" w:rsidP="00143912">
            <w:pPr>
              <w:spacing w:line="240" w:lineRule="auto"/>
              <w:jc w:val="right"/>
            </w:pPr>
            <w:r w:rsidRPr="00143912">
              <w:rPr>
                <w:rFonts w:cs="Arial"/>
              </w:rPr>
              <w:t>78</w:t>
            </w:r>
          </w:p>
        </w:tc>
        <w:tc>
          <w:tcPr>
            <w:tcW w:w="463" w:type="dxa"/>
            <w:vAlign w:val="center"/>
          </w:tcPr>
          <w:p w14:paraId="7D1E9278" w14:textId="7E3911E0" w:rsidR="00143912" w:rsidRPr="00EF2D65" w:rsidRDefault="00143912" w:rsidP="00143912">
            <w:pPr>
              <w:spacing w:line="240" w:lineRule="auto"/>
              <w:jc w:val="right"/>
            </w:pPr>
          </w:p>
        </w:tc>
        <w:tc>
          <w:tcPr>
            <w:tcW w:w="1140" w:type="dxa"/>
            <w:vAlign w:val="center"/>
          </w:tcPr>
          <w:p w14:paraId="18E5F35E" w14:textId="5BD350EF" w:rsidR="00143912" w:rsidRPr="00143912" w:rsidRDefault="00143912" w:rsidP="00143912">
            <w:pPr>
              <w:spacing w:line="240" w:lineRule="auto"/>
              <w:jc w:val="right"/>
            </w:pPr>
            <w:r w:rsidRPr="00143912">
              <w:rPr>
                <w:rFonts w:cs="Arial"/>
              </w:rPr>
              <w:t>36</w:t>
            </w:r>
          </w:p>
        </w:tc>
        <w:tc>
          <w:tcPr>
            <w:tcW w:w="1140" w:type="dxa"/>
            <w:vAlign w:val="center"/>
          </w:tcPr>
          <w:p w14:paraId="48B614AC" w14:textId="54D4CAC6" w:rsidR="00143912" w:rsidRPr="00143912" w:rsidRDefault="00143912" w:rsidP="00143912">
            <w:pPr>
              <w:spacing w:line="240" w:lineRule="auto"/>
              <w:jc w:val="right"/>
            </w:pPr>
            <w:r w:rsidRPr="00143912">
              <w:rPr>
                <w:rFonts w:cs="Arial"/>
              </w:rPr>
              <w:t>39</w:t>
            </w:r>
          </w:p>
        </w:tc>
      </w:tr>
      <w:tr w:rsidR="00143912" w14:paraId="4205C91F" w14:textId="77777777" w:rsidTr="00925DD5">
        <w:tc>
          <w:tcPr>
            <w:tcW w:w="5127" w:type="dxa"/>
          </w:tcPr>
          <w:p w14:paraId="2820947A" w14:textId="0B2D1E31" w:rsidR="00143912" w:rsidRDefault="00143912" w:rsidP="00143912">
            <w:pPr>
              <w:spacing w:line="240" w:lineRule="auto"/>
            </w:pPr>
            <w:r w:rsidRPr="00423006">
              <w:t>Clients referred through Family Responsibilities Agreements and Family Responsibilities Orders</w:t>
            </w:r>
            <w:r>
              <w:rPr>
                <w:rStyle w:val="FootnoteReference"/>
              </w:rPr>
              <w:footnoteReference w:id="14"/>
            </w:r>
          </w:p>
        </w:tc>
        <w:tc>
          <w:tcPr>
            <w:tcW w:w="1026" w:type="dxa"/>
            <w:vAlign w:val="center"/>
          </w:tcPr>
          <w:p w14:paraId="04ECC2CC" w14:textId="327CA20D" w:rsidR="00143912" w:rsidRPr="00143912" w:rsidRDefault="00143912" w:rsidP="00143912">
            <w:pPr>
              <w:spacing w:line="240" w:lineRule="auto"/>
              <w:jc w:val="right"/>
            </w:pPr>
            <w:r w:rsidRPr="00143912">
              <w:rPr>
                <w:rFonts w:cs="Arial"/>
              </w:rPr>
              <w:t>64</w:t>
            </w:r>
          </w:p>
        </w:tc>
        <w:tc>
          <w:tcPr>
            <w:tcW w:w="875" w:type="dxa"/>
            <w:vAlign w:val="center"/>
          </w:tcPr>
          <w:p w14:paraId="09F9C19D" w14:textId="726189F0" w:rsidR="00143912" w:rsidRPr="00143912" w:rsidRDefault="00143912" w:rsidP="00143912">
            <w:pPr>
              <w:spacing w:line="240" w:lineRule="auto"/>
              <w:jc w:val="right"/>
            </w:pPr>
            <w:r w:rsidRPr="00143912">
              <w:rPr>
                <w:rFonts w:cs="Arial"/>
              </w:rPr>
              <w:t>27</w:t>
            </w:r>
          </w:p>
        </w:tc>
        <w:tc>
          <w:tcPr>
            <w:tcW w:w="463" w:type="dxa"/>
            <w:vAlign w:val="center"/>
          </w:tcPr>
          <w:p w14:paraId="4D854BAC" w14:textId="17999EDB" w:rsidR="00143912" w:rsidRPr="00EF2D65" w:rsidRDefault="00143912" w:rsidP="00143912">
            <w:pPr>
              <w:spacing w:line="240" w:lineRule="auto"/>
              <w:jc w:val="right"/>
            </w:pPr>
          </w:p>
        </w:tc>
        <w:tc>
          <w:tcPr>
            <w:tcW w:w="1140" w:type="dxa"/>
            <w:vAlign w:val="center"/>
          </w:tcPr>
          <w:p w14:paraId="0DB4E2B3" w14:textId="475F0C84" w:rsidR="00143912" w:rsidRPr="00143912" w:rsidRDefault="00143912" w:rsidP="00143912">
            <w:pPr>
              <w:spacing w:line="240" w:lineRule="auto"/>
              <w:jc w:val="right"/>
            </w:pPr>
            <w:r w:rsidRPr="00143912">
              <w:rPr>
                <w:rFonts w:cs="Arial"/>
              </w:rPr>
              <w:t>35</w:t>
            </w:r>
          </w:p>
        </w:tc>
        <w:tc>
          <w:tcPr>
            <w:tcW w:w="1140" w:type="dxa"/>
            <w:vAlign w:val="center"/>
          </w:tcPr>
          <w:p w14:paraId="6F699F00" w14:textId="247010D3" w:rsidR="00143912" w:rsidRPr="00143912" w:rsidRDefault="00143912" w:rsidP="00143912">
            <w:pPr>
              <w:spacing w:line="240" w:lineRule="auto"/>
              <w:jc w:val="right"/>
            </w:pPr>
            <w:r w:rsidRPr="00143912">
              <w:rPr>
                <w:rFonts w:cs="Arial"/>
              </w:rPr>
              <w:t>36</w:t>
            </w:r>
          </w:p>
        </w:tc>
      </w:tr>
      <w:tr w:rsidR="00143912" w14:paraId="70BB454E" w14:textId="77777777" w:rsidTr="00A242DD">
        <w:tc>
          <w:tcPr>
            <w:tcW w:w="5127" w:type="dxa"/>
          </w:tcPr>
          <w:p w14:paraId="5B5E85C7" w14:textId="7C85BD17" w:rsidR="00143912" w:rsidRPr="00C6538C" w:rsidRDefault="00143912" w:rsidP="00143912">
            <w:pPr>
              <w:spacing w:line="240" w:lineRule="auto"/>
            </w:pPr>
            <w:r w:rsidRPr="00423006">
              <w:t>Clients placed on CIM</w:t>
            </w:r>
            <w:r w:rsidRPr="00C6538C">
              <w:rPr>
                <w:rStyle w:val="FootnoteReference"/>
              </w:rPr>
              <w:footnoteReference w:id="15"/>
            </w:r>
          </w:p>
        </w:tc>
        <w:tc>
          <w:tcPr>
            <w:tcW w:w="1026" w:type="dxa"/>
            <w:vAlign w:val="center"/>
          </w:tcPr>
          <w:p w14:paraId="543F073F" w14:textId="22F5A564" w:rsidR="00143912" w:rsidRPr="00143912" w:rsidRDefault="00143912" w:rsidP="00143912">
            <w:pPr>
              <w:spacing w:line="240" w:lineRule="auto"/>
              <w:jc w:val="right"/>
              <w:rPr>
                <w:rFonts w:cs="Arial"/>
              </w:rPr>
            </w:pPr>
            <w:r w:rsidRPr="00143912">
              <w:rPr>
                <w:rFonts w:cs="Arial"/>
              </w:rPr>
              <w:t>24</w:t>
            </w:r>
          </w:p>
        </w:tc>
        <w:tc>
          <w:tcPr>
            <w:tcW w:w="875" w:type="dxa"/>
            <w:vAlign w:val="center"/>
          </w:tcPr>
          <w:p w14:paraId="1105ED08" w14:textId="44D6A1B4" w:rsidR="00143912" w:rsidRPr="00143912" w:rsidRDefault="00143912" w:rsidP="00143912">
            <w:pPr>
              <w:spacing w:line="240" w:lineRule="auto"/>
              <w:jc w:val="right"/>
              <w:rPr>
                <w:rFonts w:cs="Arial"/>
              </w:rPr>
            </w:pPr>
            <w:r w:rsidRPr="00143912">
              <w:rPr>
                <w:rFonts w:cs="Arial"/>
              </w:rPr>
              <w:t>5</w:t>
            </w:r>
          </w:p>
        </w:tc>
        <w:tc>
          <w:tcPr>
            <w:tcW w:w="463" w:type="dxa"/>
            <w:vAlign w:val="center"/>
          </w:tcPr>
          <w:p w14:paraId="2B630A06" w14:textId="77777777" w:rsidR="00143912" w:rsidRPr="00EF2D65" w:rsidRDefault="00143912" w:rsidP="00143912">
            <w:pPr>
              <w:spacing w:line="240" w:lineRule="auto"/>
              <w:jc w:val="right"/>
              <w:rPr>
                <w:rFonts w:cs="Arial"/>
              </w:rPr>
            </w:pPr>
          </w:p>
        </w:tc>
        <w:tc>
          <w:tcPr>
            <w:tcW w:w="1140" w:type="dxa"/>
            <w:vAlign w:val="center"/>
          </w:tcPr>
          <w:p w14:paraId="118451EA" w14:textId="7A424591" w:rsidR="00143912" w:rsidRPr="00143912" w:rsidRDefault="00143912" w:rsidP="00143912">
            <w:pPr>
              <w:spacing w:line="240" w:lineRule="auto"/>
              <w:jc w:val="right"/>
              <w:rPr>
                <w:rFonts w:cs="Arial"/>
              </w:rPr>
            </w:pPr>
            <w:r w:rsidRPr="00143912">
              <w:rPr>
                <w:rFonts w:cs="Arial"/>
              </w:rPr>
              <w:t>33</w:t>
            </w:r>
          </w:p>
        </w:tc>
        <w:tc>
          <w:tcPr>
            <w:tcW w:w="1140" w:type="dxa"/>
            <w:vAlign w:val="center"/>
          </w:tcPr>
          <w:p w14:paraId="1C47274C" w14:textId="5B73C07D" w:rsidR="00143912" w:rsidRPr="00143912" w:rsidRDefault="00143912" w:rsidP="00143912">
            <w:pPr>
              <w:spacing w:line="240" w:lineRule="auto"/>
              <w:jc w:val="right"/>
              <w:rPr>
                <w:rFonts w:cs="Arial"/>
              </w:rPr>
            </w:pPr>
            <w:r w:rsidRPr="00143912">
              <w:rPr>
                <w:rFonts w:cs="Arial"/>
              </w:rPr>
              <w:t>43</w:t>
            </w:r>
          </w:p>
        </w:tc>
      </w:tr>
      <w:tr w:rsidR="00143912" w14:paraId="5BC6E4C0" w14:textId="77777777" w:rsidTr="00925DD5">
        <w:tc>
          <w:tcPr>
            <w:tcW w:w="5127" w:type="dxa"/>
          </w:tcPr>
          <w:p w14:paraId="1F3A9B4D" w14:textId="68F637B4" w:rsidR="00143912" w:rsidRDefault="00143912" w:rsidP="00143912">
            <w:pPr>
              <w:spacing w:line="240" w:lineRule="auto"/>
            </w:pPr>
            <w:r w:rsidRPr="00423006">
              <w:t>Clients referred through a Voluntary Agreement</w:t>
            </w:r>
            <w:r>
              <w:t xml:space="preserve"> for a case plan</w:t>
            </w:r>
            <w:r>
              <w:rPr>
                <w:rStyle w:val="FootnoteReference"/>
              </w:rPr>
              <w:footnoteReference w:id="16"/>
            </w:r>
          </w:p>
        </w:tc>
        <w:tc>
          <w:tcPr>
            <w:tcW w:w="1026" w:type="dxa"/>
            <w:vAlign w:val="center"/>
          </w:tcPr>
          <w:p w14:paraId="26649358" w14:textId="79064EF4" w:rsidR="00143912" w:rsidRPr="00143912" w:rsidRDefault="00143912" w:rsidP="00143912">
            <w:pPr>
              <w:spacing w:line="240" w:lineRule="auto"/>
              <w:jc w:val="right"/>
            </w:pPr>
            <w:r w:rsidRPr="00143912">
              <w:rPr>
                <w:rFonts w:cs="Arial"/>
              </w:rPr>
              <w:t>1</w:t>
            </w:r>
          </w:p>
        </w:tc>
        <w:tc>
          <w:tcPr>
            <w:tcW w:w="875" w:type="dxa"/>
            <w:vAlign w:val="center"/>
          </w:tcPr>
          <w:p w14:paraId="7B755D8C" w14:textId="020FDB4F" w:rsidR="00143912" w:rsidRPr="00143912" w:rsidRDefault="00143912" w:rsidP="00143912">
            <w:pPr>
              <w:spacing w:line="240" w:lineRule="auto"/>
              <w:jc w:val="right"/>
            </w:pPr>
            <w:r w:rsidRPr="00143912">
              <w:rPr>
                <w:rFonts w:cs="Arial"/>
              </w:rPr>
              <w:t>0</w:t>
            </w:r>
          </w:p>
        </w:tc>
        <w:tc>
          <w:tcPr>
            <w:tcW w:w="463" w:type="dxa"/>
          </w:tcPr>
          <w:p w14:paraId="6092C81B" w14:textId="77777777" w:rsidR="00143912" w:rsidRPr="00EF2D65" w:rsidRDefault="00143912" w:rsidP="00143912">
            <w:pPr>
              <w:spacing w:line="240" w:lineRule="auto"/>
              <w:jc w:val="right"/>
            </w:pPr>
          </w:p>
        </w:tc>
        <w:tc>
          <w:tcPr>
            <w:tcW w:w="1140" w:type="dxa"/>
            <w:vAlign w:val="center"/>
          </w:tcPr>
          <w:p w14:paraId="7A13A493" w14:textId="02AC5C26" w:rsidR="00143912" w:rsidRPr="00143912" w:rsidRDefault="00143912" w:rsidP="00143912">
            <w:pPr>
              <w:spacing w:line="240" w:lineRule="auto"/>
              <w:jc w:val="right"/>
            </w:pPr>
            <w:r w:rsidRPr="00143912">
              <w:rPr>
                <w:rFonts w:cs="Arial"/>
              </w:rPr>
              <w:t>48</w:t>
            </w:r>
          </w:p>
        </w:tc>
        <w:tc>
          <w:tcPr>
            <w:tcW w:w="1140" w:type="dxa"/>
            <w:vAlign w:val="center"/>
          </w:tcPr>
          <w:p w14:paraId="5E9D8367" w14:textId="2957BE07" w:rsidR="00143912" w:rsidRPr="00143912" w:rsidRDefault="00143912" w:rsidP="00143912">
            <w:pPr>
              <w:spacing w:line="240" w:lineRule="auto"/>
              <w:jc w:val="right"/>
            </w:pPr>
            <w:r w:rsidRPr="00143912">
              <w:rPr>
                <w:rFonts w:cs="Arial"/>
              </w:rPr>
              <w:t>0</w:t>
            </w:r>
          </w:p>
        </w:tc>
      </w:tr>
      <w:tr w:rsidR="00143912" w14:paraId="323DBB29" w14:textId="77777777" w:rsidTr="00925DD5">
        <w:tc>
          <w:tcPr>
            <w:tcW w:w="5127" w:type="dxa"/>
          </w:tcPr>
          <w:p w14:paraId="2B63FDBC" w14:textId="0B2D08D4" w:rsidR="00143912" w:rsidRDefault="00143912" w:rsidP="00143912">
            <w:pPr>
              <w:spacing w:line="240" w:lineRule="auto"/>
            </w:pPr>
            <w:r w:rsidRPr="00EB1F9E">
              <w:t>Clients who chose to participate in VIM</w:t>
            </w:r>
            <w:r>
              <w:rPr>
                <w:rStyle w:val="FootnoteReference"/>
              </w:rPr>
              <w:footnoteReference w:id="17"/>
            </w:r>
          </w:p>
        </w:tc>
        <w:tc>
          <w:tcPr>
            <w:tcW w:w="1026" w:type="dxa"/>
            <w:vAlign w:val="center"/>
          </w:tcPr>
          <w:p w14:paraId="3609E59F" w14:textId="355D1222" w:rsidR="00143912" w:rsidRPr="00143912" w:rsidRDefault="00143912" w:rsidP="00143912">
            <w:pPr>
              <w:spacing w:line="240" w:lineRule="auto"/>
              <w:jc w:val="right"/>
              <w:rPr>
                <w:rFonts w:cs="Arial"/>
              </w:rPr>
            </w:pPr>
            <w:r w:rsidRPr="00143912">
              <w:rPr>
                <w:rFonts w:cs="Arial"/>
              </w:rPr>
              <w:t>21</w:t>
            </w:r>
          </w:p>
        </w:tc>
        <w:tc>
          <w:tcPr>
            <w:tcW w:w="875" w:type="dxa"/>
            <w:vAlign w:val="center"/>
          </w:tcPr>
          <w:p w14:paraId="34BAD3D0" w14:textId="0FD236F6" w:rsidR="00143912" w:rsidRPr="00143912" w:rsidRDefault="00143912" w:rsidP="00143912">
            <w:pPr>
              <w:spacing w:line="240" w:lineRule="auto"/>
              <w:jc w:val="right"/>
              <w:rPr>
                <w:rFonts w:cs="Arial"/>
              </w:rPr>
            </w:pPr>
            <w:r w:rsidRPr="00143912">
              <w:rPr>
                <w:rFonts w:cs="Arial"/>
              </w:rPr>
              <w:t>1</w:t>
            </w:r>
            <w:r w:rsidR="0023758A">
              <w:rPr>
                <w:rFonts w:cs="Arial"/>
              </w:rPr>
              <w:t>2</w:t>
            </w:r>
          </w:p>
        </w:tc>
        <w:tc>
          <w:tcPr>
            <w:tcW w:w="463" w:type="dxa"/>
          </w:tcPr>
          <w:p w14:paraId="7E5C9E3D" w14:textId="77777777" w:rsidR="00143912" w:rsidRPr="00EF2D65" w:rsidRDefault="00143912" w:rsidP="00143912">
            <w:pPr>
              <w:spacing w:line="240" w:lineRule="auto"/>
              <w:jc w:val="right"/>
            </w:pPr>
          </w:p>
        </w:tc>
        <w:tc>
          <w:tcPr>
            <w:tcW w:w="1140" w:type="dxa"/>
            <w:vAlign w:val="center"/>
          </w:tcPr>
          <w:p w14:paraId="422F7588" w14:textId="2621CA12" w:rsidR="00143912" w:rsidRPr="00143912" w:rsidRDefault="00143912" w:rsidP="00143912">
            <w:pPr>
              <w:spacing w:line="240" w:lineRule="auto"/>
              <w:jc w:val="right"/>
              <w:rPr>
                <w:rFonts w:cs="Arial"/>
              </w:rPr>
            </w:pPr>
            <w:r w:rsidRPr="00143912">
              <w:rPr>
                <w:rFonts w:cs="Arial"/>
              </w:rPr>
              <w:t>51</w:t>
            </w:r>
          </w:p>
        </w:tc>
        <w:tc>
          <w:tcPr>
            <w:tcW w:w="1140" w:type="dxa"/>
            <w:vAlign w:val="center"/>
          </w:tcPr>
          <w:p w14:paraId="31BCC77C" w14:textId="4186EE79" w:rsidR="00143912" w:rsidRPr="00143912" w:rsidRDefault="00143912" w:rsidP="00143912">
            <w:pPr>
              <w:spacing w:line="240" w:lineRule="auto"/>
              <w:jc w:val="right"/>
              <w:rPr>
                <w:rFonts w:cs="Arial"/>
              </w:rPr>
            </w:pPr>
            <w:r w:rsidRPr="00143912">
              <w:rPr>
                <w:rFonts w:cs="Arial"/>
              </w:rPr>
              <w:t>4</w:t>
            </w:r>
            <w:r w:rsidR="0023758A">
              <w:rPr>
                <w:rFonts w:cs="Arial"/>
              </w:rPr>
              <w:t>8</w:t>
            </w:r>
          </w:p>
        </w:tc>
      </w:tr>
      <w:tr w:rsidR="00143912" w14:paraId="444AB815" w14:textId="77777777" w:rsidTr="00925DD5">
        <w:tc>
          <w:tcPr>
            <w:tcW w:w="5127" w:type="dxa"/>
          </w:tcPr>
          <w:p w14:paraId="018D049C" w14:textId="2D915E58" w:rsidR="00143912" w:rsidRPr="00423006" w:rsidRDefault="00143912" w:rsidP="00143912">
            <w:pPr>
              <w:spacing w:line="240" w:lineRule="auto"/>
            </w:pPr>
            <w:r w:rsidRPr="00423006">
              <w:t>Clients who submitted an amend/end application</w:t>
            </w:r>
            <w:r>
              <w:rPr>
                <w:rStyle w:val="FootnoteReference"/>
              </w:rPr>
              <w:footnoteReference w:id="18"/>
            </w:r>
          </w:p>
        </w:tc>
        <w:tc>
          <w:tcPr>
            <w:tcW w:w="1026" w:type="dxa"/>
            <w:vAlign w:val="center"/>
          </w:tcPr>
          <w:p w14:paraId="19F68514" w14:textId="233BBF7D" w:rsidR="00143912" w:rsidRPr="00143912" w:rsidRDefault="00143912" w:rsidP="00143912">
            <w:pPr>
              <w:spacing w:line="240" w:lineRule="auto"/>
              <w:jc w:val="right"/>
              <w:rPr>
                <w:rFonts w:cs="Arial"/>
              </w:rPr>
            </w:pPr>
            <w:r w:rsidRPr="00143912">
              <w:rPr>
                <w:rFonts w:cs="Arial"/>
              </w:rPr>
              <w:t>19</w:t>
            </w:r>
          </w:p>
        </w:tc>
        <w:tc>
          <w:tcPr>
            <w:tcW w:w="875" w:type="dxa"/>
            <w:vAlign w:val="center"/>
          </w:tcPr>
          <w:p w14:paraId="215C10C8" w14:textId="462DE6B7" w:rsidR="00143912" w:rsidRPr="00143912" w:rsidRDefault="00143912" w:rsidP="00143912">
            <w:pPr>
              <w:spacing w:line="240" w:lineRule="auto"/>
              <w:jc w:val="right"/>
              <w:rPr>
                <w:rFonts w:cs="Arial"/>
              </w:rPr>
            </w:pPr>
            <w:r w:rsidRPr="00143912">
              <w:rPr>
                <w:rFonts w:cs="Arial"/>
              </w:rPr>
              <w:t>10</w:t>
            </w:r>
          </w:p>
        </w:tc>
        <w:tc>
          <w:tcPr>
            <w:tcW w:w="463" w:type="dxa"/>
          </w:tcPr>
          <w:p w14:paraId="63FC96B1" w14:textId="77777777" w:rsidR="00143912" w:rsidRPr="00EF2D65" w:rsidRDefault="00143912" w:rsidP="00143912">
            <w:pPr>
              <w:spacing w:line="240" w:lineRule="auto"/>
              <w:jc w:val="right"/>
            </w:pPr>
          </w:p>
        </w:tc>
        <w:tc>
          <w:tcPr>
            <w:tcW w:w="1140" w:type="dxa"/>
            <w:vAlign w:val="center"/>
          </w:tcPr>
          <w:p w14:paraId="6C2DF82D" w14:textId="52928631" w:rsidR="00143912" w:rsidRPr="00143912" w:rsidRDefault="00143912" w:rsidP="00143912">
            <w:pPr>
              <w:spacing w:line="240" w:lineRule="auto"/>
              <w:jc w:val="right"/>
              <w:rPr>
                <w:rFonts w:cs="Arial"/>
              </w:rPr>
            </w:pPr>
            <w:r w:rsidRPr="00143912">
              <w:rPr>
                <w:rFonts w:cs="Arial"/>
              </w:rPr>
              <w:t>51</w:t>
            </w:r>
          </w:p>
        </w:tc>
        <w:tc>
          <w:tcPr>
            <w:tcW w:w="1140" w:type="dxa"/>
            <w:vAlign w:val="center"/>
          </w:tcPr>
          <w:p w14:paraId="3A96BFD9" w14:textId="5A32E93B" w:rsidR="00143912" w:rsidRPr="00143912" w:rsidRDefault="00143912" w:rsidP="00143912">
            <w:pPr>
              <w:spacing w:line="240" w:lineRule="auto"/>
              <w:jc w:val="right"/>
              <w:rPr>
                <w:rFonts w:cs="Arial"/>
              </w:rPr>
            </w:pPr>
            <w:r w:rsidRPr="00143912">
              <w:rPr>
                <w:rFonts w:cs="Arial"/>
              </w:rPr>
              <w:t>50</w:t>
            </w:r>
          </w:p>
        </w:tc>
      </w:tr>
    </w:tbl>
    <w:p w14:paraId="0E8FF706" w14:textId="78D57602" w:rsidR="003C5234" w:rsidRPr="00C029A0" w:rsidRDefault="003C5234" w:rsidP="00C029A0">
      <w:pPr>
        <w:spacing w:line="240" w:lineRule="auto"/>
        <w:ind w:left="-142" w:right="-425"/>
        <w:jc w:val="both"/>
      </w:pPr>
    </w:p>
    <w:p w14:paraId="0EE0119D" w14:textId="06837E45" w:rsidR="00F500CF" w:rsidRPr="00F500CF" w:rsidRDefault="00F500CF" w:rsidP="00D51DFA">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0B94B319"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F500CF">
        <w:t>9</w:t>
      </w:r>
      <w:r w:rsidR="00C673E7">
        <w:t>23</w:t>
      </w:r>
      <w:r w:rsidR="00F500CF" w:rsidRPr="008E7494">
        <w:t xml:space="preserve"> people as at 30 June </w:t>
      </w:r>
      <w:bookmarkStart w:id="22" w:name="_Ref362343764"/>
      <w:bookmarkStart w:id="23" w:name="_Ref459716764"/>
      <w:r w:rsidR="00F500CF" w:rsidRPr="008E7494">
        <w:t>20</w:t>
      </w:r>
      <w:r w:rsidR="00C673E7">
        <w:t>20</w:t>
      </w:r>
      <w:bookmarkStart w:id="24" w:name="_Ref64367928"/>
      <w:r w:rsidR="00F500CF" w:rsidRPr="00F500CF">
        <w:rPr>
          <w:vertAlign w:val="superscript"/>
        </w:rPr>
        <w:footnoteReference w:id="19"/>
      </w:r>
      <w:bookmarkEnd w:id="22"/>
      <w:bookmarkEnd w:id="23"/>
      <w:bookmarkEnd w:id="24"/>
      <w:r w:rsidR="00F500CF" w:rsidRPr="00F500CF">
        <w:rPr>
          <w:vertAlign w:val="superscript"/>
        </w:rPr>
        <w:t>,</w:t>
      </w:r>
      <w:bookmarkStart w:id="25" w:name="_Ref459716829"/>
      <w:r w:rsidR="00F500CF" w:rsidRPr="00F500CF">
        <w:rPr>
          <w:vertAlign w:val="superscript"/>
        </w:rPr>
        <w:footnoteReference w:id="20"/>
      </w:r>
      <w:bookmarkEnd w:id="25"/>
      <w:r w:rsidR="00F500CF" w:rsidRPr="008E7494">
        <w:t>.</w:t>
      </w:r>
    </w:p>
    <w:p w14:paraId="1D1F7E14" w14:textId="77777777" w:rsidR="00F500CF" w:rsidRDefault="00F500CF" w:rsidP="00EC14C1">
      <w:pPr>
        <w:spacing w:line="240" w:lineRule="auto"/>
        <w:ind w:left="-142" w:right="-425"/>
        <w:jc w:val="both"/>
      </w:pPr>
    </w:p>
    <w:p w14:paraId="5C34875A" w14:textId="78041A73"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26" w:name="_Ref459717187"/>
      <w:r w:rsidR="00F500CF">
        <w:t>2</w:t>
      </w:r>
      <w:r w:rsidR="003C04FA">
        <w:t>6</w:t>
      </w:r>
      <w:r w:rsidR="00C673E7">
        <w:t>3</w:t>
      </w:r>
      <w:r w:rsidR="00F500CF" w:rsidRPr="008E7494">
        <w:t xml:space="preserve"> people as at 30 June 20</w:t>
      </w:r>
      <w:r w:rsidR="00C673E7">
        <w:t>20</w:t>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separate"/>
      </w:r>
      <w:r w:rsidR="00515E8F">
        <w:rPr>
          <w:vertAlign w:val="superscript"/>
        </w:rPr>
        <w:t>18</w:t>
      </w:r>
      <w:r w:rsidR="003D357C">
        <w:rPr>
          <w:vertAlign w:val="superscript"/>
        </w:rPr>
        <w:fldChar w:fldCharType="end"/>
      </w:r>
      <w:r w:rsidR="00F500CF" w:rsidRPr="00F500CF">
        <w:rPr>
          <w:vertAlign w:val="superscript"/>
        </w:rPr>
        <w:t>,</w:t>
      </w:r>
      <w:bookmarkStart w:id="27" w:name="_Ref74754871"/>
      <w:r w:rsidR="00F500CF" w:rsidRPr="00F500CF">
        <w:rPr>
          <w:vertAlign w:val="superscript"/>
        </w:rPr>
        <w:footnoteReference w:id="21"/>
      </w:r>
      <w:bookmarkEnd w:id="26"/>
      <w:bookmarkEnd w:id="27"/>
      <w:r w:rsidR="00F500CF" w:rsidRPr="008E7494">
        <w:t>.</w:t>
      </w:r>
    </w:p>
    <w:p w14:paraId="6639697A" w14:textId="77777777" w:rsidR="00F500CF" w:rsidRDefault="00F500CF" w:rsidP="00EC14C1">
      <w:pPr>
        <w:spacing w:line="240" w:lineRule="auto"/>
        <w:ind w:left="-142" w:right="-425"/>
        <w:jc w:val="both"/>
      </w:pPr>
    </w:p>
    <w:p w14:paraId="439048BC" w14:textId="299AF907"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F500CF">
        <w:t>8</w:t>
      </w:r>
      <w:r w:rsidR="00C673E7">
        <w:t>50</w:t>
      </w:r>
      <w:r w:rsidR="00F500CF" w:rsidRPr="008E7494">
        <w:t xml:space="preserve"> people as at 30 June 20</w:t>
      </w:r>
      <w:r w:rsidR="00C673E7">
        <w:t>20</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515E8F">
        <w:rPr>
          <w:vertAlign w:val="superscript"/>
        </w:rPr>
        <w:t>18</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515E8F">
        <w:rPr>
          <w:vertAlign w:val="superscript"/>
        </w:rPr>
        <w:t>19</w:t>
      </w:r>
      <w:r w:rsidR="00C673E7">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60D238EB"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F500CF">
        <w:t>7</w:t>
      </w:r>
      <w:r w:rsidR="00C673E7">
        <w:t>61</w:t>
      </w:r>
      <w:r w:rsidR="00F500CF" w:rsidRPr="008E7494">
        <w:t xml:space="preserve"> people as at 30 June 20</w:t>
      </w:r>
      <w:r w:rsidR="00C673E7">
        <w:t>20</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515E8F">
        <w:rPr>
          <w:vertAlign w:val="superscript"/>
        </w:rPr>
        <w:t>18</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515E8F">
        <w:rPr>
          <w:vertAlign w:val="superscript"/>
        </w:rPr>
        <w:t>19</w:t>
      </w:r>
      <w:r w:rsidR="00C673E7">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329190EC" w14:textId="209655D9" w:rsidR="00F500CF" w:rsidRDefault="000B5FD9" w:rsidP="00EC14C1">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F500CF">
        <w:t>87</w:t>
      </w:r>
      <w:r w:rsidR="00F500CF" w:rsidRPr="008E7494">
        <w:t xml:space="preserve"> people as at 30 June 20</w:t>
      </w:r>
      <w:r w:rsidR="00C673E7">
        <w:t>20</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515E8F">
        <w:rPr>
          <w:vertAlign w:val="superscript"/>
        </w:rPr>
        <w:t>18</w:t>
      </w:r>
      <w:r w:rsidR="00C673E7" w:rsidRPr="00C673E7">
        <w:rPr>
          <w:vertAlign w:val="superscript"/>
        </w:rPr>
        <w:fldChar w:fldCharType="end"/>
      </w:r>
      <w:r w:rsidR="00C673E7">
        <w:rPr>
          <w:vertAlign w:val="superscript"/>
        </w:rPr>
        <w:t>,</w:t>
      </w:r>
      <w:r w:rsidR="00F500CF" w:rsidRPr="00F500CF">
        <w:rPr>
          <w:vertAlign w:val="superscript"/>
        </w:rPr>
        <w:footnoteReference w:id="22"/>
      </w:r>
      <w:r w:rsidR="00F500CF" w:rsidRPr="008E7494">
        <w:t>.</w:t>
      </w:r>
    </w:p>
    <w:p w14:paraId="346B1413" w14:textId="0AEDE237" w:rsidR="00663321" w:rsidRDefault="00663321" w:rsidP="00EC14C1">
      <w:pPr>
        <w:spacing w:line="240" w:lineRule="auto"/>
        <w:ind w:left="578" w:right="-425" w:hanging="720"/>
        <w:jc w:val="both"/>
      </w:pPr>
    </w:p>
    <w:p w14:paraId="284FB3E9" w14:textId="77777777" w:rsidR="00663321" w:rsidRDefault="00663321">
      <w:pPr>
        <w:spacing w:line="240" w:lineRule="auto"/>
        <w:rPr>
          <w:rFonts w:cs="Arial"/>
          <w:b/>
          <w:spacing w:val="-4"/>
          <w:kern w:val="28"/>
        </w:rPr>
      </w:pPr>
      <w:r>
        <w:br w:type="page"/>
      </w:r>
    </w:p>
    <w:p w14:paraId="2C7D86BB" w14:textId="59EC391E" w:rsidR="005A5B78" w:rsidRPr="00E34093" w:rsidRDefault="005A5B78" w:rsidP="005A5B78">
      <w:pPr>
        <w:pStyle w:val="Heading1"/>
        <w:ind w:left="-142" w:right="-426"/>
      </w:pPr>
      <w:bookmarkStart w:id="28" w:name="_Toc39657992"/>
      <w:r w:rsidRPr="00E34093">
        <w:lastRenderedPageBreak/>
        <w:t>2.  Future Direction</w:t>
      </w:r>
      <w:bookmarkEnd w:id="18"/>
      <w:bookmarkEnd w:id="19"/>
      <w:bookmarkEnd w:id="20"/>
      <w:bookmarkEnd w:id="21"/>
      <w:r w:rsidRPr="00E34093">
        <w:t xml:space="preserve"> and Challenges</w:t>
      </w:r>
      <w:bookmarkEnd w:id="28"/>
    </w:p>
    <w:p w14:paraId="66A68EAB" w14:textId="1D2F2EAE" w:rsidR="005A5B78" w:rsidRDefault="005A5B78" w:rsidP="005A5B78">
      <w:pPr>
        <w:ind w:left="-142" w:right="-425"/>
        <w:jc w:val="both"/>
        <w:rPr>
          <w:rFonts w:cs="Arial"/>
          <w:b/>
          <w:sz w:val="16"/>
          <w:szCs w:val="16"/>
        </w:rPr>
      </w:pPr>
    </w:p>
    <w:p w14:paraId="454D3801" w14:textId="696BDFC0" w:rsidR="00E8767D" w:rsidRPr="00E8767D" w:rsidRDefault="00E8767D" w:rsidP="00E8767D">
      <w:pPr>
        <w:ind w:left="-142" w:right="-425"/>
        <w:jc w:val="both"/>
        <w:rPr>
          <w:rFonts w:cs="Arial"/>
          <w:b/>
          <w:bCs/>
          <w:u w:val="single"/>
        </w:rPr>
      </w:pPr>
      <w:r w:rsidRPr="00E8767D">
        <w:rPr>
          <w:rFonts w:cs="Arial"/>
          <w:b/>
          <w:bCs/>
          <w:u w:val="single"/>
        </w:rPr>
        <w:t>COVID</w:t>
      </w:r>
      <w:r w:rsidR="006C5F57">
        <w:rPr>
          <w:rFonts w:cs="Arial"/>
          <w:b/>
          <w:bCs/>
          <w:u w:val="single"/>
        </w:rPr>
        <w:t>-19 safety</w:t>
      </w:r>
    </w:p>
    <w:p w14:paraId="0F7643B2" w14:textId="0742ADD3" w:rsidR="00E8767D" w:rsidRDefault="00E8767D" w:rsidP="00E8767D">
      <w:pPr>
        <w:ind w:left="-142" w:right="-425"/>
        <w:jc w:val="both"/>
        <w:rPr>
          <w:rFonts w:cs="Arial"/>
          <w:bCs/>
        </w:rPr>
      </w:pPr>
      <w:r w:rsidRPr="00E8767D">
        <w:rPr>
          <w:rFonts w:cs="Arial"/>
          <w:bCs/>
        </w:rPr>
        <w:t>COVID</w:t>
      </w:r>
      <w:r w:rsidR="00F939CD">
        <w:rPr>
          <w:rFonts w:cs="Arial"/>
          <w:bCs/>
        </w:rPr>
        <w:t>-19</w:t>
      </w:r>
      <w:r w:rsidRPr="00E8767D">
        <w:rPr>
          <w:rFonts w:cs="Arial"/>
          <w:bCs/>
        </w:rPr>
        <w:t xml:space="preserve"> is a public health concern of national and international proportions. FRC communities </w:t>
      </w:r>
      <w:r w:rsidR="00F939CD">
        <w:rPr>
          <w:rFonts w:cs="Arial"/>
          <w:bCs/>
        </w:rPr>
        <w:t xml:space="preserve">are particularly vulnerable to this pandemic threat with </w:t>
      </w:r>
      <w:r w:rsidRPr="00E8767D">
        <w:rPr>
          <w:rFonts w:cs="Arial"/>
          <w:bCs/>
        </w:rPr>
        <w:t xml:space="preserve">limited healthcare facilities </w:t>
      </w:r>
      <w:r w:rsidR="00B4559E">
        <w:rPr>
          <w:rFonts w:cs="Arial"/>
          <w:bCs/>
        </w:rPr>
        <w:t>available</w:t>
      </w:r>
      <w:r w:rsidR="00AE3F21">
        <w:rPr>
          <w:rFonts w:cs="Arial"/>
          <w:bCs/>
        </w:rPr>
        <w:t xml:space="preserve">, </w:t>
      </w:r>
      <w:r w:rsidR="003F6061">
        <w:rPr>
          <w:rFonts w:cs="Arial"/>
          <w:bCs/>
        </w:rPr>
        <w:t xml:space="preserve">community members having to travel </w:t>
      </w:r>
      <w:r w:rsidR="00AE3F21">
        <w:rPr>
          <w:rFonts w:cs="Arial"/>
          <w:bCs/>
        </w:rPr>
        <w:t>considerable distance</w:t>
      </w:r>
      <w:r w:rsidR="003F6061">
        <w:rPr>
          <w:rFonts w:cs="Arial"/>
          <w:bCs/>
        </w:rPr>
        <w:t xml:space="preserve">s to access </w:t>
      </w:r>
      <w:r w:rsidR="00AE3F21">
        <w:rPr>
          <w:rFonts w:cs="Arial"/>
          <w:bCs/>
        </w:rPr>
        <w:t>mainstream</w:t>
      </w:r>
      <w:r w:rsidR="003F6061">
        <w:rPr>
          <w:rFonts w:cs="Arial"/>
          <w:bCs/>
        </w:rPr>
        <w:t xml:space="preserve"> </w:t>
      </w:r>
      <w:r w:rsidR="00AE3F21">
        <w:rPr>
          <w:rFonts w:cs="Arial"/>
          <w:bCs/>
        </w:rPr>
        <w:t>healthcare,</w:t>
      </w:r>
      <w:r w:rsidR="00B4559E">
        <w:rPr>
          <w:rFonts w:cs="Arial"/>
          <w:bCs/>
        </w:rPr>
        <w:t xml:space="preserve"> </w:t>
      </w:r>
      <w:r w:rsidRPr="00E8767D">
        <w:rPr>
          <w:rFonts w:cs="Arial"/>
          <w:bCs/>
        </w:rPr>
        <w:t>a</w:t>
      </w:r>
      <w:r w:rsidR="00B4559E">
        <w:rPr>
          <w:rFonts w:cs="Arial"/>
          <w:bCs/>
        </w:rPr>
        <w:t>n</w:t>
      </w:r>
      <w:r w:rsidRPr="00E8767D">
        <w:rPr>
          <w:rFonts w:cs="Arial"/>
          <w:bCs/>
        </w:rPr>
        <w:t xml:space="preserve"> </w:t>
      </w:r>
      <w:r w:rsidR="00BA6DD8">
        <w:rPr>
          <w:rFonts w:cs="Arial"/>
          <w:bCs/>
        </w:rPr>
        <w:t xml:space="preserve">Indigenous </w:t>
      </w:r>
      <w:r w:rsidRPr="00E8767D">
        <w:rPr>
          <w:rFonts w:cs="Arial"/>
          <w:bCs/>
        </w:rPr>
        <w:t xml:space="preserve">population </w:t>
      </w:r>
      <w:r w:rsidR="00B4559E">
        <w:rPr>
          <w:rFonts w:cs="Arial"/>
          <w:bCs/>
        </w:rPr>
        <w:t xml:space="preserve">with a high percentage of co-morbidities and </w:t>
      </w:r>
      <w:r w:rsidR="00AE3F21">
        <w:rPr>
          <w:rFonts w:cs="Arial"/>
          <w:bCs/>
        </w:rPr>
        <w:t xml:space="preserve">other </w:t>
      </w:r>
      <w:r w:rsidR="00B4559E">
        <w:rPr>
          <w:rFonts w:cs="Arial"/>
          <w:bCs/>
        </w:rPr>
        <w:t>health</w:t>
      </w:r>
      <w:r w:rsidR="00AE3F21">
        <w:rPr>
          <w:rFonts w:cs="Arial"/>
          <w:bCs/>
        </w:rPr>
        <w:t xml:space="preserve"> vulnerabilities caused by long term economic disadvantage</w:t>
      </w:r>
      <w:r w:rsidR="003F6061">
        <w:rPr>
          <w:rFonts w:cs="Arial"/>
          <w:bCs/>
        </w:rPr>
        <w:t>, and overcrowded housing</w:t>
      </w:r>
      <w:r w:rsidRPr="00E8767D">
        <w:rPr>
          <w:rFonts w:cs="Arial"/>
          <w:bCs/>
        </w:rPr>
        <w:t>.</w:t>
      </w:r>
      <w:r w:rsidR="003F6061">
        <w:rPr>
          <w:rFonts w:cs="Arial"/>
          <w:bCs/>
        </w:rPr>
        <w:t xml:space="preserve"> A further threat to these communities is posed by the </w:t>
      </w:r>
      <w:r w:rsidR="00D73406">
        <w:rPr>
          <w:rFonts w:cs="Arial"/>
          <w:bCs/>
        </w:rPr>
        <w:t xml:space="preserve">low </w:t>
      </w:r>
      <w:r w:rsidRPr="00E8767D">
        <w:rPr>
          <w:rFonts w:cs="Arial"/>
          <w:bCs/>
        </w:rPr>
        <w:t>rate of COVID</w:t>
      </w:r>
      <w:r w:rsidR="00BA6DD8">
        <w:rPr>
          <w:rFonts w:cs="Arial"/>
          <w:bCs/>
        </w:rPr>
        <w:t>-19</w:t>
      </w:r>
      <w:r w:rsidRPr="00E8767D">
        <w:rPr>
          <w:rFonts w:cs="Arial"/>
          <w:bCs/>
        </w:rPr>
        <w:t xml:space="preserve"> vaccinations</w:t>
      </w:r>
      <w:r w:rsidR="00981ABB">
        <w:rPr>
          <w:rFonts w:cs="Arial"/>
          <w:bCs/>
        </w:rPr>
        <w:t xml:space="preserve"> during Quarter 54</w:t>
      </w:r>
      <w:r w:rsidR="00170641">
        <w:rPr>
          <w:rFonts w:cs="Arial"/>
          <w:bCs/>
        </w:rPr>
        <w:t xml:space="preserve"> and the opening of the Queensland border on 17 December 2021</w:t>
      </w:r>
      <w:r w:rsidRPr="00E8767D">
        <w:rPr>
          <w:rFonts w:cs="Arial"/>
          <w:bCs/>
        </w:rPr>
        <w:t>.</w:t>
      </w:r>
    </w:p>
    <w:p w14:paraId="7E6B089C" w14:textId="77777777" w:rsidR="00BA6DD8" w:rsidRPr="00E8767D" w:rsidRDefault="00BA6DD8" w:rsidP="00E8767D">
      <w:pPr>
        <w:ind w:left="-142" w:right="-425"/>
        <w:jc w:val="both"/>
        <w:rPr>
          <w:rFonts w:cs="Arial"/>
          <w:bCs/>
        </w:rPr>
      </w:pPr>
    </w:p>
    <w:p w14:paraId="4424ECE4" w14:textId="2A9D90DB" w:rsidR="00E8767D" w:rsidRDefault="00E8767D" w:rsidP="00E8767D">
      <w:pPr>
        <w:ind w:left="-142" w:right="-425"/>
        <w:jc w:val="both"/>
        <w:rPr>
          <w:rFonts w:cs="Arial"/>
          <w:bCs/>
        </w:rPr>
      </w:pPr>
      <w:r w:rsidRPr="00E8767D">
        <w:rPr>
          <w:rFonts w:cs="Arial"/>
          <w:bCs/>
        </w:rPr>
        <w:t xml:space="preserve">Section 4 of the FRC Act states that the main objects of the </w:t>
      </w:r>
      <w:r w:rsidR="00981ABB">
        <w:rPr>
          <w:rFonts w:cs="Arial"/>
          <w:bCs/>
        </w:rPr>
        <w:t xml:space="preserve">FRC </w:t>
      </w:r>
      <w:r w:rsidRPr="00E8767D">
        <w:rPr>
          <w:rFonts w:cs="Arial"/>
          <w:bCs/>
        </w:rPr>
        <w:t xml:space="preserve">Act are to support the restoration of socially responsible standards of behaviour and to help people resume primary responsibility for the wellbeing of their community and the individuals and families of the community. It is on that basis that the Commission </w:t>
      </w:r>
      <w:r w:rsidR="00407ED7">
        <w:rPr>
          <w:rFonts w:cs="Arial"/>
          <w:bCs/>
        </w:rPr>
        <w:t xml:space="preserve">proposed to the FR Board </w:t>
      </w:r>
      <w:r w:rsidR="00D73406">
        <w:rPr>
          <w:rFonts w:cs="Arial"/>
          <w:bCs/>
        </w:rPr>
        <w:t xml:space="preserve">on 4 November 2021 </w:t>
      </w:r>
      <w:r w:rsidR="00407ED7">
        <w:rPr>
          <w:rFonts w:cs="Arial"/>
          <w:bCs/>
        </w:rPr>
        <w:t xml:space="preserve">that </w:t>
      </w:r>
      <w:r w:rsidRPr="00E8767D">
        <w:rPr>
          <w:rFonts w:cs="Arial"/>
          <w:bCs/>
        </w:rPr>
        <w:t xml:space="preserve">where appropriate, </w:t>
      </w:r>
      <w:r w:rsidR="00407ED7">
        <w:rPr>
          <w:rFonts w:cs="Arial"/>
          <w:bCs/>
        </w:rPr>
        <w:t>the Commission could support the Queensland Government’s C</w:t>
      </w:r>
      <w:r w:rsidRPr="00E8767D">
        <w:rPr>
          <w:rFonts w:cs="Arial"/>
          <w:bCs/>
        </w:rPr>
        <w:t>OVID-19 public health campaign by inviting Local Commissioners to assume a role in encouraging community members to take personal responsibility for their wellbeing and the</w:t>
      </w:r>
      <w:r w:rsidR="00D73406">
        <w:rPr>
          <w:rFonts w:cs="Arial"/>
          <w:bCs/>
        </w:rPr>
        <w:t xml:space="preserve"> wellbeing of thei</w:t>
      </w:r>
      <w:r w:rsidRPr="00E8767D">
        <w:rPr>
          <w:rFonts w:cs="Arial"/>
          <w:bCs/>
        </w:rPr>
        <w:t>r famil</w:t>
      </w:r>
      <w:r w:rsidR="00D73406">
        <w:rPr>
          <w:rFonts w:cs="Arial"/>
          <w:bCs/>
        </w:rPr>
        <w:t>ies</w:t>
      </w:r>
      <w:r w:rsidRPr="00E8767D">
        <w:rPr>
          <w:rFonts w:cs="Arial"/>
          <w:bCs/>
        </w:rPr>
        <w:t xml:space="preserve"> by practicing COVID awareness</w:t>
      </w:r>
      <w:r w:rsidR="00F0272C">
        <w:rPr>
          <w:rFonts w:cs="Arial"/>
          <w:bCs/>
        </w:rPr>
        <w:t>/</w:t>
      </w:r>
      <w:r w:rsidRPr="00E8767D">
        <w:rPr>
          <w:rFonts w:cs="Arial"/>
          <w:bCs/>
        </w:rPr>
        <w:t xml:space="preserve">safety and encouraging the uptake of vaccinations to prevent COVID in their communities. The </w:t>
      </w:r>
      <w:r w:rsidR="00D73406">
        <w:rPr>
          <w:rFonts w:cs="Arial"/>
          <w:bCs/>
        </w:rPr>
        <w:t xml:space="preserve">FR Board </w:t>
      </w:r>
      <w:r w:rsidR="00321EAA">
        <w:rPr>
          <w:rFonts w:cs="Arial"/>
          <w:bCs/>
        </w:rPr>
        <w:t>su</w:t>
      </w:r>
      <w:r w:rsidR="00981ABB">
        <w:rPr>
          <w:rFonts w:cs="Arial"/>
          <w:bCs/>
        </w:rPr>
        <w:t xml:space="preserve">pported </w:t>
      </w:r>
      <w:r w:rsidR="00D73406">
        <w:rPr>
          <w:rFonts w:cs="Arial"/>
          <w:bCs/>
        </w:rPr>
        <w:t>the Commission</w:t>
      </w:r>
      <w:r w:rsidR="00981ABB">
        <w:rPr>
          <w:rFonts w:cs="Arial"/>
          <w:bCs/>
        </w:rPr>
        <w:t xml:space="preserve">’s willingness to </w:t>
      </w:r>
      <w:r w:rsidR="00D73406">
        <w:rPr>
          <w:rFonts w:cs="Arial"/>
          <w:bCs/>
        </w:rPr>
        <w:t xml:space="preserve">distribute and support COVID safe practices and vaccination messaging in the Welfare Reform communities. </w:t>
      </w:r>
      <w:r w:rsidR="00321EAA">
        <w:rPr>
          <w:rFonts w:cs="Arial"/>
          <w:bCs/>
        </w:rPr>
        <w:t xml:space="preserve">The </w:t>
      </w:r>
      <w:r w:rsidRPr="00E8767D">
        <w:rPr>
          <w:rFonts w:cs="Arial"/>
          <w:bCs/>
        </w:rPr>
        <w:t>Executive Management Team, together with the Local Commissioners of each community</w:t>
      </w:r>
      <w:r w:rsidR="00321EAA">
        <w:rPr>
          <w:rFonts w:cs="Arial"/>
          <w:bCs/>
        </w:rPr>
        <w:t xml:space="preserve"> </w:t>
      </w:r>
      <w:r w:rsidRPr="00E8767D">
        <w:rPr>
          <w:rFonts w:cs="Arial"/>
          <w:bCs/>
        </w:rPr>
        <w:t>consider</w:t>
      </w:r>
      <w:r w:rsidR="00321EAA">
        <w:rPr>
          <w:rFonts w:cs="Arial"/>
          <w:bCs/>
        </w:rPr>
        <w:t>ed</w:t>
      </w:r>
      <w:r w:rsidRPr="00E8767D">
        <w:rPr>
          <w:rFonts w:cs="Arial"/>
          <w:bCs/>
        </w:rPr>
        <w:t xml:space="preserve"> how best to support the communities in dealing with vaccine hesitancy so that communities c</w:t>
      </w:r>
      <w:r w:rsidR="00321EAA">
        <w:rPr>
          <w:rFonts w:cs="Arial"/>
          <w:bCs/>
        </w:rPr>
        <w:t>ould</w:t>
      </w:r>
      <w:r w:rsidRPr="00E8767D">
        <w:rPr>
          <w:rFonts w:cs="Arial"/>
          <w:bCs/>
        </w:rPr>
        <w:t xml:space="preserve"> remain open, viable and healthy.</w:t>
      </w:r>
    </w:p>
    <w:p w14:paraId="04DB431D" w14:textId="6AAA5586" w:rsidR="00A01626" w:rsidRDefault="00A01626" w:rsidP="00E8767D">
      <w:pPr>
        <w:ind w:left="-142" w:right="-425"/>
        <w:jc w:val="both"/>
        <w:rPr>
          <w:rFonts w:cs="Arial"/>
          <w:bCs/>
        </w:rPr>
      </w:pPr>
    </w:p>
    <w:p w14:paraId="22754968" w14:textId="4B7D11FB" w:rsidR="00563E17" w:rsidRPr="00563E17" w:rsidRDefault="00981ABB" w:rsidP="00563E17">
      <w:pPr>
        <w:ind w:left="-142" w:right="-425"/>
        <w:jc w:val="both"/>
        <w:rPr>
          <w:rFonts w:cs="Arial"/>
          <w:bCs/>
        </w:rPr>
      </w:pPr>
      <w:r>
        <w:rPr>
          <w:rFonts w:cs="Arial"/>
          <w:bCs/>
        </w:rPr>
        <w:t xml:space="preserve">As a result, </w:t>
      </w:r>
      <w:r w:rsidR="009154A1">
        <w:rPr>
          <w:rFonts w:cs="Arial"/>
          <w:bCs/>
        </w:rPr>
        <w:t xml:space="preserve">Local Commissioners in each community </w:t>
      </w:r>
      <w:r w:rsidR="00A01626" w:rsidRPr="00A01626">
        <w:rPr>
          <w:rFonts w:cs="Arial"/>
          <w:bCs/>
        </w:rPr>
        <w:t xml:space="preserve">were very active </w:t>
      </w:r>
      <w:r w:rsidR="00321EAA">
        <w:rPr>
          <w:rFonts w:cs="Arial"/>
          <w:bCs/>
        </w:rPr>
        <w:t xml:space="preserve">when conducting </w:t>
      </w:r>
      <w:r w:rsidR="00A01626" w:rsidRPr="00A01626">
        <w:rPr>
          <w:rFonts w:cs="Arial"/>
          <w:bCs/>
        </w:rPr>
        <w:t>conference</w:t>
      </w:r>
      <w:r w:rsidR="00321EAA">
        <w:rPr>
          <w:rFonts w:cs="Arial"/>
          <w:bCs/>
        </w:rPr>
        <w:t>s in</w:t>
      </w:r>
      <w:r w:rsidR="00A01626" w:rsidRPr="00A01626">
        <w:rPr>
          <w:rFonts w:cs="Arial"/>
          <w:bCs/>
        </w:rPr>
        <w:t xml:space="preserve"> promoting </w:t>
      </w:r>
      <w:r w:rsidR="009154A1">
        <w:rPr>
          <w:rFonts w:cs="Arial"/>
          <w:bCs/>
        </w:rPr>
        <w:t xml:space="preserve">COVID safe practices and </w:t>
      </w:r>
      <w:r w:rsidR="00A01626" w:rsidRPr="00A01626">
        <w:rPr>
          <w:rFonts w:cs="Arial"/>
          <w:bCs/>
        </w:rPr>
        <w:t>the COVID vaccine</w:t>
      </w:r>
      <w:r w:rsidR="009154A1">
        <w:rPr>
          <w:rFonts w:cs="Arial"/>
          <w:bCs/>
        </w:rPr>
        <w:t>. W</w:t>
      </w:r>
      <w:r w:rsidR="00321EAA">
        <w:rPr>
          <w:rFonts w:cs="Arial"/>
          <w:bCs/>
        </w:rPr>
        <w:t xml:space="preserve">hilst </w:t>
      </w:r>
      <w:r w:rsidR="00A01626" w:rsidRPr="00A01626">
        <w:rPr>
          <w:rFonts w:cs="Arial"/>
          <w:bCs/>
        </w:rPr>
        <w:t xml:space="preserve">serving </w:t>
      </w:r>
      <w:r w:rsidR="00321EAA">
        <w:rPr>
          <w:rFonts w:cs="Arial"/>
          <w:bCs/>
        </w:rPr>
        <w:t xml:space="preserve">notices to attend conference and notices of decision </w:t>
      </w:r>
      <w:r w:rsidR="00A01626" w:rsidRPr="00A01626">
        <w:rPr>
          <w:rFonts w:cs="Arial"/>
          <w:bCs/>
        </w:rPr>
        <w:t>they discuss</w:t>
      </w:r>
      <w:r w:rsidR="00321EAA">
        <w:rPr>
          <w:rFonts w:cs="Arial"/>
          <w:bCs/>
        </w:rPr>
        <w:t>ed the benefits of vaccination</w:t>
      </w:r>
      <w:r w:rsidR="00A01626" w:rsidRPr="00A01626">
        <w:rPr>
          <w:rFonts w:cs="Arial"/>
          <w:bCs/>
        </w:rPr>
        <w:t xml:space="preserve"> with clients and shared </w:t>
      </w:r>
      <w:r w:rsidR="00321EAA">
        <w:rPr>
          <w:rFonts w:cs="Arial"/>
          <w:bCs/>
        </w:rPr>
        <w:t>their own experiences of being vaccinated.</w:t>
      </w:r>
      <w:r w:rsidR="00C44D36">
        <w:rPr>
          <w:rFonts w:cs="Arial"/>
          <w:bCs/>
        </w:rPr>
        <w:t xml:space="preserve"> Additionally, assistance was provided to </w:t>
      </w:r>
      <w:r w:rsidR="00A01626" w:rsidRPr="00A01626">
        <w:rPr>
          <w:rFonts w:cs="Arial"/>
          <w:bCs/>
        </w:rPr>
        <w:t>the Q</w:t>
      </w:r>
      <w:r w:rsidR="00C44D36">
        <w:rPr>
          <w:rFonts w:cs="Arial"/>
          <w:bCs/>
        </w:rPr>
        <w:t>ueensland</w:t>
      </w:r>
      <w:r w:rsidR="00A01626" w:rsidRPr="00A01626">
        <w:rPr>
          <w:rFonts w:cs="Arial"/>
          <w:bCs/>
        </w:rPr>
        <w:t xml:space="preserve"> Health COVID vaccination team in Doomadgee to locate community members that had not yet received the vaccination and </w:t>
      </w:r>
      <w:r w:rsidR="008F6133">
        <w:rPr>
          <w:rFonts w:cs="Arial"/>
          <w:bCs/>
        </w:rPr>
        <w:t xml:space="preserve">assist to </w:t>
      </w:r>
      <w:r w:rsidR="00C44D36">
        <w:rPr>
          <w:rFonts w:cs="Arial"/>
          <w:bCs/>
        </w:rPr>
        <w:t xml:space="preserve">alleviate their </w:t>
      </w:r>
      <w:r w:rsidR="00A01626" w:rsidRPr="00A01626">
        <w:rPr>
          <w:rFonts w:cs="Arial"/>
          <w:bCs/>
        </w:rPr>
        <w:t>concerns regarding the vaccine.</w:t>
      </w:r>
      <w:r w:rsidR="00C44D36">
        <w:rPr>
          <w:rFonts w:cs="Arial"/>
          <w:bCs/>
        </w:rPr>
        <w:t xml:space="preserve"> </w:t>
      </w:r>
      <w:r w:rsidR="00A01626" w:rsidRPr="00A01626">
        <w:rPr>
          <w:rFonts w:cs="Arial"/>
          <w:bCs/>
        </w:rPr>
        <w:t xml:space="preserve">Aurukun </w:t>
      </w:r>
      <w:r w:rsidR="00C44D36">
        <w:rPr>
          <w:rFonts w:cs="Arial"/>
          <w:bCs/>
        </w:rPr>
        <w:t>Local C</w:t>
      </w:r>
      <w:r w:rsidR="00A01626" w:rsidRPr="00A01626">
        <w:rPr>
          <w:rFonts w:cs="Arial"/>
          <w:bCs/>
        </w:rPr>
        <w:t>ommissioners led by example</w:t>
      </w:r>
      <w:r w:rsidR="00C44D36">
        <w:rPr>
          <w:rFonts w:cs="Arial"/>
          <w:bCs/>
        </w:rPr>
        <w:t xml:space="preserve"> </w:t>
      </w:r>
      <w:r w:rsidR="009154A1">
        <w:rPr>
          <w:rFonts w:cs="Arial"/>
          <w:bCs/>
        </w:rPr>
        <w:t xml:space="preserve">with Local Commissioner Poonkamelya being the very first </w:t>
      </w:r>
      <w:r w:rsidR="00C44D36">
        <w:rPr>
          <w:rFonts w:cs="Arial"/>
          <w:bCs/>
        </w:rPr>
        <w:t xml:space="preserve">community member to be </w:t>
      </w:r>
      <w:r w:rsidR="00A01626" w:rsidRPr="00A01626">
        <w:rPr>
          <w:rFonts w:cs="Arial"/>
          <w:bCs/>
        </w:rPr>
        <w:t xml:space="preserve">vaccinated. </w:t>
      </w:r>
      <w:r w:rsidR="009154A1">
        <w:rPr>
          <w:rFonts w:cs="Arial"/>
          <w:bCs/>
        </w:rPr>
        <w:t>Her vaccination experience</w:t>
      </w:r>
      <w:r w:rsidR="00A01626" w:rsidRPr="00A01626">
        <w:rPr>
          <w:rFonts w:cs="Arial"/>
          <w:bCs/>
        </w:rPr>
        <w:t xml:space="preserve"> was promoted </w:t>
      </w:r>
      <w:r w:rsidR="009154A1">
        <w:rPr>
          <w:rFonts w:cs="Arial"/>
          <w:bCs/>
        </w:rPr>
        <w:t>by Queensland Health with the release of photos</w:t>
      </w:r>
      <w:r w:rsidR="00A01626" w:rsidRPr="00A01626">
        <w:rPr>
          <w:rFonts w:cs="Arial"/>
          <w:bCs/>
        </w:rPr>
        <w:t>.</w:t>
      </w:r>
      <w:r w:rsidR="007B0DE9">
        <w:rPr>
          <w:rFonts w:cs="Arial"/>
          <w:bCs/>
        </w:rPr>
        <w:t xml:space="preserve"> </w:t>
      </w:r>
      <w:r w:rsidR="00563E17">
        <w:rPr>
          <w:rFonts w:cs="Arial"/>
          <w:bCs/>
        </w:rPr>
        <w:t xml:space="preserve">Hope Vale </w:t>
      </w:r>
      <w:r w:rsidR="00563E17" w:rsidRPr="00563E17">
        <w:rPr>
          <w:rFonts w:cs="Arial"/>
          <w:bCs/>
        </w:rPr>
        <w:t>Local Commissioners initiated awareness of COVID safety and vaccination with their immediate and extended families which then filtered through the community. Informal chats promoting and encouraging hygiene and vaccination included notifying community members of dates and location of vaccination centres</w:t>
      </w:r>
      <w:r w:rsidR="00C3231D">
        <w:rPr>
          <w:rFonts w:cs="Arial"/>
          <w:bCs/>
        </w:rPr>
        <w:t>,</w:t>
      </w:r>
      <w:r w:rsidR="00563E17" w:rsidRPr="00563E17">
        <w:rPr>
          <w:rFonts w:cs="Arial"/>
          <w:bCs/>
        </w:rPr>
        <w:t xml:space="preserve"> and directing community members with symptoms to testing centres. Community members with personal views regarding vaccination were reminded and made aware of the impact, if not vaccinated, on vulnerable people.</w:t>
      </w:r>
    </w:p>
    <w:p w14:paraId="61E69461" w14:textId="088DEF4E" w:rsidR="00563E17" w:rsidRDefault="00563E17" w:rsidP="00E8767D">
      <w:pPr>
        <w:ind w:left="-142" w:right="-425"/>
        <w:jc w:val="both"/>
        <w:rPr>
          <w:rFonts w:cs="Arial"/>
          <w:bCs/>
        </w:rPr>
      </w:pPr>
    </w:p>
    <w:p w14:paraId="371BB47B" w14:textId="77777777" w:rsidR="00122493" w:rsidRPr="004E2AAF" w:rsidRDefault="00122493" w:rsidP="00122493">
      <w:pPr>
        <w:ind w:left="-142" w:right="-425"/>
        <w:jc w:val="both"/>
        <w:rPr>
          <w:rFonts w:cs="Arial"/>
          <w:b/>
        </w:rPr>
      </w:pPr>
      <w:bookmarkStart w:id="29" w:name="_Hlk88656562"/>
      <w:r w:rsidRPr="004E2AAF">
        <w:rPr>
          <w:rFonts w:cs="Arial"/>
          <w:b/>
        </w:rPr>
        <w:t>Memorandum of Understanding</w:t>
      </w:r>
    </w:p>
    <w:bookmarkEnd w:id="29"/>
    <w:p w14:paraId="3CE79D46" w14:textId="5A5472BA" w:rsidR="00122493" w:rsidRDefault="00122493" w:rsidP="00122493">
      <w:pPr>
        <w:ind w:left="-142" w:right="-425"/>
        <w:jc w:val="both"/>
        <w:rPr>
          <w:rFonts w:cs="Arial"/>
          <w:bCs/>
        </w:rPr>
      </w:pPr>
      <w:r w:rsidRPr="00120A7B">
        <w:rPr>
          <w:rFonts w:cs="Arial"/>
          <w:bCs/>
        </w:rPr>
        <w:t xml:space="preserve">The Commission’s strategic partners in Welfare Reform, the Queensland Government, Australian Government and Cape York Institute, continue their discussions on the future of Welfare Reform and the Commission. </w:t>
      </w:r>
      <w:r w:rsidR="006D7D6E">
        <w:rPr>
          <w:rFonts w:cs="Arial"/>
          <w:bCs/>
        </w:rPr>
        <w:t xml:space="preserve">As at the end of this reporting period </w:t>
      </w:r>
      <w:r w:rsidRPr="00120A7B">
        <w:rPr>
          <w:rFonts w:cs="Arial"/>
          <w:bCs/>
        </w:rPr>
        <w:t xml:space="preserve">there </w:t>
      </w:r>
      <w:r>
        <w:rPr>
          <w:rFonts w:cs="Arial"/>
          <w:bCs/>
        </w:rPr>
        <w:t>remains</w:t>
      </w:r>
      <w:r w:rsidRPr="00120A7B">
        <w:rPr>
          <w:rFonts w:cs="Arial"/>
          <w:bCs/>
        </w:rPr>
        <w:t xml:space="preserve"> no </w:t>
      </w:r>
      <w:r w:rsidR="006D7D6E">
        <w:rPr>
          <w:rFonts w:cs="Arial"/>
          <w:bCs/>
        </w:rPr>
        <w:t xml:space="preserve">official funding </w:t>
      </w:r>
      <w:r w:rsidRPr="00120A7B">
        <w:rPr>
          <w:rFonts w:cs="Arial"/>
          <w:bCs/>
        </w:rPr>
        <w:t xml:space="preserve">agreement between the </w:t>
      </w:r>
      <w:r w:rsidR="006D7D6E">
        <w:rPr>
          <w:rFonts w:cs="Arial"/>
          <w:bCs/>
        </w:rPr>
        <w:t>Australian and Queensland Governments</w:t>
      </w:r>
      <w:r w:rsidRPr="00120A7B">
        <w:rPr>
          <w:rFonts w:cs="Arial"/>
          <w:bCs/>
        </w:rPr>
        <w:t xml:space="preserve"> beyond 30 June 2021. The Australian Government has released advice stating its support for an extension of the Commission for a period of three years to 30 June 2024, whilst the Queensland Government has confirmed an extension of twelve months to 30 June 2022</w:t>
      </w:r>
      <w:r>
        <w:rPr>
          <w:rFonts w:cs="Arial"/>
          <w:bCs/>
        </w:rPr>
        <w:t xml:space="preserve"> pending the outcome of a review</w:t>
      </w:r>
      <w:r w:rsidRPr="00120A7B">
        <w:rPr>
          <w:rFonts w:cs="Arial"/>
          <w:bCs/>
        </w:rPr>
        <w:t xml:space="preserve">. </w:t>
      </w:r>
      <w:r>
        <w:rPr>
          <w:rFonts w:cs="Arial"/>
          <w:bCs/>
        </w:rPr>
        <w:t xml:space="preserve">As at the end of this quarter the terms of reference for the ‘FRC Future Directions Review’ are yet to be finalised. </w:t>
      </w:r>
      <w:r w:rsidRPr="00120A7B">
        <w:rPr>
          <w:rFonts w:cs="Arial"/>
          <w:bCs/>
        </w:rPr>
        <w:t xml:space="preserve">It is </w:t>
      </w:r>
      <w:r>
        <w:rPr>
          <w:rFonts w:cs="Arial"/>
          <w:bCs/>
        </w:rPr>
        <w:t>the Commission’s understanding that the finalisation of t</w:t>
      </w:r>
      <w:r w:rsidRPr="00120A7B">
        <w:rPr>
          <w:rFonts w:cs="Arial"/>
          <w:bCs/>
        </w:rPr>
        <w:t xml:space="preserve">he Memorandum of Understanding </w:t>
      </w:r>
      <w:r>
        <w:rPr>
          <w:rFonts w:cs="Arial"/>
          <w:bCs/>
        </w:rPr>
        <w:t xml:space="preserve">is dependent upon agreement on the terms of reference for the review. The Commission looks forward to the finalisation </w:t>
      </w:r>
      <w:r>
        <w:rPr>
          <w:rFonts w:cs="Arial"/>
          <w:bCs/>
        </w:rPr>
        <w:lastRenderedPageBreak/>
        <w:t>of the procurement process for the FRC Future Directions Review, and the signing of a Memorandum of Understanding to secure funding for the Commission past 30 June 2022 and into the future.</w:t>
      </w:r>
    </w:p>
    <w:p w14:paraId="1C896CA2" w14:textId="77777777" w:rsidR="00122493" w:rsidRDefault="00122493" w:rsidP="00122493">
      <w:pPr>
        <w:ind w:left="-142" w:right="-425"/>
        <w:jc w:val="both"/>
        <w:rPr>
          <w:rFonts w:cs="Arial"/>
          <w:bCs/>
        </w:rPr>
      </w:pPr>
    </w:p>
    <w:p w14:paraId="2A667025" w14:textId="77777777" w:rsidR="004E2AAF" w:rsidRPr="004F0C23" w:rsidRDefault="004E2AAF" w:rsidP="004E2AAF">
      <w:pPr>
        <w:ind w:left="-142" w:right="-425"/>
        <w:jc w:val="both"/>
        <w:rPr>
          <w:rFonts w:cs="Arial"/>
          <w:b/>
        </w:rPr>
      </w:pPr>
      <w:r w:rsidRPr="004F0C23">
        <w:rPr>
          <w:rFonts w:cs="Arial"/>
          <w:b/>
        </w:rPr>
        <w:t>FRC’s partnerships with community support services in welfare reform communities</w:t>
      </w:r>
    </w:p>
    <w:p w14:paraId="0F11CEB2" w14:textId="241EFB27" w:rsidR="00122493" w:rsidRPr="00F52166" w:rsidRDefault="00F04DB4" w:rsidP="00122493">
      <w:pPr>
        <w:ind w:left="-142" w:right="-425"/>
        <w:jc w:val="both"/>
        <w:rPr>
          <w:rFonts w:cs="Arial"/>
          <w:bCs/>
          <w:u w:val="single"/>
        </w:rPr>
      </w:pPr>
      <w:r>
        <w:rPr>
          <w:rFonts w:cs="Arial"/>
          <w:bCs/>
          <w:u w:val="single"/>
        </w:rPr>
        <w:t>C</w:t>
      </w:r>
      <w:r w:rsidR="00122493" w:rsidRPr="00F52166">
        <w:rPr>
          <w:rFonts w:cs="Arial"/>
          <w:bCs/>
          <w:u w:val="single"/>
        </w:rPr>
        <w:t>ase plan reporting</w:t>
      </w:r>
    </w:p>
    <w:p w14:paraId="39332F2C" w14:textId="77777777" w:rsidR="00122493" w:rsidRDefault="00122493" w:rsidP="00122493">
      <w:pPr>
        <w:ind w:left="-142" w:right="-425"/>
        <w:jc w:val="both"/>
        <w:rPr>
          <w:rFonts w:cs="Arial"/>
          <w:bCs/>
        </w:rPr>
      </w:pPr>
      <w:r w:rsidRPr="00F52166">
        <w:rPr>
          <w:rFonts w:cs="Arial"/>
          <w:bCs/>
        </w:rPr>
        <w:t>The Commission has a legislative mandate to receive information from support services in order to monitor case plan compliance and progress, and further assist the Commissioners to make appropriate decisions. Part 8, Information exchange, of the FRC Act defines the information which can be requested by the Commissioner, and from whom this information can be requested, including community support services that are attended by a person under a case plan.</w:t>
      </w:r>
    </w:p>
    <w:p w14:paraId="7BA580C6" w14:textId="77777777" w:rsidR="00122493" w:rsidRPr="00F52166" w:rsidRDefault="00122493" w:rsidP="00122493">
      <w:pPr>
        <w:ind w:left="-142" w:right="-425"/>
        <w:jc w:val="both"/>
        <w:rPr>
          <w:rFonts w:cs="Arial"/>
          <w:bCs/>
        </w:rPr>
      </w:pPr>
    </w:p>
    <w:p w14:paraId="174A2B50" w14:textId="77777777" w:rsidR="00122493" w:rsidRDefault="00122493" w:rsidP="00122493">
      <w:pPr>
        <w:ind w:left="-142" w:right="-425"/>
        <w:jc w:val="both"/>
        <w:rPr>
          <w:rFonts w:cs="Arial"/>
          <w:bCs/>
        </w:rPr>
      </w:pPr>
      <w:r w:rsidRPr="00F52166">
        <w:rPr>
          <w:rFonts w:cs="Arial"/>
          <w:bCs/>
        </w:rPr>
        <w:t>It is a requirement under section 35 of the FRC Act for the Registrar to monitor and report on a person’s compliance with a case plan to attend a community support service under an agreement or order. The Commission seeks information from service providers via a user-friendly online portal through which service providers are requested to provide information on their attempts to engage the client, the client’s attendance at the service, and assessment of progress made under the case plan. Training is provided in the use of the portal. Emailed requests are sent monthly from the Commission to service providers for progress reports for specific clients at key stages of case plans.</w:t>
      </w:r>
    </w:p>
    <w:p w14:paraId="136C4773" w14:textId="77777777" w:rsidR="00122493" w:rsidRPr="00F52166" w:rsidRDefault="00122493" w:rsidP="00122493">
      <w:pPr>
        <w:ind w:left="-142" w:right="-425"/>
        <w:jc w:val="both"/>
        <w:rPr>
          <w:rFonts w:cs="Arial"/>
          <w:bCs/>
        </w:rPr>
      </w:pPr>
    </w:p>
    <w:p w14:paraId="37A611A6" w14:textId="449FC5C3" w:rsidR="00042533" w:rsidRPr="00042533" w:rsidRDefault="00122493" w:rsidP="00042533">
      <w:pPr>
        <w:ind w:left="-142" w:right="-425"/>
        <w:jc w:val="both"/>
        <w:rPr>
          <w:rFonts w:cs="Arial"/>
          <w:bCs/>
        </w:rPr>
      </w:pPr>
      <w:r>
        <w:rPr>
          <w:rFonts w:cs="Arial"/>
          <w:bCs/>
        </w:rPr>
        <w:t xml:space="preserve">It was reported in the Commission’s Annual Report </w:t>
      </w:r>
      <w:r w:rsidRPr="00F52166">
        <w:rPr>
          <w:rFonts w:cs="Arial"/>
          <w:bCs/>
        </w:rPr>
        <w:t xml:space="preserve">2020-21 financial year </w:t>
      </w:r>
      <w:r>
        <w:rPr>
          <w:rFonts w:cs="Arial"/>
          <w:bCs/>
        </w:rPr>
        <w:t xml:space="preserve">that </w:t>
      </w:r>
      <w:r w:rsidRPr="00F52166">
        <w:rPr>
          <w:rFonts w:cs="Arial"/>
          <w:bCs/>
        </w:rPr>
        <w:t xml:space="preserve">reports from some service providers remain outstanding or are of such poor quality that it provides minimal value to Commissioners in their decision-making, thus impeding the effectiveness of case plan referrals and </w:t>
      </w:r>
      <w:r>
        <w:rPr>
          <w:rFonts w:cs="Arial"/>
          <w:bCs/>
        </w:rPr>
        <w:t xml:space="preserve">the </w:t>
      </w:r>
      <w:r w:rsidRPr="00F52166">
        <w:rPr>
          <w:rFonts w:cs="Arial"/>
          <w:bCs/>
        </w:rPr>
        <w:t>monitoring of client progress and/or compliance.</w:t>
      </w:r>
      <w:r w:rsidR="00042533">
        <w:rPr>
          <w:rFonts w:cs="Arial"/>
          <w:bCs/>
        </w:rPr>
        <w:t xml:space="preserve"> </w:t>
      </w:r>
      <w:r w:rsidR="00042533" w:rsidRPr="00042533">
        <w:rPr>
          <w:rFonts w:cs="Arial"/>
          <w:bCs/>
        </w:rPr>
        <w:t xml:space="preserve">The FRC </w:t>
      </w:r>
      <w:r w:rsidR="00042533">
        <w:rPr>
          <w:rFonts w:cs="Arial"/>
          <w:bCs/>
        </w:rPr>
        <w:t xml:space="preserve">has reported </w:t>
      </w:r>
      <w:r w:rsidR="00042533" w:rsidRPr="00042533">
        <w:rPr>
          <w:rFonts w:cs="Arial"/>
          <w:bCs/>
        </w:rPr>
        <w:t xml:space="preserve">its client referrals to support services have increased exponentially in the last two years (since 2018-19 by 541 percent). </w:t>
      </w:r>
    </w:p>
    <w:p w14:paraId="78FFDBE5" w14:textId="69023C76" w:rsidR="00042533" w:rsidRPr="00042533" w:rsidRDefault="00042533" w:rsidP="00042533">
      <w:pPr>
        <w:ind w:left="-142" w:right="-425"/>
        <w:jc w:val="both"/>
        <w:rPr>
          <w:rFonts w:cs="Arial"/>
          <w:bCs/>
        </w:rPr>
      </w:pPr>
      <w:r w:rsidRPr="00042533">
        <w:rPr>
          <w:rFonts w:cs="Arial"/>
          <w:bCs/>
        </w:rPr>
        <w:t>The pressure upon these support services is understandable with the increased workload, and the Commission anticipates that referrals will maintain the increasing trend during the 2021-22 year</w:t>
      </w:r>
      <w:r w:rsidR="00CB0BD0">
        <w:rPr>
          <w:rFonts w:cs="Arial"/>
          <w:bCs/>
        </w:rPr>
        <w:t>.</w:t>
      </w:r>
    </w:p>
    <w:p w14:paraId="10D93609" w14:textId="77777777" w:rsidR="00122493" w:rsidRPr="00F52166" w:rsidRDefault="00122493" w:rsidP="00122493">
      <w:pPr>
        <w:ind w:left="-142" w:right="-425"/>
        <w:jc w:val="both"/>
        <w:rPr>
          <w:rFonts w:cs="Arial"/>
          <w:bCs/>
        </w:rPr>
      </w:pPr>
    </w:p>
    <w:p w14:paraId="77FAC365" w14:textId="77777777" w:rsidR="00122493" w:rsidRPr="00F52166" w:rsidRDefault="00122493" w:rsidP="00122493">
      <w:pPr>
        <w:ind w:left="-142" w:right="-425"/>
        <w:jc w:val="both"/>
        <w:rPr>
          <w:rFonts w:cs="Arial"/>
          <w:bCs/>
          <w:lang w:val="en-US"/>
        </w:rPr>
      </w:pPr>
      <w:r>
        <w:rPr>
          <w:rFonts w:cs="Arial"/>
          <w:bCs/>
        </w:rPr>
        <w:t xml:space="preserve">During this reporting period the Commission continued to experience challenges in receiving timely and informative reports from some support services. </w:t>
      </w:r>
      <w:r w:rsidRPr="00F52166">
        <w:rPr>
          <w:rFonts w:cs="Arial"/>
          <w:bCs/>
        </w:rPr>
        <w:t>The Commission will continue to strengthen relationships with support services through the drafting and negotiation of MoUs</w:t>
      </w:r>
      <w:r>
        <w:rPr>
          <w:rFonts w:cs="Arial"/>
          <w:bCs/>
        </w:rPr>
        <w:t xml:space="preserve"> (see below) </w:t>
      </w:r>
      <w:r w:rsidRPr="00F52166">
        <w:rPr>
          <w:rFonts w:cs="Arial"/>
          <w:bCs/>
        </w:rPr>
        <w:t>and the provision of additional training in the use of the FRC portal</w:t>
      </w:r>
      <w:r>
        <w:rPr>
          <w:rFonts w:cs="Arial"/>
          <w:bCs/>
        </w:rPr>
        <w:t xml:space="preserve"> and the legislative requirements of the FRC Act</w:t>
      </w:r>
      <w:r w:rsidRPr="00F52166">
        <w:rPr>
          <w:rFonts w:cs="Arial"/>
          <w:bCs/>
        </w:rPr>
        <w:t>.</w:t>
      </w:r>
    </w:p>
    <w:p w14:paraId="6A26E882" w14:textId="77777777" w:rsidR="00122493" w:rsidRDefault="00122493" w:rsidP="00122493">
      <w:pPr>
        <w:ind w:left="-142" w:right="-425"/>
        <w:jc w:val="both"/>
        <w:rPr>
          <w:rFonts w:cs="Arial"/>
          <w:bCs/>
        </w:rPr>
      </w:pPr>
    </w:p>
    <w:p w14:paraId="5D45A747" w14:textId="5897E1AE" w:rsidR="00F52166" w:rsidRPr="00F52166" w:rsidRDefault="00F04DB4" w:rsidP="00574291">
      <w:pPr>
        <w:ind w:left="-142" w:right="-425"/>
        <w:jc w:val="both"/>
        <w:rPr>
          <w:rFonts w:cs="Arial"/>
          <w:bCs/>
          <w:u w:val="single"/>
        </w:rPr>
      </w:pPr>
      <w:r>
        <w:rPr>
          <w:rFonts w:cs="Arial"/>
          <w:bCs/>
          <w:u w:val="single"/>
        </w:rPr>
        <w:t>Building better partnerships</w:t>
      </w:r>
    </w:p>
    <w:p w14:paraId="4A96C315" w14:textId="1629D10D" w:rsidR="00574291" w:rsidRPr="00574291" w:rsidRDefault="00F0272C" w:rsidP="00574291">
      <w:pPr>
        <w:ind w:left="-142" w:right="-425"/>
        <w:jc w:val="both"/>
        <w:rPr>
          <w:rFonts w:cs="Arial"/>
          <w:bCs/>
        </w:rPr>
      </w:pPr>
      <w:r>
        <w:rPr>
          <w:rFonts w:cs="Arial"/>
          <w:bCs/>
        </w:rPr>
        <w:t xml:space="preserve">The Commission has continued this quarter to expand and further solidify its service provider partnerships with a Memorandum of Understanding </w:t>
      </w:r>
      <w:r w:rsidR="00D368C5">
        <w:rPr>
          <w:rFonts w:cs="Arial"/>
          <w:bCs/>
        </w:rPr>
        <w:t>(M</w:t>
      </w:r>
      <w:r w:rsidR="008826D3">
        <w:rPr>
          <w:rFonts w:cs="Arial"/>
          <w:bCs/>
        </w:rPr>
        <w:t>o</w:t>
      </w:r>
      <w:r w:rsidR="00D368C5">
        <w:rPr>
          <w:rFonts w:cs="Arial"/>
          <w:bCs/>
        </w:rPr>
        <w:t xml:space="preserve">U) </w:t>
      </w:r>
      <w:r>
        <w:rPr>
          <w:rFonts w:cs="Arial"/>
          <w:bCs/>
        </w:rPr>
        <w:t>finalised with Cape York Employment</w:t>
      </w:r>
      <w:r w:rsidR="00714508">
        <w:rPr>
          <w:rFonts w:cs="Arial"/>
          <w:bCs/>
        </w:rPr>
        <w:t xml:space="preserve"> (CYE) o</w:t>
      </w:r>
      <w:r w:rsidR="00574291" w:rsidRPr="00574291">
        <w:rPr>
          <w:rFonts w:cs="Arial"/>
          <w:bCs/>
        </w:rPr>
        <w:t>n 25 November 2021</w:t>
      </w:r>
      <w:r w:rsidR="00714508">
        <w:rPr>
          <w:rFonts w:cs="Arial"/>
          <w:bCs/>
        </w:rPr>
        <w:t xml:space="preserve">. </w:t>
      </w:r>
      <w:r w:rsidR="00574291" w:rsidRPr="00574291">
        <w:rPr>
          <w:rFonts w:cs="Arial"/>
          <w:bCs/>
        </w:rPr>
        <w:t xml:space="preserve">CYE delivers programs and engages with clients to provide assistance for employment and </w:t>
      </w:r>
      <w:r w:rsidR="00B4052A" w:rsidRPr="00574291">
        <w:rPr>
          <w:rFonts w:cs="Arial"/>
          <w:bCs/>
        </w:rPr>
        <w:t>training and</w:t>
      </w:r>
      <w:r w:rsidR="00574291" w:rsidRPr="00574291">
        <w:rPr>
          <w:rFonts w:cs="Arial"/>
          <w:bCs/>
        </w:rPr>
        <w:t xml:space="preserve"> delivers the Community Development Program (CDP) in Aurukun and Coen. T</w:t>
      </w:r>
      <w:r w:rsidR="00D368C5" w:rsidRPr="00D368C5">
        <w:rPr>
          <w:rFonts w:cs="Arial"/>
          <w:bCs/>
        </w:rPr>
        <w:t>h</w:t>
      </w:r>
      <w:r w:rsidR="00D368C5">
        <w:rPr>
          <w:rFonts w:cs="Arial"/>
          <w:bCs/>
        </w:rPr>
        <w:t>e</w:t>
      </w:r>
      <w:r w:rsidR="00D368C5" w:rsidRPr="00D368C5">
        <w:rPr>
          <w:rFonts w:cs="Arial"/>
          <w:bCs/>
        </w:rPr>
        <w:t xml:space="preserve"> initiative is supported by </w:t>
      </w:r>
      <w:r w:rsidR="003B5420">
        <w:rPr>
          <w:rFonts w:cs="Arial"/>
          <w:bCs/>
        </w:rPr>
        <w:t xml:space="preserve">the </w:t>
      </w:r>
      <w:r w:rsidR="00D368C5" w:rsidRPr="00D368C5">
        <w:rPr>
          <w:rFonts w:cs="Arial"/>
          <w:bCs/>
        </w:rPr>
        <w:t>Australian Government</w:t>
      </w:r>
      <w:r w:rsidR="00D368C5">
        <w:rPr>
          <w:rFonts w:cs="Arial"/>
          <w:bCs/>
        </w:rPr>
        <w:t xml:space="preserve"> and is designed </w:t>
      </w:r>
      <w:r w:rsidR="00D368C5" w:rsidRPr="00D368C5">
        <w:rPr>
          <w:rFonts w:cs="Arial"/>
          <w:bCs/>
        </w:rPr>
        <w:t xml:space="preserve">to end passive welfare </w:t>
      </w:r>
      <w:r w:rsidR="00D368C5">
        <w:rPr>
          <w:rFonts w:cs="Arial"/>
          <w:bCs/>
        </w:rPr>
        <w:t xml:space="preserve">by </w:t>
      </w:r>
      <w:r w:rsidR="00D368C5" w:rsidRPr="00D368C5">
        <w:rPr>
          <w:rFonts w:cs="Arial"/>
          <w:bCs/>
        </w:rPr>
        <w:t>empower</w:t>
      </w:r>
      <w:r w:rsidR="00D368C5">
        <w:rPr>
          <w:rFonts w:cs="Arial"/>
          <w:bCs/>
        </w:rPr>
        <w:t xml:space="preserve">ing </w:t>
      </w:r>
      <w:r w:rsidR="003B5420">
        <w:rPr>
          <w:rFonts w:cs="Arial"/>
          <w:bCs/>
        </w:rPr>
        <w:t xml:space="preserve">community members </w:t>
      </w:r>
      <w:r w:rsidR="00D368C5">
        <w:rPr>
          <w:rFonts w:cs="Arial"/>
          <w:bCs/>
        </w:rPr>
        <w:t xml:space="preserve">to be work-ready </w:t>
      </w:r>
      <w:r w:rsidR="008826D3">
        <w:rPr>
          <w:rFonts w:cs="Arial"/>
          <w:bCs/>
        </w:rPr>
        <w:t xml:space="preserve">so they can </w:t>
      </w:r>
      <w:r w:rsidR="00D368C5">
        <w:rPr>
          <w:rFonts w:cs="Arial"/>
          <w:bCs/>
        </w:rPr>
        <w:t xml:space="preserve">take advantage of job </w:t>
      </w:r>
      <w:r w:rsidR="00D368C5" w:rsidRPr="00D368C5">
        <w:rPr>
          <w:rFonts w:cs="Arial"/>
          <w:bCs/>
        </w:rPr>
        <w:t>opportunities</w:t>
      </w:r>
      <w:r w:rsidR="00D368C5">
        <w:rPr>
          <w:rFonts w:cs="Arial"/>
          <w:bCs/>
        </w:rPr>
        <w:t>. T</w:t>
      </w:r>
      <w:r w:rsidR="00574291" w:rsidRPr="00574291">
        <w:rPr>
          <w:rFonts w:cs="Arial"/>
          <w:bCs/>
        </w:rPr>
        <w:t>he MOU clarifies and strengthens the relationship between the FRC and CY</w:t>
      </w:r>
      <w:r w:rsidR="00C23EFB">
        <w:rPr>
          <w:rFonts w:cs="Arial"/>
          <w:bCs/>
        </w:rPr>
        <w:t>E</w:t>
      </w:r>
      <w:r w:rsidR="00574291" w:rsidRPr="00574291">
        <w:rPr>
          <w:rFonts w:cs="Arial"/>
          <w:bCs/>
        </w:rPr>
        <w:t xml:space="preserve"> by providing a framework around the referral of, response to, and reporting about FRC clients</w:t>
      </w:r>
      <w:r w:rsidR="00714508">
        <w:rPr>
          <w:rFonts w:cs="Arial"/>
          <w:bCs/>
        </w:rPr>
        <w:t xml:space="preserve"> on case plans</w:t>
      </w:r>
      <w:r w:rsidR="00574291" w:rsidRPr="00574291">
        <w:rPr>
          <w:rFonts w:cs="Arial"/>
          <w:bCs/>
        </w:rPr>
        <w:t>.</w:t>
      </w:r>
      <w:r w:rsidR="008826D3">
        <w:rPr>
          <w:rFonts w:cs="Arial"/>
          <w:bCs/>
        </w:rPr>
        <w:t xml:space="preserve"> </w:t>
      </w:r>
      <w:r w:rsidR="00574291" w:rsidRPr="00574291">
        <w:rPr>
          <w:rFonts w:cs="Arial"/>
          <w:bCs/>
        </w:rPr>
        <w:t>Since signing the MOU, the FRC and CYE have been discussing and preparing for clients in Aurukun and Coen to complete pre-employment training and take up pathways to employment, for example with Glencore in the Aurukun Bauxite Project.</w:t>
      </w:r>
    </w:p>
    <w:p w14:paraId="14C6DA98" w14:textId="77777777" w:rsidR="00574291" w:rsidRPr="00574291" w:rsidRDefault="00574291" w:rsidP="00574291">
      <w:pPr>
        <w:ind w:left="-142" w:right="-425"/>
        <w:jc w:val="both"/>
        <w:rPr>
          <w:rFonts w:cs="Arial"/>
          <w:bCs/>
        </w:rPr>
      </w:pPr>
    </w:p>
    <w:p w14:paraId="0CC08740" w14:textId="0FDB9B23" w:rsidR="00F0272C" w:rsidRDefault="00574291" w:rsidP="00574291">
      <w:pPr>
        <w:ind w:left="-142" w:right="-425"/>
        <w:jc w:val="both"/>
        <w:rPr>
          <w:rFonts w:cs="Arial"/>
          <w:bCs/>
        </w:rPr>
      </w:pPr>
      <w:r w:rsidRPr="00574291">
        <w:rPr>
          <w:rFonts w:cs="Arial"/>
          <w:bCs/>
        </w:rPr>
        <w:t>M</w:t>
      </w:r>
      <w:r w:rsidR="004F0C23">
        <w:rPr>
          <w:rFonts w:cs="Arial"/>
          <w:bCs/>
        </w:rPr>
        <w:t>o</w:t>
      </w:r>
      <w:r w:rsidRPr="00574291">
        <w:rPr>
          <w:rFonts w:cs="Arial"/>
          <w:bCs/>
        </w:rPr>
        <w:t>U discussions with the North West Hospital and Health Service</w:t>
      </w:r>
      <w:r w:rsidR="004F0C23">
        <w:rPr>
          <w:rFonts w:cs="Arial"/>
          <w:bCs/>
        </w:rPr>
        <w:t>,</w:t>
      </w:r>
      <w:r w:rsidRPr="00574291">
        <w:rPr>
          <w:rFonts w:cs="Arial"/>
          <w:bCs/>
        </w:rPr>
        <w:t xml:space="preserve"> Alcohol and Other Drugs Service Mt Isa, who service FRC clients in Doomadgee, have continued during the quarter. A draft M</w:t>
      </w:r>
      <w:r w:rsidR="004F0C23">
        <w:rPr>
          <w:rFonts w:cs="Arial"/>
          <w:bCs/>
        </w:rPr>
        <w:t>o</w:t>
      </w:r>
      <w:r w:rsidRPr="00574291">
        <w:rPr>
          <w:rFonts w:cs="Arial"/>
          <w:bCs/>
        </w:rPr>
        <w:t>U is currently under consideration, and an FRC trip to Mt Isa to finalise the M</w:t>
      </w:r>
      <w:r w:rsidR="004F0C23">
        <w:rPr>
          <w:rFonts w:cs="Arial"/>
          <w:bCs/>
        </w:rPr>
        <w:t>o</w:t>
      </w:r>
      <w:r w:rsidRPr="00574291">
        <w:rPr>
          <w:rFonts w:cs="Arial"/>
          <w:bCs/>
        </w:rPr>
        <w:t>U is planned for mid-March 2022.</w:t>
      </w:r>
    </w:p>
    <w:p w14:paraId="71B6289E" w14:textId="0B4ACFFF" w:rsidR="004B60C0" w:rsidRDefault="004B60C0" w:rsidP="00574291">
      <w:pPr>
        <w:ind w:left="-142" w:right="-425"/>
        <w:jc w:val="both"/>
        <w:rPr>
          <w:rFonts w:cs="Arial"/>
          <w:bCs/>
        </w:rPr>
      </w:pPr>
    </w:p>
    <w:p w14:paraId="334590AF" w14:textId="77777777" w:rsidR="00F04DB4" w:rsidRDefault="00F04DB4">
      <w:pPr>
        <w:spacing w:line="240" w:lineRule="auto"/>
        <w:rPr>
          <w:rFonts w:cs="Arial"/>
          <w:b/>
        </w:rPr>
      </w:pPr>
      <w:r>
        <w:rPr>
          <w:rFonts w:cs="Arial"/>
          <w:b/>
        </w:rPr>
        <w:br w:type="page"/>
      </w:r>
    </w:p>
    <w:p w14:paraId="47AE5588" w14:textId="5395C223" w:rsidR="00742820" w:rsidRPr="004F0C23" w:rsidRDefault="00742820" w:rsidP="00574291">
      <w:pPr>
        <w:ind w:left="-142" w:right="-425"/>
        <w:jc w:val="both"/>
        <w:rPr>
          <w:rFonts w:cs="Arial"/>
          <w:b/>
        </w:rPr>
      </w:pPr>
      <w:r w:rsidRPr="004F0C23">
        <w:rPr>
          <w:rFonts w:cs="Arial"/>
          <w:b/>
        </w:rPr>
        <w:lastRenderedPageBreak/>
        <w:t>FRC’s partnerships with Notifying Agencies</w:t>
      </w:r>
    </w:p>
    <w:p w14:paraId="0AB05BED" w14:textId="180184C2" w:rsidR="00CB0BD0" w:rsidRPr="00CB0BD0" w:rsidRDefault="00CB0BD0" w:rsidP="00574291">
      <w:pPr>
        <w:ind w:left="-142" w:right="-425"/>
        <w:jc w:val="both"/>
        <w:rPr>
          <w:rFonts w:cs="Arial"/>
          <w:bCs/>
          <w:u w:val="single"/>
        </w:rPr>
      </w:pPr>
      <w:r>
        <w:rPr>
          <w:rFonts w:cs="Arial"/>
          <w:bCs/>
          <w:u w:val="single"/>
        </w:rPr>
        <w:t>Legislative c</w:t>
      </w:r>
      <w:r w:rsidRPr="00CB0BD0">
        <w:rPr>
          <w:rFonts w:cs="Arial"/>
          <w:bCs/>
          <w:u w:val="single"/>
        </w:rPr>
        <w:t>ompliance</w:t>
      </w:r>
    </w:p>
    <w:p w14:paraId="25528E73" w14:textId="683314C3" w:rsidR="00EE4CF0" w:rsidRDefault="008279FB" w:rsidP="00574291">
      <w:pPr>
        <w:ind w:left="-142" w:right="-425"/>
        <w:jc w:val="both"/>
        <w:rPr>
          <w:rFonts w:cs="Arial"/>
          <w:bCs/>
        </w:rPr>
      </w:pPr>
      <w:r>
        <w:rPr>
          <w:rFonts w:cs="Arial"/>
          <w:bCs/>
        </w:rPr>
        <w:t xml:space="preserve">The FRC operates within a legal framework to assist clients and their families living in welfare reform communities to address complex antisocial behaviours. The FRC Act sets out the statutory obligations of relevant Queensland Government departments to notify the Commission when a </w:t>
      </w:r>
      <w:r w:rsidR="00F21A62">
        <w:rPr>
          <w:rFonts w:cs="Arial"/>
          <w:bCs/>
        </w:rPr>
        <w:t>community member</w:t>
      </w:r>
      <w:r>
        <w:rPr>
          <w:rFonts w:cs="Arial"/>
          <w:bCs/>
        </w:rPr>
        <w:t xml:space="preserve"> is not meeting pre-determined obligations.</w:t>
      </w:r>
      <w:r w:rsidR="00F21A62">
        <w:rPr>
          <w:rFonts w:cs="Arial"/>
          <w:bCs/>
        </w:rPr>
        <w:t xml:space="preserve"> In </w:t>
      </w:r>
      <w:r w:rsidR="00093F2D">
        <w:rPr>
          <w:rFonts w:cs="Arial"/>
          <w:bCs/>
        </w:rPr>
        <w:t>most</w:t>
      </w:r>
      <w:r w:rsidR="00F21A62">
        <w:rPr>
          <w:rFonts w:cs="Arial"/>
          <w:bCs/>
        </w:rPr>
        <w:t xml:space="preserve"> instances, time limits apply within which </w:t>
      </w:r>
      <w:r w:rsidR="00665C56">
        <w:rPr>
          <w:rFonts w:cs="Arial"/>
          <w:bCs/>
        </w:rPr>
        <w:t xml:space="preserve">an agency must provide </w:t>
      </w:r>
      <w:r w:rsidR="00F21A62">
        <w:rPr>
          <w:rFonts w:cs="Arial"/>
          <w:bCs/>
        </w:rPr>
        <w:t xml:space="preserve">the Commission </w:t>
      </w:r>
      <w:r w:rsidR="00665C56">
        <w:rPr>
          <w:rFonts w:cs="Arial"/>
          <w:bCs/>
        </w:rPr>
        <w:t>with</w:t>
      </w:r>
      <w:r w:rsidR="00F21A62">
        <w:rPr>
          <w:rFonts w:cs="Arial"/>
          <w:bCs/>
        </w:rPr>
        <w:t xml:space="preserve"> </w:t>
      </w:r>
      <w:r w:rsidR="00850D5B">
        <w:rPr>
          <w:rFonts w:cs="Arial"/>
          <w:bCs/>
        </w:rPr>
        <w:t>a</w:t>
      </w:r>
      <w:r w:rsidR="00F21A62">
        <w:rPr>
          <w:rFonts w:cs="Arial"/>
          <w:bCs/>
        </w:rPr>
        <w:t xml:space="preserve"> notice. Should this time limit not be met</w:t>
      </w:r>
      <w:r w:rsidR="00AD5288">
        <w:rPr>
          <w:rFonts w:cs="Arial"/>
          <w:bCs/>
        </w:rPr>
        <w:t xml:space="preserve"> by the notifying agency</w:t>
      </w:r>
      <w:r w:rsidR="00F21A62">
        <w:rPr>
          <w:rFonts w:cs="Arial"/>
          <w:bCs/>
        </w:rPr>
        <w:t>, the notice is deemed invalid for conferencing purposes.</w:t>
      </w:r>
      <w:r w:rsidR="00AD5288">
        <w:rPr>
          <w:rFonts w:cs="Arial"/>
          <w:bCs/>
        </w:rPr>
        <w:t xml:space="preserve"> There have been occasions where </w:t>
      </w:r>
      <w:r w:rsidR="00665C56">
        <w:rPr>
          <w:rFonts w:cs="Arial"/>
          <w:bCs/>
        </w:rPr>
        <w:t xml:space="preserve">notices have been received out of time and therefore deemed invalid. </w:t>
      </w:r>
      <w:r w:rsidR="00865ED0">
        <w:rPr>
          <w:rFonts w:cs="Arial"/>
          <w:bCs/>
        </w:rPr>
        <w:t xml:space="preserve">This quarter the Commission received six notices which </w:t>
      </w:r>
      <w:r w:rsidR="00093F2D">
        <w:rPr>
          <w:rFonts w:cs="Arial"/>
          <w:bCs/>
        </w:rPr>
        <w:t xml:space="preserve">it </w:t>
      </w:r>
      <w:r w:rsidR="00865ED0">
        <w:rPr>
          <w:rFonts w:cs="Arial"/>
          <w:bCs/>
        </w:rPr>
        <w:t>is was unable to act on as they were received outside the legislated timeframe. T</w:t>
      </w:r>
      <w:r w:rsidR="00AD5288">
        <w:rPr>
          <w:rFonts w:cs="Arial"/>
          <w:bCs/>
        </w:rPr>
        <w:t xml:space="preserve">he Commission has implemented </w:t>
      </w:r>
      <w:r w:rsidR="00850D5B">
        <w:rPr>
          <w:rFonts w:cs="Arial"/>
          <w:bCs/>
        </w:rPr>
        <w:t xml:space="preserve">quality control </w:t>
      </w:r>
      <w:r w:rsidR="00501CB4">
        <w:rPr>
          <w:rFonts w:cs="Arial"/>
          <w:bCs/>
        </w:rPr>
        <w:t xml:space="preserve">audit practices </w:t>
      </w:r>
      <w:r w:rsidR="00850D5B">
        <w:rPr>
          <w:rFonts w:cs="Arial"/>
          <w:bCs/>
        </w:rPr>
        <w:t>overseen by</w:t>
      </w:r>
      <w:r w:rsidR="00501CB4">
        <w:rPr>
          <w:rFonts w:cs="Arial"/>
          <w:bCs/>
        </w:rPr>
        <w:t xml:space="preserve"> the Manager (Case Management and Monitoring) and </w:t>
      </w:r>
      <w:r w:rsidR="00093F2D">
        <w:rPr>
          <w:rFonts w:cs="Arial"/>
          <w:bCs/>
        </w:rPr>
        <w:t xml:space="preserve">continues to work with the relevant department in </w:t>
      </w:r>
      <w:r w:rsidR="00BE3CDA">
        <w:rPr>
          <w:rFonts w:cs="Arial"/>
          <w:bCs/>
        </w:rPr>
        <w:t xml:space="preserve">a </w:t>
      </w:r>
      <w:r w:rsidR="00093F2D">
        <w:rPr>
          <w:rFonts w:cs="Arial"/>
          <w:bCs/>
        </w:rPr>
        <w:t xml:space="preserve">proactive and collaborative manner to </w:t>
      </w:r>
      <w:r w:rsidR="00BE3CDA">
        <w:rPr>
          <w:rFonts w:cs="Arial"/>
          <w:bCs/>
        </w:rPr>
        <w:t>resolve the issue</w:t>
      </w:r>
      <w:r w:rsidR="00501CB4">
        <w:rPr>
          <w:rFonts w:cs="Arial"/>
          <w:bCs/>
        </w:rPr>
        <w:t>.</w:t>
      </w:r>
    </w:p>
    <w:p w14:paraId="6299712E" w14:textId="77777777" w:rsidR="004E2AAF" w:rsidRDefault="004E2AAF" w:rsidP="00574291">
      <w:pPr>
        <w:ind w:left="-142" w:right="-425"/>
        <w:jc w:val="both"/>
        <w:rPr>
          <w:rFonts w:cs="Arial"/>
          <w:bCs/>
        </w:rPr>
      </w:pPr>
    </w:p>
    <w:p w14:paraId="7B70F43F" w14:textId="47CCEAF1" w:rsidR="009D3D22" w:rsidRPr="009D3D22" w:rsidRDefault="009D3D22" w:rsidP="00574291">
      <w:pPr>
        <w:ind w:left="-142" w:right="-425"/>
        <w:jc w:val="both"/>
        <w:rPr>
          <w:rFonts w:cs="Arial"/>
          <w:bCs/>
          <w:u w:val="single"/>
        </w:rPr>
      </w:pPr>
      <w:r>
        <w:rPr>
          <w:rFonts w:cs="Arial"/>
          <w:bCs/>
          <w:u w:val="single"/>
        </w:rPr>
        <w:t>Building better partnerships</w:t>
      </w:r>
    </w:p>
    <w:p w14:paraId="1AE0EBBA" w14:textId="04EC61CF" w:rsidR="00EE4CF0" w:rsidRPr="00F0272C" w:rsidRDefault="001A1980" w:rsidP="00574291">
      <w:pPr>
        <w:ind w:left="-142" w:right="-425"/>
        <w:jc w:val="both"/>
        <w:rPr>
          <w:rFonts w:cs="Arial"/>
          <w:bCs/>
        </w:rPr>
      </w:pPr>
      <w:r>
        <w:rPr>
          <w:rFonts w:cs="Arial"/>
          <w:bCs/>
        </w:rPr>
        <w:t xml:space="preserve">In order for the FRC legislation to operate effectively and to ensure Commissioners have all the information available to them to enable quality decision-making, the </w:t>
      </w:r>
      <w:r w:rsidR="00CF03AF">
        <w:rPr>
          <w:rFonts w:cs="Arial"/>
          <w:bCs/>
        </w:rPr>
        <w:t xml:space="preserve">Commission entered into discussions with the </w:t>
      </w:r>
      <w:r>
        <w:rPr>
          <w:rFonts w:cs="Arial"/>
          <w:bCs/>
        </w:rPr>
        <w:t xml:space="preserve">Department of Education during September 2021 to draft an Exchange of Information Guideline to provide guidance in the principles that apply to information exchange regarding school attendance and enrolment information, and the method to be adopted in the exchange of information. </w:t>
      </w:r>
      <w:r w:rsidR="00CF03AF">
        <w:rPr>
          <w:rFonts w:cs="Arial"/>
          <w:bCs/>
        </w:rPr>
        <w:t>The new procedures were adopted and implemented during Quarter 54. The Commission is pleased to report that the new procedures, negotiated with the Department of Education, have resulted in the availability of timely and relevant information</w:t>
      </w:r>
      <w:r w:rsidR="00785FA0">
        <w:rPr>
          <w:rFonts w:cs="Arial"/>
          <w:bCs/>
        </w:rPr>
        <w:t xml:space="preserve"> which has streamlined the conferencing of education notices.</w:t>
      </w:r>
    </w:p>
    <w:p w14:paraId="6FFABBE9" w14:textId="77777777" w:rsidR="00122493" w:rsidRDefault="00122493" w:rsidP="00A06016">
      <w:pPr>
        <w:ind w:left="-142" w:right="-425"/>
        <w:jc w:val="both"/>
        <w:rPr>
          <w:rFonts w:cs="Arial"/>
          <w:b/>
        </w:rPr>
      </w:pPr>
    </w:p>
    <w:p w14:paraId="54CDA451" w14:textId="71B2B5F0" w:rsidR="00991606" w:rsidRPr="00991606" w:rsidRDefault="00991606" w:rsidP="00A06016">
      <w:pPr>
        <w:ind w:left="-142" w:right="-425"/>
        <w:jc w:val="both"/>
        <w:rPr>
          <w:rFonts w:cs="Arial"/>
          <w:b/>
        </w:rPr>
      </w:pPr>
      <w:r w:rsidRPr="00991606">
        <w:rPr>
          <w:rFonts w:cs="Arial"/>
          <w:b/>
        </w:rPr>
        <w:t>Local Commissioner recruitment</w:t>
      </w:r>
    </w:p>
    <w:p w14:paraId="08DEA4F6" w14:textId="716E9B3A" w:rsidR="00F0353E" w:rsidRPr="00F0353E" w:rsidRDefault="00F0353E" w:rsidP="00F0353E">
      <w:pPr>
        <w:ind w:left="-142" w:right="-425"/>
        <w:jc w:val="both"/>
        <w:rPr>
          <w:rFonts w:cs="Arial"/>
          <w:bCs/>
        </w:rPr>
      </w:pPr>
      <w:r>
        <w:rPr>
          <w:rFonts w:cs="Arial"/>
          <w:bCs/>
        </w:rPr>
        <w:t>At the FR Board meeting held 4 November 2021, t</w:t>
      </w:r>
      <w:r w:rsidRPr="00F0353E">
        <w:rPr>
          <w:rFonts w:cs="Arial"/>
          <w:bCs/>
        </w:rPr>
        <w:t xml:space="preserve">he Commission </w:t>
      </w:r>
      <w:r>
        <w:rPr>
          <w:rFonts w:cs="Arial"/>
          <w:bCs/>
        </w:rPr>
        <w:t xml:space="preserve">presented a paper </w:t>
      </w:r>
      <w:r w:rsidR="00E36E44">
        <w:rPr>
          <w:rFonts w:cs="Arial"/>
          <w:bCs/>
        </w:rPr>
        <w:t xml:space="preserve">to board members </w:t>
      </w:r>
      <w:r>
        <w:rPr>
          <w:rFonts w:cs="Arial"/>
          <w:bCs/>
        </w:rPr>
        <w:t xml:space="preserve">requesting approval to recruit further Local Commissioners in each community. </w:t>
      </w:r>
      <w:r w:rsidR="00E36E44">
        <w:rPr>
          <w:rFonts w:cs="Arial"/>
          <w:bCs/>
        </w:rPr>
        <w:t xml:space="preserve">The request was made as the Commission has </w:t>
      </w:r>
      <w:r w:rsidRPr="00F0353E">
        <w:rPr>
          <w:rFonts w:cs="Arial"/>
          <w:bCs/>
        </w:rPr>
        <w:t xml:space="preserve">on frequent occasions </w:t>
      </w:r>
      <w:r w:rsidR="00E36E44">
        <w:rPr>
          <w:rFonts w:cs="Arial"/>
          <w:bCs/>
        </w:rPr>
        <w:t xml:space="preserve">experienced difficulty in </w:t>
      </w:r>
      <w:r w:rsidRPr="00F0353E">
        <w:rPr>
          <w:rFonts w:cs="Arial"/>
          <w:bCs/>
        </w:rPr>
        <w:t>secur</w:t>
      </w:r>
      <w:r w:rsidR="00E36E44">
        <w:rPr>
          <w:rFonts w:cs="Arial"/>
          <w:bCs/>
        </w:rPr>
        <w:t>ing</w:t>
      </w:r>
      <w:r w:rsidRPr="00F0353E">
        <w:rPr>
          <w:rFonts w:cs="Arial"/>
          <w:bCs/>
        </w:rPr>
        <w:t xml:space="preserve"> the attendance of three Local Commissioners to meet the requirements of holding s50A conferences</w:t>
      </w:r>
      <w:r w:rsidR="00E36E44">
        <w:rPr>
          <w:rFonts w:cs="Arial"/>
          <w:bCs/>
        </w:rPr>
        <w:t>. Additionally</w:t>
      </w:r>
      <w:r w:rsidRPr="00F0353E">
        <w:rPr>
          <w:rFonts w:cs="Arial"/>
          <w:bCs/>
        </w:rPr>
        <w:t xml:space="preserve">, </w:t>
      </w:r>
      <w:r w:rsidR="00E36E44">
        <w:rPr>
          <w:rFonts w:cs="Arial"/>
          <w:bCs/>
        </w:rPr>
        <w:t xml:space="preserve">the Commission wishes to provide greater </w:t>
      </w:r>
      <w:r w:rsidRPr="00F0353E">
        <w:rPr>
          <w:rFonts w:cs="Arial"/>
          <w:bCs/>
        </w:rPr>
        <w:t>diversity amongst the pool of Local Commissioners currently appointed in regard to gender, age, clan affiliation and expertise.</w:t>
      </w:r>
    </w:p>
    <w:p w14:paraId="606B26F0" w14:textId="77777777" w:rsidR="00F0353E" w:rsidRPr="00F0353E" w:rsidRDefault="00F0353E" w:rsidP="00F0353E">
      <w:pPr>
        <w:ind w:left="-142" w:right="-425"/>
        <w:jc w:val="both"/>
        <w:rPr>
          <w:rFonts w:cs="Arial"/>
          <w:bCs/>
        </w:rPr>
      </w:pPr>
    </w:p>
    <w:p w14:paraId="229047EE" w14:textId="2E7B2E5B" w:rsidR="00AD7AD4" w:rsidRDefault="00AD7AD4" w:rsidP="00E36E44">
      <w:pPr>
        <w:ind w:left="-142" w:right="-425"/>
        <w:jc w:val="both"/>
        <w:rPr>
          <w:rFonts w:cs="Arial"/>
          <w:bCs/>
        </w:rPr>
      </w:pPr>
      <w:r>
        <w:rPr>
          <w:rFonts w:cs="Arial"/>
          <w:bCs/>
        </w:rPr>
        <w:t>Section 51(3)(a) of the FRC Act states:</w:t>
      </w:r>
    </w:p>
    <w:p w14:paraId="46AE3166" w14:textId="23A9F5D1" w:rsidR="00AD7AD4" w:rsidRDefault="00AD7AD4" w:rsidP="00E36E44">
      <w:pPr>
        <w:ind w:left="-142" w:right="-425"/>
        <w:jc w:val="both"/>
        <w:rPr>
          <w:rFonts w:cs="Arial"/>
          <w:bCs/>
        </w:rPr>
      </w:pPr>
    </w:p>
    <w:p w14:paraId="4A480BA5" w14:textId="649BC578" w:rsidR="00AD7AD4" w:rsidRDefault="00AD7AD4" w:rsidP="00AD7AD4">
      <w:pPr>
        <w:ind w:left="284" w:right="141"/>
        <w:jc w:val="both"/>
        <w:rPr>
          <w:rFonts w:cs="Arial"/>
          <w:bCs/>
        </w:rPr>
      </w:pPr>
      <w:r>
        <w:rPr>
          <w:rFonts w:cs="Arial"/>
          <w:bCs/>
          <w:i/>
          <w:lang w:val="en-US"/>
        </w:rPr>
        <w:t>“</w:t>
      </w:r>
      <w:r w:rsidRPr="00F0353E">
        <w:rPr>
          <w:rFonts w:cs="Arial"/>
          <w:bCs/>
          <w:i/>
          <w:lang w:val="en-US"/>
        </w:rPr>
        <w:t xml:space="preserve">In nominating or appointing the Local Commissioners for a conference, the local registry Coordinator and Commissioner </w:t>
      </w:r>
      <w:r w:rsidRPr="00F0353E">
        <w:rPr>
          <w:rFonts w:cs="Arial"/>
          <w:b/>
          <w:bCs/>
          <w:i/>
          <w:lang w:val="en-US"/>
        </w:rPr>
        <w:t>must</w:t>
      </w:r>
      <w:r w:rsidRPr="00F0353E">
        <w:rPr>
          <w:rFonts w:cs="Arial"/>
          <w:bCs/>
          <w:i/>
          <w:lang w:val="en-US"/>
        </w:rPr>
        <w:t xml:space="preserve"> – if the person the subject of the conference is an Aboriginal person or a Torres Strait Islander – consider whether the nominees or appointees are appropriate, having regard to the clan or</w:t>
      </w:r>
      <w:r w:rsidRPr="00F0353E">
        <w:rPr>
          <w:rFonts w:cs="Arial"/>
          <w:bCs/>
          <w:lang w:val="en-US"/>
        </w:rPr>
        <w:t xml:space="preserve"> </w:t>
      </w:r>
      <w:r w:rsidRPr="00F0353E">
        <w:rPr>
          <w:rFonts w:cs="Arial"/>
          <w:bCs/>
          <w:i/>
          <w:lang w:val="en-US"/>
        </w:rPr>
        <w:t>family</w:t>
      </w:r>
      <w:r w:rsidRPr="00F0353E">
        <w:rPr>
          <w:rFonts w:cs="Arial"/>
          <w:bCs/>
          <w:lang w:val="en-US"/>
        </w:rPr>
        <w:t xml:space="preserve"> </w:t>
      </w:r>
      <w:r w:rsidRPr="00F0353E">
        <w:rPr>
          <w:rFonts w:cs="Arial"/>
          <w:bCs/>
          <w:i/>
          <w:lang w:val="en-US"/>
        </w:rPr>
        <w:t>group to which the person belongs.”</w:t>
      </w:r>
    </w:p>
    <w:p w14:paraId="4C8516DD" w14:textId="77777777" w:rsidR="00AD7AD4" w:rsidRDefault="00AD7AD4" w:rsidP="00E36E44">
      <w:pPr>
        <w:ind w:left="-142" w:right="-425"/>
        <w:jc w:val="both"/>
        <w:rPr>
          <w:rFonts w:cs="Arial"/>
          <w:bCs/>
        </w:rPr>
      </w:pPr>
    </w:p>
    <w:p w14:paraId="09C1C086" w14:textId="793C4D75" w:rsidR="00F0353E" w:rsidRPr="00F0353E" w:rsidRDefault="00F0353E" w:rsidP="00E36E44">
      <w:pPr>
        <w:ind w:left="-142" w:right="-425"/>
        <w:jc w:val="both"/>
        <w:rPr>
          <w:rFonts w:cs="Arial"/>
          <w:bCs/>
        </w:rPr>
      </w:pPr>
      <w:r w:rsidRPr="00F0353E">
        <w:rPr>
          <w:rFonts w:cs="Arial"/>
          <w:bCs/>
        </w:rPr>
        <w:t>Although only three Local Commissioners are required to sit in conference, in all communities it is necessary that different clans are represented in those Commissioners present</w:t>
      </w:r>
      <w:r w:rsidR="00AD7AD4">
        <w:rPr>
          <w:rFonts w:cs="Arial"/>
          <w:bCs/>
        </w:rPr>
        <w:t xml:space="preserve"> along with </w:t>
      </w:r>
      <w:r w:rsidRPr="00F0353E">
        <w:rPr>
          <w:rFonts w:cs="Arial"/>
          <w:bCs/>
        </w:rPr>
        <w:t>sufficient Commissioners available to allow for conflict of interest and family issues as they arise. It is therefore necessary to have a pool of Commissioners available to conference on any one day.</w:t>
      </w:r>
    </w:p>
    <w:p w14:paraId="69038767" w14:textId="77777777" w:rsidR="00F0353E" w:rsidRPr="00F0353E" w:rsidRDefault="00F0353E" w:rsidP="00F0353E">
      <w:pPr>
        <w:ind w:left="-142" w:right="-425"/>
        <w:jc w:val="both"/>
        <w:rPr>
          <w:rFonts w:cs="Arial"/>
          <w:bCs/>
        </w:rPr>
      </w:pPr>
    </w:p>
    <w:p w14:paraId="476E797F" w14:textId="6FD6B9C0" w:rsidR="00F0353E" w:rsidRDefault="00F0353E" w:rsidP="00AD7AD4">
      <w:pPr>
        <w:ind w:left="-142" w:right="-425"/>
        <w:jc w:val="both"/>
        <w:rPr>
          <w:rFonts w:cs="Arial"/>
          <w:bCs/>
          <w:iCs/>
          <w:lang w:val="en-US"/>
        </w:rPr>
      </w:pPr>
      <w:r w:rsidRPr="00F0353E">
        <w:rPr>
          <w:rFonts w:cs="Arial"/>
          <w:bCs/>
        </w:rPr>
        <w:t>Section</w:t>
      </w:r>
      <w:r w:rsidRPr="00F0353E">
        <w:rPr>
          <w:rFonts w:cs="Arial"/>
          <w:bCs/>
          <w:i/>
          <w:lang w:val="en-US"/>
        </w:rPr>
        <w:t xml:space="preserve"> </w:t>
      </w:r>
      <w:r w:rsidRPr="00F0353E">
        <w:rPr>
          <w:rFonts w:cs="Arial"/>
          <w:bCs/>
          <w:iCs/>
          <w:lang w:val="en-US"/>
        </w:rPr>
        <w:t>51 (3)(</w:t>
      </w:r>
      <w:r w:rsidR="00AD7AD4" w:rsidRPr="00AD7AD4">
        <w:rPr>
          <w:rFonts w:cs="Arial"/>
          <w:bCs/>
          <w:iCs/>
          <w:lang w:val="en-US"/>
        </w:rPr>
        <w:t>b</w:t>
      </w:r>
      <w:r w:rsidRPr="00F0353E">
        <w:rPr>
          <w:rFonts w:cs="Arial"/>
          <w:bCs/>
          <w:iCs/>
          <w:lang w:val="en-US"/>
        </w:rPr>
        <w:t xml:space="preserve">) </w:t>
      </w:r>
      <w:r w:rsidR="00AD7AD4" w:rsidRPr="00AD7AD4">
        <w:rPr>
          <w:rFonts w:cs="Arial"/>
          <w:bCs/>
          <w:iCs/>
          <w:lang w:val="en-US"/>
        </w:rPr>
        <w:t>of the FRC Act states:</w:t>
      </w:r>
    </w:p>
    <w:p w14:paraId="1BA0EC92" w14:textId="07A04D39" w:rsidR="00AD7AD4" w:rsidRDefault="00AD7AD4" w:rsidP="00AD7AD4">
      <w:pPr>
        <w:ind w:left="-142" w:right="-425"/>
        <w:jc w:val="both"/>
        <w:rPr>
          <w:rFonts w:cs="Arial"/>
          <w:bCs/>
          <w:iCs/>
          <w:lang w:val="en-US"/>
        </w:rPr>
      </w:pPr>
    </w:p>
    <w:p w14:paraId="1EC9B0CD" w14:textId="78E60E68" w:rsidR="00AD7AD4" w:rsidRPr="00F0353E" w:rsidRDefault="00AD7AD4" w:rsidP="00AD7AD4">
      <w:pPr>
        <w:ind w:left="284" w:right="141"/>
        <w:jc w:val="both"/>
        <w:rPr>
          <w:rFonts w:cs="Arial"/>
          <w:bCs/>
        </w:rPr>
      </w:pPr>
      <w:r w:rsidRPr="00F0353E">
        <w:rPr>
          <w:rFonts w:cs="Arial"/>
          <w:bCs/>
          <w:i/>
          <w:lang w:val="en-US"/>
        </w:rPr>
        <w:t xml:space="preserve">“In nominating or appointing the Local Commissioners for a conference, the local registry Coordinator and Commissioner </w:t>
      </w:r>
      <w:r w:rsidRPr="00F0353E">
        <w:rPr>
          <w:rFonts w:cs="Arial"/>
          <w:b/>
          <w:bCs/>
          <w:i/>
          <w:lang w:val="en-US"/>
        </w:rPr>
        <w:t>must</w:t>
      </w:r>
      <w:r w:rsidRPr="00F0353E">
        <w:rPr>
          <w:rFonts w:cs="Arial"/>
          <w:bCs/>
          <w:i/>
          <w:lang w:val="en-US"/>
        </w:rPr>
        <w:t xml:space="preserve"> – if practicable and appropriate in the circumstances, ensure that 1 of the Local Commissioners is female.”</w:t>
      </w:r>
      <w:r w:rsidRPr="00F0353E">
        <w:rPr>
          <w:rFonts w:cs="Arial"/>
          <w:bCs/>
        </w:rPr>
        <w:t xml:space="preserve"> </w:t>
      </w:r>
    </w:p>
    <w:p w14:paraId="6A8FA9F2" w14:textId="77777777" w:rsidR="00AD7AD4" w:rsidRDefault="00AD7AD4" w:rsidP="00727231">
      <w:pPr>
        <w:ind w:left="-142" w:right="-425"/>
        <w:jc w:val="both"/>
        <w:rPr>
          <w:rFonts w:cs="Arial"/>
          <w:bCs/>
        </w:rPr>
      </w:pPr>
    </w:p>
    <w:p w14:paraId="1D9B025B" w14:textId="2CC3B1FB" w:rsidR="00F0353E" w:rsidRPr="00F0353E" w:rsidRDefault="00F0353E" w:rsidP="00727231">
      <w:pPr>
        <w:ind w:left="-142" w:right="-425"/>
        <w:jc w:val="both"/>
        <w:rPr>
          <w:rFonts w:cs="Arial"/>
          <w:bCs/>
        </w:rPr>
      </w:pPr>
      <w:r w:rsidRPr="00F0353E">
        <w:rPr>
          <w:rFonts w:cs="Arial"/>
          <w:bCs/>
        </w:rPr>
        <w:lastRenderedPageBreak/>
        <w:t>Gender diversity is an important element in conferencing as often cultural protocols require that women and men interact in particular ways in particular circumstances.</w:t>
      </w:r>
    </w:p>
    <w:p w14:paraId="5EB625D0" w14:textId="77777777" w:rsidR="00F0353E" w:rsidRPr="00F0353E" w:rsidRDefault="00F0353E" w:rsidP="00F0353E">
      <w:pPr>
        <w:ind w:left="-142" w:right="-425"/>
        <w:jc w:val="both"/>
        <w:rPr>
          <w:rFonts w:cs="Arial"/>
          <w:bCs/>
        </w:rPr>
      </w:pPr>
    </w:p>
    <w:p w14:paraId="179E1945" w14:textId="292BCC2C" w:rsidR="00F0353E" w:rsidRPr="00F0353E" w:rsidRDefault="00F0353E" w:rsidP="00727231">
      <w:pPr>
        <w:ind w:left="-142" w:right="-425"/>
        <w:jc w:val="both"/>
        <w:rPr>
          <w:rFonts w:cs="Arial"/>
          <w:bCs/>
        </w:rPr>
      </w:pPr>
      <w:r w:rsidRPr="00F0353E">
        <w:rPr>
          <w:rFonts w:cs="Arial"/>
          <w:bCs/>
        </w:rPr>
        <w:t xml:space="preserve">Across the communities many of the Commissioners are either elderly or have health concerns which affect their lives and their availability to conference. The current COVID-19 pandemic presents a major risk for the Commission with numerous Commissioners </w:t>
      </w:r>
      <w:r w:rsidR="0015170A">
        <w:rPr>
          <w:rFonts w:cs="Arial"/>
          <w:bCs/>
        </w:rPr>
        <w:t xml:space="preserve">in the over </w:t>
      </w:r>
      <w:r w:rsidRPr="00F0353E">
        <w:rPr>
          <w:rFonts w:cs="Arial"/>
          <w:bCs/>
        </w:rPr>
        <w:t>60 age bracket and suffering from chronic illnesses common to the Indigenous peoples of Australia.</w:t>
      </w:r>
      <w:r w:rsidR="0015170A">
        <w:rPr>
          <w:rFonts w:cs="Arial"/>
          <w:bCs/>
        </w:rPr>
        <w:t xml:space="preserve"> </w:t>
      </w:r>
      <w:r w:rsidRPr="00F0353E">
        <w:rPr>
          <w:rFonts w:cs="Arial"/>
          <w:bCs/>
        </w:rPr>
        <w:t xml:space="preserve">Age diversity </w:t>
      </w:r>
      <w:r w:rsidR="00727231">
        <w:rPr>
          <w:rFonts w:cs="Arial"/>
          <w:bCs/>
        </w:rPr>
        <w:t xml:space="preserve">amongst the Local Commissioners </w:t>
      </w:r>
      <w:r w:rsidRPr="00F0353E">
        <w:rPr>
          <w:rFonts w:cs="Arial"/>
          <w:bCs/>
        </w:rPr>
        <w:t>is lacking in most communities and it would be beneficial to have younger Commissioners in each community who are able to identify with, and more easily engage with, younger clients and those with young children.</w:t>
      </w:r>
    </w:p>
    <w:p w14:paraId="273C217E" w14:textId="77777777" w:rsidR="00F0353E" w:rsidRPr="00F0353E" w:rsidRDefault="00F0353E" w:rsidP="00F0353E">
      <w:pPr>
        <w:ind w:left="-142" w:right="-425"/>
        <w:jc w:val="both"/>
        <w:rPr>
          <w:rFonts w:cs="Arial"/>
          <w:bCs/>
        </w:rPr>
      </w:pPr>
    </w:p>
    <w:p w14:paraId="48DDA5CE" w14:textId="1044824A" w:rsidR="00F0353E" w:rsidRDefault="00F0353E" w:rsidP="00727231">
      <w:pPr>
        <w:ind w:left="-142" w:right="-425"/>
        <w:jc w:val="both"/>
        <w:rPr>
          <w:rFonts w:cs="Arial"/>
          <w:bCs/>
        </w:rPr>
      </w:pPr>
      <w:r w:rsidRPr="00F0353E">
        <w:rPr>
          <w:rFonts w:cs="Arial"/>
          <w:bCs/>
        </w:rPr>
        <w:t>Many of the Local Commissioners have been with the Commission since 2008. As has been previously reported, the work of the Local Commissioners is such that their responsibilities do not finish when they leave conference for the day. They live every day in small communities with the clients they have dealt with at conference; celebrating the achievements of the clients, and sometimes suffering criticism and abuse for the decisions they have made. Many have stated they would take a break from conferencing were there a sufficient pool of Commissioners to service conferencing requirements.</w:t>
      </w:r>
    </w:p>
    <w:p w14:paraId="2F46FD3E" w14:textId="516DFB61" w:rsidR="0015170A" w:rsidRDefault="0015170A" w:rsidP="00727231">
      <w:pPr>
        <w:ind w:left="-142" w:right="-425"/>
        <w:jc w:val="both"/>
        <w:rPr>
          <w:rFonts w:cs="Arial"/>
          <w:bCs/>
        </w:rPr>
      </w:pPr>
    </w:p>
    <w:p w14:paraId="30CB4F00" w14:textId="3E989ABD" w:rsidR="00346AF3" w:rsidRPr="00120A7B" w:rsidRDefault="000A64E9" w:rsidP="000A64E9">
      <w:pPr>
        <w:ind w:left="-142" w:right="-425"/>
        <w:jc w:val="both"/>
        <w:rPr>
          <w:rFonts w:cs="Arial"/>
          <w:bCs/>
        </w:rPr>
      </w:pPr>
      <w:r>
        <w:rPr>
          <w:rFonts w:cs="Arial"/>
          <w:bCs/>
        </w:rPr>
        <w:t xml:space="preserve">The FR Board endorsed the recruitment of new Local Commissioners at the board meeting held on 4 November 2021. At the time of writing this report, 12 new Local Commissioner applications have been forwarded to </w:t>
      </w:r>
      <w:r w:rsidR="00C23EFB">
        <w:rPr>
          <w:rFonts w:cs="Arial"/>
          <w:bCs/>
        </w:rPr>
        <w:t>the Department of Seniors, Disability Service</w:t>
      </w:r>
      <w:r w:rsidR="009C5E93">
        <w:rPr>
          <w:rFonts w:cs="Arial"/>
          <w:bCs/>
        </w:rPr>
        <w:t>s</w:t>
      </w:r>
      <w:r w:rsidR="00C23EFB">
        <w:rPr>
          <w:rFonts w:cs="Arial"/>
          <w:bCs/>
        </w:rPr>
        <w:t xml:space="preserve"> and </w:t>
      </w:r>
      <w:r w:rsidR="009C5E93">
        <w:rPr>
          <w:rFonts w:cs="Arial"/>
          <w:bCs/>
        </w:rPr>
        <w:t xml:space="preserve">Aboriginal and Torres Islander Strait Partnerships </w:t>
      </w:r>
      <w:r>
        <w:rPr>
          <w:rFonts w:cs="Arial"/>
          <w:bCs/>
        </w:rPr>
        <w:t xml:space="preserve">for consideration by the Minister and subsequent recommendation to the Governor in Council, </w:t>
      </w:r>
      <w:r w:rsidR="00276B44">
        <w:rPr>
          <w:rFonts w:cs="Arial"/>
          <w:bCs/>
        </w:rPr>
        <w:t>along with 2</w:t>
      </w:r>
      <w:r w:rsidR="00AD7AD4">
        <w:rPr>
          <w:rFonts w:cs="Arial"/>
          <w:bCs/>
        </w:rPr>
        <w:t>5</w:t>
      </w:r>
      <w:r w:rsidR="00276B44">
        <w:rPr>
          <w:rFonts w:cs="Arial"/>
          <w:bCs/>
        </w:rPr>
        <w:t xml:space="preserve"> applications from existing Local Commissioners for reappointment.</w:t>
      </w:r>
    </w:p>
    <w:p w14:paraId="20C7BBD8" w14:textId="645B49C0" w:rsidR="000D0A4E" w:rsidRPr="00120A7B" w:rsidRDefault="000D0A4E" w:rsidP="00120A7B">
      <w:pPr>
        <w:rPr>
          <w:rFonts w:cs="Arial"/>
          <w:bCs/>
        </w:rPr>
      </w:pPr>
      <w:r w:rsidRPr="00120A7B">
        <w:rPr>
          <w:rFonts w:cs="Arial"/>
          <w:bCs/>
        </w:rPr>
        <w:br w:type="page"/>
      </w:r>
    </w:p>
    <w:p w14:paraId="59FA8724" w14:textId="55F36592" w:rsidR="005A5B78" w:rsidRPr="00E34093" w:rsidRDefault="005A5B78" w:rsidP="005A5B78">
      <w:pPr>
        <w:pStyle w:val="Heading1"/>
        <w:ind w:left="-142" w:right="-426"/>
      </w:pPr>
      <w:bookmarkStart w:id="30" w:name="RANGE!A4:I20"/>
      <w:bookmarkStart w:id="31" w:name="_Toc39657993"/>
      <w:bookmarkEnd w:id="30"/>
      <w:r w:rsidRPr="00E34093">
        <w:lastRenderedPageBreak/>
        <w:t xml:space="preserve">3.  </w:t>
      </w:r>
      <w:r w:rsidR="000541CA">
        <w:t>Governance</w:t>
      </w:r>
      <w:bookmarkEnd w:id="31"/>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D51DFA">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communication,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20AC5DF4" w14:textId="77777777" w:rsidR="00A42E2F" w:rsidRDefault="00404FC4" w:rsidP="00FC008A">
      <w:pPr>
        <w:pStyle w:val="ListBullet"/>
        <w:ind w:left="2863" w:hanging="3005"/>
      </w:pPr>
      <w:r w:rsidRPr="00A42E2F">
        <w:t>Mr Robert (Bob) Gee</w:t>
      </w:r>
      <w:r w:rsidR="004E7795" w:rsidRPr="00A42E2F">
        <w:t xml:space="preserve"> APM</w:t>
      </w:r>
      <w:r w:rsidR="005A5B78" w:rsidRPr="00A42E2F">
        <w:tab/>
        <w:t xml:space="preserve">Director-General, Department of </w:t>
      </w:r>
      <w:r w:rsidRPr="00A42E2F">
        <w:t>Agriculture</w:t>
      </w:r>
      <w:r w:rsidR="000A3D78" w:rsidRPr="00A42E2F">
        <w:t xml:space="preserve"> and </w:t>
      </w:r>
      <w:r w:rsidRPr="00A42E2F">
        <w:t>Fisheries</w:t>
      </w:r>
    </w:p>
    <w:p w14:paraId="191A2368" w14:textId="1CA5D36A" w:rsidR="005A5B78" w:rsidRPr="00A42E2F" w:rsidRDefault="0057512A" w:rsidP="00A42E2F">
      <w:pPr>
        <w:pStyle w:val="ListBullet"/>
        <w:numPr>
          <w:ilvl w:val="0"/>
          <w:numId w:val="0"/>
        </w:numPr>
        <w:ind w:left="3600"/>
      </w:pPr>
      <w:r w:rsidRPr="00A42E2F">
        <w:t>(Chair)</w:t>
      </w:r>
    </w:p>
    <w:p w14:paraId="53F6CEC1" w14:textId="109B5A2C" w:rsidR="00281E73" w:rsidRPr="00A42E2F" w:rsidRDefault="00281E73" w:rsidP="00FC008A">
      <w:pPr>
        <w:pStyle w:val="ListBullet"/>
        <w:ind w:left="2863" w:hanging="3005"/>
      </w:pPr>
      <w:r w:rsidRPr="00A42E2F">
        <w:t xml:space="preserve">Mr </w:t>
      </w:r>
      <w:r w:rsidR="00466B4F" w:rsidRPr="00A42E2F">
        <w:t>Ray Griggs AO, CSC</w:t>
      </w:r>
      <w:r w:rsidR="00A42E2F" w:rsidRPr="00A42E2F">
        <w:tab/>
      </w:r>
      <w:r w:rsidR="00A42E2F" w:rsidRPr="00A42E2F">
        <w:tab/>
      </w:r>
      <w:r w:rsidR="00A42E2F" w:rsidRPr="00A42E2F">
        <w:tab/>
      </w:r>
      <w:r w:rsidR="00404FC4" w:rsidRPr="00A42E2F">
        <w:t>Secretary of the Department of Social Services</w:t>
      </w:r>
    </w:p>
    <w:p w14:paraId="57D8A012" w14:textId="6E5E7BC4" w:rsidR="00A42E2F" w:rsidRDefault="0057512A" w:rsidP="00A42E2F">
      <w:pPr>
        <w:pStyle w:val="ListBullet"/>
        <w:ind w:left="2835" w:hanging="3005"/>
      </w:pPr>
      <w:r w:rsidRPr="00E34093">
        <w:t>Mr Noel Pearson</w:t>
      </w:r>
      <w:r w:rsidR="00A42E2F" w:rsidRPr="00A42E2F">
        <w:tab/>
      </w:r>
      <w:r w:rsidR="00A42E2F" w:rsidRPr="00A42E2F">
        <w:tab/>
      </w:r>
      <w:r w:rsidR="00A42E2F" w:rsidRPr="00A42E2F">
        <w:tab/>
      </w:r>
      <w:r>
        <w:t xml:space="preserve">Founder, Cape York </w:t>
      </w:r>
      <w:r w:rsidR="00751CB6">
        <w:t>Partnership representing the</w:t>
      </w:r>
    </w:p>
    <w:p w14:paraId="4966C96B" w14:textId="1A2EF1B6" w:rsidR="0057512A" w:rsidRDefault="00A42E2F" w:rsidP="00A42E2F">
      <w:pPr>
        <w:pStyle w:val="ListBullet"/>
        <w:numPr>
          <w:ilvl w:val="0"/>
          <w:numId w:val="0"/>
        </w:numPr>
        <w:ind w:left="3600"/>
      </w:pPr>
      <w:r>
        <w:t xml:space="preserve">Cape York </w:t>
      </w:r>
      <w:r w:rsidR="00751CB6">
        <w:t>Institute</w:t>
      </w:r>
      <w:r w:rsidR="0057512A">
        <w:t>.</w:t>
      </w:r>
    </w:p>
    <w:p w14:paraId="667BEFF1" w14:textId="77777777" w:rsidR="00320827" w:rsidRDefault="00320827" w:rsidP="00D51DFA">
      <w:pPr>
        <w:pStyle w:val="Heading2"/>
      </w:pPr>
    </w:p>
    <w:p w14:paraId="660BA16D" w14:textId="4D44E116" w:rsidR="00320827" w:rsidRPr="00E34093" w:rsidRDefault="00320827" w:rsidP="00D51DFA">
      <w:pPr>
        <w:pStyle w:val="Heading2"/>
      </w:pPr>
      <w:r w:rsidRPr="00E34093">
        <w:t>Operational</w:t>
      </w:r>
    </w:p>
    <w:p w14:paraId="673CAD09" w14:textId="77777777" w:rsidR="00320827" w:rsidRPr="00E34093" w:rsidRDefault="00320827" w:rsidP="00320827">
      <w:pPr>
        <w:ind w:left="-142" w:right="-425"/>
        <w:rPr>
          <w:rFonts w:cs="Arial"/>
        </w:rPr>
      </w:pPr>
    </w:p>
    <w:p w14:paraId="1DC71554" w14:textId="2DBAB001"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32" w:name="_Toc39657994"/>
      <w:r>
        <w:lastRenderedPageBreak/>
        <w:t>4</w:t>
      </w:r>
      <w:r w:rsidRPr="00E34093">
        <w:t>.  Financial Operations</w:t>
      </w:r>
      <w:bookmarkEnd w:id="32"/>
    </w:p>
    <w:p w14:paraId="3ABAF23C" w14:textId="77777777" w:rsidR="009637A0" w:rsidRPr="00E34093" w:rsidRDefault="009637A0" w:rsidP="005A5B78">
      <w:pPr>
        <w:ind w:left="-142" w:right="-425"/>
        <w:jc w:val="both"/>
        <w:rPr>
          <w:rFonts w:cs="Arial"/>
        </w:rPr>
      </w:pPr>
    </w:p>
    <w:p w14:paraId="3D25C585" w14:textId="77777777" w:rsidR="009F0A67" w:rsidRPr="00BF1639" w:rsidRDefault="009F0A67" w:rsidP="00D51DFA">
      <w:pPr>
        <w:pStyle w:val="Heading3"/>
      </w:pPr>
      <w:r w:rsidRPr="00BF1639">
        <w:t>Income:</w:t>
      </w:r>
    </w:p>
    <w:p w14:paraId="6D17618C" w14:textId="24540B78" w:rsidR="009F0A67" w:rsidRPr="008E6DBA" w:rsidRDefault="009F0A67" w:rsidP="00FC008A">
      <w:pPr>
        <w:pStyle w:val="ListBullet"/>
        <w:ind w:left="215" w:hanging="357"/>
      </w:pPr>
      <w:r w:rsidRPr="008E6DBA">
        <w:t xml:space="preserve">Income </w:t>
      </w:r>
      <w:r w:rsidR="006544B1" w:rsidRPr="008E6DBA">
        <w:t xml:space="preserve">received </w:t>
      </w:r>
      <w:r w:rsidRPr="008E6DBA">
        <w:t xml:space="preserve">by the Commission for the period </w:t>
      </w:r>
      <w:r w:rsidR="00F83C14">
        <w:t xml:space="preserve">1 </w:t>
      </w:r>
      <w:r w:rsidR="001103CF">
        <w:t xml:space="preserve">October </w:t>
      </w:r>
      <w:r w:rsidR="009A7C28">
        <w:t>2021</w:t>
      </w:r>
      <w:r w:rsidRPr="008E6DBA">
        <w:t xml:space="preserve"> to </w:t>
      </w:r>
      <w:r w:rsidR="00F83C14">
        <w:t>3</w:t>
      </w:r>
      <w:r w:rsidR="001103CF">
        <w:t xml:space="preserve">1 December </w:t>
      </w:r>
      <w:r w:rsidR="009A7C28">
        <w:t>2021</w:t>
      </w:r>
      <w:r w:rsidRPr="008E6DBA">
        <w:t xml:space="preserve"> totalled $</w:t>
      </w:r>
      <w:r w:rsidR="00D83D2C">
        <w:t>1,060,200</w:t>
      </w:r>
      <w:r w:rsidR="00A504A2" w:rsidRPr="009D3335">
        <w:t>.</w:t>
      </w:r>
      <w:r w:rsidR="00CE6E33" w:rsidRPr="008E6DBA">
        <w:t xml:space="preserve"> </w:t>
      </w:r>
      <w:r w:rsidRPr="008E6DBA">
        <w:t>This income consisted of:</w:t>
      </w:r>
    </w:p>
    <w:p w14:paraId="350616B8" w14:textId="77C86DA8" w:rsidR="009F0A67" w:rsidRPr="00D83D2C" w:rsidRDefault="009F0A67" w:rsidP="009F0A67">
      <w:pPr>
        <w:pStyle w:val="ListBullet2"/>
      </w:pPr>
      <w:r w:rsidRPr="00D83D2C">
        <w:t>$</w:t>
      </w:r>
      <w:r w:rsidR="001C1C0C" w:rsidRPr="00D83D2C">
        <w:t>604,500</w:t>
      </w:r>
      <w:r w:rsidRPr="00D83D2C">
        <w:t xml:space="preserve"> Queensland Government funding</w:t>
      </w:r>
    </w:p>
    <w:p w14:paraId="02AA0FD6" w14:textId="7EAEF0C4" w:rsidR="009F0A67" w:rsidRPr="00850051" w:rsidRDefault="009F0A67" w:rsidP="009F0A67">
      <w:pPr>
        <w:pStyle w:val="ListBullet2"/>
      </w:pPr>
      <w:r w:rsidRPr="00D83D2C">
        <w:t>$</w:t>
      </w:r>
      <w:r w:rsidR="00A253AB" w:rsidRPr="00D83D2C">
        <w:t>450,000</w:t>
      </w:r>
      <w:r w:rsidR="00932339" w:rsidRPr="00850051">
        <w:t xml:space="preserve"> </w:t>
      </w:r>
      <w:r w:rsidRPr="00850051">
        <w:t>Australian Government funding</w:t>
      </w:r>
    </w:p>
    <w:p w14:paraId="512E3D76" w14:textId="2C424A81" w:rsidR="009F0A67" w:rsidRDefault="009F0A67" w:rsidP="009F0A67">
      <w:pPr>
        <w:pStyle w:val="ListBullet2"/>
      </w:pPr>
      <w:r w:rsidRPr="00850051">
        <w:t>$</w:t>
      </w:r>
      <w:r w:rsidR="00D83D2C">
        <w:t>4,680</w:t>
      </w:r>
      <w:r w:rsidR="009F3C63">
        <w:t xml:space="preserve"> </w:t>
      </w:r>
      <w:r w:rsidRPr="00850051">
        <w:t>interest received</w:t>
      </w:r>
    </w:p>
    <w:p w14:paraId="1FD7CA72" w14:textId="0630F103" w:rsidR="009F3C63" w:rsidRPr="00850051" w:rsidRDefault="009F3C63" w:rsidP="009F0A67">
      <w:pPr>
        <w:pStyle w:val="ListBullet2"/>
      </w:pPr>
      <w:r>
        <w:t>$</w:t>
      </w:r>
      <w:r w:rsidR="00D83D2C">
        <w:t>1,020</w:t>
      </w:r>
      <w:r>
        <w:t xml:space="preserve"> sundry income</w:t>
      </w:r>
    </w:p>
    <w:p w14:paraId="63A91431" w14:textId="639B3D19" w:rsidR="009F0A67" w:rsidRDefault="009F0A67" w:rsidP="009F0A67">
      <w:pPr>
        <w:ind w:left="-142" w:right="-425"/>
        <w:jc w:val="both"/>
        <w:rPr>
          <w:rFonts w:cs="Arial"/>
        </w:rPr>
      </w:pPr>
      <w:r w:rsidRPr="0073709D">
        <w:rPr>
          <w:rFonts w:cs="Arial"/>
        </w:rPr>
        <w:t xml:space="preserve">The balance of available funds in the bank as at </w:t>
      </w:r>
      <w:r w:rsidR="00F83C14">
        <w:rPr>
          <w:rFonts w:cs="Arial"/>
        </w:rPr>
        <w:t>3</w:t>
      </w:r>
      <w:r w:rsidR="001103CF">
        <w:rPr>
          <w:rFonts w:cs="Arial"/>
        </w:rPr>
        <w:t xml:space="preserve">1 December </w:t>
      </w:r>
      <w:r w:rsidR="009A7C28">
        <w:rPr>
          <w:rFonts w:cs="Arial"/>
        </w:rPr>
        <w:t>2021</w:t>
      </w:r>
      <w:r w:rsidRPr="0073709D">
        <w:rPr>
          <w:rFonts w:cs="Arial"/>
        </w:rPr>
        <w:t xml:space="preserve"> </w:t>
      </w:r>
      <w:r w:rsidRPr="008E6DBA">
        <w:rPr>
          <w:rFonts w:cs="Arial"/>
        </w:rPr>
        <w:t>is $</w:t>
      </w:r>
      <w:r w:rsidR="00D027FD">
        <w:rPr>
          <w:rFonts w:cs="Arial"/>
        </w:rPr>
        <w:t>2,754,995</w:t>
      </w:r>
      <w:r w:rsidR="00606CC5">
        <w:rPr>
          <w:rFonts w:cs="Arial"/>
        </w:rPr>
        <w:t>.</w:t>
      </w:r>
    </w:p>
    <w:p w14:paraId="4662D0B3" w14:textId="57ED4AA7" w:rsidR="00D840DE" w:rsidRDefault="00D840DE" w:rsidP="009F0A67">
      <w:pPr>
        <w:ind w:left="-142" w:right="-425"/>
        <w:jc w:val="both"/>
        <w:rPr>
          <w:rFonts w:cs="Arial"/>
        </w:rPr>
      </w:pPr>
    </w:p>
    <w:p w14:paraId="609DB8D6" w14:textId="77777777" w:rsidR="00C74BF5" w:rsidRPr="00BF1639" w:rsidRDefault="00C74BF5" w:rsidP="00D51DFA">
      <w:pPr>
        <w:pStyle w:val="Heading3"/>
      </w:pPr>
      <w:r w:rsidRPr="00BF1639">
        <w:t>Expenditure:</w:t>
      </w:r>
    </w:p>
    <w:p w14:paraId="1DC8DF62" w14:textId="2950BCEE" w:rsidR="00C74BF5" w:rsidRPr="001720D5" w:rsidRDefault="00C74BF5" w:rsidP="00C74BF5">
      <w:pPr>
        <w:pStyle w:val="ListBullet"/>
        <w:ind w:left="2863" w:hanging="3005"/>
      </w:pPr>
      <w:r w:rsidRPr="00BD380A">
        <w:t xml:space="preserve">Expenditure for the period </w:t>
      </w:r>
      <w:r w:rsidR="00F83C14">
        <w:t xml:space="preserve">1 </w:t>
      </w:r>
      <w:r w:rsidR="001103CF">
        <w:t xml:space="preserve">October </w:t>
      </w:r>
      <w:r w:rsidR="009A7C28">
        <w:t>2021</w:t>
      </w:r>
      <w:r w:rsidRPr="00BD380A">
        <w:t xml:space="preserve"> to </w:t>
      </w:r>
      <w:r w:rsidR="00F83C14">
        <w:t>3</w:t>
      </w:r>
      <w:r w:rsidR="001103CF">
        <w:t xml:space="preserve">1 December </w:t>
      </w:r>
      <w:r w:rsidR="009A7C28">
        <w:t>2021</w:t>
      </w:r>
      <w:r w:rsidRPr="00BD380A">
        <w:t xml:space="preserve"> was </w:t>
      </w:r>
      <w:r w:rsidRPr="002B45D3">
        <w:t>$</w:t>
      </w:r>
      <w:r w:rsidR="00D027FD" w:rsidRPr="002B45D3">
        <w:t>992,091</w:t>
      </w:r>
      <w:r>
        <w:t>.</w:t>
      </w:r>
    </w:p>
    <w:p w14:paraId="4555CA86" w14:textId="07475910" w:rsidR="00D840DE" w:rsidRDefault="00D840DE" w:rsidP="009F0A67">
      <w:pPr>
        <w:ind w:left="-142" w:right="-425"/>
        <w:jc w:val="both"/>
        <w:rPr>
          <w:rFonts w:cs="Arial"/>
        </w:rPr>
      </w:pPr>
    </w:p>
    <w:p w14:paraId="40442581" w14:textId="50D858AD" w:rsidR="00EB0526" w:rsidRDefault="00EB0526" w:rsidP="009D766A">
      <w:pPr>
        <w:ind w:left="-142" w:right="-425"/>
        <w:jc w:val="both"/>
        <w:rPr>
          <w:rFonts w:cs="Arial"/>
          <w:sz w:val="16"/>
          <w:szCs w:val="16"/>
        </w:rPr>
      </w:pPr>
      <w:r w:rsidRPr="009D766A">
        <w:rPr>
          <w:rFonts w:cs="Arial"/>
          <w:b/>
          <w:sz w:val="16"/>
          <w:szCs w:val="16"/>
        </w:rPr>
        <w:t xml:space="preserve">Table </w:t>
      </w:r>
      <w:r w:rsidR="001C1891">
        <w:rPr>
          <w:rFonts w:cs="Arial"/>
          <w:b/>
          <w:sz w:val="16"/>
          <w:szCs w:val="16"/>
        </w:rPr>
        <w:t>29</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0C0A83">
        <w:rPr>
          <w:rFonts w:cs="Arial"/>
          <w:sz w:val="16"/>
          <w:szCs w:val="16"/>
        </w:rPr>
        <w:t>54</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7FA96784" w:rsidR="009F0A67" w:rsidRPr="00872CBA" w:rsidRDefault="00F83C14" w:rsidP="009F55E0">
            <w:pPr>
              <w:pStyle w:val="StyleTableTextBoldCentered"/>
              <w:rPr>
                <w:lang w:eastAsia="en-AU"/>
              </w:rPr>
            </w:pPr>
            <w:r>
              <w:rPr>
                <w:lang w:eastAsia="en-AU"/>
              </w:rPr>
              <w:t xml:space="preserve">1 </w:t>
            </w:r>
            <w:r w:rsidR="000C0A83">
              <w:rPr>
                <w:lang w:eastAsia="en-AU"/>
              </w:rPr>
              <w:t xml:space="preserve">October </w:t>
            </w:r>
            <w:r w:rsidR="009A7C28">
              <w:rPr>
                <w:lang w:eastAsia="en-AU"/>
              </w:rPr>
              <w:t>2021</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618565EE" w:rsidR="009F0A67" w:rsidRPr="00872CBA" w:rsidRDefault="00F83C14" w:rsidP="009F55E0">
            <w:pPr>
              <w:pStyle w:val="StyleTableTextBoldCentered"/>
              <w:rPr>
                <w:lang w:eastAsia="en-AU"/>
              </w:rPr>
            </w:pPr>
            <w:r>
              <w:rPr>
                <w:lang w:eastAsia="en-AU"/>
              </w:rPr>
              <w:t xml:space="preserve">1 </w:t>
            </w:r>
            <w:r w:rsidR="000C0A83">
              <w:rPr>
                <w:lang w:eastAsia="en-AU"/>
              </w:rPr>
              <w:t xml:space="preserve">October </w:t>
            </w:r>
            <w:r w:rsidR="009A7C28">
              <w:rPr>
                <w:lang w:eastAsia="en-AU"/>
              </w:rPr>
              <w:t>2021</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05289CE5" w:rsidR="009F0A67" w:rsidRPr="00872CBA" w:rsidRDefault="00F83C14" w:rsidP="009F55E0">
            <w:pPr>
              <w:pStyle w:val="StyleTableTextBoldCentered"/>
              <w:rPr>
                <w:lang w:eastAsia="en-AU"/>
              </w:rPr>
            </w:pPr>
            <w:r>
              <w:rPr>
                <w:lang w:eastAsia="en-AU"/>
              </w:rPr>
              <w:t>3</w:t>
            </w:r>
            <w:r w:rsidR="000C0A83">
              <w:rPr>
                <w:lang w:eastAsia="en-AU"/>
              </w:rPr>
              <w:t xml:space="preserve">1 December </w:t>
            </w:r>
            <w:r w:rsidR="009A7C28">
              <w:rPr>
                <w:lang w:eastAsia="en-AU"/>
              </w:rPr>
              <w:t>2021</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63EAB6BD" w:rsidR="009F0A67" w:rsidRPr="00872CBA" w:rsidRDefault="009F0A67" w:rsidP="004F7197">
            <w:pPr>
              <w:pStyle w:val="StyleTableTextBoldCentered"/>
              <w:rPr>
                <w:lang w:eastAsia="en-AU"/>
              </w:rPr>
            </w:pPr>
            <w:r w:rsidRPr="00872CBA">
              <w:rPr>
                <w:lang w:eastAsia="en-AU"/>
              </w:rPr>
              <w:t xml:space="preserve">Qtr </w:t>
            </w:r>
            <w:r w:rsidR="000C0A83">
              <w:rPr>
                <w:lang w:eastAsia="en-AU"/>
              </w:rPr>
              <w:t>54</w:t>
            </w:r>
          </w:p>
        </w:tc>
        <w:tc>
          <w:tcPr>
            <w:tcW w:w="2552" w:type="dxa"/>
            <w:tcBorders>
              <w:top w:val="nil"/>
              <w:left w:val="nil"/>
              <w:bottom w:val="nil"/>
              <w:right w:val="single" w:sz="4" w:space="0" w:color="FFFFFF"/>
            </w:tcBorders>
            <w:shd w:val="clear" w:color="auto" w:fill="000000"/>
            <w:noWrap/>
            <w:vAlign w:val="bottom"/>
          </w:tcPr>
          <w:p w14:paraId="7FB7D45D" w14:textId="7FF7E3CA" w:rsidR="009F0A67" w:rsidRPr="00872CBA" w:rsidRDefault="00F83C14" w:rsidP="009F55E0">
            <w:pPr>
              <w:pStyle w:val="StyleTableTextBoldCentered"/>
              <w:rPr>
                <w:lang w:eastAsia="en-AU"/>
              </w:rPr>
            </w:pPr>
            <w:r>
              <w:rPr>
                <w:lang w:eastAsia="en-AU"/>
              </w:rPr>
              <w:t>3</w:t>
            </w:r>
            <w:r w:rsidR="000C0A83">
              <w:rPr>
                <w:lang w:eastAsia="en-AU"/>
              </w:rPr>
              <w:t xml:space="preserve">1 December </w:t>
            </w:r>
            <w:r w:rsidR="009A7C28">
              <w:rPr>
                <w:lang w:eastAsia="en-AU"/>
              </w:rPr>
              <w:t>2021</w:t>
            </w:r>
          </w:p>
        </w:tc>
        <w:tc>
          <w:tcPr>
            <w:tcW w:w="1701" w:type="dxa"/>
            <w:tcBorders>
              <w:top w:val="nil"/>
              <w:left w:val="nil"/>
              <w:bottom w:val="nil"/>
              <w:right w:val="nil"/>
            </w:tcBorders>
            <w:shd w:val="clear" w:color="auto" w:fill="000000"/>
            <w:noWrap/>
            <w:vAlign w:val="bottom"/>
          </w:tcPr>
          <w:p w14:paraId="4A5AEAEC" w14:textId="3E716254" w:rsidR="009F0A67" w:rsidRPr="00872CBA" w:rsidRDefault="009F0A67" w:rsidP="004F7197">
            <w:pPr>
              <w:pStyle w:val="StyleTableTextBoldCentered"/>
              <w:rPr>
                <w:lang w:eastAsia="en-AU"/>
              </w:rPr>
            </w:pPr>
            <w:r w:rsidRPr="00872CBA">
              <w:rPr>
                <w:lang w:eastAsia="en-AU"/>
              </w:rPr>
              <w:t xml:space="preserve">Qtr </w:t>
            </w:r>
            <w:r w:rsidR="000C0A83">
              <w:rPr>
                <w:lang w:eastAsia="en-AU"/>
              </w:rPr>
              <w:t>54</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7BCABBD0" w:rsidR="009F0A67" w:rsidRPr="00D027FD" w:rsidRDefault="00D027FD" w:rsidP="002E59A0">
            <w:pPr>
              <w:jc w:val="right"/>
            </w:pPr>
            <w:r>
              <w:t>$548,271</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5A34F1E3" w:rsidR="009F0A67" w:rsidRPr="007F7AD6" w:rsidRDefault="00161960" w:rsidP="009F0A67">
            <w:pPr>
              <w:pStyle w:val="TableText"/>
            </w:pPr>
            <w:r w:rsidRPr="007F7AD6">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72FE9EE3" w:rsidR="009F0A67" w:rsidRPr="00D027FD" w:rsidRDefault="00D027FD" w:rsidP="002E59A0">
            <w:pPr>
              <w:jc w:val="right"/>
            </w:pPr>
            <w:r>
              <w:t>$57,52</w:t>
            </w:r>
            <w:r w:rsidR="002B45D3">
              <w:t>4</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52613A48" w:rsidR="009F0A67" w:rsidRPr="00D027FD" w:rsidRDefault="00D027FD" w:rsidP="002E59A0">
            <w:pPr>
              <w:jc w:val="right"/>
            </w:pPr>
            <w:r>
              <w:t>$67,375</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95E9B85" w:rsidR="009F0A67" w:rsidRPr="007F7AD6" w:rsidRDefault="00161960" w:rsidP="009F0A67">
            <w:pPr>
              <w:pStyle w:val="TableText"/>
            </w:pPr>
            <w:r w:rsidRPr="007F7AD6">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2350BFA0" w:rsidR="009F0A67" w:rsidRPr="00D027FD" w:rsidRDefault="00D027FD" w:rsidP="002E59A0">
            <w:pPr>
              <w:jc w:val="right"/>
            </w:pPr>
            <w:r>
              <w:t>$14,162</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71A24AD7" w:rsidR="009F0A67" w:rsidRPr="00D027FD" w:rsidRDefault="00D027FD" w:rsidP="002E59A0">
            <w:pPr>
              <w:jc w:val="right"/>
            </w:pPr>
            <w:r>
              <w:t>$109,329</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61523833" w:rsidR="009F0A67" w:rsidRPr="007F7AD6" w:rsidRDefault="00161960" w:rsidP="009F0A67">
            <w:pPr>
              <w:pStyle w:val="TableText"/>
            </w:pPr>
            <w:r w:rsidRPr="007F7AD6">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1C8B320F" w:rsidR="009F0A67" w:rsidRPr="00D027FD" w:rsidRDefault="00D027FD" w:rsidP="002E59A0">
            <w:pPr>
              <w:jc w:val="right"/>
            </w:pPr>
            <w:r>
              <w:t>$57,45</w:t>
            </w:r>
            <w:r w:rsidR="002B45D3">
              <w:t>3</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082A07F5" w:rsidR="009F0A67" w:rsidRPr="00D027FD" w:rsidRDefault="00D027FD" w:rsidP="002E59A0">
            <w:pPr>
              <w:jc w:val="right"/>
            </w:pPr>
            <w:r>
              <w:t>$11,021</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1D410301" w:rsidR="009F0A67" w:rsidRPr="007F7AD6" w:rsidRDefault="00161960" w:rsidP="009F0A67">
            <w:pPr>
              <w:pStyle w:val="TableText"/>
            </w:pPr>
            <w:r w:rsidRPr="007F7AD6">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4FF7D07A" w:rsidR="009F0A67" w:rsidRPr="00D027FD" w:rsidRDefault="00D027FD" w:rsidP="002E59A0">
            <w:pPr>
              <w:jc w:val="right"/>
            </w:pPr>
            <w:r>
              <w:t>$56,577</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51D7AF50" w:rsidR="009F0A67" w:rsidRPr="00D027FD" w:rsidRDefault="00D027FD" w:rsidP="002E59A0">
            <w:pPr>
              <w:jc w:val="right"/>
            </w:pPr>
            <w:r>
              <w:t>$4,115</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6C4AAF5B" w:rsidR="009F0A67" w:rsidRPr="007F7AD6" w:rsidRDefault="00161960" w:rsidP="009F0A67">
            <w:pPr>
              <w:pStyle w:val="TableText"/>
            </w:pPr>
            <w:r w:rsidRPr="007F7AD6">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6CDE7F2A" w:rsidR="009F0A67" w:rsidRPr="00D027FD" w:rsidRDefault="00D027FD" w:rsidP="002E59A0">
            <w:pPr>
              <w:jc w:val="right"/>
            </w:pPr>
            <w:r>
              <w:t>$50,929</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11CD39A9" w:rsidR="007966F3" w:rsidRPr="00D027FD" w:rsidRDefault="00D027FD" w:rsidP="002E59A0">
            <w:pPr>
              <w:jc w:val="right"/>
            </w:pPr>
            <w:r>
              <w:t>$3,422</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1DF591C1" w:rsidR="007966F3" w:rsidRPr="007F7AD6" w:rsidRDefault="00161960" w:rsidP="009F0A67">
            <w:pPr>
              <w:pStyle w:val="TableText"/>
            </w:pPr>
            <w:r w:rsidRPr="007F7AD6">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49A66C4E" w:rsidR="007966F3" w:rsidRPr="00D027FD" w:rsidRDefault="00D027FD" w:rsidP="002E59A0">
            <w:pPr>
              <w:jc w:val="right"/>
            </w:pPr>
            <w:r>
              <w:t>$11,913</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77777777" w:rsidR="009F0A67" w:rsidRPr="007F7AD6"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4C956B7" w:rsidR="009F0A67" w:rsidRPr="007F7AD6" w:rsidRDefault="001458A2" w:rsidP="009F0A67">
            <w:pPr>
              <w:pStyle w:val="TableText"/>
              <w:rPr>
                <w:b/>
                <w:bCs/>
              </w:rPr>
            </w:pPr>
            <w:r w:rsidRPr="007F7AD6">
              <w:rPr>
                <w:b/>
                <w:bCs/>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5400C95F" w:rsidR="009F0A67" w:rsidRPr="00D027FD" w:rsidRDefault="00D027FD" w:rsidP="002E59A0">
            <w:pPr>
              <w:jc w:val="right"/>
              <w:rPr>
                <w:b/>
                <w:highlight w:val="cyan"/>
              </w:rPr>
            </w:pPr>
            <w:r w:rsidRPr="002B45D3">
              <w:rPr>
                <w:b/>
              </w:rPr>
              <w:t>$992,0</w:t>
            </w:r>
            <w:r w:rsidR="002B45D3" w:rsidRPr="002B45D3">
              <w:rPr>
                <w:b/>
              </w:rPr>
              <w:t>91</w:t>
            </w:r>
          </w:p>
        </w:tc>
      </w:tr>
    </w:tbl>
    <w:p w14:paraId="226C022A" w14:textId="70193197" w:rsidR="000541CA" w:rsidRDefault="000541CA" w:rsidP="00591CF3">
      <w:pPr>
        <w:ind w:left="-142" w:right="-425"/>
        <w:jc w:val="both"/>
        <w:rPr>
          <w:rFonts w:cs="Arial"/>
        </w:rPr>
      </w:pPr>
    </w:p>
    <w:p w14:paraId="6E0F7E60" w14:textId="77777777" w:rsidR="00591CF3" w:rsidRDefault="00591CF3" w:rsidP="00591CF3">
      <w:pPr>
        <w:ind w:left="-142" w:right="-425"/>
        <w:jc w:val="both"/>
        <w:rPr>
          <w:rFonts w:cs="Arial"/>
        </w:rPr>
      </w:pPr>
    </w:p>
    <w:p w14:paraId="18775980" w14:textId="249BD0CA" w:rsidR="00D770E9" w:rsidRDefault="00C14FC9" w:rsidP="00D770E9">
      <w:pPr>
        <w:ind w:left="-142" w:right="-425"/>
        <w:jc w:val="both"/>
        <w:rPr>
          <w:rFonts w:cs="Arial"/>
        </w:rPr>
      </w:pPr>
      <w:r w:rsidRPr="0020608D">
        <w:rPr>
          <w:rFonts w:cs="Arial"/>
        </w:rPr>
        <w:t>The core functions of the FRC can be summarised into three broad categories:</w:t>
      </w:r>
    </w:p>
    <w:p w14:paraId="08A58C75" w14:textId="77777777" w:rsidR="000541CA" w:rsidRDefault="000541CA" w:rsidP="00D770E9">
      <w:pPr>
        <w:ind w:left="-142" w:right="-425"/>
        <w:jc w:val="both"/>
        <w:rPr>
          <w:rFonts w:cs="Arial"/>
        </w:rPr>
      </w:pPr>
    </w:p>
    <w:p w14:paraId="631C8B65" w14:textId="77777777" w:rsidR="00C14FC9" w:rsidRPr="00D770E9" w:rsidRDefault="00C14FC9" w:rsidP="00867C36">
      <w:pPr>
        <w:pStyle w:val="ListParagraph"/>
        <w:numPr>
          <w:ilvl w:val="0"/>
          <w:numId w:val="9"/>
        </w:numPr>
        <w:spacing w:line="288" w:lineRule="auto"/>
        <w:ind w:left="215" w:right="-425" w:hanging="357"/>
        <w:jc w:val="both"/>
        <w:rPr>
          <w:rFonts w:ascii="Verdana" w:hAnsi="Verdana" w:cs="Arial"/>
          <w:sz w:val="20"/>
          <w:szCs w:val="20"/>
        </w:rPr>
      </w:pPr>
      <w:r w:rsidRPr="00D770E9">
        <w:rPr>
          <w:rFonts w:ascii="Verdana" w:hAnsi="Verdana" w:cs="Arial"/>
          <w:b/>
          <w:sz w:val="20"/>
          <w:szCs w:val="20"/>
        </w:rPr>
        <w:t>Corporate Governance:</w:t>
      </w:r>
      <w:r w:rsidRPr="00D770E9">
        <w:rPr>
          <w:rFonts w:ascii="Verdana" w:hAnsi="Verdana" w:cs="Arial"/>
          <w:sz w:val="20"/>
          <w:szCs w:val="20"/>
        </w:rPr>
        <w:t xml:space="preserve"> including corporate governance, finance, statistical reporting, training and other administrative functions to ensure the effective and efficient operations of the Commission.</w:t>
      </w:r>
    </w:p>
    <w:p w14:paraId="591C86B2" w14:textId="5F3694C5" w:rsidR="00C14FC9" w:rsidRPr="00D770E9" w:rsidRDefault="00C14FC9" w:rsidP="00867C36">
      <w:pPr>
        <w:pStyle w:val="ListParagraph"/>
        <w:numPr>
          <w:ilvl w:val="0"/>
          <w:numId w:val="9"/>
        </w:numPr>
        <w:spacing w:line="288" w:lineRule="auto"/>
        <w:ind w:left="215" w:right="-425" w:hanging="357"/>
        <w:jc w:val="both"/>
        <w:rPr>
          <w:rFonts w:ascii="Verdana" w:hAnsi="Verdana" w:cs="Arial"/>
          <w:sz w:val="20"/>
          <w:szCs w:val="20"/>
        </w:rPr>
      </w:pPr>
      <w:r w:rsidRPr="00D770E9">
        <w:rPr>
          <w:rFonts w:ascii="Verdana" w:hAnsi="Verdana" w:cs="Arial"/>
          <w:b/>
          <w:sz w:val="20"/>
          <w:szCs w:val="20"/>
        </w:rPr>
        <w:t>Community Operations:</w:t>
      </w:r>
      <w:r w:rsidRPr="00D770E9">
        <w:rPr>
          <w:rFonts w:ascii="Verdana" w:hAnsi="Verdana" w:cs="Arial"/>
          <w:sz w:val="20"/>
          <w:szCs w:val="20"/>
        </w:rPr>
        <w:t xml:space="preserve"> including the operational costs in each of the five communities to conduct conferences</w:t>
      </w:r>
      <w:r w:rsidR="00886949">
        <w:rPr>
          <w:rFonts w:ascii="Verdana" w:hAnsi="Verdana" w:cs="Arial"/>
          <w:sz w:val="20"/>
          <w:szCs w:val="20"/>
        </w:rPr>
        <w:t xml:space="preserve"> and hearings</w:t>
      </w:r>
      <w:r w:rsidRPr="00D770E9">
        <w:rPr>
          <w:rFonts w:ascii="Verdana" w:hAnsi="Verdana" w:cs="Arial"/>
          <w:sz w:val="20"/>
          <w:szCs w:val="20"/>
        </w:rPr>
        <w:t>, prepare and monitor case plans for clients for attendance at community support services and prepare and monitor income management orders.</w:t>
      </w:r>
    </w:p>
    <w:p w14:paraId="36682ECF" w14:textId="2DE23482" w:rsidR="00C14FC9" w:rsidRPr="00D770E9" w:rsidRDefault="00C14FC9" w:rsidP="00867C36">
      <w:pPr>
        <w:pStyle w:val="ListParagraph"/>
        <w:numPr>
          <w:ilvl w:val="0"/>
          <w:numId w:val="9"/>
        </w:numPr>
        <w:spacing w:line="288" w:lineRule="auto"/>
        <w:ind w:left="215" w:right="-425" w:hanging="357"/>
        <w:jc w:val="both"/>
        <w:rPr>
          <w:rFonts w:ascii="Verdana" w:hAnsi="Verdana" w:cs="Arial"/>
          <w:sz w:val="20"/>
          <w:szCs w:val="20"/>
        </w:rPr>
      </w:pPr>
      <w:r w:rsidRPr="00D770E9">
        <w:rPr>
          <w:rFonts w:ascii="Verdana" w:hAnsi="Verdana" w:cs="Arial"/>
          <w:b/>
          <w:sz w:val="20"/>
          <w:szCs w:val="20"/>
        </w:rPr>
        <w:t xml:space="preserve">Conference </w:t>
      </w:r>
      <w:r w:rsidR="00290202">
        <w:rPr>
          <w:rFonts w:ascii="Verdana" w:hAnsi="Verdana" w:cs="Arial"/>
          <w:b/>
          <w:sz w:val="20"/>
          <w:szCs w:val="20"/>
        </w:rPr>
        <w:t xml:space="preserve">and Hearing </w:t>
      </w:r>
      <w:r w:rsidRPr="00D770E9">
        <w:rPr>
          <w:rFonts w:ascii="Verdana" w:hAnsi="Verdana" w:cs="Arial"/>
          <w:b/>
          <w:sz w:val="20"/>
          <w:szCs w:val="20"/>
        </w:rPr>
        <w:t>Facilitation:</w:t>
      </w:r>
      <w:r w:rsidRPr="00D770E9">
        <w:rPr>
          <w:rFonts w:ascii="Verdana" w:hAnsi="Verdana" w:cs="Arial"/>
          <w:sz w:val="20"/>
          <w:szCs w:val="20"/>
        </w:rPr>
        <w:t xml:space="preserve"> including to facilitate the holding of conferences</w:t>
      </w:r>
      <w:r w:rsidR="00290202">
        <w:rPr>
          <w:rFonts w:ascii="Verdana" w:hAnsi="Verdana" w:cs="Arial"/>
          <w:sz w:val="20"/>
          <w:szCs w:val="20"/>
        </w:rPr>
        <w:t xml:space="preserve"> and hearings</w:t>
      </w:r>
      <w:r w:rsidRPr="00D770E9">
        <w:rPr>
          <w:rFonts w:ascii="Verdana" w:hAnsi="Verdana" w:cs="Arial"/>
          <w:sz w:val="20"/>
          <w:szCs w:val="20"/>
        </w:rPr>
        <w:t xml:space="preserve"> in the five communities, provide support to the Local Commissioners and Local </w:t>
      </w:r>
      <w:r w:rsidR="00310942">
        <w:rPr>
          <w:rFonts w:ascii="Verdana" w:hAnsi="Verdana" w:cs="Arial"/>
          <w:sz w:val="20"/>
          <w:szCs w:val="20"/>
        </w:rPr>
        <w:t xml:space="preserve">Registry </w:t>
      </w:r>
      <w:r w:rsidRPr="00D770E9">
        <w:rPr>
          <w:rFonts w:ascii="Verdana" w:hAnsi="Verdana" w:cs="Arial"/>
          <w:sz w:val="20"/>
          <w:szCs w:val="20"/>
        </w:rPr>
        <w:t>Coordinators to hold conferences</w:t>
      </w:r>
      <w:r w:rsidR="00886949">
        <w:rPr>
          <w:rFonts w:ascii="Verdana" w:hAnsi="Verdana" w:cs="Arial"/>
          <w:sz w:val="20"/>
          <w:szCs w:val="20"/>
        </w:rPr>
        <w:t xml:space="preserve"> and hearings</w:t>
      </w:r>
      <w:r w:rsidRPr="00D770E9">
        <w:rPr>
          <w:rFonts w:ascii="Verdana" w:hAnsi="Verdana" w:cs="Arial"/>
          <w:sz w:val="20"/>
          <w:szCs w:val="20"/>
        </w:rPr>
        <w:t>, assist with the on-going monitoring of case plans for clients through the provision of data and other information and process income management orders where considered necessary.</w:t>
      </w:r>
    </w:p>
    <w:p w14:paraId="1B920C07" w14:textId="77777777" w:rsidR="00D770E9" w:rsidRDefault="00D770E9" w:rsidP="0020608D">
      <w:pPr>
        <w:ind w:left="-142" w:right="-425"/>
        <w:jc w:val="both"/>
        <w:rPr>
          <w:rFonts w:cs="Arial"/>
        </w:rPr>
      </w:pPr>
    </w:p>
    <w:p w14:paraId="55D8945D" w14:textId="6A909E3F" w:rsidR="00C14FC9" w:rsidRPr="0020608D" w:rsidRDefault="00C14FC9" w:rsidP="0020608D">
      <w:pPr>
        <w:ind w:left="-142" w:right="-425"/>
        <w:jc w:val="both"/>
        <w:rPr>
          <w:rFonts w:cs="Arial"/>
        </w:rPr>
      </w:pPr>
      <w:r w:rsidRPr="0020608D">
        <w:rPr>
          <w:rFonts w:cs="Arial"/>
        </w:rPr>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t>
      </w:r>
      <w:r w:rsidRPr="00E536C1">
        <w:rPr>
          <w:rFonts w:cs="Arial"/>
        </w:rPr>
        <w:t>and twenty-</w:t>
      </w:r>
      <w:r w:rsidR="0036369C" w:rsidRPr="00E536C1">
        <w:rPr>
          <w:rFonts w:cs="Arial"/>
        </w:rPr>
        <w:t>six</w:t>
      </w:r>
      <w:r w:rsidR="0036369C" w:rsidRPr="0020608D">
        <w:rPr>
          <w:rFonts w:cs="Arial"/>
        </w:rPr>
        <w:t xml:space="preserve"> </w:t>
      </w:r>
      <w:r w:rsidRPr="0020608D">
        <w:rPr>
          <w:rFonts w:cs="Arial"/>
        </w:rPr>
        <w:t xml:space="preserve">Local Commissioners, resident in their respective communities, </w:t>
      </w:r>
      <w:r w:rsidR="007E266F">
        <w:rPr>
          <w:rFonts w:cs="Arial"/>
        </w:rPr>
        <w:t>who</w:t>
      </w:r>
      <w:r w:rsidRPr="0020608D">
        <w:rPr>
          <w:rFonts w:cs="Arial"/>
        </w:rPr>
        <w:t xml:space="preserve">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228BB044" w14:textId="77777777" w:rsidR="00591CF3" w:rsidRDefault="00591CF3" w:rsidP="0020608D">
      <w:pPr>
        <w:ind w:left="-142" w:right="-425"/>
        <w:jc w:val="both"/>
        <w:rPr>
          <w:rFonts w:cs="Arial"/>
        </w:rPr>
      </w:pPr>
    </w:p>
    <w:p w14:paraId="1988F4D6" w14:textId="4B90D1D4" w:rsidR="00C14FC9" w:rsidRDefault="00B156C7" w:rsidP="0020608D">
      <w:pPr>
        <w:ind w:left="-142" w:right="-425"/>
        <w:jc w:val="both"/>
        <w:rPr>
          <w:rFonts w:cs="Arial"/>
        </w:rPr>
      </w:pPr>
      <w:r>
        <w:rPr>
          <w:rFonts w:cs="Arial"/>
        </w:rPr>
        <w:lastRenderedPageBreak/>
        <w:t xml:space="preserve">As can be observed in </w:t>
      </w:r>
      <w:r w:rsidR="003D6923">
        <w:rPr>
          <w:rFonts w:cs="Arial"/>
        </w:rPr>
        <w:t>Table 30</w:t>
      </w:r>
      <w:r>
        <w:rPr>
          <w:rFonts w:cs="Arial"/>
        </w:rPr>
        <w:t xml:space="preserve"> below which displays the allocation of </w:t>
      </w:r>
      <w:r w:rsidR="00C14FC9" w:rsidRPr="00B156C7">
        <w:rPr>
          <w:rFonts w:cs="Arial"/>
        </w:rPr>
        <w:t>FRC costs</w:t>
      </w:r>
      <w:r w:rsidR="00C14FC9" w:rsidRPr="0020608D">
        <w:rPr>
          <w:rFonts w:cs="Arial"/>
        </w:rPr>
        <w:t xml:space="preserve"> </w:t>
      </w:r>
      <w:r>
        <w:rPr>
          <w:rFonts w:cs="Arial"/>
        </w:rPr>
        <w:t xml:space="preserve">across the core functions </w:t>
      </w:r>
      <w:r w:rsidR="00C74BF5">
        <w:rPr>
          <w:rFonts w:cs="Arial"/>
        </w:rPr>
        <w:t>i</w:t>
      </w:r>
      <w:r w:rsidR="00D770E9">
        <w:rPr>
          <w:rFonts w:cs="Arial"/>
        </w:rPr>
        <w:t xml:space="preserve">n quarter </w:t>
      </w:r>
      <w:r w:rsidR="000C0A83">
        <w:rPr>
          <w:rFonts w:cs="Arial"/>
        </w:rPr>
        <w:t>54</w:t>
      </w:r>
      <w:r>
        <w:rPr>
          <w:rFonts w:cs="Arial"/>
        </w:rPr>
        <w:t>, the largest allocation during the reporting period is in relation to conference and hearing facilitation (37.4 percent).</w:t>
      </w:r>
    </w:p>
    <w:p w14:paraId="434EF7B4" w14:textId="16CEC61B" w:rsidR="000541CA" w:rsidRDefault="000541CA" w:rsidP="0020608D">
      <w:pPr>
        <w:ind w:left="-142" w:right="-425"/>
        <w:jc w:val="both"/>
        <w:rPr>
          <w:rFonts w:cs="Arial"/>
        </w:rPr>
      </w:pPr>
    </w:p>
    <w:p w14:paraId="587C9E01" w14:textId="44053136" w:rsidR="001C1891" w:rsidRPr="00E37B61" w:rsidRDefault="001C1891" w:rsidP="001C1891">
      <w:pPr>
        <w:pStyle w:val="TableCaption"/>
        <w:spacing w:before="0"/>
        <w:ind w:left="0" w:right="-425"/>
        <w:rPr>
          <w:b/>
          <w:i w:val="0"/>
          <w:sz w:val="16"/>
        </w:rPr>
      </w:pPr>
      <w:r w:rsidRPr="00E37B61">
        <w:rPr>
          <w:b/>
          <w:i w:val="0"/>
          <w:sz w:val="16"/>
        </w:rPr>
        <w:t xml:space="preserve">Table </w:t>
      </w:r>
      <w:r>
        <w:rPr>
          <w:b/>
          <w:i w:val="0"/>
          <w:sz w:val="16"/>
        </w:rPr>
        <w:t>30</w:t>
      </w:r>
      <w:r w:rsidRPr="00E37B61">
        <w:rPr>
          <w:b/>
          <w:i w:val="0"/>
          <w:sz w:val="16"/>
        </w:rPr>
        <w:t xml:space="preserve">: </w:t>
      </w:r>
      <w:r>
        <w:rPr>
          <w:i w:val="0"/>
          <w:sz w:val="16"/>
        </w:rPr>
        <w:t>Allocation of expenses</w:t>
      </w:r>
      <w:r w:rsidRPr="00E37B61">
        <w:rPr>
          <w:i w:val="0"/>
          <w:sz w:val="16"/>
        </w:rPr>
        <w:t xml:space="preserve"> 1 </w:t>
      </w:r>
      <w:r>
        <w:rPr>
          <w:i w:val="0"/>
          <w:sz w:val="16"/>
        </w:rPr>
        <w:t xml:space="preserve">October 2021 to 31 December </w:t>
      </w:r>
      <w:r w:rsidRPr="00E37B61">
        <w:rPr>
          <w:i w:val="0"/>
          <w:sz w:val="16"/>
        </w:rPr>
        <w:t>20</w:t>
      </w:r>
      <w:r>
        <w:rPr>
          <w:i w:val="0"/>
          <w:sz w:val="16"/>
        </w:rPr>
        <w:t>21</w:t>
      </w:r>
    </w:p>
    <w:tbl>
      <w:tblPr>
        <w:tblW w:w="5431" w:type="dxa"/>
        <w:tblInd w:w="93" w:type="dxa"/>
        <w:tblLook w:val="04A0" w:firstRow="1" w:lastRow="0" w:firstColumn="1" w:lastColumn="0" w:noHBand="0" w:noVBand="1"/>
      </w:tblPr>
      <w:tblGrid>
        <w:gridCol w:w="3871"/>
        <w:gridCol w:w="1560"/>
      </w:tblGrid>
      <w:tr w:rsidR="001C1891" w:rsidRPr="00920636" w14:paraId="1153D178" w14:textId="77777777" w:rsidTr="000B6D24">
        <w:trPr>
          <w:trHeight w:val="255"/>
        </w:trPr>
        <w:tc>
          <w:tcPr>
            <w:tcW w:w="3871" w:type="dxa"/>
            <w:tcBorders>
              <w:top w:val="single" w:sz="4" w:space="0" w:color="auto"/>
              <w:left w:val="single" w:sz="4" w:space="0" w:color="auto"/>
              <w:bottom w:val="single" w:sz="4" w:space="0" w:color="auto"/>
              <w:right w:val="single" w:sz="4" w:space="0" w:color="auto"/>
            </w:tcBorders>
            <w:noWrap/>
            <w:hideMark/>
          </w:tcPr>
          <w:p w14:paraId="3FC660E2" w14:textId="77777777" w:rsidR="001C1891" w:rsidRPr="000F130C" w:rsidRDefault="001C1891" w:rsidP="000B6D24">
            <w:pPr>
              <w:pStyle w:val="TableText"/>
              <w:ind w:left="49"/>
              <w:rPr>
                <w:b/>
                <w:lang w:eastAsia="en-AU"/>
              </w:rPr>
            </w:pPr>
            <w:r w:rsidRPr="000F130C">
              <w:rPr>
                <w:b/>
                <w:lang w:eastAsia="en-AU"/>
              </w:rPr>
              <w:t>Community</w:t>
            </w:r>
          </w:p>
        </w:tc>
        <w:tc>
          <w:tcPr>
            <w:tcW w:w="1560" w:type="dxa"/>
            <w:tcBorders>
              <w:top w:val="single" w:sz="4" w:space="0" w:color="auto"/>
              <w:left w:val="nil"/>
              <w:bottom w:val="single" w:sz="4" w:space="0" w:color="auto"/>
              <w:right w:val="single" w:sz="4" w:space="0" w:color="auto"/>
            </w:tcBorders>
            <w:hideMark/>
          </w:tcPr>
          <w:p w14:paraId="387F93BF" w14:textId="77777777" w:rsidR="001C1891" w:rsidRDefault="001C1891" w:rsidP="000B6D24">
            <w:pPr>
              <w:pStyle w:val="TableText"/>
              <w:jc w:val="right"/>
              <w:rPr>
                <w:b/>
                <w:lang w:eastAsia="en-AU"/>
              </w:rPr>
            </w:pPr>
            <w:r>
              <w:rPr>
                <w:b/>
                <w:lang w:eastAsia="en-AU"/>
              </w:rPr>
              <w:t>Percentage of Allocated Expenses</w:t>
            </w:r>
          </w:p>
        </w:tc>
      </w:tr>
      <w:tr w:rsidR="001C1891" w:rsidRPr="00920636" w14:paraId="321234CA" w14:textId="77777777" w:rsidTr="000B6D24">
        <w:trPr>
          <w:trHeight w:val="255"/>
        </w:trPr>
        <w:tc>
          <w:tcPr>
            <w:tcW w:w="3871" w:type="dxa"/>
            <w:tcBorders>
              <w:top w:val="nil"/>
              <w:left w:val="single" w:sz="4" w:space="0" w:color="auto"/>
              <w:bottom w:val="single" w:sz="4" w:space="0" w:color="auto"/>
              <w:right w:val="single" w:sz="4" w:space="0" w:color="auto"/>
            </w:tcBorders>
            <w:noWrap/>
          </w:tcPr>
          <w:p w14:paraId="57979C38" w14:textId="77777777" w:rsidR="001C1891" w:rsidRPr="00E72DFB" w:rsidRDefault="001C1891" w:rsidP="000B6D24">
            <w:pPr>
              <w:pStyle w:val="TableText"/>
              <w:ind w:left="49"/>
              <w:rPr>
                <w:lang w:eastAsia="en-AU"/>
              </w:rPr>
            </w:pPr>
            <w:r w:rsidRPr="00E72DFB">
              <w:rPr>
                <w:lang w:eastAsia="en-AU"/>
              </w:rPr>
              <w:t>Corporate Governance</w:t>
            </w:r>
          </w:p>
        </w:tc>
        <w:tc>
          <w:tcPr>
            <w:tcW w:w="1560" w:type="dxa"/>
            <w:tcBorders>
              <w:top w:val="nil"/>
              <w:left w:val="nil"/>
              <w:bottom w:val="single" w:sz="4" w:space="0" w:color="auto"/>
              <w:right w:val="single" w:sz="4" w:space="0" w:color="auto"/>
            </w:tcBorders>
          </w:tcPr>
          <w:p w14:paraId="6E50EFF3" w14:textId="2C207B77" w:rsidR="001C1891" w:rsidRDefault="001C1891" w:rsidP="000B6D24">
            <w:pPr>
              <w:pStyle w:val="TableText"/>
              <w:jc w:val="right"/>
              <w:rPr>
                <w:lang w:eastAsia="en-AU"/>
              </w:rPr>
            </w:pPr>
            <w:r>
              <w:rPr>
                <w:lang w:eastAsia="en-AU"/>
              </w:rPr>
              <w:t>29.8%</w:t>
            </w:r>
          </w:p>
        </w:tc>
      </w:tr>
      <w:tr w:rsidR="001C1891" w:rsidRPr="00920636" w14:paraId="70A39985" w14:textId="77777777" w:rsidTr="000B6D24">
        <w:trPr>
          <w:trHeight w:val="255"/>
        </w:trPr>
        <w:tc>
          <w:tcPr>
            <w:tcW w:w="3871" w:type="dxa"/>
            <w:tcBorders>
              <w:top w:val="nil"/>
              <w:left w:val="single" w:sz="4" w:space="0" w:color="auto"/>
              <w:bottom w:val="single" w:sz="4" w:space="0" w:color="auto"/>
              <w:right w:val="single" w:sz="4" w:space="0" w:color="auto"/>
            </w:tcBorders>
            <w:noWrap/>
            <w:hideMark/>
          </w:tcPr>
          <w:p w14:paraId="7F7FF86E" w14:textId="77777777" w:rsidR="001C1891" w:rsidRPr="00E72DFB" w:rsidRDefault="001C1891" w:rsidP="000B6D24">
            <w:pPr>
              <w:pStyle w:val="TableText"/>
              <w:ind w:left="49"/>
              <w:rPr>
                <w:lang w:eastAsia="en-AU"/>
              </w:rPr>
            </w:pPr>
            <w:r w:rsidRPr="00E72DFB">
              <w:rPr>
                <w:lang w:eastAsia="en-AU"/>
              </w:rPr>
              <w:t xml:space="preserve">Conference </w:t>
            </w:r>
            <w:r>
              <w:rPr>
                <w:lang w:eastAsia="en-AU"/>
              </w:rPr>
              <w:t xml:space="preserve">and Hearing </w:t>
            </w:r>
            <w:r w:rsidRPr="00E72DFB">
              <w:rPr>
                <w:lang w:eastAsia="en-AU"/>
              </w:rPr>
              <w:t>Facilitation</w:t>
            </w:r>
          </w:p>
        </w:tc>
        <w:tc>
          <w:tcPr>
            <w:tcW w:w="1560" w:type="dxa"/>
            <w:tcBorders>
              <w:top w:val="nil"/>
              <w:left w:val="nil"/>
              <w:bottom w:val="single" w:sz="4" w:space="0" w:color="auto"/>
              <w:right w:val="single" w:sz="4" w:space="0" w:color="auto"/>
            </w:tcBorders>
          </w:tcPr>
          <w:p w14:paraId="6B6A8600" w14:textId="32B5FA5B" w:rsidR="001C1891" w:rsidRDefault="001C1891" w:rsidP="000B6D24">
            <w:pPr>
              <w:pStyle w:val="TableText"/>
              <w:jc w:val="right"/>
              <w:rPr>
                <w:lang w:eastAsia="en-AU"/>
              </w:rPr>
            </w:pPr>
            <w:r>
              <w:rPr>
                <w:lang w:eastAsia="en-AU"/>
              </w:rPr>
              <w:t>37.4%</w:t>
            </w:r>
          </w:p>
        </w:tc>
      </w:tr>
      <w:tr w:rsidR="001C1891" w:rsidRPr="00920636" w14:paraId="4E57146A" w14:textId="77777777" w:rsidTr="000B6D24">
        <w:trPr>
          <w:trHeight w:val="255"/>
        </w:trPr>
        <w:tc>
          <w:tcPr>
            <w:tcW w:w="3871" w:type="dxa"/>
            <w:tcBorders>
              <w:top w:val="nil"/>
              <w:left w:val="single" w:sz="4" w:space="0" w:color="auto"/>
              <w:bottom w:val="single" w:sz="4" w:space="0" w:color="auto"/>
              <w:right w:val="single" w:sz="4" w:space="0" w:color="auto"/>
            </w:tcBorders>
            <w:noWrap/>
            <w:hideMark/>
          </w:tcPr>
          <w:p w14:paraId="4F457655" w14:textId="77777777" w:rsidR="001C1891" w:rsidRPr="00E72DFB" w:rsidRDefault="001C1891" w:rsidP="000B6D24">
            <w:pPr>
              <w:pStyle w:val="TableText"/>
              <w:ind w:left="49"/>
              <w:rPr>
                <w:lang w:eastAsia="en-AU"/>
              </w:rPr>
            </w:pPr>
            <w:r w:rsidRPr="00E72DFB">
              <w:rPr>
                <w:lang w:eastAsia="en-AU"/>
              </w:rPr>
              <w:t>Community Operations</w:t>
            </w:r>
          </w:p>
        </w:tc>
        <w:tc>
          <w:tcPr>
            <w:tcW w:w="1560" w:type="dxa"/>
            <w:tcBorders>
              <w:top w:val="nil"/>
              <w:left w:val="nil"/>
              <w:bottom w:val="single" w:sz="4" w:space="0" w:color="auto"/>
              <w:right w:val="single" w:sz="4" w:space="0" w:color="auto"/>
            </w:tcBorders>
          </w:tcPr>
          <w:p w14:paraId="36D96DD3" w14:textId="2245F3CC" w:rsidR="001C1891" w:rsidRDefault="001C1891" w:rsidP="000B6D24">
            <w:pPr>
              <w:pStyle w:val="TableText"/>
              <w:jc w:val="right"/>
              <w:rPr>
                <w:lang w:eastAsia="en-AU"/>
              </w:rPr>
            </w:pPr>
            <w:r>
              <w:rPr>
                <w:lang w:eastAsia="en-AU"/>
              </w:rPr>
              <w:t>32.8%</w:t>
            </w:r>
          </w:p>
        </w:tc>
      </w:tr>
      <w:tr w:rsidR="001C1891" w:rsidRPr="00920636" w14:paraId="37053AF8" w14:textId="77777777" w:rsidTr="000B6D24">
        <w:trPr>
          <w:trHeight w:val="255"/>
        </w:trPr>
        <w:tc>
          <w:tcPr>
            <w:tcW w:w="3871" w:type="dxa"/>
            <w:tcBorders>
              <w:top w:val="nil"/>
              <w:left w:val="single" w:sz="4" w:space="0" w:color="auto"/>
              <w:bottom w:val="single" w:sz="4" w:space="0" w:color="auto"/>
              <w:right w:val="single" w:sz="4" w:space="0" w:color="auto"/>
            </w:tcBorders>
            <w:noWrap/>
            <w:hideMark/>
          </w:tcPr>
          <w:p w14:paraId="7DB6FB66" w14:textId="77777777" w:rsidR="001C1891" w:rsidRPr="000F130C" w:rsidRDefault="001C1891" w:rsidP="000B6D24">
            <w:pPr>
              <w:pStyle w:val="TableText"/>
              <w:ind w:left="49"/>
              <w:rPr>
                <w:b/>
                <w:lang w:eastAsia="en-AU"/>
              </w:rPr>
            </w:pPr>
            <w:r w:rsidRPr="000F130C">
              <w:rPr>
                <w:b/>
                <w:lang w:eastAsia="en-AU"/>
              </w:rPr>
              <w:t>TOTAL</w:t>
            </w:r>
          </w:p>
        </w:tc>
        <w:tc>
          <w:tcPr>
            <w:tcW w:w="1560" w:type="dxa"/>
            <w:tcBorders>
              <w:top w:val="nil"/>
              <w:left w:val="nil"/>
              <w:bottom w:val="single" w:sz="4" w:space="0" w:color="auto"/>
              <w:right w:val="single" w:sz="4" w:space="0" w:color="auto"/>
            </w:tcBorders>
            <w:hideMark/>
          </w:tcPr>
          <w:p w14:paraId="6FD77089" w14:textId="77777777" w:rsidR="001C1891" w:rsidRDefault="001C1891" w:rsidP="000B6D24">
            <w:pPr>
              <w:pStyle w:val="TableText"/>
              <w:jc w:val="right"/>
              <w:rPr>
                <w:b/>
                <w:lang w:eastAsia="en-AU"/>
              </w:rPr>
            </w:pPr>
            <w:r>
              <w:rPr>
                <w:b/>
                <w:lang w:eastAsia="en-AU"/>
              </w:rPr>
              <w:t>100.0%</w:t>
            </w:r>
          </w:p>
        </w:tc>
      </w:tr>
    </w:tbl>
    <w:p w14:paraId="5EB41807" w14:textId="77777777" w:rsidR="001C1891" w:rsidRDefault="001C1891" w:rsidP="001C1891">
      <w:pPr>
        <w:ind w:left="-142" w:right="-425"/>
        <w:jc w:val="both"/>
        <w:rPr>
          <w:rFonts w:cs="Arial"/>
          <w:b/>
          <w:sz w:val="16"/>
          <w:szCs w:val="16"/>
        </w:rPr>
      </w:pPr>
    </w:p>
    <w:p w14:paraId="1040D147" w14:textId="77777777" w:rsidR="001C1891" w:rsidRDefault="001C1891" w:rsidP="001C1891">
      <w:pPr>
        <w:ind w:left="-142" w:right="-425"/>
        <w:jc w:val="both"/>
        <w:rPr>
          <w:rFonts w:cs="Arial"/>
        </w:rPr>
      </w:pPr>
      <w:r>
        <w:rPr>
          <w:rFonts w:cs="Arial"/>
        </w:rPr>
        <w:t>R</w:t>
      </w:r>
      <w:r w:rsidRPr="00190B3A">
        <w:rPr>
          <w:rFonts w:cs="Arial"/>
        </w:rPr>
        <w:t>egional operational expenditure by location and quarter</w:t>
      </w:r>
      <w:r>
        <w:rPr>
          <w:rFonts w:cs="Arial"/>
        </w:rPr>
        <w:t>.</w:t>
      </w:r>
    </w:p>
    <w:p w14:paraId="21A94612" w14:textId="77777777" w:rsidR="001C1891" w:rsidRDefault="001C1891" w:rsidP="001C1891">
      <w:pPr>
        <w:ind w:left="-142" w:right="-425"/>
        <w:jc w:val="both"/>
        <w:rPr>
          <w:rFonts w:cs="Arial"/>
        </w:rPr>
      </w:pPr>
    </w:p>
    <w:p w14:paraId="75F1D9A2" w14:textId="163DAB81" w:rsidR="001C1891" w:rsidRPr="00E37B61" w:rsidRDefault="001C1891" w:rsidP="001C1891">
      <w:pPr>
        <w:pStyle w:val="TableCaption"/>
        <w:spacing w:before="0"/>
        <w:ind w:left="0" w:right="-425"/>
        <w:rPr>
          <w:b/>
          <w:i w:val="0"/>
          <w:sz w:val="16"/>
        </w:rPr>
      </w:pPr>
      <w:r w:rsidRPr="00E37B61">
        <w:rPr>
          <w:b/>
          <w:i w:val="0"/>
          <w:sz w:val="16"/>
        </w:rPr>
        <w:t xml:space="preserve">Table </w:t>
      </w:r>
      <w:r>
        <w:rPr>
          <w:b/>
          <w:i w:val="0"/>
          <w:sz w:val="16"/>
        </w:rPr>
        <w:t>31</w:t>
      </w:r>
      <w:r w:rsidRPr="00E37B61">
        <w:rPr>
          <w:b/>
          <w:i w:val="0"/>
          <w:sz w:val="16"/>
        </w:rPr>
        <w:t xml:space="preserve">: </w:t>
      </w:r>
      <w:r w:rsidRPr="00E37B61">
        <w:rPr>
          <w:i w:val="0"/>
          <w:sz w:val="16"/>
        </w:rPr>
        <w:t xml:space="preserve">Operating costs by remote location 1 </w:t>
      </w:r>
      <w:r>
        <w:rPr>
          <w:i w:val="0"/>
          <w:sz w:val="16"/>
        </w:rPr>
        <w:t xml:space="preserve">October 2020 to 31 December </w:t>
      </w:r>
      <w:r w:rsidRPr="00E37B61">
        <w:rPr>
          <w:i w:val="0"/>
          <w:sz w:val="16"/>
        </w:rPr>
        <w:t>20</w:t>
      </w:r>
      <w:r>
        <w:rPr>
          <w:i w:val="0"/>
          <w:sz w:val="16"/>
        </w:rPr>
        <w:t>21</w:t>
      </w:r>
    </w:p>
    <w:tbl>
      <w:tblPr>
        <w:tblW w:w="8806" w:type="dxa"/>
        <w:tblInd w:w="93" w:type="dxa"/>
        <w:tblLook w:val="04A0" w:firstRow="1" w:lastRow="0" w:firstColumn="1" w:lastColumn="0" w:noHBand="0" w:noVBand="1"/>
      </w:tblPr>
      <w:tblGrid>
        <w:gridCol w:w="2596"/>
        <w:gridCol w:w="1242"/>
        <w:gridCol w:w="1242"/>
        <w:gridCol w:w="1242"/>
        <w:gridCol w:w="1242"/>
        <w:gridCol w:w="1242"/>
      </w:tblGrid>
      <w:tr w:rsidR="001C1891" w:rsidRPr="000F130C" w14:paraId="017B03B7" w14:textId="336DDE04" w:rsidTr="001C1891">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5A37056D" w14:textId="77777777" w:rsidR="001C1891" w:rsidRPr="000F130C" w:rsidRDefault="001C1891" w:rsidP="000B6D24">
            <w:pPr>
              <w:pStyle w:val="TableText"/>
              <w:ind w:left="49"/>
              <w:rPr>
                <w:b/>
                <w:lang w:eastAsia="en-AU"/>
              </w:rPr>
            </w:pPr>
            <w:r w:rsidRPr="000F130C">
              <w:rPr>
                <w:b/>
                <w:lang w:eastAsia="en-AU"/>
              </w:rPr>
              <w:t>Community</w:t>
            </w:r>
          </w:p>
        </w:tc>
        <w:tc>
          <w:tcPr>
            <w:tcW w:w="1242" w:type="dxa"/>
            <w:tcBorders>
              <w:top w:val="single" w:sz="4" w:space="0" w:color="auto"/>
              <w:left w:val="nil"/>
              <w:bottom w:val="single" w:sz="4" w:space="0" w:color="auto"/>
              <w:right w:val="single" w:sz="4" w:space="0" w:color="auto"/>
            </w:tcBorders>
          </w:tcPr>
          <w:p w14:paraId="7833DEC1" w14:textId="77777777" w:rsidR="001C1891" w:rsidRDefault="001C1891" w:rsidP="000B6D24">
            <w:pPr>
              <w:pStyle w:val="TableText"/>
              <w:jc w:val="right"/>
              <w:rPr>
                <w:b/>
                <w:lang w:eastAsia="en-AU"/>
              </w:rPr>
            </w:pPr>
            <w:r>
              <w:rPr>
                <w:b/>
                <w:lang w:eastAsia="en-AU"/>
              </w:rPr>
              <w:t>Qtr 50</w:t>
            </w:r>
          </w:p>
        </w:tc>
        <w:tc>
          <w:tcPr>
            <w:tcW w:w="1242" w:type="dxa"/>
            <w:tcBorders>
              <w:top w:val="single" w:sz="4" w:space="0" w:color="auto"/>
              <w:left w:val="nil"/>
              <w:bottom w:val="single" w:sz="4" w:space="0" w:color="auto"/>
              <w:right w:val="single" w:sz="4" w:space="0" w:color="auto"/>
            </w:tcBorders>
          </w:tcPr>
          <w:p w14:paraId="78F58487" w14:textId="77777777" w:rsidR="001C1891" w:rsidRDefault="001C1891" w:rsidP="000B6D24">
            <w:pPr>
              <w:pStyle w:val="TableText"/>
              <w:jc w:val="right"/>
              <w:rPr>
                <w:b/>
                <w:lang w:eastAsia="en-AU"/>
              </w:rPr>
            </w:pPr>
            <w:r>
              <w:rPr>
                <w:b/>
                <w:lang w:eastAsia="en-AU"/>
              </w:rPr>
              <w:t>Qtr 51</w:t>
            </w:r>
          </w:p>
        </w:tc>
        <w:tc>
          <w:tcPr>
            <w:tcW w:w="1242" w:type="dxa"/>
            <w:tcBorders>
              <w:top w:val="single" w:sz="4" w:space="0" w:color="auto"/>
              <w:left w:val="nil"/>
              <w:bottom w:val="single" w:sz="4" w:space="0" w:color="auto"/>
              <w:right w:val="single" w:sz="4" w:space="0" w:color="auto"/>
            </w:tcBorders>
          </w:tcPr>
          <w:p w14:paraId="7DEA16F7" w14:textId="77777777" w:rsidR="001C1891" w:rsidRDefault="001C1891" w:rsidP="000B6D24">
            <w:pPr>
              <w:pStyle w:val="TableText"/>
              <w:jc w:val="right"/>
              <w:rPr>
                <w:b/>
                <w:lang w:eastAsia="en-AU"/>
              </w:rPr>
            </w:pPr>
            <w:r>
              <w:rPr>
                <w:b/>
                <w:lang w:eastAsia="en-AU"/>
              </w:rPr>
              <w:t>Qtr 52</w:t>
            </w:r>
          </w:p>
        </w:tc>
        <w:tc>
          <w:tcPr>
            <w:tcW w:w="1242" w:type="dxa"/>
            <w:tcBorders>
              <w:top w:val="single" w:sz="4" w:space="0" w:color="auto"/>
              <w:left w:val="nil"/>
              <w:bottom w:val="single" w:sz="4" w:space="0" w:color="auto"/>
              <w:right w:val="single" w:sz="4" w:space="0" w:color="auto"/>
            </w:tcBorders>
          </w:tcPr>
          <w:p w14:paraId="187FFF8A" w14:textId="77777777" w:rsidR="001C1891" w:rsidRDefault="001C1891" w:rsidP="000B6D24">
            <w:pPr>
              <w:pStyle w:val="TableText"/>
              <w:jc w:val="right"/>
              <w:rPr>
                <w:b/>
                <w:lang w:eastAsia="en-AU"/>
              </w:rPr>
            </w:pPr>
            <w:r>
              <w:rPr>
                <w:b/>
                <w:lang w:eastAsia="en-AU"/>
              </w:rPr>
              <w:t>Qtr 53</w:t>
            </w:r>
          </w:p>
        </w:tc>
        <w:tc>
          <w:tcPr>
            <w:tcW w:w="1242" w:type="dxa"/>
            <w:tcBorders>
              <w:top w:val="single" w:sz="4" w:space="0" w:color="auto"/>
              <w:left w:val="nil"/>
              <w:bottom w:val="single" w:sz="4" w:space="0" w:color="auto"/>
              <w:right w:val="single" w:sz="4" w:space="0" w:color="auto"/>
            </w:tcBorders>
          </w:tcPr>
          <w:p w14:paraId="18EB0ECE" w14:textId="53E2EA31" w:rsidR="001C1891" w:rsidRDefault="00930451" w:rsidP="000B6D24">
            <w:pPr>
              <w:pStyle w:val="TableText"/>
              <w:jc w:val="right"/>
              <w:rPr>
                <w:b/>
                <w:lang w:eastAsia="en-AU"/>
              </w:rPr>
            </w:pPr>
            <w:r>
              <w:rPr>
                <w:b/>
                <w:lang w:eastAsia="en-AU"/>
              </w:rPr>
              <w:t>Qtr 54</w:t>
            </w:r>
          </w:p>
        </w:tc>
      </w:tr>
      <w:tr w:rsidR="001C1891" w:rsidRPr="000F130C" w14:paraId="2AD84E95" w14:textId="0CA3B607" w:rsidTr="001C1891">
        <w:trPr>
          <w:trHeight w:val="255"/>
        </w:trPr>
        <w:tc>
          <w:tcPr>
            <w:tcW w:w="2596" w:type="dxa"/>
            <w:tcBorders>
              <w:top w:val="nil"/>
              <w:left w:val="single" w:sz="4" w:space="0" w:color="auto"/>
              <w:bottom w:val="single" w:sz="4" w:space="0" w:color="auto"/>
              <w:right w:val="single" w:sz="4" w:space="0" w:color="auto"/>
            </w:tcBorders>
            <w:noWrap/>
            <w:hideMark/>
          </w:tcPr>
          <w:p w14:paraId="674A27E5" w14:textId="77777777" w:rsidR="001C1891" w:rsidRPr="000F130C" w:rsidRDefault="001C1891" w:rsidP="000B6D24">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vAlign w:val="bottom"/>
          </w:tcPr>
          <w:p w14:paraId="6E2E7BAD" w14:textId="77777777" w:rsidR="001C1891" w:rsidRDefault="001C1891" w:rsidP="000B6D24">
            <w:pPr>
              <w:pStyle w:val="TableText"/>
              <w:jc w:val="right"/>
              <w:rPr>
                <w:lang w:eastAsia="en-AU"/>
              </w:rPr>
            </w:pPr>
            <w:r>
              <w:rPr>
                <w:rFonts w:cs="Calibri"/>
                <w:color w:val="000000"/>
              </w:rPr>
              <w:t>$104</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084B89D9" w14:textId="77777777" w:rsidR="001C1891" w:rsidRDefault="001C1891" w:rsidP="000B6D24">
            <w:pPr>
              <w:pStyle w:val="TableText"/>
              <w:jc w:val="right"/>
              <w:rPr>
                <w:lang w:eastAsia="en-AU"/>
              </w:rPr>
            </w:pPr>
            <w:r>
              <w:rPr>
                <w:rFonts w:cs="Calibri"/>
                <w:color w:val="000000"/>
              </w:rPr>
              <w:t>$110</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54F3EFD2" w14:textId="77777777" w:rsidR="001C1891" w:rsidRPr="00346120" w:rsidRDefault="001C1891" w:rsidP="000B6D24">
            <w:pPr>
              <w:pStyle w:val="TableText"/>
              <w:jc w:val="right"/>
              <w:rPr>
                <w:lang w:eastAsia="en-AU"/>
              </w:rPr>
            </w:pPr>
            <w:r>
              <w:rPr>
                <w:rFonts w:cs="Calibri"/>
                <w:color w:val="000000"/>
              </w:rPr>
              <w:t>$124</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2D4428A7" w14:textId="77777777" w:rsidR="001C1891" w:rsidRPr="00705863" w:rsidRDefault="001C1891" w:rsidP="000B6D24">
            <w:pPr>
              <w:pStyle w:val="TableText"/>
              <w:jc w:val="right"/>
              <w:rPr>
                <w:color w:val="000000"/>
              </w:rPr>
            </w:pPr>
            <w:r>
              <w:rPr>
                <w:rFonts w:cs="Calibri"/>
                <w:color w:val="000000"/>
              </w:rPr>
              <w:t>$110</w:t>
            </w:r>
            <w:r w:rsidRPr="00705863">
              <w:rPr>
                <w:rFonts w:cs="Calibri"/>
                <w:color w:val="000000"/>
              </w:rPr>
              <w:t>K</w:t>
            </w:r>
          </w:p>
        </w:tc>
        <w:tc>
          <w:tcPr>
            <w:tcW w:w="1242" w:type="dxa"/>
            <w:tcBorders>
              <w:top w:val="nil"/>
              <w:left w:val="nil"/>
              <w:bottom w:val="single" w:sz="4" w:space="0" w:color="auto"/>
              <w:right w:val="single" w:sz="4" w:space="0" w:color="auto"/>
            </w:tcBorders>
          </w:tcPr>
          <w:p w14:paraId="7F8ADF10" w14:textId="62340552" w:rsidR="001C1891" w:rsidRDefault="00930451" w:rsidP="000B6D24">
            <w:pPr>
              <w:pStyle w:val="TableText"/>
              <w:jc w:val="right"/>
              <w:rPr>
                <w:rFonts w:cs="Calibri"/>
                <w:color w:val="000000"/>
              </w:rPr>
            </w:pPr>
            <w:r>
              <w:rPr>
                <w:rFonts w:cs="Calibri"/>
                <w:color w:val="000000"/>
              </w:rPr>
              <w:t>$9</w:t>
            </w:r>
            <w:r w:rsidR="0020211C">
              <w:rPr>
                <w:rFonts w:cs="Calibri"/>
                <w:color w:val="000000"/>
              </w:rPr>
              <w:t>3</w:t>
            </w:r>
            <w:r>
              <w:rPr>
                <w:rFonts w:cs="Calibri"/>
                <w:color w:val="000000"/>
              </w:rPr>
              <w:t>K</w:t>
            </w:r>
          </w:p>
        </w:tc>
      </w:tr>
      <w:tr w:rsidR="001C1891" w:rsidRPr="000F130C" w14:paraId="45C126AD" w14:textId="0D9C75AE" w:rsidTr="001C1891">
        <w:trPr>
          <w:trHeight w:val="255"/>
        </w:trPr>
        <w:tc>
          <w:tcPr>
            <w:tcW w:w="2596" w:type="dxa"/>
            <w:tcBorders>
              <w:top w:val="nil"/>
              <w:left w:val="single" w:sz="4" w:space="0" w:color="auto"/>
              <w:bottom w:val="single" w:sz="4" w:space="0" w:color="auto"/>
              <w:right w:val="single" w:sz="4" w:space="0" w:color="auto"/>
            </w:tcBorders>
            <w:noWrap/>
            <w:hideMark/>
          </w:tcPr>
          <w:p w14:paraId="474B81A5" w14:textId="77777777" w:rsidR="001C1891" w:rsidRPr="000F130C" w:rsidRDefault="001C1891" w:rsidP="000B6D24">
            <w:pPr>
              <w:pStyle w:val="TableText"/>
              <w:ind w:left="49"/>
              <w:rPr>
                <w:lang w:eastAsia="en-AU"/>
              </w:rPr>
            </w:pPr>
            <w:r w:rsidRPr="000F130C">
              <w:rPr>
                <w:lang w:eastAsia="en-AU"/>
              </w:rPr>
              <w:t>Coen</w:t>
            </w:r>
          </w:p>
        </w:tc>
        <w:tc>
          <w:tcPr>
            <w:tcW w:w="1242" w:type="dxa"/>
            <w:tcBorders>
              <w:top w:val="nil"/>
              <w:left w:val="nil"/>
              <w:bottom w:val="single" w:sz="4" w:space="0" w:color="auto"/>
              <w:right w:val="single" w:sz="4" w:space="0" w:color="auto"/>
            </w:tcBorders>
            <w:vAlign w:val="bottom"/>
          </w:tcPr>
          <w:p w14:paraId="040E6FFC" w14:textId="77777777" w:rsidR="001C1891" w:rsidRDefault="001C1891" w:rsidP="000B6D24">
            <w:pPr>
              <w:pStyle w:val="TableText"/>
              <w:jc w:val="right"/>
              <w:rPr>
                <w:lang w:eastAsia="en-AU"/>
              </w:rPr>
            </w:pPr>
            <w:r>
              <w:rPr>
                <w:rFonts w:cs="Calibri"/>
                <w:color w:val="000000"/>
              </w:rPr>
              <w:t>$27</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38EAD929" w14:textId="77777777" w:rsidR="001C1891" w:rsidRDefault="001C1891" w:rsidP="000B6D24">
            <w:pPr>
              <w:pStyle w:val="TableText"/>
              <w:jc w:val="right"/>
              <w:rPr>
                <w:lang w:eastAsia="en-AU"/>
              </w:rPr>
            </w:pPr>
            <w:r>
              <w:rPr>
                <w:rFonts w:cs="Calibri"/>
                <w:color w:val="000000"/>
              </w:rPr>
              <w:t>$28</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2499BFBB" w14:textId="77777777" w:rsidR="001C1891" w:rsidRPr="00346120" w:rsidRDefault="001C1891" w:rsidP="000B6D24">
            <w:pPr>
              <w:pStyle w:val="TableText"/>
              <w:jc w:val="right"/>
              <w:rPr>
                <w:lang w:eastAsia="en-AU"/>
              </w:rPr>
            </w:pPr>
            <w:r>
              <w:rPr>
                <w:rFonts w:cs="Calibri"/>
                <w:color w:val="000000"/>
              </w:rPr>
              <w:t>$40</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395D2780" w14:textId="77777777" w:rsidR="001C1891" w:rsidRPr="00705863" w:rsidRDefault="001C1891" w:rsidP="000B6D24">
            <w:pPr>
              <w:pStyle w:val="TableText"/>
              <w:jc w:val="right"/>
              <w:rPr>
                <w:color w:val="000000"/>
              </w:rPr>
            </w:pPr>
            <w:r>
              <w:rPr>
                <w:rFonts w:cs="Calibri"/>
                <w:color w:val="000000"/>
              </w:rPr>
              <w:t>$24</w:t>
            </w:r>
            <w:r w:rsidRPr="00705863">
              <w:rPr>
                <w:rFonts w:cs="Calibri"/>
                <w:color w:val="000000"/>
              </w:rPr>
              <w:t>K</w:t>
            </w:r>
          </w:p>
        </w:tc>
        <w:tc>
          <w:tcPr>
            <w:tcW w:w="1242" w:type="dxa"/>
            <w:tcBorders>
              <w:top w:val="nil"/>
              <w:left w:val="nil"/>
              <w:bottom w:val="single" w:sz="4" w:space="0" w:color="auto"/>
              <w:right w:val="single" w:sz="4" w:space="0" w:color="auto"/>
            </w:tcBorders>
          </w:tcPr>
          <w:p w14:paraId="465B5A45" w14:textId="430D04A4" w:rsidR="001C1891" w:rsidRDefault="00930451" w:rsidP="000B6D24">
            <w:pPr>
              <w:pStyle w:val="TableText"/>
              <w:jc w:val="right"/>
              <w:rPr>
                <w:rFonts w:cs="Calibri"/>
                <w:color w:val="000000"/>
              </w:rPr>
            </w:pPr>
            <w:r>
              <w:rPr>
                <w:rFonts w:cs="Calibri"/>
                <w:color w:val="000000"/>
              </w:rPr>
              <w:t>$32K</w:t>
            </w:r>
          </w:p>
        </w:tc>
      </w:tr>
      <w:tr w:rsidR="001C1891" w:rsidRPr="000F130C" w14:paraId="421464BE" w14:textId="39A2DC8A" w:rsidTr="001C1891">
        <w:trPr>
          <w:trHeight w:val="255"/>
        </w:trPr>
        <w:tc>
          <w:tcPr>
            <w:tcW w:w="2596" w:type="dxa"/>
            <w:tcBorders>
              <w:top w:val="nil"/>
              <w:left w:val="single" w:sz="4" w:space="0" w:color="auto"/>
              <w:bottom w:val="single" w:sz="4" w:space="0" w:color="auto"/>
              <w:right w:val="single" w:sz="4" w:space="0" w:color="auto"/>
            </w:tcBorders>
            <w:noWrap/>
          </w:tcPr>
          <w:p w14:paraId="1DF59823" w14:textId="77777777" w:rsidR="001C1891" w:rsidRPr="000F130C" w:rsidRDefault="001C1891" w:rsidP="000B6D24">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vAlign w:val="bottom"/>
          </w:tcPr>
          <w:p w14:paraId="5A634208" w14:textId="77777777" w:rsidR="001C1891" w:rsidRDefault="001C1891" w:rsidP="000B6D24">
            <w:pPr>
              <w:pStyle w:val="TableText"/>
              <w:jc w:val="right"/>
              <w:rPr>
                <w:lang w:eastAsia="en-AU"/>
              </w:rPr>
            </w:pPr>
            <w:r>
              <w:rPr>
                <w:rFonts w:cs="Calibri"/>
                <w:color w:val="000000"/>
              </w:rPr>
              <w:t>$20</w:t>
            </w:r>
            <w:r w:rsidRPr="00705863">
              <w:rPr>
                <w:rFonts w:cs="Calibri"/>
                <w:color w:val="000000"/>
              </w:rPr>
              <w:t>7K</w:t>
            </w:r>
          </w:p>
        </w:tc>
        <w:tc>
          <w:tcPr>
            <w:tcW w:w="1242" w:type="dxa"/>
            <w:tcBorders>
              <w:top w:val="nil"/>
              <w:left w:val="nil"/>
              <w:bottom w:val="single" w:sz="4" w:space="0" w:color="auto"/>
              <w:right w:val="single" w:sz="4" w:space="0" w:color="auto"/>
            </w:tcBorders>
            <w:vAlign w:val="bottom"/>
          </w:tcPr>
          <w:p w14:paraId="2CE90C71" w14:textId="77777777" w:rsidR="001C1891" w:rsidRDefault="001C1891" w:rsidP="000B6D24">
            <w:pPr>
              <w:pStyle w:val="TableText"/>
              <w:jc w:val="right"/>
              <w:rPr>
                <w:lang w:eastAsia="en-AU"/>
              </w:rPr>
            </w:pPr>
            <w:r>
              <w:rPr>
                <w:rFonts w:cs="Calibri"/>
                <w:color w:val="000000"/>
              </w:rPr>
              <w:t>$163</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038F153C" w14:textId="77777777" w:rsidR="001C1891" w:rsidRPr="00346120" w:rsidRDefault="001C1891" w:rsidP="000B6D24">
            <w:pPr>
              <w:pStyle w:val="TableText"/>
              <w:jc w:val="right"/>
              <w:rPr>
                <w:lang w:eastAsia="en-AU"/>
              </w:rPr>
            </w:pPr>
            <w:r>
              <w:rPr>
                <w:rFonts w:cs="Calibri"/>
                <w:color w:val="000000"/>
              </w:rPr>
              <w:t>$177</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232E4B88" w14:textId="77777777" w:rsidR="001C1891" w:rsidRPr="00705863" w:rsidRDefault="001C1891" w:rsidP="000B6D24">
            <w:pPr>
              <w:pStyle w:val="TableText"/>
              <w:jc w:val="right"/>
              <w:rPr>
                <w:color w:val="000000"/>
              </w:rPr>
            </w:pPr>
            <w:r>
              <w:rPr>
                <w:rFonts w:cs="Calibri"/>
                <w:color w:val="000000"/>
              </w:rPr>
              <w:t>$110</w:t>
            </w:r>
            <w:r w:rsidRPr="00705863">
              <w:rPr>
                <w:rFonts w:cs="Calibri"/>
                <w:color w:val="000000"/>
              </w:rPr>
              <w:t>K</w:t>
            </w:r>
          </w:p>
        </w:tc>
        <w:tc>
          <w:tcPr>
            <w:tcW w:w="1242" w:type="dxa"/>
            <w:tcBorders>
              <w:top w:val="nil"/>
              <w:left w:val="nil"/>
              <w:bottom w:val="single" w:sz="4" w:space="0" w:color="auto"/>
              <w:right w:val="single" w:sz="4" w:space="0" w:color="auto"/>
            </w:tcBorders>
          </w:tcPr>
          <w:p w14:paraId="37F35AF2" w14:textId="64A15080" w:rsidR="001C1891" w:rsidRDefault="00930451" w:rsidP="000B6D24">
            <w:pPr>
              <w:pStyle w:val="TableText"/>
              <w:jc w:val="right"/>
              <w:rPr>
                <w:rFonts w:cs="Calibri"/>
                <w:color w:val="000000"/>
              </w:rPr>
            </w:pPr>
            <w:r>
              <w:rPr>
                <w:rFonts w:cs="Calibri"/>
                <w:color w:val="000000"/>
              </w:rPr>
              <w:t>$110K</w:t>
            </w:r>
          </w:p>
        </w:tc>
      </w:tr>
      <w:tr w:rsidR="001C1891" w:rsidRPr="000F130C" w14:paraId="2744C8CB" w14:textId="0DF4D454" w:rsidTr="001C1891">
        <w:trPr>
          <w:trHeight w:val="255"/>
        </w:trPr>
        <w:tc>
          <w:tcPr>
            <w:tcW w:w="2596" w:type="dxa"/>
            <w:tcBorders>
              <w:top w:val="nil"/>
              <w:left w:val="single" w:sz="4" w:space="0" w:color="auto"/>
              <w:bottom w:val="single" w:sz="4" w:space="0" w:color="auto"/>
              <w:right w:val="single" w:sz="4" w:space="0" w:color="auto"/>
            </w:tcBorders>
            <w:noWrap/>
            <w:hideMark/>
          </w:tcPr>
          <w:p w14:paraId="236999AD" w14:textId="77777777" w:rsidR="001C1891" w:rsidRPr="000F130C" w:rsidRDefault="001C1891" w:rsidP="000B6D24">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vAlign w:val="bottom"/>
          </w:tcPr>
          <w:p w14:paraId="2373ECA4" w14:textId="77777777" w:rsidR="001C1891" w:rsidRDefault="001C1891" w:rsidP="000B6D24">
            <w:pPr>
              <w:pStyle w:val="TableText"/>
              <w:jc w:val="right"/>
              <w:rPr>
                <w:lang w:eastAsia="en-AU"/>
              </w:rPr>
            </w:pPr>
            <w:r>
              <w:rPr>
                <w:rFonts w:cs="Calibri"/>
                <w:color w:val="000000"/>
              </w:rPr>
              <w:t>$</w:t>
            </w:r>
            <w:r w:rsidRPr="00705863">
              <w:rPr>
                <w:rFonts w:cs="Calibri"/>
                <w:color w:val="000000"/>
              </w:rPr>
              <w:t>6</w:t>
            </w:r>
            <w:r>
              <w:rPr>
                <w:rFonts w:cs="Calibri"/>
                <w:color w:val="000000"/>
              </w:rPr>
              <w:t>2</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314A023B" w14:textId="77777777" w:rsidR="001C1891" w:rsidRDefault="001C1891" w:rsidP="000B6D24">
            <w:pPr>
              <w:pStyle w:val="TableText"/>
              <w:jc w:val="right"/>
              <w:rPr>
                <w:lang w:eastAsia="en-AU"/>
              </w:rPr>
            </w:pPr>
            <w:r>
              <w:rPr>
                <w:rFonts w:cs="Calibri"/>
                <w:color w:val="000000"/>
              </w:rPr>
              <w:t>$73</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7F44632D" w14:textId="77777777" w:rsidR="001C1891" w:rsidRPr="00346120" w:rsidRDefault="001C1891" w:rsidP="000B6D24">
            <w:pPr>
              <w:pStyle w:val="TableText"/>
              <w:jc w:val="right"/>
              <w:rPr>
                <w:lang w:eastAsia="en-AU"/>
              </w:rPr>
            </w:pPr>
            <w:r>
              <w:rPr>
                <w:rFonts w:cs="Calibri"/>
                <w:color w:val="000000"/>
              </w:rPr>
              <w:t>$90</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7D9DBC11" w14:textId="77777777" w:rsidR="001C1891" w:rsidRPr="00705863" w:rsidRDefault="001C1891" w:rsidP="000B6D24">
            <w:pPr>
              <w:pStyle w:val="TableText"/>
              <w:jc w:val="right"/>
              <w:rPr>
                <w:color w:val="000000"/>
              </w:rPr>
            </w:pPr>
            <w:r>
              <w:rPr>
                <w:rFonts w:cs="Calibri"/>
                <w:color w:val="000000"/>
              </w:rPr>
              <w:t>$65</w:t>
            </w:r>
            <w:r w:rsidRPr="00705863">
              <w:rPr>
                <w:rFonts w:cs="Calibri"/>
                <w:color w:val="000000"/>
              </w:rPr>
              <w:t>K</w:t>
            </w:r>
          </w:p>
        </w:tc>
        <w:tc>
          <w:tcPr>
            <w:tcW w:w="1242" w:type="dxa"/>
            <w:tcBorders>
              <w:top w:val="nil"/>
              <w:left w:val="nil"/>
              <w:bottom w:val="single" w:sz="4" w:space="0" w:color="auto"/>
              <w:right w:val="single" w:sz="4" w:space="0" w:color="auto"/>
            </w:tcBorders>
          </w:tcPr>
          <w:p w14:paraId="048248E6" w14:textId="39A648F3" w:rsidR="001C1891" w:rsidRDefault="00930451" w:rsidP="000B6D24">
            <w:pPr>
              <w:pStyle w:val="TableText"/>
              <w:jc w:val="right"/>
              <w:rPr>
                <w:rFonts w:cs="Calibri"/>
                <w:color w:val="000000"/>
              </w:rPr>
            </w:pPr>
            <w:r>
              <w:rPr>
                <w:rFonts w:cs="Calibri"/>
                <w:color w:val="000000"/>
              </w:rPr>
              <w:t>$67K</w:t>
            </w:r>
          </w:p>
        </w:tc>
      </w:tr>
      <w:tr w:rsidR="001C1891" w:rsidRPr="000F130C" w14:paraId="09341C84" w14:textId="153363BE" w:rsidTr="001C1891">
        <w:trPr>
          <w:trHeight w:val="255"/>
        </w:trPr>
        <w:tc>
          <w:tcPr>
            <w:tcW w:w="2596" w:type="dxa"/>
            <w:tcBorders>
              <w:top w:val="nil"/>
              <w:left w:val="single" w:sz="4" w:space="0" w:color="auto"/>
              <w:bottom w:val="single" w:sz="4" w:space="0" w:color="auto"/>
              <w:right w:val="single" w:sz="4" w:space="0" w:color="auto"/>
            </w:tcBorders>
            <w:noWrap/>
            <w:hideMark/>
          </w:tcPr>
          <w:p w14:paraId="14D7EDE3" w14:textId="77777777" w:rsidR="001C1891" w:rsidRPr="000F130C" w:rsidRDefault="001C1891" w:rsidP="000B6D24">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vAlign w:val="bottom"/>
          </w:tcPr>
          <w:p w14:paraId="07C97D37" w14:textId="77777777" w:rsidR="001C1891" w:rsidRDefault="001C1891" w:rsidP="000B6D24">
            <w:pPr>
              <w:pStyle w:val="TableText"/>
              <w:jc w:val="right"/>
              <w:rPr>
                <w:lang w:eastAsia="en-AU"/>
              </w:rPr>
            </w:pPr>
            <w:r>
              <w:rPr>
                <w:rFonts w:cs="Calibri"/>
                <w:color w:val="000000"/>
              </w:rPr>
              <w:t>$</w:t>
            </w:r>
            <w:r w:rsidRPr="00705863">
              <w:rPr>
                <w:rFonts w:cs="Calibri"/>
                <w:color w:val="000000"/>
              </w:rPr>
              <w:t>3</w:t>
            </w:r>
            <w:r>
              <w:rPr>
                <w:rFonts w:cs="Calibri"/>
                <w:color w:val="000000"/>
              </w:rPr>
              <w:t>4</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57D55057" w14:textId="77777777" w:rsidR="001C1891" w:rsidRDefault="001C1891" w:rsidP="000B6D24">
            <w:pPr>
              <w:pStyle w:val="TableText"/>
              <w:jc w:val="right"/>
              <w:rPr>
                <w:lang w:eastAsia="en-AU"/>
              </w:rPr>
            </w:pPr>
            <w:r>
              <w:rPr>
                <w:rFonts w:cs="Calibri"/>
                <w:color w:val="000000"/>
              </w:rPr>
              <w:t>$</w:t>
            </w:r>
            <w:r w:rsidRPr="00705863">
              <w:rPr>
                <w:rFonts w:cs="Calibri"/>
                <w:color w:val="000000"/>
              </w:rPr>
              <w:t>3</w:t>
            </w:r>
            <w:r>
              <w:rPr>
                <w:rFonts w:cs="Calibri"/>
                <w:color w:val="000000"/>
              </w:rPr>
              <w:t>4</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2D77FDA3" w14:textId="77777777" w:rsidR="001C1891" w:rsidRPr="00346120" w:rsidRDefault="001C1891" w:rsidP="000B6D24">
            <w:pPr>
              <w:pStyle w:val="TableText"/>
              <w:jc w:val="right"/>
              <w:rPr>
                <w:lang w:eastAsia="en-AU"/>
              </w:rPr>
            </w:pPr>
            <w:r>
              <w:rPr>
                <w:rFonts w:cs="Calibri"/>
                <w:color w:val="000000"/>
              </w:rPr>
              <w:t>$46</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6F4A1C7F" w14:textId="77777777" w:rsidR="001C1891" w:rsidRPr="00705863" w:rsidRDefault="001C1891" w:rsidP="000B6D24">
            <w:pPr>
              <w:pStyle w:val="TableText"/>
              <w:jc w:val="right"/>
              <w:rPr>
                <w:color w:val="000000"/>
              </w:rPr>
            </w:pPr>
            <w:r>
              <w:rPr>
                <w:rFonts w:cs="Calibri"/>
                <w:color w:val="000000"/>
              </w:rPr>
              <w:t>$27</w:t>
            </w:r>
            <w:r w:rsidRPr="00705863">
              <w:rPr>
                <w:rFonts w:cs="Calibri"/>
                <w:color w:val="000000"/>
              </w:rPr>
              <w:t>K</w:t>
            </w:r>
          </w:p>
        </w:tc>
        <w:tc>
          <w:tcPr>
            <w:tcW w:w="1242" w:type="dxa"/>
            <w:tcBorders>
              <w:top w:val="nil"/>
              <w:left w:val="nil"/>
              <w:bottom w:val="single" w:sz="4" w:space="0" w:color="auto"/>
              <w:right w:val="single" w:sz="4" w:space="0" w:color="auto"/>
            </w:tcBorders>
          </w:tcPr>
          <w:p w14:paraId="6F862EBC" w14:textId="4D4456C9" w:rsidR="001C1891" w:rsidRDefault="00930451" w:rsidP="000B6D24">
            <w:pPr>
              <w:pStyle w:val="TableText"/>
              <w:jc w:val="right"/>
              <w:rPr>
                <w:rFonts w:cs="Calibri"/>
                <w:color w:val="000000"/>
              </w:rPr>
            </w:pPr>
            <w:r>
              <w:rPr>
                <w:rFonts w:cs="Calibri"/>
                <w:color w:val="000000"/>
              </w:rPr>
              <w:t>$24K</w:t>
            </w:r>
          </w:p>
        </w:tc>
      </w:tr>
      <w:tr w:rsidR="001C1891" w:rsidRPr="000F130C" w14:paraId="0F7B4427" w14:textId="09BBE3C7" w:rsidTr="001C1891">
        <w:trPr>
          <w:trHeight w:val="255"/>
        </w:trPr>
        <w:tc>
          <w:tcPr>
            <w:tcW w:w="2596" w:type="dxa"/>
            <w:tcBorders>
              <w:top w:val="nil"/>
              <w:left w:val="single" w:sz="4" w:space="0" w:color="auto"/>
              <w:bottom w:val="single" w:sz="4" w:space="0" w:color="auto"/>
              <w:right w:val="single" w:sz="4" w:space="0" w:color="auto"/>
            </w:tcBorders>
            <w:noWrap/>
            <w:hideMark/>
          </w:tcPr>
          <w:p w14:paraId="2F36A87B" w14:textId="77777777" w:rsidR="001C1891" w:rsidRPr="000F130C" w:rsidRDefault="001C1891" w:rsidP="000B6D24">
            <w:pPr>
              <w:pStyle w:val="TableText"/>
              <w:ind w:left="49"/>
              <w:rPr>
                <w:b/>
                <w:lang w:eastAsia="en-AU"/>
              </w:rPr>
            </w:pPr>
            <w:r w:rsidRPr="000F130C">
              <w:rPr>
                <w:b/>
                <w:lang w:eastAsia="en-AU"/>
              </w:rPr>
              <w:t>TOTAL</w:t>
            </w:r>
          </w:p>
        </w:tc>
        <w:tc>
          <w:tcPr>
            <w:tcW w:w="1242" w:type="dxa"/>
            <w:tcBorders>
              <w:top w:val="nil"/>
              <w:left w:val="nil"/>
              <w:bottom w:val="single" w:sz="4" w:space="0" w:color="auto"/>
              <w:right w:val="single" w:sz="4" w:space="0" w:color="auto"/>
            </w:tcBorders>
            <w:vAlign w:val="bottom"/>
          </w:tcPr>
          <w:p w14:paraId="5A4602B6" w14:textId="77777777" w:rsidR="001C1891" w:rsidRDefault="001C1891" w:rsidP="000B6D24">
            <w:pPr>
              <w:pStyle w:val="TableText"/>
              <w:jc w:val="right"/>
              <w:rPr>
                <w:b/>
                <w:lang w:eastAsia="en-AU"/>
              </w:rPr>
            </w:pPr>
            <w:r>
              <w:rPr>
                <w:rFonts w:cs="Calibri"/>
                <w:b/>
                <w:bCs/>
                <w:color w:val="000000"/>
              </w:rPr>
              <w:t>$434</w:t>
            </w:r>
            <w:r w:rsidRPr="00705863">
              <w:rPr>
                <w:rFonts w:cs="Calibri"/>
                <w:b/>
                <w:bCs/>
                <w:color w:val="000000"/>
              </w:rPr>
              <w:t>K</w:t>
            </w:r>
          </w:p>
        </w:tc>
        <w:tc>
          <w:tcPr>
            <w:tcW w:w="1242" w:type="dxa"/>
            <w:tcBorders>
              <w:top w:val="nil"/>
              <w:left w:val="nil"/>
              <w:bottom w:val="single" w:sz="4" w:space="0" w:color="auto"/>
              <w:right w:val="single" w:sz="4" w:space="0" w:color="auto"/>
            </w:tcBorders>
            <w:vAlign w:val="bottom"/>
          </w:tcPr>
          <w:p w14:paraId="4AE2D396" w14:textId="77777777" w:rsidR="001C1891" w:rsidRDefault="001C1891" w:rsidP="000B6D24">
            <w:pPr>
              <w:pStyle w:val="TableText"/>
              <w:jc w:val="right"/>
              <w:rPr>
                <w:b/>
                <w:lang w:eastAsia="en-AU"/>
              </w:rPr>
            </w:pPr>
            <w:r>
              <w:rPr>
                <w:rFonts w:cs="Calibri"/>
                <w:b/>
                <w:bCs/>
                <w:color w:val="000000"/>
              </w:rPr>
              <w:t>$408</w:t>
            </w:r>
            <w:r w:rsidRPr="00705863">
              <w:rPr>
                <w:rFonts w:cs="Calibri"/>
                <w:b/>
                <w:bCs/>
                <w:color w:val="000000"/>
              </w:rPr>
              <w:t>K</w:t>
            </w:r>
          </w:p>
        </w:tc>
        <w:tc>
          <w:tcPr>
            <w:tcW w:w="1242" w:type="dxa"/>
            <w:tcBorders>
              <w:top w:val="nil"/>
              <w:left w:val="nil"/>
              <w:bottom w:val="single" w:sz="4" w:space="0" w:color="auto"/>
              <w:right w:val="single" w:sz="4" w:space="0" w:color="auto"/>
            </w:tcBorders>
            <w:vAlign w:val="bottom"/>
          </w:tcPr>
          <w:p w14:paraId="7ADC08AA" w14:textId="77777777" w:rsidR="001C1891" w:rsidRPr="00346120" w:rsidRDefault="001C1891" w:rsidP="000B6D24">
            <w:pPr>
              <w:pStyle w:val="TableText"/>
              <w:jc w:val="right"/>
              <w:rPr>
                <w:b/>
                <w:bCs/>
                <w:lang w:eastAsia="en-AU"/>
              </w:rPr>
            </w:pPr>
            <w:r>
              <w:rPr>
                <w:rFonts w:cs="Calibri"/>
                <w:b/>
                <w:bCs/>
                <w:color w:val="000000"/>
              </w:rPr>
              <w:t>$477</w:t>
            </w:r>
            <w:r w:rsidRPr="00705863">
              <w:rPr>
                <w:rFonts w:cs="Calibri"/>
                <w:b/>
                <w:bCs/>
                <w:color w:val="000000"/>
              </w:rPr>
              <w:t>K</w:t>
            </w:r>
          </w:p>
        </w:tc>
        <w:tc>
          <w:tcPr>
            <w:tcW w:w="1242" w:type="dxa"/>
            <w:tcBorders>
              <w:top w:val="nil"/>
              <w:left w:val="nil"/>
              <w:bottom w:val="single" w:sz="4" w:space="0" w:color="auto"/>
              <w:right w:val="single" w:sz="4" w:space="0" w:color="auto"/>
            </w:tcBorders>
            <w:vAlign w:val="bottom"/>
          </w:tcPr>
          <w:p w14:paraId="66456687" w14:textId="77777777" w:rsidR="001C1891" w:rsidRPr="00705863" w:rsidRDefault="001C1891" w:rsidP="000B6D24">
            <w:pPr>
              <w:pStyle w:val="TableText"/>
              <w:jc w:val="right"/>
              <w:rPr>
                <w:b/>
                <w:bCs/>
                <w:color w:val="000000"/>
              </w:rPr>
            </w:pPr>
            <w:r>
              <w:rPr>
                <w:rFonts w:cs="Calibri"/>
                <w:b/>
                <w:bCs/>
                <w:color w:val="000000"/>
              </w:rPr>
              <w:t>$336</w:t>
            </w:r>
            <w:r w:rsidRPr="00705863">
              <w:rPr>
                <w:rFonts w:cs="Calibri"/>
                <w:b/>
                <w:bCs/>
                <w:color w:val="000000"/>
              </w:rPr>
              <w:t>K</w:t>
            </w:r>
          </w:p>
        </w:tc>
        <w:tc>
          <w:tcPr>
            <w:tcW w:w="1242" w:type="dxa"/>
            <w:tcBorders>
              <w:top w:val="nil"/>
              <w:left w:val="nil"/>
              <w:bottom w:val="single" w:sz="4" w:space="0" w:color="auto"/>
              <w:right w:val="single" w:sz="4" w:space="0" w:color="auto"/>
            </w:tcBorders>
          </w:tcPr>
          <w:p w14:paraId="081DF7FA" w14:textId="6EF59425" w:rsidR="001C1891" w:rsidRDefault="00930451" w:rsidP="000B6D24">
            <w:pPr>
              <w:pStyle w:val="TableText"/>
              <w:jc w:val="right"/>
              <w:rPr>
                <w:rFonts w:cs="Calibri"/>
                <w:b/>
                <w:bCs/>
                <w:color w:val="000000"/>
              </w:rPr>
            </w:pPr>
            <w:r>
              <w:rPr>
                <w:rFonts w:cs="Calibri"/>
                <w:b/>
                <w:bCs/>
                <w:color w:val="000000"/>
              </w:rPr>
              <w:t>$32</w:t>
            </w:r>
            <w:r w:rsidR="0020211C">
              <w:rPr>
                <w:rFonts w:cs="Calibri"/>
                <w:b/>
                <w:bCs/>
                <w:color w:val="000000"/>
              </w:rPr>
              <w:t>6</w:t>
            </w:r>
            <w:r>
              <w:rPr>
                <w:rFonts w:cs="Calibri"/>
                <w:b/>
                <w:bCs/>
                <w:color w:val="000000"/>
              </w:rPr>
              <w:t>K</w:t>
            </w:r>
          </w:p>
        </w:tc>
      </w:tr>
    </w:tbl>
    <w:p w14:paraId="06F2505B" w14:textId="77777777" w:rsidR="001C1891" w:rsidRDefault="001C1891" w:rsidP="001C1891">
      <w:pPr>
        <w:ind w:left="-142" w:right="-425"/>
        <w:jc w:val="both"/>
        <w:rPr>
          <w:rFonts w:cs="Arial"/>
        </w:rPr>
      </w:pPr>
    </w:p>
    <w:p w14:paraId="190171C7" w14:textId="042F1F44" w:rsidR="001C1891" w:rsidRDefault="001C1891" w:rsidP="001C1891">
      <w:pPr>
        <w:ind w:left="-142" w:right="-425"/>
        <w:jc w:val="both"/>
        <w:rPr>
          <w:rFonts w:cs="Arial"/>
        </w:rPr>
      </w:pPr>
      <w:r>
        <w:rPr>
          <w:rFonts w:cs="Arial"/>
        </w:rPr>
        <w:t>Cairns expenditure for quarter 5</w:t>
      </w:r>
      <w:r w:rsidR="009A5417">
        <w:rPr>
          <w:rFonts w:cs="Arial"/>
        </w:rPr>
        <w:t>4</w:t>
      </w:r>
      <w:r>
        <w:rPr>
          <w:rFonts w:cs="Arial"/>
        </w:rPr>
        <w:t xml:space="preserve"> </w:t>
      </w:r>
      <w:r w:rsidRPr="006A0DDF">
        <w:rPr>
          <w:rFonts w:cs="Arial"/>
        </w:rPr>
        <w:t xml:space="preserve">compared to </w:t>
      </w:r>
      <w:r>
        <w:rPr>
          <w:rFonts w:cs="Arial"/>
        </w:rPr>
        <w:t xml:space="preserve">the </w:t>
      </w:r>
      <w:r w:rsidRPr="006A0DDF">
        <w:rPr>
          <w:rFonts w:cs="Arial"/>
        </w:rPr>
        <w:t xml:space="preserve">previous </w:t>
      </w:r>
      <w:r>
        <w:rPr>
          <w:rFonts w:cs="Arial"/>
        </w:rPr>
        <w:t>four</w:t>
      </w:r>
      <w:r w:rsidRPr="006A0DDF">
        <w:rPr>
          <w:rFonts w:cs="Arial"/>
        </w:rPr>
        <w:t xml:space="preserve"> quarter</w:t>
      </w:r>
      <w:r>
        <w:rPr>
          <w:rFonts w:cs="Arial"/>
        </w:rPr>
        <w:t>s.</w:t>
      </w:r>
    </w:p>
    <w:p w14:paraId="6776940A" w14:textId="77777777" w:rsidR="001C1891" w:rsidRDefault="001C1891" w:rsidP="001C1891">
      <w:pPr>
        <w:ind w:left="-142" w:right="-425"/>
        <w:jc w:val="both"/>
        <w:rPr>
          <w:rFonts w:cs="Arial"/>
        </w:rPr>
      </w:pPr>
    </w:p>
    <w:p w14:paraId="4B1A3F0A" w14:textId="084A00F2" w:rsidR="001C1891" w:rsidRPr="00E37B61" w:rsidRDefault="001C1891" w:rsidP="001C1891">
      <w:pPr>
        <w:pStyle w:val="TableCaption"/>
        <w:spacing w:before="0"/>
        <w:ind w:left="0" w:right="-425"/>
        <w:rPr>
          <w:b/>
          <w:i w:val="0"/>
          <w:sz w:val="16"/>
        </w:rPr>
      </w:pPr>
      <w:r w:rsidRPr="00E37B61">
        <w:rPr>
          <w:b/>
          <w:i w:val="0"/>
          <w:sz w:val="16"/>
        </w:rPr>
        <w:t xml:space="preserve">Table </w:t>
      </w:r>
      <w:r>
        <w:rPr>
          <w:b/>
          <w:i w:val="0"/>
          <w:sz w:val="16"/>
        </w:rPr>
        <w:t>32</w:t>
      </w:r>
      <w:r w:rsidRPr="00E37B61">
        <w:rPr>
          <w:b/>
          <w:i w:val="0"/>
          <w:sz w:val="16"/>
        </w:rPr>
        <w:t xml:space="preserve">: </w:t>
      </w:r>
      <w:r w:rsidRPr="00E37B61">
        <w:rPr>
          <w:i w:val="0"/>
          <w:sz w:val="16"/>
        </w:rPr>
        <w:t xml:space="preserve">Quarterly operating costs Cairns </w:t>
      </w:r>
      <w:r>
        <w:rPr>
          <w:i w:val="0"/>
          <w:sz w:val="16"/>
        </w:rPr>
        <w:t xml:space="preserve">Registry </w:t>
      </w:r>
      <w:r w:rsidRPr="00E37B61">
        <w:rPr>
          <w:i w:val="0"/>
          <w:sz w:val="16"/>
        </w:rPr>
        <w:t xml:space="preserve">1 </w:t>
      </w:r>
      <w:r>
        <w:rPr>
          <w:i w:val="0"/>
          <w:sz w:val="16"/>
        </w:rPr>
        <w:t xml:space="preserve">October 2020 to 31 December </w:t>
      </w:r>
      <w:r w:rsidRPr="00E37B61">
        <w:rPr>
          <w:i w:val="0"/>
          <w:sz w:val="16"/>
        </w:rPr>
        <w:t>20</w:t>
      </w:r>
      <w:r>
        <w:rPr>
          <w:i w:val="0"/>
          <w:sz w:val="16"/>
        </w:rPr>
        <w:t>21</w:t>
      </w: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1C1891" w:rsidRPr="00920636" w14:paraId="7961F6C5" w14:textId="21CCB596" w:rsidTr="001C1891">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48F142B1" w14:textId="77777777" w:rsidR="001C1891" w:rsidRPr="000F130C" w:rsidRDefault="001C1891" w:rsidP="000B6D24">
            <w:pPr>
              <w:pStyle w:val="TableText"/>
              <w:ind w:left="49"/>
              <w:rPr>
                <w:b/>
                <w:lang w:eastAsia="en-AU"/>
              </w:rPr>
            </w:pPr>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70FDB1CD" w14:textId="77777777" w:rsidR="001C1891" w:rsidRDefault="001C1891" w:rsidP="000B6D24">
            <w:pPr>
              <w:pStyle w:val="TableText"/>
              <w:jc w:val="right"/>
              <w:rPr>
                <w:b/>
                <w:lang w:eastAsia="en-AU"/>
              </w:rPr>
            </w:pPr>
            <w:r>
              <w:rPr>
                <w:b/>
                <w:lang w:eastAsia="en-AU"/>
              </w:rPr>
              <w:t>Qtr 50</w:t>
            </w:r>
          </w:p>
        </w:tc>
        <w:tc>
          <w:tcPr>
            <w:tcW w:w="1250" w:type="dxa"/>
            <w:tcBorders>
              <w:top w:val="single" w:sz="4" w:space="0" w:color="auto"/>
              <w:left w:val="nil"/>
              <w:bottom w:val="single" w:sz="4" w:space="0" w:color="auto"/>
              <w:right w:val="single" w:sz="4" w:space="0" w:color="auto"/>
            </w:tcBorders>
          </w:tcPr>
          <w:p w14:paraId="4F9AF2CB" w14:textId="77777777" w:rsidR="001C1891" w:rsidRDefault="001C1891" w:rsidP="000B6D24">
            <w:pPr>
              <w:pStyle w:val="TableText"/>
              <w:jc w:val="right"/>
              <w:rPr>
                <w:b/>
                <w:lang w:eastAsia="en-AU"/>
              </w:rPr>
            </w:pPr>
            <w:r>
              <w:rPr>
                <w:b/>
                <w:lang w:eastAsia="en-AU"/>
              </w:rPr>
              <w:t>Qtr 51</w:t>
            </w:r>
          </w:p>
        </w:tc>
        <w:tc>
          <w:tcPr>
            <w:tcW w:w="1250" w:type="dxa"/>
            <w:tcBorders>
              <w:top w:val="single" w:sz="4" w:space="0" w:color="auto"/>
              <w:left w:val="nil"/>
              <w:bottom w:val="single" w:sz="4" w:space="0" w:color="auto"/>
              <w:right w:val="single" w:sz="4" w:space="0" w:color="auto"/>
            </w:tcBorders>
          </w:tcPr>
          <w:p w14:paraId="06613030" w14:textId="77777777" w:rsidR="001C1891" w:rsidRDefault="001C1891" w:rsidP="000B6D24">
            <w:pPr>
              <w:pStyle w:val="TableText"/>
              <w:jc w:val="right"/>
              <w:rPr>
                <w:b/>
                <w:lang w:eastAsia="en-AU"/>
              </w:rPr>
            </w:pPr>
            <w:r>
              <w:rPr>
                <w:b/>
                <w:lang w:eastAsia="en-AU"/>
              </w:rPr>
              <w:t>Qtr 52</w:t>
            </w:r>
          </w:p>
        </w:tc>
        <w:tc>
          <w:tcPr>
            <w:tcW w:w="1250" w:type="dxa"/>
            <w:tcBorders>
              <w:top w:val="single" w:sz="4" w:space="0" w:color="auto"/>
              <w:left w:val="nil"/>
              <w:bottom w:val="single" w:sz="4" w:space="0" w:color="auto"/>
              <w:right w:val="single" w:sz="4" w:space="0" w:color="auto"/>
            </w:tcBorders>
          </w:tcPr>
          <w:p w14:paraId="59825E21" w14:textId="77777777" w:rsidR="001C1891" w:rsidRDefault="001C1891" w:rsidP="000B6D24">
            <w:pPr>
              <w:pStyle w:val="TableText"/>
              <w:jc w:val="right"/>
              <w:rPr>
                <w:b/>
                <w:lang w:eastAsia="en-AU"/>
              </w:rPr>
            </w:pPr>
            <w:r>
              <w:rPr>
                <w:b/>
                <w:lang w:eastAsia="en-AU"/>
              </w:rPr>
              <w:t>Qtr 53</w:t>
            </w:r>
          </w:p>
        </w:tc>
        <w:tc>
          <w:tcPr>
            <w:tcW w:w="1250" w:type="dxa"/>
            <w:tcBorders>
              <w:top w:val="single" w:sz="4" w:space="0" w:color="auto"/>
              <w:left w:val="nil"/>
              <w:bottom w:val="single" w:sz="4" w:space="0" w:color="auto"/>
              <w:right w:val="single" w:sz="4" w:space="0" w:color="auto"/>
            </w:tcBorders>
          </w:tcPr>
          <w:p w14:paraId="455F06DF" w14:textId="1BE5F416" w:rsidR="001C1891" w:rsidRDefault="00930451" w:rsidP="000B6D24">
            <w:pPr>
              <w:pStyle w:val="TableText"/>
              <w:jc w:val="right"/>
              <w:rPr>
                <w:b/>
                <w:lang w:eastAsia="en-AU"/>
              </w:rPr>
            </w:pPr>
            <w:r>
              <w:rPr>
                <w:b/>
                <w:lang w:eastAsia="en-AU"/>
              </w:rPr>
              <w:t>Qtr 54</w:t>
            </w:r>
          </w:p>
        </w:tc>
      </w:tr>
      <w:tr w:rsidR="001C1891" w:rsidRPr="00920636" w14:paraId="473CA520" w14:textId="69976882" w:rsidTr="001C1891">
        <w:trPr>
          <w:trHeight w:val="255"/>
        </w:trPr>
        <w:tc>
          <w:tcPr>
            <w:tcW w:w="2596" w:type="dxa"/>
            <w:tcBorders>
              <w:top w:val="nil"/>
              <w:left w:val="single" w:sz="4" w:space="0" w:color="auto"/>
              <w:bottom w:val="single" w:sz="4" w:space="0" w:color="auto"/>
              <w:right w:val="single" w:sz="4" w:space="0" w:color="auto"/>
            </w:tcBorders>
            <w:noWrap/>
          </w:tcPr>
          <w:p w14:paraId="3E44DB27" w14:textId="77777777" w:rsidR="001C1891" w:rsidRPr="00E72DFB" w:rsidRDefault="001C1891" w:rsidP="000B6D24">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vAlign w:val="center"/>
          </w:tcPr>
          <w:p w14:paraId="556D421F" w14:textId="77777777" w:rsidR="001C1891" w:rsidRDefault="001C1891" w:rsidP="000B6D24">
            <w:pPr>
              <w:pStyle w:val="TableText"/>
              <w:jc w:val="right"/>
              <w:rPr>
                <w:lang w:eastAsia="en-AU"/>
              </w:rPr>
            </w:pPr>
            <w:r>
              <w:rPr>
                <w:rFonts w:cs="Arial"/>
              </w:rPr>
              <w:t>$</w:t>
            </w:r>
            <w:r w:rsidRPr="0074086C">
              <w:rPr>
                <w:rFonts w:cs="Arial"/>
              </w:rPr>
              <w:t>2</w:t>
            </w:r>
            <w:r>
              <w:rPr>
                <w:rFonts w:cs="Arial"/>
              </w:rPr>
              <w:t>75</w:t>
            </w:r>
            <w:r w:rsidRPr="0074086C">
              <w:rPr>
                <w:rFonts w:cs="Arial"/>
              </w:rPr>
              <w:t>K</w:t>
            </w:r>
          </w:p>
        </w:tc>
        <w:tc>
          <w:tcPr>
            <w:tcW w:w="1250" w:type="dxa"/>
            <w:tcBorders>
              <w:top w:val="nil"/>
              <w:left w:val="nil"/>
              <w:bottom w:val="single" w:sz="4" w:space="0" w:color="auto"/>
              <w:right w:val="single" w:sz="4" w:space="0" w:color="auto"/>
            </w:tcBorders>
            <w:vAlign w:val="center"/>
          </w:tcPr>
          <w:p w14:paraId="5B8E8F47" w14:textId="77777777" w:rsidR="001C1891" w:rsidRDefault="001C1891" w:rsidP="000B6D24">
            <w:pPr>
              <w:pStyle w:val="TableText"/>
              <w:jc w:val="right"/>
              <w:rPr>
                <w:lang w:eastAsia="en-AU"/>
              </w:rPr>
            </w:pPr>
            <w:r>
              <w:rPr>
                <w:rFonts w:cs="Arial"/>
              </w:rPr>
              <w:t>$</w:t>
            </w:r>
            <w:r w:rsidRPr="0074086C">
              <w:rPr>
                <w:rFonts w:cs="Arial"/>
              </w:rPr>
              <w:t>2</w:t>
            </w:r>
            <w:r>
              <w:rPr>
                <w:rFonts w:cs="Arial"/>
              </w:rPr>
              <w:t>48</w:t>
            </w:r>
            <w:r w:rsidRPr="0074086C">
              <w:rPr>
                <w:rFonts w:cs="Arial"/>
              </w:rPr>
              <w:t>K</w:t>
            </w:r>
          </w:p>
        </w:tc>
        <w:tc>
          <w:tcPr>
            <w:tcW w:w="1250" w:type="dxa"/>
            <w:tcBorders>
              <w:top w:val="nil"/>
              <w:left w:val="nil"/>
              <w:bottom w:val="single" w:sz="4" w:space="0" w:color="auto"/>
              <w:right w:val="single" w:sz="4" w:space="0" w:color="auto"/>
            </w:tcBorders>
            <w:vAlign w:val="center"/>
          </w:tcPr>
          <w:p w14:paraId="071B85D7" w14:textId="77777777" w:rsidR="001C1891" w:rsidRDefault="001C1891" w:rsidP="000B6D24">
            <w:pPr>
              <w:pStyle w:val="TableText"/>
              <w:jc w:val="right"/>
              <w:rPr>
                <w:lang w:eastAsia="en-AU"/>
              </w:rPr>
            </w:pPr>
            <w:r>
              <w:rPr>
                <w:rFonts w:cs="Arial"/>
              </w:rPr>
              <w:t>$</w:t>
            </w:r>
            <w:r w:rsidRPr="0074086C">
              <w:rPr>
                <w:rFonts w:cs="Arial"/>
              </w:rPr>
              <w:t>2</w:t>
            </w:r>
            <w:r>
              <w:rPr>
                <w:rFonts w:cs="Arial"/>
              </w:rPr>
              <w:t>61</w:t>
            </w:r>
            <w:r w:rsidRPr="0074086C">
              <w:rPr>
                <w:rFonts w:cs="Arial"/>
              </w:rPr>
              <w:t>K</w:t>
            </w:r>
          </w:p>
        </w:tc>
        <w:tc>
          <w:tcPr>
            <w:tcW w:w="1250" w:type="dxa"/>
            <w:tcBorders>
              <w:top w:val="nil"/>
              <w:left w:val="nil"/>
              <w:bottom w:val="single" w:sz="4" w:space="0" w:color="auto"/>
              <w:right w:val="single" w:sz="4" w:space="0" w:color="auto"/>
            </w:tcBorders>
            <w:vAlign w:val="center"/>
          </w:tcPr>
          <w:p w14:paraId="45EA43ED" w14:textId="77777777" w:rsidR="001C1891" w:rsidRPr="0074086C" w:rsidRDefault="001C1891" w:rsidP="000B6D24">
            <w:pPr>
              <w:pStyle w:val="TableText"/>
              <w:jc w:val="right"/>
              <w:rPr>
                <w:lang w:eastAsia="en-AU"/>
              </w:rPr>
            </w:pPr>
            <w:r>
              <w:rPr>
                <w:rFonts w:cs="Arial"/>
              </w:rPr>
              <w:t>$</w:t>
            </w:r>
            <w:r w:rsidRPr="0074086C">
              <w:rPr>
                <w:rFonts w:cs="Arial"/>
              </w:rPr>
              <w:t>2</w:t>
            </w:r>
            <w:r>
              <w:rPr>
                <w:rFonts w:cs="Arial"/>
              </w:rPr>
              <w:t>55</w:t>
            </w:r>
            <w:r w:rsidRPr="0074086C">
              <w:rPr>
                <w:rFonts w:cs="Arial"/>
              </w:rPr>
              <w:t>K</w:t>
            </w:r>
          </w:p>
        </w:tc>
        <w:tc>
          <w:tcPr>
            <w:tcW w:w="1250" w:type="dxa"/>
            <w:tcBorders>
              <w:top w:val="nil"/>
              <w:left w:val="nil"/>
              <w:bottom w:val="single" w:sz="4" w:space="0" w:color="auto"/>
              <w:right w:val="single" w:sz="4" w:space="0" w:color="auto"/>
            </w:tcBorders>
          </w:tcPr>
          <w:p w14:paraId="709138B6" w14:textId="154753CE" w:rsidR="001C1891" w:rsidRDefault="00930451" w:rsidP="000B6D24">
            <w:pPr>
              <w:pStyle w:val="TableText"/>
              <w:jc w:val="right"/>
              <w:rPr>
                <w:rFonts w:cs="Arial"/>
              </w:rPr>
            </w:pPr>
            <w:r>
              <w:rPr>
                <w:rFonts w:cs="Arial"/>
              </w:rPr>
              <w:t>$295K</w:t>
            </w:r>
          </w:p>
        </w:tc>
      </w:tr>
      <w:tr w:rsidR="001C1891" w:rsidRPr="00920636" w14:paraId="05173D10" w14:textId="0E399721" w:rsidTr="001C1891">
        <w:trPr>
          <w:trHeight w:val="255"/>
        </w:trPr>
        <w:tc>
          <w:tcPr>
            <w:tcW w:w="2596" w:type="dxa"/>
            <w:tcBorders>
              <w:top w:val="nil"/>
              <w:left w:val="single" w:sz="4" w:space="0" w:color="auto"/>
              <w:bottom w:val="single" w:sz="4" w:space="0" w:color="auto"/>
              <w:right w:val="single" w:sz="4" w:space="0" w:color="auto"/>
            </w:tcBorders>
            <w:noWrap/>
            <w:hideMark/>
          </w:tcPr>
          <w:p w14:paraId="7C97A825" w14:textId="77777777" w:rsidR="001C1891" w:rsidRPr="00E72DFB" w:rsidRDefault="001C1891" w:rsidP="000B6D24">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vAlign w:val="center"/>
          </w:tcPr>
          <w:p w14:paraId="51A229A7" w14:textId="77777777" w:rsidR="001C1891" w:rsidRDefault="001C1891" w:rsidP="000B6D24">
            <w:pPr>
              <w:pStyle w:val="TableText"/>
              <w:jc w:val="right"/>
              <w:rPr>
                <w:lang w:eastAsia="en-AU"/>
              </w:rPr>
            </w:pPr>
            <w:r>
              <w:rPr>
                <w:rFonts w:cs="Arial"/>
              </w:rPr>
              <w:t>$</w:t>
            </w:r>
            <w:r w:rsidRPr="0074086C">
              <w:rPr>
                <w:rFonts w:cs="Arial"/>
              </w:rPr>
              <w:t>2</w:t>
            </w:r>
            <w:r>
              <w:rPr>
                <w:rFonts w:cs="Arial"/>
              </w:rPr>
              <w:t>39</w:t>
            </w:r>
            <w:r w:rsidRPr="0074086C">
              <w:rPr>
                <w:rFonts w:cs="Arial"/>
              </w:rPr>
              <w:t>K</w:t>
            </w:r>
          </w:p>
        </w:tc>
        <w:tc>
          <w:tcPr>
            <w:tcW w:w="1250" w:type="dxa"/>
            <w:tcBorders>
              <w:top w:val="nil"/>
              <w:left w:val="nil"/>
              <w:bottom w:val="single" w:sz="4" w:space="0" w:color="auto"/>
              <w:right w:val="single" w:sz="4" w:space="0" w:color="auto"/>
            </w:tcBorders>
            <w:vAlign w:val="center"/>
          </w:tcPr>
          <w:p w14:paraId="5524D385" w14:textId="77777777" w:rsidR="001C1891" w:rsidRDefault="001C1891" w:rsidP="000B6D24">
            <w:pPr>
              <w:pStyle w:val="TableText"/>
              <w:jc w:val="right"/>
              <w:rPr>
                <w:lang w:eastAsia="en-AU"/>
              </w:rPr>
            </w:pPr>
            <w:r>
              <w:rPr>
                <w:rFonts w:cs="Arial"/>
              </w:rPr>
              <w:t>$308</w:t>
            </w:r>
            <w:r w:rsidRPr="0074086C">
              <w:rPr>
                <w:rFonts w:cs="Arial"/>
              </w:rPr>
              <w:t>K</w:t>
            </w:r>
          </w:p>
        </w:tc>
        <w:tc>
          <w:tcPr>
            <w:tcW w:w="1250" w:type="dxa"/>
            <w:tcBorders>
              <w:top w:val="nil"/>
              <w:left w:val="nil"/>
              <w:bottom w:val="single" w:sz="4" w:space="0" w:color="auto"/>
              <w:right w:val="single" w:sz="4" w:space="0" w:color="auto"/>
            </w:tcBorders>
            <w:vAlign w:val="center"/>
          </w:tcPr>
          <w:p w14:paraId="00D365B8" w14:textId="77777777" w:rsidR="001C1891" w:rsidRDefault="001C1891" w:rsidP="000B6D24">
            <w:pPr>
              <w:pStyle w:val="TableText"/>
              <w:jc w:val="right"/>
              <w:rPr>
                <w:lang w:eastAsia="en-AU"/>
              </w:rPr>
            </w:pPr>
            <w:r>
              <w:rPr>
                <w:rFonts w:cs="Arial"/>
              </w:rPr>
              <w:t>$272</w:t>
            </w:r>
            <w:r w:rsidRPr="0074086C">
              <w:rPr>
                <w:rFonts w:cs="Arial"/>
              </w:rPr>
              <w:t>K</w:t>
            </w:r>
          </w:p>
        </w:tc>
        <w:tc>
          <w:tcPr>
            <w:tcW w:w="1250" w:type="dxa"/>
            <w:tcBorders>
              <w:top w:val="nil"/>
              <w:left w:val="nil"/>
              <w:bottom w:val="single" w:sz="4" w:space="0" w:color="auto"/>
              <w:right w:val="single" w:sz="4" w:space="0" w:color="auto"/>
            </w:tcBorders>
            <w:vAlign w:val="center"/>
          </w:tcPr>
          <w:p w14:paraId="48F1F37F" w14:textId="77777777" w:rsidR="001C1891" w:rsidRPr="0074086C" w:rsidRDefault="001C1891" w:rsidP="000B6D24">
            <w:pPr>
              <w:pStyle w:val="TableText"/>
              <w:jc w:val="right"/>
              <w:rPr>
                <w:lang w:eastAsia="en-AU"/>
              </w:rPr>
            </w:pPr>
            <w:r>
              <w:rPr>
                <w:rFonts w:cs="Arial"/>
              </w:rPr>
              <w:t>$376</w:t>
            </w:r>
            <w:r w:rsidRPr="0074086C">
              <w:rPr>
                <w:rFonts w:cs="Arial"/>
              </w:rPr>
              <w:t>K</w:t>
            </w:r>
          </w:p>
        </w:tc>
        <w:tc>
          <w:tcPr>
            <w:tcW w:w="1250" w:type="dxa"/>
            <w:tcBorders>
              <w:top w:val="nil"/>
              <w:left w:val="nil"/>
              <w:bottom w:val="single" w:sz="4" w:space="0" w:color="auto"/>
              <w:right w:val="single" w:sz="4" w:space="0" w:color="auto"/>
            </w:tcBorders>
          </w:tcPr>
          <w:p w14:paraId="52678DF3" w14:textId="704902D4" w:rsidR="001C1891" w:rsidRDefault="00930451" w:rsidP="000B6D24">
            <w:pPr>
              <w:pStyle w:val="TableText"/>
              <w:jc w:val="right"/>
              <w:rPr>
                <w:rFonts w:cs="Arial"/>
              </w:rPr>
            </w:pPr>
            <w:r>
              <w:rPr>
                <w:rFonts w:cs="Arial"/>
              </w:rPr>
              <w:t>$371K</w:t>
            </w:r>
          </w:p>
        </w:tc>
      </w:tr>
      <w:tr w:rsidR="001C1891" w:rsidRPr="00920636" w14:paraId="154B8EF1" w14:textId="69BD8F9F" w:rsidTr="001C1891">
        <w:trPr>
          <w:trHeight w:val="255"/>
        </w:trPr>
        <w:tc>
          <w:tcPr>
            <w:tcW w:w="2596" w:type="dxa"/>
            <w:tcBorders>
              <w:top w:val="nil"/>
              <w:left w:val="single" w:sz="4" w:space="0" w:color="auto"/>
              <w:bottom w:val="single" w:sz="4" w:space="0" w:color="auto"/>
              <w:right w:val="single" w:sz="4" w:space="0" w:color="auto"/>
            </w:tcBorders>
            <w:noWrap/>
            <w:hideMark/>
          </w:tcPr>
          <w:p w14:paraId="678E394B" w14:textId="77777777" w:rsidR="001C1891" w:rsidRPr="000F130C" w:rsidRDefault="001C1891" w:rsidP="000B6D24">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vAlign w:val="center"/>
          </w:tcPr>
          <w:p w14:paraId="61AB9818" w14:textId="77777777" w:rsidR="001C1891" w:rsidRDefault="001C1891" w:rsidP="000B6D24">
            <w:pPr>
              <w:pStyle w:val="TableText"/>
              <w:jc w:val="right"/>
              <w:rPr>
                <w:b/>
                <w:lang w:eastAsia="en-AU"/>
              </w:rPr>
            </w:pPr>
            <w:r>
              <w:rPr>
                <w:rFonts w:cs="Arial"/>
                <w:b/>
                <w:bCs/>
              </w:rPr>
              <w:t>$</w:t>
            </w:r>
            <w:r w:rsidRPr="0074086C">
              <w:rPr>
                <w:rFonts w:cs="Arial"/>
                <w:b/>
                <w:bCs/>
              </w:rPr>
              <w:t>51</w:t>
            </w:r>
            <w:r>
              <w:rPr>
                <w:rFonts w:cs="Arial"/>
                <w:b/>
                <w:bCs/>
              </w:rPr>
              <w:t>4K</w:t>
            </w:r>
          </w:p>
        </w:tc>
        <w:tc>
          <w:tcPr>
            <w:tcW w:w="1250" w:type="dxa"/>
            <w:tcBorders>
              <w:top w:val="nil"/>
              <w:left w:val="nil"/>
              <w:bottom w:val="single" w:sz="4" w:space="0" w:color="auto"/>
              <w:right w:val="single" w:sz="4" w:space="0" w:color="auto"/>
            </w:tcBorders>
            <w:vAlign w:val="center"/>
          </w:tcPr>
          <w:p w14:paraId="0EF6BEB8" w14:textId="77777777" w:rsidR="001C1891" w:rsidRDefault="001C1891" w:rsidP="000B6D24">
            <w:pPr>
              <w:pStyle w:val="TableText"/>
              <w:jc w:val="right"/>
              <w:rPr>
                <w:b/>
                <w:lang w:eastAsia="en-AU"/>
              </w:rPr>
            </w:pPr>
            <w:r>
              <w:rPr>
                <w:rFonts w:cs="Arial"/>
                <w:b/>
                <w:bCs/>
              </w:rPr>
              <w:t>$</w:t>
            </w:r>
            <w:r w:rsidRPr="0074086C">
              <w:rPr>
                <w:rFonts w:cs="Arial"/>
                <w:b/>
                <w:bCs/>
              </w:rPr>
              <w:t>5</w:t>
            </w:r>
            <w:r>
              <w:rPr>
                <w:rFonts w:cs="Arial"/>
                <w:b/>
                <w:bCs/>
              </w:rPr>
              <w:t>56K</w:t>
            </w:r>
          </w:p>
        </w:tc>
        <w:tc>
          <w:tcPr>
            <w:tcW w:w="1250" w:type="dxa"/>
            <w:tcBorders>
              <w:top w:val="nil"/>
              <w:left w:val="nil"/>
              <w:bottom w:val="single" w:sz="4" w:space="0" w:color="auto"/>
              <w:right w:val="single" w:sz="4" w:space="0" w:color="auto"/>
            </w:tcBorders>
            <w:vAlign w:val="center"/>
          </w:tcPr>
          <w:p w14:paraId="2AFF3ED6" w14:textId="77777777" w:rsidR="001C1891" w:rsidRPr="00EB7A8F" w:rsidRDefault="001C1891" w:rsidP="000B6D24">
            <w:pPr>
              <w:pStyle w:val="TableText"/>
              <w:jc w:val="right"/>
              <w:rPr>
                <w:b/>
                <w:bCs/>
                <w:lang w:eastAsia="en-AU"/>
              </w:rPr>
            </w:pPr>
            <w:r>
              <w:rPr>
                <w:rFonts w:cs="Arial"/>
                <w:b/>
                <w:bCs/>
              </w:rPr>
              <w:t>$</w:t>
            </w:r>
            <w:r w:rsidRPr="0074086C">
              <w:rPr>
                <w:rFonts w:cs="Arial"/>
                <w:b/>
                <w:bCs/>
              </w:rPr>
              <w:t>5</w:t>
            </w:r>
            <w:r>
              <w:rPr>
                <w:rFonts w:cs="Arial"/>
                <w:b/>
                <w:bCs/>
              </w:rPr>
              <w:t>33K</w:t>
            </w:r>
          </w:p>
        </w:tc>
        <w:tc>
          <w:tcPr>
            <w:tcW w:w="1250" w:type="dxa"/>
            <w:tcBorders>
              <w:top w:val="nil"/>
              <w:left w:val="nil"/>
              <w:bottom w:val="single" w:sz="4" w:space="0" w:color="auto"/>
              <w:right w:val="single" w:sz="4" w:space="0" w:color="auto"/>
            </w:tcBorders>
            <w:vAlign w:val="center"/>
          </w:tcPr>
          <w:p w14:paraId="1D1A4EBE" w14:textId="77777777" w:rsidR="001C1891" w:rsidRPr="0074086C" w:rsidRDefault="001C1891" w:rsidP="000B6D24">
            <w:pPr>
              <w:pStyle w:val="TableText"/>
              <w:jc w:val="right"/>
              <w:rPr>
                <w:b/>
                <w:bCs/>
                <w:lang w:eastAsia="en-AU"/>
              </w:rPr>
            </w:pPr>
            <w:r>
              <w:rPr>
                <w:rFonts w:cs="Arial"/>
                <w:b/>
                <w:bCs/>
              </w:rPr>
              <w:t>$631K</w:t>
            </w:r>
          </w:p>
        </w:tc>
        <w:tc>
          <w:tcPr>
            <w:tcW w:w="1250" w:type="dxa"/>
            <w:tcBorders>
              <w:top w:val="nil"/>
              <w:left w:val="nil"/>
              <w:bottom w:val="single" w:sz="4" w:space="0" w:color="auto"/>
              <w:right w:val="single" w:sz="4" w:space="0" w:color="auto"/>
            </w:tcBorders>
          </w:tcPr>
          <w:p w14:paraId="283BB9A1" w14:textId="331669E3" w:rsidR="001C1891" w:rsidRDefault="00930451" w:rsidP="000B6D24">
            <w:pPr>
              <w:pStyle w:val="TableText"/>
              <w:jc w:val="right"/>
              <w:rPr>
                <w:rFonts w:cs="Arial"/>
                <w:b/>
                <w:bCs/>
              </w:rPr>
            </w:pPr>
            <w:r>
              <w:rPr>
                <w:rFonts w:cs="Arial"/>
                <w:b/>
                <w:bCs/>
              </w:rPr>
              <w:t>$666K</w:t>
            </w:r>
          </w:p>
        </w:tc>
      </w:tr>
    </w:tbl>
    <w:p w14:paraId="0EB764B5" w14:textId="77777777" w:rsidR="001C1891" w:rsidRDefault="001C1891" w:rsidP="001C1891">
      <w:pPr>
        <w:ind w:left="-142" w:right="-425"/>
        <w:jc w:val="both"/>
        <w:rPr>
          <w:rFonts w:cs="Arial"/>
        </w:rPr>
      </w:pPr>
    </w:p>
    <w:p w14:paraId="7B5BEA84" w14:textId="77777777" w:rsidR="001C1891" w:rsidRDefault="001C1891" w:rsidP="00994941">
      <w:pPr>
        <w:ind w:left="-142" w:right="-425"/>
        <w:jc w:val="both"/>
        <w:rPr>
          <w:rFonts w:cs="Arial"/>
        </w:rPr>
      </w:pPr>
    </w:p>
    <w:p w14:paraId="553AC359" w14:textId="014076B1" w:rsidR="000541CA" w:rsidRDefault="000541CA" w:rsidP="009C5078">
      <w:pPr>
        <w:ind w:left="-142" w:right="-425"/>
        <w:jc w:val="both"/>
        <w:rPr>
          <w:rFonts w:cs="Arial"/>
        </w:rPr>
      </w:pPr>
      <w:r>
        <w:rPr>
          <w:rFonts w:cs="Arial"/>
        </w:rPr>
        <w:br w:type="page"/>
      </w:r>
    </w:p>
    <w:p w14:paraId="0CFC51BD" w14:textId="7DE8FC1B" w:rsidR="00D017C0" w:rsidRDefault="00D017C0">
      <w:pPr>
        <w:spacing w:line="240" w:lineRule="auto"/>
        <w:rPr>
          <w:rFonts w:cs="Arial"/>
          <w:sz w:val="16"/>
          <w:szCs w:val="16"/>
        </w:rPr>
      </w:pP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D017C0" w:rsidRPr="0056129C" w14:paraId="23D22753" w14:textId="77777777" w:rsidTr="00E37E96">
        <w:trPr>
          <w:trHeight w:val="279"/>
          <w:tblHeader/>
        </w:trPr>
        <w:tc>
          <w:tcPr>
            <w:tcW w:w="1526" w:type="dxa"/>
            <w:tcBorders>
              <w:top w:val="nil"/>
              <w:left w:val="nil"/>
              <w:bottom w:val="nil"/>
              <w:right w:val="nil"/>
            </w:tcBorders>
            <w:shd w:val="clear" w:color="auto" w:fill="auto"/>
            <w:vAlign w:val="center"/>
          </w:tcPr>
          <w:p w14:paraId="7F6BCF4B" w14:textId="77777777" w:rsidR="00D017C0" w:rsidRPr="00E65AEC" w:rsidRDefault="00D017C0" w:rsidP="00E37E96">
            <w:pPr>
              <w:ind w:right="-100"/>
              <w:rPr>
                <w:rFonts w:cs="Arial"/>
                <w:b/>
              </w:rPr>
            </w:pPr>
            <w:r>
              <w:rPr>
                <w:rFonts w:cs="Arial"/>
                <w:b/>
              </w:rPr>
              <w:t xml:space="preserve">APPENDIX </w:t>
            </w:r>
            <w:r w:rsidRPr="00E65AEC">
              <w:rPr>
                <w:rFonts w:cs="Arial"/>
                <w:b/>
              </w:rPr>
              <w:t>A</w:t>
            </w:r>
          </w:p>
        </w:tc>
        <w:tc>
          <w:tcPr>
            <w:tcW w:w="5699" w:type="dxa"/>
            <w:gridSpan w:val="5"/>
            <w:tcBorders>
              <w:top w:val="nil"/>
              <w:left w:val="nil"/>
              <w:bottom w:val="nil"/>
              <w:right w:val="nil"/>
            </w:tcBorders>
            <w:shd w:val="clear" w:color="auto" w:fill="auto"/>
            <w:vAlign w:val="center"/>
          </w:tcPr>
          <w:p w14:paraId="65FC77CA" w14:textId="77777777" w:rsidR="00D017C0" w:rsidRDefault="00D017C0" w:rsidP="00E37E96">
            <w:pPr>
              <w:tabs>
                <w:tab w:val="left" w:pos="6272"/>
              </w:tabs>
              <w:jc w:val="center"/>
              <w:rPr>
                <w:rFonts w:ascii="Arial" w:hAnsi="Arial" w:cs="Arial"/>
                <w:b/>
                <w:bCs/>
                <w:noProof/>
                <w:lang w:val="en-US"/>
              </w:rPr>
            </w:pPr>
          </w:p>
        </w:tc>
        <w:tc>
          <w:tcPr>
            <w:tcW w:w="3633" w:type="dxa"/>
            <w:gridSpan w:val="2"/>
            <w:tcBorders>
              <w:top w:val="nil"/>
              <w:left w:val="nil"/>
              <w:bottom w:val="nil"/>
              <w:right w:val="nil"/>
            </w:tcBorders>
            <w:shd w:val="clear" w:color="auto" w:fill="auto"/>
            <w:vAlign w:val="center"/>
          </w:tcPr>
          <w:p w14:paraId="218C70DA" w14:textId="77777777" w:rsidR="00D017C0" w:rsidRPr="00B22AF8" w:rsidRDefault="00D017C0" w:rsidP="00E37E96">
            <w:pPr>
              <w:jc w:val="right"/>
              <w:rPr>
                <w:noProof/>
                <w:lang w:eastAsia="en-AU"/>
              </w:rPr>
            </w:pPr>
          </w:p>
        </w:tc>
      </w:tr>
      <w:tr w:rsidR="00D017C0" w:rsidRPr="0056129C" w14:paraId="344929DC" w14:textId="77777777" w:rsidTr="00E37E96">
        <w:trPr>
          <w:trHeight w:val="1140"/>
          <w:tblHeader/>
        </w:trPr>
        <w:tc>
          <w:tcPr>
            <w:tcW w:w="1526" w:type="dxa"/>
            <w:tcBorders>
              <w:top w:val="nil"/>
              <w:left w:val="nil"/>
              <w:bottom w:val="single" w:sz="18" w:space="0" w:color="auto"/>
              <w:right w:val="nil"/>
            </w:tcBorders>
            <w:shd w:val="clear" w:color="auto" w:fill="auto"/>
            <w:vAlign w:val="center"/>
          </w:tcPr>
          <w:p w14:paraId="503B639B" w14:textId="7C1B13DC" w:rsidR="00D017C0" w:rsidRPr="0056129C" w:rsidRDefault="00D017C0" w:rsidP="00E37E96">
            <w:pPr>
              <w:ind w:right="-100"/>
              <w:rPr>
                <w:rFonts w:ascii="Arial Narrow" w:hAnsi="Arial Narrow" w:cs="Arial"/>
                <w:b/>
                <w:bCs/>
              </w:rPr>
            </w:pPr>
            <w:r w:rsidRPr="00B9709A">
              <w:rPr>
                <w:rFonts w:cs="Arial"/>
              </w:rPr>
              <w:br w:type="page"/>
            </w:r>
          </w:p>
        </w:tc>
        <w:tc>
          <w:tcPr>
            <w:tcW w:w="7515" w:type="dxa"/>
            <w:gridSpan w:val="6"/>
            <w:tcBorders>
              <w:top w:val="nil"/>
              <w:left w:val="nil"/>
              <w:bottom w:val="single" w:sz="18" w:space="0" w:color="auto"/>
              <w:right w:val="nil"/>
            </w:tcBorders>
            <w:shd w:val="clear" w:color="auto" w:fill="auto"/>
            <w:vAlign w:val="center"/>
          </w:tcPr>
          <w:p w14:paraId="116923F4" w14:textId="11641C9A"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w:t>
            </w:r>
            <w:r w:rsidR="001A5CE8">
              <w:rPr>
                <w:rFonts w:ascii="Arial" w:hAnsi="Arial" w:cs="Arial"/>
                <w:b/>
                <w:bCs/>
                <w:noProof/>
                <w:lang w:val="en-US"/>
              </w:rPr>
              <w:t>20</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24826BE7" w:rsidR="00D017C0" w:rsidRPr="0056129C" w:rsidRDefault="00AD1CD5" w:rsidP="00E37E96">
            <w:pPr>
              <w:jc w:val="center"/>
              <w:rPr>
                <w:rFonts w:ascii="Arial Narrow" w:hAnsi="Arial Narrow" w:cs="Arial"/>
                <w:b/>
                <w:bCs/>
              </w:rPr>
            </w:pPr>
            <w:r>
              <w:rPr>
                <w:rFonts w:ascii="Arial" w:hAnsi="Arial" w:cs="Arial"/>
                <w:b/>
                <w:bCs/>
                <w:noProof/>
                <w:lang w:val="en-US"/>
              </w:rPr>
              <w:t xml:space="preserve">1 </w:t>
            </w:r>
            <w:r w:rsidR="009A305D">
              <w:rPr>
                <w:rFonts w:ascii="Arial" w:hAnsi="Arial" w:cs="Arial"/>
                <w:b/>
                <w:bCs/>
                <w:noProof/>
                <w:lang w:val="en-US"/>
              </w:rPr>
              <w:t xml:space="preserve">July </w:t>
            </w:r>
            <w:r>
              <w:rPr>
                <w:rFonts w:ascii="Arial" w:hAnsi="Arial" w:cs="Arial"/>
                <w:b/>
                <w:bCs/>
                <w:noProof/>
                <w:lang w:val="en-US"/>
              </w:rPr>
              <w:t>2021 to 3</w:t>
            </w:r>
            <w:r w:rsidR="009A305D">
              <w:rPr>
                <w:rFonts w:ascii="Arial" w:hAnsi="Arial" w:cs="Arial"/>
                <w:b/>
                <w:bCs/>
                <w:noProof/>
                <w:lang w:val="en-US"/>
              </w:rPr>
              <w:t>1 December</w:t>
            </w:r>
            <w:r w:rsidR="00087193">
              <w:rPr>
                <w:rFonts w:ascii="Arial" w:hAnsi="Arial" w:cs="Arial"/>
                <w:b/>
                <w:bCs/>
                <w:noProof/>
                <w:lang w:val="en-US"/>
              </w:rPr>
              <w:t xml:space="preserve"> </w:t>
            </w:r>
            <w:r>
              <w:rPr>
                <w:rFonts w:ascii="Arial" w:hAnsi="Arial" w:cs="Arial"/>
                <w:b/>
                <w:bCs/>
                <w:noProof/>
                <w:lang w:val="en-US"/>
              </w:rPr>
              <w:t>2021</w:t>
            </w:r>
          </w:p>
        </w:tc>
        <w:tc>
          <w:tcPr>
            <w:tcW w:w="1817" w:type="dxa"/>
            <w:tcBorders>
              <w:top w:val="nil"/>
              <w:left w:val="nil"/>
              <w:bottom w:val="single" w:sz="18" w:space="0" w:color="auto"/>
              <w:right w:val="nil"/>
            </w:tcBorders>
            <w:shd w:val="clear" w:color="auto" w:fill="auto"/>
            <w:vAlign w:val="center"/>
          </w:tcPr>
          <w:p w14:paraId="79EDD674" w14:textId="35D5EBCA" w:rsidR="00D017C0" w:rsidRPr="0056129C" w:rsidRDefault="00D017C0" w:rsidP="00E37E96">
            <w:pPr>
              <w:jc w:val="right"/>
              <w:rPr>
                <w:rFonts w:ascii="Arial Narrow" w:hAnsi="Arial Narrow" w:cs="Arial"/>
                <w:b/>
                <w:bCs/>
              </w:rPr>
            </w:pPr>
          </w:p>
        </w:tc>
      </w:tr>
      <w:tr w:rsidR="00D017C0" w:rsidRPr="00BC2C5D" w14:paraId="2D8D131F" w14:textId="77777777" w:rsidTr="002B2062">
        <w:trPr>
          <w:trHeight w:val="567"/>
          <w:tblHeader/>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EB0D94" w:rsidRPr="00BC2C5D" w14:paraId="137E730A" w14:textId="77777777" w:rsidTr="002B2062">
        <w:trPr>
          <w:trHeight w:val="567"/>
        </w:trPr>
        <w:tc>
          <w:tcPr>
            <w:tcW w:w="1526"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65E1622C" w:rsidR="00EB0D94" w:rsidRPr="00A634FA" w:rsidRDefault="002758AF" w:rsidP="00EB0D94">
            <w:pPr>
              <w:jc w:val="center"/>
              <w:rPr>
                <w:rFonts w:ascii="Arial Narrow" w:hAnsi="Arial Narrow" w:cs="Arial"/>
                <w:sz w:val="16"/>
                <w:szCs w:val="16"/>
              </w:rPr>
            </w:pPr>
            <w:r>
              <w:rPr>
                <w:rFonts w:ascii="Arial Narrow" w:hAnsi="Arial Narrow" w:cs="Arial"/>
                <w:sz w:val="16"/>
                <w:szCs w:val="16"/>
              </w:rPr>
              <w:t>5 July</w:t>
            </w:r>
          </w:p>
        </w:tc>
        <w:tc>
          <w:tcPr>
            <w:tcW w:w="105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77777777" w:rsidR="00EB0D94" w:rsidRPr="00A634FA" w:rsidRDefault="00EB0D94"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0CA05DD5" w:rsidR="00EB0D94" w:rsidRPr="008805E5" w:rsidRDefault="00EB0D94" w:rsidP="00EB0D94">
            <w:pPr>
              <w:jc w:val="center"/>
              <w:rPr>
                <w:rFonts w:ascii="Arial Narrow" w:hAnsi="Arial Narrow"/>
                <w:color w:val="31849B"/>
                <w:sz w:val="16"/>
                <w:szCs w:val="16"/>
              </w:rPr>
            </w:pPr>
            <w:r w:rsidRPr="008805E5">
              <w:rPr>
                <w:rFonts w:ascii="Arial Narrow" w:hAnsi="Arial Narrow"/>
                <w:color w:val="31849B"/>
                <w:sz w:val="16"/>
                <w:szCs w:val="16"/>
              </w:rPr>
              <w:t>Cooktown Circuit</w:t>
            </w:r>
          </w:p>
        </w:tc>
      </w:tr>
      <w:tr w:rsidR="00AD390B" w:rsidRPr="00BC2C5D" w14:paraId="7C66C142" w14:textId="77777777" w:rsidTr="00654C4B">
        <w:trPr>
          <w:trHeight w:val="31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750FF1B7" w14:textId="0FE3104E" w:rsidR="00AD390B" w:rsidRPr="00A634FA" w:rsidRDefault="00AD390B" w:rsidP="00EB0D94">
            <w:pPr>
              <w:jc w:val="center"/>
              <w:rPr>
                <w:rFonts w:ascii="Arial Narrow" w:hAnsi="Arial Narrow" w:cs="Arial"/>
                <w:sz w:val="16"/>
                <w:szCs w:val="16"/>
              </w:rPr>
            </w:pPr>
            <w:r>
              <w:rPr>
                <w:rFonts w:ascii="Arial Narrow" w:hAnsi="Arial Narrow" w:cs="Arial"/>
                <w:sz w:val="16"/>
                <w:szCs w:val="16"/>
              </w:rPr>
              <w:t>12 July</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7FB8E453" w14:textId="77777777" w:rsidR="00AD390B" w:rsidRPr="004E471D" w:rsidRDefault="00AD390B" w:rsidP="00EB0D94">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731C4540" w14:textId="75BE94BD" w:rsidR="00AD390B" w:rsidRPr="00BC42F7" w:rsidRDefault="00432E06" w:rsidP="00EB0D94">
            <w:pPr>
              <w:jc w:val="center"/>
              <w:rPr>
                <w:rFonts w:ascii="Arial Narrow" w:hAnsi="Arial Narrow" w:cs="Arial"/>
                <w:b/>
                <w:bCs/>
                <w:sz w:val="16"/>
                <w:szCs w:val="16"/>
              </w:rPr>
            </w:pPr>
            <w:r w:rsidRPr="00BC42F7">
              <w:rPr>
                <w:rFonts w:ascii="Arial Narrow" w:hAnsi="Arial Narrow" w:cs="Arial"/>
                <w:b/>
                <w:bCs/>
                <w:sz w:val="16"/>
                <w:szCs w:val="16"/>
              </w:rPr>
              <w:t>13</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1E99A741" w14:textId="319C126D" w:rsidR="00AD390B" w:rsidRPr="00BC42F7" w:rsidRDefault="00432E06" w:rsidP="00EB0D94">
            <w:pPr>
              <w:jc w:val="center"/>
              <w:rPr>
                <w:rFonts w:ascii="Arial Narrow" w:hAnsi="Arial Narrow" w:cs="Arial"/>
                <w:b/>
                <w:bCs/>
                <w:sz w:val="16"/>
                <w:szCs w:val="16"/>
              </w:rPr>
            </w:pPr>
            <w:r w:rsidRPr="00BC42F7">
              <w:rPr>
                <w:rFonts w:ascii="Arial Narrow" w:hAnsi="Arial Narrow" w:cs="Arial"/>
                <w:b/>
                <w:bCs/>
                <w:sz w:val="16"/>
                <w:szCs w:val="16"/>
              </w:rPr>
              <w:t>14</w:t>
            </w:r>
          </w:p>
        </w:tc>
        <w:tc>
          <w:tcPr>
            <w:tcW w:w="1162" w:type="dxa"/>
            <w:vMerge w:val="restart"/>
            <w:tcBorders>
              <w:top w:val="single" w:sz="18" w:space="0" w:color="C0C0C0"/>
              <w:left w:val="single" w:sz="18" w:space="0" w:color="C0C0C0"/>
              <w:right w:val="single" w:sz="18" w:space="0" w:color="C0C0C0"/>
            </w:tcBorders>
            <w:shd w:val="clear" w:color="auto" w:fill="auto"/>
            <w:vAlign w:val="center"/>
          </w:tcPr>
          <w:p w14:paraId="07B23DF6" w14:textId="77777777" w:rsidR="00AD390B" w:rsidRPr="00F2298F" w:rsidRDefault="00AD390B" w:rsidP="00EB0D94">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BFFB592" w14:textId="6F79948D" w:rsidR="00AD390B" w:rsidRPr="007B3063" w:rsidRDefault="00AD390B" w:rsidP="00EB0D94">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76C82F22" w14:textId="193D2768" w:rsidR="00AD390B" w:rsidRPr="00BB36D8" w:rsidRDefault="00AD390B" w:rsidP="00EB0D94">
            <w:pPr>
              <w:jc w:val="center"/>
              <w:rPr>
                <w:rFonts w:ascii="Arial Narrow" w:hAnsi="Arial Narrow"/>
                <w:sz w:val="16"/>
                <w:szCs w:val="16"/>
              </w:rPr>
            </w:pPr>
            <w:r w:rsidRPr="00BB36D8">
              <w:rPr>
                <w:rFonts w:ascii="Arial Narrow" w:hAnsi="Arial Narrow" w:cs="Arial"/>
                <w:sz w:val="16"/>
                <w:szCs w:val="16"/>
                <w:highlight w:val="yellow"/>
              </w:rPr>
              <w:t>16 Cairns Show Day</w:t>
            </w:r>
          </w:p>
          <w:p w14:paraId="14CDA60F" w14:textId="77777777" w:rsidR="00AD390B" w:rsidRDefault="00AD390B" w:rsidP="00EB0D94">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p w14:paraId="304C5BB3" w14:textId="1A109C89" w:rsidR="00AD390B" w:rsidRPr="008805E5" w:rsidRDefault="00AD390B" w:rsidP="00EB0D94">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AD390B" w:rsidRPr="00BC2C5D" w14:paraId="75F1B730"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67DA3A63" w14:textId="77777777" w:rsidR="00AD390B" w:rsidRDefault="00AD390B"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39FED237" w14:textId="77777777" w:rsidR="00AD390B" w:rsidRPr="004E471D" w:rsidRDefault="00AD390B" w:rsidP="00EB0D94">
            <w:pPr>
              <w:jc w:val="center"/>
              <w:rPr>
                <w:rFonts w:ascii="Arial Narrow" w:hAnsi="Arial Narrow" w:cs="Arial"/>
                <w:sz w:val="16"/>
                <w:szCs w:val="16"/>
              </w:rPr>
            </w:pPr>
          </w:p>
        </w:tc>
        <w:tc>
          <w:tcPr>
            <w:tcW w:w="1162" w:type="dxa"/>
            <w:tcBorders>
              <w:top w:val="nil"/>
              <w:left w:val="single" w:sz="18" w:space="0" w:color="C0C0C0"/>
              <w:bottom w:val="single" w:sz="18" w:space="0" w:color="BFBFBF"/>
              <w:right w:val="single" w:sz="18" w:space="0" w:color="BFBFBF"/>
            </w:tcBorders>
            <w:shd w:val="clear" w:color="auto" w:fill="76923C"/>
            <w:vAlign w:val="center"/>
          </w:tcPr>
          <w:p w14:paraId="7FD3512F" w14:textId="2C853692" w:rsidR="00AD390B" w:rsidRPr="00BC42F7" w:rsidRDefault="00432E06" w:rsidP="00EB0D94">
            <w:pPr>
              <w:jc w:val="center"/>
              <w:rPr>
                <w:rFonts w:ascii="Arial Narrow" w:hAnsi="Arial Narrow" w:cs="Arial"/>
                <w:b/>
                <w:bCs/>
                <w:sz w:val="16"/>
                <w:szCs w:val="16"/>
              </w:rPr>
            </w:pPr>
            <w:r w:rsidRPr="00BC42F7">
              <w:rPr>
                <w:rFonts w:ascii="Arial Narrow" w:hAnsi="Arial Narrow" w:cs="Arial"/>
                <w:b/>
                <w:bCs/>
                <w:sz w:val="16"/>
                <w:szCs w:val="16"/>
              </w:rPr>
              <w:t>13</w:t>
            </w:r>
          </w:p>
        </w:tc>
        <w:tc>
          <w:tcPr>
            <w:tcW w:w="1162" w:type="dxa"/>
            <w:vMerge/>
            <w:tcBorders>
              <w:left w:val="single" w:sz="18" w:space="0" w:color="BFBFBF"/>
              <w:bottom w:val="single" w:sz="18" w:space="0" w:color="BFBFBF"/>
              <w:right w:val="single" w:sz="18" w:space="0" w:color="C0C0C0"/>
            </w:tcBorders>
            <w:shd w:val="clear" w:color="auto" w:fill="auto"/>
            <w:vAlign w:val="center"/>
          </w:tcPr>
          <w:p w14:paraId="68DE63AB" w14:textId="77777777" w:rsidR="00AD390B" w:rsidRPr="00BC42F7" w:rsidRDefault="00AD390B" w:rsidP="00EB0D94">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36A29108" w14:textId="77777777" w:rsidR="00AD390B" w:rsidRPr="00F2298F" w:rsidRDefault="00AD390B" w:rsidP="00EB0D94">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15A2A7B1" w14:textId="77777777" w:rsidR="00AD390B" w:rsidRPr="004E471D" w:rsidRDefault="00AD390B" w:rsidP="00EB0D94">
            <w:pPr>
              <w:jc w:val="center"/>
              <w:rPr>
                <w:rFonts w:ascii="Arial Narrow" w:hAnsi="Arial Narrow" w:cs="Arial"/>
                <w:color w:val="FF0000"/>
                <w:sz w:val="16"/>
                <w:szCs w:val="16"/>
                <w:highlight w:val="yellow"/>
              </w:rPr>
            </w:pPr>
          </w:p>
        </w:tc>
        <w:tc>
          <w:tcPr>
            <w:tcW w:w="3633" w:type="dxa"/>
            <w:gridSpan w:val="2"/>
            <w:vMerge/>
            <w:tcBorders>
              <w:left w:val="single" w:sz="18" w:space="0" w:color="auto"/>
              <w:right w:val="single" w:sz="18" w:space="0" w:color="auto"/>
            </w:tcBorders>
            <w:shd w:val="clear" w:color="auto" w:fill="auto"/>
            <w:vAlign w:val="center"/>
          </w:tcPr>
          <w:p w14:paraId="1C07E53B" w14:textId="77777777" w:rsidR="00AD390B" w:rsidRPr="00BB36D8" w:rsidRDefault="00AD390B" w:rsidP="00EB0D94">
            <w:pPr>
              <w:jc w:val="center"/>
              <w:rPr>
                <w:rFonts w:ascii="Arial Narrow" w:hAnsi="Arial Narrow" w:cs="Arial"/>
                <w:sz w:val="16"/>
                <w:szCs w:val="16"/>
                <w:highlight w:val="yellow"/>
              </w:rPr>
            </w:pPr>
          </w:p>
        </w:tc>
      </w:tr>
      <w:tr w:rsidR="00AD390B" w:rsidRPr="00BC2C5D" w14:paraId="5BA53CBD" w14:textId="77777777" w:rsidTr="00654C4B">
        <w:trPr>
          <w:trHeight w:val="284"/>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0D10FC03" w14:textId="402EDCD9" w:rsidR="00AD390B" w:rsidRPr="00A634FA" w:rsidRDefault="00AD390B" w:rsidP="00C344F6">
            <w:pPr>
              <w:jc w:val="center"/>
              <w:rPr>
                <w:rFonts w:ascii="Arial Narrow" w:hAnsi="Arial Narrow" w:cs="Arial"/>
                <w:sz w:val="16"/>
                <w:szCs w:val="16"/>
              </w:rPr>
            </w:pPr>
            <w:r>
              <w:rPr>
                <w:rFonts w:ascii="Arial Narrow" w:hAnsi="Arial Narrow" w:cs="Arial"/>
                <w:sz w:val="16"/>
                <w:szCs w:val="16"/>
              </w:rPr>
              <w:t>19 July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5FA0BC74" w14:textId="47CFB0E2" w:rsidR="00AD390B" w:rsidRPr="00F10DE3" w:rsidRDefault="00AD390B" w:rsidP="00C344F6">
            <w:pPr>
              <w:jc w:val="center"/>
              <w:rPr>
                <w:rFonts w:ascii="Arial Narrow" w:hAnsi="Arial Narrow" w:cs="Arial"/>
                <w:sz w:val="16"/>
                <w:szCs w:val="16"/>
              </w:rPr>
            </w:pPr>
            <w:r w:rsidRPr="00C45F66">
              <w:rPr>
                <w:rFonts w:ascii="Arial Narrow" w:hAnsi="Arial Narrow" w:cs="Arial"/>
                <w:sz w:val="16"/>
                <w:szCs w:val="16"/>
                <w:highlight w:val="yellow"/>
              </w:rPr>
              <w:t>Public Holiday</w:t>
            </w:r>
          </w:p>
        </w:tc>
        <w:tc>
          <w:tcPr>
            <w:tcW w:w="1162" w:type="dxa"/>
            <w:tcBorders>
              <w:top w:val="single" w:sz="18" w:space="0" w:color="BFBFBF"/>
              <w:left w:val="single" w:sz="18" w:space="0" w:color="C0C0C0"/>
              <w:bottom w:val="nil"/>
              <w:right w:val="single" w:sz="18" w:space="0" w:color="BFBFBF"/>
              <w:tr2bl w:val="nil"/>
            </w:tcBorders>
            <w:shd w:val="clear" w:color="auto" w:fill="A972A9"/>
            <w:vAlign w:val="center"/>
          </w:tcPr>
          <w:p w14:paraId="346AA547" w14:textId="62CE0325"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20</w:t>
            </w:r>
          </w:p>
        </w:tc>
        <w:tc>
          <w:tcPr>
            <w:tcW w:w="1162" w:type="dxa"/>
            <w:vMerge w:val="restart"/>
            <w:tcBorders>
              <w:top w:val="single" w:sz="18" w:space="0" w:color="BFBFBF"/>
              <w:left w:val="single" w:sz="18" w:space="0" w:color="BFBFBF"/>
              <w:right w:val="single" w:sz="18" w:space="0" w:color="C0C0C0"/>
            </w:tcBorders>
            <w:shd w:val="clear" w:color="auto" w:fill="A972A9"/>
            <w:vAlign w:val="center"/>
          </w:tcPr>
          <w:p w14:paraId="7A536749" w14:textId="5016E502"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21</w:t>
            </w:r>
          </w:p>
        </w:tc>
        <w:tc>
          <w:tcPr>
            <w:tcW w:w="1162" w:type="dxa"/>
            <w:vMerge w:val="restart"/>
            <w:tcBorders>
              <w:top w:val="single" w:sz="18" w:space="0" w:color="BFBFBF"/>
              <w:left w:val="single" w:sz="18" w:space="0" w:color="C0C0C0"/>
              <w:right w:val="single" w:sz="18" w:space="0" w:color="C0C0C0"/>
            </w:tcBorders>
            <w:shd w:val="clear" w:color="auto" w:fill="auto"/>
            <w:vAlign w:val="center"/>
          </w:tcPr>
          <w:p w14:paraId="6CAE5B32" w14:textId="35AB4059" w:rsidR="00AD390B" w:rsidRPr="00F2298F" w:rsidRDefault="00AD390B" w:rsidP="00C344F6">
            <w:pPr>
              <w:jc w:val="center"/>
              <w:rPr>
                <w:rFonts w:ascii="Arial Narrow" w:hAnsi="Arial Narrow" w:cs="Arial"/>
                <w:sz w:val="16"/>
                <w:szCs w:val="16"/>
              </w:rPr>
            </w:pP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77ED7AC8" w14:textId="6F79FB51" w:rsidR="00AD390B" w:rsidRPr="00534C70" w:rsidRDefault="00AD390B" w:rsidP="00C344F6">
            <w:pPr>
              <w:jc w:val="center"/>
              <w:rPr>
                <w:rFonts w:ascii="Arial Narrow" w:hAnsi="Arial Narrow" w:cs="Arial"/>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6C8C40F7" w14:textId="48D48189" w:rsidR="00AD390B" w:rsidRPr="00BB36D8" w:rsidRDefault="00AD390B" w:rsidP="00C344F6">
            <w:pPr>
              <w:jc w:val="center"/>
              <w:rPr>
                <w:rFonts w:ascii="Arial Narrow" w:hAnsi="Arial Narrow"/>
                <w:sz w:val="16"/>
                <w:szCs w:val="16"/>
              </w:rPr>
            </w:pPr>
            <w:r>
              <w:rPr>
                <w:rFonts w:ascii="Arial Narrow" w:hAnsi="Arial Narrow" w:cs="Arial"/>
                <w:sz w:val="16"/>
                <w:szCs w:val="16"/>
                <w:highlight w:val="yellow"/>
              </w:rPr>
              <w:t>19 Mossman</w:t>
            </w:r>
            <w:r w:rsidRPr="00BB36D8">
              <w:rPr>
                <w:rFonts w:ascii="Arial Narrow" w:hAnsi="Arial Narrow" w:cs="Arial"/>
                <w:sz w:val="16"/>
                <w:szCs w:val="16"/>
                <w:highlight w:val="yellow"/>
              </w:rPr>
              <w:t xml:space="preserve"> Show Day</w:t>
            </w:r>
          </w:p>
        </w:tc>
      </w:tr>
      <w:tr w:rsidR="00AD390B" w:rsidRPr="00BC2C5D" w14:paraId="389D7C46"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3A26B319" w14:textId="77777777" w:rsidR="00AD390B" w:rsidRDefault="00AD390B"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79B19F3E" w14:textId="77777777" w:rsidR="00AD390B" w:rsidRPr="00C45F66" w:rsidRDefault="00AD390B" w:rsidP="00C344F6">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r2bl w:val="nil"/>
            </w:tcBorders>
            <w:shd w:val="clear" w:color="auto" w:fill="31849B"/>
            <w:vAlign w:val="center"/>
          </w:tcPr>
          <w:p w14:paraId="2E371392" w14:textId="172B6BC4"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20</w:t>
            </w:r>
          </w:p>
        </w:tc>
        <w:tc>
          <w:tcPr>
            <w:tcW w:w="1162" w:type="dxa"/>
            <w:vMerge/>
            <w:tcBorders>
              <w:left w:val="single" w:sz="18" w:space="0" w:color="BFBFBF"/>
              <w:right w:val="single" w:sz="18" w:space="0" w:color="C0C0C0"/>
            </w:tcBorders>
            <w:shd w:val="clear" w:color="auto" w:fill="auto"/>
            <w:vAlign w:val="center"/>
          </w:tcPr>
          <w:p w14:paraId="11F6A03C" w14:textId="77777777" w:rsidR="00AD390B" w:rsidRPr="00BC42F7" w:rsidRDefault="00AD390B" w:rsidP="00C344F6">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3D6DC941" w14:textId="77777777" w:rsidR="00AD390B" w:rsidRPr="00BC42F7" w:rsidRDefault="00AD390B" w:rsidP="00C344F6">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37CEA9F1" w14:textId="77777777" w:rsidR="00AD390B" w:rsidRPr="00534C70" w:rsidRDefault="00AD390B"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0E5A488A" w14:textId="77777777" w:rsidR="00AD390B" w:rsidRDefault="00AD390B" w:rsidP="00C344F6">
            <w:pPr>
              <w:jc w:val="center"/>
              <w:rPr>
                <w:rFonts w:ascii="Arial Narrow" w:hAnsi="Arial Narrow" w:cs="Arial"/>
                <w:sz w:val="16"/>
                <w:szCs w:val="16"/>
                <w:highlight w:val="yellow"/>
              </w:rPr>
            </w:pPr>
          </w:p>
        </w:tc>
      </w:tr>
      <w:tr w:rsidR="00AD390B" w:rsidRPr="00BC2C5D" w14:paraId="3FC520FE" w14:textId="77777777" w:rsidTr="00654C4B">
        <w:trPr>
          <w:trHeight w:val="284"/>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6D1805FC" w14:textId="5751DB68" w:rsidR="00AD390B" w:rsidRPr="00A634FA" w:rsidRDefault="00AD390B" w:rsidP="00C344F6">
            <w:pPr>
              <w:jc w:val="center"/>
              <w:rPr>
                <w:rFonts w:ascii="Arial Narrow" w:hAnsi="Arial Narrow" w:cs="Arial"/>
                <w:sz w:val="16"/>
                <w:szCs w:val="16"/>
              </w:rPr>
            </w:pPr>
            <w:r>
              <w:rPr>
                <w:rFonts w:ascii="Arial Narrow" w:hAnsi="Arial Narrow" w:cs="Arial"/>
                <w:sz w:val="16"/>
                <w:szCs w:val="16"/>
              </w:rPr>
              <w:t>26 July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4DAA80E5" w14:textId="4D14B982" w:rsidR="00AD390B" w:rsidRPr="00F10DE3" w:rsidRDefault="00AD390B" w:rsidP="00C344F6">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r2bl w:val="nil"/>
            </w:tcBorders>
            <w:shd w:val="clear" w:color="auto" w:fill="FF0000"/>
            <w:vAlign w:val="center"/>
          </w:tcPr>
          <w:p w14:paraId="211F9DD8" w14:textId="04F47A3C"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27</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54F73A57" w14:textId="336359E7"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28</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2B85F166" w14:textId="20187C88"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29</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4C8AAF12" w14:textId="6BB98184" w:rsidR="00AD390B" w:rsidRPr="00534C70" w:rsidRDefault="00AD390B" w:rsidP="00C344F6">
            <w:pPr>
              <w:jc w:val="center"/>
              <w:rPr>
                <w:rFonts w:ascii="Arial Narrow" w:hAnsi="Arial Narrow" w:cs="Arial"/>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4A692BE1" w14:textId="688C53FE" w:rsidR="00AD390B" w:rsidRPr="008805E5" w:rsidRDefault="00AD390B" w:rsidP="00C344F6">
            <w:pPr>
              <w:jc w:val="center"/>
              <w:rPr>
                <w:rFonts w:ascii="Arial Narrow" w:hAnsi="Arial Narrow" w:cs="Arial"/>
                <w:sz w:val="16"/>
                <w:szCs w:val="16"/>
              </w:rPr>
            </w:pPr>
            <w:r>
              <w:rPr>
                <w:rFonts w:ascii="Arial Narrow" w:hAnsi="Arial Narrow" w:cs="Arial"/>
                <w:color w:val="244061"/>
                <w:sz w:val="16"/>
                <w:szCs w:val="16"/>
              </w:rPr>
              <w:t>Estimates: Wednesday 28/07/2021 – Friday 30/07/2021</w:t>
            </w:r>
          </w:p>
        </w:tc>
      </w:tr>
      <w:tr w:rsidR="00AD390B" w:rsidRPr="00BC2C5D" w14:paraId="3A25854D"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797BABE1" w14:textId="77777777" w:rsidR="00AD390B" w:rsidRDefault="00AD390B"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187DCD81" w14:textId="77777777" w:rsidR="00AD390B" w:rsidRPr="00F10DE3" w:rsidRDefault="00AD390B" w:rsidP="00C344F6">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BFBFBF"/>
              <w:tr2bl w:val="nil"/>
            </w:tcBorders>
            <w:shd w:val="clear" w:color="auto" w:fill="FFFF00"/>
            <w:vAlign w:val="center"/>
          </w:tcPr>
          <w:p w14:paraId="2D417D98" w14:textId="10617BD5"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27</w:t>
            </w:r>
          </w:p>
        </w:tc>
        <w:tc>
          <w:tcPr>
            <w:tcW w:w="1162" w:type="dxa"/>
            <w:vMerge/>
            <w:tcBorders>
              <w:left w:val="single" w:sz="18" w:space="0" w:color="BFBFBF"/>
              <w:right w:val="single" w:sz="18" w:space="0" w:color="C0C0C0"/>
            </w:tcBorders>
            <w:shd w:val="clear" w:color="auto" w:fill="auto"/>
            <w:vAlign w:val="center"/>
          </w:tcPr>
          <w:p w14:paraId="447BFEBE" w14:textId="77777777" w:rsidR="00AD390B" w:rsidRPr="00BC42F7" w:rsidRDefault="00AD390B" w:rsidP="00C344F6">
            <w:pPr>
              <w:jc w:val="center"/>
              <w:rPr>
                <w:rFonts w:ascii="Arial Narrow" w:hAnsi="Arial Narrow" w:cs="Arial"/>
                <w:b/>
                <w:bCs/>
                <w:sz w:val="16"/>
                <w:szCs w:val="16"/>
              </w:rPr>
            </w:pPr>
          </w:p>
        </w:tc>
        <w:tc>
          <w:tcPr>
            <w:tcW w:w="1162" w:type="dxa"/>
            <w:tcBorders>
              <w:top w:val="nil"/>
              <w:left w:val="single" w:sz="18" w:space="0" w:color="C0C0C0"/>
              <w:bottom w:val="single" w:sz="18" w:space="0" w:color="auto"/>
              <w:right w:val="single" w:sz="18" w:space="0" w:color="C0C0C0"/>
            </w:tcBorders>
            <w:shd w:val="clear" w:color="auto" w:fill="76923C"/>
            <w:vAlign w:val="center"/>
          </w:tcPr>
          <w:p w14:paraId="63E8A6A6" w14:textId="29D39111"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29</w:t>
            </w:r>
          </w:p>
        </w:tc>
        <w:tc>
          <w:tcPr>
            <w:tcW w:w="1162" w:type="dxa"/>
            <w:vMerge/>
            <w:tcBorders>
              <w:left w:val="single" w:sz="18" w:space="0" w:color="C0C0C0"/>
              <w:right w:val="single" w:sz="18" w:space="0" w:color="auto"/>
            </w:tcBorders>
            <w:shd w:val="clear" w:color="auto" w:fill="auto"/>
            <w:vAlign w:val="center"/>
          </w:tcPr>
          <w:p w14:paraId="6F4E1029" w14:textId="77777777" w:rsidR="00AD390B" w:rsidRPr="00534C70" w:rsidRDefault="00AD390B"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20CED747" w14:textId="77777777" w:rsidR="00AD390B" w:rsidRDefault="00AD390B" w:rsidP="00C344F6">
            <w:pPr>
              <w:jc w:val="center"/>
              <w:rPr>
                <w:rFonts w:ascii="Arial Narrow" w:hAnsi="Arial Narrow" w:cs="Arial"/>
                <w:color w:val="244061"/>
                <w:sz w:val="16"/>
                <w:szCs w:val="16"/>
              </w:rPr>
            </w:pPr>
          </w:p>
        </w:tc>
      </w:tr>
      <w:tr w:rsidR="00C344F6" w:rsidRPr="00BC2C5D" w14:paraId="20327535" w14:textId="77777777" w:rsidTr="00654C4B">
        <w:trPr>
          <w:trHeight w:val="567"/>
        </w:trPr>
        <w:tc>
          <w:tcPr>
            <w:tcW w:w="1526" w:type="dxa"/>
            <w:tcBorders>
              <w:top w:val="single" w:sz="18" w:space="0" w:color="auto"/>
              <w:left w:val="single" w:sz="18" w:space="0" w:color="auto"/>
              <w:right w:val="single" w:sz="18" w:space="0" w:color="C0C0C0"/>
            </w:tcBorders>
            <w:shd w:val="clear" w:color="auto" w:fill="auto"/>
            <w:vAlign w:val="center"/>
          </w:tcPr>
          <w:p w14:paraId="088F8A57" w14:textId="7351D672" w:rsidR="00C344F6" w:rsidRPr="00A634FA" w:rsidRDefault="00C344F6" w:rsidP="00C344F6">
            <w:pPr>
              <w:jc w:val="center"/>
              <w:rPr>
                <w:rFonts w:ascii="Arial Narrow" w:hAnsi="Arial Narrow" w:cs="Arial"/>
                <w:sz w:val="16"/>
                <w:szCs w:val="16"/>
              </w:rPr>
            </w:pPr>
            <w:r>
              <w:rPr>
                <w:rFonts w:ascii="Arial Narrow" w:hAnsi="Arial Narrow" w:cs="Arial"/>
                <w:sz w:val="16"/>
                <w:szCs w:val="16"/>
              </w:rPr>
              <w:t>2 August</w:t>
            </w:r>
          </w:p>
        </w:tc>
        <w:tc>
          <w:tcPr>
            <w:tcW w:w="1051" w:type="dxa"/>
            <w:tcBorders>
              <w:top w:val="single" w:sz="18" w:space="0" w:color="auto"/>
              <w:left w:val="single" w:sz="18" w:space="0" w:color="C0C0C0"/>
              <w:right w:val="single" w:sz="18" w:space="0" w:color="C0C0C0"/>
            </w:tcBorders>
            <w:shd w:val="clear" w:color="auto" w:fill="auto"/>
            <w:vAlign w:val="center"/>
          </w:tcPr>
          <w:p w14:paraId="05BAEBD3" w14:textId="77777777" w:rsidR="00C344F6" w:rsidRPr="00F10DE3" w:rsidRDefault="00C344F6" w:rsidP="00C344F6">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BFBFBF"/>
            </w:tcBorders>
            <w:shd w:val="clear" w:color="auto" w:fill="A972A9"/>
            <w:vAlign w:val="center"/>
          </w:tcPr>
          <w:p w14:paraId="6EF5A450" w14:textId="3471156A" w:rsidR="00C344F6"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3</w:t>
            </w:r>
          </w:p>
        </w:tc>
        <w:tc>
          <w:tcPr>
            <w:tcW w:w="1162" w:type="dxa"/>
            <w:tcBorders>
              <w:top w:val="single" w:sz="18" w:space="0" w:color="auto"/>
              <w:left w:val="single" w:sz="18" w:space="0" w:color="BFBFBF"/>
              <w:right w:val="single" w:sz="18" w:space="0" w:color="C0C0C0"/>
            </w:tcBorders>
            <w:shd w:val="clear" w:color="auto" w:fill="A972A9"/>
            <w:vAlign w:val="center"/>
          </w:tcPr>
          <w:p w14:paraId="0A6FAB85" w14:textId="7913C13D" w:rsidR="00432E06"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4</w:t>
            </w:r>
          </w:p>
          <w:p w14:paraId="60AD86C6" w14:textId="714F4DFC" w:rsidR="00C344F6" w:rsidRPr="00BC42F7" w:rsidRDefault="00C344F6" w:rsidP="00C344F6">
            <w:pPr>
              <w:jc w:val="center"/>
              <w:rPr>
                <w:rFonts w:ascii="Arial Narrow" w:hAnsi="Arial Narrow" w:cs="Arial"/>
                <w:b/>
                <w:bCs/>
                <w:sz w:val="16"/>
                <w:szCs w:val="16"/>
              </w:rPr>
            </w:pPr>
            <w:r w:rsidRPr="00BC42F7">
              <w:rPr>
                <w:rFonts w:ascii="Arial Narrow" w:hAnsi="Arial Narrow" w:cs="Arial"/>
                <w:b/>
                <w:bCs/>
                <w:sz w:val="16"/>
                <w:szCs w:val="16"/>
                <w:highlight w:val="yellow"/>
              </w:rPr>
              <w:t>Public Holiday</w:t>
            </w:r>
          </w:p>
        </w:tc>
        <w:tc>
          <w:tcPr>
            <w:tcW w:w="1162" w:type="dxa"/>
            <w:tcBorders>
              <w:top w:val="single" w:sz="18" w:space="0" w:color="auto"/>
              <w:left w:val="single" w:sz="18" w:space="0" w:color="C0C0C0"/>
              <w:right w:val="single" w:sz="18" w:space="0" w:color="C0C0C0"/>
            </w:tcBorders>
            <w:shd w:val="clear" w:color="auto" w:fill="auto"/>
            <w:vAlign w:val="center"/>
          </w:tcPr>
          <w:p w14:paraId="7C18418D" w14:textId="0ACA201F" w:rsidR="00C344F6" w:rsidRPr="00F2298F" w:rsidRDefault="00C344F6" w:rsidP="00C344F6">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auto"/>
            </w:tcBorders>
            <w:shd w:val="clear" w:color="auto" w:fill="auto"/>
            <w:vAlign w:val="center"/>
          </w:tcPr>
          <w:p w14:paraId="4997C671" w14:textId="77777777" w:rsidR="00C344F6" w:rsidRPr="00F10DE3" w:rsidRDefault="00C344F6" w:rsidP="00C344F6">
            <w:pPr>
              <w:jc w:val="center"/>
              <w:rPr>
                <w:rFonts w:ascii="Arial Narrow" w:hAnsi="Arial Narrow" w:cs="Arial"/>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6CC9B69F" w14:textId="62F6F474" w:rsidR="00C344F6" w:rsidRDefault="00C344F6" w:rsidP="00C344F6">
            <w:pPr>
              <w:jc w:val="center"/>
              <w:rPr>
                <w:rFonts w:ascii="Arial Narrow" w:hAnsi="Arial Narrow" w:cs="Arial"/>
                <w:color w:val="244061"/>
                <w:sz w:val="16"/>
                <w:szCs w:val="16"/>
              </w:rPr>
            </w:pPr>
            <w:r>
              <w:rPr>
                <w:rFonts w:ascii="Arial Narrow" w:hAnsi="Arial Narrow" w:cs="Arial"/>
                <w:sz w:val="16"/>
                <w:szCs w:val="16"/>
                <w:highlight w:val="yellow"/>
              </w:rPr>
              <w:t>4 Aurukun</w:t>
            </w:r>
            <w:r w:rsidRPr="00BB36D8">
              <w:rPr>
                <w:rFonts w:ascii="Arial Narrow" w:hAnsi="Arial Narrow" w:cs="Arial"/>
                <w:sz w:val="16"/>
                <w:szCs w:val="16"/>
                <w:highlight w:val="yellow"/>
              </w:rPr>
              <w:t xml:space="preserve"> Day</w:t>
            </w:r>
          </w:p>
          <w:p w14:paraId="71568B7F" w14:textId="3DCE4576" w:rsidR="00C344F6" w:rsidRPr="008805E5" w:rsidRDefault="00C344F6" w:rsidP="00C344F6">
            <w:pPr>
              <w:jc w:val="center"/>
              <w:rPr>
                <w:rFonts w:ascii="Arial Narrow" w:hAnsi="Arial Narrow"/>
                <w:color w:val="31849B"/>
                <w:sz w:val="16"/>
                <w:szCs w:val="16"/>
              </w:rPr>
            </w:pPr>
            <w:r w:rsidRPr="008805E5">
              <w:rPr>
                <w:rFonts w:ascii="Arial Narrow" w:hAnsi="Arial Narrow"/>
                <w:color w:val="31849B"/>
                <w:sz w:val="16"/>
                <w:szCs w:val="16"/>
              </w:rPr>
              <w:t>Cooktown Circuit</w:t>
            </w:r>
          </w:p>
        </w:tc>
      </w:tr>
      <w:tr w:rsidR="00AD390B" w:rsidRPr="00BC2C5D" w14:paraId="34AF6A84" w14:textId="77777777" w:rsidTr="00654C4B">
        <w:trPr>
          <w:trHeight w:val="508"/>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4FAF7AB5" w:rsidR="00AD390B" w:rsidRDefault="00AD390B" w:rsidP="00C344F6">
            <w:pPr>
              <w:jc w:val="center"/>
              <w:rPr>
                <w:rFonts w:ascii="Arial Narrow" w:hAnsi="Arial Narrow" w:cs="Arial"/>
                <w:sz w:val="16"/>
                <w:szCs w:val="16"/>
              </w:rPr>
            </w:pPr>
            <w:r>
              <w:rPr>
                <w:rFonts w:ascii="Arial Narrow" w:hAnsi="Arial Narrow" w:cs="Arial"/>
                <w:sz w:val="16"/>
                <w:szCs w:val="16"/>
              </w:rPr>
              <w:t>9 August</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1044A681" w14:textId="77777777" w:rsidR="00AD390B" w:rsidRPr="00F10DE3" w:rsidRDefault="00AD390B" w:rsidP="00C344F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34B4531E" w14:textId="167FF4D5"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10</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04E57ED8" w14:textId="45F4308D"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11</w:t>
            </w:r>
          </w:p>
        </w:tc>
        <w:tc>
          <w:tcPr>
            <w:tcW w:w="1162"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733FC8E2" w14:textId="05EA1574"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12</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AD390B" w:rsidRPr="00F10DE3" w:rsidRDefault="00AD390B" w:rsidP="00C344F6">
            <w:pPr>
              <w:jc w:val="center"/>
              <w:rPr>
                <w:rFonts w:ascii="Arial Narrow" w:hAnsi="Arial Narrow" w:cs="Arial"/>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7E015525" w14:textId="6CD94868" w:rsidR="00AD390B" w:rsidRDefault="00AD390B" w:rsidP="00C344F6">
            <w:pPr>
              <w:jc w:val="center"/>
              <w:rPr>
                <w:rFonts w:ascii="Arial Narrow" w:hAnsi="Arial Narrow" w:cs="Arial"/>
                <w:color w:val="244061"/>
                <w:sz w:val="16"/>
                <w:szCs w:val="16"/>
              </w:rPr>
            </w:pPr>
            <w:r>
              <w:rPr>
                <w:rFonts w:ascii="Arial Narrow" w:hAnsi="Arial Narrow" w:cs="Arial"/>
                <w:color w:val="244061"/>
                <w:sz w:val="16"/>
                <w:szCs w:val="16"/>
              </w:rPr>
              <w:t>Estimates: Tuesday 10/08/2021 – Friday 13/08/2021</w:t>
            </w:r>
          </w:p>
          <w:p w14:paraId="05E696AE" w14:textId="26833622" w:rsidR="00AD390B" w:rsidRDefault="00AD390B" w:rsidP="00C344F6">
            <w:pPr>
              <w:jc w:val="center"/>
              <w:rPr>
                <w:rFonts w:ascii="Arial Narrow" w:hAnsi="Arial Narrow" w:cs="Arial"/>
                <w:color w:val="244061"/>
                <w:sz w:val="16"/>
                <w:szCs w:val="16"/>
              </w:rPr>
            </w:pPr>
            <w:r>
              <w:rPr>
                <w:rFonts w:ascii="Arial Narrow" w:hAnsi="Arial Narrow" w:cs="Arial"/>
                <w:color w:val="244061"/>
                <w:sz w:val="16"/>
                <w:szCs w:val="16"/>
              </w:rPr>
              <w:t>12-15 Mount Isa Mines Rodeo</w:t>
            </w:r>
          </w:p>
          <w:p w14:paraId="01E78366" w14:textId="77777777" w:rsidR="00AD390B" w:rsidRDefault="00AD390B" w:rsidP="00C344F6">
            <w:pPr>
              <w:jc w:val="center"/>
              <w:rPr>
                <w:rFonts w:ascii="Arial Narrow" w:hAnsi="Arial Narrow"/>
                <w:color w:val="31849B"/>
                <w:sz w:val="16"/>
                <w:szCs w:val="16"/>
              </w:rPr>
            </w:pPr>
            <w:r w:rsidRPr="008805E5">
              <w:rPr>
                <w:rFonts w:ascii="Arial Narrow" w:hAnsi="Arial Narrow"/>
                <w:color w:val="31849B"/>
                <w:sz w:val="16"/>
                <w:szCs w:val="16"/>
              </w:rPr>
              <w:t>Aurukun Cape B Circuit</w:t>
            </w:r>
          </w:p>
          <w:p w14:paraId="37A79FEF" w14:textId="29A8A00C" w:rsidR="00AD390B" w:rsidRPr="008805E5" w:rsidRDefault="00AD390B" w:rsidP="00C344F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AD390B" w:rsidRPr="00BC2C5D" w14:paraId="69C8E77A"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7A8FF299" w14:textId="77777777" w:rsidR="00AD390B" w:rsidRDefault="00AD390B"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7F5AE03F" w14:textId="77777777" w:rsidR="00AD390B" w:rsidRPr="00F10DE3" w:rsidRDefault="00AD390B" w:rsidP="00C344F6">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5C59DD13" w14:textId="4BCCEB0D"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10</w:t>
            </w:r>
          </w:p>
        </w:tc>
        <w:tc>
          <w:tcPr>
            <w:tcW w:w="1162" w:type="dxa"/>
            <w:vMerge/>
            <w:tcBorders>
              <w:left w:val="single" w:sz="18" w:space="0" w:color="BFBFBF"/>
              <w:right w:val="single" w:sz="18" w:space="0" w:color="C0C0C0"/>
            </w:tcBorders>
            <w:shd w:val="clear" w:color="auto" w:fill="auto"/>
            <w:vAlign w:val="center"/>
          </w:tcPr>
          <w:p w14:paraId="7E831C68" w14:textId="77777777" w:rsidR="00AD390B" w:rsidRPr="00BC42F7" w:rsidRDefault="00AD390B" w:rsidP="00C344F6">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06E5C150" w14:textId="77777777" w:rsidR="00AD390B" w:rsidRPr="00BC42F7" w:rsidRDefault="00AD390B" w:rsidP="00C344F6">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3735D389" w14:textId="77777777" w:rsidR="00AD390B" w:rsidRPr="00F10DE3" w:rsidRDefault="00AD390B"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2700EE76" w14:textId="77777777" w:rsidR="00AD390B" w:rsidRDefault="00AD390B" w:rsidP="00C344F6">
            <w:pPr>
              <w:jc w:val="center"/>
              <w:rPr>
                <w:rFonts w:ascii="Arial Narrow" w:hAnsi="Arial Narrow" w:cs="Arial"/>
                <w:color w:val="244061"/>
                <w:sz w:val="16"/>
                <w:szCs w:val="16"/>
              </w:rPr>
            </w:pPr>
          </w:p>
        </w:tc>
      </w:tr>
      <w:tr w:rsidR="00AD390B" w:rsidRPr="00BC2C5D" w14:paraId="2980BC10" w14:textId="77777777" w:rsidTr="00654C4B">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AC745A6" w14:textId="2131ABCF" w:rsidR="00AD390B" w:rsidRPr="00A634FA" w:rsidRDefault="00AD390B" w:rsidP="00C344F6">
            <w:pPr>
              <w:jc w:val="center"/>
              <w:rPr>
                <w:rFonts w:ascii="Arial Narrow" w:hAnsi="Arial Narrow" w:cs="Arial"/>
                <w:sz w:val="16"/>
                <w:szCs w:val="16"/>
              </w:rPr>
            </w:pPr>
            <w:r>
              <w:rPr>
                <w:rFonts w:ascii="Arial Narrow" w:hAnsi="Arial Narrow" w:cs="Arial"/>
                <w:sz w:val="16"/>
                <w:szCs w:val="16"/>
              </w:rPr>
              <w:t>16 August</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59C7D183" w14:textId="77777777" w:rsidR="00AD390B" w:rsidRPr="00F10DE3" w:rsidRDefault="00AD390B" w:rsidP="00C344F6">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61BD711E" w14:textId="0E39548A"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17</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3BA986A2" w14:textId="5101D59B"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18</w:t>
            </w:r>
          </w:p>
        </w:tc>
        <w:tc>
          <w:tcPr>
            <w:tcW w:w="1162" w:type="dxa"/>
            <w:vMerge w:val="restart"/>
            <w:tcBorders>
              <w:top w:val="single" w:sz="18" w:space="0" w:color="C0C0C0"/>
              <w:left w:val="single" w:sz="18" w:space="0" w:color="C0C0C0"/>
              <w:right w:val="single" w:sz="18" w:space="0" w:color="C0C0C0"/>
            </w:tcBorders>
            <w:shd w:val="clear" w:color="auto" w:fill="auto"/>
            <w:vAlign w:val="center"/>
          </w:tcPr>
          <w:p w14:paraId="719EBC8E" w14:textId="6D3CC240" w:rsidR="00AD390B" w:rsidRPr="00F2298F" w:rsidRDefault="00AD390B" w:rsidP="00C344F6">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71B48D44" w14:textId="77777777" w:rsidR="00AD390B" w:rsidRPr="00F10DE3" w:rsidRDefault="00AD390B" w:rsidP="00C344F6">
            <w:pPr>
              <w:jc w:val="center"/>
              <w:rPr>
                <w:rFonts w:ascii="Arial Narrow" w:hAnsi="Arial Narrow" w:cs="Arial"/>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69C694F" w14:textId="459780C0" w:rsidR="00AD390B" w:rsidRPr="008805E5" w:rsidRDefault="00AD390B" w:rsidP="00C344F6">
            <w:pPr>
              <w:jc w:val="center"/>
              <w:rPr>
                <w:rFonts w:ascii="Arial Narrow" w:hAnsi="Arial Narrow"/>
                <w:sz w:val="16"/>
                <w:szCs w:val="16"/>
              </w:rPr>
            </w:pPr>
          </w:p>
        </w:tc>
      </w:tr>
      <w:tr w:rsidR="00AD390B" w:rsidRPr="00BC2C5D" w14:paraId="017E0B9D"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7BF920C2" w14:textId="77777777" w:rsidR="00AD390B" w:rsidRDefault="00AD390B"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1F6AA9B1" w14:textId="77777777" w:rsidR="00AD390B" w:rsidRPr="00F10DE3" w:rsidRDefault="00AD390B" w:rsidP="00C344F6">
            <w:pPr>
              <w:jc w:val="center"/>
              <w:rPr>
                <w:rFonts w:ascii="Arial Narrow" w:hAnsi="Arial Narrow" w:cs="Arial"/>
                <w:sz w:val="16"/>
                <w:szCs w:val="16"/>
              </w:rPr>
            </w:pPr>
          </w:p>
        </w:tc>
        <w:tc>
          <w:tcPr>
            <w:tcW w:w="1162" w:type="dxa"/>
            <w:tcBorders>
              <w:top w:val="nil"/>
              <w:left w:val="single" w:sz="18" w:space="0" w:color="C0C0C0"/>
              <w:bottom w:val="single" w:sz="18" w:space="0" w:color="BFBFBF"/>
              <w:right w:val="single" w:sz="18" w:space="0" w:color="BFBFBF"/>
            </w:tcBorders>
            <w:shd w:val="clear" w:color="auto" w:fill="31849B"/>
            <w:vAlign w:val="center"/>
          </w:tcPr>
          <w:p w14:paraId="59FC9E7A" w14:textId="141BF870"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17</w:t>
            </w:r>
          </w:p>
        </w:tc>
        <w:tc>
          <w:tcPr>
            <w:tcW w:w="1162" w:type="dxa"/>
            <w:vMerge/>
            <w:tcBorders>
              <w:left w:val="single" w:sz="18" w:space="0" w:color="BFBFBF"/>
              <w:right w:val="single" w:sz="18" w:space="0" w:color="C0C0C0"/>
            </w:tcBorders>
            <w:shd w:val="clear" w:color="auto" w:fill="auto"/>
            <w:vAlign w:val="center"/>
          </w:tcPr>
          <w:p w14:paraId="4B588A7B" w14:textId="77777777" w:rsidR="00AD390B" w:rsidRPr="00BC42F7" w:rsidRDefault="00AD390B" w:rsidP="00C344F6">
            <w:pPr>
              <w:jc w:val="center"/>
              <w:rPr>
                <w:rFonts w:ascii="Arial Narrow" w:hAnsi="Arial Narrow" w:cs="Arial"/>
                <w:b/>
                <w:bCs/>
                <w:sz w:val="16"/>
                <w:szCs w:val="16"/>
              </w:rPr>
            </w:pPr>
          </w:p>
        </w:tc>
        <w:tc>
          <w:tcPr>
            <w:tcW w:w="1162" w:type="dxa"/>
            <w:vMerge/>
            <w:tcBorders>
              <w:left w:val="single" w:sz="18" w:space="0" w:color="C0C0C0"/>
              <w:bottom w:val="single" w:sz="18" w:space="0" w:color="C0C0C0"/>
              <w:right w:val="single" w:sz="18" w:space="0" w:color="C0C0C0"/>
            </w:tcBorders>
            <w:shd w:val="clear" w:color="auto" w:fill="auto"/>
            <w:vAlign w:val="center"/>
          </w:tcPr>
          <w:p w14:paraId="1EC57A8F" w14:textId="77777777" w:rsidR="00AD390B" w:rsidRPr="00BC42F7" w:rsidRDefault="00AD390B" w:rsidP="00C344F6">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18FB8CAE" w14:textId="77777777" w:rsidR="00AD390B" w:rsidRPr="00F10DE3" w:rsidRDefault="00AD390B"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0550A2B1" w14:textId="77777777" w:rsidR="00AD390B" w:rsidRPr="008805E5" w:rsidRDefault="00AD390B" w:rsidP="00C344F6">
            <w:pPr>
              <w:jc w:val="center"/>
              <w:rPr>
                <w:rFonts w:ascii="Arial Narrow" w:hAnsi="Arial Narrow"/>
                <w:sz w:val="16"/>
                <w:szCs w:val="16"/>
              </w:rPr>
            </w:pPr>
          </w:p>
        </w:tc>
      </w:tr>
      <w:tr w:rsidR="00AD390B" w:rsidRPr="00BC2C5D" w14:paraId="3066009B" w14:textId="77777777" w:rsidTr="00654C4B">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ABB8CC6" w14:textId="2155623C" w:rsidR="00AD390B" w:rsidRPr="00A634FA" w:rsidRDefault="00AD390B" w:rsidP="00C344F6">
            <w:pPr>
              <w:jc w:val="center"/>
              <w:rPr>
                <w:rFonts w:ascii="Arial Narrow" w:hAnsi="Arial Narrow" w:cs="Arial"/>
                <w:sz w:val="16"/>
                <w:szCs w:val="16"/>
              </w:rPr>
            </w:pPr>
            <w:r>
              <w:rPr>
                <w:rFonts w:ascii="Arial Narrow" w:hAnsi="Arial Narrow" w:cs="Arial"/>
                <w:sz w:val="16"/>
                <w:szCs w:val="16"/>
              </w:rPr>
              <w:t>23 August</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18147567" w14:textId="77777777" w:rsidR="00AD390B" w:rsidRPr="00F10DE3" w:rsidRDefault="00AD390B" w:rsidP="00C344F6">
            <w:pPr>
              <w:jc w:val="center"/>
              <w:rPr>
                <w:rFonts w:ascii="Arial Narrow" w:hAnsi="Arial Narrow" w:cs="Arial"/>
                <w:sz w:val="16"/>
                <w:szCs w:val="16"/>
              </w:rPr>
            </w:pPr>
          </w:p>
        </w:tc>
        <w:tc>
          <w:tcPr>
            <w:tcW w:w="1162" w:type="dxa"/>
            <w:tcBorders>
              <w:top w:val="single" w:sz="18" w:space="0" w:color="BFBFBF"/>
              <w:left w:val="single" w:sz="18" w:space="0" w:color="C0C0C0"/>
              <w:bottom w:val="nil"/>
              <w:right w:val="single" w:sz="18" w:space="0" w:color="BFBFBF"/>
            </w:tcBorders>
            <w:shd w:val="clear" w:color="auto" w:fill="FF0000"/>
            <w:vAlign w:val="center"/>
          </w:tcPr>
          <w:p w14:paraId="63E8B25A" w14:textId="31D9E459"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24</w:t>
            </w:r>
          </w:p>
        </w:tc>
        <w:tc>
          <w:tcPr>
            <w:tcW w:w="1162" w:type="dxa"/>
            <w:tcBorders>
              <w:top w:val="single" w:sz="18" w:space="0" w:color="BFBFBF"/>
              <w:left w:val="single" w:sz="18" w:space="0" w:color="BFBFBF"/>
              <w:bottom w:val="nil"/>
              <w:right w:val="single" w:sz="18" w:space="0" w:color="C0C0C0"/>
            </w:tcBorders>
            <w:shd w:val="clear" w:color="auto" w:fill="FF0000"/>
            <w:vAlign w:val="center"/>
          </w:tcPr>
          <w:p w14:paraId="710F20E7" w14:textId="2C069418"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25</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6C6E2192" w14:textId="5D9FE4B4"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26</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80ACE5B" w14:textId="412413AA" w:rsidR="00AD390B" w:rsidRPr="00F10DE3" w:rsidRDefault="00AD390B" w:rsidP="00C344F6">
            <w:pPr>
              <w:jc w:val="center"/>
              <w:rPr>
                <w:rFonts w:ascii="Arial Narrow" w:hAnsi="Arial Narrow" w:cs="Arial"/>
                <w:sz w:val="16"/>
                <w:szCs w:val="16"/>
              </w:rPr>
            </w:pPr>
            <w:r w:rsidRPr="00C45F66">
              <w:rPr>
                <w:rFonts w:ascii="Arial Narrow" w:hAnsi="Arial Narrow" w:cs="Arial"/>
                <w:sz w:val="16"/>
                <w:szCs w:val="16"/>
                <w:highlight w:val="yellow"/>
              </w:rPr>
              <w:t>Public Holiday</w:t>
            </w: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19B5DB0" w14:textId="0464C54A" w:rsidR="00AD390B" w:rsidRPr="00BB36D8" w:rsidRDefault="00AD390B" w:rsidP="00C344F6">
            <w:pPr>
              <w:jc w:val="center"/>
              <w:rPr>
                <w:rFonts w:ascii="Arial Narrow" w:hAnsi="Arial Narrow" w:cs="Arial"/>
                <w:color w:val="244061"/>
                <w:sz w:val="16"/>
                <w:szCs w:val="16"/>
              </w:rPr>
            </w:pPr>
            <w:r>
              <w:rPr>
                <w:rFonts w:ascii="Arial Narrow" w:hAnsi="Arial Narrow" w:cs="Arial"/>
                <w:sz w:val="16"/>
                <w:szCs w:val="16"/>
                <w:highlight w:val="yellow"/>
              </w:rPr>
              <w:t xml:space="preserve">27 Doomadgee </w:t>
            </w:r>
            <w:r w:rsidRPr="00BB36D8">
              <w:rPr>
                <w:rFonts w:ascii="Arial Narrow" w:hAnsi="Arial Narrow" w:cs="Arial"/>
                <w:sz w:val="16"/>
                <w:szCs w:val="16"/>
                <w:highlight w:val="yellow"/>
              </w:rPr>
              <w:t>Day</w:t>
            </w:r>
          </w:p>
        </w:tc>
      </w:tr>
      <w:tr w:rsidR="00AD390B" w:rsidRPr="00BC2C5D" w14:paraId="1635A0C4" w14:textId="77777777" w:rsidTr="00654C4B">
        <w:trPr>
          <w:trHeight w:val="284"/>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7A48D453" w14:textId="77777777" w:rsidR="00AD390B" w:rsidRDefault="00AD390B" w:rsidP="00C344F6">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5706788D" w14:textId="77777777" w:rsidR="00AD390B" w:rsidRPr="00F10DE3" w:rsidRDefault="00AD390B" w:rsidP="00C344F6">
            <w:pPr>
              <w:jc w:val="center"/>
              <w:rPr>
                <w:rFonts w:ascii="Arial Narrow" w:hAnsi="Arial Narrow" w:cs="Arial"/>
                <w:sz w:val="16"/>
                <w:szCs w:val="16"/>
              </w:rPr>
            </w:pPr>
          </w:p>
        </w:tc>
        <w:tc>
          <w:tcPr>
            <w:tcW w:w="1162" w:type="dxa"/>
            <w:tcBorders>
              <w:top w:val="nil"/>
              <w:left w:val="single" w:sz="18" w:space="0" w:color="C0C0C0"/>
              <w:bottom w:val="single" w:sz="18" w:space="0" w:color="BFBFBF" w:themeColor="background1" w:themeShade="BF"/>
              <w:right w:val="single" w:sz="18" w:space="0" w:color="BFBFBF"/>
            </w:tcBorders>
            <w:shd w:val="clear" w:color="auto" w:fill="FFFF00"/>
            <w:vAlign w:val="center"/>
          </w:tcPr>
          <w:p w14:paraId="2E4B9191" w14:textId="736F858B"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24</w:t>
            </w:r>
          </w:p>
        </w:tc>
        <w:tc>
          <w:tcPr>
            <w:tcW w:w="1162" w:type="dxa"/>
            <w:tcBorders>
              <w:top w:val="nil"/>
              <w:left w:val="single" w:sz="18" w:space="0" w:color="BFBFBF"/>
              <w:bottom w:val="single" w:sz="18" w:space="0" w:color="BFBFBF" w:themeColor="background1" w:themeShade="BF"/>
              <w:right w:val="single" w:sz="18" w:space="0" w:color="C0C0C0"/>
            </w:tcBorders>
            <w:shd w:val="clear" w:color="auto" w:fill="76923C"/>
            <w:vAlign w:val="center"/>
          </w:tcPr>
          <w:p w14:paraId="241C2113" w14:textId="350C3072"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25</w:t>
            </w:r>
          </w:p>
        </w:tc>
        <w:tc>
          <w:tcPr>
            <w:tcW w:w="1162" w:type="dxa"/>
            <w:tcBorders>
              <w:top w:val="nil"/>
              <w:left w:val="single" w:sz="18" w:space="0" w:color="C0C0C0"/>
              <w:bottom w:val="single" w:sz="18" w:space="0" w:color="BFBFBF" w:themeColor="background1" w:themeShade="BF"/>
              <w:right w:val="single" w:sz="18" w:space="0" w:color="C0C0C0"/>
            </w:tcBorders>
            <w:shd w:val="clear" w:color="auto" w:fill="76923C"/>
            <w:vAlign w:val="center"/>
          </w:tcPr>
          <w:p w14:paraId="662D8E9F" w14:textId="0FD0C52A"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26</w:t>
            </w: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7CC556DB" w14:textId="77777777" w:rsidR="00AD390B" w:rsidRPr="00C45F66" w:rsidRDefault="00AD390B" w:rsidP="00C344F6">
            <w:pPr>
              <w:jc w:val="center"/>
              <w:rPr>
                <w:rFonts w:ascii="Arial Narrow" w:hAnsi="Arial Narrow" w:cs="Arial"/>
                <w:sz w:val="16"/>
                <w:szCs w:val="16"/>
                <w:highlight w:val="yellow"/>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39A1FB62" w14:textId="77777777" w:rsidR="00AD390B" w:rsidRDefault="00AD390B" w:rsidP="00C344F6">
            <w:pPr>
              <w:jc w:val="center"/>
              <w:rPr>
                <w:rFonts w:ascii="Arial Narrow" w:hAnsi="Arial Narrow" w:cs="Arial"/>
                <w:sz w:val="16"/>
                <w:szCs w:val="16"/>
                <w:highlight w:val="yellow"/>
              </w:rPr>
            </w:pPr>
          </w:p>
        </w:tc>
      </w:tr>
      <w:tr w:rsidR="00C344F6" w:rsidRPr="00BC2C5D" w14:paraId="4F42726F" w14:textId="77777777" w:rsidTr="00C4166C">
        <w:trPr>
          <w:trHeight w:val="567"/>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547AAE0E" w14:textId="02F9248C" w:rsidR="00C344F6" w:rsidRPr="00A634FA" w:rsidRDefault="00C344F6" w:rsidP="00C344F6">
            <w:pPr>
              <w:jc w:val="center"/>
              <w:rPr>
                <w:rFonts w:ascii="Arial Narrow" w:hAnsi="Arial Narrow" w:cs="Arial"/>
                <w:sz w:val="16"/>
                <w:szCs w:val="16"/>
              </w:rPr>
            </w:pPr>
            <w:r>
              <w:rPr>
                <w:rFonts w:ascii="Arial Narrow" w:hAnsi="Arial Narrow" w:cs="Arial"/>
                <w:sz w:val="16"/>
                <w:szCs w:val="16"/>
              </w:rPr>
              <w:t>30 August</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auto"/>
            <w:vAlign w:val="center"/>
          </w:tcPr>
          <w:p w14:paraId="01743E49" w14:textId="77777777" w:rsidR="00C344F6" w:rsidRPr="00F10DE3" w:rsidRDefault="00C344F6" w:rsidP="00C344F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auto"/>
            <w:vAlign w:val="center"/>
          </w:tcPr>
          <w:p w14:paraId="638618E9" w14:textId="0D363DA4" w:rsidR="00C344F6" w:rsidRPr="00F2298F" w:rsidRDefault="00C344F6" w:rsidP="00C344F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A972A9"/>
            <w:vAlign w:val="center"/>
          </w:tcPr>
          <w:p w14:paraId="2A768ACC" w14:textId="57288F82" w:rsidR="00C344F6"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1</w:t>
            </w: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A972A9"/>
            <w:vAlign w:val="center"/>
          </w:tcPr>
          <w:p w14:paraId="20B7857C" w14:textId="4A16515B" w:rsidR="00C344F6"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2</w:t>
            </w: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auto"/>
            <w:vAlign w:val="center"/>
          </w:tcPr>
          <w:p w14:paraId="3B88A390" w14:textId="77777777" w:rsidR="00C344F6" w:rsidRPr="00F10DE3" w:rsidRDefault="00C344F6" w:rsidP="00C344F6">
            <w:pPr>
              <w:jc w:val="center"/>
              <w:rPr>
                <w:rFonts w:ascii="Arial Narrow" w:hAnsi="Arial Narrow" w:cs="Arial"/>
                <w:color w:val="000000"/>
                <w:sz w:val="16"/>
                <w:szCs w:val="16"/>
              </w:rPr>
            </w:pPr>
          </w:p>
        </w:tc>
        <w:tc>
          <w:tcPr>
            <w:tcW w:w="3633" w:type="dxa"/>
            <w:gridSpan w:val="2"/>
            <w:tcBorders>
              <w:top w:val="single" w:sz="18" w:space="0" w:color="BFBFBF" w:themeColor="background1" w:themeShade="BF"/>
              <w:left w:val="single" w:sz="18" w:space="0" w:color="auto"/>
              <w:bottom w:val="single" w:sz="18" w:space="0" w:color="auto"/>
              <w:right w:val="single" w:sz="18" w:space="0" w:color="auto"/>
            </w:tcBorders>
            <w:shd w:val="clear" w:color="auto" w:fill="auto"/>
            <w:vAlign w:val="center"/>
          </w:tcPr>
          <w:p w14:paraId="03F7AA07" w14:textId="31FBE494" w:rsidR="00C344F6" w:rsidRPr="008805E5" w:rsidRDefault="00C344F6" w:rsidP="00C344F6">
            <w:pPr>
              <w:jc w:val="center"/>
              <w:rPr>
                <w:rFonts w:ascii="Arial Narrow" w:hAnsi="Arial Narrow" w:cs="Arial"/>
                <w:sz w:val="16"/>
                <w:szCs w:val="16"/>
              </w:rPr>
            </w:pPr>
            <w:r w:rsidRPr="008805E5">
              <w:rPr>
                <w:rFonts w:ascii="Arial Narrow" w:hAnsi="Arial Narrow"/>
                <w:color w:val="31849B"/>
                <w:sz w:val="16"/>
                <w:szCs w:val="16"/>
              </w:rPr>
              <w:t>Cooktown – Circuit</w:t>
            </w:r>
          </w:p>
        </w:tc>
      </w:tr>
      <w:tr w:rsidR="00C279EC" w:rsidRPr="00BC2C5D" w14:paraId="1709D6A1" w14:textId="77777777" w:rsidTr="00654C4B">
        <w:trPr>
          <w:trHeight w:val="284"/>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51BF0A00" w14:textId="4B91957C" w:rsidR="00C279EC" w:rsidRPr="00390B39" w:rsidRDefault="00C279EC" w:rsidP="00C344F6">
            <w:pPr>
              <w:jc w:val="center"/>
              <w:rPr>
                <w:rFonts w:ascii="Arial Narrow" w:hAnsi="Arial Narrow" w:cs="Arial"/>
                <w:sz w:val="16"/>
                <w:szCs w:val="16"/>
              </w:rPr>
            </w:pPr>
            <w:r>
              <w:rPr>
                <w:rFonts w:ascii="Arial Narrow" w:hAnsi="Arial Narrow" w:cs="Arial"/>
                <w:sz w:val="16"/>
                <w:szCs w:val="16"/>
              </w:rPr>
              <w:t>6 September</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28EF7F10" w14:textId="77777777" w:rsidR="00C279EC" w:rsidRPr="00F10DE3" w:rsidRDefault="00C279EC" w:rsidP="00C344F6">
            <w:pPr>
              <w:jc w:val="center"/>
              <w:rPr>
                <w:rFonts w:ascii="Arial Narrow" w:hAnsi="Arial Narrow" w:cs="Arial"/>
                <w:color w:val="000000"/>
                <w:sz w:val="16"/>
                <w:szCs w:val="16"/>
              </w:rPr>
            </w:pPr>
          </w:p>
        </w:tc>
        <w:tc>
          <w:tcPr>
            <w:tcW w:w="1162" w:type="dxa"/>
            <w:tcBorders>
              <w:top w:val="single" w:sz="18" w:space="0" w:color="auto"/>
              <w:left w:val="single" w:sz="18" w:space="0" w:color="C0C0C0"/>
              <w:bottom w:val="nil"/>
              <w:right w:val="single" w:sz="18" w:space="0" w:color="BFBFBF"/>
            </w:tcBorders>
            <w:shd w:val="clear" w:color="auto" w:fill="FF0000"/>
            <w:vAlign w:val="center"/>
          </w:tcPr>
          <w:p w14:paraId="06EA5338" w14:textId="553BF5CF" w:rsidR="00C279EC"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7</w:t>
            </w:r>
          </w:p>
        </w:tc>
        <w:tc>
          <w:tcPr>
            <w:tcW w:w="1162" w:type="dxa"/>
            <w:vMerge w:val="restart"/>
            <w:tcBorders>
              <w:top w:val="single" w:sz="18" w:space="0" w:color="auto"/>
              <w:left w:val="single" w:sz="18" w:space="0" w:color="BFBFBF"/>
              <w:right w:val="single" w:sz="18" w:space="0" w:color="C0C0C0"/>
            </w:tcBorders>
            <w:shd w:val="clear" w:color="auto" w:fill="FF0000"/>
            <w:vAlign w:val="center"/>
          </w:tcPr>
          <w:p w14:paraId="66874CFB" w14:textId="7BE3C512" w:rsidR="00C279EC"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8</w:t>
            </w:r>
          </w:p>
        </w:tc>
        <w:tc>
          <w:tcPr>
            <w:tcW w:w="1162" w:type="dxa"/>
            <w:tcBorders>
              <w:top w:val="single" w:sz="18" w:space="0" w:color="auto"/>
              <w:left w:val="single" w:sz="18" w:space="0" w:color="C0C0C0"/>
              <w:bottom w:val="nil"/>
              <w:right w:val="single" w:sz="18" w:space="0" w:color="C0C0C0"/>
            </w:tcBorders>
            <w:shd w:val="clear" w:color="auto" w:fill="FF0000"/>
            <w:vAlign w:val="center"/>
          </w:tcPr>
          <w:p w14:paraId="6FA11784" w14:textId="6C0C4D54" w:rsidR="00C279EC"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9</w:t>
            </w: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12101718" w14:textId="77777777" w:rsidR="00C279EC" w:rsidRPr="00F10DE3" w:rsidRDefault="00C279EC" w:rsidP="00C344F6">
            <w:pPr>
              <w:jc w:val="center"/>
              <w:rPr>
                <w:rFonts w:ascii="Arial Narrow" w:hAnsi="Arial Narrow" w:cs="Arial"/>
                <w:color w:val="000000"/>
                <w:sz w:val="16"/>
                <w:szCs w:val="16"/>
              </w:rPr>
            </w:pPr>
          </w:p>
        </w:tc>
        <w:tc>
          <w:tcPr>
            <w:tcW w:w="3633" w:type="dxa"/>
            <w:gridSpan w:val="2"/>
            <w:vMerge w:val="restart"/>
            <w:tcBorders>
              <w:top w:val="single" w:sz="18" w:space="0" w:color="auto"/>
              <w:left w:val="single" w:sz="18" w:space="0" w:color="auto"/>
              <w:right w:val="single" w:sz="18" w:space="0" w:color="auto"/>
            </w:tcBorders>
            <w:shd w:val="clear" w:color="auto" w:fill="auto"/>
            <w:vAlign w:val="center"/>
          </w:tcPr>
          <w:p w14:paraId="27BC71D6" w14:textId="77777777" w:rsidR="00C279EC" w:rsidRDefault="00C279EC" w:rsidP="00C344F6">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p w14:paraId="0E52BC2E" w14:textId="0367E867" w:rsidR="00C279EC" w:rsidRPr="008805E5" w:rsidRDefault="00C279EC" w:rsidP="00C344F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C279EC" w:rsidRPr="00BC2C5D" w14:paraId="68642919"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63270219" w14:textId="77777777" w:rsidR="00C279EC" w:rsidRDefault="00C279EC"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A887790" w14:textId="77777777" w:rsidR="00C279EC" w:rsidRPr="00F10DE3" w:rsidRDefault="00C279EC" w:rsidP="00C344F6">
            <w:pPr>
              <w:jc w:val="center"/>
              <w:rPr>
                <w:rFonts w:ascii="Arial Narrow" w:hAnsi="Arial Narrow" w:cs="Arial"/>
                <w:color w:val="000000"/>
                <w:sz w:val="16"/>
                <w:szCs w:val="16"/>
              </w:rPr>
            </w:pPr>
          </w:p>
        </w:tc>
        <w:tc>
          <w:tcPr>
            <w:tcW w:w="1162" w:type="dxa"/>
            <w:tcBorders>
              <w:top w:val="nil"/>
              <w:left w:val="single" w:sz="18" w:space="0" w:color="C0C0C0"/>
              <w:bottom w:val="single" w:sz="18" w:space="0" w:color="BFBFBF" w:themeColor="background1" w:themeShade="BF"/>
              <w:right w:val="single" w:sz="18" w:space="0" w:color="BFBFBF"/>
            </w:tcBorders>
            <w:shd w:val="clear" w:color="auto" w:fill="FFFF00"/>
            <w:vAlign w:val="center"/>
          </w:tcPr>
          <w:p w14:paraId="105FB12C" w14:textId="7851F9A9" w:rsidR="00C279EC"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7</w:t>
            </w:r>
          </w:p>
        </w:tc>
        <w:tc>
          <w:tcPr>
            <w:tcW w:w="1162" w:type="dxa"/>
            <w:vMerge/>
            <w:tcBorders>
              <w:left w:val="single" w:sz="18" w:space="0" w:color="BFBFBF"/>
              <w:right w:val="single" w:sz="18" w:space="0" w:color="C0C0C0"/>
            </w:tcBorders>
            <w:shd w:val="clear" w:color="auto" w:fill="auto"/>
            <w:vAlign w:val="center"/>
          </w:tcPr>
          <w:p w14:paraId="421CA101" w14:textId="77777777" w:rsidR="00C279EC" w:rsidRPr="00BC42F7" w:rsidRDefault="00C279EC" w:rsidP="00C344F6">
            <w:pPr>
              <w:jc w:val="center"/>
              <w:rPr>
                <w:rFonts w:ascii="Arial Narrow" w:hAnsi="Arial Narrow" w:cs="Arial"/>
                <w:b/>
                <w:bCs/>
                <w:color w:val="000000"/>
                <w:sz w:val="16"/>
                <w:szCs w:val="16"/>
              </w:rPr>
            </w:pPr>
          </w:p>
        </w:tc>
        <w:tc>
          <w:tcPr>
            <w:tcW w:w="1162" w:type="dxa"/>
            <w:tcBorders>
              <w:top w:val="nil"/>
              <w:left w:val="single" w:sz="18" w:space="0" w:color="C0C0C0"/>
              <w:bottom w:val="single" w:sz="18" w:space="0" w:color="C0C0C0"/>
              <w:right w:val="single" w:sz="18" w:space="0" w:color="C0C0C0"/>
            </w:tcBorders>
            <w:shd w:val="clear" w:color="auto" w:fill="76923C"/>
            <w:vAlign w:val="center"/>
          </w:tcPr>
          <w:p w14:paraId="5F5969CB" w14:textId="2EFF9138" w:rsidR="00C279EC"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9</w:t>
            </w:r>
          </w:p>
        </w:tc>
        <w:tc>
          <w:tcPr>
            <w:tcW w:w="1162" w:type="dxa"/>
            <w:vMerge/>
            <w:tcBorders>
              <w:left w:val="single" w:sz="18" w:space="0" w:color="C0C0C0"/>
              <w:right w:val="single" w:sz="18" w:space="0" w:color="auto"/>
            </w:tcBorders>
            <w:shd w:val="clear" w:color="auto" w:fill="auto"/>
            <w:vAlign w:val="center"/>
          </w:tcPr>
          <w:p w14:paraId="043C8710" w14:textId="77777777" w:rsidR="00C279EC" w:rsidRPr="00F10DE3" w:rsidRDefault="00C279EC"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21161D06" w14:textId="77777777" w:rsidR="00C279EC" w:rsidRPr="008805E5" w:rsidRDefault="00C279EC" w:rsidP="00C344F6">
            <w:pPr>
              <w:jc w:val="center"/>
              <w:rPr>
                <w:rFonts w:ascii="Arial Narrow" w:hAnsi="Arial Narrow"/>
                <w:color w:val="31849B"/>
                <w:sz w:val="16"/>
                <w:szCs w:val="16"/>
              </w:rPr>
            </w:pPr>
          </w:p>
        </w:tc>
      </w:tr>
      <w:tr w:rsidR="00C279EC" w:rsidRPr="00BC2C5D" w14:paraId="73DF2101" w14:textId="77777777" w:rsidTr="00654C4B">
        <w:trPr>
          <w:trHeight w:val="284"/>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F7B8E84" w14:textId="5CE9A9A3" w:rsidR="00C279EC" w:rsidRPr="00390B39" w:rsidRDefault="00C279EC" w:rsidP="00C344F6">
            <w:pPr>
              <w:jc w:val="center"/>
              <w:rPr>
                <w:rFonts w:ascii="Arial Narrow" w:hAnsi="Arial Narrow" w:cs="Arial"/>
                <w:sz w:val="16"/>
                <w:szCs w:val="16"/>
              </w:rPr>
            </w:pPr>
            <w:r>
              <w:rPr>
                <w:rFonts w:ascii="Arial Narrow" w:hAnsi="Arial Narrow" w:cs="Arial"/>
                <w:sz w:val="16"/>
                <w:szCs w:val="16"/>
              </w:rPr>
              <w:t>13 September</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72174859" w14:textId="77777777" w:rsidR="00C279EC" w:rsidRPr="00F10DE3" w:rsidRDefault="00C279EC"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A972A9"/>
            <w:vAlign w:val="center"/>
          </w:tcPr>
          <w:p w14:paraId="023F7BD7" w14:textId="59626206" w:rsidR="00C279EC"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14</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A972A9"/>
            <w:vAlign w:val="center"/>
          </w:tcPr>
          <w:p w14:paraId="587EA42C" w14:textId="182AD74A" w:rsidR="00C279EC"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15</w:t>
            </w:r>
          </w:p>
        </w:tc>
        <w:tc>
          <w:tcPr>
            <w:tcW w:w="1162" w:type="dxa"/>
            <w:vMerge w:val="restart"/>
            <w:tcBorders>
              <w:top w:val="single" w:sz="18" w:space="0" w:color="C0C0C0"/>
              <w:left w:val="single" w:sz="18" w:space="0" w:color="C0C0C0"/>
              <w:right w:val="single" w:sz="18" w:space="0" w:color="C0C0C0"/>
            </w:tcBorders>
            <w:shd w:val="clear" w:color="auto" w:fill="auto"/>
            <w:vAlign w:val="center"/>
          </w:tcPr>
          <w:p w14:paraId="0D6D0741" w14:textId="06FCE5A6" w:rsidR="00C279EC" w:rsidRPr="00F2298F" w:rsidRDefault="00C279EC" w:rsidP="00C344F6">
            <w:pPr>
              <w:jc w:val="center"/>
              <w:rPr>
                <w:rFonts w:ascii="Arial Narrow" w:hAnsi="Arial Narrow" w:cs="Arial"/>
                <w:color w:val="000000"/>
                <w:sz w:val="16"/>
                <w:szCs w:val="16"/>
              </w:rPr>
            </w:pP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ABBF5DF" w14:textId="77777777" w:rsidR="00C279EC" w:rsidRPr="00F10DE3" w:rsidRDefault="00C279EC" w:rsidP="00C344F6">
            <w:pPr>
              <w:jc w:val="center"/>
              <w:rPr>
                <w:rFonts w:ascii="Arial Narrow" w:hAnsi="Arial Narrow" w:cs="Arial"/>
                <w:color w:val="000000"/>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07D43AC4" w14:textId="6191EF09" w:rsidR="00C279EC" w:rsidRPr="009E4A93" w:rsidRDefault="00C279EC" w:rsidP="00C344F6">
            <w:pPr>
              <w:jc w:val="center"/>
              <w:rPr>
                <w:rFonts w:ascii="Arial Narrow" w:hAnsi="Arial Narrow"/>
                <w:sz w:val="16"/>
                <w:szCs w:val="16"/>
              </w:rPr>
            </w:pPr>
          </w:p>
        </w:tc>
      </w:tr>
      <w:tr w:rsidR="00C279EC" w:rsidRPr="00BC2C5D" w14:paraId="5E3543E5"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6B07DB04" w14:textId="77777777" w:rsidR="00C279EC" w:rsidRDefault="00C279EC"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76A2A3B" w14:textId="77777777" w:rsidR="00C279EC" w:rsidRPr="00F10DE3" w:rsidRDefault="00C279EC" w:rsidP="00C344F6">
            <w:pPr>
              <w:jc w:val="center"/>
              <w:rPr>
                <w:rFonts w:ascii="Arial Narrow" w:hAnsi="Arial Narrow" w:cs="Arial"/>
                <w:color w:val="000000"/>
                <w:sz w:val="16"/>
                <w:szCs w:val="16"/>
              </w:rPr>
            </w:pPr>
          </w:p>
        </w:tc>
        <w:tc>
          <w:tcPr>
            <w:tcW w:w="1162" w:type="dxa"/>
            <w:tcBorders>
              <w:top w:val="nil"/>
              <w:left w:val="single" w:sz="18" w:space="0" w:color="C0C0C0"/>
              <w:bottom w:val="single" w:sz="18" w:space="0" w:color="BFBFBF"/>
              <w:right w:val="single" w:sz="18" w:space="0" w:color="BFBFBF"/>
            </w:tcBorders>
            <w:shd w:val="clear" w:color="auto" w:fill="31849B"/>
            <w:vAlign w:val="center"/>
          </w:tcPr>
          <w:p w14:paraId="2EE2E3FD" w14:textId="6CA8CF7F" w:rsidR="00C279EC"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14</w:t>
            </w:r>
          </w:p>
        </w:tc>
        <w:tc>
          <w:tcPr>
            <w:tcW w:w="1162" w:type="dxa"/>
            <w:vMerge/>
            <w:tcBorders>
              <w:left w:val="single" w:sz="18" w:space="0" w:color="BFBFBF"/>
              <w:right w:val="single" w:sz="18" w:space="0" w:color="C0C0C0"/>
            </w:tcBorders>
            <w:shd w:val="clear" w:color="auto" w:fill="auto"/>
            <w:vAlign w:val="center"/>
          </w:tcPr>
          <w:p w14:paraId="5151307C" w14:textId="77777777" w:rsidR="00C279EC" w:rsidRPr="00534C70" w:rsidRDefault="00C279EC" w:rsidP="00C344F6">
            <w:pPr>
              <w:jc w:val="center"/>
              <w:rPr>
                <w:rFonts w:ascii="Arial Narrow" w:hAnsi="Arial Narrow" w:cs="Arial"/>
                <w:color w:val="000000"/>
                <w:sz w:val="16"/>
                <w:szCs w:val="16"/>
              </w:rPr>
            </w:pPr>
          </w:p>
        </w:tc>
        <w:tc>
          <w:tcPr>
            <w:tcW w:w="1162" w:type="dxa"/>
            <w:vMerge/>
            <w:tcBorders>
              <w:left w:val="single" w:sz="18" w:space="0" w:color="C0C0C0"/>
              <w:bottom w:val="single" w:sz="18" w:space="0" w:color="C0C0C0"/>
              <w:right w:val="single" w:sz="18" w:space="0" w:color="C0C0C0"/>
            </w:tcBorders>
            <w:shd w:val="clear" w:color="auto" w:fill="auto"/>
            <w:vAlign w:val="center"/>
          </w:tcPr>
          <w:p w14:paraId="32BDDB24" w14:textId="77777777" w:rsidR="00C279EC" w:rsidRPr="00534C70" w:rsidRDefault="00C279EC" w:rsidP="00C344F6">
            <w:pPr>
              <w:jc w:val="center"/>
              <w:rPr>
                <w:rFonts w:ascii="Arial Narrow" w:hAnsi="Arial Narrow" w:cs="Arial"/>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388CC29B" w14:textId="77777777" w:rsidR="00C279EC" w:rsidRPr="00F10DE3" w:rsidRDefault="00C279EC"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0B127593" w14:textId="77777777" w:rsidR="00C279EC" w:rsidRPr="009E4A93" w:rsidRDefault="00C279EC" w:rsidP="00C344F6">
            <w:pPr>
              <w:jc w:val="center"/>
              <w:rPr>
                <w:rFonts w:ascii="Arial Narrow" w:hAnsi="Arial Narrow"/>
                <w:sz w:val="16"/>
                <w:szCs w:val="16"/>
              </w:rPr>
            </w:pPr>
          </w:p>
        </w:tc>
      </w:tr>
      <w:tr w:rsidR="00C344F6" w:rsidRPr="00BC2C5D" w14:paraId="307A9FC1" w14:textId="77777777" w:rsidTr="00654C4B">
        <w:trPr>
          <w:trHeight w:val="567"/>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3CB29D9B" w14:textId="52B878F5" w:rsidR="00C344F6" w:rsidRPr="00390B39" w:rsidRDefault="00C344F6" w:rsidP="00C344F6">
            <w:pPr>
              <w:jc w:val="center"/>
              <w:rPr>
                <w:rFonts w:ascii="Arial Narrow" w:hAnsi="Arial Narrow" w:cs="Arial"/>
                <w:sz w:val="16"/>
                <w:szCs w:val="16"/>
              </w:rPr>
            </w:pPr>
            <w:r>
              <w:rPr>
                <w:rFonts w:ascii="Arial Narrow" w:hAnsi="Arial Narrow" w:cs="Arial"/>
                <w:sz w:val="16"/>
                <w:szCs w:val="16"/>
              </w:rPr>
              <w:t>20 September</w:t>
            </w:r>
          </w:p>
        </w:tc>
        <w:tc>
          <w:tcPr>
            <w:tcW w:w="1051" w:type="dxa"/>
            <w:tcBorders>
              <w:top w:val="single" w:sz="18" w:space="0" w:color="BFBFBF" w:themeColor="background1" w:themeShade="BF"/>
              <w:left w:val="single" w:sz="18" w:space="0" w:color="C0C0C0"/>
              <w:right w:val="single" w:sz="18" w:space="0" w:color="C0C0C0"/>
            </w:tcBorders>
            <w:shd w:val="clear" w:color="auto" w:fill="D9D9D9"/>
            <w:vAlign w:val="center"/>
          </w:tcPr>
          <w:p w14:paraId="2B552431" w14:textId="77777777" w:rsidR="00C344F6" w:rsidRPr="00A634FA" w:rsidRDefault="00C344F6" w:rsidP="00C344F6">
            <w:pPr>
              <w:jc w:val="center"/>
              <w:rPr>
                <w:rFonts w:ascii="Arial Narrow" w:hAnsi="Arial Narrow" w:cs="Arial"/>
                <w:color w:val="000000"/>
                <w:sz w:val="16"/>
                <w:szCs w:val="16"/>
              </w:rPr>
            </w:pPr>
          </w:p>
        </w:tc>
        <w:tc>
          <w:tcPr>
            <w:tcW w:w="1162" w:type="dxa"/>
            <w:tcBorders>
              <w:top w:val="single" w:sz="18" w:space="0" w:color="BFBFBF"/>
              <w:left w:val="single" w:sz="18" w:space="0" w:color="C0C0C0"/>
              <w:right w:val="single" w:sz="18" w:space="0" w:color="BFBFBF"/>
            </w:tcBorders>
            <w:shd w:val="clear" w:color="auto" w:fill="D9D9D9"/>
            <w:vAlign w:val="center"/>
          </w:tcPr>
          <w:p w14:paraId="7C5A4051" w14:textId="381E69BE" w:rsidR="00C344F6" w:rsidRPr="00534C70" w:rsidRDefault="00C344F6"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right w:val="single" w:sz="18" w:space="0" w:color="C0C0C0"/>
            </w:tcBorders>
            <w:shd w:val="clear" w:color="auto" w:fill="D9D9D9"/>
            <w:vAlign w:val="center"/>
          </w:tcPr>
          <w:p w14:paraId="2D625F6F" w14:textId="6AB18A95" w:rsidR="00C344F6" w:rsidRPr="00534C70" w:rsidRDefault="00C344F6"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31F3F07A" w14:textId="0F6682B8" w:rsidR="00C344F6" w:rsidRPr="00534C70" w:rsidRDefault="00C344F6"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765D5946" w14:textId="77777777" w:rsidR="00C344F6" w:rsidRPr="00A634FA" w:rsidRDefault="00C344F6" w:rsidP="00C344F6">
            <w:pPr>
              <w:jc w:val="center"/>
              <w:rPr>
                <w:rFonts w:ascii="Arial Narrow" w:hAnsi="Arial Narrow" w:cs="Arial"/>
                <w:color w:val="000000"/>
                <w:sz w:val="16"/>
                <w:szCs w:val="16"/>
              </w:rPr>
            </w:pPr>
          </w:p>
        </w:tc>
        <w:tc>
          <w:tcPr>
            <w:tcW w:w="3633" w:type="dxa"/>
            <w:gridSpan w:val="2"/>
            <w:tcBorders>
              <w:top w:val="single" w:sz="18" w:space="0" w:color="BFBFBF" w:themeColor="background1" w:themeShade="BF"/>
              <w:left w:val="single" w:sz="18" w:space="0" w:color="auto"/>
              <w:right w:val="single" w:sz="18" w:space="0" w:color="auto"/>
            </w:tcBorders>
            <w:shd w:val="clear" w:color="auto" w:fill="D9D9D9"/>
            <w:vAlign w:val="center"/>
          </w:tcPr>
          <w:p w14:paraId="7636D447" w14:textId="444B59BC" w:rsidR="00C344F6" w:rsidRPr="009E4A93" w:rsidRDefault="00C344F6" w:rsidP="00C344F6">
            <w:pPr>
              <w:jc w:val="center"/>
              <w:rPr>
                <w:rFonts w:ascii="Arial Narrow" w:hAnsi="Arial Narrow"/>
                <w:sz w:val="16"/>
                <w:szCs w:val="16"/>
              </w:rPr>
            </w:pPr>
          </w:p>
        </w:tc>
      </w:tr>
      <w:tr w:rsidR="00C344F6" w:rsidRPr="00BC2C5D" w14:paraId="04B98309" w14:textId="77777777" w:rsidTr="00EF680A">
        <w:trPr>
          <w:trHeight w:val="567"/>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6B4F819B" w14:textId="52E6D062" w:rsidR="00C344F6" w:rsidRPr="00390B39" w:rsidRDefault="00C344F6" w:rsidP="00C344F6">
            <w:pPr>
              <w:jc w:val="center"/>
              <w:rPr>
                <w:rFonts w:ascii="Arial Narrow" w:hAnsi="Arial Narrow" w:cs="Arial"/>
                <w:sz w:val="16"/>
                <w:szCs w:val="16"/>
              </w:rPr>
            </w:pPr>
            <w:r>
              <w:rPr>
                <w:rFonts w:ascii="Arial Narrow" w:hAnsi="Arial Narrow" w:cs="Arial"/>
                <w:sz w:val="16"/>
                <w:szCs w:val="16"/>
              </w:rPr>
              <w:t>27 September</w:t>
            </w:r>
          </w:p>
        </w:tc>
        <w:tc>
          <w:tcPr>
            <w:tcW w:w="1051" w:type="dxa"/>
            <w:tcBorders>
              <w:top w:val="single" w:sz="18" w:space="0" w:color="BFBFBF" w:themeColor="background1" w:themeShade="BF"/>
              <w:left w:val="single" w:sz="18" w:space="0" w:color="C0C0C0"/>
              <w:right w:val="single" w:sz="18" w:space="0" w:color="C0C0C0"/>
            </w:tcBorders>
            <w:shd w:val="clear" w:color="auto" w:fill="D9D9D9"/>
            <w:vAlign w:val="center"/>
          </w:tcPr>
          <w:p w14:paraId="642C16FC" w14:textId="77777777" w:rsidR="00C344F6" w:rsidRPr="00A634FA" w:rsidRDefault="00C344F6"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BFBFBF"/>
            </w:tcBorders>
            <w:shd w:val="clear" w:color="auto" w:fill="D9D9D9"/>
            <w:vAlign w:val="center"/>
          </w:tcPr>
          <w:p w14:paraId="0A7AAF2C" w14:textId="7751B8FA" w:rsidR="00C344F6" w:rsidRPr="00534C70" w:rsidRDefault="00C344F6"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right w:val="single" w:sz="18" w:space="0" w:color="C0C0C0"/>
            </w:tcBorders>
            <w:shd w:val="clear" w:color="auto" w:fill="D9D9D9"/>
            <w:vAlign w:val="center"/>
          </w:tcPr>
          <w:p w14:paraId="1F9ED47F" w14:textId="01CB8248" w:rsidR="00C344F6" w:rsidRPr="00534C70" w:rsidRDefault="00C344F6"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2B4AD7BE" w14:textId="77777777" w:rsidR="00C344F6" w:rsidRPr="00534C70" w:rsidRDefault="00C344F6"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71435210" w14:textId="40AD0C44" w:rsidR="00C344F6" w:rsidRPr="00C344F6" w:rsidRDefault="00C344F6" w:rsidP="00C344F6">
            <w:pPr>
              <w:jc w:val="center"/>
              <w:rPr>
                <w:rFonts w:ascii="Arial Narrow" w:hAnsi="Arial Narrow" w:cs="Arial"/>
                <w:color w:val="000000"/>
                <w:sz w:val="16"/>
                <w:szCs w:val="16"/>
              </w:rPr>
            </w:pPr>
          </w:p>
        </w:tc>
        <w:tc>
          <w:tcPr>
            <w:tcW w:w="3633" w:type="dxa"/>
            <w:gridSpan w:val="2"/>
            <w:tcBorders>
              <w:top w:val="single" w:sz="18" w:space="0" w:color="BFBFBF" w:themeColor="background1" w:themeShade="BF"/>
              <w:left w:val="single" w:sz="18" w:space="0" w:color="auto"/>
              <w:right w:val="single" w:sz="18" w:space="0" w:color="auto"/>
            </w:tcBorders>
            <w:shd w:val="clear" w:color="auto" w:fill="D9D9D9"/>
            <w:vAlign w:val="center"/>
          </w:tcPr>
          <w:p w14:paraId="3EB018F0" w14:textId="19BE627B" w:rsidR="00C344F6" w:rsidRPr="009E4A93" w:rsidRDefault="00C344F6" w:rsidP="00C344F6">
            <w:pPr>
              <w:jc w:val="center"/>
              <w:rPr>
                <w:rFonts w:ascii="Arial Narrow" w:hAnsi="Arial Narrow"/>
                <w:sz w:val="16"/>
                <w:szCs w:val="16"/>
              </w:rPr>
            </w:pPr>
          </w:p>
        </w:tc>
      </w:tr>
      <w:tr w:rsidR="00C344F6" w:rsidRPr="00BC2C5D" w14:paraId="1920F1D5" w14:textId="77777777" w:rsidTr="00EF680A">
        <w:trPr>
          <w:trHeight w:val="567"/>
        </w:trPr>
        <w:tc>
          <w:tcPr>
            <w:tcW w:w="1526" w:type="dxa"/>
            <w:tcBorders>
              <w:top w:val="single" w:sz="18" w:space="0" w:color="auto"/>
              <w:left w:val="single" w:sz="18" w:space="0" w:color="auto"/>
              <w:right w:val="single" w:sz="18" w:space="0" w:color="C0C0C0"/>
            </w:tcBorders>
            <w:shd w:val="clear" w:color="auto" w:fill="auto"/>
            <w:vAlign w:val="center"/>
          </w:tcPr>
          <w:p w14:paraId="79CA0660" w14:textId="23FCA6A1" w:rsidR="00C344F6" w:rsidRPr="00A634FA" w:rsidRDefault="00C344F6" w:rsidP="00C344F6">
            <w:pPr>
              <w:jc w:val="center"/>
              <w:rPr>
                <w:rFonts w:ascii="Arial Narrow" w:hAnsi="Arial Narrow" w:cs="Arial"/>
                <w:sz w:val="16"/>
                <w:szCs w:val="16"/>
              </w:rPr>
            </w:pPr>
            <w:r>
              <w:rPr>
                <w:rFonts w:ascii="Arial Narrow" w:hAnsi="Arial Narrow" w:cs="Arial"/>
                <w:sz w:val="16"/>
                <w:szCs w:val="16"/>
              </w:rPr>
              <w:t>4 October</w:t>
            </w:r>
          </w:p>
        </w:tc>
        <w:tc>
          <w:tcPr>
            <w:tcW w:w="1051" w:type="dxa"/>
            <w:tcBorders>
              <w:top w:val="single" w:sz="18" w:space="0" w:color="auto"/>
              <w:left w:val="single" w:sz="18" w:space="0" w:color="C0C0C0"/>
              <w:right w:val="single" w:sz="18" w:space="0" w:color="C0C0C0"/>
            </w:tcBorders>
            <w:shd w:val="clear" w:color="auto" w:fill="D9D9D9"/>
            <w:vAlign w:val="center"/>
          </w:tcPr>
          <w:p w14:paraId="56638F21" w14:textId="4AD8749C" w:rsidR="00C344F6" w:rsidRPr="00A634FA" w:rsidRDefault="00C344F6" w:rsidP="00C344F6">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auto"/>
              <w:left w:val="single" w:sz="18" w:space="0" w:color="C0C0C0"/>
              <w:right w:val="single" w:sz="18" w:space="0" w:color="BFBFBF"/>
            </w:tcBorders>
            <w:shd w:val="clear" w:color="auto" w:fill="auto"/>
            <w:vAlign w:val="center"/>
          </w:tcPr>
          <w:p w14:paraId="4476C160" w14:textId="48888BC1" w:rsidR="00C344F6" w:rsidRPr="00BC42F7" w:rsidRDefault="00C344F6" w:rsidP="00C344F6">
            <w:pPr>
              <w:jc w:val="center"/>
              <w:rPr>
                <w:rFonts w:ascii="Arial Narrow" w:hAnsi="Arial Narrow" w:cs="Arial"/>
                <w:b/>
                <w:bCs/>
                <w:color w:val="000000"/>
                <w:sz w:val="16"/>
                <w:szCs w:val="16"/>
              </w:rPr>
            </w:pPr>
          </w:p>
        </w:tc>
        <w:tc>
          <w:tcPr>
            <w:tcW w:w="1162" w:type="dxa"/>
            <w:tcBorders>
              <w:top w:val="single" w:sz="18" w:space="0" w:color="auto"/>
              <w:left w:val="single" w:sz="18" w:space="0" w:color="BFBFBF"/>
              <w:right w:val="single" w:sz="18" w:space="0" w:color="C0C0C0"/>
            </w:tcBorders>
            <w:shd w:val="clear" w:color="auto" w:fill="FF0000"/>
            <w:vAlign w:val="center"/>
          </w:tcPr>
          <w:p w14:paraId="1AE5584B" w14:textId="32525E8B" w:rsidR="00C344F6"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6</w:t>
            </w:r>
          </w:p>
        </w:tc>
        <w:tc>
          <w:tcPr>
            <w:tcW w:w="1162" w:type="dxa"/>
            <w:tcBorders>
              <w:top w:val="single" w:sz="18" w:space="0" w:color="auto"/>
              <w:left w:val="single" w:sz="18" w:space="0" w:color="C0C0C0"/>
              <w:right w:val="single" w:sz="18" w:space="0" w:color="C0C0C0"/>
            </w:tcBorders>
            <w:shd w:val="clear" w:color="auto" w:fill="FF0000"/>
            <w:vAlign w:val="center"/>
          </w:tcPr>
          <w:p w14:paraId="6B78F59B" w14:textId="1D01BFA8" w:rsidR="00C344F6"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7</w:t>
            </w:r>
          </w:p>
        </w:tc>
        <w:tc>
          <w:tcPr>
            <w:tcW w:w="1162" w:type="dxa"/>
            <w:tcBorders>
              <w:top w:val="single" w:sz="18" w:space="0" w:color="auto"/>
              <w:left w:val="single" w:sz="18" w:space="0" w:color="C0C0C0"/>
              <w:right w:val="single" w:sz="18" w:space="0" w:color="auto"/>
            </w:tcBorders>
            <w:shd w:val="clear" w:color="auto" w:fill="auto"/>
            <w:vAlign w:val="center"/>
          </w:tcPr>
          <w:p w14:paraId="1A733CA3" w14:textId="77777777" w:rsidR="00C344F6" w:rsidRPr="00A634FA" w:rsidRDefault="00C344F6" w:rsidP="00C344F6">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5D4521D7" w14:textId="5A654DDC" w:rsidR="00C344F6" w:rsidRPr="008805E5" w:rsidRDefault="00C344F6" w:rsidP="00C344F6">
            <w:pPr>
              <w:jc w:val="center"/>
              <w:rPr>
                <w:rFonts w:ascii="Arial Narrow" w:hAnsi="Arial Narrow" w:cs="Arial"/>
                <w:color w:val="244061"/>
                <w:sz w:val="16"/>
                <w:szCs w:val="16"/>
              </w:rPr>
            </w:pPr>
            <w:r w:rsidRPr="009E4A93">
              <w:rPr>
                <w:rFonts w:ascii="Arial Narrow" w:hAnsi="Arial Narrow" w:cs="Arial"/>
                <w:color w:val="244061"/>
                <w:sz w:val="16"/>
                <w:szCs w:val="16"/>
                <w:highlight w:val="yellow"/>
              </w:rPr>
              <w:t>4 Queen’s Birthday</w:t>
            </w:r>
          </w:p>
          <w:p w14:paraId="51EA0079" w14:textId="40300C53" w:rsidR="00C344F6" w:rsidRPr="008805E5" w:rsidRDefault="00C344F6" w:rsidP="00C344F6">
            <w:pPr>
              <w:jc w:val="center"/>
              <w:rPr>
                <w:rFonts w:ascii="Arial Narrow" w:hAnsi="Arial Narrow"/>
                <w:color w:val="31849B"/>
                <w:sz w:val="16"/>
                <w:szCs w:val="16"/>
              </w:rPr>
            </w:pPr>
            <w:r w:rsidRPr="008805E5">
              <w:rPr>
                <w:rFonts w:ascii="Arial Narrow" w:hAnsi="Arial Narrow"/>
                <w:color w:val="31849B"/>
                <w:sz w:val="16"/>
                <w:szCs w:val="16"/>
              </w:rPr>
              <w:t>Cooktown – Circuit</w:t>
            </w:r>
          </w:p>
        </w:tc>
      </w:tr>
      <w:tr w:rsidR="0058578C" w:rsidRPr="00BC2C5D" w14:paraId="3D55130B" w14:textId="77777777" w:rsidTr="00654C4B">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50A09688" w14:textId="1D2EB170" w:rsidR="0058578C" w:rsidRPr="00A634FA" w:rsidRDefault="0058578C" w:rsidP="00C344F6">
            <w:pPr>
              <w:jc w:val="center"/>
              <w:rPr>
                <w:rFonts w:ascii="Arial Narrow" w:hAnsi="Arial Narrow" w:cs="Arial"/>
                <w:sz w:val="16"/>
                <w:szCs w:val="16"/>
              </w:rPr>
            </w:pPr>
            <w:r>
              <w:rPr>
                <w:rFonts w:ascii="Arial Narrow" w:hAnsi="Arial Narrow" w:cs="Arial"/>
                <w:sz w:val="16"/>
                <w:szCs w:val="16"/>
              </w:rPr>
              <w:t>11 October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BBD21F" w14:textId="77777777" w:rsidR="0058578C" w:rsidRPr="00A634FA" w:rsidRDefault="0058578C"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2F78CCA0" w14:textId="36DD743D" w:rsidR="0058578C" w:rsidRPr="00BC42F7" w:rsidRDefault="0058578C" w:rsidP="00C344F6">
            <w:pPr>
              <w:jc w:val="center"/>
              <w:rPr>
                <w:rFonts w:ascii="Arial Narrow" w:hAnsi="Arial Narrow" w:cs="Arial"/>
                <w:b/>
                <w:bCs/>
                <w:sz w:val="16"/>
                <w:szCs w:val="16"/>
              </w:rPr>
            </w:pPr>
            <w:r w:rsidRPr="00BC42F7">
              <w:rPr>
                <w:rFonts w:ascii="Arial Narrow" w:hAnsi="Arial Narrow" w:cs="Arial"/>
                <w:b/>
                <w:bCs/>
                <w:sz w:val="16"/>
                <w:szCs w:val="16"/>
              </w:rPr>
              <w:t>12</w:t>
            </w:r>
          </w:p>
        </w:tc>
        <w:tc>
          <w:tcPr>
            <w:tcW w:w="1162" w:type="dxa"/>
            <w:tcBorders>
              <w:top w:val="single" w:sz="18" w:space="0" w:color="C0C0C0"/>
              <w:left w:val="single" w:sz="18" w:space="0" w:color="BFBFBF"/>
              <w:bottom w:val="nil"/>
              <w:right w:val="single" w:sz="18" w:space="0" w:color="C0C0C0"/>
            </w:tcBorders>
            <w:shd w:val="clear" w:color="auto" w:fill="A972A9"/>
            <w:vAlign w:val="center"/>
          </w:tcPr>
          <w:p w14:paraId="484ED60A" w14:textId="1EC32F42" w:rsidR="0058578C" w:rsidRPr="00BC42F7" w:rsidRDefault="0058578C"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13</w:t>
            </w:r>
          </w:p>
        </w:tc>
        <w:tc>
          <w:tcPr>
            <w:tcW w:w="1162" w:type="dxa"/>
            <w:vMerge w:val="restart"/>
            <w:tcBorders>
              <w:top w:val="single" w:sz="18" w:space="0" w:color="C0C0C0"/>
              <w:left w:val="single" w:sz="18" w:space="0" w:color="C0C0C0"/>
              <w:right w:val="single" w:sz="18" w:space="0" w:color="C0C0C0"/>
            </w:tcBorders>
            <w:shd w:val="clear" w:color="auto" w:fill="auto"/>
            <w:vAlign w:val="center"/>
          </w:tcPr>
          <w:p w14:paraId="13761527" w14:textId="70D63837" w:rsidR="0058578C" w:rsidRPr="00F2298F" w:rsidRDefault="0058578C" w:rsidP="00C344F6">
            <w:pPr>
              <w:jc w:val="center"/>
              <w:rPr>
                <w:rFonts w:ascii="Arial Narrow" w:hAnsi="Arial Narrow" w:cs="Arial"/>
                <w:color w:val="000000"/>
                <w:sz w:val="16"/>
                <w:szCs w:val="16"/>
              </w:rPr>
            </w:pP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341632A4" w14:textId="77777777" w:rsidR="0058578C" w:rsidRPr="00A634FA" w:rsidRDefault="0058578C" w:rsidP="00C344F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15C252D1" w14:textId="77777777" w:rsidR="0058578C" w:rsidRDefault="0058578C" w:rsidP="00C344F6">
            <w:pPr>
              <w:jc w:val="center"/>
              <w:rPr>
                <w:rFonts w:ascii="Arial Narrow" w:hAnsi="Arial Narrow"/>
                <w:color w:val="31849B"/>
                <w:sz w:val="16"/>
                <w:szCs w:val="16"/>
              </w:rPr>
            </w:pPr>
            <w:r w:rsidRPr="008805E5">
              <w:rPr>
                <w:rFonts w:ascii="Arial Narrow" w:hAnsi="Arial Narrow"/>
                <w:color w:val="31849B"/>
                <w:sz w:val="16"/>
                <w:szCs w:val="16"/>
              </w:rPr>
              <w:t>Aurukun Cape B Circuit</w:t>
            </w:r>
          </w:p>
          <w:p w14:paraId="184F82AE" w14:textId="5AEFD818" w:rsidR="0058578C" w:rsidRPr="008805E5" w:rsidRDefault="0058578C" w:rsidP="00C344F6">
            <w:pPr>
              <w:jc w:val="center"/>
              <w:rPr>
                <w:rFonts w:ascii="Arial Narrow" w:hAnsi="Arial Narrow"/>
                <w:sz w:val="16"/>
                <w:szCs w:val="16"/>
              </w:rPr>
            </w:pPr>
            <w:r w:rsidRPr="008805E5">
              <w:rPr>
                <w:rFonts w:ascii="Arial Narrow" w:hAnsi="Arial Narrow"/>
                <w:color w:val="31849B"/>
                <w:sz w:val="16"/>
                <w:szCs w:val="16"/>
              </w:rPr>
              <w:t>Doomadgee – Gulf Circuit</w:t>
            </w:r>
          </w:p>
        </w:tc>
      </w:tr>
      <w:tr w:rsidR="0058578C" w:rsidRPr="00BC2C5D" w14:paraId="038697FF"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2F181E50" w14:textId="77777777" w:rsidR="0058578C" w:rsidRDefault="0058578C"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4B4F9F74" w14:textId="77777777" w:rsidR="0058578C" w:rsidRPr="00A634FA" w:rsidRDefault="0058578C" w:rsidP="00C344F6">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48A50E6A" w14:textId="53847435" w:rsidR="0058578C" w:rsidRPr="00BC42F7" w:rsidRDefault="0058578C" w:rsidP="00C344F6">
            <w:pPr>
              <w:jc w:val="center"/>
              <w:rPr>
                <w:rFonts w:ascii="Arial Narrow" w:hAnsi="Arial Narrow" w:cs="Arial"/>
                <w:b/>
                <w:bCs/>
                <w:sz w:val="16"/>
                <w:szCs w:val="16"/>
              </w:rPr>
            </w:pPr>
            <w:r w:rsidRPr="00BC42F7">
              <w:rPr>
                <w:rFonts w:ascii="Arial Narrow" w:hAnsi="Arial Narrow" w:cs="Arial"/>
                <w:b/>
                <w:bCs/>
                <w:sz w:val="16"/>
                <w:szCs w:val="16"/>
              </w:rPr>
              <w:t>12</w:t>
            </w:r>
          </w:p>
        </w:tc>
        <w:tc>
          <w:tcPr>
            <w:tcW w:w="1162" w:type="dxa"/>
            <w:tcBorders>
              <w:top w:val="nil"/>
              <w:left w:val="single" w:sz="18" w:space="0" w:color="BFBFBF"/>
              <w:bottom w:val="single" w:sz="18" w:space="0" w:color="C0C0C0"/>
              <w:right w:val="single" w:sz="18" w:space="0" w:color="C0C0C0"/>
            </w:tcBorders>
            <w:shd w:val="clear" w:color="auto" w:fill="76923C"/>
            <w:vAlign w:val="center"/>
          </w:tcPr>
          <w:p w14:paraId="7F26DA36" w14:textId="7A88BB26" w:rsidR="0058578C" w:rsidRPr="00BC42F7" w:rsidRDefault="0058578C"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13</w:t>
            </w:r>
          </w:p>
        </w:tc>
        <w:tc>
          <w:tcPr>
            <w:tcW w:w="1162" w:type="dxa"/>
            <w:vMerge/>
            <w:tcBorders>
              <w:left w:val="single" w:sz="18" w:space="0" w:color="C0C0C0"/>
              <w:right w:val="single" w:sz="18" w:space="0" w:color="C0C0C0"/>
            </w:tcBorders>
            <w:shd w:val="clear" w:color="auto" w:fill="auto"/>
            <w:vAlign w:val="center"/>
          </w:tcPr>
          <w:p w14:paraId="108E446E" w14:textId="77777777" w:rsidR="0058578C" w:rsidRPr="00BC42F7" w:rsidRDefault="0058578C" w:rsidP="00C344F6">
            <w:pPr>
              <w:jc w:val="center"/>
              <w:rPr>
                <w:rFonts w:ascii="Arial Narrow" w:hAnsi="Arial Narrow" w:cs="Arial"/>
                <w:b/>
                <w:bCs/>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3CE3D859" w14:textId="77777777" w:rsidR="0058578C" w:rsidRPr="00A634FA" w:rsidRDefault="0058578C"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0BEFA481" w14:textId="77777777" w:rsidR="0058578C" w:rsidRPr="008805E5" w:rsidRDefault="0058578C" w:rsidP="00C344F6">
            <w:pPr>
              <w:jc w:val="center"/>
              <w:rPr>
                <w:rFonts w:ascii="Arial Narrow" w:hAnsi="Arial Narrow"/>
                <w:color w:val="31849B"/>
                <w:sz w:val="16"/>
                <w:szCs w:val="16"/>
              </w:rPr>
            </w:pPr>
          </w:p>
        </w:tc>
      </w:tr>
      <w:tr w:rsidR="0058578C" w:rsidRPr="00BC2C5D" w14:paraId="172CB696" w14:textId="77777777" w:rsidTr="00654C4B">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3C871EE" w14:textId="4A58645F" w:rsidR="0058578C" w:rsidRPr="00A634FA" w:rsidRDefault="0058578C" w:rsidP="00C344F6">
            <w:pPr>
              <w:jc w:val="center"/>
              <w:rPr>
                <w:rFonts w:ascii="Arial Narrow" w:hAnsi="Arial Narrow" w:cs="Arial"/>
                <w:sz w:val="16"/>
                <w:szCs w:val="16"/>
              </w:rPr>
            </w:pPr>
            <w:r>
              <w:rPr>
                <w:rFonts w:ascii="Arial Narrow" w:hAnsi="Arial Narrow" w:cs="Arial"/>
                <w:sz w:val="16"/>
                <w:szCs w:val="16"/>
              </w:rPr>
              <w:t>18 October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C75E46" w14:textId="38390FC0" w:rsidR="0058578C" w:rsidRPr="00A634FA" w:rsidRDefault="0058578C"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6A7880B7" w14:textId="14D2927C" w:rsidR="0058578C" w:rsidRPr="00BC42F7" w:rsidRDefault="0058578C"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19</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2BEECBCA" w14:textId="6EAD9A05" w:rsidR="0058578C" w:rsidRPr="00BC42F7" w:rsidRDefault="0058578C" w:rsidP="00C344F6">
            <w:pPr>
              <w:jc w:val="center"/>
              <w:rPr>
                <w:rFonts w:ascii="Arial Narrow" w:hAnsi="Arial Narrow" w:cs="Arial"/>
                <w:b/>
                <w:bCs/>
                <w:sz w:val="16"/>
                <w:szCs w:val="16"/>
              </w:rPr>
            </w:pPr>
            <w:r w:rsidRPr="00BC42F7">
              <w:rPr>
                <w:rFonts w:ascii="Arial Narrow" w:hAnsi="Arial Narrow" w:cs="Arial"/>
                <w:b/>
                <w:bCs/>
                <w:sz w:val="16"/>
                <w:szCs w:val="16"/>
              </w:rPr>
              <w:t>20</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030CE006" w14:textId="70E277AE" w:rsidR="0058578C" w:rsidRPr="00BC42F7" w:rsidRDefault="0058578C"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21</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58578C" w:rsidRPr="00A634FA" w:rsidRDefault="0058578C" w:rsidP="00C344F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7B200A01" w14:textId="659E8E99" w:rsidR="0058578C" w:rsidRPr="009E4A93" w:rsidRDefault="0058578C" w:rsidP="00C344F6">
            <w:pPr>
              <w:jc w:val="center"/>
              <w:rPr>
                <w:rFonts w:ascii="Arial Narrow" w:hAnsi="Arial Narrow" w:cs="Arial"/>
                <w:sz w:val="16"/>
                <w:szCs w:val="16"/>
              </w:rPr>
            </w:pPr>
          </w:p>
        </w:tc>
      </w:tr>
      <w:tr w:rsidR="0058578C" w:rsidRPr="00BC2C5D" w14:paraId="19936ED6"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4A05C402" w14:textId="77777777" w:rsidR="0058578C" w:rsidRDefault="0058578C"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5A3D4FA1" w14:textId="77777777" w:rsidR="0058578C" w:rsidRPr="00A634FA" w:rsidRDefault="0058578C" w:rsidP="00C344F6">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31849B"/>
            <w:vAlign w:val="center"/>
          </w:tcPr>
          <w:p w14:paraId="7D24A83B" w14:textId="56837967" w:rsidR="0058578C" w:rsidRPr="00BC42F7" w:rsidRDefault="0058578C"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19</w:t>
            </w:r>
          </w:p>
        </w:tc>
        <w:tc>
          <w:tcPr>
            <w:tcW w:w="1162" w:type="dxa"/>
            <w:vMerge/>
            <w:tcBorders>
              <w:left w:val="single" w:sz="18" w:space="0" w:color="BFBFBF"/>
              <w:right w:val="single" w:sz="18" w:space="0" w:color="C0C0C0"/>
            </w:tcBorders>
            <w:shd w:val="clear" w:color="auto" w:fill="auto"/>
            <w:vAlign w:val="center"/>
          </w:tcPr>
          <w:p w14:paraId="0256C9FC" w14:textId="77777777" w:rsidR="0058578C" w:rsidRPr="00BC42F7" w:rsidRDefault="0058578C" w:rsidP="00C344F6">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568F8769" w14:textId="77777777" w:rsidR="0058578C" w:rsidRPr="00BC42F7" w:rsidRDefault="0058578C" w:rsidP="00C344F6">
            <w:pPr>
              <w:jc w:val="center"/>
              <w:rPr>
                <w:rFonts w:ascii="Arial Narrow" w:hAnsi="Arial Narrow" w:cs="Arial"/>
                <w:b/>
                <w:bCs/>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5B4AB032" w14:textId="77777777" w:rsidR="0058578C" w:rsidRPr="00A634FA" w:rsidRDefault="0058578C"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5B5651F8" w14:textId="77777777" w:rsidR="0058578C" w:rsidRPr="009E4A93" w:rsidRDefault="0058578C" w:rsidP="00C344F6">
            <w:pPr>
              <w:jc w:val="center"/>
              <w:rPr>
                <w:rFonts w:ascii="Arial Narrow" w:hAnsi="Arial Narrow" w:cs="Arial"/>
                <w:sz w:val="16"/>
                <w:szCs w:val="16"/>
              </w:rPr>
            </w:pPr>
          </w:p>
        </w:tc>
      </w:tr>
      <w:tr w:rsidR="00432E06" w:rsidRPr="00BC2C5D" w14:paraId="512E60FF" w14:textId="77777777" w:rsidTr="00654C4B">
        <w:trPr>
          <w:trHeight w:val="567"/>
        </w:trPr>
        <w:tc>
          <w:tcPr>
            <w:tcW w:w="1526" w:type="dxa"/>
            <w:tcBorders>
              <w:top w:val="single" w:sz="18" w:space="0" w:color="BFBFBF"/>
              <w:left w:val="single" w:sz="18" w:space="0" w:color="auto"/>
              <w:bottom w:val="single" w:sz="18" w:space="0" w:color="auto"/>
              <w:right w:val="single" w:sz="18" w:space="0" w:color="C0C0C0"/>
            </w:tcBorders>
            <w:shd w:val="clear" w:color="auto" w:fill="auto"/>
            <w:vAlign w:val="center"/>
          </w:tcPr>
          <w:p w14:paraId="40EA42D4" w14:textId="3BF12702" w:rsidR="00432E06" w:rsidRPr="00A634FA" w:rsidRDefault="00432E06" w:rsidP="00C344F6">
            <w:pPr>
              <w:jc w:val="center"/>
              <w:rPr>
                <w:rFonts w:ascii="Arial Narrow" w:hAnsi="Arial Narrow" w:cs="Arial"/>
                <w:sz w:val="16"/>
                <w:szCs w:val="16"/>
              </w:rPr>
            </w:pPr>
            <w:r>
              <w:rPr>
                <w:rFonts w:ascii="Arial Narrow" w:hAnsi="Arial Narrow" w:cs="Arial"/>
                <w:sz w:val="16"/>
                <w:szCs w:val="16"/>
              </w:rPr>
              <w:t>25 October</w:t>
            </w:r>
          </w:p>
        </w:tc>
        <w:tc>
          <w:tcPr>
            <w:tcW w:w="1051" w:type="dxa"/>
            <w:tcBorders>
              <w:top w:val="single" w:sz="18" w:space="0" w:color="BFBFBF"/>
              <w:left w:val="single" w:sz="18" w:space="0" w:color="C0C0C0"/>
              <w:bottom w:val="single" w:sz="18" w:space="0" w:color="auto"/>
              <w:right w:val="single" w:sz="18" w:space="0" w:color="C0C0C0"/>
            </w:tcBorders>
            <w:shd w:val="clear" w:color="auto" w:fill="auto"/>
            <w:vAlign w:val="center"/>
          </w:tcPr>
          <w:p w14:paraId="7612969B" w14:textId="2E9DDB3B" w:rsidR="00432E06" w:rsidRPr="00C344F6" w:rsidRDefault="00432E06"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single" w:sz="18" w:space="0" w:color="auto"/>
              <w:right w:val="single" w:sz="18" w:space="0" w:color="BFBFBF"/>
            </w:tcBorders>
            <w:shd w:val="clear" w:color="auto" w:fill="A972A9"/>
            <w:vAlign w:val="center"/>
          </w:tcPr>
          <w:p w14:paraId="42289F1C" w14:textId="22FACA35" w:rsidR="00432E06" w:rsidRPr="00BC42F7" w:rsidRDefault="00BC42F7" w:rsidP="00C344F6">
            <w:pPr>
              <w:ind w:left="1440" w:hanging="1440"/>
              <w:jc w:val="center"/>
              <w:rPr>
                <w:rFonts w:ascii="Arial Narrow" w:hAnsi="Arial Narrow" w:cs="Arial"/>
                <w:b/>
                <w:bCs/>
                <w:sz w:val="16"/>
                <w:szCs w:val="16"/>
              </w:rPr>
            </w:pPr>
            <w:r w:rsidRPr="00BC42F7">
              <w:rPr>
                <w:rFonts w:ascii="Arial Narrow" w:hAnsi="Arial Narrow" w:cs="Arial"/>
                <w:b/>
                <w:bCs/>
                <w:sz w:val="16"/>
                <w:szCs w:val="16"/>
              </w:rPr>
              <w:t>26</w:t>
            </w:r>
          </w:p>
        </w:tc>
        <w:tc>
          <w:tcPr>
            <w:tcW w:w="1162" w:type="dxa"/>
            <w:tcBorders>
              <w:top w:val="single" w:sz="18" w:space="0" w:color="C0C0C0"/>
              <w:left w:val="single" w:sz="18" w:space="0" w:color="BFBFBF"/>
              <w:bottom w:val="single" w:sz="18" w:space="0" w:color="auto"/>
              <w:right w:val="single" w:sz="18" w:space="0" w:color="C0C0C0"/>
            </w:tcBorders>
            <w:shd w:val="clear" w:color="auto" w:fill="A972A9"/>
            <w:vAlign w:val="center"/>
          </w:tcPr>
          <w:p w14:paraId="2B6CD71B" w14:textId="5B240AE4" w:rsidR="00432E06" w:rsidRPr="00BC42F7" w:rsidRDefault="00BC42F7" w:rsidP="00C344F6">
            <w:pPr>
              <w:ind w:left="1440" w:hanging="1440"/>
              <w:jc w:val="center"/>
              <w:rPr>
                <w:rFonts w:ascii="Arial Narrow" w:hAnsi="Arial Narrow" w:cs="Arial"/>
                <w:b/>
                <w:bCs/>
                <w:sz w:val="16"/>
                <w:szCs w:val="16"/>
              </w:rPr>
            </w:pPr>
            <w:r w:rsidRPr="00BC42F7">
              <w:rPr>
                <w:rFonts w:ascii="Arial Narrow" w:hAnsi="Arial Narrow" w:cs="Arial"/>
                <w:b/>
                <w:bCs/>
                <w:sz w:val="16"/>
                <w:szCs w:val="16"/>
              </w:rPr>
              <w:t>27</w:t>
            </w:r>
          </w:p>
        </w:tc>
        <w:tc>
          <w:tcPr>
            <w:tcW w:w="1162" w:type="dxa"/>
            <w:tcBorders>
              <w:top w:val="single" w:sz="18" w:space="0" w:color="C0C0C0"/>
              <w:left w:val="single" w:sz="18" w:space="0" w:color="C0C0C0"/>
              <w:bottom w:val="single" w:sz="18" w:space="0" w:color="auto"/>
              <w:right w:val="single" w:sz="18" w:space="0" w:color="C0C0C0"/>
            </w:tcBorders>
            <w:shd w:val="clear" w:color="auto" w:fill="76923C"/>
            <w:vAlign w:val="center"/>
          </w:tcPr>
          <w:p w14:paraId="0984E9CC" w14:textId="17C2B150" w:rsidR="00432E06" w:rsidRPr="00BC42F7" w:rsidRDefault="00BC42F7"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28</w:t>
            </w:r>
          </w:p>
        </w:tc>
        <w:tc>
          <w:tcPr>
            <w:tcW w:w="1162" w:type="dxa"/>
            <w:tcBorders>
              <w:top w:val="single" w:sz="18" w:space="0" w:color="BFBFBF"/>
              <w:left w:val="single" w:sz="18" w:space="0" w:color="C0C0C0"/>
              <w:bottom w:val="single" w:sz="18" w:space="0" w:color="auto"/>
              <w:right w:val="single" w:sz="18" w:space="0" w:color="auto"/>
            </w:tcBorders>
            <w:shd w:val="clear" w:color="auto" w:fill="auto"/>
            <w:vAlign w:val="center"/>
          </w:tcPr>
          <w:p w14:paraId="4B09F96C" w14:textId="77777777" w:rsidR="00432E06" w:rsidRPr="00A634FA" w:rsidRDefault="00432E06" w:rsidP="00C344F6">
            <w:pPr>
              <w:jc w:val="center"/>
              <w:rPr>
                <w:rFonts w:ascii="Arial Narrow" w:hAnsi="Arial Narrow" w:cs="Arial"/>
                <w:color w:val="000000"/>
                <w:sz w:val="16"/>
                <w:szCs w:val="16"/>
              </w:rPr>
            </w:pPr>
          </w:p>
        </w:tc>
        <w:tc>
          <w:tcPr>
            <w:tcW w:w="3633" w:type="dxa"/>
            <w:gridSpan w:val="2"/>
            <w:tcBorders>
              <w:top w:val="single" w:sz="18" w:space="0" w:color="BFBFBF"/>
              <w:left w:val="single" w:sz="18" w:space="0" w:color="auto"/>
              <w:bottom w:val="single" w:sz="18" w:space="0" w:color="auto"/>
              <w:right w:val="single" w:sz="18" w:space="0" w:color="auto"/>
            </w:tcBorders>
            <w:shd w:val="clear" w:color="auto" w:fill="auto"/>
            <w:vAlign w:val="center"/>
          </w:tcPr>
          <w:p w14:paraId="58B2748E" w14:textId="3E41E517" w:rsidR="00432E06" w:rsidRPr="009E4A93" w:rsidRDefault="00432E06" w:rsidP="00C344F6">
            <w:pPr>
              <w:jc w:val="center"/>
              <w:rPr>
                <w:rFonts w:ascii="Arial Narrow" w:hAnsi="Arial Narrow" w:cs="Arial"/>
                <w:sz w:val="16"/>
                <w:szCs w:val="16"/>
              </w:rPr>
            </w:pPr>
          </w:p>
        </w:tc>
      </w:tr>
    </w:tbl>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3633"/>
      </w:tblGrid>
      <w:tr w:rsidR="00C5507C" w:rsidRPr="00BC2C5D" w14:paraId="57F3478D" w14:textId="77777777" w:rsidTr="00C5507C">
        <w:trPr>
          <w:trHeight w:val="567"/>
        </w:trPr>
        <w:tc>
          <w:tcPr>
            <w:tcW w:w="1526"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633"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A42988" w:rsidRPr="00BC2C5D" w14:paraId="0CE321A3" w14:textId="77777777" w:rsidTr="00EF680A">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696DAD36" w14:textId="21247D5B" w:rsidR="00A42988" w:rsidRPr="00390B39" w:rsidRDefault="002758AF" w:rsidP="00C5507C">
            <w:pPr>
              <w:jc w:val="center"/>
              <w:rPr>
                <w:rFonts w:ascii="Arial Narrow" w:hAnsi="Arial Narrow" w:cs="Arial"/>
                <w:sz w:val="16"/>
                <w:szCs w:val="16"/>
              </w:rPr>
            </w:pPr>
            <w:r>
              <w:rPr>
                <w:rFonts w:ascii="Arial Narrow" w:hAnsi="Arial Narrow" w:cs="Arial"/>
                <w:sz w:val="16"/>
                <w:szCs w:val="16"/>
              </w:rPr>
              <w:t>1 November</w:t>
            </w:r>
          </w:p>
        </w:tc>
        <w:tc>
          <w:tcPr>
            <w:tcW w:w="1051" w:type="dxa"/>
            <w:tcBorders>
              <w:top w:val="single" w:sz="18" w:space="0" w:color="C0C0C0"/>
              <w:left w:val="single" w:sz="18" w:space="0" w:color="C0C0C0"/>
              <w:right w:val="single" w:sz="18" w:space="0" w:color="C0C0C0"/>
            </w:tcBorders>
            <w:shd w:val="clear" w:color="auto" w:fill="auto"/>
            <w:vAlign w:val="center"/>
          </w:tcPr>
          <w:p w14:paraId="2F9AEB6D" w14:textId="78F033E8" w:rsidR="00A42988" w:rsidRPr="00C344F6" w:rsidRDefault="00A42988" w:rsidP="00C5507C">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auto"/>
            <w:vAlign w:val="center"/>
          </w:tcPr>
          <w:p w14:paraId="65468345" w14:textId="5CCEB27C" w:rsidR="00A42988" w:rsidRPr="00534C70" w:rsidRDefault="00A42988" w:rsidP="00193311">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auto"/>
            <w:vAlign w:val="center"/>
          </w:tcPr>
          <w:p w14:paraId="5D26E3A1" w14:textId="5C91B4B7" w:rsidR="00A42988" w:rsidRPr="00534C70" w:rsidRDefault="00A42988" w:rsidP="00C5507C">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auto"/>
            <w:vAlign w:val="center"/>
          </w:tcPr>
          <w:p w14:paraId="37F7711A" w14:textId="55B003E1" w:rsidR="00A42988" w:rsidRPr="00534C70" w:rsidRDefault="00A42988" w:rsidP="00C5507C">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2ABAD594" w14:textId="77777777" w:rsidR="00A42988" w:rsidRPr="00A634FA" w:rsidRDefault="00A42988" w:rsidP="00C5507C">
            <w:pPr>
              <w:jc w:val="center"/>
              <w:rPr>
                <w:rFonts w:ascii="Arial Narrow" w:hAnsi="Arial Narrow" w:cs="Arial"/>
                <w:sz w:val="16"/>
                <w:szCs w:val="16"/>
              </w:rPr>
            </w:pPr>
          </w:p>
        </w:tc>
        <w:tc>
          <w:tcPr>
            <w:tcW w:w="3633" w:type="dxa"/>
            <w:tcBorders>
              <w:top w:val="single" w:sz="18" w:space="0" w:color="C0C0C0"/>
              <w:left w:val="single" w:sz="18" w:space="0" w:color="auto"/>
              <w:right w:val="single" w:sz="18" w:space="0" w:color="auto"/>
            </w:tcBorders>
            <w:shd w:val="clear" w:color="auto" w:fill="auto"/>
            <w:vAlign w:val="center"/>
          </w:tcPr>
          <w:p w14:paraId="5CA04E27" w14:textId="79F37BA9" w:rsidR="00A42988" w:rsidRPr="008805E5" w:rsidRDefault="008805E5" w:rsidP="008805E5">
            <w:pPr>
              <w:jc w:val="center"/>
              <w:rPr>
                <w:rFonts w:ascii="Arial Narrow" w:hAnsi="Arial Narrow" w:cs="Arial"/>
                <w:sz w:val="16"/>
                <w:szCs w:val="16"/>
                <w:highlight w:val="yellow"/>
              </w:rPr>
            </w:pPr>
            <w:r w:rsidRPr="008805E5">
              <w:rPr>
                <w:rFonts w:ascii="Arial Narrow" w:hAnsi="Arial Narrow"/>
                <w:color w:val="31849B"/>
                <w:sz w:val="16"/>
                <w:szCs w:val="16"/>
              </w:rPr>
              <w:t>Cooktown – Circuit</w:t>
            </w:r>
          </w:p>
        </w:tc>
      </w:tr>
      <w:tr w:rsidR="00BC42F7" w:rsidRPr="00BC2C5D" w14:paraId="3EA964B8" w14:textId="77777777" w:rsidTr="00654C4B">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A6385D6" w14:textId="29D1CA95" w:rsidR="00BC42F7" w:rsidRPr="00390B39" w:rsidRDefault="00BC42F7" w:rsidP="00C5507C">
            <w:pPr>
              <w:jc w:val="center"/>
              <w:rPr>
                <w:rFonts w:ascii="Arial Narrow" w:hAnsi="Arial Narrow" w:cs="Arial"/>
                <w:sz w:val="16"/>
                <w:szCs w:val="16"/>
              </w:rPr>
            </w:pPr>
            <w:r>
              <w:rPr>
                <w:rFonts w:ascii="Arial Narrow" w:hAnsi="Arial Narrow" w:cs="Arial"/>
                <w:sz w:val="16"/>
                <w:szCs w:val="16"/>
              </w:rPr>
              <w:t>8 November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7120716" w14:textId="2460197C" w:rsidR="00BC42F7" w:rsidRPr="006C79D3" w:rsidRDefault="00BC42F7" w:rsidP="00C5507C">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79A68E23" w14:textId="67450909" w:rsidR="00BC42F7" w:rsidRPr="00BC42F7" w:rsidRDefault="00BC42F7" w:rsidP="00987E69">
            <w:pPr>
              <w:jc w:val="center"/>
              <w:rPr>
                <w:rFonts w:ascii="Arial Narrow" w:hAnsi="Arial Narrow" w:cs="Arial"/>
                <w:b/>
                <w:bCs/>
                <w:sz w:val="16"/>
                <w:szCs w:val="16"/>
              </w:rPr>
            </w:pPr>
            <w:r w:rsidRPr="00BC42F7">
              <w:rPr>
                <w:rFonts w:ascii="Arial Narrow" w:hAnsi="Arial Narrow" w:cs="Arial"/>
                <w:b/>
                <w:bCs/>
                <w:sz w:val="16"/>
                <w:szCs w:val="16"/>
              </w:rPr>
              <w:t>9</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05A7C8EF" w14:textId="2B8FFEB1" w:rsidR="00BC42F7" w:rsidRPr="00BC42F7" w:rsidRDefault="00BC42F7" w:rsidP="00C5507C">
            <w:pPr>
              <w:jc w:val="center"/>
              <w:rPr>
                <w:rFonts w:ascii="Arial Narrow" w:hAnsi="Arial Narrow" w:cs="Arial"/>
                <w:b/>
                <w:bCs/>
                <w:sz w:val="16"/>
                <w:szCs w:val="16"/>
              </w:rPr>
            </w:pPr>
            <w:r w:rsidRPr="00BC42F7">
              <w:rPr>
                <w:rFonts w:ascii="Arial Narrow" w:hAnsi="Arial Narrow" w:cs="Arial"/>
                <w:b/>
                <w:bCs/>
                <w:sz w:val="16"/>
                <w:szCs w:val="16"/>
              </w:rPr>
              <w:t>10</w:t>
            </w:r>
          </w:p>
        </w:tc>
        <w:tc>
          <w:tcPr>
            <w:tcW w:w="1162" w:type="dxa"/>
            <w:vMerge w:val="restart"/>
            <w:tcBorders>
              <w:top w:val="single" w:sz="18" w:space="0" w:color="C0C0C0"/>
              <w:left w:val="single" w:sz="18" w:space="0" w:color="C0C0C0"/>
              <w:right w:val="single" w:sz="18" w:space="0" w:color="C0C0C0"/>
            </w:tcBorders>
            <w:shd w:val="clear" w:color="auto" w:fill="auto"/>
            <w:vAlign w:val="center"/>
          </w:tcPr>
          <w:p w14:paraId="10D421D0" w14:textId="00A22F5E" w:rsidR="00BC42F7" w:rsidRPr="00F2298F" w:rsidRDefault="00BC42F7" w:rsidP="00987E69">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3521E9C0" w14:textId="77777777" w:rsidR="00BC42F7" w:rsidRPr="00A634FA" w:rsidRDefault="00BC42F7" w:rsidP="00C5507C">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1706F7F9" w14:textId="77777777" w:rsidR="00BC42F7" w:rsidRDefault="00BC42F7" w:rsidP="00C5507C">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p w14:paraId="711145A3" w14:textId="2D5865D6" w:rsidR="00BC42F7" w:rsidRPr="008805E5" w:rsidRDefault="00BC42F7" w:rsidP="00C5507C">
            <w:pPr>
              <w:jc w:val="center"/>
              <w:rPr>
                <w:rFonts w:ascii="Arial Narrow" w:hAnsi="Arial Narrow" w:cs="Arial"/>
                <w:sz w:val="16"/>
                <w:szCs w:val="16"/>
                <w:highlight w:val="yellow"/>
              </w:rPr>
            </w:pPr>
            <w:r w:rsidRPr="008805E5">
              <w:rPr>
                <w:rFonts w:ascii="Arial Narrow" w:hAnsi="Arial Narrow"/>
                <w:color w:val="31849B"/>
                <w:sz w:val="16"/>
                <w:szCs w:val="16"/>
              </w:rPr>
              <w:t>Doomadgee – Gulf Circuit</w:t>
            </w:r>
          </w:p>
        </w:tc>
      </w:tr>
      <w:tr w:rsidR="00BC42F7" w:rsidRPr="00BC2C5D" w14:paraId="240538DC"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5CE1B36B" w14:textId="77777777" w:rsidR="00BC42F7" w:rsidRDefault="00BC42F7" w:rsidP="00C5507C">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59ACE8A9" w14:textId="77777777" w:rsidR="00BC42F7" w:rsidRPr="006C79D3" w:rsidRDefault="00BC42F7" w:rsidP="00C5507C">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59667E99" w14:textId="5E787F13" w:rsidR="00BC42F7" w:rsidRPr="00BC42F7" w:rsidRDefault="00BC42F7" w:rsidP="00987E69">
            <w:pPr>
              <w:jc w:val="center"/>
              <w:rPr>
                <w:rFonts w:ascii="Arial Narrow" w:hAnsi="Arial Narrow" w:cs="Arial"/>
                <w:b/>
                <w:bCs/>
                <w:sz w:val="16"/>
                <w:szCs w:val="16"/>
              </w:rPr>
            </w:pPr>
            <w:r w:rsidRPr="00BC42F7">
              <w:rPr>
                <w:rFonts w:ascii="Arial Narrow" w:hAnsi="Arial Narrow" w:cs="Arial"/>
                <w:b/>
                <w:bCs/>
                <w:sz w:val="16"/>
                <w:szCs w:val="16"/>
              </w:rPr>
              <w:t>9</w:t>
            </w:r>
          </w:p>
        </w:tc>
        <w:tc>
          <w:tcPr>
            <w:tcW w:w="1162" w:type="dxa"/>
            <w:vMerge/>
            <w:tcBorders>
              <w:left w:val="single" w:sz="18" w:space="0" w:color="BFBFBF"/>
              <w:right w:val="single" w:sz="18" w:space="0" w:color="C0C0C0"/>
            </w:tcBorders>
            <w:shd w:val="clear" w:color="auto" w:fill="auto"/>
            <w:vAlign w:val="center"/>
          </w:tcPr>
          <w:p w14:paraId="4C13A04D" w14:textId="77777777" w:rsidR="00BC42F7" w:rsidRPr="00BC42F7" w:rsidRDefault="00BC42F7" w:rsidP="00C5507C">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27F99951" w14:textId="77777777" w:rsidR="00BC42F7" w:rsidRPr="00BC42F7" w:rsidRDefault="00BC42F7" w:rsidP="00987E69">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2D7B8F1F" w14:textId="77777777" w:rsidR="00BC42F7" w:rsidRPr="00A634FA" w:rsidRDefault="00BC42F7" w:rsidP="00C5507C">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782E51CE" w14:textId="77777777" w:rsidR="00BC42F7" w:rsidRPr="008805E5" w:rsidRDefault="00BC42F7" w:rsidP="00C5507C">
            <w:pPr>
              <w:jc w:val="center"/>
              <w:rPr>
                <w:rFonts w:ascii="Arial Narrow" w:hAnsi="Arial Narrow"/>
                <w:color w:val="31849B"/>
                <w:sz w:val="16"/>
                <w:szCs w:val="16"/>
              </w:rPr>
            </w:pPr>
          </w:p>
        </w:tc>
      </w:tr>
      <w:tr w:rsidR="00BC42F7" w:rsidRPr="00BC2C5D" w14:paraId="3766C4CB" w14:textId="77777777" w:rsidTr="007D1712">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F542D29" w14:textId="24F4DE02" w:rsidR="00BC42F7" w:rsidRDefault="00BC42F7" w:rsidP="00390B39">
            <w:pPr>
              <w:jc w:val="center"/>
              <w:rPr>
                <w:rFonts w:ascii="Arial Narrow" w:hAnsi="Arial Narrow" w:cs="Arial"/>
                <w:sz w:val="16"/>
                <w:szCs w:val="16"/>
              </w:rPr>
            </w:pPr>
            <w:r>
              <w:rPr>
                <w:rFonts w:ascii="Arial Narrow" w:hAnsi="Arial Narrow" w:cs="Arial"/>
                <w:sz w:val="16"/>
                <w:szCs w:val="16"/>
              </w:rPr>
              <w:t>15 November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B5526BB" w14:textId="2A88C627" w:rsidR="00BC42F7" w:rsidRPr="006C79D3" w:rsidRDefault="00BC42F7" w:rsidP="00390B39">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7CBBAD8B" w14:textId="175ACD43" w:rsidR="00BC42F7" w:rsidRPr="00BC42F7" w:rsidRDefault="00BC42F7" w:rsidP="00987E69">
            <w:pPr>
              <w:jc w:val="center"/>
              <w:rPr>
                <w:rFonts w:ascii="Arial Narrow" w:hAnsi="Arial Narrow" w:cs="Arial"/>
                <w:b/>
                <w:bCs/>
                <w:sz w:val="16"/>
                <w:szCs w:val="16"/>
              </w:rPr>
            </w:pPr>
            <w:r w:rsidRPr="00BC42F7">
              <w:rPr>
                <w:rFonts w:ascii="Arial Narrow" w:hAnsi="Arial Narrow" w:cs="Arial"/>
                <w:b/>
                <w:bCs/>
                <w:sz w:val="16"/>
                <w:szCs w:val="16"/>
              </w:rPr>
              <w:t>16</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46FDB6FD" w14:textId="05BF44A7" w:rsidR="00BC42F7" w:rsidRPr="00BC42F7" w:rsidRDefault="00BC42F7" w:rsidP="00390B39">
            <w:pPr>
              <w:jc w:val="center"/>
              <w:rPr>
                <w:rFonts w:ascii="Arial Narrow" w:hAnsi="Arial Narrow" w:cs="Arial"/>
                <w:b/>
                <w:bCs/>
                <w:sz w:val="16"/>
                <w:szCs w:val="16"/>
              </w:rPr>
            </w:pPr>
            <w:r w:rsidRPr="00BC42F7">
              <w:rPr>
                <w:rFonts w:ascii="Arial Narrow" w:hAnsi="Arial Narrow" w:cs="Arial"/>
                <w:b/>
                <w:bCs/>
                <w:sz w:val="16"/>
                <w:szCs w:val="16"/>
              </w:rPr>
              <w:t>17</w:t>
            </w:r>
          </w:p>
        </w:tc>
        <w:tc>
          <w:tcPr>
            <w:tcW w:w="1162" w:type="dxa"/>
            <w:vMerge w:val="restart"/>
            <w:tcBorders>
              <w:top w:val="single" w:sz="18" w:space="0" w:color="C0C0C0"/>
              <w:left w:val="single" w:sz="18" w:space="0" w:color="C0C0C0"/>
              <w:right w:val="single" w:sz="18" w:space="0" w:color="C0C0C0"/>
            </w:tcBorders>
            <w:shd w:val="clear" w:color="auto" w:fill="auto"/>
            <w:vAlign w:val="center"/>
          </w:tcPr>
          <w:p w14:paraId="0E61EDBE" w14:textId="362798DB" w:rsidR="00BC42F7" w:rsidRPr="007D1712" w:rsidRDefault="00BC42F7" w:rsidP="00390B39">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DEA3FBA" w14:textId="77777777" w:rsidR="00BC42F7" w:rsidRPr="00A634FA" w:rsidRDefault="00BC42F7" w:rsidP="00390B39">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7E9BBB20" w14:textId="1B231E91" w:rsidR="00BC42F7" w:rsidRPr="008805E5" w:rsidRDefault="00BC42F7" w:rsidP="009E4A93">
            <w:pPr>
              <w:jc w:val="center"/>
              <w:rPr>
                <w:rFonts w:ascii="Arial Narrow" w:hAnsi="Arial Narrow" w:cs="Arial"/>
                <w:sz w:val="16"/>
                <w:szCs w:val="16"/>
                <w:highlight w:val="yellow"/>
              </w:rPr>
            </w:pPr>
          </w:p>
        </w:tc>
      </w:tr>
      <w:tr w:rsidR="00BC42F7" w:rsidRPr="00BC2C5D" w14:paraId="40F451BC"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085677F9" w14:textId="77777777" w:rsidR="00BC42F7" w:rsidRDefault="00BC42F7" w:rsidP="00390B3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78452DC5" w14:textId="77777777" w:rsidR="00BC42F7" w:rsidRPr="006C79D3" w:rsidRDefault="00BC42F7" w:rsidP="00390B39">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cBorders>
            <w:shd w:val="clear" w:color="auto" w:fill="31849B"/>
            <w:vAlign w:val="center"/>
          </w:tcPr>
          <w:p w14:paraId="10F9E61D" w14:textId="242F4C77" w:rsidR="00BC42F7" w:rsidRPr="00BC42F7" w:rsidRDefault="00BC42F7" w:rsidP="00987E69">
            <w:pPr>
              <w:jc w:val="center"/>
              <w:rPr>
                <w:rFonts w:ascii="Arial Narrow" w:hAnsi="Arial Narrow" w:cs="Arial"/>
                <w:b/>
                <w:bCs/>
                <w:sz w:val="16"/>
                <w:szCs w:val="16"/>
              </w:rPr>
            </w:pPr>
            <w:r w:rsidRPr="00BC42F7">
              <w:rPr>
                <w:rFonts w:ascii="Arial Narrow" w:hAnsi="Arial Narrow" w:cs="Arial"/>
                <w:b/>
                <w:bCs/>
                <w:sz w:val="16"/>
                <w:szCs w:val="16"/>
              </w:rPr>
              <w:t>16</w:t>
            </w:r>
          </w:p>
        </w:tc>
        <w:tc>
          <w:tcPr>
            <w:tcW w:w="1162" w:type="dxa"/>
            <w:vMerge/>
            <w:tcBorders>
              <w:left w:val="single" w:sz="18" w:space="0" w:color="BFBFBF"/>
              <w:right w:val="single" w:sz="18" w:space="0" w:color="C0C0C0"/>
            </w:tcBorders>
            <w:shd w:val="clear" w:color="auto" w:fill="auto"/>
            <w:vAlign w:val="center"/>
          </w:tcPr>
          <w:p w14:paraId="5DFDB0A3" w14:textId="77777777" w:rsidR="00BC42F7" w:rsidRPr="00BC42F7" w:rsidRDefault="00BC42F7" w:rsidP="00390B39">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686E4FB4" w14:textId="77777777" w:rsidR="00BC42F7" w:rsidRPr="00BC42F7" w:rsidRDefault="00BC42F7" w:rsidP="00390B39">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6AF49B35" w14:textId="77777777" w:rsidR="00BC42F7" w:rsidRPr="00A634FA" w:rsidRDefault="00BC42F7"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44F332E5" w14:textId="77777777" w:rsidR="00BC42F7" w:rsidRPr="008805E5" w:rsidRDefault="00BC42F7" w:rsidP="009E4A93">
            <w:pPr>
              <w:jc w:val="center"/>
              <w:rPr>
                <w:rFonts w:ascii="Arial Narrow" w:hAnsi="Arial Narrow" w:cs="Arial"/>
                <w:sz w:val="16"/>
                <w:szCs w:val="16"/>
                <w:highlight w:val="yellow"/>
              </w:rPr>
            </w:pPr>
          </w:p>
        </w:tc>
      </w:tr>
      <w:tr w:rsidR="00534C70" w:rsidRPr="00BC2C5D" w14:paraId="2952A691" w14:textId="77777777" w:rsidTr="00654C4B">
        <w:trPr>
          <w:trHeight w:val="567"/>
        </w:trPr>
        <w:tc>
          <w:tcPr>
            <w:tcW w:w="1526" w:type="dxa"/>
            <w:tcBorders>
              <w:top w:val="single" w:sz="18" w:space="0" w:color="BFBFBF"/>
              <w:left w:val="single" w:sz="18" w:space="0" w:color="auto"/>
              <w:right w:val="single" w:sz="18" w:space="0" w:color="C0C0C0"/>
            </w:tcBorders>
            <w:shd w:val="clear" w:color="auto" w:fill="auto"/>
            <w:vAlign w:val="center"/>
          </w:tcPr>
          <w:p w14:paraId="219AC89F" w14:textId="1EA57351" w:rsidR="00534C70" w:rsidRPr="00A634FA" w:rsidRDefault="00534C70" w:rsidP="00390B39">
            <w:pPr>
              <w:jc w:val="center"/>
              <w:rPr>
                <w:rFonts w:ascii="Arial Narrow" w:hAnsi="Arial Narrow" w:cs="Arial"/>
                <w:sz w:val="16"/>
                <w:szCs w:val="16"/>
              </w:rPr>
            </w:pPr>
            <w:r>
              <w:rPr>
                <w:rFonts w:ascii="Arial Narrow" w:hAnsi="Arial Narrow" w:cs="Arial"/>
                <w:sz w:val="16"/>
                <w:szCs w:val="16"/>
              </w:rPr>
              <w:t>22 November</w:t>
            </w:r>
          </w:p>
        </w:tc>
        <w:tc>
          <w:tcPr>
            <w:tcW w:w="1051" w:type="dxa"/>
            <w:tcBorders>
              <w:top w:val="single" w:sz="18" w:space="0" w:color="BFBFBF"/>
              <w:left w:val="single" w:sz="18" w:space="0" w:color="C0C0C0"/>
              <w:right w:val="single" w:sz="18" w:space="0" w:color="C0C0C0"/>
            </w:tcBorders>
            <w:shd w:val="clear" w:color="auto" w:fill="auto"/>
            <w:vAlign w:val="center"/>
          </w:tcPr>
          <w:p w14:paraId="4A0F32FC" w14:textId="68686A64" w:rsidR="00534C70" w:rsidRPr="00A634FA" w:rsidRDefault="00534C70" w:rsidP="00390B39">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A972A9"/>
            <w:vAlign w:val="center"/>
          </w:tcPr>
          <w:p w14:paraId="4423C25E" w14:textId="69CF6E02" w:rsidR="00534C70" w:rsidRPr="00BC42F7" w:rsidRDefault="00BC42F7" w:rsidP="00390B39">
            <w:pPr>
              <w:jc w:val="center"/>
              <w:rPr>
                <w:rFonts w:ascii="Arial Narrow" w:hAnsi="Arial Narrow" w:cs="Arial"/>
                <w:b/>
                <w:bCs/>
                <w:sz w:val="16"/>
                <w:szCs w:val="16"/>
              </w:rPr>
            </w:pPr>
            <w:r w:rsidRPr="00BC42F7">
              <w:rPr>
                <w:rFonts w:ascii="Arial Narrow" w:hAnsi="Arial Narrow" w:cs="Arial"/>
                <w:b/>
                <w:bCs/>
                <w:sz w:val="16"/>
                <w:szCs w:val="16"/>
              </w:rPr>
              <w:t>23</w:t>
            </w:r>
          </w:p>
        </w:tc>
        <w:tc>
          <w:tcPr>
            <w:tcW w:w="1162" w:type="dxa"/>
            <w:tcBorders>
              <w:top w:val="single" w:sz="18" w:space="0" w:color="C0C0C0"/>
              <w:left w:val="single" w:sz="18" w:space="0" w:color="BFBFBF"/>
              <w:right w:val="single" w:sz="18" w:space="0" w:color="C0C0C0"/>
            </w:tcBorders>
            <w:shd w:val="clear" w:color="auto" w:fill="A972A9"/>
            <w:vAlign w:val="center"/>
          </w:tcPr>
          <w:p w14:paraId="2AE45B4E" w14:textId="33DB8058" w:rsidR="00534C70" w:rsidRPr="00BC42F7" w:rsidRDefault="00BC42F7" w:rsidP="00390B39">
            <w:pPr>
              <w:jc w:val="center"/>
              <w:rPr>
                <w:rFonts w:ascii="Arial Narrow" w:hAnsi="Arial Narrow" w:cs="Arial"/>
                <w:b/>
                <w:bCs/>
                <w:sz w:val="16"/>
                <w:szCs w:val="16"/>
              </w:rPr>
            </w:pPr>
            <w:r w:rsidRPr="00BC42F7">
              <w:rPr>
                <w:rFonts w:ascii="Arial Narrow" w:hAnsi="Arial Narrow" w:cs="Arial"/>
                <w:b/>
                <w:bCs/>
                <w:sz w:val="16"/>
                <w:szCs w:val="16"/>
              </w:rPr>
              <w:t>24</w:t>
            </w:r>
          </w:p>
        </w:tc>
        <w:tc>
          <w:tcPr>
            <w:tcW w:w="1162" w:type="dxa"/>
            <w:tcBorders>
              <w:top w:val="single" w:sz="18" w:space="0" w:color="C0C0C0"/>
              <w:left w:val="single" w:sz="18" w:space="0" w:color="C0C0C0"/>
              <w:right w:val="single" w:sz="18" w:space="0" w:color="C0C0C0"/>
            </w:tcBorders>
            <w:shd w:val="clear" w:color="auto" w:fill="76923C"/>
            <w:vAlign w:val="center"/>
          </w:tcPr>
          <w:p w14:paraId="158F79EF" w14:textId="1164EEB3" w:rsidR="00534C70" w:rsidRPr="00BC42F7" w:rsidRDefault="00BC42F7" w:rsidP="00987E69">
            <w:pPr>
              <w:jc w:val="center"/>
              <w:rPr>
                <w:rFonts w:ascii="Arial Narrow" w:hAnsi="Arial Narrow" w:cs="Arial"/>
                <w:b/>
                <w:bCs/>
                <w:sz w:val="16"/>
                <w:szCs w:val="16"/>
              </w:rPr>
            </w:pPr>
            <w:r w:rsidRPr="00BC42F7">
              <w:rPr>
                <w:rFonts w:ascii="Arial Narrow" w:hAnsi="Arial Narrow" w:cs="Arial"/>
                <w:b/>
                <w:bCs/>
                <w:sz w:val="16"/>
                <w:szCs w:val="16"/>
              </w:rPr>
              <w:t>25</w:t>
            </w:r>
          </w:p>
        </w:tc>
        <w:tc>
          <w:tcPr>
            <w:tcW w:w="1162" w:type="dxa"/>
            <w:tcBorders>
              <w:top w:val="single" w:sz="18" w:space="0" w:color="BFBFBF"/>
              <w:left w:val="single" w:sz="18" w:space="0" w:color="C0C0C0"/>
              <w:right w:val="single" w:sz="18" w:space="0" w:color="auto"/>
            </w:tcBorders>
            <w:shd w:val="clear" w:color="auto" w:fill="auto"/>
            <w:vAlign w:val="center"/>
          </w:tcPr>
          <w:p w14:paraId="3C457AF3" w14:textId="77777777" w:rsidR="00534C70" w:rsidRPr="00A634FA" w:rsidRDefault="00534C70" w:rsidP="00390B39">
            <w:pPr>
              <w:jc w:val="center"/>
              <w:rPr>
                <w:rFonts w:ascii="Arial Narrow" w:hAnsi="Arial Narrow" w:cs="Arial"/>
                <w:sz w:val="16"/>
                <w:szCs w:val="16"/>
              </w:rPr>
            </w:pPr>
          </w:p>
        </w:tc>
        <w:tc>
          <w:tcPr>
            <w:tcW w:w="3633" w:type="dxa"/>
            <w:tcBorders>
              <w:top w:val="single" w:sz="18" w:space="0" w:color="BFBFBF"/>
              <w:left w:val="single" w:sz="18" w:space="0" w:color="auto"/>
              <w:right w:val="single" w:sz="18" w:space="0" w:color="auto"/>
            </w:tcBorders>
            <w:shd w:val="clear" w:color="auto" w:fill="auto"/>
            <w:vAlign w:val="center"/>
          </w:tcPr>
          <w:p w14:paraId="6E6EBCEC" w14:textId="4A5B443B" w:rsidR="00534C70" w:rsidRPr="008805E5" w:rsidRDefault="00534C70" w:rsidP="00390B39">
            <w:pPr>
              <w:jc w:val="center"/>
              <w:rPr>
                <w:rFonts w:ascii="Arial Narrow" w:hAnsi="Arial Narrow" w:cs="Arial"/>
                <w:sz w:val="16"/>
                <w:szCs w:val="16"/>
              </w:rPr>
            </w:pPr>
          </w:p>
        </w:tc>
      </w:tr>
      <w:tr w:rsidR="0077794C" w:rsidRPr="00BC2C5D" w14:paraId="1CA5194F" w14:textId="77777777" w:rsidTr="0077794C">
        <w:trPr>
          <w:trHeight w:val="284"/>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2CCD3D4" w14:textId="2E1DB9B2" w:rsidR="0077794C" w:rsidRPr="00A634FA" w:rsidRDefault="0077794C" w:rsidP="00390B39">
            <w:pPr>
              <w:jc w:val="center"/>
              <w:rPr>
                <w:rFonts w:ascii="Arial Narrow" w:hAnsi="Arial Narrow" w:cs="Arial"/>
                <w:sz w:val="16"/>
                <w:szCs w:val="16"/>
              </w:rPr>
            </w:pPr>
            <w:r>
              <w:rPr>
                <w:rFonts w:ascii="Arial Narrow" w:hAnsi="Arial Narrow" w:cs="Arial"/>
                <w:sz w:val="16"/>
                <w:szCs w:val="16"/>
              </w:rPr>
              <w:t>29 November</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66E74CF9" w14:textId="77777777" w:rsidR="0077794C" w:rsidRPr="00A634FA" w:rsidRDefault="0077794C" w:rsidP="00390B39">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5280C7F2" w14:textId="38DC0758" w:rsidR="0077794C" w:rsidRPr="00BC42F7" w:rsidRDefault="0077794C" w:rsidP="00294AA0">
            <w:pPr>
              <w:jc w:val="center"/>
              <w:rPr>
                <w:rFonts w:ascii="Arial Narrow" w:hAnsi="Arial Narrow" w:cs="Arial"/>
                <w:b/>
                <w:bCs/>
                <w:color w:val="000000"/>
                <w:sz w:val="16"/>
                <w:szCs w:val="16"/>
              </w:rPr>
            </w:pPr>
            <w:r w:rsidRPr="00BC42F7">
              <w:rPr>
                <w:rFonts w:ascii="Arial Narrow" w:hAnsi="Arial Narrow" w:cs="Arial"/>
                <w:b/>
                <w:bCs/>
                <w:color w:val="000000"/>
                <w:sz w:val="16"/>
                <w:szCs w:val="16"/>
              </w:rPr>
              <w:t>30</w:t>
            </w:r>
          </w:p>
        </w:tc>
        <w:tc>
          <w:tcPr>
            <w:tcW w:w="1162"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31836070" w14:textId="63A0691C" w:rsidR="0077794C" w:rsidRPr="00BC42F7" w:rsidRDefault="0077794C" w:rsidP="00390B39">
            <w:pPr>
              <w:jc w:val="center"/>
              <w:rPr>
                <w:rFonts w:ascii="Arial Narrow" w:hAnsi="Arial Narrow" w:cs="Arial"/>
                <w:b/>
                <w:bCs/>
                <w:color w:val="000000"/>
                <w:sz w:val="16"/>
                <w:szCs w:val="16"/>
              </w:rPr>
            </w:pPr>
            <w:r w:rsidRPr="00BC42F7">
              <w:rPr>
                <w:rFonts w:ascii="Arial Narrow" w:hAnsi="Arial Narrow" w:cs="Arial"/>
                <w:b/>
                <w:bCs/>
                <w:color w:val="000000"/>
                <w:sz w:val="16"/>
                <w:szCs w:val="16"/>
              </w:rPr>
              <w:t>1</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18177425" w14:textId="1BED525B" w:rsidR="0077794C" w:rsidRPr="00BC42F7" w:rsidRDefault="0077794C" w:rsidP="00534C70">
            <w:pPr>
              <w:jc w:val="center"/>
              <w:rPr>
                <w:rFonts w:ascii="Arial Narrow" w:hAnsi="Arial Narrow" w:cs="Arial"/>
                <w:b/>
                <w:bCs/>
                <w:sz w:val="16"/>
                <w:szCs w:val="16"/>
              </w:rPr>
            </w:pPr>
            <w:r w:rsidRPr="00BC42F7">
              <w:rPr>
                <w:rFonts w:ascii="Arial Narrow" w:hAnsi="Arial Narrow" w:cs="Arial"/>
                <w:b/>
                <w:bCs/>
                <w:sz w:val="16"/>
                <w:szCs w:val="16"/>
              </w:rPr>
              <w:t>2</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56CF5F8B" w14:textId="77777777" w:rsidR="0077794C" w:rsidRPr="00A634FA" w:rsidRDefault="0077794C" w:rsidP="00390B39">
            <w:pPr>
              <w:jc w:val="center"/>
              <w:rPr>
                <w:rFonts w:ascii="Arial Narrow" w:hAnsi="Arial Narrow" w:cs="Arial"/>
                <w:sz w:val="16"/>
                <w:szCs w:val="16"/>
                <w:highlight w:val="yellow"/>
              </w:rPr>
            </w:pPr>
          </w:p>
        </w:tc>
        <w:tc>
          <w:tcPr>
            <w:tcW w:w="3633"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5B5208B1" w14:textId="77777777" w:rsidR="0077794C" w:rsidRDefault="0077794C" w:rsidP="008805E5">
            <w:pPr>
              <w:jc w:val="center"/>
              <w:rPr>
                <w:rFonts w:ascii="Arial Narrow" w:hAnsi="Arial Narrow"/>
                <w:color w:val="31849B"/>
                <w:sz w:val="16"/>
                <w:szCs w:val="16"/>
              </w:rPr>
            </w:pPr>
            <w:r w:rsidRPr="008805E5">
              <w:rPr>
                <w:rFonts w:ascii="Arial Narrow" w:hAnsi="Arial Narrow"/>
                <w:color w:val="31849B"/>
                <w:sz w:val="16"/>
                <w:szCs w:val="16"/>
              </w:rPr>
              <w:t>Cooktown – Circuit</w:t>
            </w:r>
          </w:p>
          <w:p w14:paraId="6C9148DC" w14:textId="553C4A89" w:rsidR="0077794C" w:rsidRPr="008805E5" w:rsidRDefault="0077794C" w:rsidP="008805E5">
            <w:pPr>
              <w:jc w:val="center"/>
              <w:rPr>
                <w:rFonts w:ascii="Arial Narrow" w:hAnsi="Arial Narrow" w:cs="Arial"/>
                <w:sz w:val="16"/>
                <w:szCs w:val="16"/>
                <w:highlight w:val="yellow"/>
              </w:rPr>
            </w:pPr>
            <w:r w:rsidRPr="009E4A93">
              <w:rPr>
                <w:rFonts w:ascii="Arial Narrow" w:hAnsi="Arial Narrow"/>
                <w:sz w:val="16"/>
                <w:szCs w:val="16"/>
              </w:rPr>
              <w:t>CYAAA, Aurukun and Doomadgee schools finish 2/12/2021</w:t>
            </w:r>
          </w:p>
        </w:tc>
      </w:tr>
      <w:tr w:rsidR="0077794C" w:rsidRPr="00BC2C5D" w14:paraId="35500B2E" w14:textId="77777777" w:rsidTr="0077794C">
        <w:trPr>
          <w:trHeight w:val="165"/>
        </w:trPr>
        <w:tc>
          <w:tcPr>
            <w:tcW w:w="1526" w:type="dxa"/>
            <w:vMerge/>
            <w:tcBorders>
              <w:left w:val="single" w:sz="18" w:space="0" w:color="auto"/>
              <w:right w:val="single" w:sz="18" w:space="0" w:color="C0C0C0"/>
            </w:tcBorders>
            <w:shd w:val="clear" w:color="auto" w:fill="auto"/>
            <w:vAlign w:val="center"/>
          </w:tcPr>
          <w:p w14:paraId="50E79FEA" w14:textId="77777777" w:rsidR="0077794C" w:rsidRDefault="0077794C" w:rsidP="00390B3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0EEAA53" w14:textId="77777777" w:rsidR="0077794C" w:rsidRPr="00A634FA" w:rsidRDefault="0077794C" w:rsidP="00390B39">
            <w:pPr>
              <w:jc w:val="center"/>
              <w:rPr>
                <w:rFonts w:ascii="Arial Narrow" w:hAnsi="Arial Narrow" w:cs="Arial"/>
                <w:sz w:val="16"/>
                <w:szCs w:val="16"/>
                <w:highlight w:val="yellow"/>
              </w:rPr>
            </w:pPr>
          </w:p>
        </w:tc>
        <w:tc>
          <w:tcPr>
            <w:tcW w:w="1162" w:type="dxa"/>
            <w:tcBorders>
              <w:top w:val="nil"/>
              <w:left w:val="single" w:sz="18" w:space="0" w:color="C0C0C0"/>
              <w:bottom w:val="nil"/>
              <w:right w:val="single" w:sz="18" w:space="0" w:color="BFBFBF"/>
            </w:tcBorders>
            <w:shd w:val="clear" w:color="auto" w:fill="31849B"/>
            <w:vAlign w:val="center"/>
          </w:tcPr>
          <w:p w14:paraId="3F091595" w14:textId="3B4F1333" w:rsidR="0077794C" w:rsidRPr="00BC42F7" w:rsidRDefault="0077794C" w:rsidP="00294AA0">
            <w:pPr>
              <w:jc w:val="center"/>
              <w:rPr>
                <w:rFonts w:ascii="Arial Narrow" w:hAnsi="Arial Narrow" w:cs="Arial"/>
                <w:b/>
                <w:bCs/>
                <w:color w:val="000000"/>
                <w:sz w:val="16"/>
                <w:szCs w:val="16"/>
              </w:rPr>
            </w:pPr>
            <w:r w:rsidRPr="00BC42F7">
              <w:rPr>
                <w:rFonts w:ascii="Arial Narrow" w:hAnsi="Arial Narrow" w:cs="Arial"/>
                <w:b/>
                <w:bCs/>
                <w:color w:val="000000"/>
                <w:sz w:val="16"/>
                <w:szCs w:val="16"/>
              </w:rPr>
              <w:t>30</w:t>
            </w:r>
          </w:p>
        </w:tc>
        <w:tc>
          <w:tcPr>
            <w:tcW w:w="1162" w:type="dxa"/>
            <w:vMerge w:val="restart"/>
            <w:tcBorders>
              <w:top w:val="nil"/>
              <w:left w:val="single" w:sz="18" w:space="0" w:color="BFBFBF"/>
              <w:bottom w:val="single" w:sz="18" w:space="0" w:color="auto"/>
              <w:right w:val="single" w:sz="18" w:space="0" w:color="C0C0C0"/>
            </w:tcBorders>
            <w:shd w:val="clear" w:color="auto" w:fill="A972A9"/>
            <w:vAlign w:val="center"/>
          </w:tcPr>
          <w:p w14:paraId="5A8DD064" w14:textId="23AE7053" w:rsidR="0077794C" w:rsidRPr="00BC42F7" w:rsidRDefault="0077794C" w:rsidP="00390B39">
            <w:pPr>
              <w:jc w:val="center"/>
              <w:rPr>
                <w:rFonts w:ascii="Arial Narrow" w:hAnsi="Arial Narrow" w:cs="Arial"/>
                <w:b/>
                <w:bCs/>
                <w:color w:val="000000"/>
                <w:sz w:val="16"/>
                <w:szCs w:val="16"/>
              </w:rPr>
            </w:pPr>
            <w:r>
              <w:rPr>
                <w:rFonts w:ascii="Arial Narrow" w:hAnsi="Arial Narrow" w:cs="Arial"/>
                <w:b/>
                <w:bCs/>
                <w:color w:val="000000"/>
                <w:sz w:val="16"/>
                <w:szCs w:val="16"/>
              </w:rPr>
              <w:t>1</w:t>
            </w:r>
          </w:p>
        </w:tc>
        <w:tc>
          <w:tcPr>
            <w:tcW w:w="1162" w:type="dxa"/>
            <w:vMerge/>
            <w:tcBorders>
              <w:left w:val="single" w:sz="18" w:space="0" w:color="C0C0C0"/>
              <w:right w:val="single" w:sz="18" w:space="0" w:color="C0C0C0"/>
            </w:tcBorders>
            <w:shd w:val="clear" w:color="auto" w:fill="auto"/>
            <w:vAlign w:val="center"/>
          </w:tcPr>
          <w:p w14:paraId="0D806F50" w14:textId="77777777" w:rsidR="0077794C" w:rsidRPr="00BC42F7" w:rsidRDefault="0077794C" w:rsidP="00534C70">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133B0185" w14:textId="77777777" w:rsidR="0077794C" w:rsidRPr="00A634FA" w:rsidRDefault="0077794C" w:rsidP="00390B39">
            <w:pPr>
              <w:jc w:val="center"/>
              <w:rPr>
                <w:rFonts w:ascii="Arial Narrow" w:hAnsi="Arial Narrow" w:cs="Arial"/>
                <w:sz w:val="16"/>
                <w:szCs w:val="16"/>
                <w:highlight w:val="yellow"/>
              </w:rPr>
            </w:pPr>
          </w:p>
        </w:tc>
        <w:tc>
          <w:tcPr>
            <w:tcW w:w="3633" w:type="dxa"/>
            <w:vMerge/>
            <w:tcBorders>
              <w:left w:val="single" w:sz="18" w:space="0" w:color="auto"/>
              <w:right w:val="single" w:sz="18" w:space="0" w:color="auto"/>
            </w:tcBorders>
            <w:shd w:val="clear" w:color="auto" w:fill="auto"/>
            <w:vAlign w:val="center"/>
          </w:tcPr>
          <w:p w14:paraId="59B5FA4C" w14:textId="77777777" w:rsidR="0077794C" w:rsidRPr="008805E5" w:rsidRDefault="0077794C" w:rsidP="008805E5">
            <w:pPr>
              <w:jc w:val="center"/>
              <w:rPr>
                <w:rFonts w:ascii="Arial Narrow" w:hAnsi="Arial Narrow"/>
                <w:color w:val="31849B"/>
                <w:sz w:val="16"/>
                <w:szCs w:val="16"/>
              </w:rPr>
            </w:pPr>
          </w:p>
        </w:tc>
      </w:tr>
      <w:tr w:rsidR="0077794C" w:rsidRPr="00BC2C5D" w14:paraId="6D2AA187" w14:textId="77777777" w:rsidTr="0077794C">
        <w:trPr>
          <w:trHeight w:val="165"/>
        </w:trPr>
        <w:tc>
          <w:tcPr>
            <w:tcW w:w="1526" w:type="dxa"/>
            <w:vMerge/>
            <w:tcBorders>
              <w:left w:val="single" w:sz="18" w:space="0" w:color="auto"/>
              <w:right w:val="single" w:sz="18" w:space="0" w:color="C0C0C0"/>
            </w:tcBorders>
            <w:shd w:val="clear" w:color="auto" w:fill="auto"/>
            <w:vAlign w:val="center"/>
          </w:tcPr>
          <w:p w14:paraId="7640C9F3" w14:textId="77777777" w:rsidR="0077794C" w:rsidRDefault="0077794C" w:rsidP="00390B3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E906165" w14:textId="77777777" w:rsidR="0077794C" w:rsidRPr="00A634FA" w:rsidRDefault="0077794C" w:rsidP="00390B39">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auto"/>
              <w:right w:val="single" w:sz="18" w:space="0" w:color="BFBFBF"/>
            </w:tcBorders>
            <w:shd w:val="clear" w:color="auto" w:fill="A972A9"/>
            <w:vAlign w:val="center"/>
          </w:tcPr>
          <w:p w14:paraId="73F52BBE" w14:textId="3E537B50" w:rsidR="0077794C" w:rsidRPr="00BC42F7" w:rsidRDefault="0077794C" w:rsidP="00294AA0">
            <w:pPr>
              <w:jc w:val="center"/>
              <w:rPr>
                <w:rFonts w:ascii="Arial Narrow" w:hAnsi="Arial Narrow" w:cs="Arial"/>
                <w:b/>
                <w:bCs/>
                <w:color w:val="000000"/>
                <w:sz w:val="16"/>
                <w:szCs w:val="16"/>
              </w:rPr>
            </w:pPr>
            <w:r>
              <w:rPr>
                <w:rFonts w:ascii="Arial Narrow" w:hAnsi="Arial Narrow" w:cs="Arial"/>
                <w:b/>
                <w:bCs/>
                <w:color w:val="000000"/>
                <w:sz w:val="16"/>
                <w:szCs w:val="16"/>
              </w:rPr>
              <w:t>30</w:t>
            </w:r>
          </w:p>
        </w:tc>
        <w:tc>
          <w:tcPr>
            <w:tcW w:w="1162" w:type="dxa"/>
            <w:vMerge/>
            <w:tcBorders>
              <w:top w:val="single" w:sz="18" w:space="0" w:color="FFFFFF"/>
              <w:left w:val="single" w:sz="18" w:space="0" w:color="BFBFBF"/>
              <w:bottom w:val="single" w:sz="18" w:space="0" w:color="auto"/>
              <w:right w:val="single" w:sz="18" w:space="0" w:color="C0C0C0"/>
            </w:tcBorders>
            <w:shd w:val="clear" w:color="auto" w:fill="A972A9"/>
            <w:vAlign w:val="center"/>
          </w:tcPr>
          <w:p w14:paraId="1F9BFFE0" w14:textId="77777777" w:rsidR="0077794C" w:rsidRPr="00BC42F7" w:rsidRDefault="0077794C" w:rsidP="00390B39">
            <w:pPr>
              <w:jc w:val="center"/>
              <w:rPr>
                <w:rFonts w:ascii="Arial Narrow" w:hAnsi="Arial Narrow" w:cs="Arial"/>
                <w:b/>
                <w:bCs/>
                <w:color w:val="000000"/>
                <w:sz w:val="16"/>
                <w:szCs w:val="16"/>
              </w:rPr>
            </w:pPr>
          </w:p>
        </w:tc>
        <w:tc>
          <w:tcPr>
            <w:tcW w:w="1162" w:type="dxa"/>
            <w:vMerge/>
            <w:tcBorders>
              <w:left w:val="single" w:sz="18" w:space="0" w:color="C0C0C0"/>
              <w:right w:val="single" w:sz="18" w:space="0" w:color="C0C0C0"/>
            </w:tcBorders>
            <w:shd w:val="clear" w:color="auto" w:fill="auto"/>
            <w:vAlign w:val="center"/>
          </w:tcPr>
          <w:p w14:paraId="3EB404EC" w14:textId="77777777" w:rsidR="0077794C" w:rsidRPr="00BC42F7" w:rsidRDefault="0077794C" w:rsidP="00534C70">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1B2DB5B1" w14:textId="77777777" w:rsidR="0077794C" w:rsidRPr="00A634FA" w:rsidRDefault="0077794C" w:rsidP="00390B39">
            <w:pPr>
              <w:jc w:val="center"/>
              <w:rPr>
                <w:rFonts w:ascii="Arial Narrow" w:hAnsi="Arial Narrow" w:cs="Arial"/>
                <w:sz w:val="16"/>
                <w:szCs w:val="16"/>
                <w:highlight w:val="yellow"/>
              </w:rPr>
            </w:pPr>
          </w:p>
        </w:tc>
        <w:tc>
          <w:tcPr>
            <w:tcW w:w="3633" w:type="dxa"/>
            <w:vMerge/>
            <w:tcBorders>
              <w:left w:val="single" w:sz="18" w:space="0" w:color="auto"/>
              <w:right w:val="single" w:sz="18" w:space="0" w:color="auto"/>
            </w:tcBorders>
            <w:shd w:val="clear" w:color="auto" w:fill="auto"/>
            <w:vAlign w:val="center"/>
          </w:tcPr>
          <w:p w14:paraId="43A0069E" w14:textId="77777777" w:rsidR="0077794C" w:rsidRPr="008805E5" w:rsidRDefault="0077794C" w:rsidP="008805E5">
            <w:pPr>
              <w:jc w:val="center"/>
              <w:rPr>
                <w:rFonts w:ascii="Arial Narrow" w:hAnsi="Arial Narrow"/>
                <w:color w:val="31849B"/>
                <w:sz w:val="16"/>
                <w:szCs w:val="16"/>
              </w:rPr>
            </w:pPr>
          </w:p>
        </w:tc>
      </w:tr>
      <w:tr w:rsidR="0077794C" w:rsidRPr="00BC2C5D" w14:paraId="6A282D96" w14:textId="77777777" w:rsidTr="0059537C">
        <w:trPr>
          <w:trHeight w:val="661"/>
        </w:trPr>
        <w:tc>
          <w:tcPr>
            <w:tcW w:w="1526" w:type="dxa"/>
            <w:tcBorders>
              <w:top w:val="single" w:sz="18" w:space="0" w:color="auto"/>
              <w:left w:val="single" w:sz="18" w:space="0" w:color="auto"/>
              <w:right w:val="single" w:sz="18" w:space="0" w:color="C0C0C0"/>
            </w:tcBorders>
            <w:shd w:val="clear" w:color="auto" w:fill="auto"/>
            <w:vAlign w:val="center"/>
          </w:tcPr>
          <w:p w14:paraId="6D86D990" w14:textId="1432C075" w:rsidR="0077794C" w:rsidRPr="00A634FA" w:rsidRDefault="0077794C" w:rsidP="00313AD9">
            <w:pPr>
              <w:jc w:val="center"/>
              <w:rPr>
                <w:rFonts w:ascii="Arial Narrow" w:hAnsi="Arial Narrow" w:cs="Arial"/>
                <w:sz w:val="16"/>
                <w:szCs w:val="16"/>
              </w:rPr>
            </w:pPr>
            <w:r>
              <w:rPr>
                <w:rFonts w:ascii="Arial Narrow" w:hAnsi="Arial Narrow" w:cs="Arial"/>
                <w:sz w:val="16"/>
                <w:szCs w:val="16"/>
              </w:rPr>
              <w:t>6 December</w:t>
            </w:r>
          </w:p>
        </w:tc>
        <w:tc>
          <w:tcPr>
            <w:tcW w:w="1051" w:type="dxa"/>
            <w:tcBorders>
              <w:top w:val="single" w:sz="18" w:space="0" w:color="auto"/>
              <w:left w:val="single" w:sz="18" w:space="0" w:color="C0C0C0"/>
              <w:right w:val="single" w:sz="18" w:space="0" w:color="C0C0C0"/>
            </w:tcBorders>
            <w:shd w:val="clear" w:color="auto" w:fill="auto"/>
            <w:vAlign w:val="center"/>
          </w:tcPr>
          <w:p w14:paraId="695555CE" w14:textId="61BB7C07" w:rsidR="0077794C" w:rsidRPr="00A634FA" w:rsidRDefault="0077794C" w:rsidP="00313AD9">
            <w:pPr>
              <w:jc w:val="center"/>
              <w:rPr>
                <w:rFonts w:ascii="Arial Narrow" w:hAnsi="Arial Narrow" w:cs="Arial"/>
                <w:sz w:val="16"/>
                <w:szCs w:val="16"/>
                <w:highlight w:val="yellow"/>
              </w:rPr>
            </w:pPr>
          </w:p>
        </w:tc>
        <w:tc>
          <w:tcPr>
            <w:tcW w:w="1162" w:type="dxa"/>
            <w:tcBorders>
              <w:top w:val="single" w:sz="18" w:space="0" w:color="auto"/>
              <w:left w:val="single" w:sz="18" w:space="0" w:color="C0C0C0"/>
              <w:right w:val="single" w:sz="18" w:space="0" w:color="BFBFBF"/>
            </w:tcBorders>
            <w:shd w:val="clear" w:color="auto" w:fill="FFFF00"/>
            <w:vAlign w:val="center"/>
          </w:tcPr>
          <w:p w14:paraId="09C9C0A4" w14:textId="76FD4D4F" w:rsidR="0077794C" w:rsidRPr="00BC42F7" w:rsidRDefault="0077794C" w:rsidP="001F0A2E">
            <w:pPr>
              <w:jc w:val="center"/>
              <w:rPr>
                <w:rFonts w:ascii="Arial Narrow" w:hAnsi="Arial Narrow" w:cs="Arial"/>
                <w:b/>
                <w:bCs/>
                <w:color w:val="000000"/>
                <w:sz w:val="16"/>
                <w:szCs w:val="16"/>
              </w:rPr>
            </w:pPr>
            <w:r w:rsidRPr="00BC42F7">
              <w:rPr>
                <w:rFonts w:ascii="Arial Narrow" w:hAnsi="Arial Narrow" w:cs="Arial"/>
                <w:b/>
                <w:bCs/>
                <w:color w:val="000000"/>
                <w:sz w:val="16"/>
                <w:szCs w:val="16"/>
              </w:rPr>
              <w:t>7</w:t>
            </w:r>
          </w:p>
        </w:tc>
        <w:tc>
          <w:tcPr>
            <w:tcW w:w="1162" w:type="dxa"/>
            <w:tcBorders>
              <w:top w:val="single" w:sz="18" w:space="0" w:color="auto"/>
              <w:left w:val="single" w:sz="18" w:space="0" w:color="BFBFBF"/>
              <w:right w:val="single" w:sz="18" w:space="0" w:color="C0C0C0"/>
            </w:tcBorders>
            <w:shd w:val="clear" w:color="auto" w:fill="auto"/>
            <w:vAlign w:val="center"/>
          </w:tcPr>
          <w:p w14:paraId="1BF01046" w14:textId="5D2026E3" w:rsidR="0077794C" w:rsidRPr="009B2B44" w:rsidRDefault="0077794C" w:rsidP="00534C70">
            <w:pPr>
              <w:jc w:val="center"/>
              <w:rPr>
                <w:rFonts w:ascii="Arial Narrow" w:hAnsi="Arial Narrow" w:cs="Arial"/>
                <w:color w:val="000000"/>
                <w:sz w:val="16"/>
                <w:szCs w:val="16"/>
              </w:rPr>
            </w:pPr>
          </w:p>
        </w:tc>
        <w:tc>
          <w:tcPr>
            <w:tcW w:w="1162" w:type="dxa"/>
            <w:tcBorders>
              <w:top w:val="single" w:sz="18" w:space="0" w:color="auto"/>
              <w:left w:val="single" w:sz="18" w:space="0" w:color="C0C0C0"/>
              <w:right w:val="single" w:sz="18" w:space="0" w:color="C0C0C0"/>
            </w:tcBorders>
            <w:shd w:val="clear" w:color="auto" w:fill="76923C"/>
            <w:vAlign w:val="center"/>
          </w:tcPr>
          <w:p w14:paraId="63AD05D9" w14:textId="2A8FEE24" w:rsidR="0077794C" w:rsidRPr="00BC42F7" w:rsidRDefault="0077794C" w:rsidP="00313AD9">
            <w:pPr>
              <w:jc w:val="center"/>
              <w:rPr>
                <w:rFonts w:ascii="Arial Narrow" w:hAnsi="Arial Narrow" w:cs="Arial"/>
                <w:b/>
                <w:bCs/>
                <w:sz w:val="16"/>
                <w:szCs w:val="16"/>
              </w:rPr>
            </w:pPr>
            <w:r w:rsidRPr="00BC42F7">
              <w:rPr>
                <w:rFonts w:ascii="Arial Narrow" w:hAnsi="Arial Narrow" w:cs="Arial"/>
                <w:b/>
                <w:bCs/>
                <w:sz w:val="16"/>
                <w:szCs w:val="16"/>
              </w:rPr>
              <w:t>9</w:t>
            </w:r>
          </w:p>
        </w:tc>
        <w:tc>
          <w:tcPr>
            <w:tcW w:w="1162" w:type="dxa"/>
            <w:tcBorders>
              <w:top w:val="single" w:sz="18" w:space="0" w:color="auto"/>
              <w:left w:val="single" w:sz="18" w:space="0" w:color="C0C0C0"/>
              <w:right w:val="single" w:sz="18" w:space="0" w:color="auto"/>
            </w:tcBorders>
            <w:shd w:val="clear" w:color="auto" w:fill="auto"/>
            <w:vAlign w:val="center"/>
          </w:tcPr>
          <w:p w14:paraId="7FC64D6A" w14:textId="77777777" w:rsidR="0077794C" w:rsidRPr="00A634FA" w:rsidRDefault="0077794C" w:rsidP="00313AD9">
            <w:pPr>
              <w:jc w:val="center"/>
              <w:rPr>
                <w:rFonts w:ascii="Arial Narrow" w:hAnsi="Arial Narrow" w:cs="Arial"/>
                <w:sz w:val="16"/>
                <w:szCs w:val="16"/>
                <w:highlight w:val="yellow"/>
              </w:rPr>
            </w:pPr>
          </w:p>
        </w:tc>
        <w:tc>
          <w:tcPr>
            <w:tcW w:w="3633" w:type="dxa"/>
            <w:tcBorders>
              <w:top w:val="single" w:sz="18" w:space="0" w:color="auto"/>
              <w:left w:val="single" w:sz="18" w:space="0" w:color="auto"/>
              <w:right w:val="single" w:sz="18" w:space="0" w:color="auto"/>
            </w:tcBorders>
            <w:shd w:val="clear" w:color="auto" w:fill="auto"/>
            <w:vAlign w:val="center"/>
          </w:tcPr>
          <w:p w14:paraId="24C0F620" w14:textId="0E69D092" w:rsidR="0077794C" w:rsidRPr="008805E5" w:rsidRDefault="0077794C" w:rsidP="008805E5">
            <w:pPr>
              <w:jc w:val="center"/>
              <w:rPr>
                <w:rFonts w:ascii="Arial Narrow" w:hAnsi="Arial Narrow"/>
                <w:sz w:val="16"/>
                <w:szCs w:val="16"/>
              </w:rPr>
            </w:pPr>
            <w:r>
              <w:rPr>
                <w:rFonts w:ascii="Arial Narrow" w:hAnsi="Arial Narrow"/>
                <w:sz w:val="16"/>
                <w:szCs w:val="16"/>
              </w:rPr>
              <w:t>Mossman schools finish 10/12/2021</w:t>
            </w:r>
          </w:p>
          <w:p w14:paraId="44AB1C0F" w14:textId="77777777" w:rsidR="0077794C" w:rsidRDefault="0077794C" w:rsidP="008805E5">
            <w:pPr>
              <w:jc w:val="center"/>
              <w:rPr>
                <w:rFonts w:ascii="Arial Narrow" w:hAnsi="Arial Narrow"/>
                <w:color w:val="31849B"/>
                <w:sz w:val="16"/>
                <w:szCs w:val="16"/>
              </w:rPr>
            </w:pPr>
            <w:r w:rsidRPr="008805E5">
              <w:rPr>
                <w:rFonts w:ascii="Arial Narrow" w:hAnsi="Arial Narrow"/>
                <w:color w:val="31849B"/>
                <w:sz w:val="16"/>
                <w:szCs w:val="16"/>
              </w:rPr>
              <w:t>Aurukun Cape B Circuit</w:t>
            </w:r>
          </w:p>
          <w:p w14:paraId="7594D7D0" w14:textId="736045CF" w:rsidR="0077794C" w:rsidRPr="008805E5" w:rsidRDefault="0077794C" w:rsidP="008805E5">
            <w:pPr>
              <w:jc w:val="center"/>
              <w:rPr>
                <w:rFonts w:ascii="Arial Narrow" w:hAnsi="Arial Narrow"/>
                <w:sz w:val="16"/>
                <w:szCs w:val="16"/>
              </w:rPr>
            </w:pPr>
            <w:r w:rsidRPr="008805E5">
              <w:rPr>
                <w:rFonts w:ascii="Arial Narrow" w:hAnsi="Arial Narrow"/>
                <w:color w:val="31849B"/>
                <w:sz w:val="16"/>
                <w:szCs w:val="16"/>
              </w:rPr>
              <w:t>Doomadgee – Gulf Circuit</w:t>
            </w:r>
          </w:p>
        </w:tc>
      </w:tr>
      <w:tr w:rsidR="00534C70" w:rsidRPr="00BC2C5D" w14:paraId="5AD4A603" w14:textId="77777777" w:rsidTr="00EF680A">
        <w:trPr>
          <w:trHeight w:val="567"/>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2D60E9BD" w:rsidR="00534C70" w:rsidRDefault="00534C70" w:rsidP="00313AD9">
            <w:pPr>
              <w:jc w:val="center"/>
              <w:rPr>
                <w:rFonts w:ascii="Arial Narrow" w:hAnsi="Arial Narrow" w:cs="Arial"/>
                <w:sz w:val="16"/>
                <w:szCs w:val="16"/>
              </w:rPr>
            </w:pPr>
            <w:r>
              <w:rPr>
                <w:rFonts w:ascii="Arial Narrow" w:hAnsi="Arial Narrow" w:cs="Arial"/>
                <w:sz w:val="16"/>
                <w:szCs w:val="16"/>
              </w:rPr>
              <w:t>13 December</w:t>
            </w:r>
          </w:p>
        </w:tc>
        <w:tc>
          <w:tcPr>
            <w:tcW w:w="1051" w:type="dxa"/>
            <w:tcBorders>
              <w:top w:val="single" w:sz="18" w:space="0" w:color="BFBFBF" w:themeColor="background1" w:themeShade="BF"/>
              <w:left w:val="single" w:sz="18" w:space="0" w:color="C0C0C0"/>
              <w:right w:val="single" w:sz="18" w:space="0" w:color="C0C0C0"/>
            </w:tcBorders>
            <w:shd w:val="clear" w:color="auto" w:fill="D9D9D9"/>
            <w:vAlign w:val="center"/>
          </w:tcPr>
          <w:p w14:paraId="7C9E53CD" w14:textId="77777777" w:rsidR="00534C70" w:rsidRPr="00A634FA" w:rsidRDefault="00534C70" w:rsidP="00313AD9">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right w:val="single" w:sz="18" w:space="0" w:color="BFBFBF"/>
            </w:tcBorders>
            <w:shd w:val="clear" w:color="auto" w:fill="D9D9D9"/>
            <w:vAlign w:val="center"/>
          </w:tcPr>
          <w:p w14:paraId="6101D748" w14:textId="24A106E8" w:rsidR="00534C70" w:rsidRPr="00534C70" w:rsidRDefault="00534C70" w:rsidP="00534C70">
            <w:pPr>
              <w:jc w:val="center"/>
              <w:rPr>
                <w:rFonts w:ascii="Arial Narrow" w:hAnsi="Arial Narrow" w:cs="Arial"/>
                <w:color w:val="000000"/>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1EACD015" w14:textId="53F67D4C" w:rsidR="00534C70" w:rsidRPr="00534C70" w:rsidRDefault="00534C70" w:rsidP="00313AD9">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66B770D2" w14:textId="5092AF46" w:rsidR="00534C70" w:rsidRPr="00534C70" w:rsidRDefault="00534C70" w:rsidP="004B316F">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26701529" w14:textId="77777777" w:rsidR="00534C70" w:rsidRPr="00A634FA" w:rsidRDefault="00534C70" w:rsidP="00313AD9">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right w:val="single" w:sz="18" w:space="0" w:color="auto"/>
            </w:tcBorders>
            <w:shd w:val="clear" w:color="auto" w:fill="D9D9D9"/>
            <w:vAlign w:val="center"/>
          </w:tcPr>
          <w:p w14:paraId="34E89CD0" w14:textId="6BDAA42B" w:rsidR="00534C70" w:rsidRPr="008805E5" w:rsidRDefault="00534C70" w:rsidP="009E4A93">
            <w:pPr>
              <w:jc w:val="center"/>
              <w:rPr>
                <w:rFonts w:ascii="Arial Narrow" w:hAnsi="Arial Narrow"/>
                <w:sz w:val="16"/>
                <w:szCs w:val="16"/>
              </w:rPr>
            </w:pPr>
          </w:p>
        </w:tc>
      </w:tr>
      <w:tr w:rsidR="002B2062" w:rsidRPr="00BC2C5D" w14:paraId="358400C0" w14:textId="77777777" w:rsidTr="00EF680A">
        <w:trPr>
          <w:trHeight w:val="567"/>
        </w:trPr>
        <w:tc>
          <w:tcPr>
            <w:tcW w:w="1526"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7F3CCD7D" w14:textId="4F1C37A3" w:rsidR="002B2062" w:rsidRDefault="00BB36D8" w:rsidP="002B2062">
            <w:pPr>
              <w:jc w:val="center"/>
              <w:rPr>
                <w:rFonts w:ascii="Arial Narrow" w:hAnsi="Arial Narrow" w:cs="Arial"/>
                <w:sz w:val="16"/>
                <w:szCs w:val="16"/>
              </w:rPr>
            </w:pPr>
            <w:r>
              <w:rPr>
                <w:rFonts w:ascii="Arial Narrow" w:hAnsi="Arial Narrow" w:cs="Arial"/>
                <w:sz w:val="16"/>
                <w:szCs w:val="16"/>
              </w:rPr>
              <w:t>20 December</w:t>
            </w:r>
          </w:p>
        </w:tc>
        <w:tc>
          <w:tcPr>
            <w:tcW w:w="1051"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5AA43F07" w14:textId="77777777" w:rsidR="002B2062" w:rsidRPr="00A634FA" w:rsidRDefault="002B2062" w:rsidP="002B2062">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single" w:sz="18" w:space="0" w:color="BFBFBF" w:themeColor="background1" w:themeShade="BF"/>
              <w:right w:val="single" w:sz="18" w:space="0" w:color="BFBFBF"/>
            </w:tcBorders>
            <w:shd w:val="clear" w:color="auto" w:fill="D9D9D9"/>
            <w:vAlign w:val="center"/>
          </w:tcPr>
          <w:p w14:paraId="6A12CAE1"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D9D9D9"/>
            <w:vAlign w:val="center"/>
          </w:tcPr>
          <w:p w14:paraId="6DFE03AF"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44E04AA2" w14:textId="77777777" w:rsidR="002B2062" w:rsidRDefault="002B2062" w:rsidP="002B2062">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D9D9D9"/>
            <w:vAlign w:val="center"/>
          </w:tcPr>
          <w:p w14:paraId="6B9BFEA4" w14:textId="5F89072E" w:rsidR="002B2062" w:rsidRPr="00A634FA" w:rsidRDefault="002B2062" w:rsidP="002B2062">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D9D9D9"/>
            <w:vAlign w:val="center"/>
          </w:tcPr>
          <w:p w14:paraId="5A84D8F4" w14:textId="4F6318A6" w:rsidR="002B2062" w:rsidRPr="008805E5" w:rsidRDefault="002B2062" w:rsidP="002B2062">
            <w:pPr>
              <w:jc w:val="center"/>
              <w:rPr>
                <w:rFonts w:ascii="Arial Narrow" w:hAnsi="Arial Narrow"/>
                <w:sz w:val="16"/>
                <w:szCs w:val="16"/>
              </w:rPr>
            </w:pPr>
          </w:p>
        </w:tc>
      </w:tr>
      <w:tr w:rsidR="002B2062" w:rsidRPr="00BC2C5D" w14:paraId="454096CA" w14:textId="77777777" w:rsidTr="00EF680A">
        <w:trPr>
          <w:trHeight w:val="567"/>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4DFE7608" w14:textId="1336DEBF" w:rsidR="002B2062" w:rsidRDefault="00BB36D8" w:rsidP="002B2062">
            <w:pPr>
              <w:jc w:val="center"/>
              <w:rPr>
                <w:rFonts w:ascii="Arial Narrow" w:hAnsi="Arial Narrow" w:cs="Arial"/>
                <w:sz w:val="16"/>
                <w:szCs w:val="16"/>
              </w:rPr>
            </w:pPr>
            <w:r>
              <w:rPr>
                <w:rFonts w:ascii="Arial Narrow" w:hAnsi="Arial Narrow" w:cs="Arial"/>
                <w:sz w:val="16"/>
                <w:szCs w:val="16"/>
              </w:rPr>
              <w:t>27 December</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360302F3" w14:textId="08057450" w:rsidR="002B2062" w:rsidRPr="00A634FA" w:rsidRDefault="00534C70" w:rsidP="002B2062">
            <w:pPr>
              <w:jc w:val="center"/>
              <w:rPr>
                <w:rFonts w:ascii="Arial Narrow" w:hAnsi="Arial Narrow" w:cs="Arial"/>
                <w:sz w:val="16"/>
                <w:szCs w:val="16"/>
                <w:highlight w:val="yellow"/>
              </w:rPr>
            </w:pPr>
            <w:r w:rsidRPr="004E471D">
              <w:rPr>
                <w:rFonts w:ascii="Arial Narrow" w:hAnsi="Arial Narrow" w:cs="Arial"/>
                <w:color w:val="FF0000"/>
                <w:sz w:val="16"/>
                <w:szCs w:val="16"/>
                <w:highlight w:val="yellow"/>
              </w:rPr>
              <w:t>Public Holiday</w:t>
            </w: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D9D9D9"/>
            <w:vAlign w:val="center"/>
          </w:tcPr>
          <w:p w14:paraId="2C94E94A" w14:textId="544BD224" w:rsidR="002B2062" w:rsidRDefault="00534C70" w:rsidP="002B2062">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67C67A85"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4573AD3" w14:textId="77777777" w:rsidR="002B2062" w:rsidRDefault="002B2062" w:rsidP="002B2062">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617889D1" w14:textId="26E552FE" w:rsidR="002B2062" w:rsidRPr="00A634FA" w:rsidRDefault="002B2062" w:rsidP="002B2062">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684BF69B" w14:textId="1F318F52" w:rsidR="002B2062" w:rsidRPr="008E728C" w:rsidRDefault="009E4A93" w:rsidP="002B2062">
            <w:pPr>
              <w:jc w:val="center"/>
              <w:rPr>
                <w:rFonts w:ascii="Arial Narrow" w:hAnsi="Arial Narrow"/>
                <w:sz w:val="16"/>
                <w:szCs w:val="16"/>
              </w:rPr>
            </w:pPr>
            <w:r w:rsidRPr="009E4A93">
              <w:rPr>
                <w:rFonts w:ascii="Arial Narrow" w:hAnsi="Arial Narrow"/>
                <w:sz w:val="16"/>
                <w:szCs w:val="16"/>
                <w:highlight w:val="yellow"/>
              </w:rPr>
              <w:t>27 Christmas Day and 28 Boxing Day Public Holidays,</w:t>
            </w:r>
            <w:r>
              <w:rPr>
                <w:rFonts w:ascii="Arial Narrow" w:hAnsi="Arial Narrow"/>
                <w:sz w:val="16"/>
                <w:szCs w:val="16"/>
              </w:rPr>
              <w:br/>
              <w:t xml:space="preserve"> 29, 30, 31 Office closed for XMAS</w:t>
            </w:r>
          </w:p>
        </w:tc>
      </w:tr>
    </w:tbl>
    <w:p w14:paraId="76B33384" w14:textId="074FAC56" w:rsidR="00D017C0" w:rsidRDefault="00D017C0" w:rsidP="004B316F">
      <w:pPr>
        <w:spacing w:line="240" w:lineRule="auto"/>
        <w:jc w:val="both"/>
        <w:rPr>
          <w:rFonts w:cs="Arial"/>
          <w:sz w:val="16"/>
          <w:szCs w:val="16"/>
        </w:rPr>
      </w:pPr>
    </w:p>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shd w:val="clear" w:color="auto" w:fill="auto"/>
          </w:tcPr>
          <w:p w14:paraId="2A743319" w14:textId="77777777" w:rsidR="00FA3323" w:rsidRPr="00D20D53" w:rsidRDefault="00FA3323" w:rsidP="00A15FC1">
            <w:pPr>
              <w:rPr>
                <w:rFonts w:ascii="Arial Narrow" w:hAnsi="Arial Narrow"/>
                <w:sz w:val="18"/>
                <w:szCs w:val="18"/>
              </w:rPr>
            </w:pPr>
            <w:r w:rsidRPr="00D20D53">
              <w:rPr>
                <w:rFonts w:ascii="Arial" w:hAnsi="Arial" w:cs="Arial"/>
                <w:sz w:val="18"/>
                <w:szCs w:val="18"/>
              </w:rPr>
              <w:t>Office Days</w:t>
            </w:r>
          </w:p>
        </w:tc>
      </w:tr>
      <w:tr w:rsidR="00FA3323" w:rsidRPr="0036066B" w14:paraId="2B38FB28" w14:textId="77777777" w:rsidTr="00F10DE3">
        <w:tc>
          <w:tcPr>
            <w:tcW w:w="710" w:type="dxa"/>
            <w:tcBorders>
              <w:bottom w:val="single" w:sz="4" w:space="0" w:color="auto"/>
            </w:tcBorders>
            <w:shd w:val="clear" w:color="auto" w:fill="FFFF00"/>
          </w:tcPr>
          <w:p w14:paraId="1001310F" w14:textId="77777777" w:rsidR="00FA3323" w:rsidRPr="0036066B" w:rsidRDefault="00FA3323" w:rsidP="00A15FC1">
            <w:pPr>
              <w:rPr>
                <w:rFonts w:ascii="Arial Narrow" w:hAnsi="Arial Narrow"/>
              </w:rPr>
            </w:pPr>
          </w:p>
        </w:tc>
        <w:tc>
          <w:tcPr>
            <w:tcW w:w="2693" w:type="dxa"/>
            <w:shd w:val="clear" w:color="auto" w:fill="auto"/>
          </w:tcPr>
          <w:p w14:paraId="18C3D116" w14:textId="77777777" w:rsidR="00FA3323" w:rsidRPr="00D20D53" w:rsidRDefault="00FA3323" w:rsidP="00A15FC1">
            <w:pPr>
              <w:rPr>
                <w:rFonts w:ascii="Arial Narrow" w:hAnsi="Arial Narrow"/>
                <w:sz w:val="18"/>
                <w:szCs w:val="18"/>
              </w:rPr>
            </w:pPr>
            <w:r w:rsidRPr="00D20D53">
              <w:rPr>
                <w:rFonts w:ascii="Arial" w:hAnsi="Arial" w:cs="Arial"/>
                <w:sz w:val="18"/>
                <w:szCs w:val="18"/>
              </w:rPr>
              <w:t>Public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shd w:val="clear" w:color="auto" w:fill="auto"/>
          </w:tcPr>
          <w:p w14:paraId="7F8BE1A9" w14:textId="77777777" w:rsidR="00FA3323" w:rsidRPr="00D20D53" w:rsidRDefault="00FA3323" w:rsidP="00A15FC1">
            <w:pPr>
              <w:rPr>
                <w:rFonts w:ascii="Arial Narrow" w:hAnsi="Arial Narrow"/>
                <w:sz w:val="18"/>
                <w:szCs w:val="18"/>
              </w:rPr>
            </w:pPr>
            <w:r w:rsidRPr="00D20D53">
              <w:rPr>
                <w:rFonts w:ascii="Arial" w:hAnsi="Arial" w:cs="Arial"/>
                <w:sz w:val="18"/>
                <w:szCs w:val="18"/>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shd w:val="clear" w:color="auto" w:fill="auto"/>
          </w:tcPr>
          <w:p w14:paraId="4E9239C3" w14:textId="77777777" w:rsidR="00FA3323" w:rsidRPr="00D20D53" w:rsidRDefault="00FA3323" w:rsidP="00A15FC1">
            <w:pPr>
              <w:rPr>
                <w:rFonts w:ascii="Arial Narrow" w:hAnsi="Arial Narrow"/>
                <w:sz w:val="18"/>
                <w:szCs w:val="18"/>
              </w:rPr>
            </w:pPr>
            <w:r w:rsidRPr="00D20D53">
              <w:rPr>
                <w:rFonts w:ascii="Arial" w:hAnsi="Arial" w:cs="Arial"/>
                <w:sz w:val="18"/>
                <w:szCs w:val="18"/>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shd w:val="clear" w:color="auto" w:fill="auto"/>
          </w:tcPr>
          <w:p w14:paraId="65C1800C" w14:textId="77777777" w:rsidR="00FA3323" w:rsidRPr="00D20D53" w:rsidRDefault="00FA3323" w:rsidP="00A15FC1">
            <w:pPr>
              <w:rPr>
                <w:rFonts w:ascii="Arial" w:hAnsi="Arial" w:cs="Arial"/>
                <w:sz w:val="18"/>
                <w:szCs w:val="18"/>
              </w:rPr>
            </w:pPr>
            <w:r w:rsidRPr="00D20D53">
              <w:rPr>
                <w:rFonts w:ascii="Arial" w:hAnsi="Arial" w:cs="Arial"/>
                <w:sz w:val="18"/>
                <w:szCs w:val="18"/>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shd w:val="clear" w:color="auto" w:fill="auto"/>
          </w:tcPr>
          <w:p w14:paraId="4F5A30B1" w14:textId="77777777" w:rsidR="00FA3323" w:rsidRPr="00D20D53" w:rsidRDefault="00FA3323" w:rsidP="00A15FC1">
            <w:pPr>
              <w:rPr>
                <w:rFonts w:ascii="Arial Narrow" w:hAnsi="Arial Narrow"/>
                <w:sz w:val="18"/>
                <w:szCs w:val="18"/>
              </w:rPr>
            </w:pPr>
            <w:r w:rsidRPr="00D20D53">
              <w:rPr>
                <w:rFonts w:ascii="Arial" w:hAnsi="Arial" w:cs="Arial"/>
                <w:sz w:val="18"/>
                <w:szCs w:val="18"/>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shd w:val="clear" w:color="auto" w:fill="auto"/>
          </w:tcPr>
          <w:p w14:paraId="28FFD9ED" w14:textId="77777777" w:rsidR="00FA3323" w:rsidRPr="00D20D53" w:rsidRDefault="00FA3323" w:rsidP="00A15FC1">
            <w:pPr>
              <w:rPr>
                <w:rFonts w:ascii="Arial Narrow" w:hAnsi="Arial Narrow"/>
                <w:sz w:val="18"/>
                <w:szCs w:val="18"/>
              </w:rPr>
            </w:pPr>
            <w:r w:rsidRPr="00D20D53">
              <w:rPr>
                <w:rFonts w:ascii="Arial" w:hAnsi="Arial" w:cs="Arial"/>
                <w:sz w:val="18"/>
                <w:szCs w:val="18"/>
              </w:rPr>
              <w:t>Mossman Gorge Sitting</w:t>
            </w:r>
          </w:p>
        </w:tc>
      </w:tr>
      <w:tr w:rsidR="00FA3323" w:rsidRPr="0036066B" w14:paraId="7ED2E4FF" w14:textId="77777777" w:rsidTr="00F10DE3">
        <w:tc>
          <w:tcPr>
            <w:tcW w:w="710" w:type="dxa"/>
            <w:shd w:val="clear" w:color="auto" w:fill="auto"/>
          </w:tcPr>
          <w:p w14:paraId="095F5B2E" w14:textId="77777777" w:rsidR="00FA3323" w:rsidRPr="0036066B" w:rsidRDefault="00FA3323" w:rsidP="00A15FC1">
            <w:pPr>
              <w:jc w:val="center"/>
              <w:rPr>
                <w:rFonts w:ascii="Arial Narrow" w:hAnsi="Arial Narrow"/>
              </w:rPr>
            </w:pPr>
            <w:r w:rsidRPr="0036066B">
              <w:rPr>
                <w:rFonts w:ascii="Arial" w:hAnsi="Arial" w:cs="Arial"/>
                <w:strike/>
              </w:rPr>
              <w:t>0</w:t>
            </w:r>
          </w:p>
        </w:tc>
        <w:tc>
          <w:tcPr>
            <w:tcW w:w="2693" w:type="dxa"/>
            <w:shd w:val="clear" w:color="auto" w:fill="auto"/>
          </w:tcPr>
          <w:p w14:paraId="2A3999ED" w14:textId="77777777" w:rsidR="00FA3323" w:rsidRPr="00D20D53" w:rsidRDefault="00FA3323" w:rsidP="00A15FC1">
            <w:pPr>
              <w:rPr>
                <w:rFonts w:ascii="Arial Narrow" w:hAnsi="Arial Narrow"/>
                <w:sz w:val="18"/>
                <w:szCs w:val="18"/>
              </w:rPr>
            </w:pPr>
            <w:r w:rsidRPr="00D20D53">
              <w:rPr>
                <w:rFonts w:ascii="Arial" w:hAnsi="Arial" w:cs="Arial"/>
                <w:sz w:val="18"/>
                <w:szCs w:val="18"/>
              </w:rPr>
              <w:t>Cancelled Conference</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E67BBC" w:rsidRPr="00D83311" w14:paraId="7AC0CA1E" w14:textId="77777777" w:rsidTr="00F10DE3">
        <w:trPr>
          <w:trHeight w:val="284"/>
        </w:trPr>
        <w:tc>
          <w:tcPr>
            <w:tcW w:w="3686" w:type="dxa"/>
            <w:shd w:val="clear" w:color="auto" w:fill="auto"/>
            <w:vAlign w:val="center"/>
          </w:tcPr>
          <w:p w14:paraId="4EA8313E" w14:textId="48D91B63" w:rsidR="00E67BBC" w:rsidRPr="00D20D53" w:rsidRDefault="00E67BBC" w:rsidP="00E67BBC">
            <w:pPr>
              <w:rPr>
                <w:rFonts w:ascii="Arial" w:hAnsi="Arial" w:cs="Arial"/>
                <w:sz w:val="18"/>
                <w:szCs w:val="18"/>
              </w:rPr>
            </w:pPr>
            <w:r w:rsidRPr="00D20D53">
              <w:rPr>
                <w:rFonts w:ascii="Arial" w:hAnsi="Arial" w:cs="Arial"/>
                <w:sz w:val="18"/>
                <w:szCs w:val="18"/>
              </w:rPr>
              <w:t>Cairns – Commissioner</w:t>
            </w:r>
          </w:p>
        </w:tc>
        <w:tc>
          <w:tcPr>
            <w:tcW w:w="2308" w:type="dxa"/>
            <w:shd w:val="clear" w:color="auto" w:fill="auto"/>
            <w:vAlign w:val="center"/>
          </w:tcPr>
          <w:p w14:paraId="2575E680" w14:textId="769E5A2D" w:rsidR="00E67BBC" w:rsidRPr="00D20D53" w:rsidRDefault="00E67BBC" w:rsidP="00E67BBC">
            <w:pPr>
              <w:rPr>
                <w:rFonts w:ascii="Arial" w:hAnsi="Arial" w:cs="Arial"/>
                <w:sz w:val="18"/>
                <w:szCs w:val="18"/>
              </w:rPr>
            </w:pPr>
            <w:r w:rsidRPr="00D20D53">
              <w:rPr>
                <w:rFonts w:ascii="Arial" w:hAnsi="Arial" w:cs="Arial"/>
                <w:sz w:val="18"/>
                <w:szCs w:val="18"/>
              </w:rPr>
              <w:t>Tammy Williams</w:t>
            </w:r>
          </w:p>
        </w:tc>
        <w:tc>
          <w:tcPr>
            <w:tcW w:w="1261" w:type="dxa"/>
            <w:shd w:val="clear" w:color="auto" w:fill="auto"/>
            <w:vAlign w:val="center"/>
          </w:tcPr>
          <w:p w14:paraId="37188136" w14:textId="3259BC56" w:rsidR="00E67BBC" w:rsidRPr="00D20D53" w:rsidRDefault="00E67BBC" w:rsidP="00E67BBC">
            <w:pPr>
              <w:jc w:val="center"/>
              <w:rPr>
                <w:rFonts w:ascii="Arial" w:hAnsi="Arial" w:cs="Arial"/>
                <w:sz w:val="18"/>
                <w:szCs w:val="18"/>
              </w:rPr>
            </w:pPr>
            <w:r w:rsidRPr="00D20D53">
              <w:rPr>
                <w:rFonts w:ascii="Arial" w:hAnsi="Arial" w:cs="Arial"/>
                <w:sz w:val="18"/>
                <w:szCs w:val="18"/>
              </w:rPr>
              <w:t>4081 8413</w:t>
            </w:r>
          </w:p>
        </w:tc>
        <w:tc>
          <w:tcPr>
            <w:tcW w:w="1535" w:type="dxa"/>
            <w:shd w:val="clear" w:color="auto" w:fill="auto"/>
            <w:vAlign w:val="center"/>
          </w:tcPr>
          <w:p w14:paraId="4221BDBF" w14:textId="4DFDE73D" w:rsidR="00E67BBC" w:rsidRPr="00D20D53" w:rsidRDefault="00E67BBC" w:rsidP="00E67BBC">
            <w:pPr>
              <w:jc w:val="center"/>
              <w:rPr>
                <w:rFonts w:ascii="Arial" w:hAnsi="Arial" w:cs="Arial"/>
                <w:sz w:val="18"/>
                <w:szCs w:val="18"/>
              </w:rPr>
            </w:pPr>
            <w:r w:rsidRPr="00D20D53">
              <w:rPr>
                <w:rFonts w:ascii="Arial" w:hAnsi="Arial" w:cs="Arial"/>
                <w:sz w:val="18"/>
                <w:szCs w:val="18"/>
              </w:rPr>
              <w:t>0447 739 137</w:t>
            </w:r>
          </w:p>
        </w:tc>
        <w:tc>
          <w:tcPr>
            <w:tcW w:w="1275" w:type="dxa"/>
            <w:shd w:val="clear" w:color="auto" w:fill="auto"/>
            <w:vAlign w:val="center"/>
          </w:tcPr>
          <w:p w14:paraId="23792D04" w14:textId="3CA3CDB1" w:rsidR="00E67BBC" w:rsidRPr="00D20D53" w:rsidRDefault="00E67BBC" w:rsidP="00E67BBC">
            <w:pPr>
              <w:jc w:val="center"/>
              <w:rPr>
                <w:rFonts w:ascii="Arial" w:hAnsi="Arial" w:cs="Arial"/>
                <w:sz w:val="18"/>
                <w:szCs w:val="18"/>
              </w:rPr>
            </w:pPr>
            <w:r w:rsidRPr="00D20D53">
              <w:rPr>
                <w:rFonts w:ascii="Arial" w:hAnsi="Arial" w:cs="Arial"/>
                <w:sz w:val="18"/>
                <w:szCs w:val="18"/>
              </w:rPr>
              <w:t>4041 0974</w:t>
            </w:r>
          </w:p>
        </w:tc>
      </w:tr>
      <w:tr w:rsidR="00B60E22" w:rsidRPr="00D83311" w14:paraId="161495AE" w14:textId="77777777" w:rsidTr="00F10DE3">
        <w:trPr>
          <w:trHeight w:val="284"/>
        </w:trPr>
        <w:tc>
          <w:tcPr>
            <w:tcW w:w="3686" w:type="dxa"/>
            <w:shd w:val="clear" w:color="auto" w:fill="auto"/>
            <w:vAlign w:val="center"/>
          </w:tcPr>
          <w:p w14:paraId="162B3C56" w14:textId="4D607764" w:rsidR="00B60E22" w:rsidRPr="00D20D53" w:rsidRDefault="00B60E22" w:rsidP="00E67BBC">
            <w:pPr>
              <w:rPr>
                <w:rFonts w:ascii="Arial" w:hAnsi="Arial" w:cs="Arial"/>
                <w:sz w:val="18"/>
                <w:szCs w:val="18"/>
              </w:rPr>
            </w:pPr>
            <w:r w:rsidRPr="00D20D53">
              <w:rPr>
                <w:rFonts w:ascii="Arial" w:hAnsi="Arial" w:cs="Arial"/>
                <w:sz w:val="18"/>
                <w:szCs w:val="18"/>
              </w:rPr>
              <w:t>Cairns – Deputy Commissioner</w:t>
            </w:r>
          </w:p>
        </w:tc>
        <w:tc>
          <w:tcPr>
            <w:tcW w:w="2308" w:type="dxa"/>
            <w:shd w:val="clear" w:color="auto" w:fill="auto"/>
            <w:vAlign w:val="center"/>
          </w:tcPr>
          <w:p w14:paraId="13B665B8" w14:textId="76E4FA18" w:rsidR="00B60E22" w:rsidRPr="00D20D53" w:rsidRDefault="00B60E22" w:rsidP="00E67BBC">
            <w:pPr>
              <w:rPr>
                <w:rFonts w:ascii="Arial" w:hAnsi="Arial" w:cs="Arial"/>
                <w:sz w:val="18"/>
                <w:szCs w:val="18"/>
              </w:rPr>
            </w:pPr>
            <w:r w:rsidRPr="00D20D53">
              <w:rPr>
                <w:rFonts w:ascii="Arial" w:hAnsi="Arial" w:cs="Arial"/>
                <w:sz w:val="18"/>
                <w:szCs w:val="18"/>
              </w:rPr>
              <w:t>Rod Curtin</w:t>
            </w:r>
          </w:p>
        </w:tc>
        <w:tc>
          <w:tcPr>
            <w:tcW w:w="1261" w:type="dxa"/>
            <w:shd w:val="clear" w:color="auto" w:fill="auto"/>
            <w:vAlign w:val="center"/>
          </w:tcPr>
          <w:p w14:paraId="5768F957" w14:textId="3C879442" w:rsidR="00B60E22" w:rsidRPr="00D20D53" w:rsidRDefault="00B60E22" w:rsidP="00E67BBC">
            <w:pPr>
              <w:jc w:val="center"/>
              <w:rPr>
                <w:rFonts w:ascii="Arial" w:hAnsi="Arial" w:cs="Arial"/>
                <w:sz w:val="18"/>
                <w:szCs w:val="18"/>
              </w:rPr>
            </w:pPr>
            <w:r w:rsidRPr="00D20D53">
              <w:rPr>
                <w:rFonts w:ascii="Arial" w:hAnsi="Arial" w:cs="Arial"/>
                <w:sz w:val="18"/>
                <w:szCs w:val="18"/>
              </w:rPr>
              <w:t>4081 8410</w:t>
            </w:r>
          </w:p>
        </w:tc>
        <w:tc>
          <w:tcPr>
            <w:tcW w:w="1535" w:type="dxa"/>
            <w:shd w:val="clear" w:color="auto" w:fill="auto"/>
            <w:vAlign w:val="center"/>
          </w:tcPr>
          <w:p w14:paraId="713272F7" w14:textId="484957E6" w:rsidR="00B60E22" w:rsidRPr="00D20D53" w:rsidRDefault="00B60E22" w:rsidP="00E67BBC">
            <w:pPr>
              <w:jc w:val="center"/>
              <w:rPr>
                <w:rFonts w:ascii="Arial" w:hAnsi="Arial" w:cs="Arial"/>
                <w:sz w:val="18"/>
                <w:szCs w:val="18"/>
              </w:rPr>
            </w:pPr>
            <w:r w:rsidRPr="00D20D53">
              <w:rPr>
                <w:rFonts w:ascii="Arial" w:hAnsi="Arial" w:cs="Arial"/>
                <w:sz w:val="18"/>
                <w:szCs w:val="18"/>
              </w:rPr>
              <w:t>0419 647 948</w:t>
            </w:r>
          </w:p>
        </w:tc>
        <w:tc>
          <w:tcPr>
            <w:tcW w:w="1275" w:type="dxa"/>
            <w:shd w:val="clear" w:color="auto" w:fill="auto"/>
            <w:vAlign w:val="center"/>
          </w:tcPr>
          <w:p w14:paraId="3771714E" w14:textId="38978160" w:rsidR="00B60E22" w:rsidRPr="00D20D53" w:rsidRDefault="00B60E22" w:rsidP="00E67BBC">
            <w:pPr>
              <w:jc w:val="center"/>
              <w:rPr>
                <w:rFonts w:ascii="Arial" w:hAnsi="Arial" w:cs="Arial"/>
                <w:sz w:val="18"/>
                <w:szCs w:val="18"/>
              </w:rPr>
            </w:pPr>
            <w:r w:rsidRPr="00D20D53">
              <w:rPr>
                <w:rFonts w:ascii="Arial" w:hAnsi="Arial" w:cs="Arial"/>
                <w:sz w:val="18"/>
                <w:szCs w:val="18"/>
              </w:rPr>
              <w:t>4041 0974</w:t>
            </w:r>
          </w:p>
        </w:tc>
      </w:tr>
      <w:tr w:rsidR="00E67BBC" w:rsidRPr="00D83311" w14:paraId="4AE1FE76" w14:textId="77777777" w:rsidTr="00F10DE3">
        <w:trPr>
          <w:trHeight w:val="284"/>
        </w:trPr>
        <w:tc>
          <w:tcPr>
            <w:tcW w:w="3686" w:type="dxa"/>
            <w:shd w:val="clear" w:color="auto" w:fill="auto"/>
            <w:vAlign w:val="center"/>
          </w:tcPr>
          <w:p w14:paraId="5116CEAB" w14:textId="4F360482" w:rsidR="00E67BBC" w:rsidRPr="00D20D53" w:rsidRDefault="00E67BBC" w:rsidP="00E67BBC">
            <w:pPr>
              <w:rPr>
                <w:rFonts w:ascii="Arial" w:hAnsi="Arial" w:cs="Arial"/>
                <w:sz w:val="18"/>
                <w:szCs w:val="18"/>
              </w:rPr>
            </w:pPr>
            <w:r w:rsidRPr="00D20D53">
              <w:rPr>
                <w:rFonts w:ascii="Arial" w:hAnsi="Arial" w:cs="Arial"/>
                <w:sz w:val="18"/>
                <w:szCs w:val="18"/>
              </w:rPr>
              <w:t>Cairns – Registrar</w:t>
            </w:r>
          </w:p>
        </w:tc>
        <w:tc>
          <w:tcPr>
            <w:tcW w:w="2308" w:type="dxa"/>
            <w:shd w:val="clear" w:color="auto" w:fill="auto"/>
            <w:vAlign w:val="center"/>
          </w:tcPr>
          <w:p w14:paraId="73035401" w14:textId="58634A93" w:rsidR="00E67BBC" w:rsidRPr="00D20D53" w:rsidRDefault="00E67BBC" w:rsidP="00E67BBC">
            <w:pPr>
              <w:rPr>
                <w:rFonts w:ascii="Arial" w:hAnsi="Arial" w:cs="Arial"/>
                <w:sz w:val="18"/>
                <w:szCs w:val="18"/>
              </w:rPr>
            </w:pPr>
            <w:r w:rsidRPr="00D20D53">
              <w:rPr>
                <w:rFonts w:ascii="Arial" w:hAnsi="Arial" w:cs="Arial"/>
                <w:sz w:val="18"/>
                <w:szCs w:val="18"/>
              </w:rPr>
              <w:t>Maxine McLeod</w:t>
            </w:r>
          </w:p>
        </w:tc>
        <w:tc>
          <w:tcPr>
            <w:tcW w:w="1261" w:type="dxa"/>
            <w:shd w:val="clear" w:color="auto" w:fill="auto"/>
            <w:vAlign w:val="center"/>
          </w:tcPr>
          <w:p w14:paraId="61BA9B0E" w14:textId="4868AE80" w:rsidR="00E67BBC" w:rsidRPr="00D20D53" w:rsidRDefault="00E67BBC" w:rsidP="00E67BBC">
            <w:pPr>
              <w:jc w:val="center"/>
              <w:rPr>
                <w:rFonts w:ascii="Arial" w:hAnsi="Arial" w:cs="Arial"/>
                <w:sz w:val="18"/>
                <w:szCs w:val="18"/>
              </w:rPr>
            </w:pPr>
            <w:r w:rsidRPr="00D20D53">
              <w:rPr>
                <w:rFonts w:ascii="Arial" w:hAnsi="Arial" w:cs="Arial"/>
                <w:sz w:val="18"/>
                <w:szCs w:val="18"/>
              </w:rPr>
              <w:t>4081 8412</w:t>
            </w:r>
          </w:p>
        </w:tc>
        <w:tc>
          <w:tcPr>
            <w:tcW w:w="1535" w:type="dxa"/>
            <w:shd w:val="clear" w:color="auto" w:fill="auto"/>
            <w:vAlign w:val="center"/>
          </w:tcPr>
          <w:p w14:paraId="4EDB491E" w14:textId="2A0C72DE" w:rsidR="00E67BBC" w:rsidRPr="00D20D53" w:rsidRDefault="00E67BBC" w:rsidP="00E67BBC">
            <w:pPr>
              <w:jc w:val="center"/>
              <w:rPr>
                <w:rFonts w:ascii="Arial" w:hAnsi="Arial" w:cs="Arial"/>
                <w:sz w:val="18"/>
                <w:szCs w:val="18"/>
              </w:rPr>
            </w:pPr>
            <w:r w:rsidRPr="00D20D53">
              <w:rPr>
                <w:rFonts w:ascii="Arial" w:hAnsi="Arial" w:cs="Arial"/>
                <w:sz w:val="18"/>
                <w:szCs w:val="18"/>
              </w:rPr>
              <w:t>0409 461 624</w:t>
            </w:r>
          </w:p>
        </w:tc>
        <w:tc>
          <w:tcPr>
            <w:tcW w:w="1275" w:type="dxa"/>
            <w:shd w:val="clear" w:color="auto" w:fill="auto"/>
            <w:vAlign w:val="center"/>
          </w:tcPr>
          <w:p w14:paraId="4D90E65B" w14:textId="12F98F78" w:rsidR="00E67BBC" w:rsidRPr="00D20D53" w:rsidRDefault="00E67BBC" w:rsidP="00E67BBC">
            <w:pPr>
              <w:jc w:val="center"/>
              <w:rPr>
                <w:rFonts w:ascii="Arial" w:hAnsi="Arial" w:cs="Arial"/>
                <w:sz w:val="18"/>
                <w:szCs w:val="18"/>
              </w:rPr>
            </w:pPr>
            <w:r w:rsidRPr="00D20D53">
              <w:rPr>
                <w:rFonts w:ascii="Arial" w:hAnsi="Arial" w:cs="Arial"/>
                <w:sz w:val="18"/>
                <w:szCs w:val="18"/>
              </w:rPr>
              <w:t>4041 0974</w:t>
            </w:r>
          </w:p>
        </w:tc>
      </w:tr>
      <w:tr w:rsidR="00E67BBC" w:rsidRPr="00D83311" w14:paraId="3D3BBDC6" w14:textId="77777777" w:rsidTr="00F10DE3">
        <w:trPr>
          <w:trHeight w:val="284"/>
        </w:trPr>
        <w:tc>
          <w:tcPr>
            <w:tcW w:w="3686" w:type="dxa"/>
            <w:shd w:val="clear" w:color="auto" w:fill="auto"/>
            <w:vAlign w:val="center"/>
          </w:tcPr>
          <w:p w14:paraId="05C1E82E" w14:textId="5823A4AD" w:rsidR="00E67BBC" w:rsidRPr="00D20D53" w:rsidRDefault="00E67BBC" w:rsidP="00E67BBC">
            <w:pPr>
              <w:rPr>
                <w:rFonts w:ascii="Arial" w:hAnsi="Arial" w:cs="Arial"/>
                <w:sz w:val="18"/>
                <w:szCs w:val="18"/>
              </w:rPr>
            </w:pPr>
            <w:r w:rsidRPr="00D20D53">
              <w:rPr>
                <w:rFonts w:ascii="Arial" w:hAnsi="Arial" w:cs="Arial"/>
                <w:sz w:val="18"/>
                <w:szCs w:val="18"/>
              </w:rPr>
              <w:t>Cairns – Executive Officer (Finance)</w:t>
            </w:r>
          </w:p>
        </w:tc>
        <w:tc>
          <w:tcPr>
            <w:tcW w:w="2308" w:type="dxa"/>
            <w:shd w:val="clear" w:color="auto" w:fill="auto"/>
            <w:vAlign w:val="center"/>
          </w:tcPr>
          <w:p w14:paraId="7AF4D22C" w14:textId="2C852A55" w:rsidR="00E67BBC" w:rsidRPr="00D20D53" w:rsidRDefault="00E67BBC" w:rsidP="00E67BBC">
            <w:pPr>
              <w:rPr>
                <w:rFonts w:ascii="Arial" w:hAnsi="Arial" w:cs="Arial"/>
                <w:sz w:val="18"/>
                <w:szCs w:val="18"/>
              </w:rPr>
            </w:pPr>
            <w:r w:rsidRPr="00D20D53">
              <w:rPr>
                <w:rFonts w:ascii="Arial" w:hAnsi="Arial" w:cs="Arial"/>
                <w:sz w:val="18"/>
                <w:szCs w:val="18"/>
              </w:rPr>
              <w:t>Tracey Paterson</w:t>
            </w:r>
          </w:p>
        </w:tc>
        <w:tc>
          <w:tcPr>
            <w:tcW w:w="1261" w:type="dxa"/>
            <w:shd w:val="clear" w:color="auto" w:fill="auto"/>
            <w:vAlign w:val="center"/>
          </w:tcPr>
          <w:p w14:paraId="1D2FDB4C" w14:textId="57272658" w:rsidR="00E67BBC" w:rsidRPr="00D20D53" w:rsidRDefault="00E67BBC" w:rsidP="00E67BBC">
            <w:pPr>
              <w:jc w:val="center"/>
              <w:rPr>
                <w:rFonts w:ascii="Arial" w:hAnsi="Arial" w:cs="Arial"/>
                <w:sz w:val="18"/>
                <w:szCs w:val="18"/>
              </w:rPr>
            </w:pPr>
            <w:r w:rsidRPr="00D20D53">
              <w:rPr>
                <w:rFonts w:ascii="Arial" w:hAnsi="Arial" w:cs="Arial"/>
                <w:sz w:val="18"/>
                <w:szCs w:val="18"/>
              </w:rPr>
              <w:t>4081 8411</w:t>
            </w:r>
          </w:p>
        </w:tc>
        <w:tc>
          <w:tcPr>
            <w:tcW w:w="1535" w:type="dxa"/>
            <w:shd w:val="clear" w:color="auto" w:fill="auto"/>
            <w:vAlign w:val="center"/>
          </w:tcPr>
          <w:p w14:paraId="4FFCA915" w14:textId="040640BB" w:rsidR="00E67BBC" w:rsidRPr="00D20D53" w:rsidRDefault="00E67BBC" w:rsidP="00E67BBC">
            <w:pPr>
              <w:jc w:val="center"/>
              <w:rPr>
                <w:rFonts w:ascii="Arial" w:hAnsi="Arial" w:cs="Arial"/>
                <w:sz w:val="18"/>
                <w:szCs w:val="18"/>
              </w:rPr>
            </w:pPr>
            <w:r w:rsidRPr="00D20D53">
              <w:rPr>
                <w:rFonts w:ascii="Arial" w:hAnsi="Arial" w:cs="Arial"/>
                <w:sz w:val="18"/>
                <w:szCs w:val="18"/>
              </w:rPr>
              <w:t>0429 495 353</w:t>
            </w:r>
          </w:p>
        </w:tc>
        <w:tc>
          <w:tcPr>
            <w:tcW w:w="1275" w:type="dxa"/>
            <w:shd w:val="clear" w:color="auto" w:fill="auto"/>
            <w:vAlign w:val="center"/>
          </w:tcPr>
          <w:p w14:paraId="2AEF667E" w14:textId="0B7D37B3" w:rsidR="00E67BBC" w:rsidRPr="00D20D53" w:rsidRDefault="00E67BBC" w:rsidP="00E67BBC">
            <w:pPr>
              <w:jc w:val="center"/>
              <w:rPr>
                <w:rFonts w:ascii="Arial" w:hAnsi="Arial" w:cs="Arial"/>
                <w:sz w:val="18"/>
                <w:szCs w:val="18"/>
              </w:rPr>
            </w:pPr>
            <w:r w:rsidRPr="00D20D53">
              <w:rPr>
                <w:rFonts w:ascii="Arial" w:hAnsi="Arial" w:cs="Arial"/>
                <w:sz w:val="18"/>
                <w:szCs w:val="18"/>
              </w:rPr>
              <w:t>4041 0974</w:t>
            </w:r>
          </w:p>
        </w:tc>
      </w:tr>
      <w:tr w:rsidR="00F10DE3" w:rsidRPr="00D83311" w14:paraId="0EC7D371" w14:textId="77777777" w:rsidTr="00F10DE3">
        <w:trPr>
          <w:trHeight w:val="284"/>
        </w:trPr>
        <w:tc>
          <w:tcPr>
            <w:tcW w:w="3686" w:type="dxa"/>
            <w:shd w:val="clear" w:color="auto" w:fill="auto"/>
            <w:vAlign w:val="center"/>
          </w:tcPr>
          <w:p w14:paraId="1BF012FA" w14:textId="365AA883" w:rsidR="00F10DE3" w:rsidRPr="00D20D53" w:rsidRDefault="00DF730C" w:rsidP="00E67BBC">
            <w:pPr>
              <w:rPr>
                <w:rFonts w:ascii="Arial" w:hAnsi="Arial" w:cs="Arial"/>
                <w:sz w:val="18"/>
                <w:szCs w:val="18"/>
              </w:rPr>
            </w:pPr>
            <w:r w:rsidRPr="00D20D53">
              <w:rPr>
                <w:rFonts w:ascii="Arial" w:hAnsi="Arial" w:cs="Arial"/>
                <w:sz w:val="18"/>
                <w:szCs w:val="18"/>
              </w:rPr>
              <w:t xml:space="preserve">Cairns – </w:t>
            </w:r>
            <w:r w:rsidR="00F10DE3" w:rsidRPr="00D20D53">
              <w:rPr>
                <w:rFonts w:ascii="Arial" w:hAnsi="Arial" w:cs="Arial"/>
                <w:sz w:val="18"/>
                <w:szCs w:val="18"/>
              </w:rPr>
              <w:t>Acting Client Manager</w:t>
            </w:r>
          </w:p>
        </w:tc>
        <w:tc>
          <w:tcPr>
            <w:tcW w:w="2308" w:type="dxa"/>
            <w:shd w:val="clear" w:color="auto" w:fill="auto"/>
            <w:vAlign w:val="center"/>
          </w:tcPr>
          <w:p w14:paraId="6414AEC0" w14:textId="06995212" w:rsidR="00F10DE3" w:rsidRPr="00D20D53" w:rsidRDefault="00F10DE3" w:rsidP="00E67BBC">
            <w:pPr>
              <w:rPr>
                <w:rFonts w:ascii="Arial" w:hAnsi="Arial" w:cs="Arial"/>
                <w:sz w:val="18"/>
                <w:szCs w:val="18"/>
              </w:rPr>
            </w:pPr>
            <w:r w:rsidRPr="00D20D53">
              <w:rPr>
                <w:rFonts w:ascii="Arial" w:hAnsi="Arial" w:cs="Arial"/>
                <w:sz w:val="18"/>
                <w:szCs w:val="18"/>
              </w:rPr>
              <w:t>Sandi Rye</w:t>
            </w:r>
          </w:p>
        </w:tc>
        <w:tc>
          <w:tcPr>
            <w:tcW w:w="1261" w:type="dxa"/>
            <w:shd w:val="clear" w:color="auto" w:fill="auto"/>
            <w:vAlign w:val="center"/>
          </w:tcPr>
          <w:p w14:paraId="0880E2DB" w14:textId="3FDDD41F" w:rsidR="00F10DE3" w:rsidRPr="00D20D53" w:rsidRDefault="00F10DE3" w:rsidP="00E67BBC">
            <w:pPr>
              <w:jc w:val="center"/>
              <w:rPr>
                <w:rFonts w:ascii="Arial" w:hAnsi="Arial" w:cs="Arial"/>
                <w:sz w:val="18"/>
                <w:szCs w:val="18"/>
              </w:rPr>
            </w:pPr>
            <w:r w:rsidRPr="00D20D53">
              <w:rPr>
                <w:rFonts w:ascii="Arial" w:hAnsi="Arial" w:cs="Arial"/>
                <w:sz w:val="18"/>
                <w:szCs w:val="18"/>
              </w:rPr>
              <w:t>4081 8410</w:t>
            </w:r>
          </w:p>
        </w:tc>
        <w:tc>
          <w:tcPr>
            <w:tcW w:w="1535" w:type="dxa"/>
            <w:shd w:val="clear" w:color="auto" w:fill="auto"/>
            <w:vAlign w:val="center"/>
          </w:tcPr>
          <w:p w14:paraId="538B9CA3" w14:textId="6BFDD1CA" w:rsidR="00F10DE3" w:rsidRPr="00D20D53" w:rsidRDefault="00F10DE3" w:rsidP="00E67BBC">
            <w:pPr>
              <w:jc w:val="center"/>
              <w:rPr>
                <w:rFonts w:ascii="Arial" w:hAnsi="Arial" w:cs="Arial"/>
                <w:sz w:val="18"/>
                <w:szCs w:val="18"/>
              </w:rPr>
            </w:pPr>
            <w:r w:rsidRPr="00D20D53">
              <w:rPr>
                <w:rFonts w:ascii="Arial" w:hAnsi="Arial" w:cs="Arial"/>
                <w:sz w:val="18"/>
                <w:szCs w:val="18"/>
              </w:rPr>
              <w:t>0438 195 342</w:t>
            </w:r>
          </w:p>
        </w:tc>
        <w:tc>
          <w:tcPr>
            <w:tcW w:w="1275" w:type="dxa"/>
            <w:shd w:val="clear" w:color="auto" w:fill="auto"/>
            <w:vAlign w:val="center"/>
          </w:tcPr>
          <w:p w14:paraId="2E04F215" w14:textId="0D4203D1" w:rsidR="00F10DE3" w:rsidRPr="00D20D53" w:rsidRDefault="00F10DE3" w:rsidP="00E67BBC">
            <w:pPr>
              <w:jc w:val="center"/>
              <w:rPr>
                <w:rFonts w:ascii="Arial" w:hAnsi="Arial" w:cs="Arial"/>
                <w:sz w:val="18"/>
                <w:szCs w:val="18"/>
              </w:rPr>
            </w:pPr>
            <w:r w:rsidRPr="00D20D53">
              <w:rPr>
                <w:rFonts w:ascii="Arial" w:hAnsi="Arial" w:cs="Arial"/>
                <w:sz w:val="18"/>
                <w:szCs w:val="18"/>
              </w:rPr>
              <w:t>4041 0974</w:t>
            </w:r>
          </w:p>
        </w:tc>
      </w:tr>
      <w:tr w:rsidR="00DF730C" w:rsidRPr="00D83311" w14:paraId="181B6E32" w14:textId="77777777" w:rsidTr="00F10DE3">
        <w:trPr>
          <w:trHeight w:val="284"/>
        </w:trPr>
        <w:tc>
          <w:tcPr>
            <w:tcW w:w="3686" w:type="dxa"/>
            <w:shd w:val="clear" w:color="auto" w:fill="auto"/>
            <w:vAlign w:val="center"/>
          </w:tcPr>
          <w:p w14:paraId="36289C49" w14:textId="08FB3254" w:rsidR="00DF730C" w:rsidRPr="00D20D53" w:rsidRDefault="00DF730C" w:rsidP="00DF730C">
            <w:pPr>
              <w:rPr>
                <w:rFonts w:ascii="Arial" w:hAnsi="Arial" w:cs="Arial"/>
                <w:sz w:val="18"/>
                <w:szCs w:val="18"/>
              </w:rPr>
            </w:pPr>
            <w:r w:rsidRPr="00D20D53">
              <w:rPr>
                <w:rFonts w:ascii="Arial" w:hAnsi="Arial" w:cs="Arial"/>
                <w:sz w:val="18"/>
                <w:szCs w:val="18"/>
              </w:rPr>
              <w:t>Cairns – Acting Manager (Case Management and Monitoring)</w:t>
            </w:r>
          </w:p>
        </w:tc>
        <w:tc>
          <w:tcPr>
            <w:tcW w:w="2308" w:type="dxa"/>
            <w:shd w:val="clear" w:color="auto" w:fill="auto"/>
            <w:vAlign w:val="center"/>
          </w:tcPr>
          <w:p w14:paraId="4F007F93" w14:textId="21B247A8" w:rsidR="00DF730C" w:rsidRPr="00D20D53" w:rsidRDefault="00DF730C" w:rsidP="00DF730C">
            <w:pPr>
              <w:rPr>
                <w:rFonts w:ascii="Arial" w:hAnsi="Arial" w:cs="Arial"/>
                <w:sz w:val="18"/>
                <w:szCs w:val="18"/>
              </w:rPr>
            </w:pPr>
            <w:r w:rsidRPr="00D20D53">
              <w:rPr>
                <w:rFonts w:ascii="Arial" w:hAnsi="Arial" w:cs="Arial"/>
                <w:sz w:val="18"/>
                <w:szCs w:val="18"/>
              </w:rPr>
              <w:t>Anne Crampton</w:t>
            </w:r>
          </w:p>
        </w:tc>
        <w:tc>
          <w:tcPr>
            <w:tcW w:w="1261" w:type="dxa"/>
            <w:shd w:val="clear" w:color="auto" w:fill="auto"/>
            <w:vAlign w:val="center"/>
          </w:tcPr>
          <w:p w14:paraId="612B092F" w14:textId="04D4ACC2" w:rsidR="00DF730C" w:rsidRPr="00D20D53" w:rsidRDefault="00DF730C" w:rsidP="00DF730C">
            <w:pPr>
              <w:jc w:val="center"/>
              <w:rPr>
                <w:rFonts w:ascii="Arial" w:hAnsi="Arial" w:cs="Arial"/>
                <w:sz w:val="18"/>
                <w:szCs w:val="18"/>
              </w:rPr>
            </w:pPr>
            <w:r w:rsidRPr="00D20D53">
              <w:rPr>
                <w:rFonts w:ascii="Arial" w:hAnsi="Arial" w:cs="Arial"/>
                <w:sz w:val="18"/>
                <w:szCs w:val="18"/>
              </w:rPr>
              <w:t>4081 8414</w:t>
            </w:r>
          </w:p>
        </w:tc>
        <w:tc>
          <w:tcPr>
            <w:tcW w:w="1535" w:type="dxa"/>
            <w:shd w:val="clear" w:color="auto" w:fill="auto"/>
            <w:vAlign w:val="center"/>
          </w:tcPr>
          <w:p w14:paraId="4B0C47A9" w14:textId="77777777" w:rsidR="00DF730C" w:rsidRPr="00D20D53" w:rsidRDefault="00DF730C" w:rsidP="00DF730C">
            <w:pPr>
              <w:jc w:val="center"/>
              <w:rPr>
                <w:rFonts w:ascii="Arial" w:hAnsi="Arial" w:cs="Arial"/>
                <w:sz w:val="18"/>
                <w:szCs w:val="18"/>
              </w:rPr>
            </w:pPr>
          </w:p>
        </w:tc>
        <w:tc>
          <w:tcPr>
            <w:tcW w:w="1275" w:type="dxa"/>
            <w:shd w:val="clear" w:color="auto" w:fill="auto"/>
            <w:vAlign w:val="center"/>
          </w:tcPr>
          <w:p w14:paraId="3125F457" w14:textId="7C6500C7" w:rsidR="00DF730C" w:rsidRPr="00D20D53" w:rsidRDefault="00DF730C" w:rsidP="00DF730C">
            <w:pPr>
              <w:jc w:val="center"/>
              <w:rPr>
                <w:rFonts w:ascii="Arial" w:hAnsi="Arial" w:cs="Arial"/>
                <w:sz w:val="18"/>
                <w:szCs w:val="18"/>
              </w:rPr>
            </w:pPr>
            <w:r w:rsidRPr="00D20D53">
              <w:rPr>
                <w:rFonts w:ascii="Arial" w:hAnsi="Arial" w:cs="Arial"/>
                <w:sz w:val="18"/>
                <w:szCs w:val="18"/>
              </w:rPr>
              <w:t>4041 0974</w:t>
            </w:r>
          </w:p>
        </w:tc>
      </w:tr>
      <w:tr w:rsidR="00DF730C" w:rsidRPr="00D83311" w14:paraId="4C3B30EA" w14:textId="77777777" w:rsidTr="00F10DE3">
        <w:trPr>
          <w:trHeight w:val="284"/>
        </w:trPr>
        <w:tc>
          <w:tcPr>
            <w:tcW w:w="3686" w:type="dxa"/>
            <w:shd w:val="clear" w:color="auto" w:fill="auto"/>
            <w:vAlign w:val="center"/>
          </w:tcPr>
          <w:p w14:paraId="673A69F4" w14:textId="5795B0D3" w:rsidR="00DF730C" w:rsidRPr="00D20D53" w:rsidRDefault="00DF730C" w:rsidP="00DF730C">
            <w:pPr>
              <w:rPr>
                <w:rFonts w:ascii="Arial" w:hAnsi="Arial" w:cs="Arial"/>
                <w:sz w:val="18"/>
                <w:szCs w:val="18"/>
              </w:rPr>
            </w:pPr>
            <w:r w:rsidRPr="00D20D53">
              <w:rPr>
                <w:rFonts w:ascii="Arial" w:hAnsi="Arial" w:cs="Arial"/>
                <w:sz w:val="18"/>
                <w:szCs w:val="18"/>
              </w:rPr>
              <w:t>Cairns – Senior Advisor (Statistics and Research)</w:t>
            </w:r>
          </w:p>
        </w:tc>
        <w:tc>
          <w:tcPr>
            <w:tcW w:w="2308" w:type="dxa"/>
            <w:shd w:val="clear" w:color="auto" w:fill="auto"/>
            <w:vAlign w:val="center"/>
          </w:tcPr>
          <w:p w14:paraId="46FF9E77" w14:textId="4F73C3A2" w:rsidR="00DF730C" w:rsidRPr="00D20D53" w:rsidRDefault="00DF730C" w:rsidP="00DF730C">
            <w:pPr>
              <w:rPr>
                <w:rFonts w:ascii="Arial" w:hAnsi="Arial" w:cs="Arial"/>
                <w:sz w:val="18"/>
                <w:szCs w:val="18"/>
              </w:rPr>
            </w:pPr>
            <w:r w:rsidRPr="00D20D53">
              <w:rPr>
                <w:rFonts w:ascii="Arial" w:hAnsi="Arial" w:cs="Arial"/>
                <w:sz w:val="18"/>
                <w:szCs w:val="18"/>
              </w:rPr>
              <w:t>Michelle Synott</w:t>
            </w:r>
          </w:p>
        </w:tc>
        <w:tc>
          <w:tcPr>
            <w:tcW w:w="1261" w:type="dxa"/>
            <w:shd w:val="clear" w:color="auto" w:fill="auto"/>
            <w:vAlign w:val="center"/>
          </w:tcPr>
          <w:p w14:paraId="576F197D" w14:textId="6DF42FD1" w:rsidR="00DF730C" w:rsidRPr="00D20D53" w:rsidRDefault="00DF730C" w:rsidP="00DF730C">
            <w:pPr>
              <w:jc w:val="center"/>
              <w:rPr>
                <w:rFonts w:ascii="Arial" w:hAnsi="Arial" w:cs="Arial"/>
                <w:sz w:val="18"/>
                <w:szCs w:val="18"/>
              </w:rPr>
            </w:pPr>
            <w:r w:rsidRPr="00D20D53">
              <w:rPr>
                <w:rFonts w:ascii="Arial" w:hAnsi="Arial" w:cs="Arial"/>
                <w:sz w:val="18"/>
                <w:szCs w:val="18"/>
              </w:rPr>
              <w:t>4081 8404</w:t>
            </w:r>
          </w:p>
        </w:tc>
        <w:tc>
          <w:tcPr>
            <w:tcW w:w="1535" w:type="dxa"/>
            <w:shd w:val="clear" w:color="auto" w:fill="auto"/>
            <w:vAlign w:val="center"/>
          </w:tcPr>
          <w:p w14:paraId="5C31BD94" w14:textId="77777777" w:rsidR="00DF730C" w:rsidRPr="00D20D53" w:rsidRDefault="00DF730C" w:rsidP="00DF730C">
            <w:pPr>
              <w:jc w:val="center"/>
              <w:rPr>
                <w:rFonts w:ascii="Arial" w:hAnsi="Arial" w:cs="Arial"/>
                <w:sz w:val="18"/>
                <w:szCs w:val="18"/>
              </w:rPr>
            </w:pPr>
          </w:p>
        </w:tc>
        <w:tc>
          <w:tcPr>
            <w:tcW w:w="1275" w:type="dxa"/>
            <w:shd w:val="clear" w:color="auto" w:fill="auto"/>
            <w:vAlign w:val="center"/>
          </w:tcPr>
          <w:p w14:paraId="7B42C98D" w14:textId="49DBD32B" w:rsidR="00DF730C" w:rsidRPr="00D20D53" w:rsidRDefault="00DF730C" w:rsidP="00DF730C">
            <w:pPr>
              <w:jc w:val="center"/>
              <w:rPr>
                <w:rFonts w:ascii="Arial" w:hAnsi="Arial" w:cs="Arial"/>
                <w:sz w:val="18"/>
                <w:szCs w:val="18"/>
              </w:rPr>
            </w:pPr>
            <w:r w:rsidRPr="00D20D53">
              <w:rPr>
                <w:rFonts w:ascii="Arial" w:hAnsi="Arial" w:cs="Arial"/>
                <w:sz w:val="18"/>
                <w:szCs w:val="18"/>
              </w:rPr>
              <w:t>4041 0974</w:t>
            </w:r>
          </w:p>
        </w:tc>
      </w:tr>
      <w:tr w:rsidR="00DF730C" w:rsidRPr="00D83311" w14:paraId="628EF24F" w14:textId="77777777" w:rsidTr="00F10DE3">
        <w:trPr>
          <w:trHeight w:val="284"/>
        </w:trPr>
        <w:tc>
          <w:tcPr>
            <w:tcW w:w="3686" w:type="dxa"/>
            <w:shd w:val="clear" w:color="auto" w:fill="auto"/>
            <w:vAlign w:val="center"/>
          </w:tcPr>
          <w:p w14:paraId="33C11CF8" w14:textId="23359C59" w:rsidR="00DF730C" w:rsidRPr="00D20D53" w:rsidRDefault="00DF730C" w:rsidP="00DF730C">
            <w:pPr>
              <w:rPr>
                <w:rFonts w:ascii="Arial" w:hAnsi="Arial" w:cs="Arial"/>
                <w:sz w:val="18"/>
                <w:szCs w:val="18"/>
              </w:rPr>
            </w:pPr>
            <w:r w:rsidRPr="00D20D53">
              <w:rPr>
                <w:rFonts w:ascii="Arial" w:hAnsi="Arial" w:cs="Arial"/>
                <w:sz w:val="18"/>
                <w:szCs w:val="18"/>
              </w:rPr>
              <w:t>Cairns – ICT Administrator</w:t>
            </w:r>
          </w:p>
        </w:tc>
        <w:tc>
          <w:tcPr>
            <w:tcW w:w="2308" w:type="dxa"/>
            <w:shd w:val="clear" w:color="auto" w:fill="auto"/>
            <w:vAlign w:val="center"/>
          </w:tcPr>
          <w:p w14:paraId="12812C7D" w14:textId="27250242" w:rsidR="00DF730C" w:rsidRPr="00D20D53" w:rsidRDefault="00DF730C" w:rsidP="00DF730C">
            <w:pPr>
              <w:rPr>
                <w:rFonts w:ascii="Arial" w:hAnsi="Arial" w:cs="Arial"/>
                <w:sz w:val="18"/>
                <w:szCs w:val="18"/>
              </w:rPr>
            </w:pPr>
            <w:r w:rsidRPr="00D20D53">
              <w:rPr>
                <w:rFonts w:ascii="Arial" w:hAnsi="Arial" w:cs="Arial"/>
                <w:sz w:val="18"/>
                <w:szCs w:val="18"/>
              </w:rPr>
              <w:t>Jeffrey Dela Cruz</w:t>
            </w:r>
          </w:p>
        </w:tc>
        <w:tc>
          <w:tcPr>
            <w:tcW w:w="1261" w:type="dxa"/>
            <w:shd w:val="clear" w:color="auto" w:fill="auto"/>
            <w:vAlign w:val="center"/>
          </w:tcPr>
          <w:p w14:paraId="00947B73" w14:textId="4BDB5E9C" w:rsidR="00DF730C" w:rsidRPr="00D20D53" w:rsidRDefault="00DF730C" w:rsidP="00DF730C">
            <w:pPr>
              <w:jc w:val="center"/>
              <w:rPr>
                <w:rFonts w:ascii="Arial" w:hAnsi="Arial" w:cs="Arial"/>
                <w:sz w:val="18"/>
                <w:szCs w:val="18"/>
              </w:rPr>
            </w:pPr>
            <w:r w:rsidRPr="00D20D53">
              <w:rPr>
                <w:rFonts w:ascii="Arial" w:hAnsi="Arial" w:cs="Arial"/>
                <w:sz w:val="18"/>
                <w:szCs w:val="18"/>
              </w:rPr>
              <w:t>4081 8406</w:t>
            </w:r>
          </w:p>
        </w:tc>
        <w:tc>
          <w:tcPr>
            <w:tcW w:w="1535" w:type="dxa"/>
            <w:shd w:val="clear" w:color="auto" w:fill="auto"/>
            <w:vAlign w:val="center"/>
          </w:tcPr>
          <w:p w14:paraId="5B509B8E" w14:textId="144761E9" w:rsidR="00DF730C" w:rsidRPr="00D20D53" w:rsidRDefault="00DF730C" w:rsidP="00DF730C">
            <w:pPr>
              <w:jc w:val="center"/>
              <w:rPr>
                <w:rFonts w:ascii="Arial" w:hAnsi="Arial" w:cs="Arial"/>
                <w:sz w:val="18"/>
                <w:szCs w:val="18"/>
              </w:rPr>
            </w:pPr>
            <w:r w:rsidRPr="00D20D53">
              <w:rPr>
                <w:rFonts w:ascii="Arial" w:hAnsi="Arial" w:cs="Arial"/>
                <w:sz w:val="18"/>
                <w:szCs w:val="18"/>
              </w:rPr>
              <w:t>0419 890 770</w:t>
            </w:r>
          </w:p>
        </w:tc>
        <w:tc>
          <w:tcPr>
            <w:tcW w:w="1275" w:type="dxa"/>
            <w:shd w:val="clear" w:color="auto" w:fill="auto"/>
            <w:vAlign w:val="center"/>
          </w:tcPr>
          <w:p w14:paraId="3E6C79F1" w14:textId="114102A6" w:rsidR="00DF730C" w:rsidRPr="00D20D53" w:rsidRDefault="00DF730C" w:rsidP="00DF730C">
            <w:pPr>
              <w:jc w:val="center"/>
              <w:rPr>
                <w:rFonts w:ascii="Arial" w:hAnsi="Arial" w:cs="Arial"/>
                <w:sz w:val="18"/>
                <w:szCs w:val="18"/>
              </w:rPr>
            </w:pPr>
            <w:r w:rsidRPr="00D20D53">
              <w:rPr>
                <w:rFonts w:ascii="Arial" w:hAnsi="Arial" w:cs="Arial"/>
                <w:sz w:val="18"/>
                <w:szCs w:val="18"/>
              </w:rPr>
              <w:t>4041 0974</w:t>
            </w:r>
          </w:p>
        </w:tc>
      </w:tr>
      <w:tr w:rsidR="00E67BBC" w:rsidRPr="00D83311" w14:paraId="0AA468FE" w14:textId="77777777" w:rsidTr="00F10DE3">
        <w:trPr>
          <w:trHeight w:val="284"/>
        </w:trPr>
        <w:tc>
          <w:tcPr>
            <w:tcW w:w="3686" w:type="dxa"/>
            <w:shd w:val="clear" w:color="auto" w:fill="auto"/>
            <w:vAlign w:val="center"/>
          </w:tcPr>
          <w:p w14:paraId="3649648A" w14:textId="77EA729D" w:rsidR="00E67BBC" w:rsidRPr="00D20D53" w:rsidRDefault="00E67BBC" w:rsidP="00E67BBC">
            <w:pPr>
              <w:rPr>
                <w:rFonts w:ascii="Arial" w:hAnsi="Arial" w:cs="Arial"/>
                <w:sz w:val="18"/>
                <w:szCs w:val="18"/>
              </w:rPr>
            </w:pPr>
            <w:r w:rsidRPr="00D20D53">
              <w:rPr>
                <w:rFonts w:ascii="Arial" w:hAnsi="Arial" w:cs="Arial"/>
                <w:sz w:val="18"/>
                <w:szCs w:val="18"/>
              </w:rPr>
              <w:t>Aurukun Local</w:t>
            </w:r>
            <w:r w:rsidR="00310942" w:rsidRPr="00D20D53">
              <w:rPr>
                <w:rFonts w:ascii="Arial" w:hAnsi="Arial" w:cs="Arial"/>
                <w:sz w:val="18"/>
                <w:szCs w:val="18"/>
              </w:rPr>
              <w:t xml:space="preserve"> Registry</w:t>
            </w:r>
            <w:r w:rsidRPr="00D20D53">
              <w:rPr>
                <w:rFonts w:ascii="Arial" w:hAnsi="Arial" w:cs="Arial"/>
                <w:sz w:val="18"/>
                <w:szCs w:val="18"/>
              </w:rPr>
              <w:t xml:space="preserve"> Coordinator</w:t>
            </w:r>
          </w:p>
        </w:tc>
        <w:tc>
          <w:tcPr>
            <w:tcW w:w="2308" w:type="dxa"/>
            <w:shd w:val="clear" w:color="auto" w:fill="auto"/>
            <w:vAlign w:val="center"/>
          </w:tcPr>
          <w:p w14:paraId="38A2D5AE" w14:textId="4CAD46A3" w:rsidR="00E67BBC" w:rsidRPr="00D20D53" w:rsidRDefault="00E67BBC" w:rsidP="00E67BBC">
            <w:pPr>
              <w:rPr>
                <w:rFonts w:ascii="Arial" w:hAnsi="Arial" w:cs="Arial"/>
                <w:sz w:val="18"/>
                <w:szCs w:val="18"/>
              </w:rPr>
            </w:pPr>
            <w:r w:rsidRPr="00D20D53">
              <w:rPr>
                <w:rFonts w:ascii="Arial" w:hAnsi="Arial" w:cs="Arial"/>
                <w:sz w:val="18"/>
                <w:szCs w:val="18"/>
              </w:rPr>
              <w:t>Bryce Coxall</w:t>
            </w:r>
          </w:p>
        </w:tc>
        <w:tc>
          <w:tcPr>
            <w:tcW w:w="1261" w:type="dxa"/>
            <w:shd w:val="clear" w:color="auto" w:fill="auto"/>
            <w:vAlign w:val="center"/>
          </w:tcPr>
          <w:p w14:paraId="59EC3BFE" w14:textId="6AD6CDF2" w:rsidR="00E67BBC" w:rsidRPr="00D20D53" w:rsidRDefault="00E67BBC" w:rsidP="00E67BBC">
            <w:pPr>
              <w:jc w:val="center"/>
              <w:rPr>
                <w:rFonts w:ascii="Arial" w:hAnsi="Arial" w:cs="Arial"/>
                <w:sz w:val="18"/>
                <w:szCs w:val="18"/>
              </w:rPr>
            </w:pPr>
            <w:r w:rsidRPr="00D20D53">
              <w:rPr>
                <w:rFonts w:ascii="Arial" w:hAnsi="Arial" w:cs="Arial"/>
                <w:sz w:val="18"/>
                <w:szCs w:val="18"/>
              </w:rPr>
              <w:t>4060 6185</w:t>
            </w:r>
          </w:p>
        </w:tc>
        <w:tc>
          <w:tcPr>
            <w:tcW w:w="1535" w:type="dxa"/>
            <w:shd w:val="clear" w:color="auto" w:fill="auto"/>
            <w:vAlign w:val="center"/>
          </w:tcPr>
          <w:p w14:paraId="56C65990" w14:textId="33B9570F" w:rsidR="00E67BBC" w:rsidRPr="00D20D53" w:rsidRDefault="00E67BBC" w:rsidP="00E67BBC">
            <w:pPr>
              <w:jc w:val="center"/>
              <w:rPr>
                <w:rFonts w:ascii="Arial" w:hAnsi="Arial" w:cs="Arial"/>
                <w:sz w:val="18"/>
                <w:szCs w:val="18"/>
              </w:rPr>
            </w:pPr>
            <w:r w:rsidRPr="00D20D53">
              <w:rPr>
                <w:rFonts w:ascii="Arial" w:hAnsi="Arial" w:cs="Arial"/>
                <w:sz w:val="18"/>
                <w:szCs w:val="18"/>
              </w:rPr>
              <w:t>0428 985 106</w:t>
            </w:r>
          </w:p>
        </w:tc>
        <w:tc>
          <w:tcPr>
            <w:tcW w:w="1275" w:type="dxa"/>
            <w:shd w:val="clear" w:color="auto" w:fill="auto"/>
            <w:vAlign w:val="center"/>
          </w:tcPr>
          <w:p w14:paraId="1266BE6F" w14:textId="071BB74B" w:rsidR="00E67BBC" w:rsidRPr="00D20D53" w:rsidRDefault="00E67BBC" w:rsidP="00E67BBC">
            <w:pPr>
              <w:jc w:val="center"/>
              <w:rPr>
                <w:rFonts w:ascii="Arial" w:hAnsi="Arial" w:cs="Arial"/>
                <w:sz w:val="18"/>
                <w:szCs w:val="18"/>
              </w:rPr>
            </w:pPr>
            <w:r w:rsidRPr="00D20D53">
              <w:rPr>
                <w:rFonts w:ascii="Arial" w:hAnsi="Arial" w:cs="Arial"/>
                <w:sz w:val="18"/>
                <w:szCs w:val="18"/>
              </w:rPr>
              <w:t>4041 0974</w:t>
            </w:r>
          </w:p>
        </w:tc>
      </w:tr>
      <w:tr w:rsidR="00E67BBC" w:rsidRPr="00D83311" w14:paraId="6C3E8A51" w14:textId="77777777" w:rsidTr="00F10DE3">
        <w:trPr>
          <w:trHeight w:val="284"/>
        </w:trPr>
        <w:tc>
          <w:tcPr>
            <w:tcW w:w="3686" w:type="dxa"/>
            <w:shd w:val="clear" w:color="auto" w:fill="auto"/>
            <w:vAlign w:val="center"/>
          </w:tcPr>
          <w:p w14:paraId="605C8262" w14:textId="0EA9027C" w:rsidR="00E67BBC" w:rsidRPr="00D20D53" w:rsidRDefault="00F10DE3" w:rsidP="00E67BBC">
            <w:pPr>
              <w:rPr>
                <w:rFonts w:ascii="Arial" w:hAnsi="Arial" w:cs="Arial"/>
                <w:sz w:val="18"/>
                <w:szCs w:val="18"/>
              </w:rPr>
            </w:pPr>
            <w:r w:rsidRPr="00D20D53">
              <w:rPr>
                <w:rFonts w:ascii="Arial" w:hAnsi="Arial" w:cs="Arial"/>
                <w:sz w:val="18"/>
                <w:szCs w:val="18"/>
              </w:rPr>
              <w:t xml:space="preserve">Acting </w:t>
            </w:r>
            <w:r w:rsidR="00E67BBC" w:rsidRPr="00D20D53">
              <w:rPr>
                <w:rFonts w:ascii="Arial" w:hAnsi="Arial" w:cs="Arial"/>
                <w:sz w:val="18"/>
                <w:szCs w:val="18"/>
              </w:rPr>
              <w:t xml:space="preserve">Coen Local </w:t>
            </w:r>
            <w:r w:rsidR="00310942" w:rsidRPr="00D20D53">
              <w:rPr>
                <w:rFonts w:ascii="Arial" w:hAnsi="Arial" w:cs="Arial"/>
                <w:sz w:val="18"/>
                <w:szCs w:val="18"/>
              </w:rPr>
              <w:t xml:space="preserve">Registry </w:t>
            </w:r>
            <w:r w:rsidR="00E67BBC" w:rsidRPr="00D20D53">
              <w:rPr>
                <w:rFonts w:ascii="Arial" w:hAnsi="Arial" w:cs="Arial"/>
                <w:sz w:val="18"/>
                <w:szCs w:val="18"/>
              </w:rPr>
              <w:t>Coordinator</w:t>
            </w:r>
          </w:p>
        </w:tc>
        <w:tc>
          <w:tcPr>
            <w:tcW w:w="2308" w:type="dxa"/>
            <w:shd w:val="clear" w:color="auto" w:fill="auto"/>
            <w:vAlign w:val="center"/>
          </w:tcPr>
          <w:p w14:paraId="5802C696" w14:textId="1C4312F5" w:rsidR="00E67BBC" w:rsidRPr="00D20D53" w:rsidRDefault="00F10DE3" w:rsidP="00E67BBC">
            <w:pPr>
              <w:rPr>
                <w:rFonts w:ascii="Arial" w:hAnsi="Arial" w:cs="Arial"/>
                <w:sz w:val="18"/>
                <w:szCs w:val="18"/>
              </w:rPr>
            </w:pPr>
            <w:r w:rsidRPr="00D20D53">
              <w:rPr>
                <w:rFonts w:ascii="Arial" w:hAnsi="Arial" w:cs="Arial"/>
                <w:sz w:val="18"/>
                <w:szCs w:val="18"/>
              </w:rPr>
              <w:t>Simeon Miglioranza</w:t>
            </w:r>
          </w:p>
        </w:tc>
        <w:tc>
          <w:tcPr>
            <w:tcW w:w="1261" w:type="dxa"/>
            <w:shd w:val="clear" w:color="auto" w:fill="auto"/>
            <w:vAlign w:val="center"/>
          </w:tcPr>
          <w:p w14:paraId="7D89524A" w14:textId="77777777" w:rsidR="00E67BBC" w:rsidRPr="00D20D53" w:rsidRDefault="00E67BBC" w:rsidP="00E67BBC">
            <w:pPr>
              <w:jc w:val="center"/>
              <w:rPr>
                <w:rFonts w:ascii="Arial" w:hAnsi="Arial" w:cs="Arial"/>
                <w:sz w:val="18"/>
                <w:szCs w:val="18"/>
              </w:rPr>
            </w:pPr>
          </w:p>
        </w:tc>
        <w:tc>
          <w:tcPr>
            <w:tcW w:w="1535" w:type="dxa"/>
            <w:shd w:val="clear" w:color="auto" w:fill="auto"/>
            <w:vAlign w:val="center"/>
          </w:tcPr>
          <w:p w14:paraId="1826CD02" w14:textId="0BDDBCDD" w:rsidR="00E67BBC" w:rsidRPr="00D20D53" w:rsidRDefault="00E67BBC" w:rsidP="00E67BBC">
            <w:pPr>
              <w:jc w:val="center"/>
              <w:rPr>
                <w:rFonts w:ascii="Arial" w:hAnsi="Arial" w:cs="Arial"/>
                <w:sz w:val="18"/>
                <w:szCs w:val="18"/>
              </w:rPr>
            </w:pPr>
            <w:r w:rsidRPr="00D20D53">
              <w:rPr>
                <w:rFonts w:ascii="Arial" w:hAnsi="Arial" w:cs="Arial"/>
                <w:sz w:val="18"/>
                <w:szCs w:val="18"/>
              </w:rPr>
              <w:t>0417 798 392</w:t>
            </w:r>
          </w:p>
        </w:tc>
        <w:tc>
          <w:tcPr>
            <w:tcW w:w="1275" w:type="dxa"/>
            <w:shd w:val="clear" w:color="auto" w:fill="auto"/>
            <w:vAlign w:val="center"/>
          </w:tcPr>
          <w:p w14:paraId="23937D66" w14:textId="0F86015A" w:rsidR="00E67BBC" w:rsidRPr="00D20D53" w:rsidRDefault="00E67BBC" w:rsidP="00E67BBC">
            <w:pPr>
              <w:jc w:val="center"/>
              <w:rPr>
                <w:rFonts w:ascii="Arial" w:hAnsi="Arial" w:cs="Arial"/>
                <w:sz w:val="18"/>
                <w:szCs w:val="18"/>
              </w:rPr>
            </w:pPr>
            <w:r w:rsidRPr="00D20D53">
              <w:rPr>
                <w:rFonts w:ascii="Arial" w:hAnsi="Arial" w:cs="Arial"/>
                <w:sz w:val="18"/>
                <w:szCs w:val="18"/>
              </w:rPr>
              <w:t>4041 0974</w:t>
            </w:r>
          </w:p>
        </w:tc>
      </w:tr>
      <w:tr w:rsidR="00E67BBC" w:rsidRPr="00D83311" w14:paraId="277ED5E3" w14:textId="77777777" w:rsidTr="00F10DE3">
        <w:trPr>
          <w:trHeight w:val="284"/>
        </w:trPr>
        <w:tc>
          <w:tcPr>
            <w:tcW w:w="3686" w:type="dxa"/>
            <w:shd w:val="clear" w:color="auto" w:fill="auto"/>
            <w:vAlign w:val="center"/>
          </w:tcPr>
          <w:p w14:paraId="364D4494" w14:textId="09EB5D33" w:rsidR="00E67BBC" w:rsidRPr="00D20D53" w:rsidRDefault="00E67BBC" w:rsidP="00E67BBC">
            <w:pPr>
              <w:rPr>
                <w:rFonts w:ascii="Arial" w:hAnsi="Arial" w:cs="Arial"/>
                <w:sz w:val="18"/>
                <w:szCs w:val="18"/>
              </w:rPr>
            </w:pPr>
            <w:r w:rsidRPr="00D20D53">
              <w:rPr>
                <w:rFonts w:ascii="Arial" w:hAnsi="Arial" w:cs="Arial"/>
                <w:sz w:val="18"/>
                <w:szCs w:val="18"/>
              </w:rPr>
              <w:t xml:space="preserve">Doomadgee Local </w:t>
            </w:r>
            <w:r w:rsidR="00310942" w:rsidRPr="00D20D53">
              <w:rPr>
                <w:rFonts w:ascii="Arial" w:hAnsi="Arial" w:cs="Arial"/>
                <w:sz w:val="18"/>
                <w:szCs w:val="18"/>
              </w:rPr>
              <w:t xml:space="preserve">Registry </w:t>
            </w:r>
            <w:r w:rsidRPr="00D20D53">
              <w:rPr>
                <w:rFonts w:ascii="Arial" w:hAnsi="Arial" w:cs="Arial"/>
                <w:sz w:val="18"/>
                <w:szCs w:val="18"/>
              </w:rPr>
              <w:t>Coordinator</w:t>
            </w:r>
          </w:p>
        </w:tc>
        <w:tc>
          <w:tcPr>
            <w:tcW w:w="2308" w:type="dxa"/>
            <w:shd w:val="clear" w:color="auto" w:fill="auto"/>
            <w:vAlign w:val="center"/>
          </w:tcPr>
          <w:p w14:paraId="4D4CC50C" w14:textId="6308CBCA" w:rsidR="00E67BBC" w:rsidRPr="00D20D53" w:rsidRDefault="00E67BBC" w:rsidP="00E67BBC">
            <w:pPr>
              <w:rPr>
                <w:rFonts w:ascii="Arial" w:hAnsi="Arial" w:cs="Arial"/>
                <w:sz w:val="18"/>
                <w:szCs w:val="18"/>
              </w:rPr>
            </w:pPr>
            <w:r w:rsidRPr="00D20D53">
              <w:rPr>
                <w:rFonts w:ascii="Arial" w:hAnsi="Arial" w:cs="Arial"/>
                <w:sz w:val="18"/>
                <w:szCs w:val="18"/>
              </w:rPr>
              <w:t>Brenden Joinbee</w:t>
            </w:r>
          </w:p>
        </w:tc>
        <w:tc>
          <w:tcPr>
            <w:tcW w:w="1261" w:type="dxa"/>
            <w:shd w:val="clear" w:color="auto" w:fill="auto"/>
            <w:vAlign w:val="center"/>
          </w:tcPr>
          <w:p w14:paraId="15302AB0" w14:textId="5E766493" w:rsidR="00E67BBC" w:rsidRPr="00D20D53" w:rsidRDefault="00E67BBC" w:rsidP="00E67BBC">
            <w:pPr>
              <w:jc w:val="center"/>
              <w:rPr>
                <w:rFonts w:ascii="Arial" w:hAnsi="Arial" w:cs="Arial"/>
                <w:sz w:val="18"/>
                <w:szCs w:val="18"/>
              </w:rPr>
            </w:pPr>
            <w:r w:rsidRPr="00D20D53">
              <w:rPr>
                <w:rFonts w:ascii="Arial" w:hAnsi="Arial" w:cs="Arial"/>
                <w:sz w:val="18"/>
                <w:szCs w:val="18"/>
              </w:rPr>
              <w:t>4745 8111</w:t>
            </w:r>
          </w:p>
        </w:tc>
        <w:tc>
          <w:tcPr>
            <w:tcW w:w="1535" w:type="dxa"/>
            <w:shd w:val="clear" w:color="auto" w:fill="auto"/>
            <w:vAlign w:val="center"/>
          </w:tcPr>
          <w:p w14:paraId="73E266CB" w14:textId="54C4E81D" w:rsidR="00E67BBC" w:rsidRPr="00D20D53" w:rsidRDefault="00E67BBC" w:rsidP="00E67BBC">
            <w:pPr>
              <w:jc w:val="center"/>
              <w:rPr>
                <w:rFonts w:ascii="Arial" w:hAnsi="Arial" w:cs="Arial"/>
                <w:sz w:val="18"/>
                <w:szCs w:val="18"/>
              </w:rPr>
            </w:pPr>
            <w:r w:rsidRPr="00D20D53">
              <w:rPr>
                <w:rFonts w:ascii="Arial" w:hAnsi="Arial" w:cs="Arial"/>
                <w:sz w:val="18"/>
                <w:szCs w:val="18"/>
              </w:rPr>
              <w:t>0418 666 204</w:t>
            </w:r>
          </w:p>
        </w:tc>
        <w:tc>
          <w:tcPr>
            <w:tcW w:w="1275" w:type="dxa"/>
            <w:shd w:val="clear" w:color="auto" w:fill="auto"/>
            <w:vAlign w:val="center"/>
          </w:tcPr>
          <w:p w14:paraId="4F8E772D" w14:textId="066BA6BD" w:rsidR="00E67BBC" w:rsidRPr="00D20D53" w:rsidRDefault="00E67BBC" w:rsidP="00E67BBC">
            <w:pPr>
              <w:jc w:val="center"/>
              <w:rPr>
                <w:rFonts w:ascii="Arial" w:hAnsi="Arial" w:cs="Arial"/>
                <w:sz w:val="18"/>
                <w:szCs w:val="18"/>
              </w:rPr>
            </w:pPr>
            <w:r w:rsidRPr="00D20D53">
              <w:rPr>
                <w:rFonts w:ascii="Arial" w:hAnsi="Arial" w:cs="Arial"/>
                <w:sz w:val="18"/>
                <w:szCs w:val="18"/>
              </w:rPr>
              <w:t>4041 0974</w:t>
            </w:r>
          </w:p>
        </w:tc>
      </w:tr>
      <w:tr w:rsidR="00E67BBC" w:rsidRPr="00D83311" w14:paraId="7EFE0B9D" w14:textId="77777777" w:rsidTr="00F10DE3">
        <w:trPr>
          <w:trHeight w:val="284"/>
        </w:trPr>
        <w:tc>
          <w:tcPr>
            <w:tcW w:w="3686" w:type="dxa"/>
            <w:shd w:val="clear" w:color="auto" w:fill="auto"/>
            <w:vAlign w:val="center"/>
          </w:tcPr>
          <w:p w14:paraId="7D09B19F" w14:textId="25631C82" w:rsidR="00E67BBC" w:rsidRPr="00D20D53" w:rsidRDefault="00E67BBC" w:rsidP="00E67BBC">
            <w:pPr>
              <w:rPr>
                <w:rFonts w:ascii="Arial" w:hAnsi="Arial" w:cs="Arial"/>
                <w:sz w:val="18"/>
                <w:szCs w:val="18"/>
              </w:rPr>
            </w:pPr>
            <w:r w:rsidRPr="00D20D53">
              <w:rPr>
                <w:rFonts w:ascii="Arial" w:hAnsi="Arial" w:cs="Arial"/>
                <w:sz w:val="18"/>
                <w:szCs w:val="18"/>
              </w:rPr>
              <w:t xml:space="preserve">Hope Vale Local </w:t>
            </w:r>
            <w:r w:rsidR="00310942" w:rsidRPr="00D20D53">
              <w:rPr>
                <w:rFonts w:ascii="Arial" w:hAnsi="Arial" w:cs="Arial"/>
                <w:sz w:val="18"/>
                <w:szCs w:val="18"/>
              </w:rPr>
              <w:t xml:space="preserve">Registry </w:t>
            </w:r>
            <w:r w:rsidRPr="00D20D53">
              <w:rPr>
                <w:rFonts w:ascii="Arial" w:hAnsi="Arial" w:cs="Arial"/>
                <w:sz w:val="18"/>
                <w:szCs w:val="18"/>
              </w:rPr>
              <w:t>Coordinator</w:t>
            </w:r>
          </w:p>
        </w:tc>
        <w:tc>
          <w:tcPr>
            <w:tcW w:w="2308" w:type="dxa"/>
            <w:shd w:val="clear" w:color="auto" w:fill="auto"/>
            <w:vAlign w:val="center"/>
          </w:tcPr>
          <w:p w14:paraId="77F022D6" w14:textId="2AC09A35" w:rsidR="00E67BBC" w:rsidRPr="00D20D53" w:rsidRDefault="00E67BBC" w:rsidP="00E67BBC">
            <w:pPr>
              <w:rPr>
                <w:rFonts w:ascii="Arial" w:hAnsi="Arial" w:cs="Arial"/>
                <w:sz w:val="18"/>
                <w:szCs w:val="18"/>
              </w:rPr>
            </w:pPr>
            <w:r w:rsidRPr="00D20D53">
              <w:rPr>
                <w:rFonts w:ascii="Arial" w:hAnsi="Arial" w:cs="Arial"/>
                <w:sz w:val="18"/>
                <w:szCs w:val="18"/>
              </w:rPr>
              <w:t>Josephine Pinder</w:t>
            </w:r>
          </w:p>
        </w:tc>
        <w:tc>
          <w:tcPr>
            <w:tcW w:w="1261" w:type="dxa"/>
            <w:shd w:val="clear" w:color="auto" w:fill="auto"/>
            <w:vAlign w:val="center"/>
          </w:tcPr>
          <w:p w14:paraId="5275522B" w14:textId="226A0CAA" w:rsidR="00E67BBC" w:rsidRPr="00D20D53" w:rsidRDefault="00E67BBC" w:rsidP="00E67BBC">
            <w:pPr>
              <w:jc w:val="center"/>
              <w:rPr>
                <w:rFonts w:ascii="Arial" w:hAnsi="Arial" w:cs="Arial"/>
                <w:sz w:val="18"/>
                <w:szCs w:val="18"/>
              </w:rPr>
            </w:pPr>
            <w:r w:rsidRPr="00D20D53">
              <w:rPr>
                <w:rFonts w:ascii="Arial" w:hAnsi="Arial" w:cs="Arial"/>
                <w:sz w:val="18"/>
                <w:szCs w:val="18"/>
              </w:rPr>
              <w:t>4060 9153</w:t>
            </w:r>
          </w:p>
        </w:tc>
        <w:tc>
          <w:tcPr>
            <w:tcW w:w="1535" w:type="dxa"/>
            <w:shd w:val="clear" w:color="auto" w:fill="auto"/>
            <w:vAlign w:val="center"/>
          </w:tcPr>
          <w:p w14:paraId="79DE2125" w14:textId="672BEFAE" w:rsidR="00E67BBC" w:rsidRPr="00D20D53" w:rsidRDefault="00E67BBC" w:rsidP="00E67BBC">
            <w:pPr>
              <w:jc w:val="center"/>
              <w:rPr>
                <w:rFonts w:ascii="Arial" w:hAnsi="Arial" w:cs="Arial"/>
                <w:sz w:val="18"/>
                <w:szCs w:val="18"/>
              </w:rPr>
            </w:pPr>
            <w:r w:rsidRPr="00D20D53">
              <w:rPr>
                <w:rFonts w:ascii="Arial" w:hAnsi="Arial" w:cs="Arial"/>
                <w:sz w:val="18"/>
                <w:szCs w:val="18"/>
              </w:rPr>
              <w:t>0408 482 026</w:t>
            </w:r>
          </w:p>
        </w:tc>
        <w:tc>
          <w:tcPr>
            <w:tcW w:w="1275" w:type="dxa"/>
            <w:shd w:val="clear" w:color="auto" w:fill="auto"/>
            <w:vAlign w:val="center"/>
          </w:tcPr>
          <w:p w14:paraId="59AA8D5D" w14:textId="07266147" w:rsidR="00E67BBC" w:rsidRPr="00D20D53" w:rsidRDefault="00E67BBC" w:rsidP="00E67BBC">
            <w:pPr>
              <w:jc w:val="center"/>
              <w:rPr>
                <w:rFonts w:ascii="Arial" w:hAnsi="Arial" w:cs="Arial"/>
                <w:sz w:val="18"/>
                <w:szCs w:val="18"/>
              </w:rPr>
            </w:pPr>
            <w:r w:rsidRPr="00D20D53">
              <w:rPr>
                <w:rFonts w:ascii="Arial" w:hAnsi="Arial" w:cs="Arial"/>
                <w:sz w:val="18"/>
                <w:szCs w:val="18"/>
              </w:rPr>
              <w:t>4041 0974</w:t>
            </w:r>
          </w:p>
        </w:tc>
      </w:tr>
      <w:tr w:rsidR="00B60E22" w:rsidRPr="00D83311" w14:paraId="14311B17" w14:textId="77777777" w:rsidTr="00F10DE3">
        <w:trPr>
          <w:trHeight w:val="284"/>
        </w:trPr>
        <w:tc>
          <w:tcPr>
            <w:tcW w:w="3686" w:type="dxa"/>
            <w:shd w:val="clear" w:color="auto" w:fill="auto"/>
            <w:vAlign w:val="center"/>
          </w:tcPr>
          <w:p w14:paraId="73107646" w14:textId="575D58F7" w:rsidR="00B60E22" w:rsidRPr="00D20D53" w:rsidRDefault="00F10DE3" w:rsidP="00B60E22">
            <w:pPr>
              <w:rPr>
                <w:rFonts w:ascii="Arial" w:hAnsi="Arial" w:cs="Arial"/>
                <w:sz w:val="18"/>
                <w:szCs w:val="18"/>
              </w:rPr>
            </w:pPr>
            <w:r w:rsidRPr="00D20D53">
              <w:rPr>
                <w:rFonts w:ascii="Arial" w:hAnsi="Arial" w:cs="Arial"/>
                <w:sz w:val="18"/>
                <w:szCs w:val="18"/>
              </w:rPr>
              <w:t xml:space="preserve">Acting </w:t>
            </w:r>
            <w:r w:rsidR="00B60E22" w:rsidRPr="00D20D53">
              <w:rPr>
                <w:rFonts w:ascii="Arial" w:hAnsi="Arial" w:cs="Arial"/>
                <w:sz w:val="18"/>
                <w:szCs w:val="18"/>
              </w:rPr>
              <w:t>Mossman Gorge Local Registry Coordinator</w:t>
            </w:r>
          </w:p>
        </w:tc>
        <w:tc>
          <w:tcPr>
            <w:tcW w:w="2308" w:type="dxa"/>
            <w:shd w:val="clear" w:color="auto" w:fill="auto"/>
            <w:vAlign w:val="center"/>
          </w:tcPr>
          <w:p w14:paraId="59965F87" w14:textId="63BCF379" w:rsidR="00B60E22" w:rsidRPr="00D20D53" w:rsidRDefault="00F10DE3" w:rsidP="00B60E22">
            <w:pPr>
              <w:rPr>
                <w:rFonts w:ascii="Arial" w:hAnsi="Arial" w:cs="Arial"/>
                <w:sz w:val="18"/>
                <w:szCs w:val="18"/>
              </w:rPr>
            </w:pPr>
            <w:r w:rsidRPr="00D20D53">
              <w:rPr>
                <w:rFonts w:ascii="Arial" w:hAnsi="Arial" w:cs="Arial"/>
                <w:sz w:val="18"/>
                <w:szCs w:val="18"/>
              </w:rPr>
              <w:t>Simeon Miglioranza</w:t>
            </w:r>
          </w:p>
        </w:tc>
        <w:tc>
          <w:tcPr>
            <w:tcW w:w="1261" w:type="dxa"/>
            <w:shd w:val="clear" w:color="auto" w:fill="auto"/>
            <w:vAlign w:val="center"/>
          </w:tcPr>
          <w:p w14:paraId="78DBA0DF" w14:textId="77777777" w:rsidR="00B60E22" w:rsidRPr="00D20D53" w:rsidRDefault="00B60E22" w:rsidP="00B60E22">
            <w:pPr>
              <w:jc w:val="center"/>
              <w:rPr>
                <w:rFonts w:ascii="Arial" w:hAnsi="Arial" w:cs="Arial"/>
                <w:sz w:val="18"/>
                <w:szCs w:val="18"/>
              </w:rPr>
            </w:pPr>
          </w:p>
        </w:tc>
        <w:tc>
          <w:tcPr>
            <w:tcW w:w="1535" w:type="dxa"/>
            <w:shd w:val="clear" w:color="auto" w:fill="auto"/>
            <w:vAlign w:val="center"/>
          </w:tcPr>
          <w:p w14:paraId="1CB77B42" w14:textId="34E21ABB" w:rsidR="00B60E22" w:rsidRPr="00D20D53" w:rsidRDefault="00B60E22" w:rsidP="00B60E22">
            <w:pPr>
              <w:jc w:val="center"/>
              <w:rPr>
                <w:rFonts w:ascii="Arial" w:hAnsi="Arial" w:cs="Arial"/>
                <w:sz w:val="18"/>
                <w:szCs w:val="18"/>
              </w:rPr>
            </w:pPr>
            <w:r w:rsidRPr="00D20D53">
              <w:rPr>
                <w:rFonts w:ascii="Arial" w:hAnsi="Arial" w:cs="Arial"/>
                <w:sz w:val="18"/>
                <w:szCs w:val="18"/>
              </w:rPr>
              <w:t>0417 798 392</w:t>
            </w:r>
          </w:p>
        </w:tc>
        <w:tc>
          <w:tcPr>
            <w:tcW w:w="1275" w:type="dxa"/>
            <w:shd w:val="clear" w:color="auto" w:fill="auto"/>
            <w:vAlign w:val="center"/>
          </w:tcPr>
          <w:p w14:paraId="46004A59" w14:textId="62742EFF" w:rsidR="00B60E22" w:rsidRPr="00D20D53" w:rsidRDefault="00B60E22" w:rsidP="00B60E22">
            <w:pPr>
              <w:jc w:val="center"/>
              <w:rPr>
                <w:rFonts w:ascii="Arial" w:hAnsi="Arial" w:cs="Arial"/>
                <w:sz w:val="18"/>
                <w:szCs w:val="18"/>
              </w:rPr>
            </w:pPr>
            <w:r w:rsidRPr="00D20D53">
              <w:rPr>
                <w:rFonts w:ascii="Arial" w:hAnsi="Arial" w:cs="Arial"/>
                <w:sz w:val="18"/>
                <w:szCs w:val="18"/>
              </w:rPr>
              <w:t>4041 0974</w:t>
            </w:r>
          </w:p>
        </w:tc>
      </w:tr>
    </w:tbl>
    <w:p w14:paraId="3AE90444" w14:textId="77777777" w:rsidR="00967E77" w:rsidRDefault="00967E77" w:rsidP="00D20D53">
      <w:pPr>
        <w:rPr>
          <w:rFonts w:ascii="Arial Narrow" w:hAnsi="Arial Narrow"/>
        </w:rPr>
      </w:pPr>
    </w:p>
    <w:sectPr w:rsidR="00967E77" w:rsidSect="00F65662">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E3DF" w14:textId="77777777" w:rsidR="00B73BB5" w:rsidRDefault="00B73BB5">
      <w:r>
        <w:separator/>
      </w:r>
    </w:p>
  </w:endnote>
  <w:endnote w:type="continuationSeparator" w:id="0">
    <w:p w14:paraId="776789D0" w14:textId="77777777" w:rsidR="00B73BB5" w:rsidRDefault="00B73BB5">
      <w:r>
        <w:continuationSeparator/>
      </w:r>
    </w:p>
  </w:endnote>
  <w:endnote w:type="continuationNotice" w:id="1">
    <w:p w14:paraId="6CD425E1" w14:textId="77777777" w:rsidR="00B73BB5" w:rsidRDefault="00B73B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5B26"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7800C" w14:textId="77777777" w:rsidR="00324B7B" w:rsidRDefault="00324B7B"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F23E"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324B7B" w:rsidRDefault="00324B7B"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7EC2" w14:textId="77777777" w:rsidR="00324B7B" w:rsidRDefault="00324B7B"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6C0D" w14:textId="77777777" w:rsidR="00B73BB5" w:rsidRDefault="00B73BB5">
      <w:r>
        <w:separator/>
      </w:r>
    </w:p>
  </w:footnote>
  <w:footnote w:type="continuationSeparator" w:id="0">
    <w:p w14:paraId="7B23A0DD" w14:textId="77777777" w:rsidR="00B73BB5" w:rsidRDefault="00B73BB5">
      <w:r>
        <w:continuationSeparator/>
      </w:r>
    </w:p>
  </w:footnote>
  <w:footnote w:type="continuationNotice" w:id="1">
    <w:p w14:paraId="2D8A28E3" w14:textId="77777777" w:rsidR="00B73BB5" w:rsidRDefault="00B73BB5">
      <w:pPr>
        <w:spacing w:line="240" w:lineRule="auto"/>
      </w:pPr>
    </w:p>
  </w:footnote>
  <w:footnote w:id="2">
    <w:p w14:paraId="01BCC388" w14:textId="30664B36" w:rsidR="00585CCD" w:rsidRPr="00EE5878" w:rsidRDefault="00585CCD">
      <w:pPr>
        <w:pStyle w:val="FootnoteText"/>
        <w:rPr>
          <w:sz w:val="16"/>
          <w:szCs w:val="16"/>
        </w:rPr>
      </w:pPr>
      <w:r w:rsidRPr="00EE5878">
        <w:rPr>
          <w:rStyle w:val="FootnoteReference"/>
          <w:sz w:val="16"/>
          <w:szCs w:val="16"/>
        </w:rPr>
        <w:footnoteRef/>
      </w:r>
      <w:r w:rsidRPr="00EE5878">
        <w:rPr>
          <w:sz w:val="16"/>
          <w:szCs w:val="16"/>
        </w:rPr>
        <w:t xml:space="preserve"> Section 144 </w:t>
      </w:r>
      <w:r w:rsidRPr="00EE5878">
        <w:rPr>
          <w:i/>
          <w:iCs/>
          <w:sz w:val="16"/>
          <w:szCs w:val="16"/>
        </w:rPr>
        <w:t>Family Responsibilities Commission Act 2008</w:t>
      </w:r>
    </w:p>
  </w:footnote>
  <w:footnote w:id="3">
    <w:p w14:paraId="0E53FAAB" w14:textId="6D1A141B" w:rsidR="00324B7B" w:rsidRPr="00504360" w:rsidRDefault="00324B7B" w:rsidP="00452E54">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(e.g. a Child Safety and Welfare notice relating to two parents is counted as two notices and if three children from one family have an unexplained absence on one day, it is counted as three individual School Attendance notices).</w:t>
      </w:r>
    </w:p>
  </w:footnote>
  <w:footnote w:id="4">
    <w:p w14:paraId="264E5477" w14:textId="1C824287" w:rsidR="00324B7B" w:rsidRPr="00504360" w:rsidRDefault="00324B7B" w:rsidP="00452E54">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where a service provider has multiple programs.</w:t>
      </w:r>
    </w:p>
  </w:footnote>
  <w:footnote w:id="5">
    <w:p w14:paraId="34C9FD76" w14:textId="77777777" w:rsidR="00AA4EAC" w:rsidRDefault="00AA4EAC" w:rsidP="00AA4EAC">
      <w:pPr>
        <w:pStyle w:val="FootnoteText"/>
      </w:pPr>
      <w:bookmarkStart w:id="1" w:name="_Hlk97126388"/>
      <w:r>
        <w:rPr>
          <w:rStyle w:val="FootnoteReference"/>
        </w:rPr>
        <w:footnoteRef/>
      </w:r>
      <w:r>
        <w:t xml:space="preserve"> </w:t>
      </w:r>
      <w:r w:rsidRPr="002B3F07">
        <w:rPr>
          <w:sz w:val="16"/>
          <w:szCs w:val="16"/>
        </w:rPr>
        <w:t xml:space="preserve">The Commission has made a submission to the FR Board requesting the urgent appointment of </w:t>
      </w:r>
      <w:r>
        <w:rPr>
          <w:sz w:val="16"/>
          <w:szCs w:val="16"/>
        </w:rPr>
        <w:t xml:space="preserve">new </w:t>
      </w:r>
      <w:r w:rsidRPr="002B3F07">
        <w:rPr>
          <w:sz w:val="16"/>
          <w:szCs w:val="16"/>
        </w:rPr>
        <w:t>Local Commissioners to</w:t>
      </w:r>
      <w:r>
        <w:rPr>
          <w:sz w:val="16"/>
          <w:szCs w:val="16"/>
        </w:rPr>
        <w:t xml:space="preserve"> bolster Commissioner numbers. Endorsement has been provided and new applications forwarded for consideration in Quarter 55.</w:t>
      </w:r>
      <w:r>
        <w:t xml:space="preserve"> </w:t>
      </w:r>
      <w:bookmarkEnd w:id="1"/>
    </w:p>
  </w:footnote>
  <w:footnote w:id="6">
    <w:p w14:paraId="386D72C0" w14:textId="5A2B3E87" w:rsidR="00324B7B" w:rsidRPr="00993F41" w:rsidRDefault="00324B7B">
      <w:pPr>
        <w:pStyle w:val="FootnoteText"/>
        <w:rPr>
          <w:sz w:val="16"/>
          <w:szCs w:val="16"/>
        </w:rPr>
      </w:pPr>
      <w:r w:rsidRPr="00993F41">
        <w:rPr>
          <w:rStyle w:val="FootnoteReference"/>
          <w:sz w:val="16"/>
          <w:szCs w:val="16"/>
        </w:rPr>
        <w:footnoteRef/>
      </w:r>
      <w:r w:rsidRPr="00993F41">
        <w:rPr>
          <w:sz w:val="16"/>
          <w:szCs w:val="16"/>
        </w:rPr>
        <w:t xml:space="preserve"> Refer to the descriptions of abbreviations on page </w:t>
      </w:r>
      <w:r w:rsidR="000114A6">
        <w:rPr>
          <w:sz w:val="16"/>
          <w:szCs w:val="16"/>
        </w:rPr>
        <w:t>5</w:t>
      </w:r>
      <w:r w:rsidRPr="00993F41">
        <w:rPr>
          <w:sz w:val="16"/>
          <w:szCs w:val="16"/>
        </w:rPr>
        <w:t>.</w:t>
      </w:r>
    </w:p>
  </w:footnote>
  <w:footnote w:id="7">
    <w:p w14:paraId="255B35DE" w14:textId="5E11F1AA" w:rsidR="00324B7B" w:rsidRDefault="00324B7B">
      <w:pPr>
        <w:pStyle w:val="FootnoteText"/>
      </w:pPr>
      <w:r>
        <w:rPr>
          <w:rStyle w:val="FootnoteReference"/>
        </w:rPr>
        <w:footnoteRef/>
      </w:r>
      <w:r>
        <w:t xml:space="preserve"> </w:t>
      </w:r>
      <w:bookmarkStart w:id="10" w:name="_Hlk97300676"/>
      <w:r w:rsidRPr="00F106B3">
        <w:rPr>
          <w:sz w:val="16"/>
          <w:szCs w:val="16"/>
        </w:rPr>
        <w:t xml:space="preserve">Refer to the descriptions of abbreviations on page </w:t>
      </w:r>
      <w:r w:rsidR="000114A6">
        <w:rPr>
          <w:sz w:val="16"/>
          <w:szCs w:val="16"/>
        </w:rPr>
        <w:t>5</w:t>
      </w:r>
      <w:r w:rsidRPr="00F106B3">
        <w:rPr>
          <w:sz w:val="16"/>
          <w:szCs w:val="16"/>
        </w:rPr>
        <w:t>.</w:t>
      </w:r>
      <w:bookmarkEnd w:id="10"/>
    </w:p>
  </w:footnote>
  <w:footnote w:id="8">
    <w:p w14:paraId="3413357A" w14:textId="128D5D72" w:rsidR="00560109" w:rsidRDefault="00560109">
      <w:pPr>
        <w:pStyle w:val="FootnoteText"/>
      </w:pPr>
      <w:r>
        <w:rPr>
          <w:rStyle w:val="FootnoteReference"/>
        </w:rPr>
        <w:footnoteRef/>
      </w:r>
      <w:r>
        <w:t xml:space="preserve"> </w:t>
      </w:r>
      <w:r w:rsidRPr="00F106B3">
        <w:rPr>
          <w:sz w:val="16"/>
          <w:szCs w:val="16"/>
        </w:rPr>
        <w:t xml:space="preserve">Refer to the descriptions of abbreviations on page </w:t>
      </w:r>
      <w:r w:rsidR="000114A6">
        <w:rPr>
          <w:sz w:val="16"/>
          <w:szCs w:val="16"/>
        </w:rPr>
        <w:t>5</w:t>
      </w:r>
      <w:r w:rsidRPr="00F106B3">
        <w:rPr>
          <w:sz w:val="16"/>
          <w:szCs w:val="16"/>
        </w:rPr>
        <w:t>.</w:t>
      </w:r>
    </w:p>
  </w:footnote>
  <w:footnote w:id="9">
    <w:p w14:paraId="621C3F9F" w14:textId="77777777" w:rsidR="00324B7B" w:rsidRPr="00850FF3" w:rsidRDefault="00324B7B"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‘clients’ on the notice. For example a child safety and welfare notice relating to two parents is counted as two notices.</w:t>
      </w:r>
    </w:p>
  </w:footnote>
  <w:footnote w:id="10">
    <w:p w14:paraId="0902E148" w14:textId="30AC1DA5" w:rsidR="00324B7B" w:rsidRDefault="00324B7B">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w:t>
      </w:r>
      <w:r>
        <w:rPr>
          <w:sz w:val="16"/>
          <w:szCs w:val="16"/>
        </w:rPr>
        <w:t>ren, Youth Justice and Multicultural Affairs only</w:t>
      </w:r>
      <w:r w:rsidRPr="00850FF3">
        <w:rPr>
          <w:sz w:val="16"/>
          <w:szCs w:val="16"/>
        </w:rPr>
        <w:t>.</w:t>
      </w:r>
    </w:p>
  </w:footnote>
  <w:footnote w:id="11">
    <w:p w14:paraId="70C1A401" w14:textId="77777777" w:rsidR="00324B7B" w:rsidRPr="004B50DF" w:rsidRDefault="00324B7B" w:rsidP="005A5B78">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2">
    <w:p w14:paraId="1D04A1CF" w14:textId="77777777" w:rsidR="00324B7B" w:rsidRDefault="00324B7B"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3">
    <w:p w14:paraId="55C03F91" w14:textId="77777777" w:rsidR="00324B7B" w:rsidRDefault="00324B7B"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4">
    <w:p w14:paraId="5AC10446" w14:textId="4BCBC3CF" w:rsidR="00324B7B" w:rsidRDefault="00324B7B"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5">
    <w:p w14:paraId="5B5EB21A" w14:textId="7DC240A2" w:rsidR="00324B7B" w:rsidRPr="004C7880" w:rsidRDefault="00324B7B"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Average age of a CIM’d client for the quarter is calculated at the first conference date held where the client was placed on a CIM during the quarter.</w:t>
      </w:r>
      <w:r w:rsidRPr="004C7880" w:rsidDel="004C7880">
        <w:rPr>
          <w:rStyle w:val="FootnoteReference"/>
          <w:sz w:val="16"/>
          <w:szCs w:val="16"/>
          <w:vertAlign w:val="baseline"/>
        </w:rPr>
        <w:t xml:space="preserve"> </w:t>
      </w:r>
    </w:p>
  </w:footnote>
  <w:footnote w:id="16">
    <w:p w14:paraId="5014099E" w14:textId="0B6B0C8B" w:rsidR="00324B7B" w:rsidRDefault="00324B7B">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r w:rsidRPr="004C7880" w:rsidDel="004C7880">
        <w:rPr>
          <w:rStyle w:val="FootnoteReference"/>
          <w:vertAlign w:val="baseline"/>
        </w:rPr>
        <w:t xml:space="preserve"> </w:t>
      </w:r>
    </w:p>
  </w:footnote>
  <w:footnote w:id="17">
    <w:p w14:paraId="4AA50FB0" w14:textId="769D9026" w:rsidR="00324B7B" w:rsidRDefault="00324B7B">
      <w:pPr>
        <w:pStyle w:val="FootnoteText"/>
      </w:pPr>
      <w:r w:rsidRPr="003A65E8">
        <w:rPr>
          <w:rStyle w:val="FootnoteReference"/>
          <w:sz w:val="16"/>
          <w:szCs w:val="16"/>
        </w:rPr>
        <w:footnoteRef/>
      </w:r>
      <w:r>
        <w:t xml:space="preserve"> </w:t>
      </w:r>
      <w:r w:rsidRPr="004C7880">
        <w:rPr>
          <w:rStyle w:val="FootnoteReference"/>
          <w:sz w:val="16"/>
          <w:szCs w:val="16"/>
          <w:vertAlign w:val="baseline"/>
        </w:rPr>
        <w:t>Average age of a VIM’d client for the quarter is calculated at the start date of the agreement where the client was placed on a VIM during the quarter.</w:t>
      </w:r>
    </w:p>
  </w:footnote>
  <w:footnote w:id="18">
    <w:p w14:paraId="7CE1A087" w14:textId="49542CF8" w:rsidR="00324B7B" w:rsidRDefault="00324B7B">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9">
    <w:p w14:paraId="15716F00" w14:textId="26382896" w:rsidR="00324B7B" w:rsidRDefault="00324B7B" w:rsidP="00F500CF">
      <w:pPr>
        <w:pStyle w:val="FootnoteText"/>
        <w:jc w:val="both"/>
      </w:pPr>
      <w:r w:rsidRPr="00C5462F">
        <w:rPr>
          <w:rStyle w:val="FootnoteReference"/>
          <w:sz w:val="16"/>
          <w:szCs w:val="16"/>
        </w:rPr>
        <w:footnoteRef/>
      </w:r>
      <w:r w:rsidRPr="004971EA">
        <w:rPr>
          <w:sz w:val="16"/>
          <w:szCs w:val="16"/>
        </w:rPr>
        <w:t xml:space="preserve"> Note: </w:t>
      </w:r>
      <w:r w:rsidRPr="0044594D">
        <w:rPr>
          <w:sz w:val="16"/>
          <w:szCs w:val="16"/>
        </w:rPr>
        <w:t>Australian Statistical Geography Standard 2016 boundaries used are local government areas for Aurukun, Doomadgee and Hope Vale, and statistical areas level 1 (SA1s) of 3139616 for Coen and 3116408 for Mossman Gorge.</w:t>
      </w:r>
    </w:p>
  </w:footnote>
  <w:footnote w:id="20">
    <w:p w14:paraId="3BBC0E7E" w14:textId="41F30A76" w:rsidR="00324B7B" w:rsidRDefault="00324B7B" w:rsidP="00F500CF">
      <w:pPr>
        <w:pStyle w:val="FootnoteText"/>
      </w:pPr>
      <w:r w:rsidRPr="004971EA">
        <w:rPr>
          <w:rStyle w:val="FootnoteReference"/>
          <w:sz w:val="16"/>
          <w:szCs w:val="16"/>
        </w:rPr>
        <w:footnoteRef/>
      </w:r>
      <w:r w:rsidRPr="004971EA">
        <w:rPr>
          <w:sz w:val="16"/>
          <w:szCs w:val="16"/>
        </w:rPr>
        <w:t xml:space="preserve"> Note: Adults </w:t>
      </w:r>
      <w:r>
        <w:rPr>
          <w:sz w:val="16"/>
          <w:szCs w:val="16"/>
        </w:rPr>
        <w:t>18</w:t>
      </w:r>
      <w:r w:rsidRPr="004971EA">
        <w:rPr>
          <w:sz w:val="16"/>
          <w:szCs w:val="16"/>
        </w:rPr>
        <w:t xml:space="preserve"> years and over provided by the </w:t>
      </w:r>
      <w:r w:rsidRPr="004971EA">
        <w:rPr>
          <w:rFonts w:cs="Arial"/>
          <w:sz w:val="16"/>
          <w:szCs w:val="16"/>
        </w:rPr>
        <w:t xml:space="preserve">Queensland Government Statistician’s Office (QGSO), Queensland Treasury, based on the Australian Bureau of Statistics (ABS) </w:t>
      </w:r>
      <w:r>
        <w:rPr>
          <w:rFonts w:cs="Arial"/>
          <w:sz w:val="16"/>
          <w:szCs w:val="16"/>
        </w:rPr>
        <w:t xml:space="preserve">unpublished preliminary </w:t>
      </w:r>
      <w:r w:rsidRPr="004971EA">
        <w:rPr>
          <w:rFonts w:cs="Arial"/>
          <w:sz w:val="16"/>
          <w:szCs w:val="16"/>
        </w:rPr>
        <w:t>Estimated Resident Population (ERP) data by age and sex at the Local Govern</w:t>
      </w:r>
      <w:r>
        <w:rPr>
          <w:rFonts w:cs="Arial"/>
          <w:sz w:val="16"/>
          <w:szCs w:val="16"/>
        </w:rPr>
        <w:t>ment Area level for 30 June 2019</w:t>
      </w:r>
      <w:r w:rsidRPr="004971EA">
        <w:rPr>
          <w:rFonts w:cs="Arial"/>
          <w:sz w:val="16"/>
          <w:szCs w:val="16"/>
        </w:rPr>
        <w:t>.</w:t>
      </w:r>
    </w:p>
  </w:footnote>
  <w:footnote w:id="21">
    <w:p w14:paraId="3884DA28" w14:textId="23E533ED" w:rsidR="00324B7B" w:rsidRDefault="00324B7B" w:rsidP="00F500CF">
      <w:pPr>
        <w:pStyle w:val="FootnoteText"/>
      </w:pPr>
      <w:r w:rsidRPr="00C5462F">
        <w:rPr>
          <w:rStyle w:val="FootnoteReference"/>
          <w:sz w:val="18"/>
          <w:szCs w:val="18"/>
        </w:rPr>
        <w:footnoteRef/>
      </w:r>
      <w:r w:rsidRPr="004971EA">
        <w:rPr>
          <w:sz w:val="16"/>
          <w:szCs w:val="16"/>
        </w:rPr>
        <w:t xml:space="preserve"> </w:t>
      </w:r>
      <w:r w:rsidRPr="0006058E">
        <w:rPr>
          <w:sz w:val="16"/>
          <w:szCs w:val="16"/>
        </w:rPr>
        <w:t xml:space="preserve">Note: Adults </w:t>
      </w:r>
      <w:r>
        <w:rPr>
          <w:sz w:val="16"/>
          <w:szCs w:val="16"/>
        </w:rPr>
        <w:t xml:space="preserve">18 years and over provided by </w:t>
      </w:r>
      <w:r>
        <w:rPr>
          <w:rFonts w:cs="Arial"/>
          <w:sz w:val="16"/>
          <w:szCs w:val="16"/>
        </w:rPr>
        <w:t>QGSO</w:t>
      </w:r>
      <w:r w:rsidRPr="0006058E">
        <w:rPr>
          <w:rFonts w:cs="Arial"/>
          <w:sz w:val="16"/>
          <w:szCs w:val="16"/>
        </w:rPr>
        <w:t xml:space="preserve">, Queensland Treasury, based on the </w:t>
      </w:r>
      <w:r>
        <w:rPr>
          <w:rFonts w:cs="Arial"/>
          <w:sz w:val="16"/>
          <w:szCs w:val="16"/>
        </w:rPr>
        <w:t>ABS</w:t>
      </w:r>
      <w:r w:rsidRPr="0006058E">
        <w:rPr>
          <w:rFonts w:cs="Arial"/>
          <w:sz w:val="16"/>
          <w:szCs w:val="16"/>
        </w:rPr>
        <w:t xml:space="preserve"> </w:t>
      </w:r>
      <w:r>
        <w:rPr>
          <w:rFonts w:cs="Arial"/>
          <w:sz w:val="16"/>
          <w:szCs w:val="16"/>
        </w:rPr>
        <w:t>unpublished preliminary ERP</w:t>
      </w:r>
      <w:r w:rsidRPr="0006058E">
        <w:rPr>
          <w:rFonts w:cs="Arial"/>
          <w:sz w:val="16"/>
          <w:szCs w:val="16"/>
        </w:rPr>
        <w:t xml:space="preserve"> data by age and sex at the </w:t>
      </w:r>
      <w:r w:rsidRPr="002376E4">
        <w:rPr>
          <w:rFonts w:cs="Arial"/>
          <w:sz w:val="16"/>
          <w:szCs w:val="16"/>
        </w:rPr>
        <w:t xml:space="preserve">Statistical </w:t>
      </w:r>
      <w:r w:rsidRPr="0006058E">
        <w:rPr>
          <w:rFonts w:cs="Arial"/>
          <w:sz w:val="16"/>
          <w:szCs w:val="16"/>
        </w:rPr>
        <w:t>Area level</w:t>
      </w:r>
      <w:r>
        <w:rPr>
          <w:rFonts w:cs="Arial"/>
          <w:sz w:val="16"/>
          <w:szCs w:val="16"/>
        </w:rPr>
        <w:t xml:space="preserve"> 1</w:t>
      </w:r>
      <w:r w:rsidRPr="0006058E">
        <w:rPr>
          <w:rFonts w:cs="Arial"/>
          <w:sz w:val="16"/>
          <w:szCs w:val="16"/>
        </w:rPr>
        <w:t xml:space="preserve"> for 30 June </w:t>
      </w:r>
      <w:r>
        <w:rPr>
          <w:rFonts w:cs="Arial"/>
          <w:sz w:val="16"/>
          <w:szCs w:val="16"/>
        </w:rPr>
        <w:t>2019.</w:t>
      </w:r>
    </w:p>
  </w:footnote>
  <w:footnote w:id="22">
    <w:p w14:paraId="5BB1F6F6" w14:textId="2B05C385" w:rsidR="00324B7B" w:rsidRDefault="00324B7B" w:rsidP="00F500CF">
      <w:pPr>
        <w:pStyle w:val="FootnoteText"/>
      </w:pPr>
      <w:r w:rsidRPr="00C5462F">
        <w:rPr>
          <w:rStyle w:val="FootnoteReference"/>
          <w:sz w:val="16"/>
          <w:szCs w:val="16"/>
        </w:rPr>
        <w:footnoteRef/>
      </w:r>
      <w:r w:rsidRPr="004971EA">
        <w:rPr>
          <w:sz w:val="16"/>
          <w:szCs w:val="16"/>
        </w:rPr>
        <w:t xml:space="preserve"> </w:t>
      </w:r>
      <w:r w:rsidRPr="008B5D72">
        <w:rPr>
          <w:sz w:val="16"/>
          <w:szCs w:val="16"/>
        </w:rPr>
        <w:t xml:space="preserve">Note: </w:t>
      </w:r>
      <w:r>
        <w:rPr>
          <w:sz w:val="16"/>
          <w:szCs w:val="16"/>
        </w:rPr>
        <w:t>Total population provided by</w:t>
      </w:r>
      <w:r w:rsidRPr="008B5D72">
        <w:rPr>
          <w:sz w:val="16"/>
          <w:szCs w:val="16"/>
        </w:rPr>
        <w:t xml:space="preserve"> </w:t>
      </w:r>
      <w:r>
        <w:rPr>
          <w:sz w:val="16"/>
          <w:szCs w:val="16"/>
        </w:rPr>
        <w:t>QGSO</w:t>
      </w:r>
      <w:r w:rsidRPr="008B5D72">
        <w:rPr>
          <w:sz w:val="16"/>
          <w:szCs w:val="16"/>
        </w:rPr>
        <w:t>, Queensland T</w:t>
      </w:r>
      <w:r>
        <w:rPr>
          <w:sz w:val="16"/>
          <w:szCs w:val="16"/>
        </w:rPr>
        <w:t xml:space="preserve">reasury, not 18 years and older, due to the small size of the total population </w:t>
      </w:r>
      <w:r w:rsidRPr="002376E4">
        <w:rPr>
          <w:rFonts w:cs="Arial"/>
          <w:sz w:val="16"/>
          <w:szCs w:val="16"/>
        </w:rPr>
        <w:t xml:space="preserve">from the ABS </w:t>
      </w:r>
      <w:r>
        <w:rPr>
          <w:rFonts w:cs="Arial"/>
          <w:sz w:val="16"/>
          <w:szCs w:val="16"/>
        </w:rPr>
        <w:t xml:space="preserve">unpublished preliminary </w:t>
      </w:r>
      <w:r w:rsidRPr="002376E4">
        <w:rPr>
          <w:rFonts w:cs="Arial"/>
          <w:sz w:val="16"/>
          <w:szCs w:val="16"/>
        </w:rPr>
        <w:t xml:space="preserve">ERP data at the Statistical Area level 1 for 30 June </w:t>
      </w:r>
      <w:r>
        <w:rPr>
          <w:rFonts w:cs="Arial"/>
          <w:sz w:val="16"/>
          <w:szCs w:val="16"/>
        </w:rPr>
        <w:t>2019</w:t>
      </w:r>
      <w:r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82A3" w14:textId="65FBE856" w:rsidR="00324B7B" w:rsidRDefault="00324B7B">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mV9AEAAMU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" o:allowincell="f" filled="f" stroked="f">
              <v:stroke joinstyle="round"/>
              <o:lock v:ext="edit" shapetype="t"/>
              <v:textbox style="mso-fit-shape-to-text:t">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Ed9gEAAMw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" o:allowincell="f" filled="f" stroked="f">
              <v:stroke joinstyle="round"/>
              <o:lock v:ext="edit" shapetype="t"/>
              <v:textbox style="mso-fit-shape-to-text:t">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CF0E" w14:textId="72B102A4" w:rsidR="00324B7B" w:rsidRDefault="00324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8980" w14:textId="795D9FC9" w:rsidR="00324B7B" w:rsidRDefault="00324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A698C5B2"/>
    <w:lvl w:ilvl="0">
      <w:numFmt w:val="decimal"/>
      <w:pStyle w:val="Caption"/>
      <w:lvlText w:val="*"/>
      <w:lvlJc w:val="left"/>
      <w:rPr>
        <w:rFonts w:cs="Times New Roman"/>
      </w:rPr>
    </w:lvl>
  </w:abstractNum>
  <w:abstractNum w:abstractNumId="2" w15:restartNumberingAfterBreak="0">
    <w:nsid w:val="01147C71"/>
    <w:multiLevelType w:val="hybridMultilevel"/>
    <w:tmpl w:val="B44655A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3"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7A38E5"/>
    <w:multiLevelType w:val="hybridMultilevel"/>
    <w:tmpl w:val="CC4E782C"/>
    <w:lvl w:ilvl="0" w:tplc="30C2CF6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3E07C07"/>
    <w:multiLevelType w:val="hybridMultilevel"/>
    <w:tmpl w:val="042A1D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DF27CE"/>
    <w:multiLevelType w:val="hybridMultilevel"/>
    <w:tmpl w:val="83E43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0" w15:restartNumberingAfterBreak="0">
    <w:nsid w:val="48A47F98"/>
    <w:multiLevelType w:val="hybridMultilevel"/>
    <w:tmpl w:val="63B47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BCB791D"/>
    <w:multiLevelType w:val="hybridMultilevel"/>
    <w:tmpl w:val="4756FBAC"/>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6038228C"/>
    <w:multiLevelType w:val="hybridMultilevel"/>
    <w:tmpl w:val="1528E52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67806ACB"/>
    <w:multiLevelType w:val="hybridMultilevel"/>
    <w:tmpl w:val="7764A90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5"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5"/>
  </w:num>
  <w:num w:numId="3">
    <w:abstractNumId w:val="4"/>
  </w:num>
  <w:num w:numId="4">
    <w:abstractNumId w:val="16"/>
  </w:num>
  <w:num w:numId="5">
    <w:abstractNumId w:val="17"/>
  </w:num>
  <w:num w:numId="6">
    <w:abstractNumId w:val="0"/>
  </w:num>
  <w:num w:numId="7">
    <w:abstractNumId w:val="7"/>
  </w:num>
  <w:num w:numId="8">
    <w:abstractNumId w:val="3"/>
  </w:num>
  <w:num w:numId="9">
    <w:abstractNumId w:val="12"/>
  </w:num>
  <w:num w:numId="10">
    <w:abstractNumId w:val="9"/>
  </w:num>
  <w:num w:numId="11">
    <w:abstractNumId w:val="14"/>
  </w:num>
  <w:num w:numId="12">
    <w:abstractNumId w:val="10"/>
  </w:num>
  <w:num w:numId="13">
    <w:abstractNumId w:val="11"/>
  </w:num>
  <w:num w:numId="14">
    <w:abstractNumId w:val="5"/>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50">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F9"/>
    <w:rsid w:val="000010BC"/>
    <w:rsid w:val="0000121E"/>
    <w:rsid w:val="00001341"/>
    <w:rsid w:val="000013AA"/>
    <w:rsid w:val="000013EF"/>
    <w:rsid w:val="00001546"/>
    <w:rsid w:val="0000180A"/>
    <w:rsid w:val="00001818"/>
    <w:rsid w:val="00001840"/>
    <w:rsid w:val="00001AA1"/>
    <w:rsid w:val="00001BAB"/>
    <w:rsid w:val="00001CE2"/>
    <w:rsid w:val="00001E8D"/>
    <w:rsid w:val="00001FB1"/>
    <w:rsid w:val="00002082"/>
    <w:rsid w:val="000022AB"/>
    <w:rsid w:val="000022D9"/>
    <w:rsid w:val="00002BF6"/>
    <w:rsid w:val="00002D0C"/>
    <w:rsid w:val="00002E4C"/>
    <w:rsid w:val="0000355E"/>
    <w:rsid w:val="00003756"/>
    <w:rsid w:val="00003AD4"/>
    <w:rsid w:val="000040A8"/>
    <w:rsid w:val="0000478B"/>
    <w:rsid w:val="000047DC"/>
    <w:rsid w:val="00004A47"/>
    <w:rsid w:val="00004D7C"/>
    <w:rsid w:val="00004F7D"/>
    <w:rsid w:val="00004FB4"/>
    <w:rsid w:val="000052E6"/>
    <w:rsid w:val="000058CD"/>
    <w:rsid w:val="00005A38"/>
    <w:rsid w:val="00005E39"/>
    <w:rsid w:val="00006185"/>
    <w:rsid w:val="00006254"/>
    <w:rsid w:val="000062EC"/>
    <w:rsid w:val="00006699"/>
    <w:rsid w:val="00006743"/>
    <w:rsid w:val="0000674B"/>
    <w:rsid w:val="000068AE"/>
    <w:rsid w:val="000068E7"/>
    <w:rsid w:val="0000692B"/>
    <w:rsid w:val="00006B81"/>
    <w:rsid w:val="00006CA5"/>
    <w:rsid w:val="00006F38"/>
    <w:rsid w:val="00007263"/>
    <w:rsid w:val="000072FE"/>
    <w:rsid w:val="00007930"/>
    <w:rsid w:val="00007A59"/>
    <w:rsid w:val="00007B00"/>
    <w:rsid w:val="00007BA5"/>
    <w:rsid w:val="00007BA9"/>
    <w:rsid w:val="000101BA"/>
    <w:rsid w:val="000102C9"/>
    <w:rsid w:val="00010328"/>
    <w:rsid w:val="000108AD"/>
    <w:rsid w:val="0001094E"/>
    <w:rsid w:val="00010BBF"/>
    <w:rsid w:val="00010EF3"/>
    <w:rsid w:val="000111F9"/>
    <w:rsid w:val="0001136D"/>
    <w:rsid w:val="000114A6"/>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F1"/>
    <w:rsid w:val="00013220"/>
    <w:rsid w:val="000133FB"/>
    <w:rsid w:val="000135F4"/>
    <w:rsid w:val="0001383B"/>
    <w:rsid w:val="00013959"/>
    <w:rsid w:val="00013B20"/>
    <w:rsid w:val="00013CBD"/>
    <w:rsid w:val="00013F94"/>
    <w:rsid w:val="00014009"/>
    <w:rsid w:val="00014180"/>
    <w:rsid w:val="00014636"/>
    <w:rsid w:val="00014749"/>
    <w:rsid w:val="00014855"/>
    <w:rsid w:val="000149B6"/>
    <w:rsid w:val="000149D0"/>
    <w:rsid w:val="00014B53"/>
    <w:rsid w:val="00014C9A"/>
    <w:rsid w:val="00014EB6"/>
    <w:rsid w:val="00014F68"/>
    <w:rsid w:val="000152F9"/>
    <w:rsid w:val="000153CE"/>
    <w:rsid w:val="0001550D"/>
    <w:rsid w:val="000156CD"/>
    <w:rsid w:val="0001572D"/>
    <w:rsid w:val="00015759"/>
    <w:rsid w:val="000157CE"/>
    <w:rsid w:val="00015CAD"/>
    <w:rsid w:val="00015DF4"/>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288"/>
    <w:rsid w:val="000215B0"/>
    <w:rsid w:val="000216DD"/>
    <w:rsid w:val="000216F3"/>
    <w:rsid w:val="000218DF"/>
    <w:rsid w:val="0002195A"/>
    <w:rsid w:val="000219BE"/>
    <w:rsid w:val="00021FD3"/>
    <w:rsid w:val="00021FED"/>
    <w:rsid w:val="00022690"/>
    <w:rsid w:val="000228CE"/>
    <w:rsid w:val="00022A61"/>
    <w:rsid w:val="00023090"/>
    <w:rsid w:val="00023110"/>
    <w:rsid w:val="00023277"/>
    <w:rsid w:val="000232D9"/>
    <w:rsid w:val="0002375F"/>
    <w:rsid w:val="000238CF"/>
    <w:rsid w:val="000238EE"/>
    <w:rsid w:val="00023EA1"/>
    <w:rsid w:val="00024039"/>
    <w:rsid w:val="00024088"/>
    <w:rsid w:val="0002417B"/>
    <w:rsid w:val="000242AA"/>
    <w:rsid w:val="000243EF"/>
    <w:rsid w:val="00024500"/>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879"/>
    <w:rsid w:val="0002698B"/>
    <w:rsid w:val="000269D2"/>
    <w:rsid w:val="00026C3E"/>
    <w:rsid w:val="00026F91"/>
    <w:rsid w:val="00026FBA"/>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7E1"/>
    <w:rsid w:val="0003283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5B6E"/>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870"/>
    <w:rsid w:val="00040A15"/>
    <w:rsid w:val="000411A2"/>
    <w:rsid w:val="000411A9"/>
    <w:rsid w:val="00041270"/>
    <w:rsid w:val="00041335"/>
    <w:rsid w:val="0004136D"/>
    <w:rsid w:val="00041392"/>
    <w:rsid w:val="000415A0"/>
    <w:rsid w:val="000416CE"/>
    <w:rsid w:val="000418C6"/>
    <w:rsid w:val="0004193C"/>
    <w:rsid w:val="00041997"/>
    <w:rsid w:val="00041D5F"/>
    <w:rsid w:val="00041D6E"/>
    <w:rsid w:val="00041E39"/>
    <w:rsid w:val="00041F3C"/>
    <w:rsid w:val="00042060"/>
    <w:rsid w:val="00042089"/>
    <w:rsid w:val="000420C3"/>
    <w:rsid w:val="000421CF"/>
    <w:rsid w:val="000424FE"/>
    <w:rsid w:val="00042533"/>
    <w:rsid w:val="00042559"/>
    <w:rsid w:val="000425FC"/>
    <w:rsid w:val="000426BA"/>
    <w:rsid w:val="00042A81"/>
    <w:rsid w:val="00042BCA"/>
    <w:rsid w:val="00042CC2"/>
    <w:rsid w:val="00042DF7"/>
    <w:rsid w:val="00042E7C"/>
    <w:rsid w:val="0004375F"/>
    <w:rsid w:val="00043856"/>
    <w:rsid w:val="00043AA0"/>
    <w:rsid w:val="00043EB1"/>
    <w:rsid w:val="000440CF"/>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D12"/>
    <w:rsid w:val="00046EE8"/>
    <w:rsid w:val="00046EF5"/>
    <w:rsid w:val="000474F4"/>
    <w:rsid w:val="0004757A"/>
    <w:rsid w:val="00047687"/>
    <w:rsid w:val="0004774C"/>
    <w:rsid w:val="00047888"/>
    <w:rsid w:val="00047D74"/>
    <w:rsid w:val="00047E2E"/>
    <w:rsid w:val="000500C4"/>
    <w:rsid w:val="0005023F"/>
    <w:rsid w:val="00050296"/>
    <w:rsid w:val="00050402"/>
    <w:rsid w:val="00050592"/>
    <w:rsid w:val="000506CB"/>
    <w:rsid w:val="0005083D"/>
    <w:rsid w:val="00050A13"/>
    <w:rsid w:val="00050BAC"/>
    <w:rsid w:val="00050BCC"/>
    <w:rsid w:val="00050D22"/>
    <w:rsid w:val="00050F3B"/>
    <w:rsid w:val="00050F4A"/>
    <w:rsid w:val="00051000"/>
    <w:rsid w:val="0005100D"/>
    <w:rsid w:val="0005113F"/>
    <w:rsid w:val="000511C7"/>
    <w:rsid w:val="000512CC"/>
    <w:rsid w:val="0005148A"/>
    <w:rsid w:val="000519E6"/>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2FC6"/>
    <w:rsid w:val="0005311A"/>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E05"/>
    <w:rsid w:val="00054E20"/>
    <w:rsid w:val="00054F6B"/>
    <w:rsid w:val="0005529E"/>
    <w:rsid w:val="000553D0"/>
    <w:rsid w:val="0005566E"/>
    <w:rsid w:val="00055789"/>
    <w:rsid w:val="00055891"/>
    <w:rsid w:val="00055AAF"/>
    <w:rsid w:val="00055ADA"/>
    <w:rsid w:val="00055B55"/>
    <w:rsid w:val="00055F4B"/>
    <w:rsid w:val="00055FB2"/>
    <w:rsid w:val="00056329"/>
    <w:rsid w:val="0005638B"/>
    <w:rsid w:val="0005638D"/>
    <w:rsid w:val="000566F8"/>
    <w:rsid w:val="00056B48"/>
    <w:rsid w:val="00056D0D"/>
    <w:rsid w:val="00056DA3"/>
    <w:rsid w:val="00057179"/>
    <w:rsid w:val="000575B6"/>
    <w:rsid w:val="00057823"/>
    <w:rsid w:val="0005786D"/>
    <w:rsid w:val="00057A8F"/>
    <w:rsid w:val="00057B6E"/>
    <w:rsid w:val="0006007E"/>
    <w:rsid w:val="00060351"/>
    <w:rsid w:val="000603B6"/>
    <w:rsid w:val="0006064F"/>
    <w:rsid w:val="00060733"/>
    <w:rsid w:val="00060863"/>
    <w:rsid w:val="00060C99"/>
    <w:rsid w:val="000612F5"/>
    <w:rsid w:val="00061307"/>
    <w:rsid w:val="00061780"/>
    <w:rsid w:val="00061B71"/>
    <w:rsid w:val="00061DDC"/>
    <w:rsid w:val="00061EE8"/>
    <w:rsid w:val="00062332"/>
    <w:rsid w:val="000623B2"/>
    <w:rsid w:val="00062612"/>
    <w:rsid w:val="000627DE"/>
    <w:rsid w:val="000628DC"/>
    <w:rsid w:val="00062A30"/>
    <w:rsid w:val="00062C5A"/>
    <w:rsid w:val="000630B4"/>
    <w:rsid w:val="00063231"/>
    <w:rsid w:val="00063565"/>
    <w:rsid w:val="0006382E"/>
    <w:rsid w:val="00063A31"/>
    <w:rsid w:val="00063B44"/>
    <w:rsid w:val="00063C4B"/>
    <w:rsid w:val="0006411B"/>
    <w:rsid w:val="0006419D"/>
    <w:rsid w:val="00064419"/>
    <w:rsid w:val="000646F9"/>
    <w:rsid w:val="00064810"/>
    <w:rsid w:val="00064A70"/>
    <w:rsid w:val="00064D55"/>
    <w:rsid w:val="00064FBC"/>
    <w:rsid w:val="0006502C"/>
    <w:rsid w:val="00065105"/>
    <w:rsid w:val="0006512B"/>
    <w:rsid w:val="00065352"/>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AC0"/>
    <w:rsid w:val="00070B4D"/>
    <w:rsid w:val="00070D65"/>
    <w:rsid w:val="00070DAC"/>
    <w:rsid w:val="00070E6B"/>
    <w:rsid w:val="0007100C"/>
    <w:rsid w:val="00071019"/>
    <w:rsid w:val="0007111D"/>
    <w:rsid w:val="0007138D"/>
    <w:rsid w:val="0007145B"/>
    <w:rsid w:val="00071856"/>
    <w:rsid w:val="00071B1F"/>
    <w:rsid w:val="00071DFB"/>
    <w:rsid w:val="00071F63"/>
    <w:rsid w:val="0007204B"/>
    <w:rsid w:val="0007205C"/>
    <w:rsid w:val="000723DC"/>
    <w:rsid w:val="000724E4"/>
    <w:rsid w:val="0007265E"/>
    <w:rsid w:val="0007277D"/>
    <w:rsid w:val="00072952"/>
    <w:rsid w:val="000729E5"/>
    <w:rsid w:val="00072EA3"/>
    <w:rsid w:val="00072FBA"/>
    <w:rsid w:val="000736E7"/>
    <w:rsid w:val="0007389A"/>
    <w:rsid w:val="00073A17"/>
    <w:rsid w:val="00073ACD"/>
    <w:rsid w:val="00073C0A"/>
    <w:rsid w:val="00073C92"/>
    <w:rsid w:val="00073E3A"/>
    <w:rsid w:val="000742F0"/>
    <w:rsid w:val="00074381"/>
    <w:rsid w:val="000743F4"/>
    <w:rsid w:val="00074403"/>
    <w:rsid w:val="000745D1"/>
    <w:rsid w:val="0007465F"/>
    <w:rsid w:val="0007479D"/>
    <w:rsid w:val="00074AC2"/>
    <w:rsid w:val="00074DAB"/>
    <w:rsid w:val="00074FCA"/>
    <w:rsid w:val="0007509D"/>
    <w:rsid w:val="0007527F"/>
    <w:rsid w:val="000752C1"/>
    <w:rsid w:val="00075571"/>
    <w:rsid w:val="000755DD"/>
    <w:rsid w:val="0007578E"/>
    <w:rsid w:val="00075812"/>
    <w:rsid w:val="000759EB"/>
    <w:rsid w:val="00075AEB"/>
    <w:rsid w:val="00075B5A"/>
    <w:rsid w:val="00075CBD"/>
    <w:rsid w:val="00075DF1"/>
    <w:rsid w:val="00075F13"/>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DC7"/>
    <w:rsid w:val="00077F50"/>
    <w:rsid w:val="000800C3"/>
    <w:rsid w:val="000801CF"/>
    <w:rsid w:val="00080235"/>
    <w:rsid w:val="0008053E"/>
    <w:rsid w:val="0008069E"/>
    <w:rsid w:val="000806FF"/>
    <w:rsid w:val="00080A6A"/>
    <w:rsid w:val="00080CC6"/>
    <w:rsid w:val="00080E0C"/>
    <w:rsid w:val="00080FE0"/>
    <w:rsid w:val="0008114B"/>
    <w:rsid w:val="000811C7"/>
    <w:rsid w:val="000815E5"/>
    <w:rsid w:val="00081689"/>
    <w:rsid w:val="00081AA0"/>
    <w:rsid w:val="00081AA9"/>
    <w:rsid w:val="000823AD"/>
    <w:rsid w:val="0008247E"/>
    <w:rsid w:val="000824D7"/>
    <w:rsid w:val="0008253E"/>
    <w:rsid w:val="0008254C"/>
    <w:rsid w:val="0008278B"/>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95D"/>
    <w:rsid w:val="00084C17"/>
    <w:rsid w:val="00084EA5"/>
    <w:rsid w:val="00085105"/>
    <w:rsid w:val="0008546D"/>
    <w:rsid w:val="00085675"/>
    <w:rsid w:val="00085BF6"/>
    <w:rsid w:val="00085CDB"/>
    <w:rsid w:val="00085E08"/>
    <w:rsid w:val="00085F7B"/>
    <w:rsid w:val="00086044"/>
    <w:rsid w:val="0008633C"/>
    <w:rsid w:val="0008641C"/>
    <w:rsid w:val="00086DBA"/>
    <w:rsid w:val="00086E5B"/>
    <w:rsid w:val="00086E91"/>
    <w:rsid w:val="00087193"/>
    <w:rsid w:val="00087253"/>
    <w:rsid w:val="000872E8"/>
    <w:rsid w:val="000875AE"/>
    <w:rsid w:val="000875E5"/>
    <w:rsid w:val="0008767A"/>
    <w:rsid w:val="000876F7"/>
    <w:rsid w:val="00087B6F"/>
    <w:rsid w:val="00087B99"/>
    <w:rsid w:val="00087F9B"/>
    <w:rsid w:val="00087FB0"/>
    <w:rsid w:val="0009012F"/>
    <w:rsid w:val="000901A9"/>
    <w:rsid w:val="00090404"/>
    <w:rsid w:val="000906AE"/>
    <w:rsid w:val="00090889"/>
    <w:rsid w:val="0009094D"/>
    <w:rsid w:val="00090D16"/>
    <w:rsid w:val="00090E8B"/>
    <w:rsid w:val="0009108F"/>
    <w:rsid w:val="0009110A"/>
    <w:rsid w:val="0009129E"/>
    <w:rsid w:val="000912B2"/>
    <w:rsid w:val="000914CC"/>
    <w:rsid w:val="000915D5"/>
    <w:rsid w:val="000915DB"/>
    <w:rsid w:val="0009165D"/>
    <w:rsid w:val="00091828"/>
    <w:rsid w:val="00091AD9"/>
    <w:rsid w:val="00091AF9"/>
    <w:rsid w:val="00091DE0"/>
    <w:rsid w:val="00091EEA"/>
    <w:rsid w:val="00091F90"/>
    <w:rsid w:val="000921F0"/>
    <w:rsid w:val="0009231E"/>
    <w:rsid w:val="00092362"/>
    <w:rsid w:val="00092490"/>
    <w:rsid w:val="000924A0"/>
    <w:rsid w:val="00092661"/>
    <w:rsid w:val="00092695"/>
    <w:rsid w:val="00092756"/>
    <w:rsid w:val="00092FE3"/>
    <w:rsid w:val="00093196"/>
    <w:rsid w:val="0009319D"/>
    <w:rsid w:val="00093286"/>
    <w:rsid w:val="000932C8"/>
    <w:rsid w:val="000933CD"/>
    <w:rsid w:val="0009384A"/>
    <w:rsid w:val="00093930"/>
    <w:rsid w:val="00093C19"/>
    <w:rsid w:val="00093D52"/>
    <w:rsid w:val="00093F2D"/>
    <w:rsid w:val="00093F87"/>
    <w:rsid w:val="00093FB3"/>
    <w:rsid w:val="00094083"/>
    <w:rsid w:val="000940CC"/>
    <w:rsid w:val="0009427F"/>
    <w:rsid w:val="00094379"/>
    <w:rsid w:val="0009457F"/>
    <w:rsid w:val="00094AC7"/>
    <w:rsid w:val="000950F0"/>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9E5"/>
    <w:rsid w:val="00096A8C"/>
    <w:rsid w:val="00096AE0"/>
    <w:rsid w:val="00096B05"/>
    <w:rsid w:val="00096BD0"/>
    <w:rsid w:val="00096C0B"/>
    <w:rsid w:val="00096C45"/>
    <w:rsid w:val="00096E3A"/>
    <w:rsid w:val="00096EFD"/>
    <w:rsid w:val="00096FA5"/>
    <w:rsid w:val="00097189"/>
    <w:rsid w:val="00097593"/>
    <w:rsid w:val="0009773A"/>
    <w:rsid w:val="00097A20"/>
    <w:rsid w:val="00097AE7"/>
    <w:rsid w:val="00097BC8"/>
    <w:rsid w:val="00097C07"/>
    <w:rsid w:val="000A008C"/>
    <w:rsid w:val="000A0166"/>
    <w:rsid w:val="000A01CF"/>
    <w:rsid w:val="000A04C2"/>
    <w:rsid w:val="000A04DF"/>
    <w:rsid w:val="000A05BB"/>
    <w:rsid w:val="000A0BFC"/>
    <w:rsid w:val="000A0CFA"/>
    <w:rsid w:val="000A0FB7"/>
    <w:rsid w:val="000A10EF"/>
    <w:rsid w:val="000A10F8"/>
    <w:rsid w:val="000A110A"/>
    <w:rsid w:val="000A110F"/>
    <w:rsid w:val="000A121A"/>
    <w:rsid w:val="000A14E2"/>
    <w:rsid w:val="000A155A"/>
    <w:rsid w:val="000A19DD"/>
    <w:rsid w:val="000A1E36"/>
    <w:rsid w:val="000A1F37"/>
    <w:rsid w:val="000A203F"/>
    <w:rsid w:val="000A20DE"/>
    <w:rsid w:val="000A223C"/>
    <w:rsid w:val="000A22E3"/>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CD"/>
    <w:rsid w:val="000A3D78"/>
    <w:rsid w:val="000A3DB3"/>
    <w:rsid w:val="000A3FD2"/>
    <w:rsid w:val="000A41DF"/>
    <w:rsid w:val="000A4528"/>
    <w:rsid w:val="000A46F3"/>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E9"/>
    <w:rsid w:val="000A64F1"/>
    <w:rsid w:val="000A65DD"/>
    <w:rsid w:val="000A670E"/>
    <w:rsid w:val="000A6C8E"/>
    <w:rsid w:val="000A6E84"/>
    <w:rsid w:val="000A702B"/>
    <w:rsid w:val="000A71A2"/>
    <w:rsid w:val="000A759D"/>
    <w:rsid w:val="000A766B"/>
    <w:rsid w:val="000A7823"/>
    <w:rsid w:val="000A78F2"/>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212C"/>
    <w:rsid w:val="000B227F"/>
    <w:rsid w:val="000B2326"/>
    <w:rsid w:val="000B2803"/>
    <w:rsid w:val="000B28E6"/>
    <w:rsid w:val="000B2926"/>
    <w:rsid w:val="000B2B4D"/>
    <w:rsid w:val="000B2F64"/>
    <w:rsid w:val="000B30FA"/>
    <w:rsid w:val="000B315A"/>
    <w:rsid w:val="000B3226"/>
    <w:rsid w:val="000B3356"/>
    <w:rsid w:val="000B3974"/>
    <w:rsid w:val="000B3A1C"/>
    <w:rsid w:val="000B3A80"/>
    <w:rsid w:val="000B3F04"/>
    <w:rsid w:val="000B3FDC"/>
    <w:rsid w:val="000B41FB"/>
    <w:rsid w:val="000B423B"/>
    <w:rsid w:val="000B471D"/>
    <w:rsid w:val="000B47E1"/>
    <w:rsid w:val="000B4B49"/>
    <w:rsid w:val="000B4B81"/>
    <w:rsid w:val="000B4C14"/>
    <w:rsid w:val="000B4CD5"/>
    <w:rsid w:val="000B4D37"/>
    <w:rsid w:val="000B4DA7"/>
    <w:rsid w:val="000B4F35"/>
    <w:rsid w:val="000B54C1"/>
    <w:rsid w:val="000B55EE"/>
    <w:rsid w:val="000B588A"/>
    <w:rsid w:val="000B58D1"/>
    <w:rsid w:val="000B596F"/>
    <w:rsid w:val="000B59B5"/>
    <w:rsid w:val="000B5A8B"/>
    <w:rsid w:val="000B5AE5"/>
    <w:rsid w:val="000B5B08"/>
    <w:rsid w:val="000B5BD2"/>
    <w:rsid w:val="000B5FBD"/>
    <w:rsid w:val="000B5FD9"/>
    <w:rsid w:val="000B6294"/>
    <w:rsid w:val="000B62AC"/>
    <w:rsid w:val="000B66C6"/>
    <w:rsid w:val="000B6811"/>
    <w:rsid w:val="000B69F8"/>
    <w:rsid w:val="000B6D18"/>
    <w:rsid w:val="000B6D4D"/>
    <w:rsid w:val="000B6D75"/>
    <w:rsid w:val="000B6E2E"/>
    <w:rsid w:val="000B6E87"/>
    <w:rsid w:val="000B6F89"/>
    <w:rsid w:val="000B70BE"/>
    <w:rsid w:val="000B7109"/>
    <w:rsid w:val="000B74F0"/>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83"/>
    <w:rsid w:val="000C0A9A"/>
    <w:rsid w:val="000C0CAB"/>
    <w:rsid w:val="000C0D6A"/>
    <w:rsid w:val="000C0E3B"/>
    <w:rsid w:val="000C0E40"/>
    <w:rsid w:val="000C1273"/>
    <w:rsid w:val="000C171F"/>
    <w:rsid w:val="000C1805"/>
    <w:rsid w:val="000C1BD7"/>
    <w:rsid w:val="000C1D07"/>
    <w:rsid w:val="000C1F17"/>
    <w:rsid w:val="000C1F52"/>
    <w:rsid w:val="000C2208"/>
    <w:rsid w:val="000C2444"/>
    <w:rsid w:val="000C25A1"/>
    <w:rsid w:val="000C268D"/>
    <w:rsid w:val="000C26D8"/>
    <w:rsid w:val="000C2716"/>
    <w:rsid w:val="000C285E"/>
    <w:rsid w:val="000C2D12"/>
    <w:rsid w:val="000C31BE"/>
    <w:rsid w:val="000C346F"/>
    <w:rsid w:val="000C3763"/>
    <w:rsid w:val="000C3851"/>
    <w:rsid w:val="000C38E9"/>
    <w:rsid w:val="000C3954"/>
    <w:rsid w:val="000C3955"/>
    <w:rsid w:val="000C3A6F"/>
    <w:rsid w:val="000C3B65"/>
    <w:rsid w:val="000C3D23"/>
    <w:rsid w:val="000C3FC7"/>
    <w:rsid w:val="000C4125"/>
    <w:rsid w:val="000C4171"/>
    <w:rsid w:val="000C41CA"/>
    <w:rsid w:val="000C42EE"/>
    <w:rsid w:val="000C43B8"/>
    <w:rsid w:val="000C45C0"/>
    <w:rsid w:val="000C45ED"/>
    <w:rsid w:val="000C4727"/>
    <w:rsid w:val="000C473F"/>
    <w:rsid w:val="000C48F1"/>
    <w:rsid w:val="000C4C24"/>
    <w:rsid w:val="000C4D78"/>
    <w:rsid w:val="000C4E0E"/>
    <w:rsid w:val="000C50A9"/>
    <w:rsid w:val="000C5142"/>
    <w:rsid w:val="000C5157"/>
    <w:rsid w:val="000C5619"/>
    <w:rsid w:val="000C5810"/>
    <w:rsid w:val="000C59CA"/>
    <w:rsid w:val="000C5A7E"/>
    <w:rsid w:val="000C5B74"/>
    <w:rsid w:val="000C5BA5"/>
    <w:rsid w:val="000C5BD0"/>
    <w:rsid w:val="000C609C"/>
    <w:rsid w:val="000C659D"/>
    <w:rsid w:val="000C6893"/>
    <w:rsid w:val="000C69B5"/>
    <w:rsid w:val="000C6A64"/>
    <w:rsid w:val="000C6B8A"/>
    <w:rsid w:val="000C6E0A"/>
    <w:rsid w:val="000C6F1E"/>
    <w:rsid w:val="000C74AF"/>
    <w:rsid w:val="000C75D2"/>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B8F"/>
    <w:rsid w:val="000D2EB4"/>
    <w:rsid w:val="000D2FB9"/>
    <w:rsid w:val="000D3113"/>
    <w:rsid w:val="000D33FC"/>
    <w:rsid w:val="000D343D"/>
    <w:rsid w:val="000D362D"/>
    <w:rsid w:val="000D3781"/>
    <w:rsid w:val="000D3AF7"/>
    <w:rsid w:val="000D3D13"/>
    <w:rsid w:val="000D3DBF"/>
    <w:rsid w:val="000D4081"/>
    <w:rsid w:val="000D40BB"/>
    <w:rsid w:val="000D46C8"/>
    <w:rsid w:val="000D4771"/>
    <w:rsid w:val="000D4891"/>
    <w:rsid w:val="000D49C3"/>
    <w:rsid w:val="000D49EF"/>
    <w:rsid w:val="000D4A5C"/>
    <w:rsid w:val="000D4A8C"/>
    <w:rsid w:val="000D4FCD"/>
    <w:rsid w:val="000D50E3"/>
    <w:rsid w:val="000D51C2"/>
    <w:rsid w:val="000D527B"/>
    <w:rsid w:val="000D553F"/>
    <w:rsid w:val="000D556D"/>
    <w:rsid w:val="000D575F"/>
    <w:rsid w:val="000D5911"/>
    <w:rsid w:val="000D5AA8"/>
    <w:rsid w:val="000D5C0F"/>
    <w:rsid w:val="000D5EAA"/>
    <w:rsid w:val="000D603B"/>
    <w:rsid w:val="000D60FD"/>
    <w:rsid w:val="000D619E"/>
    <w:rsid w:val="000D622E"/>
    <w:rsid w:val="000D6590"/>
    <w:rsid w:val="000D65AE"/>
    <w:rsid w:val="000D6BA5"/>
    <w:rsid w:val="000D6E9A"/>
    <w:rsid w:val="000D7292"/>
    <w:rsid w:val="000D72EE"/>
    <w:rsid w:val="000D7306"/>
    <w:rsid w:val="000D79E4"/>
    <w:rsid w:val="000D7A37"/>
    <w:rsid w:val="000E028F"/>
    <w:rsid w:val="000E0AD8"/>
    <w:rsid w:val="000E0C2F"/>
    <w:rsid w:val="000E0C5F"/>
    <w:rsid w:val="000E0FEA"/>
    <w:rsid w:val="000E1050"/>
    <w:rsid w:val="000E12DA"/>
    <w:rsid w:val="000E14DF"/>
    <w:rsid w:val="000E15D5"/>
    <w:rsid w:val="000E186F"/>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DB0"/>
    <w:rsid w:val="000E3FC6"/>
    <w:rsid w:val="000E410D"/>
    <w:rsid w:val="000E4145"/>
    <w:rsid w:val="000E415A"/>
    <w:rsid w:val="000E4171"/>
    <w:rsid w:val="000E424C"/>
    <w:rsid w:val="000E4299"/>
    <w:rsid w:val="000E4382"/>
    <w:rsid w:val="000E43B8"/>
    <w:rsid w:val="000E478F"/>
    <w:rsid w:val="000E4922"/>
    <w:rsid w:val="000E4994"/>
    <w:rsid w:val="000E4A74"/>
    <w:rsid w:val="000E4B3D"/>
    <w:rsid w:val="000E4D97"/>
    <w:rsid w:val="000E4EE2"/>
    <w:rsid w:val="000E4FAD"/>
    <w:rsid w:val="000E5052"/>
    <w:rsid w:val="000E52C1"/>
    <w:rsid w:val="000E5330"/>
    <w:rsid w:val="000E554D"/>
    <w:rsid w:val="000E557A"/>
    <w:rsid w:val="000E5634"/>
    <w:rsid w:val="000E5707"/>
    <w:rsid w:val="000E5E4B"/>
    <w:rsid w:val="000E60F5"/>
    <w:rsid w:val="000E6152"/>
    <w:rsid w:val="000E6193"/>
    <w:rsid w:val="000E63E4"/>
    <w:rsid w:val="000E644F"/>
    <w:rsid w:val="000E65EB"/>
    <w:rsid w:val="000E6656"/>
    <w:rsid w:val="000E681E"/>
    <w:rsid w:val="000E687A"/>
    <w:rsid w:val="000E68AF"/>
    <w:rsid w:val="000E6D09"/>
    <w:rsid w:val="000E6D39"/>
    <w:rsid w:val="000E6E12"/>
    <w:rsid w:val="000E6F18"/>
    <w:rsid w:val="000E702D"/>
    <w:rsid w:val="000E717E"/>
    <w:rsid w:val="000E7326"/>
    <w:rsid w:val="000E7385"/>
    <w:rsid w:val="000E73F8"/>
    <w:rsid w:val="000E742F"/>
    <w:rsid w:val="000E75F7"/>
    <w:rsid w:val="000E7626"/>
    <w:rsid w:val="000E7850"/>
    <w:rsid w:val="000E7CA0"/>
    <w:rsid w:val="000F01E1"/>
    <w:rsid w:val="000F01F3"/>
    <w:rsid w:val="000F035D"/>
    <w:rsid w:val="000F067C"/>
    <w:rsid w:val="000F08CE"/>
    <w:rsid w:val="000F0D55"/>
    <w:rsid w:val="000F0E32"/>
    <w:rsid w:val="000F0E40"/>
    <w:rsid w:val="000F1060"/>
    <w:rsid w:val="000F1085"/>
    <w:rsid w:val="000F1394"/>
    <w:rsid w:val="000F153D"/>
    <w:rsid w:val="000F18B2"/>
    <w:rsid w:val="000F1C67"/>
    <w:rsid w:val="000F1CC5"/>
    <w:rsid w:val="000F1E2D"/>
    <w:rsid w:val="000F1E82"/>
    <w:rsid w:val="000F1EFA"/>
    <w:rsid w:val="000F1F81"/>
    <w:rsid w:val="000F21EB"/>
    <w:rsid w:val="000F2402"/>
    <w:rsid w:val="000F2605"/>
    <w:rsid w:val="000F2766"/>
    <w:rsid w:val="000F28A9"/>
    <w:rsid w:val="000F2915"/>
    <w:rsid w:val="000F29F5"/>
    <w:rsid w:val="000F2ACC"/>
    <w:rsid w:val="000F2DD2"/>
    <w:rsid w:val="000F2F9F"/>
    <w:rsid w:val="000F310B"/>
    <w:rsid w:val="000F32A8"/>
    <w:rsid w:val="000F32B6"/>
    <w:rsid w:val="000F364D"/>
    <w:rsid w:val="000F37F8"/>
    <w:rsid w:val="000F3A02"/>
    <w:rsid w:val="000F3AEA"/>
    <w:rsid w:val="000F3D4B"/>
    <w:rsid w:val="000F3FA4"/>
    <w:rsid w:val="000F40C3"/>
    <w:rsid w:val="000F48DE"/>
    <w:rsid w:val="000F4948"/>
    <w:rsid w:val="000F4A7B"/>
    <w:rsid w:val="000F4AF1"/>
    <w:rsid w:val="000F4D8D"/>
    <w:rsid w:val="000F4E91"/>
    <w:rsid w:val="000F513B"/>
    <w:rsid w:val="000F51A0"/>
    <w:rsid w:val="000F524F"/>
    <w:rsid w:val="000F5342"/>
    <w:rsid w:val="000F5359"/>
    <w:rsid w:val="000F54FD"/>
    <w:rsid w:val="000F5713"/>
    <w:rsid w:val="000F5758"/>
    <w:rsid w:val="000F5774"/>
    <w:rsid w:val="000F59B0"/>
    <w:rsid w:val="000F5A32"/>
    <w:rsid w:val="000F5BA6"/>
    <w:rsid w:val="000F5D34"/>
    <w:rsid w:val="000F600E"/>
    <w:rsid w:val="000F6632"/>
    <w:rsid w:val="000F689D"/>
    <w:rsid w:val="000F6A3F"/>
    <w:rsid w:val="000F6AE7"/>
    <w:rsid w:val="000F6B60"/>
    <w:rsid w:val="000F6E0F"/>
    <w:rsid w:val="000F6EEA"/>
    <w:rsid w:val="000F6FB8"/>
    <w:rsid w:val="000F7069"/>
    <w:rsid w:val="000F70C0"/>
    <w:rsid w:val="000F715C"/>
    <w:rsid w:val="000F7234"/>
    <w:rsid w:val="000F7248"/>
    <w:rsid w:val="000F72BF"/>
    <w:rsid w:val="000F73D2"/>
    <w:rsid w:val="000F7800"/>
    <w:rsid w:val="000F7817"/>
    <w:rsid w:val="000F7BC7"/>
    <w:rsid w:val="000F7DA2"/>
    <w:rsid w:val="000F7F99"/>
    <w:rsid w:val="000F7FE8"/>
    <w:rsid w:val="0010040B"/>
    <w:rsid w:val="001004DC"/>
    <w:rsid w:val="001004E7"/>
    <w:rsid w:val="0010050F"/>
    <w:rsid w:val="00100679"/>
    <w:rsid w:val="0010094D"/>
    <w:rsid w:val="00100C85"/>
    <w:rsid w:val="00100EBB"/>
    <w:rsid w:val="00100EE3"/>
    <w:rsid w:val="001010B2"/>
    <w:rsid w:val="001011B0"/>
    <w:rsid w:val="00101235"/>
    <w:rsid w:val="001013CE"/>
    <w:rsid w:val="00101421"/>
    <w:rsid w:val="001017B8"/>
    <w:rsid w:val="00101CB8"/>
    <w:rsid w:val="0010247F"/>
    <w:rsid w:val="001029D2"/>
    <w:rsid w:val="00102C6A"/>
    <w:rsid w:val="00103132"/>
    <w:rsid w:val="001031EE"/>
    <w:rsid w:val="0010326A"/>
    <w:rsid w:val="00103285"/>
    <w:rsid w:val="0010344E"/>
    <w:rsid w:val="00103933"/>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637E"/>
    <w:rsid w:val="00106394"/>
    <w:rsid w:val="00106839"/>
    <w:rsid w:val="00106853"/>
    <w:rsid w:val="00106872"/>
    <w:rsid w:val="00106AAE"/>
    <w:rsid w:val="00106B59"/>
    <w:rsid w:val="00106E69"/>
    <w:rsid w:val="00106E80"/>
    <w:rsid w:val="00106EA8"/>
    <w:rsid w:val="00106EF2"/>
    <w:rsid w:val="00106F7E"/>
    <w:rsid w:val="00107020"/>
    <w:rsid w:val="00107174"/>
    <w:rsid w:val="001079D3"/>
    <w:rsid w:val="00107C49"/>
    <w:rsid w:val="00107C7A"/>
    <w:rsid w:val="00107CBA"/>
    <w:rsid w:val="00107F54"/>
    <w:rsid w:val="001103CF"/>
    <w:rsid w:val="00110477"/>
    <w:rsid w:val="00110541"/>
    <w:rsid w:val="001105B3"/>
    <w:rsid w:val="001105D4"/>
    <w:rsid w:val="00110869"/>
    <w:rsid w:val="00110A72"/>
    <w:rsid w:val="00110B01"/>
    <w:rsid w:val="00110B39"/>
    <w:rsid w:val="00110BDF"/>
    <w:rsid w:val="00110E11"/>
    <w:rsid w:val="001110D5"/>
    <w:rsid w:val="0011142A"/>
    <w:rsid w:val="001114D4"/>
    <w:rsid w:val="001114E8"/>
    <w:rsid w:val="00111660"/>
    <w:rsid w:val="001118E9"/>
    <w:rsid w:val="00111A66"/>
    <w:rsid w:val="00111B27"/>
    <w:rsid w:val="00111D8A"/>
    <w:rsid w:val="00111E4B"/>
    <w:rsid w:val="00111F45"/>
    <w:rsid w:val="0011233B"/>
    <w:rsid w:val="0011234B"/>
    <w:rsid w:val="001123DA"/>
    <w:rsid w:val="00112614"/>
    <w:rsid w:val="00112797"/>
    <w:rsid w:val="0011298A"/>
    <w:rsid w:val="001129EF"/>
    <w:rsid w:val="00112D16"/>
    <w:rsid w:val="00112D3E"/>
    <w:rsid w:val="00112EDE"/>
    <w:rsid w:val="00112EEC"/>
    <w:rsid w:val="00112EF3"/>
    <w:rsid w:val="00113244"/>
    <w:rsid w:val="001132B5"/>
    <w:rsid w:val="001133BC"/>
    <w:rsid w:val="001137B0"/>
    <w:rsid w:val="00113BB7"/>
    <w:rsid w:val="00113EA2"/>
    <w:rsid w:val="00113EB7"/>
    <w:rsid w:val="00113F5A"/>
    <w:rsid w:val="00113FEA"/>
    <w:rsid w:val="00114354"/>
    <w:rsid w:val="0011440D"/>
    <w:rsid w:val="001147B1"/>
    <w:rsid w:val="0011499D"/>
    <w:rsid w:val="00114AA4"/>
    <w:rsid w:val="00114B59"/>
    <w:rsid w:val="00114B63"/>
    <w:rsid w:val="00114C5E"/>
    <w:rsid w:val="00114D1D"/>
    <w:rsid w:val="00114DA7"/>
    <w:rsid w:val="00114ED1"/>
    <w:rsid w:val="00114F51"/>
    <w:rsid w:val="001151C6"/>
    <w:rsid w:val="00115281"/>
    <w:rsid w:val="001152C3"/>
    <w:rsid w:val="0011553B"/>
    <w:rsid w:val="0011588E"/>
    <w:rsid w:val="00115A09"/>
    <w:rsid w:val="00115A55"/>
    <w:rsid w:val="00115D43"/>
    <w:rsid w:val="00115E41"/>
    <w:rsid w:val="00115F95"/>
    <w:rsid w:val="0011612A"/>
    <w:rsid w:val="001166B2"/>
    <w:rsid w:val="001166ED"/>
    <w:rsid w:val="00116758"/>
    <w:rsid w:val="00116D5F"/>
    <w:rsid w:val="00116DA0"/>
    <w:rsid w:val="00116E10"/>
    <w:rsid w:val="001173C9"/>
    <w:rsid w:val="00117573"/>
    <w:rsid w:val="001176F5"/>
    <w:rsid w:val="001179BE"/>
    <w:rsid w:val="00117C54"/>
    <w:rsid w:val="00117DD2"/>
    <w:rsid w:val="00117F5F"/>
    <w:rsid w:val="0012005D"/>
    <w:rsid w:val="00120068"/>
    <w:rsid w:val="001200DF"/>
    <w:rsid w:val="00120380"/>
    <w:rsid w:val="001204F2"/>
    <w:rsid w:val="0012076E"/>
    <w:rsid w:val="001209F3"/>
    <w:rsid w:val="00120A7B"/>
    <w:rsid w:val="00120A8B"/>
    <w:rsid w:val="00120B2F"/>
    <w:rsid w:val="00120C33"/>
    <w:rsid w:val="00120E0A"/>
    <w:rsid w:val="00120E2C"/>
    <w:rsid w:val="00121159"/>
    <w:rsid w:val="0012124D"/>
    <w:rsid w:val="00121523"/>
    <w:rsid w:val="00121622"/>
    <w:rsid w:val="001217B5"/>
    <w:rsid w:val="0012182B"/>
    <w:rsid w:val="00121F49"/>
    <w:rsid w:val="00121F59"/>
    <w:rsid w:val="00122061"/>
    <w:rsid w:val="001220C6"/>
    <w:rsid w:val="00122493"/>
    <w:rsid w:val="0012257C"/>
    <w:rsid w:val="0012263A"/>
    <w:rsid w:val="001227EE"/>
    <w:rsid w:val="00122C57"/>
    <w:rsid w:val="00122CE6"/>
    <w:rsid w:val="0012303B"/>
    <w:rsid w:val="001230C7"/>
    <w:rsid w:val="001233D2"/>
    <w:rsid w:val="00123451"/>
    <w:rsid w:val="00123457"/>
    <w:rsid w:val="00123469"/>
    <w:rsid w:val="00123756"/>
    <w:rsid w:val="001237F8"/>
    <w:rsid w:val="0012398D"/>
    <w:rsid w:val="00123D7E"/>
    <w:rsid w:val="00123F42"/>
    <w:rsid w:val="0012419C"/>
    <w:rsid w:val="00124281"/>
    <w:rsid w:val="00124579"/>
    <w:rsid w:val="00124720"/>
    <w:rsid w:val="001249B0"/>
    <w:rsid w:val="00124C4F"/>
    <w:rsid w:val="00124D97"/>
    <w:rsid w:val="00124DAC"/>
    <w:rsid w:val="00124E51"/>
    <w:rsid w:val="00124EAC"/>
    <w:rsid w:val="00124F98"/>
    <w:rsid w:val="001250BB"/>
    <w:rsid w:val="00125113"/>
    <w:rsid w:val="00125225"/>
    <w:rsid w:val="001256AE"/>
    <w:rsid w:val="0012571F"/>
    <w:rsid w:val="001257BF"/>
    <w:rsid w:val="00125E0A"/>
    <w:rsid w:val="00125E6E"/>
    <w:rsid w:val="00125EBE"/>
    <w:rsid w:val="00125FBE"/>
    <w:rsid w:val="00125FC4"/>
    <w:rsid w:val="001261E9"/>
    <w:rsid w:val="001262DE"/>
    <w:rsid w:val="00126382"/>
    <w:rsid w:val="001263B0"/>
    <w:rsid w:val="00126400"/>
    <w:rsid w:val="0012658A"/>
    <w:rsid w:val="001265B8"/>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A30"/>
    <w:rsid w:val="00127CEE"/>
    <w:rsid w:val="00127D11"/>
    <w:rsid w:val="00130190"/>
    <w:rsid w:val="0013023B"/>
    <w:rsid w:val="00130576"/>
    <w:rsid w:val="00130578"/>
    <w:rsid w:val="001305E3"/>
    <w:rsid w:val="001306E6"/>
    <w:rsid w:val="001306F8"/>
    <w:rsid w:val="001307E4"/>
    <w:rsid w:val="00130B12"/>
    <w:rsid w:val="00130BE6"/>
    <w:rsid w:val="00130D3D"/>
    <w:rsid w:val="001310D7"/>
    <w:rsid w:val="0013112F"/>
    <w:rsid w:val="00131179"/>
    <w:rsid w:val="0013138E"/>
    <w:rsid w:val="00131659"/>
    <w:rsid w:val="001316B4"/>
    <w:rsid w:val="00131A31"/>
    <w:rsid w:val="00131FBE"/>
    <w:rsid w:val="00132190"/>
    <w:rsid w:val="001321C2"/>
    <w:rsid w:val="00132487"/>
    <w:rsid w:val="0013297A"/>
    <w:rsid w:val="00132CD8"/>
    <w:rsid w:val="00132E0D"/>
    <w:rsid w:val="00132E75"/>
    <w:rsid w:val="00133373"/>
    <w:rsid w:val="0013357C"/>
    <w:rsid w:val="00133ACC"/>
    <w:rsid w:val="00133B3F"/>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462"/>
    <w:rsid w:val="0013564C"/>
    <w:rsid w:val="001356F8"/>
    <w:rsid w:val="0013587F"/>
    <w:rsid w:val="00135891"/>
    <w:rsid w:val="00135915"/>
    <w:rsid w:val="00135AD2"/>
    <w:rsid w:val="00135DF0"/>
    <w:rsid w:val="00135FBA"/>
    <w:rsid w:val="001361DF"/>
    <w:rsid w:val="00136436"/>
    <w:rsid w:val="001364C6"/>
    <w:rsid w:val="0013655D"/>
    <w:rsid w:val="00136693"/>
    <w:rsid w:val="00136815"/>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CB2"/>
    <w:rsid w:val="00141E01"/>
    <w:rsid w:val="00142227"/>
    <w:rsid w:val="0014227C"/>
    <w:rsid w:val="001422AC"/>
    <w:rsid w:val="001422E9"/>
    <w:rsid w:val="00142532"/>
    <w:rsid w:val="001426B1"/>
    <w:rsid w:val="00142D1A"/>
    <w:rsid w:val="00142EF0"/>
    <w:rsid w:val="001430F9"/>
    <w:rsid w:val="001431C4"/>
    <w:rsid w:val="0014335A"/>
    <w:rsid w:val="001433C8"/>
    <w:rsid w:val="0014343E"/>
    <w:rsid w:val="001434A1"/>
    <w:rsid w:val="001438AC"/>
    <w:rsid w:val="00143912"/>
    <w:rsid w:val="00143C4D"/>
    <w:rsid w:val="00144134"/>
    <w:rsid w:val="0014415F"/>
    <w:rsid w:val="00144171"/>
    <w:rsid w:val="001446E3"/>
    <w:rsid w:val="001447CA"/>
    <w:rsid w:val="001449A4"/>
    <w:rsid w:val="00144ACD"/>
    <w:rsid w:val="00144B23"/>
    <w:rsid w:val="00144BF6"/>
    <w:rsid w:val="00144C55"/>
    <w:rsid w:val="00144CF9"/>
    <w:rsid w:val="00144DB6"/>
    <w:rsid w:val="00144FEF"/>
    <w:rsid w:val="00145063"/>
    <w:rsid w:val="001453DE"/>
    <w:rsid w:val="001458A2"/>
    <w:rsid w:val="00145A45"/>
    <w:rsid w:val="00145A95"/>
    <w:rsid w:val="00145ABF"/>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ED"/>
    <w:rsid w:val="00151377"/>
    <w:rsid w:val="00151482"/>
    <w:rsid w:val="001515F8"/>
    <w:rsid w:val="0015170A"/>
    <w:rsid w:val="00151C2B"/>
    <w:rsid w:val="00151DBD"/>
    <w:rsid w:val="00152128"/>
    <w:rsid w:val="00152476"/>
    <w:rsid w:val="001529B7"/>
    <w:rsid w:val="00152C1E"/>
    <w:rsid w:val="00152C24"/>
    <w:rsid w:val="00152CFB"/>
    <w:rsid w:val="00152D32"/>
    <w:rsid w:val="00153088"/>
    <w:rsid w:val="0015330B"/>
    <w:rsid w:val="00153584"/>
    <w:rsid w:val="00153630"/>
    <w:rsid w:val="001536CE"/>
    <w:rsid w:val="001539E7"/>
    <w:rsid w:val="00153D47"/>
    <w:rsid w:val="00153F8C"/>
    <w:rsid w:val="00153F92"/>
    <w:rsid w:val="00154085"/>
    <w:rsid w:val="001541D4"/>
    <w:rsid w:val="001542AF"/>
    <w:rsid w:val="001542E8"/>
    <w:rsid w:val="0015434C"/>
    <w:rsid w:val="0015441A"/>
    <w:rsid w:val="00154508"/>
    <w:rsid w:val="00154525"/>
    <w:rsid w:val="00154579"/>
    <w:rsid w:val="00154650"/>
    <w:rsid w:val="001549BA"/>
    <w:rsid w:val="00154DE4"/>
    <w:rsid w:val="00154E3C"/>
    <w:rsid w:val="00154F6F"/>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68C"/>
    <w:rsid w:val="001627ED"/>
    <w:rsid w:val="00162817"/>
    <w:rsid w:val="001629C1"/>
    <w:rsid w:val="00162A50"/>
    <w:rsid w:val="00162AE7"/>
    <w:rsid w:val="00162BE8"/>
    <w:rsid w:val="00162F06"/>
    <w:rsid w:val="00162F80"/>
    <w:rsid w:val="0016301E"/>
    <w:rsid w:val="001630C7"/>
    <w:rsid w:val="0016312B"/>
    <w:rsid w:val="001632B2"/>
    <w:rsid w:val="001634B8"/>
    <w:rsid w:val="0016362E"/>
    <w:rsid w:val="001638AA"/>
    <w:rsid w:val="00163969"/>
    <w:rsid w:val="001639B4"/>
    <w:rsid w:val="00163B58"/>
    <w:rsid w:val="00163F9A"/>
    <w:rsid w:val="0016405A"/>
    <w:rsid w:val="00164099"/>
    <w:rsid w:val="001640FA"/>
    <w:rsid w:val="00164246"/>
    <w:rsid w:val="0016475B"/>
    <w:rsid w:val="001647BD"/>
    <w:rsid w:val="0016492F"/>
    <w:rsid w:val="001649BF"/>
    <w:rsid w:val="001649D1"/>
    <w:rsid w:val="00164AFB"/>
    <w:rsid w:val="00164B22"/>
    <w:rsid w:val="00164D5F"/>
    <w:rsid w:val="00164F5A"/>
    <w:rsid w:val="00164FD7"/>
    <w:rsid w:val="00165083"/>
    <w:rsid w:val="00165263"/>
    <w:rsid w:val="001652F8"/>
    <w:rsid w:val="001654A8"/>
    <w:rsid w:val="001654E8"/>
    <w:rsid w:val="00165792"/>
    <w:rsid w:val="00165A39"/>
    <w:rsid w:val="00165FAB"/>
    <w:rsid w:val="0016605D"/>
    <w:rsid w:val="00166102"/>
    <w:rsid w:val="00166D38"/>
    <w:rsid w:val="00166EDA"/>
    <w:rsid w:val="0016719F"/>
    <w:rsid w:val="00167496"/>
    <w:rsid w:val="00167CEF"/>
    <w:rsid w:val="00167D59"/>
    <w:rsid w:val="00167F73"/>
    <w:rsid w:val="00170641"/>
    <w:rsid w:val="00170861"/>
    <w:rsid w:val="001709BF"/>
    <w:rsid w:val="00170A1E"/>
    <w:rsid w:val="00170B54"/>
    <w:rsid w:val="00170CA7"/>
    <w:rsid w:val="00170D7C"/>
    <w:rsid w:val="00170DE1"/>
    <w:rsid w:val="00170E6E"/>
    <w:rsid w:val="00170F30"/>
    <w:rsid w:val="00171674"/>
    <w:rsid w:val="00171698"/>
    <w:rsid w:val="00171A79"/>
    <w:rsid w:val="00171C81"/>
    <w:rsid w:val="00171F3B"/>
    <w:rsid w:val="00171F7E"/>
    <w:rsid w:val="00171F8D"/>
    <w:rsid w:val="001720D5"/>
    <w:rsid w:val="001725A3"/>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923"/>
    <w:rsid w:val="00176959"/>
    <w:rsid w:val="00176A77"/>
    <w:rsid w:val="00177155"/>
    <w:rsid w:val="0017716E"/>
    <w:rsid w:val="00177678"/>
    <w:rsid w:val="00177792"/>
    <w:rsid w:val="0017780B"/>
    <w:rsid w:val="00177964"/>
    <w:rsid w:val="00177A6D"/>
    <w:rsid w:val="00177B31"/>
    <w:rsid w:val="00177C5B"/>
    <w:rsid w:val="00177D7C"/>
    <w:rsid w:val="00177EDE"/>
    <w:rsid w:val="00177EE6"/>
    <w:rsid w:val="001801F0"/>
    <w:rsid w:val="00180486"/>
    <w:rsid w:val="00180589"/>
    <w:rsid w:val="00180595"/>
    <w:rsid w:val="001806DC"/>
    <w:rsid w:val="001807B6"/>
    <w:rsid w:val="00180814"/>
    <w:rsid w:val="001808A2"/>
    <w:rsid w:val="00180AEF"/>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51"/>
    <w:rsid w:val="001833B9"/>
    <w:rsid w:val="00183482"/>
    <w:rsid w:val="001834CC"/>
    <w:rsid w:val="0018364A"/>
    <w:rsid w:val="001837F8"/>
    <w:rsid w:val="00183AC3"/>
    <w:rsid w:val="00183BAB"/>
    <w:rsid w:val="00183CA0"/>
    <w:rsid w:val="00183DD6"/>
    <w:rsid w:val="00183F2C"/>
    <w:rsid w:val="001841AD"/>
    <w:rsid w:val="00184556"/>
    <w:rsid w:val="001846AD"/>
    <w:rsid w:val="00184A2C"/>
    <w:rsid w:val="00184C25"/>
    <w:rsid w:val="00184C49"/>
    <w:rsid w:val="00184D05"/>
    <w:rsid w:val="00184E52"/>
    <w:rsid w:val="00184E82"/>
    <w:rsid w:val="0018544A"/>
    <w:rsid w:val="001855F6"/>
    <w:rsid w:val="00185688"/>
    <w:rsid w:val="001857A6"/>
    <w:rsid w:val="001857DF"/>
    <w:rsid w:val="00185822"/>
    <w:rsid w:val="001859A3"/>
    <w:rsid w:val="001859F3"/>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E2"/>
    <w:rsid w:val="00187AFB"/>
    <w:rsid w:val="00190076"/>
    <w:rsid w:val="00190113"/>
    <w:rsid w:val="00190233"/>
    <w:rsid w:val="001902E6"/>
    <w:rsid w:val="001905E8"/>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E3"/>
    <w:rsid w:val="00192AD0"/>
    <w:rsid w:val="00192D8A"/>
    <w:rsid w:val="00192E60"/>
    <w:rsid w:val="00192FD5"/>
    <w:rsid w:val="0019319F"/>
    <w:rsid w:val="00193311"/>
    <w:rsid w:val="001933E1"/>
    <w:rsid w:val="001935FC"/>
    <w:rsid w:val="0019391E"/>
    <w:rsid w:val="00193997"/>
    <w:rsid w:val="00193DC9"/>
    <w:rsid w:val="00193FBE"/>
    <w:rsid w:val="00194083"/>
    <w:rsid w:val="0019429D"/>
    <w:rsid w:val="001942EC"/>
    <w:rsid w:val="00194491"/>
    <w:rsid w:val="0019497F"/>
    <w:rsid w:val="00194B76"/>
    <w:rsid w:val="00194BA3"/>
    <w:rsid w:val="00194DC1"/>
    <w:rsid w:val="00195130"/>
    <w:rsid w:val="0019514A"/>
    <w:rsid w:val="00195208"/>
    <w:rsid w:val="00195441"/>
    <w:rsid w:val="0019544D"/>
    <w:rsid w:val="0019570F"/>
    <w:rsid w:val="00195901"/>
    <w:rsid w:val="001959BF"/>
    <w:rsid w:val="00195FA1"/>
    <w:rsid w:val="001966F3"/>
    <w:rsid w:val="001969B3"/>
    <w:rsid w:val="00196F8B"/>
    <w:rsid w:val="0019713E"/>
    <w:rsid w:val="0019775D"/>
    <w:rsid w:val="00197850"/>
    <w:rsid w:val="001979EB"/>
    <w:rsid w:val="00197D5B"/>
    <w:rsid w:val="00197F57"/>
    <w:rsid w:val="001A0060"/>
    <w:rsid w:val="001A02F1"/>
    <w:rsid w:val="001A05DB"/>
    <w:rsid w:val="001A0629"/>
    <w:rsid w:val="001A0E2E"/>
    <w:rsid w:val="001A0E57"/>
    <w:rsid w:val="001A0F20"/>
    <w:rsid w:val="001A10D1"/>
    <w:rsid w:val="001A1980"/>
    <w:rsid w:val="001A198A"/>
    <w:rsid w:val="001A19B9"/>
    <w:rsid w:val="001A1A13"/>
    <w:rsid w:val="001A1C15"/>
    <w:rsid w:val="001A1C6D"/>
    <w:rsid w:val="001A2123"/>
    <w:rsid w:val="001A2229"/>
    <w:rsid w:val="001A2395"/>
    <w:rsid w:val="001A2529"/>
    <w:rsid w:val="001A2629"/>
    <w:rsid w:val="001A26D0"/>
    <w:rsid w:val="001A2E70"/>
    <w:rsid w:val="001A3CB9"/>
    <w:rsid w:val="001A4012"/>
    <w:rsid w:val="001A4134"/>
    <w:rsid w:val="001A4284"/>
    <w:rsid w:val="001A4696"/>
    <w:rsid w:val="001A4CE2"/>
    <w:rsid w:val="001A4F04"/>
    <w:rsid w:val="001A50B7"/>
    <w:rsid w:val="001A52DE"/>
    <w:rsid w:val="001A5355"/>
    <w:rsid w:val="001A53E3"/>
    <w:rsid w:val="001A54C8"/>
    <w:rsid w:val="001A56E1"/>
    <w:rsid w:val="001A5969"/>
    <w:rsid w:val="001A5B2A"/>
    <w:rsid w:val="001A5C02"/>
    <w:rsid w:val="001A5CE8"/>
    <w:rsid w:val="001A60BD"/>
    <w:rsid w:val="001A6126"/>
    <w:rsid w:val="001A6620"/>
    <w:rsid w:val="001A66D1"/>
    <w:rsid w:val="001A6882"/>
    <w:rsid w:val="001A69EA"/>
    <w:rsid w:val="001A6D1A"/>
    <w:rsid w:val="001A6DB6"/>
    <w:rsid w:val="001A779D"/>
    <w:rsid w:val="001A788C"/>
    <w:rsid w:val="001A789F"/>
    <w:rsid w:val="001A7922"/>
    <w:rsid w:val="001B00B4"/>
    <w:rsid w:val="001B00B8"/>
    <w:rsid w:val="001B010A"/>
    <w:rsid w:val="001B01AB"/>
    <w:rsid w:val="001B033C"/>
    <w:rsid w:val="001B064A"/>
    <w:rsid w:val="001B0904"/>
    <w:rsid w:val="001B0A29"/>
    <w:rsid w:val="001B127A"/>
    <w:rsid w:val="001B14ED"/>
    <w:rsid w:val="001B1637"/>
    <w:rsid w:val="001B1A1E"/>
    <w:rsid w:val="001B1B38"/>
    <w:rsid w:val="001B1B87"/>
    <w:rsid w:val="001B1BAB"/>
    <w:rsid w:val="001B1D01"/>
    <w:rsid w:val="001B20FF"/>
    <w:rsid w:val="001B2162"/>
    <w:rsid w:val="001B22D0"/>
    <w:rsid w:val="001B237B"/>
    <w:rsid w:val="001B2415"/>
    <w:rsid w:val="001B247E"/>
    <w:rsid w:val="001B24DE"/>
    <w:rsid w:val="001B271C"/>
    <w:rsid w:val="001B273F"/>
    <w:rsid w:val="001B2812"/>
    <w:rsid w:val="001B2BBA"/>
    <w:rsid w:val="001B2D7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CC4"/>
    <w:rsid w:val="001B6E6E"/>
    <w:rsid w:val="001B6EFB"/>
    <w:rsid w:val="001B71D4"/>
    <w:rsid w:val="001B735E"/>
    <w:rsid w:val="001B7397"/>
    <w:rsid w:val="001B73D1"/>
    <w:rsid w:val="001B7473"/>
    <w:rsid w:val="001B7530"/>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FD"/>
    <w:rsid w:val="001C11CC"/>
    <w:rsid w:val="001C1468"/>
    <w:rsid w:val="001C181A"/>
    <w:rsid w:val="001C1821"/>
    <w:rsid w:val="001C186F"/>
    <w:rsid w:val="001C1891"/>
    <w:rsid w:val="001C1A46"/>
    <w:rsid w:val="001C1C0C"/>
    <w:rsid w:val="001C1CAC"/>
    <w:rsid w:val="001C1CDB"/>
    <w:rsid w:val="001C1D93"/>
    <w:rsid w:val="001C1E98"/>
    <w:rsid w:val="001C249D"/>
    <w:rsid w:val="001C268D"/>
    <w:rsid w:val="001C26C4"/>
    <w:rsid w:val="001C27EC"/>
    <w:rsid w:val="001C28ED"/>
    <w:rsid w:val="001C2B8A"/>
    <w:rsid w:val="001C2E8E"/>
    <w:rsid w:val="001C2F71"/>
    <w:rsid w:val="001C3238"/>
    <w:rsid w:val="001C366A"/>
    <w:rsid w:val="001C37A9"/>
    <w:rsid w:val="001C3DE4"/>
    <w:rsid w:val="001C4103"/>
    <w:rsid w:val="001C436A"/>
    <w:rsid w:val="001C43B0"/>
    <w:rsid w:val="001C4520"/>
    <w:rsid w:val="001C4663"/>
    <w:rsid w:val="001C4D67"/>
    <w:rsid w:val="001C4D94"/>
    <w:rsid w:val="001C4E7D"/>
    <w:rsid w:val="001C56C3"/>
    <w:rsid w:val="001C5896"/>
    <w:rsid w:val="001C5CF9"/>
    <w:rsid w:val="001C5FEA"/>
    <w:rsid w:val="001C603C"/>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09B"/>
    <w:rsid w:val="001D22DC"/>
    <w:rsid w:val="001D2406"/>
    <w:rsid w:val="001D2418"/>
    <w:rsid w:val="001D25A7"/>
    <w:rsid w:val="001D25FC"/>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83D"/>
    <w:rsid w:val="001D38F0"/>
    <w:rsid w:val="001D3B69"/>
    <w:rsid w:val="001D409E"/>
    <w:rsid w:val="001D4D49"/>
    <w:rsid w:val="001D4FEA"/>
    <w:rsid w:val="001D51D4"/>
    <w:rsid w:val="001D52F5"/>
    <w:rsid w:val="001D539F"/>
    <w:rsid w:val="001D5550"/>
    <w:rsid w:val="001D567B"/>
    <w:rsid w:val="001D5A8B"/>
    <w:rsid w:val="001D5AD1"/>
    <w:rsid w:val="001D5D13"/>
    <w:rsid w:val="001D5FF7"/>
    <w:rsid w:val="001D62E3"/>
    <w:rsid w:val="001D639A"/>
    <w:rsid w:val="001D6559"/>
    <w:rsid w:val="001D68F6"/>
    <w:rsid w:val="001D6CE1"/>
    <w:rsid w:val="001D6E5A"/>
    <w:rsid w:val="001D6F7E"/>
    <w:rsid w:val="001D74A0"/>
    <w:rsid w:val="001D783C"/>
    <w:rsid w:val="001D797E"/>
    <w:rsid w:val="001D7A3E"/>
    <w:rsid w:val="001D7FCF"/>
    <w:rsid w:val="001E00B7"/>
    <w:rsid w:val="001E0159"/>
    <w:rsid w:val="001E01D3"/>
    <w:rsid w:val="001E0595"/>
    <w:rsid w:val="001E0973"/>
    <w:rsid w:val="001E09F4"/>
    <w:rsid w:val="001E0A8F"/>
    <w:rsid w:val="001E0C01"/>
    <w:rsid w:val="001E1A70"/>
    <w:rsid w:val="001E1B8E"/>
    <w:rsid w:val="001E1BF3"/>
    <w:rsid w:val="001E1C06"/>
    <w:rsid w:val="001E1C7E"/>
    <w:rsid w:val="001E1FF4"/>
    <w:rsid w:val="001E21FE"/>
    <w:rsid w:val="001E2268"/>
    <w:rsid w:val="001E24F0"/>
    <w:rsid w:val="001E28A8"/>
    <w:rsid w:val="001E2A3F"/>
    <w:rsid w:val="001E2C8F"/>
    <w:rsid w:val="001E2C9A"/>
    <w:rsid w:val="001E2D68"/>
    <w:rsid w:val="001E2EB9"/>
    <w:rsid w:val="001E2F2C"/>
    <w:rsid w:val="001E32EB"/>
    <w:rsid w:val="001E3446"/>
    <w:rsid w:val="001E3455"/>
    <w:rsid w:val="001E349B"/>
    <w:rsid w:val="001E384E"/>
    <w:rsid w:val="001E3B24"/>
    <w:rsid w:val="001E3C39"/>
    <w:rsid w:val="001E4163"/>
    <w:rsid w:val="001E448A"/>
    <w:rsid w:val="001E450A"/>
    <w:rsid w:val="001E4738"/>
    <w:rsid w:val="001E47CA"/>
    <w:rsid w:val="001E4D0F"/>
    <w:rsid w:val="001E4D2A"/>
    <w:rsid w:val="001E4E57"/>
    <w:rsid w:val="001E4F62"/>
    <w:rsid w:val="001E5437"/>
    <w:rsid w:val="001E5527"/>
    <w:rsid w:val="001E5639"/>
    <w:rsid w:val="001E5817"/>
    <w:rsid w:val="001E59F2"/>
    <w:rsid w:val="001E59F8"/>
    <w:rsid w:val="001E5AFF"/>
    <w:rsid w:val="001E5E0B"/>
    <w:rsid w:val="001E5F1A"/>
    <w:rsid w:val="001E63FB"/>
    <w:rsid w:val="001E64A6"/>
    <w:rsid w:val="001E64D4"/>
    <w:rsid w:val="001E6569"/>
    <w:rsid w:val="001E656B"/>
    <w:rsid w:val="001E666B"/>
    <w:rsid w:val="001E66D1"/>
    <w:rsid w:val="001E6991"/>
    <w:rsid w:val="001E6D62"/>
    <w:rsid w:val="001E70DB"/>
    <w:rsid w:val="001E714E"/>
    <w:rsid w:val="001E71B6"/>
    <w:rsid w:val="001E75B7"/>
    <w:rsid w:val="001E771E"/>
    <w:rsid w:val="001E7732"/>
    <w:rsid w:val="001E7764"/>
    <w:rsid w:val="001E788A"/>
    <w:rsid w:val="001E7E3D"/>
    <w:rsid w:val="001E7F35"/>
    <w:rsid w:val="001F0265"/>
    <w:rsid w:val="001F03F4"/>
    <w:rsid w:val="001F055B"/>
    <w:rsid w:val="001F0A2E"/>
    <w:rsid w:val="001F0AD8"/>
    <w:rsid w:val="001F0B34"/>
    <w:rsid w:val="001F0BB8"/>
    <w:rsid w:val="001F0D72"/>
    <w:rsid w:val="001F0DBB"/>
    <w:rsid w:val="001F1252"/>
    <w:rsid w:val="001F153D"/>
    <w:rsid w:val="001F1547"/>
    <w:rsid w:val="001F16AA"/>
    <w:rsid w:val="001F16DD"/>
    <w:rsid w:val="001F1856"/>
    <w:rsid w:val="001F191F"/>
    <w:rsid w:val="001F1BB2"/>
    <w:rsid w:val="001F201B"/>
    <w:rsid w:val="001F2042"/>
    <w:rsid w:val="001F23DB"/>
    <w:rsid w:val="001F24E6"/>
    <w:rsid w:val="001F257E"/>
    <w:rsid w:val="001F2D96"/>
    <w:rsid w:val="001F2E86"/>
    <w:rsid w:val="001F2EAD"/>
    <w:rsid w:val="001F2F48"/>
    <w:rsid w:val="001F2F93"/>
    <w:rsid w:val="001F3249"/>
    <w:rsid w:val="001F34F8"/>
    <w:rsid w:val="001F35B5"/>
    <w:rsid w:val="001F3E3C"/>
    <w:rsid w:val="001F4006"/>
    <w:rsid w:val="001F4165"/>
    <w:rsid w:val="001F41EC"/>
    <w:rsid w:val="001F42AE"/>
    <w:rsid w:val="001F435A"/>
    <w:rsid w:val="001F44E0"/>
    <w:rsid w:val="001F4530"/>
    <w:rsid w:val="001F4555"/>
    <w:rsid w:val="001F48E5"/>
    <w:rsid w:val="001F4A16"/>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F4E"/>
    <w:rsid w:val="001F7052"/>
    <w:rsid w:val="001F7269"/>
    <w:rsid w:val="001F73F9"/>
    <w:rsid w:val="001F75DB"/>
    <w:rsid w:val="001F7653"/>
    <w:rsid w:val="001F78E0"/>
    <w:rsid w:val="001F7B2A"/>
    <w:rsid w:val="001F7D82"/>
    <w:rsid w:val="001F7FE7"/>
    <w:rsid w:val="0020018E"/>
    <w:rsid w:val="0020020F"/>
    <w:rsid w:val="00200334"/>
    <w:rsid w:val="00200400"/>
    <w:rsid w:val="002004E8"/>
    <w:rsid w:val="00200679"/>
    <w:rsid w:val="00200A06"/>
    <w:rsid w:val="00200E70"/>
    <w:rsid w:val="0020111A"/>
    <w:rsid w:val="00201144"/>
    <w:rsid w:val="00201211"/>
    <w:rsid w:val="00201977"/>
    <w:rsid w:val="00201DC8"/>
    <w:rsid w:val="00201DC9"/>
    <w:rsid w:val="002020E3"/>
    <w:rsid w:val="0020211C"/>
    <w:rsid w:val="0020215C"/>
    <w:rsid w:val="00202429"/>
    <w:rsid w:val="002024B3"/>
    <w:rsid w:val="00202A02"/>
    <w:rsid w:val="00202CAF"/>
    <w:rsid w:val="00202CF8"/>
    <w:rsid w:val="00202DBB"/>
    <w:rsid w:val="00203297"/>
    <w:rsid w:val="0020336B"/>
    <w:rsid w:val="00203455"/>
    <w:rsid w:val="002035B5"/>
    <w:rsid w:val="002036AB"/>
    <w:rsid w:val="00203ADB"/>
    <w:rsid w:val="0020410C"/>
    <w:rsid w:val="0020415E"/>
    <w:rsid w:val="0020453F"/>
    <w:rsid w:val="002047D9"/>
    <w:rsid w:val="00204808"/>
    <w:rsid w:val="00204903"/>
    <w:rsid w:val="00204B15"/>
    <w:rsid w:val="0020501A"/>
    <w:rsid w:val="00205045"/>
    <w:rsid w:val="00205053"/>
    <w:rsid w:val="00205364"/>
    <w:rsid w:val="00205624"/>
    <w:rsid w:val="00205653"/>
    <w:rsid w:val="00205859"/>
    <w:rsid w:val="002059E3"/>
    <w:rsid w:val="002059F9"/>
    <w:rsid w:val="00205A20"/>
    <w:rsid w:val="00205B3C"/>
    <w:rsid w:val="00205CB4"/>
    <w:rsid w:val="00205F3A"/>
    <w:rsid w:val="00205FE1"/>
    <w:rsid w:val="0020608D"/>
    <w:rsid w:val="0020644A"/>
    <w:rsid w:val="002067B0"/>
    <w:rsid w:val="0020699C"/>
    <w:rsid w:val="00206C52"/>
    <w:rsid w:val="002075DA"/>
    <w:rsid w:val="0020788C"/>
    <w:rsid w:val="002078EA"/>
    <w:rsid w:val="00207E69"/>
    <w:rsid w:val="00207F6A"/>
    <w:rsid w:val="00210054"/>
    <w:rsid w:val="00210119"/>
    <w:rsid w:val="002101E6"/>
    <w:rsid w:val="0021066B"/>
    <w:rsid w:val="0021097A"/>
    <w:rsid w:val="00210A23"/>
    <w:rsid w:val="00210AF3"/>
    <w:rsid w:val="00210C62"/>
    <w:rsid w:val="00210DF6"/>
    <w:rsid w:val="00210E48"/>
    <w:rsid w:val="0021106B"/>
    <w:rsid w:val="00211380"/>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15B"/>
    <w:rsid w:val="00213318"/>
    <w:rsid w:val="00213528"/>
    <w:rsid w:val="002136CA"/>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715A"/>
    <w:rsid w:val="00217254"/>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573"/>
    <w:rsid w:val="00221A5E"/>
    <w:rsid w:val="00221B17"/>
    <w:rsid w:val="00221B9A"/>
    <w:rsid w:val="0022208F"/>
    <w:rsid w:val="002220BA"/>
    <w:rsid w:val="002222C3"/>
    <w:rsid w:val="00222300"/>
    <w:rsid w:val="0022232B"/>
    <w:rsid w:val="0022233E"/>
    <w:rsid w:val="00222473"/>
    <w:rsid w:val="00222633"/>
    <w:rsid w:val="00222B82"/>
    <w:rsid w:val="00222FB3"/>
    <w:rsid w:val="002230A7"/>
    <w:rsid w:val="0022324B"/>
    <w:rsid w:val="002232C0"/>
    <w:rsid w:val="00223439"/>
    <w:rsid w:val="002236AD"/>
    <w:rsid w:val="002238A3"/>
    <w:rsid w:val="00223BCC"/>
    <w:rsid w:val="00223E73"/>
    <w:rsid w:val="0022408A"/>
    <w:rsid w:val="002240E5"/>
    <w:rsid w:val="0022412A"/>
    <w:rsid w:val="002245AF"/>
    <w:rsid w:val="0022460E"/>
    <w:rsid w:val="002248E1"/>
    <w:rsid w:val="00224A65"/>
    <w:rsid w:val="00224BA1"/>
    <w:rsid w:val="00224D20"/>
    <w:rsid w:val="00224D4A"/>
    <w:rsid w:val="002250C4"/>
    <w:rsid w:val="00225247"/>
    <w:rsid w:val="00225350"/>
    <w:rsid w:val="0022580A"/>
    <w:rsid w:val="00225B15"/>
    <w:rsid w:val="00226010"/>
    <w:rsid w:val="002260DE"/>
    <w:rsid w:val="00226467"/>
    <w:rsid w:val="002264E8"/>
    <w:rsid w:val="00226691"/>
    <w:rsid w:val="002267D6"/>
    <w:rsid w:val="002268FB"/>
    <w:rsid w:val="002269EA"/>
    <w:rsid w:val="00226B65"/>
    <w:rsid w:val="00226C3C"/>
    <w:rsid w:val="00226D28"/>
    <w:rsid w:val="00226E5A"/>
    <w:rsid w:val="00226F33"/>
    <w:rsid w:val="00226FAC"/>
    <w:rsid w:val="00227336"/>
    <w:rsid w:val="002275EB"/>
    <w:rsid w:val="00227972"/>
    <w:rsid w:val="002279C6"/>
    <w:rsid w:val="00227D2C"/>
    <w:rsid w:val="00227E3A"/>
    <w:rsid w:val="00227E88"/>
    <w:rsid w:val="00230125"/>
    <w:rsid w:val="002307F0"/>
    <w:rsid w:val="00230AE7"/>
    <w:rsid w:val="00230B87"/>
    <w:rsid w:val="00230D71"/>
    <w:rsid w:val="00230D8F"/>
    <w:rsid w:val="0023187E"/>
    <w:rsid w:val="00231E8C"/>
    <w:rsid w:val="00232030"/>
    <w:rsid w:val="002323FE"/>
    <w:rsid w:val="0023286B"/>
    <w:rsid w:val="002328A1"/>
    <w:rsid w:val="002328D0"/>
    <w:rsid w:val="00232CA2"/>
    <w:rsid w:val="00233092"/>
    <w:rsid w:val="0023323A"/>
    <w:rsid w:val="00233415"/>
    <w:rsid w:val="00233477"/>
    <w:rsid w:val="002334C4"/>
    <w:rsid w:val="00233613"/>
    <w:rsid w:val="00233639"/>
    <w:rsid w:val="00233668"/>
    <w:rsid w:val="0023369D"/>
    <w:rsid w:val="002337A9"/>
    <w:rsid w:val="00233816"/>
    <w:rsid w:val="00233C02"/>
    <w:rsid w:val="00233E2C"/>
    <w:rsid w:val="00233EAC"/>
    <w:rsid w:val="00233FFA"/>
    <w:rsid w:val="0023414C"/>
    <w:rsid w:val="00234224"/>
    <w:rsid w:val="0023447A"/>
    <w:rsid w:val="002344DE"/>
    <w:rsid w:val="002349F3"/>
    <w:rsid w:val="00234A37"/>
    <w:rsid w:val="00234ADD"/>
    <w:rsid w:val="00234D37"/>
    <w:rsid w:val="00235176"/>
    <w:rsid w:val="0023542D"/>
    <w:rsid w:val="0023544C"/>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707E"/>
    <w:rsid w:val="002371DC"/>
    <w:rsid w:val="00237205"/>
    <w:rsid w:val="00237359"/>
    <w:rsid w:val="0023735B"/>
    <w:rsid w:val="0023736D"/>
    <w:rsid w:val="002373C4"/>
    <w:rsid w:val="00237587"/>
    <w:rsid w:val="0023758A"/>
    <w:rsid w:val="002376CE"/>
    <w:rsid w:val="002378AE"/>
    <w:rsid w:val="002379DA"/>
    <w:rsid w:val="00237AB1"/>
    <w:rsid w:val="00237C84"/>
    <w:rsid w:val="00237F45"/>
    <w:rsid w:val="00237F83"/>
    <w:rsid w:val="00240250"/>
    <w:rsid w:val="00240430"/>
    <w:rsid w:val="002404A0"/>
    <w:rsid w:val="00240640"/>
    <w:rsid w:val="002406D6"/>
    <w:rsid w:val="002407FD"/>
    <w:rsid w:val="002408E9"/>
    <w:rsid w:val="00240927"/>
    <w:rsid w:val="002409E7"/>
    <w:rsid w:val="00240A65"/>
    <w:rsid w:val="00240AAF"/>
    <w:rsid w:val="00240DC9"/>
    <w:rsid w:val="00240EE3"/>
    <w:rsid w:val="00241087"/>
    <w:rsid w:val="002410FF"/>
    <w:rsid w:val="002412B6"/>
    <w:rsid w:val="0024183E"/>
    <w:rsid w:val="0024191C"/>
    <w:rsid w:val="00241947"/>
    <w:rsid w:val="00241970"/>
    <w:rsid w:val="00241D97"/>
    <w:rsid w:val="00242025"/>
    <w:rsid w:val="00242297"/>
    <w:rsid w:val="0024233C"/>
    <w:rsid w:val="00242391"/>
    <w:rsid w:val="002423BB"/>
    <w:rsid w:val="002425F8"/>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E9"/>
    <w:rsid w:val="002446F1"/>
    <w:rsid w:val="0024488F"/>
    <w:rsid w:val="00244893"/>
    <w:rsid w:val="002448BE"/>
    <w:rsid w:val="00244AEE"/>
    <w:rsid w:val="002450D9"/>
    <w:rsid w:val="00245373"/>
    <w:rsid w:val="00245417"/>
    <w:rsid w:val="002455F7"/>
    <w:rsid w:val="002459C6"/>
    <w:rsid w:val="00245A2B"/>
    <w:rsid w:val="00245C15"/>
    <w:rsid w:val="00245CC2"/>
    <w:rsid w:val="00245D28"/>
    <w:rsid w:val="00245DEC"/>
    <w:rsid w:val="00245F85"/>
    <w:rsid w:val="00246234"/>
    <w:rsid w:val="002463A9"/>
    <w:rsid w:val="0024655E"/>
    <w:rsid w:val="002465DB"/>
    <w:rsid w:val="002466E3"/>
    <w:rsid w:val="0024692D"/>
    <w:rsid w:val="00246FC8"/>
    <w:rsid w:val="002472A1"/>
    <w:rsid w:val="002472A2"/>
    <w:rsid w:val="0024788C"/>
    <w:rsid w:val="002478DA"/>
    <w:rsid w:val="00247C82"/>
    <w:rsid w:val="00247F8F"/>
    <w:rsid w:val="00247FC0"/>
    <w:rsid w:val="00250219"/>
    <w:rsid w:val="0025038E"/>
    <w:rsid w:val="002503FD"/>
    <w:rsid w:val="00250609"/>
    <w:rsid w:val="002507B4"/>
    <w:rsid w:val="0025091F"/>
    <w:rsid w:val="00250C7D"/>
    <w:rsid w:val="00250CC0"/>
    <w:rsid w:val="00251144"/>
    <w:rsid w:val="00251273"/>
    <w:rsid w:val="00251382"/>
    <w:rsid w:val="0025175D"/>
    <w:rsid w:val="0025189A"/>
    <w:rsid w:val="00251900"/>
    <w:rsid w:val="00251A5F"/>
    <w:rsid w:val="00251A8E"/>
    <w:rsid w:val="00251B47"/>
    <w:rsid w:val="00251D39"/>
    <w:rsid w:val="00251EA4"/>
    <w:rsid w:val="002521A5"/>
    <w:rsid w:val="00252B12"/>
    <w:rsid w:val="00252DF9"/>
    <w:rsid w:val="002534A2"/>
    <w:rsid w:val="002536FE"/>
    <w:rsid w:val="0025370B"/>
    <w:rsid w:val="002537AE"/>
    <w:rsid w:val="002538B5"/>
    <w:rsid w:val="00253CC4"/>
    <w:rsid w:val="00253CFE"/>
    <w:rsid w:val="00253D7B"/>
    <w:rsid w:val="00253DE8"/>
    <w:rsid w:val="00254103"/>
    <w:rsid w:val="002541A7"/>
    <w:rsid w:val="00254232"/>
    <w:rsid w:val="002543C8"/>
    <w:rsid w:val="00254717"/>
    <w:rsid w:val="00254755"/>
    <w:rsid w:val="002547A0"/>
    <w:rsid w:val="00254851"/>
    <w:rsid w:val="00254958"/>
    <w:rsid w:val="0025495A"/>
    <w:rsid w:val="002549EE"/>
    <w:rsid w:val="00254C53"/>
    <w:rsid w:val="00254EAD"/>
    <w:rsid w:val="00255068"/>
    <w:rsid w:val="0025507E"/>
    <w:rsid w:val="00255130"/>
    <w:rsid w:val="002555C2"/>
    <w:rsid w:val="00255700"/>
    <w:rsid w:val="0025597A"/>
    <w:rsid w:val="00255B8D"/>
    <w:rsid w:val="00255C67"/>
    <w:rsid w:val="00255CC1"/>
    <w:rsid w:val="00255DCB"/>
    <w:rsid w:val="00255E30"/>
    <w:rsid w:val="00255F21"/>
    <w:rsid w:val="00255FD0"/>
    <w:rsid w:val="00256088"/>
    <w:rsid w:val="002560BA"/>
    <w:rsid w:val="00256157"/>
    <w:rsid w:val="0025648E"/>
    <w:rsid w:val="002566A2"/>
    <w:rsid w:val="002566FE"/>
    <w:rsid w:val="002567BD"/>
    <w:rsid w:val="00257190"/>
    <w:rsid w:val="002572D5"/>
    <w:rsid w:val="00257355"/>
    <w:rsid w:val="002574B4"/>
    <w:rsid w:val="002574D4"/>
    <w:rsid w:val="002575A6"/>
    <w:rsid w:val="002577FE"/>
    <w:rsid w:val="00257B73"/>
    <w:rsid w:val="00257D0F"/>
    <w:rsid w:val="00257D7A"/>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C1A"/>
    <w:rsid w:val="00261CF4"/>
    <w:rsid w:val="00261EEC"/>
    <w:rsid w:val="00261F6F"/>
    <w:rsid w:val="0026210B"/>
    <w:rsid w:val="002623F0"/>
    <w:rsid w:val="002627DC"/>
    <w:rsid w:val="00262B23"/>
    <w:rsid w:val="00262F54"/>
    <w:rsid w:val="002630A1"/>
    <w:rsid w:val="00263262"/>
    <w:rsid w:val="002633AA"/>
    <w:rsid w:val="002634A3"/>
    <w:rsid w:val="00263885"/>
    <w:rsid w:val="00263979"/>
    <w:rsid w:val="00263E36"/>
    <w:rsid w:val="00263F0B"/>
    <w:rsid w:val="00263FFE"/>
    <w:rsid w:val="0026461E"/>
    <w:rsid w:val="0026463A"/>
    <w:rsid w:val="00264737"/>
    <w:rsid w:val="00264A2C"/>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5E66"/>
    <w:rsid w:val="002660B2"/>
    <w:rsid w:val="002660E7"/>
    <w:rsid w:val="0026615C"/>
    <w:rsid w:val="00266A6B"/>
    <w:rsid w:val="00266BB4"/>
    <w:rsid w:val="00266CA9"/>
    <w:rsid w:val="0026709B"/>
    <w:rsid w:val="00267264"/>
    <w:rsid w:val="0026735E"/>
    <w:rsid w:val="00267445"/>
    <w:rsid w:val="002676E7"/>
    <w:rsid w:val="002678D9"/>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729"/>
    <w:rsid w:val="00271824"/>
    <w:rsid w:val="00271A87"/>
    <w:rsid w:val="00271C43"/>
    <w:rsid w:val="00271D9B"/>
    <w:rsid w:val="00271DA4"/>
    <w:rsid w:val="00271EF5"/>
    <w:rsid w:val="002720BD"/>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8AF"/>
    <w:rsid w:val="00275BDD"/>
    <w:rsid w:val="00275EEB"/>
    <w:rsid w:val="00276014"/>
    <w:rsid w:val="00276354"/>
    <w:rsid w:val="00276367"/>
    <w:rsid w:val="0027640C"/>
    <w:rsid w:val="002765ED"/>
    <w:rsid w:val="00276B44"/>
    <w:rsid w:val="00276C81"/>
    <w:rsid w:val="0027735F"/>
    <w:rsid w:val="00277626"/>
    <w:rsid w:val="00277745"/>
    <w:rsid w:val="00277797"/>
    <w:rsid w:val="002777C5"/>
    <w:rsid w:val="002779FC"/>
    <w:rsid w:val="00277A66"/>
    <w:rsid w:val="00277D03"/>
    <w:rsid w:val="00277D11"/>
    <w:rsid w:val="00277EDF"/>
    <w:rsid w:val="00280097"/>
    <w:rsid w:val="0028027C"/>
    <w:rsid w:val="002802F4"/>
    <w:rsid w:val="0028055B"/>
    <w:rsid w:val="00280573"/>
    <w:rsid w:val="002805D6"/>
    <w:rsid w:val="00280607"/>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0D7"/>
    <w:rsid w:val="002822AD"/>
    <w:rsid w:val="002824A1"/>
    <w:rsid w:val="00282676"/>
    <w:rsid w:val="002828C1"/>
    <w:rsid w:val="00282A47"/>
    <w:rsid w:val="00282AC7"/>
    <w:rsid w:val="00282C65"/>
    <w:rsid w:val="00282C79"/>
    <w:rsid w:val="00282C7F"/>
    <w:rsid w:val="00282E5D"/>
    <w:rsid w:val="002830EA"/>
    <w:rsid w:val="002833B6"/>
    <w:rsid w:val="00283823"/>
    <w:rsid w:val="002839BA"/>
    <w:rsid w:val="00283B66"/>
    <w:rsid w:val="00284013"/>
    <w:rsid w:val="0028410A"/>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4A"/>
    <w:rsid w:val="0028679C"/>
    <w:rsid w:val="002868C4"/>
    <w:rsid w:val="00286A6C"/>
    <w:rsid w:val="00286DE2"/>
    <w:rsid w:val="00286EAE"/>
    <w:rsid w:val="00286F52"/>
    <w:rsid w:val="00287055"/>
    <w:rsid w:val="002870D1"/>
    <w:rsid w:val="002872AF"/>
    <w:rsid w:val="002872C7"/>
    <w:rsid w:val="002873CD"/>
    <w:rsid w:val="00287728"/>
    <w:rsid w:val="002878AC"/>
    <w:rsid w:val="00287C18"/>
    <w:rsid w:val="00287C56"/>
    <w:rsid w:val="00287CB5"/>
    <w:rsid w:val="00287EF7"/>
    <w:rsid w:val="00287FD5"/>
    <w:rsid w:val="00290202"/>
    <w:rsid w:val="002903D6"/>
    <w:rsid w:val="00290677"/>
    <w:rsid w:val="00290943"/>
    <w:rsid w:val="00290F7D"/>
    <w:rsid w:val="00290F99"/>
    <w:rsid w:val="0029104A"/>
    <w:rsid w:val="002911E2"/>
    <w:rsid w:val="002914BA"/>
    <w:rsid w:val="00291A00"/>
    <w:rsid w:val="00291B72"/>
    <w:rsid w:val="00291BB3"/>
    <w:rsid w:val="00291CC0"/>
    <w:rsid w:val="00291DF7"/>
    <w:rsid w:val="00292050"/>
    <w:rsid w:val="002921D1"/>
    <w:rsid w:val="00292355"/>
    <w:rsid w:val="002925C6"/>
    <w:rsid w:val="002925DB"/>
    <w:rsid w:val="002929AA"/>
    <w:rsid w:val="002929F7"/>
    <w:rsid w:val="002929FD"/>
    <w:rsid w:val="00292B24"/>
    <w:rsid w:val="00292C31"/>
    <w:rsid w:val="00292C35"/>
    <w:rsid w:val="002932EF"/>
    <w:rsid w:val="002932FE"/>
    <w:rsid w:val="002934D9"/>
    <w:rsid w:val="002936C7"/>
    <w:rsid w:val="00293A17"/>
    <w:rsid w:val="00293B29"/>
    <w:rsid w:val="0029446F"/>
    <w:rsid w:val="002944FA"/>
    <w:rsid w:val="00294543"/>
    <w:rsid w:val="002945D0"/>
    <w:rsid w:val="0029467C"/>
    <w:rsid w:val="0029471D"/>
    <w:rsid w:val="0029480A"/>
    <w:rsid w:val="002948B0"/>
    <w:rsid w:val="0029496D"/>
    <w:rsid w:val="00294999"/>
    <w:rsid w:val="00294AA0"/>
    <w:rsid w:val="00294ABE"/>
    <w:rsid w:val="00294CE6"/>
    <w:rsid w:val="00294D17"/>
    <w:rsid w:val="00294F71"/>
    <w:rsid w:val="00294FD6"/>
    <w:rsid w:val="002950B4"/>
    <w:rsid w:val="00295484"/>
    <w:rsid w:val="00295559"/>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97FA3"/>
    <w:rsid w:val="002A0053"/>
    <w:rsid w:val="002A0093"/>
    <w:rsid w:val="002A01E9"/>
    <w:rsid w:val="002A0223"/>
    <w:rsid w:val="002A0383"/>
    <w:rsid w:val="002A047E"/>
    <w:rsid w:val="002A0977"/>
    <w:rsid w:val="002A0ABE"/>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F2D"/>
    <w:rsid w:val="002A21D7"/>
    <w:rsid w:val="002A29EF"/>
    <w:rsid w:val="002A2D6B"/>
    <w:rsid w:val="002A3051"/>
    <w:rsid w:val="002A30F7"/>
    <w:rsid w:val="002A34E6"/>
    <w:rsid w:val="002A361A"/>
    <w:rsid w:val="002A37CE"/>
    <w:rsid w:val="002A3A5F"/>
    <w:rsid w:val="002A3A66"/>
    <w:rsid w:val="002A3B11"/>
    <w:rsid w:val="002A3E5F"/>
    <w:rsid w:val="002A42B2"/>
    <w:rsid w:val="002A44A6"/>
    <w:rsid w:val="002A4626"/>
    <w:rsid w:val="002A47BB"/>
    <w:rsid w:val="002A4A10"/>
    <w:rsid w:val="002A4EA9"/>
    <w:rsid w:val="002A4EE0"/>
    <w:rsid w:val="002A502C"/>
    <w:rsid w:val="002A51C6"/>
    <w:rsid w:val="002A554D"/>
    <w:rsid w:val="002A581C"/>
    <w:rsid w:val="002A5824"/>
    <w:rsid w:val="002A5875"/>
    <w:rsid w:val="002A5FDD"/>
    <w:rsid w:val="002A6300"/>
    <w:rsid w:val="002A6348"/>
    <w:rsid w:val="002A63FD"/>
    <w:rsid w:val="002A64D8"/>
    <w:rsid w:val="002A6642"/>
    <w:rsid w:val="002A6696"/>
    <w:rsid w:val="002A67EA"/>
    <w:rsid w:val="002A6C48"/>
    <w:rsid w:val="002A6D93"/>
    <w:rsid w:val="002A6F53"/>
    <w:rsid w:val="002A70E5"/>
    <w:rsid w:val="002A7210"/>
    <w:rsid w:val="002A7243"/>
    <w:rsid w:val="002A7455"/>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989"/>
    <w:rsid w:val="002B0A08"/>
    <w:rsid w:val="002B0C08"/>
    <w:rsid w:val="002B0C34"/>
    <w:rsid w:val="002B0F6F"/>
    <w:rsid w:val="002B107A"/>
    <w:rsid w:val="002B13E2"/>
    <w:rsid w:val="002B14E8"/>
    <w:rsid w:val="002B15B6"/>
    <w:rsid w:val="002B160C"/>
    <w:rsid w:val="002B1C53"/>
    <w:rsid w:val="002B1E46"/>
    <w:rsid w:val="002B1F44"/>
    <w:rsid w:val="002B2062"/>
    <w:rsid w:val="002B2170"/>
    <w:rsid w:val="002B21CA"/>
    <w:rsid w:val="002B24B0"/>
    <w:rsid w:val="002B25A5"/>
    <w:rsid w:val="002B2635"/>
    <w:rsid w:val="002B2661"/>
    <w:rsid w:val="002B27C9"/>
    <w:rsid w:val="002B28A6"/>
    <w:rsid w:val="002B2B4F"/>
    <w:rsid w:val="002B2DD6"/>
    <w:rsid w:val="002B369D"/>
    <w:rsid w:val="002B3712"/>
    <w:rsid w:val="002B3745"/>
    <w:rsid w:val="002B3B08"/>
    <w:rsid w:val="002B3B12"/>
    <w:rsid w:val="002B3C8B"/>
    <w:rsid w:val="002B3F3C"/>
    <w:rsid w:val="002B42EE"/>
    <w:rsid w:val="002B45D3"/>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E59"/>
    <w:rsid w:val="002B5FBB"/>
    <w:rsid w:val="002B6036"/>
    <w:rsid w:val="002B60DF"/>
    <w:rsid w:val="002B6257"/>
    <w:rsid w:val="002B646D"/>
    <w:rsid w:val="002B6652"/>
    <w:rsid w:val="002B6655"/>
    <w:rsid w:val="002B6669"/>
    <w:rsid w:val="002B6951"/>
    <w:rsid w:val="002B7205"/>
    <w:rsid w:val="002B731D"/>
    <w:rsid w:val="002B741A"/>
    <w:rsid w:val="002B7518"/>
    <w:rsid w:val="002B78AE"/>
    <w:rsid w:val="002B78BB"/>
    <w:rsid w:val="002B7936"/>
    <w:rsid w:val="002B7A39"/>
    <w:rsid w:val="002B7BD5"/>
    <w:rsid w:val="002B7C9C"/>
    <w:rsid w:val="002B7FEE"/>
    <w:rsid w:val="002C010D"/>
    <w:rsid w:val="002C0454"/>
    <w:rsid w:val="002C083A"/>
    <w:rsid w:val="002C0A60"/>
    <w:rsid w:val="002C1138"/>
    <w:rsid w:val="002C113F"/>
    <w:rsid w:val="002C14BD"/>
    <w:rsid w:val="002C14EC"/>
    <w:rsid w:val="002C1604"/>
    <w:rsid w:val="002C193F"/>
    <w:rsid w:val="002C1CE8"/>
    <w:rsid w:val="002C1D34"/>
    <w:rsid w:val="002C1D5B"/>
    <w:rsid w:val="002C1E3F"/>
    <w:rsid w:val="002C1EF7"/>
    <w:rsid w:val="002C2087"/>
    <w:rsid w:val="002C217A"/>
    <w:rsid w:val="002C22B6"/>
    <w:rsid w:val="002C2422"/>
    <w:rsid w:val="002C2423"/>
    <w:rsid w:val="002C2495"/>
    <w:rsid w:val="002C2777"/>
    <w:rsid w:val="002C27B8"/>
    <w:rsid w:val="002C2B3F"/>
    <w:rsid w:val="002C2D72"/>
    <w:rsid w:val="002C2EAF"/>
    <w:rsid w:val="002C2FB5"/>
    <w:rsid w:val="002C314C"/>
    <w:rsid w:val="002C3554"/>
    <w:rsid w:val="002C39F9"/>
    <w:rsid w:val="002C3B3C"/>
    <w:rsid w:val="002C3FF4"/>
    <w:rsid w:val="002C458F"/>
    <w:rsid w:val="002C45AC"/>
    <w:rsid w:val="002C48F1"/>
    <w:rsid w:val="002C48F8"/>
    <w:rsid w:val="002C4A19"/>
    <w:rsid w:val="002C4AFC"/>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B8C"/>
    <w:rsid w:val="002C7DD5"/>
    <w:rsid w:val="002C7E65"/>
    <w:rsid w:val="002C7FBF"/>
    <w:rsid w:val="002D034C"/>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53"/>
    <w:rsid w:val="002D22AE"/>
    <w:rsid w:val="002D2316"/>
    <w:rsid w:val="002D24E5"/>
    <w:rsid w:val="002D259F"/>
    <w:rsid w:val="002D28AE"/>
    <w:rsid w:val="002D2CE0"/>
    <w:rsid w:val="002D2F24"/>
    <w:rsid w:val="002D2FEF"/>
    <w:rsid w:val="002D35DD"/>
    <w:rsid w:val="002D384C"/>
    <w:rsid w:val="002D3A3D"/>
    <w:rsid w:val="002D3AC0"/>
    <w:rsid w:val="002D3AF6"/>
    <w:rsid w:val="002D3AFF"/>
    <w:rsid w:val="002D3BE3"/>
    <w:rsid w:val="002D3C1F"/>
    <w:rsid w:val="002D3C2C"/>
    <w:rsid w:val="002D3D6A"/>
    <w:rsid w:val="002D3FB3"/>
    <w:rsid w:val="002D44C4"/>
    <w:rsid w:val="002D4651"/>
    <w:rsid w:val="002D4865"/>
    <w:rsid w:val="002D4A7E"/>
    <w:rsid w:val="002D4AB4"/>
    <w:rsid w:val="002D4B7B"/>
    <w:rsid w:val="002D4B9F"/>
    <w:rsid w:val="002D4D1D"/>
    <w:rsid w:val="002D4D86"/>
    <w:rsid w:val="002D4F48"/>
    <w:rsid w:val="002D5257"/>
    <w:rsid w:val="002D5360"/>
    <w:rsid w:val="002D5376"/>
    <w:rsid w:val="002D544C"/>
    <w:rsid w:val="002D5756"/>
    <w:rsid w:val="002D576C"/>
    <w:rsid w:val="002D58CC"/>
    <w:rsid w:val="002D597E"/>
    <w:rsid w:val="002D5C96"/>
    <w:rsid w:val="002D5DF8"/>
    <w:rsid w:val="002D5E69"/>
    <w:rsid w:val="002D60BB"/>
    <w:rsid w:val="002D6190"/>
    <w:rsid w:val="002D6548"/>
    <w:rsid w:val="002D6588"/>
    <w:rsid w:val="002D67FB"/>
    <w:rsid w:val="002D68E1"/>
    <w:rsid w:val="002D6BEE"/>
    <w:rsid w:val="002D6D93"/>
    <w:rsid w:val="002D70E1"/>
    <w:rsid w:val="002D70E8"/>
    <w:rsid w:val="002D7106"/>
    <w:rsid w:val="002D75CB"/>
    <w:rsid w:val="002D7627"/>
    <w:rsid w:val="002D7695"/>
    <w:rsid w:val="002D76D6"/>
    <w:rsid w:val="002D76FC"/>
    <w:rsid w:val="002D7821"/>
    <w:rsid w:val="002D7B7E"/>
    <w:rsid w:val="002D7E2A"/>
    <w:rsid w:val="002D7EDA"/>
    <w:rsid w:val="002E013F"/>
    <w:rsid w:val="002E056A"/>
    <w:rsid w:val="002E0628"/>
    <w:rsid w:val="002E09E1"/>
    <w:rsid w:val="002E0A71"/>
    <w:rsid w:val="002E0C6A"/>
    <w:rsid w:val="002E0CAA"/>
    <w:rsid w:val="002E0DB8"/>
    <w:rsid w:val="002E0F22"/>
    <w:rsid w:val="002E12EF"/>
    <w:rsid w:val="002E151A"/>
    <w:rsid w:val="002E166C"/>
    <w:rsid w:val="002E16C5"/>
    <w:rsid w:val="002E1AC5"/>
    <w:rsid w:val="002E1B93"/>
    <w:rsid w:val="002E1BB0"/>
    <w:rsid w:val="002E1BBF"/>
    <w:rsid w:val="002E1D0D"/>
    <w:rsid w:val="002E2053"/>
    <w:rsid w:val="002E20BC"/>
    <w:rsid w:val="002E2160"/>
    <w:rsid w:val="002E2663"/>
    <w:rsid w:val="002E29D3"/>
    <w:rsid w:val="002E2B35"/>
    <w:rsid w:val="002E2B92"/>
    <w:rsid w:val="002E2E7F"/>
    <w:rsid w:val="002E2FBB"/>
    <w:rsid w:val="002E318A"/>
    <w:rsid w:val="002E355F"/>
    <w:rsid w:val="002E3693"/>
    <w:rsid w:val="002E37C0"/>
    <w:rsid w:val="002E3954"/>
    <w:rsid w:val="002E3A88"/>
    <w:rsid w:val="002E3B21"/>
    <w:rsid w:val="002E3F1B"/>
    <w:rsid w:val="002E4024"/>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583"/>
    <w:rsid w:val="002E66BD"/>
    <w:rsid w:val="002E6B5F"/>
    <w:rsid w:val="002E6C05"/>
    <w:rsid w:val="002E71F3"/>
    <w:rsid w:val="002E7367"/>
    <w:rsid w:val="002E7729"/>
    <w:rsid w:val="002E7D6F"/>
    <w:rsid w:val="002E7FF4"/>
    <w:rsid w:val="002F0070"/>
    <w:rsid w:val="002F01DA"/>
    <w:rsid w:val="002F0450"/>
    <w:rsid w:val="002F060E"/>
    <w:rsid w:val="002F0613"/>
    <w:rsid w:val="002F084B"/>
    <w:rsid w:val="002F08F0"/>
    <w:rsid w:val="002F090C"/>
    <w:rsid w:val="002F091C"/>
    <w:rsid w:val="002F0A35"/>
    <w:rsid w:val="002F0A9C"/>
    <w:rsid w:val="002F0AA9"/>
    <w:rsid w:val="002F0C29"/>
    <w:rsid w:val="002F0FCC"/>
    <w:rsid w:val="002F1878"/>
    <w:rsid w:val="002F208C"/>
    <w:rsid w:val="002F2405"/>
    <w:rsid w:val="002F25AB"/>
    <w:rsid w:val="002F267F"/>
    <w:rsid w:val="002F280A"/>
    <w:rsid w:val="002F28A8"/>
    <w:rsid w:val="002F2CD5"/>
    <w:rsid w:val="002F2D0E"/>
    <w:rsid w:val="002F2E1E"/>
    <w:rsid w:val="002F30E6"/>
    <w:rsid w:val="002F31D7"/>
    <w:rsid w:val="002F33AF"/>
    <w:rsid w:val="002F33D3"/>
    <w:rsid w:val="002F378D"/>
    <w:rsid w:val="002F3B59"/>
    <w:rsid w:val="002F3C03"/>
    <w:rsid w:val="002F3CB4"/>
    <w:rsid w:val="002F3E73"/>
    <w:rsid w:val="002F3FD3"/>
    <w:rsid w:val="002F4011"/>
    <w:rsid w:val="002F40AB"/>
    <w:rsid w:val="002F40D6"/>
    <w:rsid w:val="002F42C7"/>
    <w:rsid w:val="002F466B"/>
    <w:rsid w:val="002F4B95"/>
    <w:rsid w:val="002F4DC9"/>
    <w:rsid w:val="002F4E09"/>
    <w:rsid w:val="002F4E58"/>
    <w:rsid w:val="002F4F9D"/>
    <w:rsid w:val="002F5122"/>
    <w:rsid w:val="002F537D"/>
    <w:rsid w:val="002F55DA"/>
    <w:rsid w:val="002F57D9"/>
    <w:rsid w:val="002F5890"/>
    <w:rsid w:val="002F5BEA"/>
    <w:rsid w:val="002F5CAF"/>
    <w:rsid w:val="002F6241"/>
    <w:rsid w:val="002F65F0"/>
    <w:rsid w:val="002F6971"/>
    <w:rsid w:val="002F6AAA"/>
    <w:rsid w:val="002F6CF6"/>
    <w:rsid w:val="002F6EC9"/>
    <w:rsid w:val="002F6F70"/>
    <w:rsid w:val="002F6F79"/>
    <w:rsid w:val="002F707B"/>
    <w:rsid w:val="002F70C9"/>
    <w:rsid w:val="002F73EA"/>
    <w:rsid w:val="002F745E"/>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CF3"/>
    <w:rsid w:val="00300E01"/>
    <w:rsid w:val="00301067"/>
    <w:rsid w:val="00301642"/>
    <w:rsid w:val="003017E9"/>
    <w:rsid w:val="003018E4"/>
    <w:rsid w:val="003018E5"/>
    <w:rsid w:val="00301C03"/>
    <w:rsid w:val="00301ED4"/>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F59"/>
    <w:rsid w:val="00302FE1"/>
    <w:rsid w:val="003032F4"/>
    <w:rsid w:val="00303309"/>
    <w:rsid w:val="003039AB"/>
    <w:rsid w:val="003039DB"/>
    <w:rsid w:val="00303C40"/>
    <w:rsid w:val="00303CD8"/>
    <w:rsid w:val="00304127"/>
    <w:rsid w:val="00304201"/>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87D"/>
    <w:rsid w:val="0030595A"/>
    <w:rsid w:val="00305B96"/>
    <w:rsid w:val="00305BE3"/>
    <w:rsid w:val="00305C4A"/>
    <w:rsid w:val="00305C5A"/>
    <w:rsid w:val="0030618F"/>
    <w:rsid w:val="003062AB"/>
    <w:rsid w:val="00306564"/>
    <w:rsid w:val="0030673F"/>
    <w:rsid w:val="00306790"/>
    <w:rsid w:val="00306884"/>
    <w:rsid w:val="00306908"/>
    <w:rsid w:val="0030723C"/>
    <w:rsid w:val="00307431"/>
    <w:rsid w:val="0030750F"/>
    <w:rsid w:val="00307572"/>
    <w:rsid w:val="0030783E"/>
    <w:rsid w:val="003078B1"/>
    <w:rsid w:val="003079B3"/>
    <w:rsid w:val="00307E4C"/>
    <w:rsid w:val="00307E6F"/>
    <w:rsid w:val="00310310"/>
    <w:rsid w:val="00310463"/>
    <w:rsid w:val="003104FC"/>
    <w:rsid w:val="00310942"/>
    <w:rsid w:val="00310A4F"/>
    <w:rsid w:val="00310A88"/>
    <w:rsid w:val="00310B32"/>
    <w:rsid w:val="00310B86"/>
    <w:rsid w:val="00310E7E"/>
    <w:rsid w:val="00310F50"/>
    <w:rsid w:val="003111F9"/>
    <w:rsid w:val="0031123E"/>
    <w:rsid w:val="0031131C"/>
    <w:rsid w:val="0031155F"/>
    <w:rsid w:val="0031168E"/>
    <w:rsid w:val="003117B7"/>
    <w:rsid w:val="00311912"/>
    <w:rsid w:val="00311A83"/>
    <w:rsid w:val="00311EB2"/>
    <w:rsid w:val="00311ECA"/>
    <w:rsid w:val="00311EE9"/>
    <w:rsid w:val="003121C1"/>
    <w:rsid w:val="003121F9"/>
    <w:rsid w:val="00312278"/>
    <w:rsid w:val="0031239B"/>
    <w:rsid w:val="003123E4"/>
    <w:rsid w:val="0031274F"/>
    <w:rsid w:val="00312A37"/>
    <w:rsid w:val="00312AFA"/>
    <w:rsid w:val="00312B3C"/>
    <w:rsid w:val="00312C7C"/>
    <w:rsid w:val="00312D63"/>
    <w:rsid w:val="00313383"/>
    <w:rsid w:val="00313568"/>
    <w:rsid w:val="003137D6"/>
    <w:rsid w:val="003139A7"/>
    <w:rsid w:val="003139B7"/>
    <w:rsid w:val="00313AB7"/>
    <w:rsid w:val="00313AD9"/>
    <w:rsid w:val="00313EDD"/>
    <w:rsid w:val="00313F13"/>
    <w:rsid w:val="003141CA"/>
    <w:rsid w:val="0031427E"/>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827"/>
    <w:rsid w:val="003209BA"/>
    <w:rsid w:val="00320A8C"/>
    <w:rsid w:val="00320C18"/>
    <w:rsid w:val="00320CBD"/>
    <w:rsid w:val="00320DD9"/>
    <w:rsid w:val="00320DDD"/>
    <w:rsid w:val="00320E07"/>
    <w:rsid w:val="00320EEC"/>
    <w:rsid w:val="00321146"/>
    <w:rsid w:val="00321256"/>
    <w:rsid w:val="003212A6"/>
    <w:rsid w:val="0032146D"/>
    <w:rsid w:val="0032159E"/>
    <w:rsid w:val="00321773"/>
    <w:rsid w:val="00321A3E"/>
    <w:rsid w:val="00321C29"/>
    <w:rsid w:val="00321EAA"/>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7B"/>
    <w:rsid w:val="00324BFD"/>
    <w:rsid w:val="00324D2D"/>
    <w:rsid w:val="00324F92"/>
    <w:rsid w:val="00325363"/>
    <w:rsid w:val="00325709"/>
    <w:rsid w:val="0032581B"/>
    <w:rsid w:val="0032582E"/>
    <w:rsid w:val="0032585B"/>
    <w:rsid w:val="00325AF5"/>
    <w:rsid w:val="00325E2C"/>
    <w:rsid w:val="00325E3A"/>
    <w:rsid w:val="0032647D"/>
    <w:rsid w:val="003264E0"/>
    <w:rsid w:val="0032652D"/>
    <w:rsid w:val="00326546"/>
    <w:rsid w:val="003266B8"/>
    <w:rsid w:val="0032671A"/>
    <w:rsid w:val="00326ED5"/>
    <w:rsid w:val="00327069"/>
    <w:rsid w:val="00327513"/>
    <w:rsid w:val="00327A3F"/>
    <w:rsid w:val="00327BB6"/>
    <w:rsid w:val="00327CA8"/>
    <w:rsid w:val="00327D7B"/>
    <w:rsid w:val="00330061"/>
    <w:rsid w:val="003300AB"/>
    <w:rsid w:val="003301A2"/>
    <w:rsid w:val="00330766"/>
    <w:rsid w:val="00330776"/>
    <w:rsid w:val="0033079D"/>
    <w:rsid w:val="00330817"/>
    <w:rsid w:val="0033086C"/>
    <w:rsid w:val="00330989"/>
    <w:rsid w:val="003309E2"/>
    <w:rsid w:val="00330A43"/>
    <w:rsid w:val="00331327"/>
    <w:rsid w:val="00331348"/>
    <w:rsid w:val="00331426"/>
    <w:rsid w:val="003317A0"/>
    <w:rsid w:val="003317A8"/>
    <w:rsid w:val="00331973"/>
    <w:rsid w:val="00331AF7"/>
    <w:rsid w:val="00331B33"/>
    <w:rsid w:val="00331C51"/>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79D"/>
    <w:rsid w:val="0033390F"/>
    <w:rsid w:val="00333AC5"/>
    <w:rsid w:val="00333C62"/>
    <w:rsid w:val="00334048"/>
    <w:rsid w:val="00334164"/>
    <w:rsid w:val="00334241"/>
    <w:rsid w:val="0033436E"/>
    <w:rsid w:val="003343BA"/>
    <w:rsid w:val="00334534"/>
    <w:rsid w:val="00334C7C"/>
    <w:rsid w:val="00334CD6"/>
    <w:rsid w:val="00334F4D"/>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3B"/>
    <w:rsid w:val="00340268"/>
    <w:rsid w:val="0034034A"/>
    <w:rsid w:val="003407E0"/>
    <w:rsid w:val="003408A2"/>
    <w:rsid w:val="00340ED9"/>
    <w:rsid w:val="00341078"/>
    <w:rsid w:val="00341152"/>
    <w:rsid w:val="00341192"/>
    <w:rsid w:val="00341390"/>
    <w:rsid w:val="0034150B"/>
    <w:rsid w:val="00341544"/>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9A0"/>
    <w:rsid w:val="00344B6E"/>
    <w:rsid w:val="00344BF1"/>
    <w:rsid w:val="00344F7B"/>
    <w:rsid w:val="0034508F"/>
    <w:rsid w:val="00345151"/>
    <w:rsid w:val="00345227"/>
    <w:rsid w:val="0034532B"/>
    <w:rsid w:val="00345396"/>
    <w:rsid w:val="0034560B"/>
    <w:rsid w:val="0034613D"/>
    <w:rsid w:val="00346217"/>
    <w:rsid w:val="003463AA"/>
    <w:rsid w:val="003464D9"/>
    <w:rsid w:val="00346581"/>
    <w:rsid w:val="003466D8"/>
    <w:rsid w:val="003467B2"/>
    <w:rsid w:val="0034690D"/>
    <w:rsid w:val="003469B5"/>
    <w:rsid w:val="003469F6"/>
    <w:rsid w:val="00346AF3"/>
    <w:rsid w:val="00346B4A"/>
    <w:rsid w:val="00346C34"/>
    <w:rsid w:val="003470F8"/>
    <w:rsid w:val="00347128"/>
    <w:rsid w:val="003472D6"/>
    <w:rsid w:val="003473B6"/>
    <w:rsid w:val="0034758C"/>
    <w:rsid w:val="0034763F"/>
    <w:rsid w:val="0034770A"/>
    <w:rsid w:val="003478E8"/>
    <w:rsid w:val="00347938"/>
    <w:rsid w:val="00347A11"/>
    <w:rsid w:val="00347B21"/>
    <w:rsid w:val="00347B60"/>
    <w:rsid w:val="00347E5E"/>
    <w:rsid w:val="00347FD8"/>
    <w:rsid w:val="0035010B"/>
    <w:rsid w:val="00350683"/>
    <w:rsid w:val="003506B6"/>
    <w:rsid w:val="00350912"/>
    <w:rsid w:val="00350999"/>
    <w:rsid w:val="00350A30"/>
    <w:rsid w:val="00350AF2"/>
    <w:rsid w:val="00350BD3"/>
    <w:rsid w:val="00350D9C"/>
    <w:rsid w:val="00350DF2"/>
    <w:rsid w:val="00350E05"/>
    <w:rsid w:val="00350F98"/>
    <w:rsid w:val="00350FFE"/>
    <w:rsid w:val="00351040"/>
    <w:rsid w:val="00351251"/>
    <w:rsid w:val="003517F4"/>
    <w:rsid w:val="00351806"/>
    <w:rsid w:val="00351A5E"/>
    <w:rsid w:val="00351AB8"/>
    <w:rsid w:val="00351BA7"/>
    <w:rsid w:val="00351C10"/>
    <w:rsid w:val="00351DDE"/>
    <w:rsid w:val="00352196"/>
    <w:rsid w:val="00352226"/>
    <w:rsid w:val="003524E5"/>
    <w:rsid w:val="00352711"/>
    <w:rsid w:val="003527F7"/>
    <w:rsid w:val="003529B7"/>
    <w:rsid w:val="00352A11"/>
    <w:rsid w:val="00352BA9"/>
    <w:rsid w:val="00352BEC"/>
    <w:rsid w:val="00352C89"/>
    <w:rsid w:val="00352C8D"/>
    <w:rsid w:val="00352CA2"/>
    <w:rsid w:val="00352D66"/>
    <w:rsid w:val="0035300F"/>
    <w:rsid w:val="00353278"/>
    <w:rsid w:val="003532F3"/>
    <w:rsid w:val="00353472"/>
    <w:rsid w:val="003538F9"/>
    <w:rsid w:val="00353BC8"/>
    <w:rsid w:val="00353EB2"/>
    <w:rsid w:val="00354087"/>
    <w:rsid w:val="003540A8"/>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3D6"/>
    <w:rsid w:val="003573E3"/>
    <w:rsid w:val="003574FC"/>
    <w:rsid w:val="00357647"/>
    <w:rsid w:val="00357757"/>
    <w:rsid w:val="0035781A"/>
    <w:rsid w:val="00357AA7"/>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5A7"/>
    <w:rsid w:val="003625B9"/>
    <w:rsid w:val="00362B60"/>
    <w:rsid w:val="00362C52"/>
    <w:rsid w:val="00362F87"/>
    <w:rsid w:val="00362FA9"/>
    <w:rsid w:val="003633A3"/>
    <w:rsid w:val="003633F5"/>
    <w:rsid w:val="0036369C"/>
    <w:rsid w:val="0036398B"/>
    <w:rsid w:val="00363CB9"/>
    <w:rsid w:val="00363CBC"/>
    <w:rsid w:val="00363DB6"/>
    <w:rsid w:val="00364341"/>
    <w:rsid w:val="00364955"/>
    <w:rsid w:val="003649C0"/>
    <w:rsid w:val="00364A48"/>
    <w:rsid w:val="00364C47"/>
    <w:rsid w:val="00364E9D"/>
    <w:rsid w:val="00365521"/>
    <w:rsid w:val="0036562D"/>
    <w:rsid w:val="00365697"/>
    <w:rsid w:val="003658FD"/>
    <w:rsid w:val="003659BF"/>
    <w:rsid w:val="00365EFD"/>
    <w:rsid w:val="003661FA"/>
    <w:rsid w:val="0036626A"/>
    <w:rsid w:val="003664DB"/>
    <w:rsid w:val="0036672B"/>
    <w:rsid w:val="00366B2E"/>
    <w:rsid w:val="00366D04"/>
    <w:rsid w:val="00367480"/>
    <w:rsid w:val="003674F3"/>
    <w:rsid w:val="003675F0"/>
    <w:rsid w:val="0036764F"/>
    <w:rsid w:val="0036767A"/>
    <w:rsid w:val="00367A6A"/>
    <w:rsid w:val="00367D42"/>
    <w:rsid w:val="00367E8C"/>
    <w:rsid w:val="00367FDB"/>
    <w:rsid w:val="00370294"/>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3066"/>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5A9"/>
    <w:rsid w:val="00374710"/>
    <w:rsid w:val="00374932"/>
    <w:rsid w:val="00374BCA"/>
    <w:rsid w:val="00374C9C"/>
    <w:rsid w:val="003751F1"/>
    <w:rsid w:val="00375330"/>
    <w:rsid w:val="00375372"/>
    <w:rsid w:val="003755B5"/>
    <w:rsid w:val="0037573E"/>
    <w:rsid w:val="00375796"/>
    <w:rsid w:val="003757E6"/>
    <w:rsid w:val="00375A31"/>
    <w:rsid w:val="00375FA7"/>
    <w:rsid w:val="0037604F"/>
    <w:rsid w:val="00376121"/>
    <w:rsid w:val="003763BC"/>
    <w:rsid w:val="003765A4"/>
    <w:rsid w:val="0037671E"/>
    <w:rsid w:val="003769FC"/>
    <w:rsid w:val="00376EA0"/>
    <w:rsid w:val="00376FB9"/>
    <w:rsid w:val="003771D3"/>
    <w:rsid w:val="00377249"/>
    <w:rsid w:val="003776C1"/>
    <w:rsid w:val="0037788C"/>
    <w:rsid w:val="00377B28"/>
    <w:rsid w:val="00377CE7"/>
    <w:rsid w:val="00377D7B"/>
    <w:rsid w:val="00377E4B"/>
    <w:rsid w:val="003801EA"/>
    <w:rsid w:val="0038021F"/>
    <w:rsid w:val="003802C6"/>
    <w:rsid w:val="0038051E"/>
    <w:rsid w:val="003807D4"/>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EDE"/>
    <w:rsid w:val="003833F9"/>
    <w:rsid w:val="00383A74"/>
    <w:rsid w:val="00383EB1"/>
    <w:rsid w:val="00383ED9"/>
    <w:rsid w:val="00383FC9"/>
    <w:rsid w:val="00383FDC"/>
    <w:rsid w:val="00384152"/>
    <w:rsid w:val="0038429A"/>
    <w:rsid w:val="003842B0"/>
    <w:rsid w:val="003846E0"/>
    <w:rsid w:val="003847CA"/>
    <w:rsid w:val="00384922"/>
    <w:rsid w:val="00384A9E"/>
    <w:rsid w:val="00384B82"/>
    <w:rsid w:val="00384BFB"/>
    <w:rsid w:val="00384C67"/>
    <w:rsid w:val="00384D0F"/>
    <w:rsid w:val="00384E2D"/>
    <w:rsid w:val="00384FA8"/>
    <w:rsid w:val="00384FFE"/>
    <w:rsid w:val="003851FE"/>
    <w:rsid w:val="00385433"/>
    <w:rsid w:val="003857FD"/>
    <w:rsid w:val="0038588D"/>
    <w:rsid w:val="00385996"/>
    <w:rsid w:val="003859C8"/>
    <w:rsid w:val="00385B7E"/>
    <w:rsid w:val="00385BA9"/>
    <w:rsid w:val="00385D4D"/>
    <w:rsid w:val="00385E8A"/>
    <w:rsid w:val="00385FC8"/>
    <w:rsid w:val="003861A4"/>
    <w:rsid w:val="00386427"/>
    <w:rsid w:val="00386761"/>
    <w:rsid w:val="00386ABC"/>
    <w:rsid w:val="00386B99"/>
    <w:rsid w:val="00386C2F"/>
    <w:rsid w:val="00386E3B"/>
    <w:rsid w:val="00386ECD"/>
    <w:rsid w:val="00386FF7"/>
    <w:rsid w:val="00387167"/>
    <w:rsid w:val="00387580"/>
    <w:rsid w:val="003875E3"/>
    <w:rsid w:val="003878EF"/>
    <w:rsid w:val="00387A1E"/>
    <w:rsid w:val="00387A6A"/>
    <w:rsid w:val="00390236"/>
    <w:rsid w:val="00390430"/>
    <w:rsid w:val="00390477"/>
    <w:rsid w:val="003905C5"/>
    <w:rsid w:val="00390824"/>
    <w:rsid w:val="00390A02"/>
    <w:rsid w:val="00390A62"/>
    <w:rsid w:val="00390B39"/>
    <w:rsid w:val="00390E2E"/>
    <w:rsid w:val="00391001"/>
    <w:rsid w:val="003911F1"/>
    <w:rsid w:val="003917A1"/>
    <w:rsid w:val="00391871"/>
    <w:rsid w:val="00391D30"/>
    <w:rsid w:val="00391E51"/>
    <w:rsid w:val="00391EAB"/>
    <w:rsid w:val="00391EC6"/>
    <w:rsid w:val="00391F9B"/>
    <w:rsid w:val="003924C2"/>
    <w:rsid w:val="003924C8"/>
    <w:rsid w:val="003929CC"/>
    <w:rsid w:val="00392A89"/>
    <w:rsid w:val="00392C56"/>
    <w:rsid w:val="0039329F"/>
    <w:rsid w:val="0039387D"/>
    <w:rsid w:val="003939C2"/>
    <w:rsid w:val="00393A7F"/>
    <w:rsid w:val="00393AE3"/>
    <w:rsid w:val="00393F7B"/>
    <w:rsid w:val="0039451F"/>
    <w:rsid w:val="003948CE"/>
    <w:rsid w:val="00394A38"/>
    <w:rsid w:val="00394C5E"/>
    <w:rsid w:val="00394C5F"/>
    <w:rsid w:val="00394F0B"/>
    <w:rsid w:val="00395500"/>
    <w:rsid w:val="0039568C"/>
    <w:rsid w:val="003956F1"/>
    <w:rsid w:val="00395A73"/>
    <w:rsid w:val="00395BBF"/>
    <w:rsid w:val="00395C47"/>
    <w:rsid w:val="00395C89"/>
    <w:rsid w:val="00395D64"/>
    <w:rsid w:val="00395E83"/>
    <w:rsid w:val="00395FAE"/>
    <w:rsid w:val="00396147"/>
    <w:rsid w:val="00396437"/>
    <w:rsid w:val="00396479"/>
    <w:rsid w:val="00396597"/>
    <w:rsid w:val="0039661A"/>
    <w:rsid w:val="0039661C"/>
    <w:rsid w:val="00396819"/>
    <w:rsid w:val="003969B0"/>
    <w:rsid w:val="00396A41"/>
    <w:rsid w:val="00396AA5"/>
    <w:rsid w:val="00396CCE"/>
    <w:rsid w:val="00396D2B"/>
    <w:rsid w:val="00396D87"/>
    <w:rsid w:val="0039723A"/>
    <w:rsid w:val="003972B9"/>
    <w:rsid w:val="0039730E"/>
    <w:rsid w:val="003974F5"/>
    <w:rsid w:val="00397764"/>
    <w:rsid w:val="00397853"/>
    <w:rsid w:val="00397BFC"/>
    <w:rsid w:val="003A02EA"/>
    <w:rsid w:val="003A03B6"/>
    <w:rsid w:val="003A081A"/>
    <w:rsid w:val="003A08DA"/>
    <w:rsid w:val="003A0913"/>
    <w:rsid w:val="003A0BF2"/>
    <w:rsid w:val="003A0D90"/>
    <w:rsid w:val="003A0EC6"/>
    <w:rsid w:val="003A1128"/>
    <w:rsid w:val="003A1342"/>
    <w:rsid w:val="003A1488"/>
    <w:rsid w:val="003A1503"/>
    <w:rsid w:val="003A1640"/>
    <w:rsid w:val="003A1745"/>
    <w:rsid w:val="003A1BD6"/>
    <w:rsid w:val="003A1EDF"/>
    <w:rsid w:val="003A204B"/>
    <w:rsid w:val="003A22CB"/>
    <w:rsid w:val="003A24C7"/>
    <w:rsid w:val="003A24F4"/>
    <w:rsid w:val="003A26AA"/>
    <w:rsid w:val="003A2A3E"/>
    <w:rsid w:val="003A2B0D"/>
    <w:rsid w:val="003A2CA4"/>
    <w:rsid w:val="003A312F"/>
    <w:rsid w:val="003A32CF"/>
    <w:rsid w:val="003A330F"/>
    <w:rsid w:val="003A3737"/>
    <w:rsid w:val="003A37C2"/>
    <w:rsid w:val="003A3888"/>
    <w:rsid w:val="003A3A3F"/>
    <w:rsid w:val="003A3AB8"/>
    <w:rsid w:val="003A3B15"/>
    <w:rsid w:val="003A412F"/>
    <w:rsid w:val="003A425D"/>
    <w:rsid w:val="003A42BE"/>
    <w:rsid w:val="003A470A"/>
    <w:rsid w:val="003A48E8"/>
    <w:rsid w:val="003A49DB"/>
    <w:rsid w:val="003A49E9"/>
    <w:rsid w:val="003A4B13"/>
    <w:rsid w:val="003A4D39"/>
    <w:rsid w:val="003A4D6D"/>
    <w:rsid w:val="003A4F47"/>
    <w:rsid w:val="003A5059"/>
    <w:rsid w:val="003A50E2"/>
    <w:rsid w:val="003A522F"/>
    <w:rsid w:val="003A52F9"/>
    <w:rsid w:val="003A5468"/>
    <w:rsid w:val="003A547F"/>
    <w:rsid w:val="003A5679"/>
    <w:rsid w:val="003A5745"/>
    <w:rsid w:val="003A58CE"/>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85E"/>
    <w:rsid w:val="003A7AF5"/>
    <w:rsid w:val="003A7FFC"/>
    <w:rsid w:val="003B0097"/>
    <w:rsid w:val="003B00BB"/>
    <w:rsid w:val="003B02AF"/>
    <w:rsid w:val="003B047C"/>
    <w:rsid w:val="003B05FA"/>
    <w:rsid w:val="003B0C41"/>
    <w:rsid w:val="003B114F"/>
    <w:rsid w:val="003B178C"/>
    <w:rsid w:val="003B19B6"/>
    <w:rsid w:val="003B1A97"/>
    <w:rsid w:val="003B2043"/>
    <w:rsid w:val="003B24BC"/>
    <w:rsid w:val="003B2558"/>
    <w:rsid w:val="003B268E"/>
    <w:rsid w:val="003B278A"/>
    <w:rsid w:val="003B27E9"/>
    <w:rsid w:val="003B2927"/>
    <w:rsid w:val="003B2981"/>
    <w:rsid w:val="003B2C76"/>
    <w:rsid w:val="003B2EDB"/>
    <w:rsid w:val="003B3152"/>
    <w:rsid w:val="003B3227"/>
    <w:rsid w:val="003B32B2"/>
    <w:rsid w:val="003B33BE"/>
    <w:rsid w:val="003B3861"/>
    <w:rsid w:val="003B3B3B"/>
    <w:rsid w:val="003B3E22"/>
    <w:rsid w:val="003B40B7"/>
    <w:rsid w:val="003B40EF"/>
    <w:rsid w:val="003B41C2"/>
    <w:rsid w:val="003B4720"/>
    <w:rsid w:val="003B4754"/>
    <w:rsid w:val="003B4769"/>
    <w:rsid w:val="003B4817"/>
    <w:rsid w:val="003B48BD"/>
    <w:rsid w:val="003B4F6C"/>
    <w:rsid w:val="003B5074"/>
    <w:rsid w:val="003B50E4"/>
    <w:rsid w:val="003B5420"/>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AC"/>
    <w:rsid w:val="003C0B24"/>
    <w:rsid w:val="003C0C72"/>
    <w:rsid w:val="003C0D95"/>
    <w:rsid w:val="003C10D2"/>
    <w:rsid w:val="003C1107"/>
    <w:rsid w:val="003C11EA"/>
    <w:rsid w:val="003C150D"/>
    <w:rsid w:val="003C1528"/>
    <w:rsid w:val="003C187D"/>
    <w:rsid w:val="003C188A"/>
    <w:rsid w:val="003C18FA"/>
    <w:rsid w:val="003C1AFC"/>
    <w:rsid w:val="003C1F3D"/>
    <w:rsid w:val="003C209E"/>
    <w:rsid w:val="003C259F"/>
    <w:rsid w:val="003C266A"/>
    <w:rsid w:val="003C2837"/>
    <w:rsid w:val="003C2A04"/>
    <w:rsid w:val="003C2AB1"/>
    <w:rsid w:val="003C2EAF"/>
    <w:rsid w:val="003C2F5B"/>
    <w:rsid w:val="003C314E"/>
    <w:rsid w:val="003C3211"/>
    <w:rsid w:val="003C3713"/>
    <w:rsid w:val="003C3CE0"/>
    <w:rsid w:val="003C3EEE"/>
    <w:rsid w:val="003C431C"/>
    <w:rsid w:val="003C444D"/>
    <w:rsid w:val="003C4512"/>
    <w:rsid w:val="003C480D"/>
    <w:rsid w:val="003C4919"/>
    <w:rsid w:val="003C4B63"/>
    <w:rsid w:val="003C4BCE"/>
    <w:rsid w:val="003C4BE8"/>
    <w:rsid w:val="003C4C35"/>
    <w:rsid w:val="003C4CE8"/>
    <w:rsid w:val="003C50C1"/>
    <w:rsid w:val="003C5234"/>
    <w:rsid w:val="003C5327"/>
    <w:rsid w:val="003C536A"/>
    <w:rsid w:val="003C5377"/>
    <w:rsid w:val="003C56D8"/>
    <w:rsid w:val="003C58C6"/>
    <w:rsid w:val="003C597C"/>
    <w:rsid w:val="003C599E"/>
    <w:rsid w:val="003C5B89"/>
    <w:rsid w:val="003C5D3F"/>
    <w:rsid w:val="003C5E17"/>
    <w:rsid w:val="003C6459"/>
    <w:rsid w:val="003C64B1"/>
    <w:rsid w:val="003C65BB"/>
    <w:rsid w:val="003C6852"/>
    <w:rsid w:val="003C68BB"/>
    <w:rsid w:val="003C68D8"/>
    <w:rsid w:val="003C68D9"/>
    <w:rsid w:val="003C6C01"/>
    <w:rsid w:val="003C702B"/>
    <w:rsid w:val="003C7118"/>
    <w:rsid w:val="003C71F1"/>
    <w:rsid w:val="003C73C3"/>
    <w:rsid w:val="003C7545"/>
    <w:rsid w:val="003C76D8"/>
    <w:rsid w:val="003C7722"/>
    <w:rsid w:val="003C7736"/>
    <w:rsid w:val="003C7AD0"/>
    <w:rsid w:val="003C7C8A"/>
    <w:rsid w:val="003C7E28"/>
    <w:rsid w:val="003C7E32"/>
    <w:rsid w:val="003C7EE0"/>
    <w:rsid w:val="003C7F4E"/>
    <w:rsid w:val="003D040F"/>
    <w:rsid w:val="003D0468"/>
    <w:rsid w:val="003D060D"/>
    <w:rsid w:val="003D0648"/>
    <w:rsid w:val="003D0D05"/>
    <w:rsid w:val="003D0F90"/>
    <w:rsid w:val="003D121E"/>
    <w:rsid w:val="003D152B"/>
    <w:rsid w:val="003D174C"/>
    <w:rsid w:val="003D1758"/>
    <w:rsid w:val="003D19A4"/>
    <w:rsid w:val="003D1C00"/>
    <w:rsid w:val="003D1EEC"/>
    <w:rsid w:val="003D1FD2"/>
    <w:rsid w:val="003D2204"/>
    <w:rsid w:val="003D22A7"/>
    <w:rsid w:val="003D2529"/>
    <w:rsid w:val="003D26CE"/>
    <w:rsid w:val="003D2869"/>
    <w:rsid w:val="003D28F9"/>
    <w:rsid w:val="003D2C85"/>
    <w:rsid w:val="003D2E23"/>
    <w:rsid w:val="003D2E61"/>
    <w:rsid w:val="003D357C"/>
    <w:rsid w:val="003D35C0"/>
    <w:rsid w:val="003D3836"/>
    <w:rsid w:val="003D389C"/>
    <w:rsid w:val="003D3B54"/>
    <w:rsid w:val="003D402A"/>
    <w:rsid w:val="003D4439"/>
    <w:rsid w:val="003D470F"/>
    <w:rsid w:val="003D4730"/>
    <w:rsid w:val="003D4920"/>
    <w:rsid w:val="003D4AE6"/>
    <w:rsid w:val="003D4AF9"/>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6FB"/>
    <w:rsid w:val="003D68EF"/>
    <w:rsid w:val="003D6923"/>
    <w:rsid w:val="003D69E8"/>
    <w:rsid w:val="003D6A7A"/>
    <w:rsid w:val="003D6AE5"/>
    <w:rsid w:val="003D6E6D"/>
    <w:rsid w:val="003D6FAA"/>
    <w:rsid w:val="003D728B"/>
    <w:rsid w:val="003D72D0"/>
    <w:rsid w:val="003D78AF"/>
    <w:rsid w:val="003D7977"/>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844"/>
    <w:rsid w:val="003E2BE5"/>
    <w:rsid w:val="003E2CA2"/>
    <w:rsid w:val="003E30B9"/>
    <w:rsid w:val="003E3291"/>
    <w:rsid w:val="003E342A"/>
    <w:rsid w:val="003E36D2"/>
    <w:rsid w:val="003E3704"/>
    <w:rsid w:val="003E386F"/>
    <w:rsid w:val="003E38FD"/>
    <w:rsid w:val="003E392B"/>
    <w:rsid w:val="003E3944"/>
    <w:rsid w:val="003E3A3F"/>
    <w:rsid w:val="003E3C3B"/>
    <w:rsid w:val="003E4091"/>
    <w:rsid w:val="003E4361"/>
    <w:rsid w:val="003E43C0"/>
    <w:rsid w:val="003E43DD"/>
    <w:rsid w:val="003E4521"/>
    <w:rsid w:val="003E4D5B"/>
    <w:rsid w:val="003E4DE0"/>
    <w:rsid w:val="003E5002"/>
    <w:rsid w:val="003E532B"/>
    <w:rsid w:val="003E5362"/>
    <w:rsid w:val="003E536C"/>
    <w:rsid w:val="003E54FB"/>
    <w:rsid w:val="003E5702"/>
    <w:rsid w:val="003E57DB"/>
    <w:rsid w:val="003E589C"/>
    <w:rsid w:val="003E5E7A"/>
    <w:rsid w:val="003E6169"/>
    <w:rsid w:val="003E620B"/>
    <w:rsid w:val="003E6634"/>
    <w:rsid w:val="003E6914"/>
    <w:rsid w:val="003E6E18"/>
    <w:rsid w:val="003E70D2"/>
    <w:rsid w:val="003E71B2"/>
    <w:rsid w:val="003E743C"/>
    <w:rsid w:val="003E74FE"/>
    <w:rsid w:val="003E76CB"/>
    <w:rsid w:val="003E779A"/>
    <w:rsid w:val="003E7929"/>
    <w:rsid w:val="003E7A6F"/>
    <w:rsid w:val="003E7B81"/>
    <w:rsid w:val="003E7CBD"/>
    <w:rsid w:val="003E7DFA"/>
    <w:rsid w:val="003E7F83"/>
    <w:rsid w:val="003F00CC"/>
    <w:rsid w:val="003F01C6"/>
    <w:rsid w:val="003F0551"/>
    <w:rsid w:val="003F0729"/>
    <w:rsid w:val="003F07B1"/>
    <w:rsid w:val="003F07D1"/>
    <w:rsid w:val="003F0930"/>
    <w:rsid w:val="003F0BF6"/>
    <w:rsid w:val="003F1504"/>
    <w:rsid w:val="003F1527"/>
    <w:rsid w:val="003F1592"/>
    <w:rsid w:val="003F175F"/>
    <w:rsid w:val="003F1B1D"/>
    <w:rsid w:val="003F1C61"/>
    <w:rsid w:val="003F1CE1"/>
    <w:rsid w:val="003F201B"/>
    <w:rsid w:val="003F21A6"/>
    <w:rsid w:val="003F21EA"/>
    <w:rsid w:val="003F25FA"/>
    <w:rsid w:val="003F2721"/>
    <w:rsid w:val="003F2730"/>
    <w:rsid w:val="003F285E"/>
    <w:rsid w:val="003F289A"/>
    <w:rsid w:val="003F2C49"/>
    <w:rsid w:val="003F2C81"/>
    <w:rsid w:val="003F3522"/>
    <w:rsid w:val="003F3627"/>
    <w:rsid w:val="003F37D3"/>
    <w:rsid w:val="003F37E1"/>
    <w:rsid w:val="003F38B8"/>
    <w:rsid w:val="003F391E"/>
    <w:rsid w:val="003F3A7C"/>
    <w:rsid w:val="003F3BC6"/>
    <w:rsid w:val="003F3E8A"/>
    <w:rsid w:val="003F4141"/>
    <w:rsid w:val="003F4588"/>
    <w:rsid w:val="003F4794"/>
    <w:rsid w:val="003F4913"/>
    <w:rsid w:val="003F4AD0"/>
    <w:rsid w:val="003F4B37"/>
    <w:rsid w:val="003F4B3B"/>
    <w:rsid w:val="003F4EE1"/>
    <w:rsid w:val="003F5062"/>
    <w:rsid w:val="003F52F1"/>
    <w:rsid w:val="003F5391"/>
    <w:rsid w:val="003F55F1"/>
    <w:rsid w:val="003F5A4A"/>
    <w:rsid w:val="003F5AA8"/>
    <w:rsid w:val="003F5C6A"/>
    <w:rsid w:val="003F6061"/>
    <w:rsid w:val="003F638D"/>
    <w:rsid w:val="003F6452"/>
    <w:rsid w:val="003F664A"/>
    <w:rsid w:val="003F66D9"/>
    <w:rsid w:val="003F6759"/>
    <w:rsid w:val="003F699C"/>
    <w:rsid w:val="003F69A0"/>
    <w:rsid w:val="003F6AA9"/>
    <w:rsid w:val="003F6AC9"/>
    <w:rsid w:val="003F6C84"/>
    <w:rsid w:val="003F6DE0"/>
    <w:rsid w:val="003F7010"/>
    <w:rsid w:val="003F70FA"/>
    <w:rsid w:val="003F7153"/>
    <w:rsid w:val="003F71D2"/>
    <w:rsid w:val="003F7445"/>
    <w:rsid w:val="003F751F"/>
    <w:rsid w:val="003F763E"/>
    <w:rsid w:val="003F798C"/>
    <w:rsid w:val="00400055"/>
    <w:rsid w:val="0040011E"/>
    <w:rsid w:val="00400208"/>
    <w:rsid w:val="0040025B"/>
    <w:rsid w:val="00400315"/>
    <w:rsid w:val="00400455"/>
    <w:rsid w:val="00400470"/>
    <w:rsid w:val="0040055C"/>
    <w:rsid w:val="00400728"/>
    <w:rsid w:val="00400BC8"/>
    <w:rsid w:val="00400D26"/>
    <w:rsid w:val="00400F85"/>
    <w:rsid w:val="00400FE5"/>
    <w:rsid w:val="004010F2"/>
    <w:rsid w:val="004012EB"/>
    <w:rsid w:val="00401326"/>
    <w:rsid w:val="004013B0"/>
    <w:rsid w:val="00401711"/>
    <w:rsid w:val="00401A39"/>
    <w:rsid w:val="00401E74"/>
    <w:rsid w:val="00401F1D"/>
    <w:rsid w:val="00402197"/>
    <w:rsid w:val="004021C0"/>
    <w:rsid w:val="00402486"/>
    <w:rsid w:val="00402516"/>
    <w:rsid w:val="0040266A"/>
    <w:rsid w:val="00402726"/>
    <w:rsid w:val="004027E6"/>
    <w:rsid w:val="00402838"/>
    <w:rsid w:val="004028FB"/>
    <w:rsid w:val="004029AE"/>
    <w:rsid w:val="00402A14"/>
    <w:rsid w:val="00402A27"/>
    <w:rsid w:val="00402A5D"/>
    <w:rsid w:val="00402BA7"/>
    <w:rsid w:val="00402E9B"/>
    <w:rsid w:val="00403133"/>
    <w:rsid w:val="004031AC"/>
    <w:rsid w:val="00403370"/>
    <w:rsid w:val="00403806"/>
    <w:rsid w:val="004038CE"/>
    <w:rsid w:val="00403B10"/>
    <w:rsid w:val="00403BB4"/>
    <w:rsid w:val="00403BBF"/>
    <w:rsid w:val="00404156"/>
    <w:rsid w:val="00404172"/>
    <w:rsid w:val="00404A9D"/>
    <w:rsid w:val="00404B68"/>
    <w:rsid w:val="00404B8F"/>
    <w:rsid w:val="00404FC4"/>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EFB"/>
    <w:rsid w:val="00406F6C"/>
    <w:rsid w:val="00407034"/>
    <w:rsid w:val="0040708B"/>
    <w:rsid w:val="00407098"/>
    <w:rsid w:val="004074BB"/>
    <w:rsid w:val="004076D9"/>
    <w:rsid w:val="00407A20"/>
    <w:rsid w:val="00407A9D"/>
    <w:rsid w:val="00407BC1"/>
    <w:rsid w:val="00407C52"/>
    <w:rsid w:val="00407EB2"/>
    <w:rsid w:val="00407ED7"/>
    <w:rsid w:val="004101FD"/>
    <w:rsid w:val="0041033B"/>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5B8"/>
    <w:rsid w:val="0041361B"/>
    <w:rsid w:val="0041369E"/>
    <w:rsid w:val="004139E3"/>
    <w:rsid w:val="00413CF3"/>
    <w:rsid w:val="00414138"/>
    <w:rsid w:val="004141D5"/>
    <w:rsid w:val="00414295"/>
    <w:rsid w:val="00414377"/>
    <w:rsid w:val="004143F3"/>
    <w:rsid w:val="004144DB"/>
    <w:rsid w:val="0041459A"/>
    <w:rsid w:val="00414777"/>
    <w:rsid w:val="004148A2"/>
    <w:rsid w:val="00414A10"/>
    <w:rsid w:val="00414A65"/>
    <w:rsid w:val="00414B67"/>
    <w:rsid w:val="00414C74"/>
    <w:rsid w:val="00414DE0"/>
    <w:rsid w:val="00414E46"/>
    <w:rsid w:val="00414FA8"/>
    <w:rsid w:val="0041508C"/>
    <w:rsid w:val="004150DF"/>
    <w:rsid w:val="0041525B"/>
    <w:rsid w:val="00415562"/>
    <w:rsid w:val="004155AB"/>
    <w:rsid w:val="0041588F"/>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78C"/>
    <w:rsid w:val="00417A65"/>
    <w:rsid w:val="00417AFD"/>
    <w:rsid w:val="00417B0B"/>
    <w:rsid w:val="00417B5D"/>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31A"/>
    <w:rsid w:val="004224A0"/>
    <w:rsid w:val="0042256B"/>
    <w:rsid w:val="0042279A"/>
    <w:rsid w:val="004228C4"/>
    <w:rsid w:val="00422A88"/>
    <w:rsid w:val="00422C01"/>
    <w:rsid w:val="00422D4D"/>
    <w:rsid w:val="00422D64"/>
    <w:rsid w:val="00422DE9"/>
    <w:rsid w:val="00422E16"/>
    <w:rsid w:val="00422EB6"/>
    <w:rsid w:val="00423006"/>
    <w:rsid w:val="00423417"/>
    <w:rsid w:val="004237B7"/>
    <w:rsid w:val="0042381C"/>
    <w:rsid w:val="004238A0"/>
    <w:rsid w:val="00423B8C"/>
    <w:rsid w:val="00423F27"/>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DB"/>
    <w:rsid w:val="00425DE9"/>
    <w:rsid w:val="00425E16"/>
    <w:rsid w:val="0042642E"/>
    <w:rsid w:val="004264BE"/>
    <w:rsid w:val="00426C05"/>
    <w:rsid w:val="00426F5A"/>
    <w:rsid w:val="00426FF6"/>
    <w:rsid w:val="00427109"/>
    <w:rsid w:val="00427267"/>
    <w:rsid w:val="00427936"/>
    <w:rsid w:val="00427A16"/>
    <w:rsid w:val="00427C85"/>
    <w:rsid w:val="00427D68"/>
    <w:rsid w:val="00427F76"/>
    <w:rsid w:val="004302A8"/>
    <w:rsid w:val="00430499"/>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E31"/>
    <w:rsid w:val="00431FBF"/>
    <w:rsid w:val="00432066"/>
    <w:rsid w:val="0043225E"/>
    <w:rsid w:val="00432360"/>
    <w:rsid w:val="0043260A"/>
    <w:rsid w:val="0043261E"/>
    <w:rsid w:val="0043286C"/>
    <w:rsid w:val="00432BFD"/>
    <w:rsid w:val="00432E06"/>
    <w:rsid w:val="00432E0D"/>
    <w:rsid w:val="00433124"/>
    <w:rsid w:val="0043313C"/>
    <w:rsid w:val="004333A2"/>
    <w:rsid w:val="004333EE"/>
    <w:rsid w:val="0043341F"/>
    <w:rsid w:val="00433426"/>
    <w:rsid w:val="004334A9"/>
    <w:rsid w:val="00433562"/>
    <w:rsid w:val="00433C89"/>
    <w:rsid w:val="00433D3B"/>
    <w:rsid w:val="00433D40"/>
    <w:rsid w:val="00433EE7"/>
    <w:rsid w:val="00434135"/>
    <w:rsid w:val="00434480"/>
    <w:rsid w:val="00434535"/>
    <w:rsid w:val="004347F6"/>
    <w:rsid w:val="00434988"/>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C8"/>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BC4"/>
    <w:rsid w:val="00441CC3"/>
    <w:rsid w:val="00441D38"/>
    <w:rsid w:val="00442049"/>
    <w:rsid w:val="0044227B"/>
    <w:rsid w:val="00442AD1"/>
    <w:rsid w:val="00442B70"/>
    <w:rsid w:val="00442E43"/>
    <w:rsid w:val="00442E55"/>
    <w:rsid w:val="00442FF3"/>
    <w:rsid w:val="004431B4"/>
    <w:rsid w:val="004431F7"/>
    <w:rsid w:val="00443406"/>
    <w:rsid w:val="00443AFC"/>
    <w:rsid w:val="00443C7F"/>
    <w:rsid w:val="00443EA1"/>
    <w:rsid w:val="00443F98"/>
    <w:rsid w:val="004441F9"/>
    <w:rsid w:val="00444713"/>
    <w:rsid w:val="0044486C"/>
    <w:rsid w:val="004449B9"/>
    <w:rsid w:val="00444D8D"/>
    <w:rsid w:val="00444F08"/>
    <w:rsid w:val="00445276"/>
    <w:rsid w:val="004452E4"/>
    <w:rsid w:val="004454B4"/>
    <w:rsid w:val="00445700"/>
    <w:rsid w:val="00445906"/>
    <w:rsid w:val="004459B0"/>
    <w:rsid w:val="00445C6A"/>
    <w:rsid w:val="00446492"/>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0F71"/>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D94"/>
    <w:rsid w:val="00452DBE"/>
    <w:rsid w:val="00452E54"/>
    <w:rsid w:val="004531B0"/>
    <w:rsid w:val="004532DF"/>
    <w:rsid w:val="0045335E"/>
    <w:rsid w:val="00453616"/>
    <w:rsid w:val="00453700"/>
    <w:rsid w:val="00453A02"/>
    <w:rsid w:val="00453C57"/>
    <w:rsid w:val="00453FCB"/>
    <w:rsid w:val="0045431E"/>
    <w:rsid w:val="00454343"/>
    <w:rsid w:val="00454602"/>
    <w:rsid w:val="00454779"/>
    <w:rsid w:val="0045485E"/>
    <w:rsid w:val="00454A2C"/>
    <w:rsid w:val="00454A8C"/>
    <w:rsid w:val="00454DCF"/>
    <w:rsid w:val="00454FE1"/>
    <w:rsid w:val="00455209"/>
    <w:rsid w:val="0045533F"/>
    <w:rsid w:val="00455780"/>
    <w:rsid w:val="0045598B"/>
    <w:rsid w:val="00455AE7"/>
    <w:rsid w:val="00455DFA"/>
    <w:rsid w:val="004560D1"/>
    <w:rsid w:val="004561BD"/>
    <w:rsid w:val="004561FB"/>
    <w:rsid w:val="00456247"/>
    <w:rsid w:val="0045676B"/>
    <w:rsid w:val="004569FA"/>
    <w:rsid w:val="00456B4E"/>
    <w:rsid w:val="00456DAA"/>
    <w:rsid w:val="00456F96"/>
    <w:rsid w:val="00457194"/>
    <w:rsid w:val="004571D6"/>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10B1"/>
    <w:rsid w:val="00461430"/>
    <w:rsid w:val="004614D1"/>
    <w:rsid w:val="0046158F"/>
    <w:rsid w:val="0046163C"/>
    <w:rsid w:val="0046185F"/>
    <w:rsid w:val="004618CD"/>
    <w:rsid w:val="004619FC"/>
    <w:rsid w:val="00461BC4"/>
    <w:rsid w:val="00461C9B"/>
    <w:rsid w:val="00461DCA"/>
    <w:rsid w:val="00461E64"/>
    <w:rsid w:val="00462040"/>
    <w:rsid w:val="004626D1"/>
    <w:rsid w:val="004626D9"/>
    <w:rsid w:val="004626EF"/>
    <w:rsid w:val="004627FD"/>
    <w:rsid w:val="00462A87"/>
    <w:rsid w:val="00462B49"/>
    <w:rsid w:val="00462B5A"/>
    <w:rsid w:val="00462F65"/>
    <w:rsid w:val="004631EF"/>
    <w:rsid w:val="004632E6"/>
    <w:rsid w:val="0046348E"/>
    <w:rsid w:val="00463496"/>
    <w:rsid w:val="0046354F"/>
    <w:rsid w:val="004635A2"/>
    <w:rsid w:val="004636A1"/>
    <w:rsid w:val="00463C5D"/>
    <w:rsid w:val="00463DF6"/>
    <w:rsid w:val="00463E4B"/>
    <w:rsid w:val="0046401E"/>
    <w:rsid w:val="0046444F"/>
    <w:rsid w:val="00464609"/>
    <w:rsid w:val="004647A0"/>
    <w:rsid w:val="00464890"/>
    <w:rsid w:val="00464BE4"/>
    <w:rsid w:val="00464CD6"/>
    <w:rsid w:val="00464E31"/>
    <w:rsid w:val="00464FA2"/>
    <w:rsid w:val="00465337"/>
    <w:rsid w:val="004653A1"/>
    <w:rsid w:val="004655FD"/>
    <w:rsid w:val="00465B0D"/>
    <w:rsid w:val="00465CF6"/>
    <w:rsid w:val="00465DC6"/>
    <w:rsid w:val="00465E54"/>
    <w:rsid w:val="00466309"/>
    <w:rsid w:val="004664B8"/>
    <w:rsid w:val="0046692E"/>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E07"/>
    <w:rsid w:val="00471F74"/>
    <w:rsid w:val="004721E9"/>
    <w:rsid w:val="00472214"/>
    <w:rsid w:val="00472596"/>
    <w:rsid w:val="004727DD"/>
    <w:rsid w:val="00472860"/>
    <w:rsid w:val="0047297B"/>
    <w:rsid w:val="00472CE3"/>
    <w:rsid w:val="004731FD"/>
    <w:rsid w:val="00473270"/>
    <w:rsid w:val="004732F2"/>
    <w:rsid w:val="0047332A"/>
    <w:rsid w:val="004734DF"/>
    <w:rsid w:val="00473614"/>
    <w:rsid w:val="00473794"/>
    <w:rsid w:val="00473964"/>
    <w:rsid w:val="00473DD5"/>
    <w:rsid w:val="00474017"/>
    <w:rsid w:val="004740B0"/>
    <w:rsid w:val="004742D6"/>
    <w:rsid w:val="0047437E"/>
    <w:rsid w:val="0047442D"/>
    <w:rsid w:val="00474533"/>
    <w:rsid w:val="0047457E"/>
    <w:rsid w:val="00474B22"/>
    <w:rsid w:val="00474E51"/>
    <w:rsid w:val="00474FA4"/>
    <w:rsid w:val="00475020"/>
    <w:rsid w:val="004753C9"/>
    <w:rsid w:val="004756A9"/>
    <w:rsid w:val="00475871"/>
    <w:rsid w:val="00475B13"/>
    <w:rsid w:val="00475BE3"/>
    <w:rsid w:val="00475BF7"/>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817"/>
    <w:rsid w:val="00477A1F"/>
    <w:rsid w:val="00477A21"/>
    <w:rsid w:val="00477B90"/>
    <w:rsid w:val="00477E0E"/>
    <w:rsid w:val="00477FF5"/>
    <w:rsid w:val="0048018A"/>
    <w:rsid w:val="00480197"/>
    <w:rsid w:val="004801DD"/>
    <w:rsid w:val="0048047F"/>
    <w:rsid w:val="00480970"/>
    <w:rsid w:val="004809AF"/>
    <w:rsid w:val="00480D4C"/>
    <w:rsid w:val="00480FAB"/>
    <w:rsid w:val="0048107C"/>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404A"/>
    <w:rsid w:val="0048431C"/>
    <w:rsid w:val="00484577"/>
    <w:rsid w:val="0048467D"/>
    <w:rsid w:val="004848C2"/>
    <w:rsid w:val="00484937"/>
    <w:rsid w:val="00484A73"/>
    <w:rsid w:val="00484AD0"/>
    <w:rsid w:val="00485368"/>
    <w:rsid w:val="004853D2"/>
    <w:rsid w:val="0048544E"/>
    <w:rsid w:val="00485495"/>
    <w:rsid w:val="00485641"/>
    <w:rsid w:val="004856D4"/>
    <w:rsid w:val="0048588D"/>
    <w:rsid w:val="00485B18"/>
    <w:rsid w:val="00485B93"/>
    <w:rsid w:val="00485C6A"/>
    <w:rsid w:val="00485CF8"/>
    <w:rsid w:val="00485F1C"/>
    <w:rsid w:val="004860DF"/>
    <w:rsid w:val="004862DC"/>
    <w:rsid w:val="004863BE"/>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975"/>
    <w:rsid w:val="00490AC6"/>
    <w:rsid w:val="00490B40"/>
    <w:rsid w:val="00490C41"/>
    <w:rsid w:val="00490C9A"/>
    <w:rsid w:val="00490D4B"/>
    <w:rsid w:val="00490FBF"/>
    <w:rsid w:val="0049161E"/>
    <w:rsid w:val="004917EA"/>
    <w:rsid w:val="0049188A"/>
    <w:rsid w:val="004919B5"/>
    <w:rsid w:val="00491EB9"/>
    <w:rsid w:val="00492241"/>
    <w:rsid w:val="00492333"/>
    <w:rsid w:val="00492362"/>
    <w:rsid w:val="004924A8"/>
    <w:rsid w:val="00492630"/>
    <w:rsid w:val="00492B5E"/>
    <w:rsid w:val="00492B86"/>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0D"/>
    <w:rsid w:val="00493EF3"/>
    <w:rsid w:val="004940B5"/>
    <w:rsid w:val="00494106"/>
    <w:rsid w:val="004941DB"/>
    <w:rsid w:val="004942C6"/>
    <w:rsid w:val="0049450C"/>
    <w:rsid w:val="00494691"/>
    <w:rsid w:val="00494962"/>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583"/>
    <w:rsid w:val="004965B3"/>
    <w:rsid w:val="004967D7"/>
    <w:rsid w:val="0049695C"/>
    <w:rsid w:val="00496BD3"/>
    <w:rsid w:val="00496D2F"/>
    <w:rsid w:val="00496DF0"/>
    <w:rsid w:val="00496E37"/>
    <w:rsid w:val="00496E61"/>
    <w:rsid w:val="0049700F"/>
    <w:rsid w:val="0049701E"/>
    <w:rsid w:val="004970A8"/>
    <w:rsid w:val="00497186"/>
    <w:rsid w:val="004974BD"/>
    <w:rsid w:val="004975B5"/>
    <w:rsid w:val="004978E7"/>
    <w:rsid w:val="00497AC3"/>
    <w:rsid w:val="00497DDD"/>
    <w:rsid w:val="004A0088"/>
    <w:rsid w:val="004A019D"/>
    <w:rsid w:val="004A0266"/>
    <w:rsid w:val="004A04A1"/>
    <w:rsid w:val="004A054F"/>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4D8"/>
    <w:rsid w:val="004A3990"/>
    <w:rsid w:val="004A3FA3"/>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622"/>
    <w:rsid w:val="004A69CD"/>
    <w:rsid w:val="004A6CB2"/>
    <w:rsid w:val="004A6D51"/>
    <w:rsid w:val="004A6E0F"/>
    <w:rsid w:val="004A72B4"/>
    <w:rsid w:val="004A7789"/>
    <w:rsid w:val="004A7B3E"/>
    <w:rsid w:val="004A7F3E"/>
    <w:rsid w:val="004B009C"/>
    <w:rsid w:val="004B03DB"/>
    <w:rsid w:val="004B058A"/>
    <w:rsid w:val="004B05A3"/>
    <w:rsid w:val="004B068E"/>
    <w:rsid w:val="004B077A"/>
    <w:rsid w:val="004B08E0"/>
    <w:rsid w:val="004B09A5"/>
    <w:rsid w:val="004B0C90"/>
    <w:rsid w:val="004B0CB7"/>
    <w:rsid w:val="004B0E2E"/>
    <w:rsid w:val="004B0E63"/>
    <w:rsid w:val="004B0FF0"/>
    <w:rsid w:val="004B1133"/>
    <w:rsid w:val="004B11F0"/>
    <w:rsid w:val="004B1247"/>
    <w:rsid w:val="004B1292"/>
    <w:rsid w:val="004B12B7"/>
    <w:rsid w:val="004B1549"/>
    <w:rsid w:val="004B16BB"/>
    <w:rsid w:val="004B1AD5"/>
    <w:rsid w:val="004B1E78"/>
    <w:rsid w:val="004B230D"/>
    <w:rsid w:val="004B2427"/>
    <w:rsid w:val="004B2461"/>
    <w:rsid w:val="004B272F"/>
    <w:rsid w:val="004B27A0"/>
    <w:rsid w:val="004B28B8"/>
    <w:rsid w:val="004B2A32"/>
    <w:rsid w:val="004B2CC0"/>
    <w:rsid w:val="004B2EBA"/>
    <w:rsid w:val="004B3063"/>
    <w:rsid w:val="004B316F"/>
    <w:rsid w:val="004B37B3"/>
    <w:rsid w:val="004B3CEC"/>
    <w:rsid w:val="004B3ED7"/>
    <w:rsid w:val="004B423E"/>
    <w:rsid w:val="004B4261"/>
    <w:rsid w:val="004B4277"/>
    <w:rsid w:val="004B4353"/>
    <w:rsid w:val="004B43DA"/>
    <w:rsid w:val="004B443D"/>
    <w:rsid w:val="004B455C"/>
    <w:rsid w:val="004B46AB"/>
    <w:rsid w:val="004B46D8"/>
    <w:rsid w:val="004B4800"/>
    <w:rsid w:val="004B49E3"/>
    <w:rsid w:val="004B4B2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A9"/>
    <w:rsid w:val="004B5964"/>
    <w:rsid w:val="004B5EBB"/>
    <w:rsid w:val="004B5FB7"/>
    <w:rsid w:val="004B603B"/>
    <w:rsid w:val="004B6092"/>
    <w:rsid w:val="004B60C0"/>
    <w:rsid w:val="004B611A"/>
    <w:rsid w:val="004B6263"/>
    <w:rsid w:val="004B6499"/>
    <w:rsid w:val="004B6710"/>
    <w:rsid w:val="004B677F"/>
    <w:rsid w:val="004B68F0"/>
    <w:rsid w:val="004B68FF"/>
    <w:rsid w:val="004B6965"/>
    <w:rsid w:val="004B69BC"/>
    <w:rsid w:val="004B6B54"/>
    <w:rsid w:val="004B6CD9"/>
    <w:rsid w:val="004B6F52"/>
    <w:rsid w:val="004B7115"/>
    <w:rsid w:val="004B71D6"/>
    <w:rsid w:val="004B726B"/>
    <w:rsid w:val="004B75FB"/>
    <w:rsid w:val="004B7861"/>
    <w:rsid w:val="004B78A8"/>
    <w:rsid w:val="004B79D2"/>
    <w:rsid w:val="004B7E54"/>
    <w:rsid w:val="004B7EB0"/>
    <w:rsid w:val="004B7EFB"/>
    <w:rsid w:val="004C007C"/>
    <w:rsid w:val="004C0163"/>
    <w:rsid w:val="004C0274"/>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285"/>
    <w:rsid w:val="004C3370"/>
    <w:rsid w:val="004C38D0"/>
    <w:rsid w:val="004C3ABA"/>
    <w:rsid w:val="004C3C29"/>
    <w:rsid w:val="004C3EA5"/>
    <w:rsid w:val="004C3F72"/>
    <w:rsid w:val="004C40A9"/>
    <w:rsid w:val="004C43E0"/>
    <w:rsid w:val="004C45F5"/>
    <w:rsid w:val="004C46CF"/>
    <w:rsid w:val="004C47B2"/>
    <w:rsid w:val="004C489F"/>
    <w:rsid w:val="004C48FC"/>
    <w:rsid w:val="004C499C"/>
    <w:rsid w:val="004C4DC3"/>
    <w:rsid w:val="004C4EE8"/>
    <w:rsid w:val="004C5265"/>
    <w:rsid w:val="004C534D"/>
    <w:rsid w:val="004C5367"/>
    <w:rsid w:val="004C5409"/>
    <w:rsid w:val="004C553B"/>
    <w:rsid w:val="004C57C1"/>
    <w:rsid w:val="004C5A41"/>
    <w:rsid w:val="004C5AC2"/>
    <w:rsid w:val="004C5E07"/>
    <w:rsid w:val="004C5E98"/>
    <w:rsid w:val="004C5F18"/>
    <w:rsid w:val="004C610A"/>
    <w:rsid w:val="004C62B4"/>
    <w:rsid w:val="004C62C9"/>
    <w:rsid w:val="004C655C"/>
    <w:rsid w:val="004C6925"/>
    <w:rsid w:val="004C6AF9"/>
    <w:rsid w:val="004C6D08"/>
    <w:rsid w:val="004C6D75"/>
    <w:rsid w:val="004C6E47"/>
    <w:rsid w:val="004C6E55"/>
    <w:rsid w:val="004C6E69"/>
    <w:rsid w:val="004C6F7F"/>
    <w:rsid w:val="004C6FF5"/>
    <w:rsid w:val="004C7880"/>
    <w:rsid w:val="004C78AB"/>
    <w:rsid w:val="004C7A5C"/>
    <w:rsid w:val="004C7A65"/>
    <w:rsid w:val="004C7E09"/>
    <w:rsid w:val="004C7F5B"/>
    <w:rsid w:val="004C7F77"/>
    <w:rsid w:val="004C7F98"/>
    <w:rsid w:val="004D015E"/>
    <w:rsid w:val="004D0508"/>
    <w:rsid w:val="004D0775"/>
    <w:rsid w:val="004D07FA"/>
    <w:rsid w:val="004D0A4F"/>
    <w:rsid w:val="004D0BDC"/>
    <w:rsid w:val="004D0CE5"/>
    <w:rsid w:val="004D0E00"/>
    <w:rsid w:val="004D10CE"/>
    <w:rsid w:val="004D113E"/>
    <w:rsid w:val="004D1326"/>
    <w:rsid w:val="004D1406"/>
    <w:rsid w:val="004D1736"/>
    <w:rsid w:val="004D1A34"/>
    <w:rsid w:val="004D1C6D"/>
    <w:rsid w:val="004D1D12"/>
    <w:rsid w:val="004D1D19"/>
    <w:rsid w:val="004D1D23"/>
    <w:rsid w:val="004D1F4B"/>
    <w:rsid w:val="004D218B"/>
    <w:rsid w:val="004D219E"/>
    <w:rsid w:val="004D21C9"/>
    <w:rsid w:val="004D2659"/>
    <w:rsid w:val="004D2956"/>
    <w:rsid w:val="004D29EB"/>
    <w:rsid w:val="004D2A6C"/>
    <w:rsid w:val="004D2B29"/>
    <w:rsid w:val="004D2BD2"/>
    <w:rsid w:val="004D2FA2"/>
    <w:rsid w:val="004D311D"/>
    <w:rsid w:val="004D39A6"/>
    <w:rsid w:val="004D3A02"/>
    <w:rsid w:val="004D4064"/>
    <w:rsid w:val="004D45D8"/>
    <w:rsid w:val="004D45F9"/>
    <w:rsid w:val="004D467B"/>
    <w:rsid w:val="004D474C"/>
    <w:rsid w:val="004D478C"/>
    <w:rsid w:val="004D4AB6"/>
    <w:rsid w:val="004D4B4E"/>
    <w:rsid w:val="004D4BB3"/>
    <w:rsid w:val="004D4BE6"/>
    <w:rsid w:val="004D4E93"/>
    <w:rsid w:val="004D4F12"/>
    <w:rsid w:val="004D51E2"/>
    <w:rsid w:val="004D544D"/>
    <w:rsid w:val="004D554F"/>
    <w:rsid w:val="004D57FE"/>
    <w:rsid w:val="004D58F7"/>
    <w:rsid w:val="004D5C92"/>
    <w:rsid w:val="004D5CBF"/>
    <w:rsid w:val="004D5CD2"/>
    <w:rsid w:val="004D5D2B"/>
    <w:rsid w:val="004D5E96"/>
    <w:rsid w:val="004D5EFB"/>
    <w:rsid w:val="004D6382"/>
    <w:rsid w:val="004D649B"/>
    <w:rsid w:val="004D65A9"/>
    <w:rsid w:val="004D673D"/>
    <w:rsid w:val="004D6815"/>
    <w:rsid w:val="004D6B5A"/>
    <w:rsid w:val="004D6C15"/>
    <w:rsid w:val="004D6EAD"/>
    <w:rsid w:val="004D71D0"/>
    <w:rsid w:val="004D71DD"/>
    <w:rsid w:val="004D7748"/>
    <w:rsid w:val="004D7871"/>
    <w:rsid w:val="004D78D0"/>
    <w:rsid w:val="004D7A13"/>
    <w:rsid w:val="004D7BDC"/>
    <w:rsid w:val="004D7C4D"/>
    <w:rsid w:val="004D7D55"/>
    <w:rsid w:val="004D7E04"/>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2033"/>
    <w:rsid w:val="004E2198"/>
    <w:rsid w:val="004E2443"/>
    <w:rsid w:val="004E2602"/>
    <w:rsid w:val="004E2836"/>
    <w:rsid w:val="004E2AAF"/>
    <w:rsid w:val="004E2CE3"/>
    <w:rsid w:val="004E32B4"/>
    <w:rsid w:val="004E3431"/>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4EA"/>
    <w:rsid w:val="004E5673"/>
    <w:rsid w:val="004E567B"/>
    <w:rsid w:val="004E579B"/>
    <w:rsid w:val="004E587D"/>
    <w:rsid w:val="004E5984"/>
    <w:rsid w:val="004E5BFA"/>
    <w:rsid w:val="004E5C0A"/>
    <w:rsid w:val="004E5E0D"/>
    <w:rsid w:val="004E5E30"/>
    <w:rsid w:val="004E603E"/>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65A"/>
    <w:rsid w:val="004E7795"/>
    <w:rsid w:val="004E77F5"/>
    <w:rsid w:val="004E7904"/>
    <w:rsid w:val="004E7A5A"/>
    <w:rsid w:val="004E7C55"/>
    <w:rsid w:val="004E7C90"/>
    <w:rsid w:val="004E7D48"/>
    <w:rsid w:val="004E7D80"/>
    <w:rsid w:val="004E7E73"/>
    <w:rsid w:val="004E7EA2"/>
    <w:rsid w:val="004F0160"/>
    <w:rsid w:val="004F0206"/>
    <w:rsid w:val="004F0248"/>
    <w:rsid w:val="004F0397"/>
    <w:rsid w:val="004F04E7"/>
    <w:rsid w:val="004F05E5"/>
    <w:rsid w:val="004F0661"/>
    <w:rsid w:val="004F089D"/>
    <w:rsid w:val="004F0AD1"/>
    <w:rsid w:val="004F0AF0"/>
    <w:rsid w:val="004F0C23"/>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2F07"/>
    <w:rsid w:val="004F33AE"/>
    <w:rsid w:val="004F34C9"/>
    <w:rsid w:val="004F3686"/>
    <w:rsid w:val="004F3787"/>
    <w:rsid w:val="004F3CFE"/>
    <w:rsid w:val="004F3D46"/>
    <w:rsid w:val="004F3D7B"/>
    <w:rsid w:val="004F3FD7"/>
    <w:rsid w:val="004F40D4"/>
    <w:rsid w:val="004F41DE"/>
    <w:rsid w:val="004F424D"/>
    <w:rsid w:val="004F4354"/>
    <w:rsid w:val="004F45D8"/>
    <w:rsid w:val="004F46FB"/>
    <w:rsid w:val="004F478C"/>
    <w:rsid w:val="004F4A11"/>
    <w:rsid w:val="004F4A83"/>
    <w:rsid w:val="004F4C75"/>
    <w:rsid w:val="004F4EDE"/>
    <w:rsid w:val="004F530A"/>
    <w:rsid w:val="004F58FC"/>
    <w:rsid w:val="004F5D5A"/>
    <w:rsid w:val="004F5DD7"/>
    <w:rsid w:val="004F5F7F"/>
    <w:rsid w:val="004F6097"/>
    <w:rsid w:val="004F612B"/>
    <w:rsid w:val="004F62C3"/>
    <w:rsid w:val="004F636C"/>
    <w:rsid w:val="004F6496"/>
    <w:rsid w:val="004F682C"/>
    <w:rsid w:val="004F69C4"/>
    <w:rsid w:val="004F6A00"/>
    <w:rsid w:val="004F6AE5"/>
    <w:rsid w:val="004F6D4F"/>
    <w:rsid w:val="004F6E69"/>
    <w:rsid w:val="004F7197"/>
    <w:rsid w:val="004F7211"/>
    <w:rsid w:val="004F73AE"/>
    <w:rsid w:val="004F7528"/>
    <w:rsid w:val="004F770E"/>
    <w:rsid w:val="004F77FA"/>
    <w:rsid w:val="004F7850"/>
    <w:rsid w:val="004F795D"/>
    <w:rsid w:val="004F7C40"/>
    <w:rsid w:val="004F7FDB"/>
    <w:rsid w:val="00500083"/>
    <w:rsid w:val="00500531"/>
    <w:rsid w:val="005007C3"/>
    <w:rsid w:val="005008A3"/>
    <w:rsid w:val="005008F5"/>
    <w:rsid w:val="00500C91"/>
    <w:rsid w:val="00500DE5"/>
    <w:rsid w:val="00501124"/>
    <w:rsid w:val="005013FE"/>
    <w:rsid w:val="0050160E"/>
    <w:rsid w:val="005019E2"/>
    <w:rsid w:val="00501AD8"/>
    <w:rsid w:val="00501C00"/>
    <w:rsid w:val="00501CB4"/>
    <w:rsid w:val="00501E26"/>
    <w:rsid w:val="00501EC3"/>
    <w:rsid w:val="00501F90"/>
    <w:rsid w:val="00502647"/>
    <w:rsid w:val="005029CF"/>
    <w:rsid w:val="00502BE6"/>
    <w:rsid w:val="00502D4D"/>
    <w:rsid w:val="00502DD6"/>
    <w:rsid w:val="00503047"/>
    <w:rsid w:val="005035E6"/>
    <w:rsid w:val="005036F7"/>
    <w:rsid w:val="0050399A"/>
    <w:rsid w:val="005039B6"/>
    <w:rsid w:val="00503A6B"/>
    <w:rsid w:val="00503BB0"/>
    <w:rsid w:val="00503D7D"/>
    <w:rsid w:val="00503EB1"/>
    <w:rsid w:val="00503EFF"/>
    <w:rsid w:val="00504081"/>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B2B"/>
    <w:rsid w:val="00505BDC"/>
    <w:rsid w:val="00505E6F"/>
    <w:rsid w:val="005062FD"/>
    <w:rsid w:val="0050633E"/>
    <w:rsid w:val="00506461"/>
    <w:rsid w:val="005064D0"/>
    <w:rsid w:val="005067FE"/>
    <w:rsid w:val="00506982"/>
    <w:rsid w:val="00506B5D"/>
    <w:rsid w:val="00506CFA"/>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907"/>
    <w:rsid w:val="00511BA3"/>
    <w:rsid w:val="00511E10"/>
    <w:rsid w:val="00511FBF"/>
    <w:rsid w:val="005121E8"/>
    <w:rsid w:val="0051228E"/>
    <w:rsid w:val="005122DE"/>
    <w:rsid w:val="0051235F"/>
    <w:rsid w:val="0051261F"/>
    <w:rsid w:val="00512794"/>
    <w:rsid w:val="005127EB"/>
    <w:rsid w:val="00512857"/>
    <w:rsid w:val="00512A4B"/>
    <w:rsid w:val="00512AC5"/>
    <w:rsid w:val="00512B38"/>
    <w:rsid w:val="00512BEA"/>
    <w:rsid w:val="00512DB8"/>
    <w:rsid w:val="00512F7C"/>
    <w:rsid w:val="0051331D"/>
    <w:rsid w:val="005134E3"/>
    <w:rsid w:val="0051356B"/>
    <w:rsid w:val="00513783"/>
    <w:rsid w:val="00513827"/>
    <w:rsid w:val="00513839"/>
    <w:rsid w:val="005138BA"/>
    <w:rsid w:val="00513A5D"/>
    <w:rsid w:val="00513BA9"/>
    <w:rsid w:val="00513C03"/>
    <w:rsid w:val="00513C88"/>
    <w:rsid w:val="00513CEF"/>
    <w:rsid w:val="00514365"/>
    <w:rsid w:val="0051455D"/>
    <w:rsid w:val="005145C1"/>
    <w:rsid w:val="005146C3"/>
    <w:rsid w:val="00514736"/>
    <w:rsid w:val="00514858"/>
    <w:rsid w:val="00514DFC"/>
    <w:rsid w:val="00514E25"/>
    <w:rsid w:val="00514E54"/>
    <w:rsid w:val="00514F28"/>
    <w:rsid w:val="00514F3A"/>
    <w:rsid w:val="0051509F"/>
    <w:rsid w:val="00515112"/>
    <w:rsid w:val="0051535C"/>
    <w:rsid w:val="005153AF"/>
    <w:rsid w:val="0051545A"/>
    <w:rsid w:val="005154E1"/>
    <w:rsid w:val="00515665"/>
    <w:rsid w:val="005156A1"/>
    <w:rsid w:val="00515A6D"/>
    <w:rsid w:val="00515B53"/>
    <w:rsid w:val="00515CC9"/>
    <w:rsid w:val="00515E10"/>
    <w:rsid w:val="00515E8F"/>
    <w:rsid w:val="0051657B"/>
    <w:rsid w:val="0051698D"/>
    <w:rsid w:val="00516A23"/>
    <w:rsid w:val="00516A59"/>
    <w:rsid w:val="00516D1E"/>
    <w:rsid w:val="00516F6E"/>
    <w:rsid w:val="0051747F"/>
    <w:rsid w:val="005174DF"/>
    <w:rsid w:val="0051768E"/>
    <w:rsid w:val="00517713"/>
    <w:rsid w:val="00517A2B"/>
    <w:rsid w:val="00517B54"/>
    <w:rsid w:val="00517B76"/>
    <w:rsid w:val="00517B8D"/>
    <w:rsid w:val="00517C0A"/>
    <w:rsid w:val="00520761"/>
    <w:rsid w:val="00520C1B"/>
    <w:rsid w:val="00520C2D"/>
    <w:rsid w:val="00520D8C"/>
    <w:rsid w:val="00520E5B"/>
    <w:rsid w:val="00521003"/>
    <w:rsid w:val="0052107A"/>
    <w:rsid w:val="005212BC"/>
    <w:rsid w:val="005215EC"/>
    <w:rsid w:val="00521C85"/>
    <w:rsid w:val="00521C88"/>
    <w:rsid w:val="00521CB6"/>
    <w:rsid w:val="00521D17"/>
    <w:rsid w:val="00522077"/>
    <w:rsid w:val="00522525"/>
    <w:rsid w:val="005226A4"/>
    <w:rsid w:val="00522862"/>
    <w:rsid w:val="00522C00"/>
    <w:rsid w:val="00522C52"/>
    <w:rsid w:val="005230C5"/>
    <w:rsid w:val="005233AD"/>
    <w:rsid w:val="005237D1"/>
    <w:rsid w:val="00523A30"/>
    <w:rsid w:val="00523C8A"/>
    <w:rsid w:val="00523CEF"/>
    <w:rsid w:val="00523F2A"/>
    <w:rsid w:val="00524240"/>
    <w:rsid w:val="0052429B"/>
    <w:rsid w:val="005244D8"/>
    <w:rsid w:val="005244DE"/>
    <w:rsid w:val="00524A7D"/>
    <w:rsid w:val="00524ADC"/>
    <w:rsid w:val="00524C36"/>
    <w:rsid w:val="00524E17"/>
    <w:rsid w:val="00524EA9"/>
    <w:rsid w:val="00524EAA"/>
    <w:rsid w:val="00524FCA"/>
    <w:rsid w:val="00525258"/>
    <w:rsid w:val="00525347"/>
    <w:rsid w:val="00525560"/>
    <w:rsid w:val="005256E7"/>
    <w:rsid w:val="00525951"/>
    <w:rsid w:val="0052595B"/>
    <w:rsid w:val="00525A97"/>
    <w:rsid w:val="00525B5C"/>
    <w:rsid w:val="00525B94"/>
    <w:rsid w:val="00525BDF"/>
    <w:rsid w:val="00525D65"/>
    <w:rsid w:val="00525E17"/>
    <w:rsid w:val="00525FEB"/>
    <w:rsid w:val="00526087"/>
    <w:rsid w:val="005265FF"/>
    <w:rsid w:val="00526713"/>
    <w:rsid w:val="00526875"/>
    <w:rsid w:val="0052691D"/>
    <w:rsid w:val="00526AA6"/>
    <w:rsid w:val="00526B0D"/>
    <w:rsid w:val="00526B5B"/>
    <w:rsid w:val="00526C70"/>
    <w:rsid w:val="00527499"/>
    <w:rsid w:val="00527716"/>
    <w:rsid w:val="00527719"/>
    <w:rsid w:val="00527852"/>
    <w:rsid w:val="00527DE4"/>
    <w:rsid w:val="00527DFB"/>
    <w:rsid w:val="00527E4A"/>
    <w:rsid w:val="00527ECA"/>
    <w:rsid w:val="0053001B"/>
    <w:rsid w:val="0053008A"/>
    <w:rsid w:val="0053018A"/>
    <w:rsid w:val="005301A6"/>
    <w:rsid w:val="00530270"/>
    <w:rsid w:val="00530703"/>
    <w:rsid w:val="005307E8"/>
    <w:rsid w:val="0053086C"/>
    <w:rsid w:val="0053091F"/>
    <w:rsid w:val="0053098B"/>
    <w:rsid w:val="00530A2A"/>
    <w:rsid w:val="00530A5B"/>
    <w:rsid w:val="00530AAF"/>
    <w:rsid w:val="00530AB8"/>
    <w:rsid w:val="00530C06"/>
    <w:rsid w:val="00531015"/>
    <w:rsid w:val="0053131F"/>
    <w:rsid w:val="00531C3F"/>
    <w:rsid w:val="00531DFE"/>
    <w:rsid w:val="00531FA8"/>
    <w:rsid w:val="00532251"/>
    <w:rsid w:val="00532440"/>
    <w:rsid w:val="00532500"/>
    <w:rsid w:val="0053286E"/>
    <w:rsid w:val="00532AE3"/>
    <w:rsid w:val="00532DE9"/>
    <w:rsid w:val="00533066"/>
    <w:rsid w:val="00533123"/>
    <w:rsid w:val="00533405"/>
    <w:rsid w:val="005335A4"/>
    <w:rsid w:val="00533727"/>
    <w:rsid w:val="005337B9"/>
    <w:rsid w:val="0053389F"/>
    <w:rsid w:val="005339FF"/>
    <w:rsid w:val="00533C3C"/>
    <w:rsid w:val="00534041"/>
    <w:rsid w:val="0053415A"/>
    <w:rsid w:val="005342A7"/>
    <w:rsid w:val="00534676"/>
    <w:rsid w:val="005347A5"/>
    <w:rsid w:val="00534A08"/>
    <w:rsid w:val="00534AD1"/>
    <w:rsid w:val="00534B0F"/>
    <w:rsid w:val="00534C70"/>
    <w:rsid w:val="00534C8B"/>
    <w:rsid w:val="00534E48"/>
    <w:rsid w:val="005351AD"/>
    <w:rsid w:val="0053523C"/>
    <w:rsid w:val="00535276"/>
    <w:rsid w:val="00535287"/>
    <w:rsid w:val="005352C2"/>
    <w:rsid w:val="0053557E"/>
    <w:rsid w:val="0053583C"/>
    <w:rsid w:val="00535D09"/>
    <w:rsid w:val="00535DAF"/>
    <w:rsid w:val="00535DFB"/>
    <w:rsid w:val="00535EC2"/>
    <w:rsid w:val="00535F6C"/>
    <w:rsid w:val="0053608D"/>
    <w:rsid w:val="005360A0"/>
    <w:rsid w:val="0053633A"/>
    <w:rsid w:val="005363D9"/>
    <w:rsid w:val="00536924"/>
    <w:rsid w:val="00536DDE"/>
    <w:rsid w:val="00536F2F"/>
    <w:rsid w:val="00537184"/>
    <w:rsid w:val="005373E8"/>
    <w:rsid w:val="00537564"/>
    <w:rsid w:val="00537584"/>
    <w:rsid w:val="005377BE"/>
    <w:rsid w:val="0053788F"/>
    <w:rsid w:val="00537CD2"/>
    <w:rsid w:val="00537D2F"/>
    <w:rsid w:val="00537E11"/>
    <w:rsid w:val="00537ED7"/>
    <w:rsid w:val="00537F8B"/>
    <w:rsid w:val="00540202"/>
    <w:rsid w:val="0054034F"/>
    <w:rsid w:val="0054059B"/>
    <w:rsid w:val="0054087A"/>
    <w:rsid w:val="00540AB5"/>
    <w:rsid w:val="00540B29"/>
    <w:rsid w:val="00540B98"/>
    <w:rsid w:val="00541160"/>
    <w:rsid w:val="00541651"/>
    <w:rsid w:val="005416CE"/>
    <w:rsid w:val="00541781"/>
    <w:rsid w:val="00541BBB"/>
    <w:rsid w:val="005423CF"/>
    <w:rsid w:val="00542602"/>
    <w:rsid w:val="00542708"/>
    <w:rsid w:val="00542714"/>
    <w:rsid w:val="00542D6B"/>
    <w:rsid w:val="00542E61"/>
    <w:rsid w:val="00543058"/>
    <w:rsid w:val="00543143"/>
    <w:rsid w:val="005434DC"/>
    <w:rsid w:val="005434F9"/>
    <w:rsid w:val="0054384C"/>
    <w:rsid w:val="00543A6B"/>
    <w:rsid w:val="0054414B"/>
    <w:rsid w:val="005441B3"/>
    <w:rsid w:val="0054437D"/>
    <w:rsid w:val="005443F6"/>
    <w:rsid w:val="00544428"/>
    <w:rsid w:val="00544554"/>
    <w:rsid w:val="005447D1"/>
    <w:rsid w:val="005448D3"/>
    <w:rsid w:val="00544C45"/>
    <w:rsid w:val="00545324"/>
    <w:rsid w:val="00545492"/>
    <w:rsid w:val="0054553C"/>
    <w:rsid w:val="005455B5"/>
    <w:rsid w:val="00545875"/>
    <w:rsid w:val="0054587A"/>
    <w:rsid w:val="00545A2D"/>
    <w:rsid w:val="00545F0C"/>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DBC"/>
    <w:rsid w:val="00546F72"/>
    <w:rsid w:val="00546FD0"/>
    <w:rsid w:val="00547200"/>
    <w:rsid w:val="005472F7"/>
    <w:rsid w:val="00547481"/>
    <w:rsid w:val="0054749B"/>
    <w:rsid w:val="0054770F"/>
    <w:rsid w:val="0054773D"/>
    <w:rsid w:val="00547836"/>
    <w:rsid w:val="00547A1E"/>
    <w:rsid w:val="00547A84"/>
    <w:rsid w:val="00547B58"/>
    <w:rsid w:val="00550257"/>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637"/>
    <w:rsid w:val="00552807"/>
    <w:rsid w:val="00552DDF"/>
    <w:rsid w:val="00552F89"/>
    <w:rsid w:val="005530C6"/>
    <w:rsid w:val="005534A5"/>
    <w:rsid w:val="005534CA"/>
    <w:rsid w:val="005535BB"/>
    <w:rsid w:val="0055389F"/>
    <w:rsid w:val="00553AB7"/>
    <w:rsid w:val="00553B1C"/>
    <w:rsid w:val="00553BC8"/>
    <w:rsid w:val="00553D84"/>
    <w:rsid w:val="00553F0D"/>
    <w:rsid w:val="00553F31"/>
    <w:rsid w:val="00554212"/>
    <w:rsid w:val="00554517"/>
    <w:rsid w:val="0055458D"/>
    <w:rsid w:val="005545B0"/>
    <w:rsid w:val="005546E4"/>
    <w:rsid w:val="0055483A"/>
    <w:rsid w:val="00554FF4"/>
    <w:rsid w:val="0055510F"/>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BB"/>
    <w:rsid w:val="005578CA"/>
    <w:rsid w:val="00557E24"/>
    <w:rsid w:val="00560109"/>
    <w:rsid w:val="005602A5"/>
    <w:rsid w:val="0056036C"/>
    <w:rsid w:val="00560440"/>
    <w:rsid w:val="00560510"/>
    <w:rsid w:val="005605F8"/>
    <w:rsid w:val="005605FA"/>
    <w:rsid w:val="00560679"/>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D61"/>
    <w:rsid w:val="00561D93"/>
    <w:rsid w:val="00561EBA"/>
    <w:rsid w:val="00561EFF"/>
    <w:rsid w:val="0056204E"/>
    <w:rsid w:val="0056205F"/>
    <w:rsid w:val="00562176"/>
    <w:rsid w:val="0056228A"/>
    <w:rsid w:val="005622B8"/>
    <w:rsid w:val="005622FA"/>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3E17"/>
    <w:rsid w:val="005641C2"/>
    <w:rsid w:val="005644F8"/>
    <w:rsid w:val="005645FD"/>
    <w:rsid w:val="005649FE"/>
    <w:rsid w:val="00564C94"/>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65F"/>
    <w:rsid w:val="005728FA"/>
    <w:rsid w:val="00572AE8"/>
    <w:rsid w:val="00572AEC"/>
    <w:rsid w:val="00572B3F"/>
    <w:rsid w:val="00572D3B"/>
    <w:rsid w:val="005730B7"/>
    <w:rsid w:val="00573507"/>
    <w:rsid w:val="0057383D"/>
    <w:rsid w:val="005738C8"/>
    <w:rsid w:val="00573A32"/>
    <w:rsid w:val="00573B0D"/>
    <w:rsid w:val="00573BF2"/>
    <w:rsid w:val="00573D65"/>
    <w:rsid w:val="00573EBB"/>
    <w:rsid w:val="00573FF1"/>
    <w:rsid w:val="00574006"/>
    <w:rsid w:val="0057413E"/>
    <w:rsid w:val="00574291"/>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218"/>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FC3"/>
    <w:rsid w:val="00581284"/>
    <w:rsid w:val="0058140D"/>
    <w:rsid w:val="005814EB"/>
    <w:rsid w:val="00581B24"/>
    <w:rsid w:val="00581C7C"/>
    <w:rsid w:val="00581D84"/>
    <w:rsid w:val="00582100"/>
    <w:rsid w:val="00582369"/>
    <w:rsid w:val="00582CF3"/>
    <w:rsid w:val="00582E32"/>
    <w:rsid w:val="00583248"/>
    <w:rsid w:val="00583583"/>
    <w:rsid w:val="0058359F"/>
    <w:rsid w:val="00583915"/>
    <w:rsid w:val="00583CF8"/>
    <w:rsid w:val="00583E56"/>
    <w:rsid w:val="00584196"/>
    <w:rsid w:val="00584222"/>
    <w:rsid w:val="00584229"/>
    <w:rsid w:val="005842C2"/>
    <w:rsid w:val="005844C1"/>
    <w:rsid w:val="0058453F"/>
    <w:rsid w:val="005847B3"/>
    <w:rsid w:val="005847CF"/>
    <w:rsid w:val="00584836"/>
    <w:rsid w:val="00584A32"/>
    <w:rsid w:val="00584ACE"/>
    <w:rsid w:val="00584BA8"/>
    <w:rsid w:val="00584C13"/>
    <w:rsid w:val="00584C91"/>
    <w:rsid w:val="00584D1E"/>
    <w:rsid w:val="00584D6F"/>
    <w:rsid w:val="00584FC3"/>
    <w:rsid w:val="005851D4"/>
    <w:rsid w:val="00585388"/>
    <w:rsid w:val="00585480"/>
    <w:rsid w:val="0058560D"/>
    <w:rsid w:val="0058578C"/>
    <w:rsid w:val="00585AE9"/>
    <w:rsid w:val="00585C22"/>
    <w:rsid w:val="00585CA0"/>
    <w:rsid w:val="00585CCD"/>
    <w:rsid w:val="00585CE5"/>
    <w:rsid w:val="00585D6C"/>
    <w:rsid w:val="005861D2"/>
    <w:rsid w:val="0058625B"/>
    <w:rsid w:val="005862A9"/>
    <w:rsid w:val="005865A4"/>
    <w:rsid w:val="005868E7"/>
    <w:rsid w:val="00586A64"/>
    <w:rsid w:val="00586D8D"/>
    <w:rsid w:val="00586EE4"/>
    <w:rsid w:val="00586F8B"/>
    <w:rsid w:val="00587232"/>
    <w:rsid w:val="0058725B"/>
    <w:rsid w:val="00587367"/>
    <w:rsid w:val="00587778"/>
    <w:rsid w:val="00587B6E"/>
    <w:rsid w:val="00587E21"/>
    <w:rsid w:val="00587F3B"/>
    <w:rsid w:val="005902E7"/>
    <w:rsid w:val="005905CA"/>
    <w:rsid w:val="0059072F"/>
    <w:rsid w:val="00590DC6"/>
    <w:rsid w:val="00590EC7"/>
    <w:rsid w:val="0059107E"/>
    <w:rsid w:val="005911A8"/>
    <w:rsid w:val="005911FB"/>
    <w:rsid w:val="0059137F"/>
    <w:rsid w:val="005913AD"/>
    <w:rsid w:val="005915E7"/>
    <w:rsid w:val="0059166C"/>
    <w:rsid w:val="00591897"/>
    <w:rsid w:val="005918B9"/>
    <w:rsid w:val="005918CD"/>
    <w:rsid w:val="00591C16"/>
    <w:rsid w:val="00591CF3"/>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59"/>
    <w:rsid w:val="00593D04"/>
    <w:rsid w:val="00593DEB"/>
    <w:rsid w:val="00593F38"/>
    <w:rsid w:val="0059403C"/>
    <w:rsid w:val="0059427E"/>
    <w:rsid w:val="005943D6"/>
    <w:rsid w:val="00594570"/>
    <w:rsid w:val="00594597"/>
    <w:rsid w:val="005945D6"/>
    <w:rsid w:val="0059469F"/>
    <w:rsid w:val="0059494D"/>
    <w:rsid w:val="00594B41"/>
    <w:rsid w:val="00594EF9"/>
    <w:rsid w:val="0059537C"/>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63E"/>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82A"/>
    <w:rsid w:val="005A088E"/>
    <w:rsid w:val="005A0970"/>
    <w:rsid w:val="005A0BBB"/>
    <w:rsid w:val="005A0C6B"/>
    <w:rsid w:val="005A0EEF"/>
    <w:rsid w:val="005A11FB"/>
    <w:rsid w:val="005A126A"/>
    <w:rsid w:val="005A126F"/>
    <w:rsid w:val="005A16EE"/>
    <w:rsid w:val="005A1741"/>
    <w:rsid w:val="005A202E"/>
    <w:rsid w:val="005A23AB"/>
    <w:rsid w:val="005A2540"/>
    <w:rsid w:val="005A2967"/>
    <w:rsid w:val="005A29E0"/>
    <w:rsid w:val="005A2DD8"/>
    <w:rsid w:val="005A2DE3"/>
    <w:rsid w:val="005A317D"/>
    <w:rsid w:val="005A3214"/>
    <w:rsid w:val="005A3562"/>
    <w:rsid w:val="005A36C7"/>
    <w:rsid w:val="005A3730"/>
    <w:rsid w:val="005A3845"/>
    <w:rsid w:val="005A3870"/>
    <w:rsid w:val="005A38A2"/>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6FF"/>
    <w:rsid w:val="005A6B72"/>
    <w:rsid w:val="005A6DE6"/>
    <w:rsid w:val="005A6E85"/>
    <w:rsid w:val="005A704F"/>
    <w:rsid w:val="005A70C7"/>
    <w:rsid w:val="005A71BF"/>
    <w:rsid w:val="005A7276"/>
    <w:rsid w:val="005A727D"/>
    <w:rsid w:val="005A728E"/>
    <w:rsid w:val="005A768D"/>
    <w:rsid w:val="005A7973"/>
    <w:rsid w:val="005A7A60"/>
    <w:rsid w:val="005A7A8E"/>
    <w:rsid w:val="005A7C28"/>
    <w:rsid w:val="005A7D23"/>
    <w:rsid w:val="005A7DE1"/>
    <w:rsid w:val="005A7F29"/>
    <w:rsid w:val="005B000A"/>
    <w:rsid w:val="005B0076"/>
    <w:rsid w:val="005B00FC"/>
    <w:rsid w:val="005B0100"/>
    <w:rsid w:val="005B0290"/>
    <w:rsid w:val="005B0614"/>
    <w:rsid w:val="005B0760"/>
    <w:rsid w:val="005B0761"/>
    <w:rsid w:val="005B07CD"/>
    <w:rsid w:val="005B095E"/>
    <w:rsid w:val="005B0A38"/>
    <w:rsid w:val="005B0B09"/>
    <w:rsid w:val="005B0D42"/>
    <w:rsid w:val="005B0EB7"/>
    <w:rsid w:val="005B12BB"/>
    <w:rsid w:val="005B131D"/>
    <w:rsid w:val="005B13F8"/>
    <w:rsid w:val="005B15CC"/>
    <w:rsid w:val="005B15FA"/>
    <w:rsid w:val="005B1811"/>
    <w:rsid w:val="005B1C36"/>
    <w:rsid w:val="005B1E97"/>
    <w:rsid w:val="005B1F91"/>
    <w:rsid w:val="005B20CF"/>
    <w:rsid w:val="005B2213"/>
    <w:rsid w:val="005B235C"/>
    <w:rsid w:val="005B255D"/>
    <w:rsid w:val="005B2590"/>
    <w:rsid w:val="005B293D"/>
    <w:rsid w:val="005B2AFE"/>
    <w:rsid w:val="005B2CE4"/>
    <w:rsid w:val="005B2E82"/>
    <w:rsid w:val="005B2E83"/>
    <w:rsid w:val="005B2EEF"/>
    <w:rsid w:val="005B2F74"/>
    <w:rsid w:val="005B3184"/>
    <w:rsid w:val="005B3811"/>
    <w:rsid w:val="005B38B1"/>
    <w:rsid w:val="005B3A84"/>
    <w:rsid w:val="005B3BB2"/>
    <w:rsid w:val="005B3D72"/>
    <w:rsid w:val="005B4075"/>
    <w:rsid w:val="005B4312"/>
    <w:rsid w:val="005B4404"/>
    <w:rsid w:val="005B47F9"/>
    <w:rsid w:val="005B4896"/>
    <w:rsid w:val="005B49DA"/>
    <w:rsid w:val="005B4EDF"/>
    <w:rsid w:val="005B526A"/>
    <w:rsid w:val="005B5487"/>
    <w:rsid w:val="005B554A"/>
    <w:rsid w:val="005B5568"/>
    <w:rsid w:val="005B5764"/>
    <w:rsid w:val="005B590F"/>
    <w:rsid w:val="005B5978"/>
    <w:rsid w:val="005B597D"/>
    <w:rsid w:val="005B60C6"/>
    <w:rsid w:val="005B62F7"/>
    <w:rsid w:val="005B63EC"/>
    <w:rsid w:val="005B641B"/>
    <w:rsid w:val="005B643D"/>
    <w:rsid w:val="005B6588"/>
    <w:rsid w:val="005B6827"/>
    <w:rsid w:val="005B6C19"/>
    <w:rsid w:val="005B7368"/>
    <w:rsid w:val="005B7A2C"/>
    <w:rsid w:val="005B7A33"/>
    <w:rsid w:val="005B7F9C"/>
    <w:rsid w:val="005C01C5"/>
    <w:rsid w:val="005C01FA"/>
    <w:rsid w:val="005C0215"/>
    <w:rsid w:val="005C02C6"/>
    <w:rsid w:val="005C02EB"/>
    <w:rsid w:val="005C0309"/>
    <w:rsid w:val="005C062E"/>
    <w:rsid w:val="005C0A9F"/>
    <w:rsid w:val="005C0F44"/>
    <w:rsid w:val="005C0F55"/>
    <w:rsid w:val="005C14D4"/>
    <w:rsid w:val="005C163D"/>
    <w:rsid w:val="005C167F"/>
    <w:rsid w:val="005C16D3"/>
    <w:rsid w:val="005C19EE"/>
    <w:rsid w:val="005C1F7D"/>
    <w:rsid w:val="005C2089"/>
    <w:rsid w:val="005C209F"/>
    <w:rsid w:val="005C20B5"/>
    <w:rsid w:val="005C20E1"/>
    <w:rsid w:val="005C22CE"/>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312"/>
    <w:rsid w:val="005C438E"/>
    <w:rsid w:val="005C45AD"/>
    <w:rsid w:val="005C47B7"/>
    <w:rsid w:val="005C4C4C"/>
    <w:rsid w:val="005C4CA6"/>
    <w:rsid w:val="005C4DBF"/>
    <w:rsid w:val="005C4E57"/>
    <w:rsid w:val="005C4F91"/>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71DE"/>
    <w:rsid w:val="005C74C7"/>
    <w:rsid w:val="005C7548"/>
    <w:rsid w:val="005C77D1"/>
    <w:rsid w:val="005C7AD6"/>
    <w:rsid w:val="005C7D05"/>
    <w:rsid w:val="005C7D65"/>
    <w:rsid w:val="005C7F8C"/>
    <w:rsid w:val="005D0357"/>
    <w:rsid w:val="005D035F"/>
    <w:rsid w:val="005D0407"/>
    <w:rsid w:val="005D0458"/>
    <w:rsid w:val="005D053A"/>
    <w:rsid w:val="005D064A"/>
    <w:rsid w:val="005D06E9"/>
    <w:rsid w:val="005D075F"/>
    <w:rsid w:val="005D08E3"/>
    <w:rsid w:val="005D0BF7"/>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11C"/>
    <w:rsid w:val="005D2262"/>
    <w:rsid w:val="005D22D4"/>
    <w:rsid w:val="005D258E"/>
    <w:rsid w:val="005D2649"/>
    <w:rsid w:val="005D2773"/>
    <w:rsid w:val="005D2814"/>
    <w:rsid w:val="005D28FF"/>
    <w:rsid w:val="005D2B82"/>
    <w:rsid w:val="005D2BB2"/>
    <w:rsid w:val="005D2C6F"/>
    <w:rsid w:val="005D310F"/>
    <w:rsid w:val="005D338E"/>
    <w:rsid w:val="005D34F4"/>
    <w:rsid w:val="005D3637"/>
    <w:rsid w:val="005D36A1"/>
    <w:rsid w:val="005D36C1"/>
    <w:rsid w:val="005D3761"/>
    <w:rsid w:val="005D3938"/>
    <w:rsid w:val="005D3BBB"/>
    <w:rsid w:val="005D3F63"/>
    <w:rsid w:val="005D3FB2"/>
    <w:rsid w:val="005D41F0"/>
    <w:rsid w:val="005D4772"/>
    <w:rsid w:val="005D4916"/>
    <w:rsid w:val="005D49E8"/>
    <w:rsid w:val="005D4A57"/>
    <w:rsid w:val="005D4AAB"/>
    <w:rsid w:val="005D4F0A"/>
    <w:rsid w:val="005D5013"/>
    <w:rsid w:val="005D509B"/>
    <w:rsid w:val="005D5597"/>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15E"/>
    <w:rsid w:val="005E0206"/>
    <w:rsid w:val="005E029E"/>
    <w:rsid w:val="005E0393"/>
    <w:rsid w:val="005E0450"/>
    <w:rsid w:val="005E04B6"/>
    <w:rsid w:val="005E0531"/>
    <w:rsid w:val="005E058E"/>
    <w:rsid w:val="005E071A"/>
    <w:rsid w:val="005E07F4"/>
    <w:rsid w:val="005E0A94"/>
    <w:rsid w:val="005E0AC7"/>
    <w:rsid w:val="005E0B0F"/>
    <w:rsid w:val="005E0B7F"/>
    <w:rsid w:val="005E0BF6"/>
    <w:rsid w:val="005E0C1E"/>
    <w:rsid w:val="005E0E21"/>
    <w:rsid w:val="005E1368"/>
    <w:rsid w:val="005E13ED"/>
    <w:rsid w:val="005E1748"/>
    <w:rsid w:val="005E1783"/>
    <w:rsid w:val="005E183D"/>
    <w:rsid w:val="005E18A9"/>
    <w:rsid w:val="005E1A12"/>
    <w:rsid w:val="005E1C29"/>
    <w:rsid w:val="005E1C2B"/>
    <w:rsid w:val="005E1C6A"/>
    <w:rsid w:val="005E1ED4"/>
    <w:rsid w:val="005E1F28"/>
    <w:rsid w:val="005E20B3"/>
    <w:rsid w:val="005E2135"/>
    <w:rsid w:val="005E22E9"/>
    <w:rsid w:val="005E263F"/>
    <w:rsid w:val="005E271A"/>
    <w:rsid w:val="005E278D"/>
    <w:rsid w:val="005E27FF"/>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5D"/>
    <w:rsid w:val="005E40B9"/>
    <w:rsid w:val="005E422E"/>
    <w:rsid w:val="005E4274"/>
    <w:rsid w:val="005E42C5"/>
    <w:rsid w:val="005E42EC"/>
    <w:rsid w:val="005E4425"/>
    <w:rsid w:val="005E445C"/>
    <w:rsid w:val="005E46FC"/>
    <w:rsid w:val="005E4720"/>
    <w:rsid w:val="005E489E"/>
    <w:rsid w:val="005E48F1"/>
    <w:rsid w:val="005E4C2E"/>
    <w:rsid w:val="005E4DB0"/>
    <w:rsid w:val="005E5216"/>
    <w:rsid w:val="005E522C"/>
    <w:rsid w:val="005E5412"/>
    <w:rsid w:val="005E5567"/>
    <w:rsid w:val="005E5754"/>
    <w:rsid w:val="005E5755"/>
    <w:rsid w:val="005E57AA"/>
    <w:rsid w:val="005E59E0"/>
    <w:rsid w:val="005E5BAE"/>
    <w:rsid w:val="005E5DCB"/>
    <w:rsid w:val="005E5E58"/>
    <w:rsid w:val="005E5EB7"/>
    <w:rsid w:val="005E5F26"/>
    <w:rsid w:val="005E6058"/>
    <w:rsid w:val="005E621C"/>
    <w:rsid w:val="005E62A6"/>
    <w:rsid w:val="005E677A"/>
    <w:rsid w:val="005E69DE"/>
    <w:rsid w:val="005E6B28"/>
    <w:rsid w:val="005E70B6"/>
    <w:rsid w:val="005E715F"/>
    <w:rsid w:val="005E726B"/>
    <w:rsid w:val="005E7285"/>
    <w:rsid w:val="005E729B"/>
    <w:rsid w:val="005E7477"/>
    <w:rsid w:val="005E76ED"/>
    <w:rsid w:val="005E7A41"/>
    <w:rsid w:val="005E7AC1"/>
    <w:rsid w:val="005E7C75"/>
    <w:rsid w:val="005E7E9E"/>
    <w:rsid w:val="005E7F2F"/>
    <w:rsid w:val="005E7F96"/>
    <w:rsid w:val="005F00D2"/>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2C"/>
    <w:rsid w:val="005F2AF1"/>
    <w:rsid w:val="005F2B4F"/>
    <w:rsid w:val="005F2C48"/>
    <w:rsid w:val="005F2E72"/>
    <w:rsid w:val="005F2E8C"/>
    <w:rsid w:val="005F2FE8"/>
    <w:rsid w:val="005F3063"/>
    <w:rsid w:val="005F315D"/>
    <w:rsid w:val="005F330D"/>
    <w:rsid w:val="005F33AB"/>
    <w:rsid w:val="005F33D5"/>
    <w:rsid w:val="005F3848"/>
    <w:rsid w:val="005F397B"/>
    <w:rsid w:val="005F3C30"/>
    <w:rsid w:val="005F3D99"/>
    <w:rsid w:val="005F3EB4"/>
    <w:rsid w:val="005F4BFA"/>
    <w:rsid w:val="005F5321"/>
    <w:rsid w:val="005F53B1"/>
    <w:rsid w:val="005F544B"/>
    <w:rsid w:val="005F5686"/>
    <w:rsid w:val="005F57C2"/>
    <w:rsid w:val="005F57E9"/>
    <w:rsid w:val="005F58D2"/>
    <w:rsid w:val="005F595C"/>
    <w:rsid w:val="005F5C64"/>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C0A"/>
    <w:rsid w:val="005F7D21"/>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8DB"/>
    <w:rsid w:val="00601BD3"/>
    <w:rsid w:val="00601EE0"/>
    <w:rsid w:val="00601F60"/>
    <w:rsid w:val="0060225F"/>
    <w:rsid w:val="0060253F"/>
    <w:rsid w:val="006025C1"/>
    <w:rsid w:val="00602D3D"/>
    <w:rsid w:val="00602DFB"/>
    <w:rsid w:val="00602E65"/>
    <w:rsid w:val="00602F6F"/>
    <w:rsid w:val="006030A4"/>
    <w:rsid w:val="006032B3"/>
    <w:rsid w:val="0060373C"/>
    <w:rsid w:val="00603883"/>
    <w:rsid w:val="00603938"/>
    <w:rsid w:val="00603ADC"/>
    <w:rsid w:val="00603BFE"/>
    <w:rsid w:val="00603DFC"/>
    <w:rsid w:val="006042AF"/>
    <w:rsid w:val="00604429"/>
    <w:rsid w:val="00604494"/>
    <w:rsid w:val="006044D1"/>
    <w:rsid w:val="00604518"/>
    <w:rsid w:val="006045B8"/>
    <w:rsid w:val="0060464F"/>
    <w:rsid w:val="0060477F"/>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C42"/>
    <w:rsid w:val="00605C71"/>
    <w:rsid w:val="00605D01"/>
    <w:rsid w:val="00605D88"/>
    <w:rsid w:val="00605DD9"/>
    <w:rsid w:val="00605E3D"/>
    <w:rsid w:val="00605E83"/>
    <w:rsid w:val="0060607C"/>
    <w:rsid w:val="00606193"/>
    <w:rsid w:val="0060638F"/>
    <w:rsid w:val="00606558"/>
    <w:rsid w:val="0060694C"/>
    <w:rsid w:val="00606982"/>
    <w:rsid w:val="00606993"/>
    <w:rsid w:val="00606ACD"/>
    <w:rsid w:val="00606B23"/>
    <w:rsid w:val="00606BC1"/>
    <w:rsid w:val="00606CC5"/>
    <w:rsid w:val="00606D68"/>
    <w:rsid w:val="00606DC2"/>
    <w:rsid w:val="00606FFF"/>
    <w:rsid w:val="0060707E"/>
    <w:rsid w:val="006071B2"/>
    <w:rsid w:val="0060723C"/>
    <w:rsid w:val="00607414"/>
    <w:rsid w:val="006074A3"/>
    <w:rsid w:val="006076E8"/>
    <w:rsid w:val="00607820"/>
    <w:rsid w:val="00607CA6"/>
    <w:rsid w:val="00607CBD"/>
    <w:rsid w:val="00607F1E"/>
    <w:rsid w:val="00607FE8"/>
    <w:rsid w:val="006101BA"/>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C3"/>
    <w:rsid w:val="0061221E"/>
    <w:rsid w:val="00612291"/>
    <w:rsid w:val="006126CD"/>
    <w:rsid w:val="006126D3"/>
    <w:rsid w:val="006128D5"/>
    <w:rsid w:val="00612A65"/>
    <w:rsid w:val="00612CFC"/>
    <w:rsid w:val="00612D46"/>
    <w:rsid w:val="00612E0F"/>
    <w:rsid w:val="00612E6C"/>
    <w:rsid w:val="00613158"/>
    <w:rsid w:val="00613362"/>
    <w:rsid w:val="00613441"/>
    <w:rsid w:val="0061354C"/>
    <w:rsid w:val="0061358A"/>
    <w:rsid w:val="006137CF"/>
    <w:rsid w:val="00613D04"/>
    <w:rsid w:val="00614258"/>
    <w:rsid w:val="006142D6"/>
    <w:rsid w:val="0061445A"/>
    <w:rsid w:val="0061448C"/>
    <w:rsid w:val="006144D5"/>
    <w:rsid w:val="006146D9"/>
    <w:rsid w:val="006146DB"/>
    <w:rsid w:val="006146E4"/>
    <w:rsid w:val="00614A15"/>
    <w:rsid w:val="00614A8D"/>
    <w:rsid w:val="00614AFC"/>
    <w:rsid w:val="00614B1B"/>
    <w:rsid w:val="00614B74"/>
    <w:rsid w:val="00614F68"/>
    <w:rsid w:val="006151BA"/>
    <w:rsid w:val="0061573D"/>
    <w:rsid w:val="00615760"/>
    <w:rsid w:val="006159E7"/>
    <w:rsid w:val="00615DF2"/>
    <w:rsid w:val="00615F78"/>
    <w:rsid w:val="0061611D"/>
    <w:rsid w:val="00616144"/>
    <w:rsid w:val="0061620B"/>
    <w:rsid w:val="0061630F"/>
    <w:rsid w:val="006163A6"/>
    <w:rsid w:val="00616B9B"/>
    <w:rsid w:val="00616E5F"/>
    <w:rsid w:val="00617087"/>
    <w:rsid w:val="0061729C"/>
    <w:rsid w:val="00617A80"/>
    <w:rsid w:val="00617DF3"/>
    <w:rsid w:val="006203C9"/>
    <w:rsid w:val="006204BB"/>
    <w:rsid w:val="00620562"/>
    <w:rsid w:val="00620CF8"/>
    <w:rsid w:val="00620D42"/>
    <w:rsid w:val="00620D64"/>
    <w:rsid w:val="00620F4B"/>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C0F"/>
    <w:rsid w:val="00624D54"/>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16B"/>
    <w:rsid w:val="00627328"/>
    <w:rsid w:val="0062737C"/>
    <w:rsid w:val="006273A2"/>
    <w:rsid w:val="00627448"/>
    <w:rsid w:val="006274CB"/>
    <w:rsid w:val="00627859"/>
    <w:rsid w:val="00627986"/>
    <w:rsid w:val="00627A0C"/>
    <w:rsid w:val="00627A39"/>
    <w:rsid w:val="00627BD6"/>
    <w:rsid w:val="00630022"/>
    <w:rsid w:val="0063018E"/>
    <w:rsid w:val="00630243"/>
    <w:rsid w:val="00630275"/>
    <w:rsid w:val="00630447"/>
    <w:rsid w:val="00630526"/>
    <w:rsid w:val="0063058F"/>
    <w:rsid w:val="00630691"/>
    <w:rsid w:val="00630703"/>
    <w:rsid w:val="0063073E"/>
    <w:rsid w:val="00630820"/>
    <w:rsid w:val="00630868"/>
    <w:rsid w:val="006309B7"/>
    <w:rsid w:val="00630BBE"/>
    <w:rsid w:val="00631405"/>
    <w:rsid w:val="00631636"/>
    <w:rsid w:val="00631709"/>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DC4"/>
    <w:rsid w:val="00633E00"/>
    <w:rsid w:val="00633F03"/>
    <w:rsid w:val="00634247"/>
    <w:rsid w:val="006343F3"/>
    <w:rsid w:val="00634667"/>
    <w:rsid w:val="00634955"/>
    <w:rsid w:val="00634E66"/>
    <w:rsid w:val="00634FBF"/>
    <w:rsid w:val="006350CF"/>
    <w:rsid w:val="0063591F"/>
    <w:rsid w:val="0063595A"/>
    <w:rsid w:val="0063596F"/>
    <w:rsid w:val="00635D95"/>
    <w:rsid w:val="00635E2C"/>
    <w:rsid w:val="00635E73"/>
    <w:rsid w:val="006363C6"/>
    <w:rsid w:val="006364AC"/>
    <w:rsid w:val="006364BF"/>
    <w:rsid w:val="00636579"/>
    <w:rsid w:val="006366A8"/>
    <w:rsid w:val="006367B5"/>
    <w:rsid w:val="00636866"/>
    <w:rsid w:val="00636A16"/>
    <w:rsid w:val="00637176"/>
    <w:rsid w:val="006371AF"/>
    <w:rsid w:val="0063722B"/>
    <w:rsid w:val="00637364"/>
    <w:rsid w:val="00637769"/>
    <w:rsid w:val="00637877"/>
    <w:rsid w:val="0063787B"/>
    <w:rsid w:val="00637E9A"/>
    <w:rsid w:val="00640469"/>
    <w:rsid w:val="0064060A"/>
    <w:rsid w:val="00640AFB"/>
    <w:rsid w:val="00640E37"/>
    <w:rsid w:val="00640F70"/>
    <w:rsid w:val="006410EA"/>
    <w:rsid w:val="006411F3"/>
    <w:rsid w:val="00641954"/>
    <w:rsid w:val="00641ABE"/>
    <w:rsid w:val="00641B56"/>
    <w:rsid w:val="00641D0E"/>
    <w:rsid w:val="00641D37"/>
    <w:rsid w:val="00641D72"/>
    <w:rsid w:val="00642084"/>
    <w:rsid w:val="006421CF"/>
    <w:rsid w:val="006422F6"/>
    <w:rsid w:val="0064246E"/>
    <w:rsid w:val="0064279F"/>
    <w:rsid w:val="00642877"/>
    <w:rsid w:val="00642B50"/>
    <w:rsid w:val="00642BA0"/>
    <w:rsid w:val="00642FAC"/>
    <w:rsid w:val="00643605"/>
    <w:rsid w:val="0064382E"/>
    <w:rsid w:val="006439F2"/>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F0"/>
    <w:rsid w:val="00645940"/>
    <w:rsid w:val="00645C02"/>
    <w:rsid w:val="00645E77"/>
    <w:rsid w:val="0064605F"/>
    <w:rsid w:val="00646292"/>
    <w:rsid w:val="00646507"/>
    <w:rsid w:val="0064670A"/>
    <w:rsid w:val="0064671B"/>
    <w:rsid w:val="00646889"/>
    <w:rsid w:val="00646B9D"/>
    <w:rsid w:val="00646C70"/>
    <w:rsid w:val="00646CF5"/>
    <w:rsid w:val="00646D9A"/>
    <w:rsid w:val="00646F86"/>
    <w:rsid w:val="00647294"/>
    <w:rsid w:val="0064729C"/>
    <w:rsid w:val="00647300"/>
    <w:rsid w:val="00647469"/>
    <w:rsid w:val="006474FD"/>
    <w:rsid w:val="0064769C"/>
    <w:rsid w:val="00647861"/>
    <w:rsid w:val="00647AB8"/>
    <w:rsid w:val="00647FD8"/>
    <w:rsid w:val="006503F1"/>
    <w:rsid w:val="00650501"/>
    <w:rsid w:val="006505E9"/>
    <w:rsid w:val="0065079E"/>
    <w:rsid w:val="006507D1"/>
    <w:rsid w:val="00650B45"/>
    <w:rsid w:val="00650CC7"/>
    <w:rsid w:val="00650D7D"/>
    <w:rsid w:val="006517E0"/>
    <w:rsid w:val="006518F2"/>
    <w:rsid w:val="00651AD6"/>
    <w:rsid w:val="00652217"/>
    <w:rsid w:val="00652373"/>
    <w:rsid w:val="00652389"/>
    <w:rsid w:val="006524B7"/>
    <w:rsid w:val="006525FB"/>
    <w:rsid w:val="0065265E"/>
    <w:rsid w:val="006528A9"/>
    <w:rsid w:val="00652D47"/>
    <w:rsid w:val="00652DB6"/>
    <w:rsid w:val="00652EAC"/>
    <w:rsid w:val="006530A8"/>
    <w:rsid w:val="006535D0"/>
    <w:rsid w:val="006536D1"/>
    <w:rsid w:val="006537E8"/>
    <w:rsid w:val="006538A8"/>
    <w:rsid w:val="00653A61"/>
    <w:rsid w:val="00653C46"/>
    <w:rsid w:val="00653EE8"/>
    <w:rsid w:val="006542A1"/>
    <w:rsid w:val="006542C8"/>
    <w:rsid w:val="006542D9"/>
    <w:rsid w:val="006544B1"/>
    <w:rsid w:val="006545DA"/>
    <w:rsid w:val="006546DE"/>
    <w:rsid w:val="0065499F"/>
    <w:rsid w:val="00654B0E"/>
    <w:rsid w:val="00654BB0"/>
    <w:rsid w:val="00654C4B"/>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E44"/>
    <w:rsid w:val="0066002C"/>
    <w:rsid w:val="006602D4"/>
    <w:rsid w:val="00660366"/>
    <w:rsid w:val="00660379"/>
    <w:rsid w:val="00660409"/>
    <w:rsid w:val="006605F4"/>
    <w:rsid w:val="00660616"/>
    <w:rsid w:val="006606EA"/>
    <w:rsid w:val="0066079E"/>
    <w:rsid w:val="00660836"/>
    <w:rsid w:val="00660953"/>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93B"/>
    <w:rsid w:val="00662B22"/>
    <w:rsid w:val="00662C9D"/>
    <w:rsid w:val="006630F0"/>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8A1"/>
    <w:rsid w:val="006649D7"/>
    <w:rsid w:val="00664A18"/>
    <w:rsid w:val="00664DFF"/>
    <w:rsid w:val="00664ED3"/>
    <w:rsid w:val="006650A0"/>
    <w:rsid w:val="00665453"/>
    <w:rsid w:val="006655E3"/>
    <w:rsid w:val="006655F8"/>
    <w:rsid w:val="006656F9"/>
    <w:rsid w:val="0066593C"/>
    <w:rsid w:val="006659D1"/>
    <w:rsid w:val="00665B5E"/>
    <w:rsid w:val="00665C56"/>
    <w:rsid w:val="00665CD4"/>
    <w:rsid w:val="00665D69"/>
    <w:rsid w:val="00665F6E"/>
    <w:rsid w:val="00666460"/>
    <w:rsid w:val="00666591"/>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C6"/>
    <w:rsid w:val="0067150B"/>
    <w:rsid w:val="00671966"/>
    <w:rsid w:val="00671969"/>
    <w:rsid w:val="006719B9"/>
    <w:rsid w:val="00671B06"/>
    <w:rsid w:val="00671BCE"/>
    <w:rsid w:val="00671C7F"/>
    <w:rsid w:val="00671CCE"/>
    <w:rsid w:val="00671D0D"/>
    <w:rsid w:val="0067209E"/>
    <w:rsid w:val="006725B4"/>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CB"/>
    <w:rsid w:val="00675224"/>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80021"/>
    <w:rsid w:val="006800FF"/>
    <w:rsid w:val="0068019F"/>
    <w:rsid w:val="006807A3"/>
    <w:rsid w:val="00680B07"/>
    <w:rsid w:val="00680D97"/>
    <w:rsid w:val="00681290"/>
    <w:rsid w:val="0068143A"/>
    <w:rsid w:val="0068146F"/>
    <w:rsid w:val="0068147B"/>
    <w:rsid w:val="006816CB"/>
    <w:rsid w:val="00681AB4"/>
    <w:rsid w:val="00682573"/>
    <w:rsid w:val="0068269A"/>
    <w:rsid w:val="00682F69"/>
    <w:rsid w:val="00683195"/>
    <w:rsid w:val="00683239"/>
    <w:rsid w:val="00683359"/>
    <w:rsid w:val="006834AD"/>
    <w:rsid w:val="00683520"/>
    <w:rsid w:val="00683538"/>
    <w:rsid w:val="00683594"/>
    <w:rsid w:val="00683630"/>
    <w:rsid w:val="006837F3"/>
    <w:rsid w:val="00683893"/>
    <w:rsid w:val="00683A17"/>
    <w:rsid w:val="00683AA5"/>
    <w:rsid w:val="00683B48"/>
    <w:rsid w:val="00683C58"/>
    <w:rsid w:val="00683CCC"/>
    <w:rsid w:val="00683CE4"/>
    <w:rsid w:val="00683DCF"/>
    <w:rsid w:val="00684056"/>
    <w:rsid w:val="006848CB"/>
    <w:rsid w:val="00684975"/>
    <w:rsid w:val="00684D41"/>
    <w:rsid w:val="00684D52"/>
    <w:rsid w:val="006850A0"/>
    <w:rsid w:val="006853BD"/>
    <w:rsid w:val="00685628"/>
    <w:rsid w:val="006856F6"/>
    <w:rsid w:val="0068575A"/>
    <w:rsid w:val="0068575D"/>
    <w:rsid w:val="00685793"/>
    <w:rsid w:val="006857B6"/>
    <w:rsid w:val="00685832"/>
    <w:rsid w:val="00685B81"/>
    <w:rsid w:val="00685D35"/>
    <w:rsid w:val="00685DB2"/>
    <w:rsid w:val="00685FC3"/>
    <w:rsid w:val="006860AB"/>
    <w:rsid w:val="00686195"/>
    <w:rsid w:val="00686369"/>
    <w:rsid w:val="006863E0"/>
    <w:rsid w:val="0068652E"/>
    <w:rsid w:val="00686578"/>
    <w:rsid w:val="00686962"/>
    <w:rsid w:val="006869AA"/>
    <w:rsid w:val="006869EB"/>
    <w:rsid w:val="00686C92"/>
    <w:rsid w:val="00686F47"/>
    <w:rsid w:val="0068725A"/>
    <w:rsid w:val="006872D8"/>
    <w:rsid w:val="006874F2"/>
    <w:rsid w:val="006876BA"/>
    <w:rsid w:val="00687B18"/>
    <w:rsid w:val="006900AD"/>
    <w:rsid w:val="00690126"/>
    <w:rsid w:val="006906E7"/>
    <w:rsid w:val="006908AC"/>
    <w:rsid w:val="006909EA"/>
    <w:rsid w:val="00690B2A"/>
    <w:rsid w:val="00690C9F"/>
    <w:rsid w:val="00690D24"/>
    <w:rsid w:val="00690EDA"/>
    <w:rsid w:val="00690F3D"/>
    <w:rsid w:val="00691042"/>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AEF"/>
    <w:rsid w:val="00692C2A"/>
    <w:rsid w:val="00692D2B"/>
    <w:rsid w:val="00692FBD"/>
    <w:rsid w:val="006930E8"/>
    <w:rsid w:val="006932EB"/>
    <w:rsid w:val="0069335C"/>
    <w:rsid w:val="006933DE"/>
    <w:rsid w:val="00693410"/>
    <w:rsid w:val="00693472"/>
    <w:rsid w:val="006939FB"/>
    <w:rsid w:val="00693B38"/>
    <w:rsid w:val="00693F9E"/>
    <w:rsid w:val="00694048"/>
    <w:rsid w:val="00694159"/>
    <w:rsid w:val="006943C5"/>
    <w:rsid w:val="00694627"/>
    <w:rsid w:val="00694A20"/>
    <w:rsid w:val="00694AA6"/>
    <w:rsid w:val="00694B64"/>
    <w:rsid w:val="00694D70"/>
    <w:rsid w:val="00694E44"/>
    <w:rsid w:val="00694E47"/>
    <w:rsid w:val="00694EC5"/>
    <w:rsid w:val="00695067"/>
    <w:rsid w:val="0069525D"/>
    <w:rsid w:val="006954CD"/>
    <w:rsid w:val="00695537"/>
    <w:rsid w:val="006957B0"/>
    <w:rsid w:val="006958F6"/>
    <w:rsid w:val="00695B6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C70"/>
    <w:rsid w:val="00697D1A"/>
    <w:rsid w:val="00697DD2"/>
    <w:rsid w:val="006A0105"/>
    <w:rsid w:val="006A0582"/>
    <w:rsid w:val="006A077E"/>
    <w:rsid w:val="006A0791"/>
    <w:rsid w:val="006A08D0"/>
    <w:rsid w:val="006A0A36"/>
    <w:rsid w:val="006A0BC3"/>
    <w:rsid w:val="006A0D95"/>
    <w:rsid w:val="006A0DA4"/>
    <w:rsid w:val="006A0DDF"/>
    <w:rsid w:val="006A0E94"/>
    <w:rsid w:val="006A0F76"/>
    <w:rsid w:val="006A0FDB"/>
    <w:rsid w:val="006A1093"/>
    <w:rsid w:val="006A1218"/>
    <w:rsid w:val="006A1226"/>
    <w:rsid w:val="006A12B4"/>
    <w:rsid w:val="006A1735"/>
    <w:rsid w:val="006A17CE"/>
    <w:rsid w:val="006A1948"/>
    <w:rsid w:val="006A1F70"/>
    <w:rsid w:val="006A22FF"/>
    <w:rsid w:val="006A24B0"/>
    <w:rsid w:val="006A28F5"/>
    <w:rsid w:val="006A292D"/>
    <w:rsid w:val="006A2B3E"/>
    <w:rsid w:val="006A2B78"/>
    <w:rsid w:val="006A2E54"/>
    <w:rsid w:val="006A2F60"/>
    <w:rsid w:val="006A31F3"/>
    <w:rsid w:val="006A3501"/>
    <w:rsid w:val="006A37B1"/>
    <w:rsid w:val="006A3953"/>
    <w:rsid w:val="006A3ADC"/>
    <w:rsid w:val="006A3DBD"/>
    <w:rsid w:val="006A3E38"/>
    <w:rsid w:val="006A3F30"/>
    <w:rsid w:val="006A46A9"/>
    <w:rsid w:val="006A4765"/>
    <w:rsid w:val="006A4B88"/>
    <w:rsid w:val="006A4C66"/>
    <w:rsid w:val="006A4DBD"/>
    <w:rsid w:val="006A4DD7"/>
    <w:rsid w:val="006A51C2"/>
    <w:rsid w:val="006A52D2"/>
    <w:rsid w:val="006A53FD"/>
    <w:rsid w:val="006A55C6"/>
    <w:rsid w:val="006A58E3"/>
    <w:rsid w:val="006A59E1"/>
    <w:rsid w:val="006A5A79"/>
    <w:rsid w:val="006A5C7F"/>
    <w:rsid w:val="006A5CBC"/>
    <w:rsid w:val="006A6151"/>
    <w:rsid w:val="006A6304"/>
    <w:rsid w:val="006A657F"/>
    <w:rsid w:val="006A66B9"/>
    <w:rsid w:val="006A66DE"/>
    <w:rsid w:val="006A69DD"/>
    <w:rsid w:val="006A6A5C"/>
    <w:rsid w:val="006A6C1F"/>
    <w:rsid w:val="006A6C2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E52"/>
    <w:rsid w:val="006B0E99"/>
    <w:rsid w:val="006B0F3D"/>
    <w:rsid w:val="006B1333"/>
    <w:rsid w:val="006B1720"/>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C18"/>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4F9"/>
    <w:rsid w:val="006B6558"/>
    <w:rsid w:val="006B65AB"/>
    <w:rsid w:val="006B6656"/>
    <w:rsid w:val="006B6818"/>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FBB"/>
    <w:rsid w:val="006C2FCC"/>
    <w:rsid w:val="006C315E"/>
    <w:rsid w:val="006C355C"/>
    <w:rsid w:val="006C35FA"/>
    <w:rsid w:val="006C3ABD"/>
    <w:rsid w:val="006C3D0B"/>
    <w:rsid w:val="006C3F10"/>
    <w:rsid w:val="006C46B5"/>
    <w:rsid w:val="006C495B"/>
    <w:rsid w:val="006C4F2C"/>
    <w:rsid w:val="006C4FB4"/>
    <w:rsid w:val="006C5060"/>
    <w:rsid w:val="006C5071"/>
    <w:rsid w:val="006C5114"/>
    <w:rsid w:val="006C516C"/>
    <w:rsid w:val="006C5280"/>
    <w:rsid w:val="006C5340"/>
    <w:rsid w:val="006C5855"/>
    <w:rsid w:val="006C5ADD"/>
    <w:rsid w:val="006C5AEE"/>
    <w:rsid w:val="006C5AEF"/>
    <w:rsid w:val="006C5BA2"/>
    <w:rsid w:val="006C5C6D"/>
    <w:rsid w:val="006C5D0B"/>
    <w:rsid w:val="006C5DF9"/>
    <w:rsid w:val="006C5E6B"/>
    <w:rsid w:val="006C5F57"/>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E2A"/>
    <w:rsid w:val="006C7F0B"/>
    <w:rsid w:val="006C7F5F"/>
    <w:rsid w:val="006D0054"/>
    <w:rsid w:val="006D0330"/>
    <w:rsid w:val="006D0611"/>
    <w:rsid w:val="006D09AF"/>
    <w:rsid w:val="006D0D2A"/>
    <w:rsid w:val="006D0DDF"/>
    <w:rsid w:val="006D0F57"/>
    <w:rsid w:val="006D0FB7"/>
    <w:rsid w:val="006D0FEA"/>
    <w:rsid w:val="006D1203"/>
    <w:rsid w:val="006D1442"/>
    <w:rsid w:val="006D14E5"/>
    <w:rsid w:val="006D1575"/>
    <w:rsid w:val="006D19CC"/>
    <w:rsid w:val="006D1FD2"/>
    <w:rsid w:val="006D21B9"/>
    <w:rsid w:val="006D227C"/>
    <w:rsid w:val="006D24F9"/>
    <w:rsid w:val="006D2546"/>
    <w:rsid w:val="006D25F8"/>
    <w:rsid w:val="006D27D5"/>
    <w:rsid w:val="006D27FD"/>
    <w:rsid w:val="006D2A88"/>
    <w:rsid w:val="006D2DFF"/>
    <w:rsid w:val="006D3286"/>
    <w:rsid w:val="006D344D"/>
    <w:rsid w:val="006D359E"/>
    <w:rsid w:val="006D396E"/>
    <w:rsid w:val="006D3E99"/>
    <w:rsid w:val="006D4303"/>
    <w:rsid w:val="006D432A"/>
    <w:rsid w:val="006D4958"/>
    <w:rsid w:val="006D4986"/>
    <w:rsid w:val="006D4CDD"/>
    <w:rsid w:val="006D4E10"/>
    <w:rsid w:val="006D501B"/>
    <w:rsid w:val="006D5295"/>
    <w:rsid w:val="006D5339"/>
    <w:rsid w:val="006D586F"/>
    <w:rsid w:val="006D58FF"/>
    <w:rsid w:val="006D5A2A"/>
    <w:rsid w:val="006D5F99"/>
    <w:rsid w:val="006D6415"/>
    <w:rsid w:val="006D65F0"/>
    <w:rsid w:val="006D6692"/>
    <w:rsid w:val="006D67D8"/>
    <w:rsid w:val="006D6844"/>
    <w:rsid w:val="006D6937"/>
    <w:rsid w:val="006D69CE"/>
    <w:rsid w:val="006D6A8E"/>
    <w:rsid w:val="006D6D6D"/>
    <w:rsid w:val="006D6E6A"/>
    <w:rsid w:val="006D704D"/>
    <w:rsid w:val="006D71A7"/>
    <w:rsid w:val="006D7749"/>
    <w:rsid w:val="006D7C47"/>
    <w:rsid w:val="006D7CDF"/>
    <w:rsid w:val="006D7D29"/>
    <w:rsid w:val="006D7D6E"/>
    <w:rsid w:val="006E029F"/>
    <w:rsid w:val="006E0405"/>
    <w:rsid w:val="006E042D"/>
    <w:rsid w:val="006E061B"/>
    <w:rsid w:val="006E06CF"/>
    <w:rsid w:val="006E0716"/>
    <w:rsid w:val="006E07D9"/>
    <w:rsid w:val="006E0855"/>
    <w:rsid w:val="006E0877"/>
    <w:rsid w:val="006E0A13"/>
    <w:rsid w:val="006E0B99"/>
    <w:rsid w:val="006E0BF5"/>
    <w:rsid w:val="006E0C52"/>
    <w:rsid w:val="006E0E20"/>
    <w:rsid w:val="006E0FD5"/>
    <w:rsid w:val="006E10B4"/>
    <w:rsid w:val="006E1593"/>
    <w:rsid w:val="006E16CF"/>
    <w:rsid w:val="006E186C"/>
    <w:rsid w:val="006E1ADD"/>
    <w:rsid w:val="006E1C3F"/>
    <w:rsid w:val="006E1FEB"/>
    <w:rsid w:val="006E2177"/>
    <w:rsid w:val="006E21BE"/>
    <w:rsid w:val="006E2290"/>
    <w:rsid w:val="006E2315"/>
    <w:rsid w:val="006E2B49"/>
    <w:rsid w:val="006E2F0B"/>
    <w:rsid w:val="006E3009"/>
    <w:rsid w:val="006E3081"/>
    <w:rsid w:val="006E310F"/>
    <w:rsid w:val="006E312F"/>
    <w:rsid w:val="006E33BA"/>
    <w:rsid w:val="006E370E"/>
    <w:rsid w:val="006E3787"/>
    <w:rsid w:val="006E390C"/>
    <w:rsid w:val="006E39D5"/>
    <w:rsid w:val="006E39F0"/>
    <w:rsid w:val="006E3BC1"/>
    <w:rsid w:val="006E3C46"/>
    <w:rsid w:val="006E3E92"/>
    <w:rsid w:val="006E3EF6"/>
    <w:rsid w:val="006E414C"/>
    <w:rsid w:val="006E420D"/>
    <w:rsid w:val="006E4237"/>
    <w:rsid w:val="006E43A9"/>
    <w:rsid w:val="006E491B"/>
    <w:rsid w:val="006E4B5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82C"/>
    <w:rsid w:val="006F188E"/>
    <w:rsid w:val="006F190A"/>
    <w:rsid w:val="006F1B0E"/>
    <w:rsid w:val="006F1CDA"/>
    <w:rsid w:val="006F1DE0"/>
    <w:rsid w:val="006F1F79"/>
    <w:rsid w:val="006F1FBB"/>
    <w:rsid w:val="006F226E"/>
    <w:rsid w:val="006F22F2"/>
    <w:rsid w:val="006F23CC"/>
    <w:rsid w:val="006F23EB"/>
    <w:rsid w:val="006F2701"/>
    <w:rsid w:val="006F2784"/>
    <w:rsid w:val="006F2AC0"/>
    <w:rsid w:val="006F2B54"/>
    <w:rsid w:val="006F2E1B"/>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6FF"/>
    <w:rsid w:val="006F7B1B"/>
    <w:rsid w:val="006F7C1D"/>
    <w:rsid w:val="006F7D10"/>
    <w:rsid w:val="006F7D82"/>
    <w:rsid w:val="006F7DDE"/>
    <w:rsid w:val="006F7EC0"/>
    <w:rsid w:val="006F7F9C"/>
    <w:rsid w:val="00700084"/>
    <w:rsid w:val="00700168"/>
    <w:rsid w:val="0070023D"/>
    <w:rsid w:val="00700258"/>
    <w:rsid w:val="00700320"/>
    <w:rsid w:val="00700391"/>
    <w:rsid w:val="00700B5D"/>
    <w:rsid w:val="00700F3A"/>
    <w:rsid w:val="00700F85"/>
    <w:rsid w:val="007013FA"/>
    <w:rsid w:val="007014FA"/>
    <w:rsid w:val="00701672"/>
    <w:rsid w:val="007016B0"/>
    <w:rsid w:val="007018FB"/>
    <w:rsid w:val="00701D8F"/>
    <w:rsid w:val="00701DEE"/>
    <w:rsid w:val="00701E5F"/>
    <w:rsid w:val="00701EFB"/>
    <w:rsid w:val="007020C2"/>
    <w:rsid w:val="0070211E"/>
    <w:rsid w:val="00702324"/>
    <w:rsid w:val="007024C2"/>
    <w:rsid w:val="00702537"/>
    <w:rsid w:val="0070292C"/>
    <w:rsid w:val="00702AE8"/>
    <w:rsid w:val="00702C38"/>
    <w:rsid w:val="00702FD9"/>
    <w:rsid w:val="00703121"/>
    <w:rsid w:val="00703374"/>
    <w:rsid w:val="007035BF"/>
    <w:rsid w:val="00703699"/>
    <w:rsid w:val="00703782"/>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5A"/>
    <w:rsid w:val="00704F80"/>
    <w:rsid w:val="00705253"/>
    <w:rsid w:val="00705589"/>
    <w:rsid w:val="007057AC"/>
    <w:rsid w:val="00705AE1"/>
    <w:rsid w:val="00705B27"/>
    <w:rsid w:val="00705E28"/>
    <w:rsid w:val="0070665E"/>
    <w:rsid w:val="00706915"/>
    <w:rsid w:val="0070693F"/>
    <w:rsid w:val="00706A6A"/>
    <w:rsid w:val="00706A6C"/>
    <w:rsid w:val="00706DE5"/>
    <w:rsid w:val="00707008"/>
    <w:rsid w:val="007073CF"/>
    <w:rsid w:val="007076D5"/>
    <w:rsid w:val="00707847"/>
    <w:rsid w:val="00707A79"/>
    <w:rsid w:val="00707D44"/>
    <w:rsid w:val="00707F17"/>
    <w:rsid w:val="00707FFA"/>
    <w:rsid w:val="007107E3"/>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60F"/>
    <w:rsid w:val="00712674"/>
    <w:rsid w:val="00712678"/>
    <w:rsid w:val="0071295C"/>
    <w:rsid w:val="007129F5"/>
    <w:rsid w:val="00712C1B"/>
    <w:rsid w:val="00712DB1"/>
    <w:rsid w:val="00712E5A"/>
    <w:rsid w:val="00712E70"/>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508"/>
    <w:rsid w:val="00714A85"/>
    <w:rsid w:val="00714AFB"/>
    <w:rsid w:val="00714B44"/>
    <w:rsid w:val="00714B4E"/>
    <w:rsid w:val="00714FBD"/>
    <w:rsid w:val="00714FF4"/>
    <w:rsid w:val="00715158"/>
    <w:rsid w:val="00715343"/>
    <w:rsid w:val="0071534A"/>
    <w:rsid w:val="007158BB"/>
    <w:rsid w:val="00716011"/>
    <w:rsid w:val="00716414"/>
    <w:rsid w:val="007167DB"/>
    <w:rsid w:val="00716885"/>
    <w:rsid w:val="00716B14"/>
    <w:rsid w:val="00716B3F"/>
    <w:rsid w:val="00716EEB"/>
    <w:rsid w:val="00716F22"/>
    <w:rsid w:val="0071702C"/>
    <w:rsid w:val="007174C6"/>
    <w:rsid w:val="0071758A"/>
    <w:rsid w:val="007177EE"/>
    <w:rsid w:val="00717AB6"/>
    <w:rsid w:val="00717B55"/>
    <w:rsid w:val="00717C4E"/>
    <w:rsid w:val="00717E97"/>
    <w:rsid w:val="00717F04"/>
    <w:rsid w:val="00717F9E"/>
    <w:rsid w:val="00720088"/>
    <w:rsid w:val="0072013B"/>
    <w:rsid w:val="0072017A"/>
    <w:rsid w:val="00720551"/>
    <w:rsid w:val="007205EA"/>
    <w:rsid w:val="0072085B"/>
    <w:rsid w:val="00720902"/>
    <w:rsid w:val="00720A27"/>
    <w:rsid w:val="00720BB1"/>
    <w:rsid w:val="00720BEA"/>
    <w:rsid w:val="00720EB3"/>
    <w:rsid w:val="00720FCD"/>
    <w:rsid w:val="007211BF"/>
    <w:rsid w:val="007211FE"/>
    <w:rsid w:val="00721273"/>
    <w:rsid w:val="007212B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762"/>
    <w:rsid w:val="007267F9"/>
    <w:rsid w:val="007269AC"/>
    <w:rsid w:val="00726C2C"/>
    <w:rsid w:val="00726DFA"/>
    <w:rsid w:val="00727231"/>
    <w:rsid w:val="00727B00"/>
    <w:rsid w:val="00727B94"/>
    <w:rsid w:val="00727C16"/>
    <w:rsid w:val="00727DFE"/>
    <w:rsid w:val="00730018"/>
    <w:rsid w:val="00730346"/>
    <w:rsid w:val="00730423"/>
    <w:rsid w:val="0073082D"/>
    <w:rsid w:val="00730A10"/>
    <w:rsid w:val="00730BC4"/>
    <w:rsid w:val="0073103D"/>
    <w:rsid w:val="007313E9"/>
    <w:rsid w:val="00731629"/>
    <w:rsid w:val="00731AA8"/>
    <w:rsid w:val="00731C50"/>
    <w:rsid w:val="00731DF0"/>
    <w:rsid w:val="007320FD"/>
    <w:rsid w:val="00732733"/>
    <w:rsid w:val="007327BE"/>
    <w:rsid w:val="00732847"/>
    <w:rsid w:val="007328FF"/>
    <w:rsid w:val="00733050"/>
    <w:rsid w:val="007330EB"/>
    <w:rsid w:val="00733391"/>
    <w:rsid w:val="0073348A"/>
    <w:rsid w:val="007336C9"/>
    <w:rsid w:val="00733738"/>
    <w:rsid w:val="00733CE6"/>
    <w:rsid w:val="00733DE0"/>
    <w:rsid w:val="00733E23"/>
    <w:rsid w:val="00733EF4"/>
    <w:rsid w:val="0073410C"/>
    <w:rsid w:val="00734183"/>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547"/>
    <w:rsid w:val="0073568C"/>
    <w:rsid w:val="00735970"/>
    <w:rsid w:val="00735B15"/>
    <w:rsid w:val="00735BF1"/>
    <w:rsid w:val="00735F5A"/>
    <w:rsid w:val="00736020"/>
    <w:rsid w:val="0073621D"/>
    <w:rsid w:val="0073625C"/>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2B"/>
    <w:rsid w:val="00741DE1"/>
    <w:rsid w:val="007420DC"/>
    <w:rsid w:val="00742820"/>
    <w:rsid w:val="00742983"/>
    <w:rsid w:val="00742BB4"/>
    <w:rsid w:val="00742C03"/>
    <w:rsid w:val="00742C12"/>
    <w:rsid w:val="00742CBF"/>
    <w:rsid w:val="00742D5F"/>
    <w:rsid w:val="007430B7"/>
    <w:rsid w:val="0074311E"/>
    <w:rsid w:val="0074385A"/>
    <w:rsid w:val="007438D5"/>
    <w:rsid w:val="00743900"/>
    <w:rsid w:val="0074391B"/>
    <w:rsid w:val="00743A98"/>
    <w:rsid w:val="00743E28"/>
    <w:rsid w:val="0074418F"/>
    <w:rsid w:val="007443CB"/>
    <w:rsid w:val="00744795"/>
    <w:rsid w:val="007448C4"/>
    <w:rsid w:val="007448E9"/>
    <w:rsid w:val="00744AE1"/>
    <w:rsid w:val="00744B4C"/>
    <w:rsid w:val="00744B69"/>
    <w:rsid w:val="00744C78"/>
    <w:rsid w:val="00744D4B"/>
    <w:rsid w:val="00744F7D"/>
    <w:rsid w:val="00744FB4"/>
    <w:rsid w:val="007450C7"/>
    <w:rsid w:val="007451A4"/>
    <w:rsid w:val="007451EA"/>
    <w:rsid w:val="007453DA"/>
    <w:rsid w:val="00745448"/>
    <w:rsid w:val="00745688"/>
    <w:rsid w:val="007457B3"/>
    <w:rsid w:val="00745878"/>
    <w:rsid w:val="0074594E"/>
    <w:rsid w:val="00745A89"/>
    <w:rsid w:val="00745C5B"/>
    <w:rsid w:val="00745F39"/>
    <w:rsid w:val="00745FE7"/>
    <w:rsid w:val="007460C6"/>
    <w:rsid w:val="007461DB"/>
    <w:rsid w:val="00746265"/>
    <w:rsid w:val="007463C6"/>
    <w:rsid w:val="007464D6"/>
    <w:rsid w:val="00746555"/>
    <w:rsid w:val="007468B7"/>
    <w:rsid w:val="007468D3"/>
    <w:rsid w:val="00746ABA"/>
    <w:rsid w:val="00746BE6"/>
    <w:rsid w:val="00746DA5"/>
    <w:rsid w:val="00746DBE"/>
    <w:rsid w:val="00747068"/>
    <w:rsid w:val="0074718A"/>
    <w:rsid w:val="0074741C"/>
    <w:rsid w:val="007501A7"/>
    <w:rsid w:val="007502DB"/>
    <w:rsid w:val="0075031B"/>
    <w:rsid w:val="007504D4"/>
    <w:rsid w:val="007504F9"/>
    <w:rsid w:val="007505FA"/>
    <w:rsid w:val="0075082E"/>
    <w:rsid w:val="0075084C"/>
    <w:rsid w:val="0075084E"/>
    <w:rsid w:val="00750888"/>
    <w:rsid w:val="00750AFD"/>
    <w:rsid w:val="00750C98"/>
    <w:rsid w:val="00750EA6"/>
    <w:rsid w:val="00751003"/>
    <w:rsid w:val="0075129F"/>
    <w:rsid w:val="007512BA"/>
    <w:rsid w:val="007512D6"/>
    <w:rsid w:val="00751591"/>
    <w:rsid w:val="007516C2"/>
    <w:rsid w:val="007516DC"/>
    <w:rsid w:val="00751941"/>
    <w:rsid w:val="00751949"/>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60D"/>
    <w:rsid w:val="0075361D"/>
    <w:rsid w:val="00753772"/>
    <w:rsid w:val="00753927"/>
    <w:rsid w:val="00753B2D"/>
    <w:rsid w:val="00753C4D"/>
    <w:rsid w:val="00753C6D"/>
    <w:rsid w:val="00753D39"/>
    <w:rsid w:val="00753D46"/>
    <w:rsid w:val="00753D54"/>
    <w:rsid w:val="00753DBB"/>
    <w:rsid w:val="0075410C"/>
    <w:rsid w:val="007545ED"/>
    <w:rsid w:val="007548D4"/>
    <w:rsid w:val="00754A78"/>
    <w:rsid w:val="00754BCD"/>
    <w:rsid w:val="00754CCE"/>
    <w:rsid w:val="00754F94"/>
    <w:rsid w:val="007551CD"/>
    <w:rsid w:val="00755215"/>
    <w:rsid w:val="00755291"/>
    <w:rsid w:val="007557B6"/>
    <w:rsid w:val="00755AF9"/>
    <w:rsid w:val="00755CB2"/>
    <w:rsid w:val="00755D2C"/>
    <w:rsid w:val="00755D5E"/>
    <w:rsid w:val="00755DDA"/>
    <w:rsid w:val="00755E2E"/>
    <w:rsid w:val="00755E3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3B"/>
    <w:rsid w:val="00756F47"/>
    <w:rsid w:val="0075718F"/>
    <w:rsid w:val="0075736D"/>
    <w:rsid w:val="00757418"/>
    <w:rsid w:val="007574C2"/>
    <w:rsid w:val="007574CE"/>
    <w:rsid w:val="007575F9"/>
    <w:rsid w:val="00757ADE"/>
    <w:rsid w:val="00757C0A"/>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A7"/>
    <w:rsid w:val="00762B63"/>
    <w:rsid w:val="00762BA7"/>
    <w:rsid w:val="00762C7B"/>
    <w:rsid w:val="00762D60"/>
    <w:rsid w:val="00762E48"/>
    <w:rsid w:val="00762F11"/>
    <w:rsid w:val="00763002"/>
    <w:rsid w:val="0076340F"/>
    <w:rsid w:val="007634DA"/>
    <w:rsid w:val="007637A3"/>
    <w:rsid w:val="00763850"/>
    <w:rsid w:val="00763956"/>
    <w:rsid w:val="0076399F"/>
    <w:rsid w:val="007639AB"/>
    <w:rsid w:val="00763ABB"/>
    <w:rsid w:val="00763B11"/>
    <w:rsid w:val="00763BC0"/>
    <w:rsid w:val="00763CB0"/>
    <w:rsid w:val="00763E45"/>
    <w:rsid w:val="00764032"/>
    <w:rsid w:val="007640FA"/>
    <w:rsid w:val="00764182"/>
    <w:rsid w:val="00764220"/>
    <w:rsid w:val="00764B8F"/>
    <w:rsid w:val="00764DAB"/>
    <w:rsid w:val="00764EB9"/>
    <w:rsid w:val="0076505C"/>
    <w:rsid w:val="007653B0"/>
    <w:rsid w:val="007653EA"/>
    <w:rsid w:val="007654E3"/>
    <w:rsid w:val="0076566C"/>
    <w:rsid w:val="00765873"/>
    <w:rsid w:val="007659A1"/>
    <w:rsid w:val="00765C90"/>
    <w:rsid w:val="00765DD5"/>
    <w:rsid w:val="00765DF2"/>
    <w:rsid w:val="00765F6C"/>
    <w:rsid w:val="007660B0"/>
    <w:rsid w:val="007662AF"/>
    <w:rsid w:val="00766432"/>
    <w:rsid w:val="00766551"/>
    <w:rsid w:val="007665E2"/>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23E"/>
    <w:rsid w:val="007704A0"/>
    <w:rsid w:val="007707FF"/>
    <w:rsid w:val="007708E7"/>
    <w:rsid w:val="0077094D"/>
    <w:rsid w:val="00770A62"/>
    <w:rsid w:val="00770A90"/>
    <w:rsid w:val="00770A9C"/>
    <w:rsid w:val="00770B89"/>
    <w:rsid w:val="00770CE0"/>
    <w:rsid w:val="0077111B"/>
    <w:rsid w:val="0077142B"/>
    <w:rsid w:val="00771466"/>
    <w:rsid w:val="0077157F"/>
    <w:rsid w:val="0077171B"/>
    <w:rsid w:val="0077183E"/>
    <w:rsid w:val="007719F5"/>
    <w:rsid w:val="00771A14"/>
    <w:rsid w:val="00771B23"/>
    <w:rsid w:val="0077201F"/>
    <w:rsid w:val="0077227D"/>
    <w:rsid w:val="007723DB"/>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D8A"/>
    <w:rsid w:val="00773F5B"/>
    <w:rsid w:val="00774178"/>
    <w:rsid w:val="0077426A"/>
    <w:rsid w:val="00774296"/>
    <w:rsid w:val="007743CD"/>
    <w:rsid w:val="007743EB"/>
    <w:rsid w:val="007744CF"/>
    <w:rsid w:val="0077476E"/>
    <w:rsid w:val="00774778"/>
    <w:rsid w:val="0077502D"/>
    <w:rsid w:val="007755C9"/>
    <w:rsid w:val="00775629"/>
    <w:rsid w:val="007756EA"/>
    <w:rsid w:val="0077577D"/>
    <w:rsid w:val="00775A31"/>
    <w:rsid w:val="00775B2A"/>
    <w:rsid w:val="00775C91"/>
    <w:rsid w:val="00775D2B"/>
    <w:rsid w:val="00775F2D"/>
    <w:rsid w:val="0077604E"/>
    <w:rsid w:val="007760C0"/>
    <w:rsid w:val="0077617B"/>
    <w:rsid w:val="00776295"/>
    <w:rsid w:val="0077678E"/>
    <w:rsid w:val="00776C26"/>
    <w:rsid w:val="00776CBF"/>
    <w:rsid w:val="0077718F"/>
    <w:rsid w:val="007771BE"/>
    <w:rsid w:val="007772DB"/>
    <w:rsid w:val="00777796"/>
    <w:rsid w:val="0077794C"/>
    <w:rsid w:val="00777B8D"/>
    <w:rsid w:val="007800A0"/>
    <w:rsid w:val="007800FA"/>
    <w:rsid w:val="00780273"/>
    <w:rsid w:val="00780299"/>
    <w:rsid w:val="00780408"/>
    <w:rsid w:val="007805B1"/>
    <w:rsid w:val="00780734"/>
    <w:rsid w:val="00780758"/>
    <w:rsid w:val="00780783"/>
    <w:rsid w:val="00780786"/>
    <w:rsid w:val="007807B5"/>
    <w:rsid w:val="00780E1C"/>
    <w:rsid w:val="00780E27"/>
    <w:rsid w:val="00780E7E"/>
    <w:rsid w:val="00780F21"/>
    <w:rsid w:val="00781094"/>
    <w:rsid w:val="007813E3"/>
    <w:rsid w:val="00781752"/>
    <w:rsid w:val="0078180D"/>
    <w:rsid w:val="00781848"/>
    <w:rsid w:val="00781865"/>
    <w:rsid w:val="00781932"/>
    <w:rsid w:val="00781F47"/>
    <w:rsid w:val="00782013"/>
    <w:rsid w:val="007821B4"/>
    <w:rsid w:val="007824C0"/>
    <w:rsid w:val="007826E3"/>
    <w:rsid w:val="007826FF"/>
    <w:rsid w:val="00782A0B"/>
    <w:rsid w:val="00782B14"/>
    <w:rsid w:val="00782C46"/>
    <w:rsid w:val="00782D19"/>
    <w:rsid w:val="00782DC6"/>
    <w:rsid w:val="00782DCA"/>
    <w:rsid w:val="007835FA"/>
    <w:rsid w:val="0078376B"/>
    <w:rsid w:val="007838FB"/>
    <w:rsid w:val="00783D15"/>
    <w:rsid w:val="00783ED8"/>
    <w:rsid w:val="00783F13"/>
    <w:rsid w:val="00784242"/>
    <w:rsid w:val="007847CF"/>
    <w:rsid w:val="00784B01"/>
    <w:rsid w:val="00784D3E"/>
    <w:rsid w:val="00784FE7"/>
    <w:rsid w:val="007850A6"/>
    <w:rsid w:val="0078554F"/>
    <w:rsid w:val="0078592D"/>
    <w:rsid w:val="00785B2C"/>
    <w:rsid w:val="00785DB6"/>
    <w:rsid w:val="00785DFA"/>
    <w:rsid w:val="00785FA0"/>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90088"/>
    <w:rsid w:val="00790184"/>
    <w:rsid w:val="0079064A"/>
    <w:rsid w:val="0079079F"/>
    <w:rsid w:val="00790974"/>
    <w:rsid w:val="00790EFE"/>
    <w:rsid w:val="00791417"/>
    <w:rsid w:val="007914E0"/>
    <w:rsid w:val="00791587"/>
    <w:rsid w:val="007916AC"/>
    <w:rsid w:val="00791820"/>
    <w:rsid w:val="00791C76"/>
    <w:rsid w:val="00791E02"/>
    <w:rsid w:val="00791E1C"/>
    <w:rsid w:val="00791E1F"/>
    <w:rsid w:val="0079214B"/>
    <w:rsid w:val="00792185"/>
    <w:rsid w:val="00792412"/>
    <w:rsid w:val="007924EC"/>
    <w:rsid w:val="007926B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652"/>
    <w:rsid w:val="007976B9"/>
    <w:rsid w:val="00797813"/>
    <w:rsid w:val="007978B1"/>
    <w:rsid w:val="00797C42"/>
    <w:rsid w:val="00797D04"/>
    <w:rsid w:val="00797FB4"/>
    <w:rsid w:val="007A002E"/>
    <w:rsid w:val="007A02D2"/>
    <w:rsid w:val="007A048F"/>
    <w:rsid w:val="007A05CF"/>
    <w:rsid w:val="007A05F6"/>
    <w:rsid w:val="007A0956"/>
    <w:rsid w:val="007A0B71"/>
    <w:rsid w:val="007A0BE7"/>
    <w:rsid w:val="007A0E0D"/>
    <w:rsid w:val="007A0E55"/>
    <w:rsid w:val="007A0F8E"/>
    <w:rsid w:val="007A0FA0"/>
    <w:rsid w:val="007A101B"/>
    <w:rsid w:val="007A110E"/>
    <w:rsid w:val="007A11BD"/>
    <w:rsid w:val="007A1308"/>
    <w:rsid w:val="007A1385"/>
    <w:rsid w:val="007A1467"/>
    <w:rsid w:val="007A156D"/>
    <w:rsid w:val="007A2003"/>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4C53"/>
    <w:rsid w:val="007A5045"/>
    <w:rsid w:val="007A5141"/>
    <w:rsid w:val="007A5244"/>
    <w:rsid w:val="007A52E2"/>
    <w:rsid w:val="007A53BB"/>
    <w:rsid w:val="007A5735"/>
    <w:rsid w:val="007A5A44"/>
    <w:rsid w:val="007A5ADC"/>
    <w:rsid w:val="007A5B2A"/>
    <w:rsid w:val="007A5B83"/>
    <w:rsid w:val="007A613D"/>
    <w:rsid w:val="007A6399"/>
    <w:rsid w:val="007A63E9"/>
    <w:rsid w:val="007A66AC"/>
    <w:rsid w:val="007A6883"/>
    <w:rsid w:val="007A693D"/>
    <w:rsid w:val="007A6944"/>
    <w:rsid w:val="007A69A8"/>
    <w:rsid w:val="007A69B5"/>
    <w:rsid w:val="007A723B"/>
    <w:rsid w:val="007A7480"/>
    <w:rsid w:val="007A7493"/>
    <w:rsid w:val="007A7630"/>
    <w:rsid w:val="007A76DD"/>
    <w:rsid w:val="007A7708"/>
    <w:rsid w:val="007A772F"/>
    <w:rsid w:val="007A7B2F"/>
    <w:rsid w:val="007A7B71"/>
    <w:rsid w:val="007A7CAE"/>
    <w:rsid w:val="007A7D0C"/>
    <w:rsid w:val="007A7EE4"/>
    <w:rsid w:val="007B00FE"/>
    <w:rsid w:val="007B01B5"/>
    <w:rsid w:val="007B0206"/>
    <w:rsid w:val="007B07DF"/>
    <w:rsid w:val="007B0AE6"/>
    <w:rsid w:val="007B0C34"/>
    <w:rsid w:val="007B0C99"/>
    <w:rsid w:val="007B0DE9"/>
    <w:rsid w:val="007B0EB4"/>
    <w:rsid w:val="007B0EC3"/>
    <w:rsid w:val="007B0EE6"/>
    <w:rsid w:val="007B0F21"/>
    <w:rsid w:val="007B1134"/>
    <w:rsid w:val="007B12F0"/>
    <w:rsid w:val="007B137B"/>
    <w:rsid w:val="007B14DC"/>
    <w:rsid w:val="007B14EB"/>
    <w:rsid w:val="007B1A9C"/>
    <w:rsid w:val="007B1B1F"/>
    <w:rsid w:val="007B1D50"/>
    <w:rsid w:val="007B1D81"/>
    <w:rsid w:val="007B1FCA"/>
    <w:rsid w:val="007B2054"/>
    <w:rsid w:val="007B2C74"/>
    <w:rsid w:val="007B2D95"/>
    <w:rsid w:val="007B2EB0"/>
    <w:rsid w:val="007B3062"/>
    <w:rsid w:val="007B3063"/>
    <w:rsid w:val="007B3114"/>
    <w:rsid w:val="007B353C"/>
    <w:rsid w:val="007B4165"/>
    <w:rsid w:val="007B43AD"/>
    <w:rsid w:val="007B43BC"/>
    <w:rsid w:val="007B43E3"/>
    <w:rsid w:val="007B461D"/>
    <w:rsid w:val="007B46DF"/>
    <w:rsid w:val="007B48AF"/>
    <w:rsid w:val="007B48ED"/>
    <w:rsid w:val="007B496F"/>
    <w:rsid w:val="007B4DBF"/>
    <w:rsid w:val="007B4E92"/>
    <w:rsid w:val="007B4F86"/>
    <w:rsid w:val="007B543F"/>
    <w:rsid w:val="007B546C"/>
    <w:rsid w:val="007B5510"/>
    <w:rsid w:val="007B5641"/>
    <w:rsid w:val="007B595B"/>
    <w:rsid w:val="007B5ABE"/>
    <w:rsid w:val="007B5DB6"/>
    <w:rsid w:val="007B6069"/>
    <w:rsid w:val="007B60DB"/>
    <w:rsid w:val="007B64ED"/>
    <w:rsid w:val="007B669F"/>
    <w:rsid w:val="007B683E"/>
    <w:rsid w:val="007B68CA"/>
    <w:rsid w:val="007B68DE"/>
    <w:rsid w:val="007B6B8C"/>
    <w:rsid w:val="007B6CED"/>
    <w:rsid w:val="007B6E0E"/>
    <w:rsid w:val="007B719E"/>
    <w:rsid w:val="007B7448"/>
    <w:rsid w:val="007B7733"/>
    <w:rsid w:val="007B794A"/>
    <w:rsid w:val="007B7A6A"/>
    <w:rsid w:val="007B7E4D"/>
    <w:rsid w:val="007B7E7E"/>
    <w:rsid w:val="007B7E9B"/>
    <w:rsid w:val="007C029D"/>
    <w:rsid w:val="007C02CB"/>
    <w:rsid w:val="007C0598"/>
    <w:rsid w:val="007C0829"/>
    <w:rsid w:val="007C08AA"/>
    <w:rsid w:val="007C099F"/>
    <w:rsid w:val="007C0AFA"/>
    <w:rsid w:val="007C0B7D"/>
    <w:rsid w:val="007C0B8E"/>
    <w:rsid w:val="007C0F74"/>
    <w:rsid w:val="007C0FB9"/>
    <w:rsid w:val="007C0FD9"/>
    <w:rsid w:val="007C1227"/>
    <w:rsid w:val="007C135D"/>
    <w:rsid w:val="007C148B"/>
    <w:rsid w:val="007C155E"/>
    <w:rsid w:val="007C17E4"/>
    <w:rsid w:val="007C186E"/>
    <w:rsid w:val="007C1AA9"/>
    <w:rsid w:val="007C1C47"/>
    <w:rsid w:val="007C1C66"/>
    <w:rsid w:val="007C1CD6"/>
    <w:rsid w:val="007C1D68"/>
    <w:rsid w:val="007C1EAC"/>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D4"/>
    <w:rsid w:val="007C3D85"/>
    <w:rsid w:val="007C3DBE"/>
    <w:rsid w:val="007C3E5B"/>
    <w:rsid w:val="007C3E63"/>
    <w:rsid w:val="007C4066"/>
    <w:rsid w:val="007C40BB"/>
    <w:rsid w:val="007C4228"/>
    <w:rsid w:val="007C441E"/>
    <w:rsid w:val="007C46AD"/>
    <w:rsid w:val="007C470A"/>
    <w:rsid w:val="007C498B"/>
    <w:rsid w:val="007C4AF9"/>
    <w:rsid w:val="007C4F02"/>
    <w:rsid w:val="007C4F15"/>
    <w:rsid w:val="007C5080"/>
    <w:rsid w:val="007C51A4"/>
    <w:rsid w:val="007C5207"/>
    <w:rsid w:val="007C5292"/>
    <w:rsid w:val="007C54E3"/>
    <w:rsid w:val="007C54E4"/>
    <w:rsid w:val="007C5A6B"/>
    <w:rsid w:val="007C5C0C"/>
    <w:rsid w:val="007C5D33"/>
    <w:rsid w:val="007C5E9F"/>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712"/>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490"/>
    <w:rsid w:val="007D457D"/>
    <w:rsid w:val="007D49E0"/>
    <w:rsid w:val="007D4B15"/>
    <w:rsid w:val="007D4C12"/>
    <w:rsid w:val="007D4EEA"/>
    <w:rsid w:val="007D4F75"/>
    <w:rsid w:val="007D5130"/>
    <w:rsid w:val="007D5209"/>
    <w:rsid w:val="007D52D8"/>
    <w:rsid w:val="007D548C"/>
    <w:rsid w:val="007D5518"/>
    <w:rsid w:val="007D5568"/>
    <w:rsid w:val="007D5865"/>
    <w:rsid w:val="007D58C6"/>
    <w:rsid w:val="007D5EBC"/>
    <w:rsid w:val="007D663A"/>
    <w:rsid w:val="007D6675"/>
    <w:rsid w:val="007D66C1"/>
    <w:rsid w:val="007D6D9C"/>
    <w:rsid w:val="007D6DBF"/>
    <w:rsid w:val="007D6EF8"/>
    <w:rsid w:val="007D7134"/>
    <w:rsid w:val="007D7B7B"/>
    <w:rsid w:val="007D7EC6"/>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446"/>
    <w:rsid w:val="007E25CF"/>
    <w:rsid w:val="007E266F"/>
    <w:rsid w:val="007E27BA"/>
    <w:rsid w:val="007E2917"/>
    <w:rsid w:val="007E2947"/>
    <w:rsid w:val="007E2A46"/>
    <w:rsid w:val="007E2B3B"/>
    <w:rsid w:val="007E2BE4"/>
    <w:rsid w:val="007E2BF9"/>
    <w:rsid w:val="007E2D97"/>
    <w:rsid w:val="007E305F"/>
    <w:rsid w:val="007E31DD"/>
    <w:rsid w:val="007E31E4"/>
    <w:rsid w:val="007E32FD"/>
    <w:rsid w:val="007E3492"/>
    <w:rsid w:val="007E36D2"/>
    <w:rsid w:val="007E38E2"/>
    <w:rsid w:val="007E39AC"/>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BDD"/>
    <w:rsid w:val="007E5FFC"/>
    <w:rsid w:val="007E6024"/>
    <w:rsid w:val="007E65A1"/>
    <w:rsid w:val="007E6898"/>
    <w:rsid w:val="007E68A8"/>
    <w:rsid w:val="007E6B6D"/>
    <w:rsid w:val="007E6C64"/>
    <w:rsid w:val="007E6C80"/>
    <w:rsid w:val="007E6CD9"/>
    <w:rsid w:val="007E6D87"/>
    <w:rsid w:val="007E6E5D"/>
    <w:rsid w:val="007E6EC6"/>
    <w:rsid w:val="007E6EF5"/>
    <w:rsid w:val="007E6EFD"/>
    <w:rsid w:val="007E6FD9"/>
    <w:rsid w:val="007E73AD"/>
    <w:rsid w:val="007E745A"/>
    <w:rsid w:val="007E7835"/>
    <w:rsid w:val="007E794B"/>
    <w:rsid w:val="007E79F3"/>
    <w:rsid w:val="007E7D10"/>
    <w:rsid w:val="007E7D9D"/>
    <w:rsid w:val="007E7F5D"/>
    <w:rsid w:val="007E7F5E"/>
    <w:rsid w:val="007F0100"/>
    <w:rsid w:val="007F0569"/>
    <w:rsid w:val="007F05CF"/>
    <w:rsid w:val="007F068B"/>
    <w:rsid w:val="007F089C"/>
    <w:rsid w:val="007F0C96"/>
    <w:rsid w:val="007F0D6F"/>
    <w:rsid w:val="007F10BB"/>
    <w:rsid w:val="007F13E9"/>
    <w:rsid w:val="007F1610"/>
    <w:rsid w:val="007F1719"/>
    <w:rsid w:val="007F1A08"/>
    <w:rsid w:val="007F1C9F"/>
    <w:rsid w:val="007F1D05"/>
    <w:rsid w:val="007F1D98"/>
    <w:rsid w:val="007F1EA2"/>
    <w:rsid w:val="007F218E"/>
    <w:rsid w:val="007F243E"/>
    <w:rsid w:val="007F274D"/>
    <w:rsid w:val="007F2A94"/>
    <w:rsid w:val="007F2C2C"/>
    <w:rsid w:val="007F2C46"/>
    <w:rsid w:val="007F33D5"/>
    <w:rsid w:val="007F36BF"/>
    <w:rsid w:val="007F3714"/>
    <w:rsid w:val="007F3CE8"/>
    <w:rsid w:val="007F3E55"/>
    <w:rsid w:val="007F3EED"/>
    <w:rsid w:val="007F470C"/>
    <w:rsid w:val="007F476D"/>
    <w:rsid w:val="007F498C"/>
    <w:rsid w:val="007F49F6"/>
    <w:rsid w:val="007F4B96"/>
    <w:rsid w:val="007F4C6B"/>
    <w:rsid w:val="007F4CED"/>
    <w:rsid w:val="007F4D37"/>
    <w:rsid w:val="007F4F9B"/>
    <w:rsid w:val="007F51C9"/>
    <w:rsid w:val="007F5601"/>
    <w:rsid w:val="007F566A"/>
    <w:rsid w:val="007F56D9"/>
    <w:rsid w:val="007F56DA"/>
    <w:rsid w:val="007F5910"/>
    <w:rsid w:val="007F59ED"/>
    <w:rsid w:val="007F5E61"/>
    <w:rsid w:val="007F5EF0"/>
    <w:rsid w:val="007F60C9"/>
    <w:rsid w:val="007F61CE"/>
    <w:rsid w:val="007F62CE"/>
    <w:rsid w:val="007F649E"/>
    <w:rsid w:val="007F67D5"/>
    <w:rsid w:val="007F6947"/>
    <w:rsid w:val="007F6A6C"/>
    <w:rsid w:val="007F6ACC"/>
    <w:rsid w:val="007F6C91"/>
    <w:rsid w:val="007F6D11"/>
    <w:rsid w:val="007F6DD5"/>
    <w:rsid w:val="007F6E02"/>
    <w:rsid w:val="007F7087"/>
    <w:rsid w:val="007F7212"/>
    <w:rsid w:val="007F7397"/>
    <w:rsid w:val="007F74BA"/>
    <w:rsid w:val="007F77D1"/>
    <w:rsid w:val="007F7865"/>
    <w:rsid w:val="007F7AD6"/>
    <w:rsid w:val="007F7FD6"/>
    <w:rsid w:val="00800175"/>
    <w:rsid w:val="008004FC"/>
    <w:rsid w:val="0080056F"/>
    <w:rsid w:val="008005BC"/>
    <w:rsid w:val="00800631"/>
    <w:rsid w:val="008007AA"/>
    <w:rsid w:val="008007DF"/>
    <w:rsid w:val="00800AD4"/>
    <w:rsid w:val="00800C2A"/>
    <w:rsid w:val="00800D98"/>
    <w:rsid w:val="00800E22"/>
    <w:rsid w:val="00800F5C"/>
    <w:rsid w:val="008011F0"/>
    <w:rsid w:val="00801300"/>
    <w:rsid w:val="0080161F"/>
    <w:rsid w:val="0080164F"/>
    <w:rsid w:val="008016D1"/>
    <w:rsid w:val="008018EC"/>
    <w:rsid w:val="00801D83"/>
    <w:rsid w:val="00801E6B"/>
    <w:rsid w:val="00802088"/>
    <w:rsid w:val="0080234F"/>
    <w:rsid w:val="00802C77"/>
    <w:rsid w:val="00802CCF"/>
    <w:rsid w:val="00802F7D"/>
    <w:rsid w:val="008030D0"/>
    <w:rsid w:val="0080313B"/>
    <w:rsid w:val="00803510"/>
    <w:rsid w:val="00803641"/>
    <w:rsid w:val="008037B3"/>
    <w:rsid w:val="00803A91"/>
    <w:rsid w:val="00803D0A"/>
    <w:rsid w:val="00803D9D"/>
    <w:rsid w:val="00803DF8"/>
    <w:rsid w:val="00803F63"/>
    <w:rsid w:val="00803F76"/>
    <w:rsid w:val="00803FB7"/>
    <w:rsid w:val="00804261"/>
    <w:rsid w:val="008046CF"/>
    <w:rsid w:val="008047F8"/>
    <w:rsid w:val="00804910"/>
    <w:rsid w:val="0080496A"/>
    <w:rsid w:val="008049CD"/>
    <w:rsid w:val="008049DA"/>
    <w:rsid w:val="00804B2D"/>
    <w:rsid w:val="00804B99"/>
    <w:rsid w:val="00804D1C"/>
    <w:rsid w:val="00804D25"/>
    <w:rsid w:val="00804FCD"/>
    <w:rsid w:val="00805006"/>
    <w:rsid w:val="008051B4"/>
    <w:rsid w:val="008051EA"/>
    <w:rsid w:val="008057AD"/>
    <w:rsid w:val="00805988"/>
    <w:rsid w:val="00805A43"/>
    <w:rsid w:val="00805AE5"/>
    <w:rsid w:val="00805B0F"/>
    <w:rsid w:val="00805FD7"/>
    <w:rsid w:val="00805FF3"/>
    <w:rsid w:val="00806168"/>
    <w:rsid w:val="00806320"/>
    <w:rsid w:val="008066C8"/>
    <w:rsid w:val="00806FF5"/>
    <w:rsid w:val="008071D5"/>
    <w:rsid w:val="0080724D"/>
    <w:rsid w:val="008074D5"/>
    <w:rsid w:val="008074F3"/>
    <w:rsid w:val="0080750D"/>
    <w:rsid w:val="00807719"/>
    <w:rsid w:val="008077E1"/>
    <w:rsid w:val="00807854"/>
    <w:rsid w:val="008078F6"/>
    <w:rsid w:val="0080795F"/>
    <w:rsid w:val="00807AEA"/>
    <w:rsid w:val="00807B13"/>
    <w:rsid w:val="00807BE5"/>
    <w:rsid w:val="00807E1E"/>
    <w:rsid w:val="00807EA6"/>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10AA"/>
    <w:rsid w:val="00811361"/>
    <w:rsid w:val="00811386"/>
    <w:rsid w:val="00811685"/>
    <w:rsid w:val="00811736"/>
    <w:rsid w:val="008118A6"/>
    <w:rsid w:val="008118EA"/>
    <w:rsid w:val="00811B75"/>
    <w:rsid w:val="00811DB4"/>
    <w:rsid w:val="00811EE4"/>
    <w:rsid w:val="00811F64"/>
    <w:rsid w:val="00811FE1"/>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F34"/>
    <w:rsid w:val="0081462B"/>
    <w:rsid w:val="008147CE"/>
    <w:rsid w:val="0081482A"/>
    <w:rsid w:val="008148B8"/>
    <w:rsid w:val="00814CB6"/>
    <w:rsid w:val="00814DF8"/>
    <w:rsid w:val="00814F8A"/>
    <w:rsid w:val="00815110"/>
    <w:rsid w:val="008151E5"/>
    <w:rsid w:val="00815312"/>
    <w:rsid w:val="008154BD"/>
    <w:rsid w:val="008154DF"/>
    <w:rsid w:val="00815558"/>
    <w:rsid w:val="008155B7"/>
    <w:rsid w:val="0081565E"/>
    <w:rsid w:val="008157F2"/>
    <w:rsid w:val="00815A10"/>
    <w:rsid w:val="00815BE6"/>
    <w:rsid w:val="00815CA5"/>
    <w:rsid w:val="00815CD9"/>
    <w:rsid w:val="00816185"/>
    <w:rsid w:val="008161D3"/>
    <w:rsid w:val="008162A3"/>
    <w:rsid w:val="008162BD"/>
    <w:rsid w:val="00816362"/>
    <w:rsid w:val="0081647B"/>
    <w:rsid w:val="00816609"/>
    <w:rsid w:val="00816654"/>
    <w:rsid w:val="00816D15"/>
    <w:rsid w:val="00816F5F"/>
    <w:rsid w:val="0081705C"/>
    <w:rsid w:val="00817122"/>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B"/>
    <w:rsid w:val="00820F6C"/>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B84"/>
    <w:rsid w:val="008232AD"/>
    <w:rsid w:val="008236E5"/>
    <w:rsid w:val="0082379E"/>
    <w:rsid w:val="008237BE"/>
    <w:rsid w:val="00823860"/>
    <w:rsid w:val="00823C83"/>
    <w:rsid w:val="00823CF0"/>
    <w:rsid w:val="00823E3B"/>
    <w:rsid w:val="00823F43"/>
    <w:rsid w:val="0082456E"/>
    <w:rsid w:val="008246F5"/>
    <w:rsid w:val="00824804"/>
    <w:rsid w:val="00824BB3"/>
    <w:rsid w:val="00824E21"/>
    <w:rsid w:val="00824FDA"/>
    <w:rsid w:val="0082528B"/>
    <w:rsid w:val="008252AC"/>
    <w:rsid w:val="0082541A"/>
    <w:rsid w:val="008254D8"/>
    <w:rsid w:val="00825696"/>
    <w:rsid w:val="0082580E"/>
    <w:rsid w:val="008258A4"/>
    <w:rsid w:val="00825C27"/>
    <w:rsid w:val="0082600C"/>
    <w:rsid w:val="0082619F"/>
    <w:rsid w:val="0082624E"/>
    <w:rsid w:val="00826269"/>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9FB"/>
    <w:rsid w:val="00827BE9"/>
    <w:rsid w:val="00827D86"/>
    <w:rsid w:val="00827E70"/>
    <w:rsid w:val="00830060"/>
    <w:rsid w:val="0083034D"/>
    <w:rsid w:val="0083040E"/>
    <w:rsid w:val="0083051A"/>
    <w:rsid w:val="0083052C"/>
    <w:rsid w:val="0083055E"/>
    <w:rsid w:val="008305A6"/>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ECE"/>
    <w:rsid w:val="00834F32"/>
    <w:rsid w:val="0083517D"/>
    <w:rsid w:val="008351AB"/>
    <w:rsid w:val="008353CF"/>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3BF"/>
    <w:rsid w:val="00837520"/>
    <w:rsid w:val="0083775C"/>
    <w:rsid w:val="0083781A"/>
    <w:rsid w:val="008378E3"/>
    <w:rsid w:val="008379CB"/>
    <w:rsid w:val="008379EC"/>
    <w:rsid w:val="00837C9F"/>
    <w:rsid w:val="00837D72"/>
    <w:rsid w:val="00840056"/>
    <w:rsid w:val="008401B0"/>
    <w:rsid w:val="008401DF"/>
    <w:rsid w:val="008401F5"/>
    <w:rsid w:val="00840382"/>
    <w:rsid w:val="0084040F"/>
    <w:rsid w:val="0084053B"/>
    <w:rsid w:val="0084061E"/>
    <w:rsid w:val="0084096F"/>
    <w:rsid w:val="00840A1A"/>
    <w:rsid w:val="00841117"/>
    <w:rsid w:val="008411DC"/>
    <w:rsid w:val="0084127F"/>
    <w:rsid w:val="008413A1"/>
    <w:rsid w:val="0084148C"/>
    <w:rsid w:val="008414EA"/>
    <w:rsid w:val="00841611"/>
    <w:rsid w:val="00841718"/>
    <w:rsid w:val="00841C56"/>
    <w:rsid w:val="00841D13"/>
    <w:rsid w:val="00841EA8"/>
    <w:rsid w:val="00841F8E"/>
    <w:rsid w:val="00841FCB"/>
    <w:rsid w:val="00842886"/>
    <w:rsid w:val="00842904"/>
    <w:rsid w:val="00842B0E"/>
    <w:rsid w:val="00842B37"/>
    <w:rsid w:val="00843007"/>
    <w:rsid w:val="008434AD"/>
    <w:rsid w:val="00843507"/>
    <w:rsid w:val="0084391A"/>
    <w:rsid w:val="00843B97"/>
    <w:rsid w:val="00843BEF"/>
    <w:rsid w:val="00843E8C"/>
    <w:rsid w:val="0084402A"/>
    <w:rsid w:val="00844219"/>
    <w:rsid w:val="0084434D"/>
    <w:rsid w:val="008443C9"/>
    <w:rsid w:val="008443F5"/>
    <w:rsid w:val="0084450D"/>
    <w:rsid w:val="00844680"/>
    <w:rsid w:val="00844A9F"/>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81"/>
    <w:rsid w:val="00850D5B"/>
    <w:rsid w:val="00850FF3"/>
    <w:rsid w:val="008512B3"/>
    <w:rsid w:val="008514CA"/>
    <w:rsid w:val="00851842"/>
    <w:rsid w:val="0085191A"/>
    <w:rsid w:val="00851E77"/>
    <w:rsid w:val="0085204D"/>
    <w:rsid w:val="0085222F"/>
    <w:rsid w:val="00852381"/>
    <w:rsid w:val="008524B7"/>
    <w:rsid w:val="0085293B"/>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D5"/>
    <w:rsid w:val="00856374"/>
    <w:rsid w:val="00856433"/>
    <w:rsid w:val="0085655C"/>
    <w:rsid w:val="00856583"/>
    <w:rsid w:val="0085679A"/>
    <w:rsid w:val="008567C6"/>
    <w:rsid w:val="00856886"/>
    <w:rsid w:val="008569EF"/>
    <w:rsid w:val="00856A18"/>
    <w:rsid w:val="00856C85"/>
    <w:rsid w:val="00856E7E"/>
    <w:rsid w:val="008570C9"/>
    <w:rsid w:val="0085712A"/>
    <w:rsid w:val="00857272"/>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2110"/>
    <w:rsid w:val="00862114"/>
    <w:rsid w:val="00862189"/>
    <w:rsid w:val="008622DD"/>
    <w:rsid w:val="0086276A"/>
    <w:rsid w:val="00862784"/>
    <w:rsid w:val="0086279E"/>
    <w:rsid w:val="00862B1D"/>
    <w:rsid w:val="00862B3C"/>
    <w:rsid w:val="00862C3D"/>
    <w:rsid w:val="00862C45"/>
    <w:rsid w:val="00862D7C"/>
    <w:rsid w:val="00862DD5"/>
    <w:rsid w:val="00862EEE"/>
    <w:rsid w:val="008630FC"/>
    <w:rsid w:val="00863764"/>
    <w:rsid w:val="008637CB"/>
    <w:rsid w:val="0086399C"/>
    <w:rsid w:val="00863B07"/>
    <w:rsid w:val="00863B98"/>
    <w:rsid w:val="00863CD8"/>
    <w:rsid w:val="0086400E"/>
    <w:rsid w:val="008640E5"/>
    <w:rsid w:val="008641A6"/>
    <w:rsid w:val="00864456"/>
    <w:rsid w:val="008646AD"/>
    <w:rsid w:val="008646C0"/>
    <w:rsid w:val="008646F5"/>
    <w:rsid w:val="008647C6"/>
    <w:rsid w:val="00864874"/>
    <w:rsid w:val="00864A37"/>
    <w:rsid w:val="00864A50"/>
    <w:rsid w:val="00864B23"/>
    <w:rsid w:val="00864B8F"/>
    <w:rsid w:val="00864F35"/>
    <w:rsid w:val="0086505E"/>
    <w:rsid w:val="008650C9"/>
    <w:rsid w:val="00865140"/>
    <w:rsid w:val="00865345"/>
    <w:rsid w:val="0086562E"/>
    <w:rsid w:val="00865691"/>
    <w:rsid w:val="008658F7"/>
    <w:rsid w:val="00865D70"/>
    <w:rsid w:val="00865ED0"/>
    <w:rsid w:val="008661B4"/>
    <w:rsid w:val="00866253"/>
    <w:rsid w:val="008663D3"/>
    <w:rsid w:val="008663FA"/>
    <w:rsid w:val="00866689"/>
    <w:rsid w:val="0086695D"/>
    <w:rsid w:val="00866AD6"/>
    <w:rsid w:val="00866BB3"/>
    <w:rsid w:val="00866CA0"/>
    <w:rsid w:val="00866CA4"/>
    <w:rsid w:val="00866D3A"/>
    <w:rsid w:val="00867141"/>
    <w:rsid w:val="00867702"/>
    <w:rsid w:val="008677EF"/>
    <w:rsid w:val="00867B5F"/>
    <w:rsid w:val="00867C36"/>
    <w:rsid w:val="00867CE6"/>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0E98"/>
    <w:rsid w:val="00871012"/>
    <w:rsid w:val="00871102"/>
    <w:rsid w:val="00871134"/>
    <w:rsid w:val="00871251"/>
    <w:rsid w:val="008716A4"/>
    <w:rsid w:val="00871E51"/>
    <w:rsid w:val="0087227A"/>
    <w:rsid w:val="0087228F"/>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CB"/>
    <w:rsid w:val="00873F92"/>
    <w:rsid w:val="0087406D"/>
    <w:rsid w:val="008740C8"/>
    <w:rsid w:val="008740C9"/>
    <w:rsid w:val="008742B2"/>
    <w:rsid w:val="00874486"/>
    <w:rsid w:val="0087455E"/>
    <w:rsid w:val="008746E1"/>
    <w:rsid w:val="008748B8"/>
    <w:rsid w:val="00874AF3"/>
    <w:rsid w:val="00874CC3"/>
    <w:rsid w:val="00874CF8"/>
    <w:rsid w:val="0087508F"/>
    <w:rsid w:val="0087527C"/>
    <w:rsid w:val="00875369"/>
    <w:rsid w:val="008754B1"/>
    <w:rsid w:val="008756B0"/>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67"/>
    <w:rsid w:val="00877132"/>
    <w:rsid w:val="008772BE"/>
    <w:rsid w:val="008772F1"/>
    <w:rsid w:val="00877337"/>
    <w:rsid w:val="00877443"/>
    <w:rsid w:val="00877569"/>
    <w:rsid w:val="008775B0"/>
    <w:rsid w:val="00877943"/>
    <w:rsid w:val="00877FA9"/>
    <w:rsid w:val="0088003B"/>
    <w:rsid w:val="00880053"/>
    <w:rsid w:val="0088024C"/>
    <w:rsid w:val="00880274"/>
    <w:rsid w:val="0088036B"/>
    <w:rsid w:val="00880392"/>
    <w:rsid w:val="008805E5"/>
    <w:rsid w:val="0088083D"/>
    <w:rsid w:val="0088092F"/>
    <w:rsid w:val="008809EE"/>
    <w:rsid w:val="008809F9"/>
    <w:rsid w:val="00880B7F"/>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12E"/>
    <w:rsid w:val="00882184"/>
    <w:rsid w:val="0088222F"/>
    <w:rsid w:val="0088225F"/>
    <w:rsid w:val="008822EE"/>
    <w:rsid w:val="00882627"/>
    <w:rsid w:val="008826D3"/>
    <w:rsid w:val="008829A6"/>
    <w:rsid w:val="00882AFD"/>
    <w:rsid w:val="00882D15"/>
    <w:rsid w:val="0088302A"/>
    <w:rsid w:val="00883091"/>
    <w:rsid w:val="00883217"/>
    <w:rsid w:val="00883318"/>
    <w:rsid w:val="00883544"/>
    <w:rsid w:val="008839B5"/>
    <w:rsid w:val="00883FAA"/>
    <w:rsid w:val="008840E6"/>
    <w:rsid w:val="00884383"/>
    <w:rsid w:val="00884993"/>
    <w:rsid w:val="00884B44"/>
    <w:rsid w:val="00884D79"/>
    <w:rsid w:val="00884FF5"/>
    <w:rsid w:val="0088501B"/>
    <w:rsid w:val="0088503D"/>
    <w:rsid w:val="00885076"/>
    <w:rsid w:val="008850A1"/>
    <w:rsid w:val="0088517D"/>
    <w:rsid w:val="008851C6"/>
    <w:rsid w:val="00885552"/>
    <w:rsid w:val="008855B3"/>
    <w:rsid w:val="008857B3"/>
    <w:rsid w:val="008858B5"/>
    <w:rsid w:val="00885A1F"/>
    <w:rsid w:val="00885E43"/>
    <w:rsid w:val="00885E7C"/>
    <w:rsid w:val="00885F6C"/>
    <w:rsid w:val="0088626E"/>
    <w:rsid w:val="00886393"/>
    <w:rsid w:val="008867D4"/>
    <w:rsid w:val="00886949"/>
    <w:rsid w:val="008869EF"/>
    <w:rsid w:val="00886B07"/>
    <w:rsid w:val="00886DF0"/>
    <w:rsid w:val="0088722E"/>
    <w:rsid w:val="008872A6"/>
    <w:rsid w:val="0088757B"/>
    <w:rsid w:val="008875CF"/>
    <w:rsid w:val="0088764A"/>
    <w:rsid w:val="00887858"/>
    <w:rsid w:val="00887872"/>
    <w:rsid w:val="00887A51"/>
    <w:rsid w:val="00887C99"/>
    <w:rsid w:val="00887CB3"/>
    <w:rsid w:val="00887E97"/>
    <w:rsid w:val="00887ED8"/>
    <w:rsid w:val="00887F92"/>
    <w:rsid w:val="008908A8"/>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E01"/>
    <w:rsid w:val="00892E94"/>
    <w:rsid w:val="00893429"/>
    <w:rsid w:val="0089345C"/>
    <w:rsid w:val="00893741"/>
    <w:rsid w:val="00893835"/>
    <w:rsid w:val="00893A07"/>
    <w:rsid w:val="00893AD3"/>
    <w:rsid w:val="00894509"/>
    <w:rsid w:val="00894546"/>
    <w:rsid w:val="008946F5"/>
    <w:rsid w:val="00894887"/>
    <w:rsid w:val="00894A58"/>
    <w:rsid w:val="00894E13"/>
    <w:rsid w:val="0089510F"/>
    <w:rsid w:val="0089528A"/>
    <w:rsid w:val="008952EA"/>
    <w:rsid w:val="00895897"/>
    <w:rsid w:val="008959B9"/>
    <w:rsid w:val="00895C20"/>
    <w:rsid w:val="00895CDC"/>
    <w:rsid w:val="00895D84"/>
    <w:rsid w:val="00895F50"/>
    <w:rsid w:val="00896113"/>
    <w:rsid w:val="0089623B"/>
    <w:rsid w:val="00896254"/>
    <w:rsid w:val="008963DB"/>
    <w:rsid w:val="0089654A"/>
    <w:rsid w:val="00896978"/>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A00B0"/>
    <w:rsid w:val="008A0411"/>
    <w:rsid w:val="008A0473"/>
    <w:rsid w:val="008A0509"/>
    <w:rsid w:val="008A086D"/>
    <w:rsid w:val="008A0E69"/>
    <w:rsid w:val="008A100A"/>
    <w:rsid w:val="008A132A"/>
    <w:rsid w:val="008A1917"/>
    <w:rsid w:val="008A1944"/>
    <w:rsid w:val="008A1D22"/>
    <w:rsid w:val="008A1E1F"/>
    <w:rsid w:val="008A1EAA"/>
    <w:rsid w:val="008A20E3"/>
    <w:rsid w:val="008A21AC"/>
    <w:rsid w:val="008A2601"/>
    <w:rsid w:val="008A28FE"/>
    <w:rsid w:val="008A2A5B"/>
    <w:rsid w:val="008A2A64"/>
    <w:rsid w:val="008A2CC4"/>
    <w:rsid w:val="008A2D16"/>
    <w:rsid w:val="008A2DA6"/>
    <w:rsid w:val="008A2F8B"/>
    <w:rsid w:val="008A30F4"/>
    <w:rsid w:val="008A3669"/>
    <w:rsid w:val="008A3FF0"/>
    <w:rsid w:val="008A4167"/>
    <w:rsid w:val="008A4187"/>
    <w:rsid w:val="008A41C1"/>
    <w:rsid w:val="008A4257"/>
    <w:rsid w:val="008A44F6"/>
    <w:rsid w:val="008A4517"/>
    <w:rsid w:val="008A481F"/>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B06"/>
    <w:rsid w:val="008A6C5B"/>
    <w:rsid w:val="008A6CC9"/>
    <w:rsid w:val="008A6E94"/>
    <w:rsid w:val="008A6EE9"/>
    <w:rsid w:val="008A6FFA"/>
    <w:rsid w:val="008A7078"/>
    <w:rsid w:val="008A713B"/>
    <w:rsid w:val="008A713D"/>
    <w:rsid w:val="008A7449"/>
    <w:rsid w:val="008A766A"/>
    <w:rsid w:val="008A7723"/>
    <w:rsid w:val="008A7986"/>
    <w:rsid w:val="008A7B44"/>
    <w:rsid w:val="008A7D97"/>
    <w:rsid w:val="008B06C0"/>
    <w:rsid w:val="008B0787"/>
    <w:rsid w:val="008B0844"/>
    <w:rsid w:val="008B089E"/>
    <w:rsid w:val="008B08C3"/>
    <w:rsid w:val="008B0A03"/>
    <w:rsid w:val="008B0CC4"/>
    <w:rsid w:val="008B0CC8"/>
    <w:rsid w:val="008B0D38"/>
    <w:rsid w:val="008B0E1C"/>
    <w:rsid w:val="008B0EA5"/>
    <w:rsid w:val="008B1030"/>
    <w:rsid w:val="008B136E"/>
    <w:rsid w:val="008B15DA"/>
    <w:rsid w:val="008B1690"/>
    <w:rsid w:val="008B19D7"/>
    <w:rsid w:val="008B1A0E"/>
    <w:rsid w:val="008B1A89"/>
    <w:rsid w:val="008B1DDA"/>
    <w:rsid w:val="008B2107"/>
    <w:rsid w:val="008B2131"/>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B"/>
    <w:rsid w:val="008B67DE"/>
    <w:rsid w:val="008B6D8E"/>
    <w:rsid w:val="008B6EF0"/>
    <w:rsid w:val="008B6F2C"/>
    <w:rsid w:val="008B6F6C"/>
    <w:rsid w:val="008B70B1"/>
    <w:rsid w:val="008B719B"/>
    <w:rsid w:val="008B71AD"/>
    <w:rsid w:val="008B73A2"/>
    <w:rsid w:val="008B741C"/>
    <w:rsid w:val="008B7763"/>
    <w:rsid w:val="008B7B00"/>
    <w:rsid w:val="008B7B58"/>
    <w:rsid w:val="008B7DBE"/>
    <w:rsid w:val="008B7FA2"/>
    <w:rsid w:val="008B7FCC"/>
    <w:rsid w:val="008C00C8"/>
    <w:rsid w:val="008C02B9"/>
    <w:rsid w:val="008C05EE"/>
    <w:rsid w:val="008C0711"/>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940"/>
    <w:rsid w:val="008C1E84"/>
    <w:rsid w:val="008C2100"/>
    <w:rsid w:val="008C217C"/>
    <w:rsid w:val="008C241C"/>
    <w:rsid w:val="008C2907"/>
    <w:rsid w:val="008C2AB5"/>
    <w:rsid w:val="008C2C35"/>
    <w:rsid w:val="008C2DD2"/>
    <w:rsid w:val="008C2EFC"/>
    <w:rsid w:val="008C2FA4"/>
    <w:rsid w:val="008C2FF8"/>
    <w:rsid w:val="008C31E6"/>
    <w:rsid w:val="008C32DB"/>
    <w:rsid w:val="008C350F"/>
    <w:rsid w:val="008C3584"/>
    <w:rsid w:val="008C3639"/>
    <w:rsid w:val="008C3766"/>
    <w:rsid w:val="008C3855"/>
    <w:rsid w:val="008C3879"/>
    <w:rsid w:val="008C38C0"/>
    <w:rsid w:val="008C3B1B"/>
    <w:rsid w:val="008C4190"/>
    <w:rsid w:val="008C42CC"/>
    <w:rsid w:val="008C43D2"/>
    <w:rsid w:val="008C4426"/>
    <w:rsid w:val="008C4465"/>
    <w:rsid w:val="008C4584"/>
    <w:rsid w:val="008C467C"/>
    <w:rsid w:val="008C47A1"/>
    <w:rsid w:val="008C4A2B"/>
    <w:rsid w:val="008C4A6D"/>
    <w:rsid w:val="008C4AFA"/>
    <w:rsid w:val="008C4C0A"/>
    <w:rsid w:val="008C4CE1"/>
    <w:rsid w:val="008C5158"/>
    <w:rsid w:val="008C522E"/>
    <w:rsid w:val="008C5617"/>
    <w:rsid w:val="008C57F6"/>
    <w:rsid w:val="008C586C"/>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DE9"/>
    <w:rsid w:val="008C7E37"/>
    <w:rsid w:val="008D02B1"/>
    <w:rsid w:val="008D0324"/>
    <w:rsid w:val="008D0426"/>
    <w:rsid w:val="008D05C3"/>
    <w:rsid w:val="008D05D6"/>
    <w:rsid w:val="008D06F6"/>
    <w:rsid w:val="008D075B"/>
    <w:rsid w:val="008D1247"/>
    <w:rsid w:val="008D12A7"/>
    <w:rsid w:val="008D13AA"/>
    <w:rsid w:val="008D15E0"/>
    <w:rsid w:val="008D1724"/>
    <w:rsid w:val="008D17C1"/>
    <w:rsid w:val="008D19B2"/>
    <w:rsid w:val="008D19E1"/>
    <w:rsid w:val="008D1C6C"/>
    <w:rsid w:val="008D20B1"/>
    <w:rsid w:val="008D2342"/>
    <w:rsid w:val="008D2A05"/>
    <w:rsid w:val="008D2ABD"/>
    <w:rsid w:val="008D2B74"/>
    <w:rsid w:val="008D2B99"/>
    <w:rsid w:val="008D3423"/>
    <w:rsid w:val="008D366A"/>
    <w:rsid w:val="008D370F"/>
    <w:rsid w:val="008D37D8"/>
    <w:rsid w:val="008D3A13"/>
    <w:rsid w:val="008D3A4C"/>
    <w:rsid w:val="008D3B1F"/>
    <w:rsid w:val="008D3C99"/>
    <w:rsid w:val="008D3D27"/>
    <w:rsid w:val="008D3EBF"/>
    <w:rsid w:val="008D3FD5"/>
    <w:rsid w:val="008D4139"/>
    <w:rsid w:val="008D4207"/>
    <w:rsid w:val="008D4374"/>
    <w:rsid w:val="008D44F0"/>
    <w:rsid w:val="008D4530"/>
    <w:rsid w:val="008D4963"/>
    <w:rsid w:val="008D4D8C"/>
    <w:rsid w:val="008D51A1"/>
    <w:rsid w:val="008D56EC"/>
    <w:rsid w:val="008D5B52"/>
    <w:rsid w:val="008D5D33"/>
    <w:rsid w:val="008D6080"/>
    <w:rsid w:val="008D60ED"/>
    <w:rsid w:val="008D618D"/>
    <w:rsid w:val="008D62A0"/>
    <w:rsid w:val="008D62E7"/>
    <w:rsid w:val="008D64F6"/>
    <w:rsid w:val="008D65AC"/>
    <w:rsid w:val="008D6624"/>
    <w:rsid w:val="008D67E6"/>
    <w:rsid w:val="008D688C"/>
    <w:rsid w:val="008D68F0"/>
    <w:rsid w:val="008D6B1A"/>
    <w:rsid w:val="008D6C50"/>
    <w:rsid w:val="008D6C7F"/>
    <w:rsid w:val="008D6E5A"/>
    <w:rsid w:val="008D71FB"/>
    <w:rsid w:val="008D7450"/>
    <w:rsid w:val="008D747F"/>
    <w:rsid w:val="008D7795"/>
    <w:rsid w:val="008D7971"/>
    <w:rsid w:val="008D7ADE"/>
    <w:rsid w:val="008D7B02"/>
    <w:rsid w:val="008D7C57"/>
    <w:rsid w:val="008D7DAD"/>
    <w:rsid w:val="008D7E51"/>
    <w:rsid w:val="008E0182"/>
    <w:rsid w:val="008E04C5"/>
    <w:rsid w:val="008E04DD"/>
    <w:rsid w:val="008E0881"/>
    <w:rsid w:val="008E08C8"/>
    <w:rsid w:val="008E0B20"/>
    <w:rsid w:val="008E0BA8"/>
    <w:rsid w:val="008E0D54"/>
    <w:rsid w:val="008E1080"/>
    <w:rsid w:val="008E13C4"/>
    <w:rsid w:val="008E16C0"/>
    <w:rsid w:val="008E188E"/>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412"/>
    <w:rsid w:val="008E38F0"/>
    <w:rsid w:val="008E3D61"/>
    <w:rsid w:val="008E3ECA"/>
    <w:rsid w:val="008E3F17"/>
    <w:rsid w:val="008E405F"/>
    <w:rsid w:val="008E406F"/>
    <w:rsid w:val="008E41A5"/>
    <w:rsid w:val="008E41ED"/>
    <w:rsid w:val="008E4242"/>
    <w:rsid w:val="008E4288"/>
    <w:rsid w:val="008E42BE"/>
    <w:rsid w:val="008E491E"/>
    <w:rsid w:val="008E503B"/>
    <w:rsid w:val="008E536A"/>
    <w:rsid w:val="008E56C7"/>
    <w:rsid w:val="008E58DD"/>
    <w:rsid w:val="008E590F"/>
    <w:rsid w:val="008E5B7C"/>
    <w:rsid w:val="008E5BD7"/>
    <w:rsid w:val="008E5F62"/>
    <w:rsid w:val="008E5FAB"/>
    <w:rsid w:val="008E6030"/>
    <w:rsid w:val="008E6150"/>
    <w:rsid w:val="008E6202"/>
    <w:rsid w:val="008E643E"/>
    <w:rsid w:val="008E6744"/>
    <w:rsid w:val="008E6A73"/>
    <w:rsid w:val="008E6D71"/>
    <w:rsid w:val="008E6DBA"/>
    <w:rsid w:val="008E6E58"/>
    <w:rsid w:val="008E6E68"/>
    <w:rsid w:val="008E6F5E"/>
    <w:rsid w:val="008E70BC"/>
    <w:rsid w:val="008E728C"/>
    <w:rsid w:val="008E7679"/>
    <w:rsid w:val="008E77E5"/>
    <w:rsid w:val="008E7BE8"/>
    <w:rsid w:val="008E7E6F"/>
    <w:rsid w:val="008F0096"/>
    <w:rsid w:val="008F00C1"/>
    <w:rsid w:val="008F03A0"/>
    <w:rsid w:val="008F0485"/>
    <w:rsid w:val="008F07CF"/>
    <w:rsid w:val="008F0984"/>
    <w:rsid w:val="008F0A73"/>
    <w:rsid w:val="008F0D20"/>
    <w:rsid w:val="008F0DFD"/>
    <w:rsid w:val="008F1118"/>
    <w:rsid w:val="008F1173"/>
    <w:rsid w:val="008F1195"/>
    <w:rsid w:val="008F12A6"/>
    <w:rsid w:val="008F16B9"/>
    <w:rsid w:val="008F1A66"/>
    <w:rsid w:val="008F1ABF"/>
    <w:rsid w:val="008F2390"/>
    <w:rsid w:val="008F2554"/>
    <w:rsid w:val="008F2735"/>
    <w:rsid w:val="008F27F5"/>
    <w:rsid w:val="008F2C0C"/>
    <w:rsid w:val="008F2C53"/>
    <w:rsid w:val="008F2CC4"/>
    <w:rsid w:val="008F2D91"/>
    <w:rsid w:val="008F2F53"/>
    <w:rsid w:val="008F30B0"/>
    <w:rsid w:val="008F30B8"/>
    <w:rsid w:val="008F3569"/>
    <w:rsid w:val="008F3607"/>
    <w:rsid w:val="008F3C9A"/>
    <w:rsid w:val="008F3CF5"/>
    <w:rsid w:val="008F3D9F"/>
    <w:rsid w:val="008F4305"/>
    <w:rsid w:val="008F4444"/>
    <w:rsid w:val="008F449C"/>
    <w:rsid w:val="008F4633"/>
    <w:rsid w:val="008F474A"/>
    <w:rsid w:val="008F4A6F"/>
    <w:rsid w:val="008F4B46"/>
    <w:rsid w:val="008F4DB5"/>
    <w:rsid w:val="008F4EC2"/>
    <w:rsid w:val="008F5091"/>
    <w:rsid w:val="008F50FD"/>
    <w:rsid w:val="008F52E4"/>
    <w:rsid w:val="008F52E6"/>
    <w:rsid w:val="008F53DE"/>
    <w:rsid w:val="008F5B62"/>
    <w:rsid w:val="008F5BAC"/>
    <w:rsid w:val="008F5E96"/>
    <w:rsid w:val="008F6133"/>
    <w:rsid w:val="008F6181"/>
    <w:rsid w:val="008F61AF"/>
    <w:rsid w:val="008F61DB"/>
    <w:rsid w:val="008F6299"/>
    <w:rsid w:val="008F62EA"/>
    <w:rsid w:val="008F666F"/>
    <w:rsid w:val="008F6708"/>
    <w:rsid w:val="008F6888"/>
    <w:rsid w:val="008F6A96"/>
    <w:rsid w:val="008F6C0E"/>
    <w:rsid w:val="008F70BC"/>
    <w:rsid w:val="008F720D"/>
    <w:rsid w:val="008F73A6"/>
    <w:rsid w:val="008F78EE"/>
    <w:rsid w:val="008F7933"/>
    <w:rsid w:val="008F7A07"/>
    <w:rsid w:val="008F7D30"/>
    <w:rsid w:val="008F7E9F"/>
    <w:rsid w:val="00900037"/>
    <w:rsid w:val="00900094"/>
    <w:rsid w:val="00900210"/>
    <w:rsid w:val="0090026F"/>
    <w:rsid w:val="00900501"/>
    <w:rsid w:val="00900973"/>
    <w:rsid w:val="00900992"/>
    <w:rsid w:val="00900EA0"/>
    <w:rsid w:val="00900EA4"/>
    <w:rsid w:val="009012A2"/>
    <w:rsid w:val="00901449"/>
    <w:rsid w:val="009015BB"/>
    <w:rsid w:val="00901694"/>
    <w:rsid w:val="009017F3"/>
    <w:rsid w:val="0090186D"/>
    <w:rsid w:val="0090190C"/>
    <w:rsid w:val="0090190D"/>
    <w:rsid w:val="009019A8"/>
    <w:rsid w:val="00901BE7"/>
    <w:rsid w:val="00901D09"/>
    <w:rsid w:val="00901D28"/>
    <w:rsid w:val="009020FB"/>
    <w:rsid w:val="009023BD"/>
    <w:rsid w:val="0090260A"/>
    <w:rsid w:val="009026A5"/>
    <w:rsid w:val="00902773"/>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411E"/>
    <w:rsid w:val="009042BF"/>
    <w:rsid w:val="009043BB"/>
    <w:rsid w:val="00904589"/>
    <w:rsid w:val="0090475A"/>
    <w:rsid w:val="0090496B"/>
    <w:rsid w:val="009049C2"/>
    <w:rsid w:val="00904E38"/>
    <w:rsid w:val="009052ED"/>
    <w:rsid w:val="00905542"/>
    <w:rsid w:val="00905545"/>
    <w:rsid w:val="0090579C"/>
    <w:rsid w:val="009058A9"/>
    <w:rsid w:val="00905A8C"/>
    <w:rsid w:val="00905BB5"/>
    <w:rsid w:val="00905CE5"/>
    <w:rsid w:val="00905E21"/>
    <w:rsid w:val="00905E48"/>
    <w:rsid w:val="00905E49"/>
    <w:rsid w:val="00905F33"/>
    <w:rsid w:val="0090607D"/>
    <w:rsid w:val="009061B8"/>
    <w:rsid w:val="009061EA"/>
    <w:rsid w:val="00906293"/>
    <w:rsid w:val="009065A4"/>
    <w:rsid w:val="00906B0A"/>
    <w:rsid w:val="00906DF5"/>
    <w:rsid w:val="00907262"/>
    <w:rsid w:val="009073E1"/>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70F"/>
    <w:rsid w:val="00911AC8"/>
    <w:rsid w:val="00911E3D"/>
    <w:rsid w:val="00911FD2"/>
    <w:rsid w:val="00912207"/>
    <w:rsid w:val="009122F0"/>
    <w:rsid w:val="00912484"/>
    <w:rsid w:val="00912557"/>
    <w:rsid w:val="00912650"/>
    <w:rsid w:val="00912652"/>
    <w:rsid w:val="0091267C"/>
    <w:rsid w:val="009128F5"/>
    <w:rsid w:val="00912D0D"/>
    <w:rsid w:val="00912D30"/>
    <w:rsid w:val="00912DAD"/>
    <w:rsid w:val="00912F39"/>
    <w:rsid w:val="009132EA"/>
    <w:rsid w:val="00913372"/>
    <w:rsid w:val="00913667"/>
    <w:rsid w:val="009136D0"/>
    <w:rsid w:val="00913968"/>
    <w:rsid w:val="009139A0"/>
    <w:rsid w:val="00913A10"/>
    <w:rsid w:val="00913BD7"/>
    <w:rsid w:val="00913C53"/>
    <w:rsid w:val="00913D5C"/>
    <w:rsid w:val="00913EE4"/>
    <w:rsid w:val="00914027"/>
    <w:rsid w:val="0091423B"/>
    <w:rsid w:val="0091434F"/>
    <w:rsid w:val="0091458E"/>
    <w:rsid w:val="0091466C"/>
    <w:rsid w:val="00914714"/>
    <w:rsid w:val="00914A09"/>
    <w:rsid w:val="00914A78"/>
    <w:rsid w:val="00914DE7"/>
    <w:rsid w:val="00914EEC"/>
    <w:rsid w:val="009150CB"/>
    <w:rsid w:val="00915219"/>
    <w:rsid w:val="009152FF"/>
    <w:rsid w:val="009154A1"/>
    <w:rsid w:val="009155E4"/>
    <w:rsid w:val="00915708"/>
    <w:rsid w:val="00915764"/>
    <w:rsid w:val="009158B7"/>
    <w:rsid w:val="009159B4"/>
    <w:rsid w:val="009159C9"/>
    <w:rsid w:val="00915CD3"/>
    <w:rsid w:val="009161E1"/>
    <w:rsid w:val="009161EF"/>
    <w:rsid w:val="0091627F"/>
    <w:rsid w:val="00916486"/>
    <w:rsid w:val="00916552"/>
    <w:rsid w:val="009167B5"/>
    <w:rsid w:val="0091685B"/>
    <w:rsid w:val="009169F8"/>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EF"/>
    <w:rsid w:val="00920C63"/>
    <w:rsid w:val="00920EB8"/>
    <w:rsid w:val="00920F71"/>
    <w:rsid w:val="00920FDA"/>
    <w:rsid w:val="00921148"/>
    <w:rsid w:val="0092128B"/>
    <w:rsid w:val="0092145E"/>
    <w:rsid w:val="00921813"/>
    <w:rsid w:val="0092190B"/>
    <w:rsid w:val="00921986"/>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A2C"/>
    <w:rsid w:val="00923DBC"/>
    <w:rsid w:val="00923E62"/>
    <w:rsid w:val="00923FA2"/>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217"/>
    <w:rsid w:val="00926742"/>
    <w:rsid w:val="00926AB9"/>
    <w:rsid w:val="00926BB7"/>
    <w:rsid w:val="00927100"/>
    <w:rsid w:val="0092721A"/>
    <w:rsid w:val="0092788B"/>
    <w:rsid w:val="009278AC"/>
    <w:rsid w:val="00927909"/>
    <w:rsid w:val="00927954"/>
    <w:rsid w:val="00927999"/>
    <w:rsid w:val="00927A76"/>
    <w:rsid w:val="00927BA1"/>
    <w:rsid w:val="00927FBC"/>
    <w:rsid w:val="0093002C"/>
    <w:rsid w:val="009303DD"/>
    <w:rsid w:val="00930451"/>
    <w:rsid w:val="00930543"/>
    <w:rsid w:val="009309C5"/>
    <w:rsid w:val="00930BEB"/>
    <w:rsid w:val="00930CC5"/>
    <w:rsid w:val="00930E30"/>
    <w:rsid w:val="00930E65"/>
    <w:rsid w:val="00930ECA"/>
    <w:rsid w:val="00930F64"/>
    <w:rsid w:val="00931184"/>
    <w:rsid w:val="0093137B"/>
    <w:rsid w:val="009313E7"/>
    <w:rsid w:val="0093151F"/>
    <w:rsid w:val="009315C2"/>
    <w:rsid w:val="009315E4"/>
    <w:rsid w:val="009317F4"/>
    <w:rsid w:val="0093193A"/>
    <w:rsid w:val="00931D5B"/>
    <w:rsid w:val="00931F6C"/>
    <w:rsid w:val="00932016"/>
    <w:rsid w:val="00932339"/>
    <w:rsid w:val="00932363"/>
    <w:rsid w:val="009323C1"/>
    <w:rsid w:val="009323C9"/>
    <w:rsid w:val="009324E0"/>
    <w:rsid w:val="009324F5"/>
    <w:rsid w:val="009326D1"/>
    <w:rsid w:val="00932776"/>
    <w:rsid w:val="009328AE"/>
    <w:rsid w:val="009329BB"/>
    <w:rsid w:val="00932C25"/>
    <w:rsid w:val="00932D9C"/>
    <w:rsid w:val="00932DF5"/>
    <w:rsid w:val="00933098"/>
    <w:rsid w:val="0093317B"/>
    <w:rsid w:val="009331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DE3"/>
    <w:rsid w:val="00935039"/>
    <w:rsid w:val="00935163"/>
    <w:rsid w:val="0093534F"/>
    <w:rsid w:val="0093568F"/>
    <w:rsid w:val="009357E2"/>
    <w:rsid w:val="00935A12"/>
    <w:rsid w:val="00935B63"/>
    <w:rsid w:val="009360BB"/>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7C"/>
    <w:rsid w:val="00940280"/>
    <w:rsid w:val="00940469"/>
    <w:rsid w:val="00940510"/>
    <w:rsid w:val="00940514"/>
    <w:rsid w:val="00940598"/>
    <w:rsid w:val="00940680"/>
    <w:rsid w:val="0094093A"/>
    <w:rsid w:val="0094094B"/>
    <w:rsid w:val="00940CE1"/>
    <w:rsid w:val="0094130B"/>
    <w:rsid w:val="0094130D"/>
    <w:rsid w:val="0094167C"/>
    <w:rsid w:val="009418B3"/>
    <w:rsid w:val="00941D17"/>
    <w:rsid w:val="00941F17"/>
    <w:rsid w:val="0094200C"/>
    <w:rsid w:val="00942094"/>
    <w:rsid w:val="009421CA"/>
    <w:rsid w:val="0094220E"/>
    <w:rsid w:val="009424DB"/>
    <w:rsid w:val="009424F1"/>
    <w:rsid w:val="00942662"/>
    <w:rsid w:val="0094288B"/>
    <w:rsid w:val="00942985"/>
    <w:rsid w:val="00942B2C"/>
    <w:rsid w:val="00942E73"/>
    <w:rsid w:val="00942EF0"/>
    <w:rsid w:val="00942FFE"/>
    <w:rsid w:val="0094398A"/>
    <w:rsid w:val="00943A14"/>
    <w:rsid w:val="00943A22"/>
    <w:rsid w:val="00943D23"/>
    <w:rsid w:val="00943E1E"/>
    <w:rsid w:val="0094446E"/>
    <w:rsid w:val="0094457C"/>
    <w:rsid w:val="009445C6"/>
    <w:rsid w:val="009445D6"/>
    <w:rsid w:val="009447C2"/>
    <w:rsid w:val="00944AA1"/>
    <w:rsid w:val="00945002"/>
    <w:rsid w:val="009452BC"/>
    <w:rsid w:val="0094558B"/>
    <w:rsid w:val="009456D7"/>
    <w:rsid w:val="00945B4D"/>
    <w:rsid w:val="00945C2D"/>
    <w:rsid w:val="00945CD6"/>
    <w:rsid w:val="00945E3A"/>
    <w:rsid w:val="00945E64"/>
    <w:rsid w:val="00945EA5"/>
    <w:rsid w:val="00945EAD"/>
    <w:rsid w:val="00945F0F"/>
    <w:rsid w:val="00945F79"/>
    <w:rsid w:val="0094607F"/>
    <w:rsid w:val="009463E9"/>
    <w:rsid w:val="009464C7"/>
    <w:rsid w:val="009464EC"/>
    <w:rsid w:val="009466F4"/>
    <w:rsid w:val="009469C7"/>
    <w:rsid w:val="00946A6D"/>
    <w:rsid w:val="00946AED"/>
    <w:rsid w:val="00946E2C"/>
    <w:rsid w:val="009470C3"/>
    <w:rsid w:val="0094735A"/>
    <w:rsid w:val="0094743F"/>
    <w:rsid w:val="0094761A"/>
    <w:rsid w:val="00947A84"/>
    <w:rsid w:val="00947C9B"/>
    <w:rsid w:val="00947CB0"/>
    <w:rsid w:val="00947DA8"/>
    <w:rsid w:val="00950003"/>
    <w:rsid w:val="009500AA"/>
    <w:rsid w:val="009505AB"/>
    <w:rsid w:val="00950B13"/>
    <w:rsid w:val="00950CEB"/>
    <w:rsid w:val="00950E34"/>
    <w:rsid w:val="00950F62"/>
    <w:rsid w:val="0095106A"/>
    <w:rsid w:val="0095120F"/>
    <w:rsid w:val="00951490"/>
    <w:rsid w:val="009514D4"/>
    <w:rsid w:val="0095177D"/>
    <w:rsid w:val="00951B8F"/>
    <w:rsid w:val="00951C13"/>
    <w:rsid w:val="00951C57"/>
    <w:rsid w:val="00951C6A"/>
    <w:rsid w:val="00951C78"/>
    <w:rsid w:val="00951E1B"/>
    <w:rsid w:val="009520BD"/>
    <w:rsid w:val="0095224D"/>
    <w:rsid w:val="00952711"/>
    <w:rsid w:val="0095291A"/>
    <w:rsid w:val="00952BA0"/>
    <w:rsid w:val="00952D94"/>
    <w:rsid w:val="00952E89"/>
    <w:rsid w:val="009531DD"/>
    <w:rsid w:val="0095326D"/>
    <w:rsid w:val="009532EC"/>
    <w:rsid w:val="009534BB"/>
    <w:rsid w:val="00953604"/>
    <w:rsid w:val="00953675"/>
    <w:rsid w:val="00953B57"/>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A58"/>
    <w:rsid w:val="00956B13"/>
    <w:rsid w:val="00956BAD"/>
    <w:rsid w:val="00956C74"/>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B95"/>
    <w:rsid w:val="00962E88"/>
    <w:rsid w:val="00962EB2"/>
    <w:rsid w:val="00962EED"/>
    <w:rsid w:val="00962F88"/>
    <w:rsid w:val="00963053"/>
    <w:rsid w:val="0096314B"/>
    <w:rsid w:val="009635FB"/>
    <w:rsid w:val="009637A0"/>
    <w:rsid w:val="0096404D"/>
    <w:rsid w:val="009640AF"/>
    <w:rsid w:val="00964194"/>
    <w:rsid w:val="009641D3"/>
    <w:rsid w:val="0096466A"/>
    <w:rsid w:val="009646A9"/>
    <w:rsid w:val="009648E2"/>
    <w:rsid w:val="00964A63"/>
    <w:rsid w:val="00964B57"/>
    <w:rsid w:val="00964C44"/>
    <w:rsid w:val="00965022"/>
    <w:rsid w:val="009653B7"/>
    <w:rsid w:val="00965479"/>
    <w:rsid w:val="009654E9"/>
    <w:rsid w:val="009654F0"/>
    <w:rsid w:val="00965558"/>
    <w:rsid w:val="0096558A"/>
    <w:rsid w:val="009656C0"/>
    <w:rsid w:val="00965AB9"/>
    <w:rsid w:val="00965AE7"/>
    <w:rsid w:val="00965C16"/>
    <w:rsid w:val="00965C69"/>
    <w:rsid w:val="00965D2C"/>
    <w:rsid w:val="0096628C"/>
    <w:rsid w:val="00966FF0"/>
    <w:rsid w:val="009674B0"/>
    <w:rsid w:val="009674CA"/>
    <w:rsid w:val="009674D8"/>
    <w:rsid w:val="009676FD"/>
    <w:rsid w:val="00967847"/>
    <w:rsid w:val="009679AF"/>
    <w:rsid w:val="00967B44"/>
    <w:rsid w:val="00967BBC"/>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204A"/>
    <w:rsid w:val="0097219B"/>
    <w:rsid w:val="00972390"/>
    <w:rsid w:val="009725EC"/>
    <w:rsid w:val="009726BF"/>
    <w:rsid w:val="0097271A"/>
    <w:rsid w:val="00972842"/>
    <w:rsid w:val="009729BF"/>
    <w:rsid w:val="00972B52"/>
    <w:rsid w:val="00972CFA"/>
    <w:rsid w:val="00972D8F"/>
    <w:rsid w:val="00972E9F"/>
    <w:rsid w:val="0097306E"/>
    <w:rsid w:val="00973166"/>
    <w:rsid w:val="009736EE"/>
    <w:rsid w:val="00973782"/>
    <w:rsid w:val="00973AE4"/>
    <w:rsid w:val="00973EB3"/>
    <w:rsid w:val="00974043"/>
    <w:rsid w:val="009740DE"/>
    <w:rsid w:val="00974227"/>
    <w:rsid w:val="00974428"/>
    <w:rsid w:val="0097446A"/>
    <w:rsid w:val="00974750"/>
    <w:rsid w:val="00974CD0"/>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18F"/>
    <w:rsid w:val="0097635B"/>
    <w:rsid w:val="009763DB"/>
    <w:rsid w:val="009764C0"/>
    <w:rsid w:val="009764C4"/>
    <w:rsid w:val="00976594"/>
    <w:rsid w:val="009766EE"/>
    <w:rsid w:val="0097675F"/>
    <w:rsid w:val="00976E85"/>
    <w:rsid w:val="00977094"/>
    <w:rsid w:val="00977401"/>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ABB"/>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429"/>
    <w:rsid w:val="0098453B"/>
    <w:rsid w:val="009847ED"/>
    <w:rsid w:val="0098488B"/>
    <w:rsid w:val="0098495A"/>
    <w:rsid w:val="00984B69"/>
    <w:rsid w:val="00984CB8"/>
    <w:rsid w:val="0098528E"/>
    <w:rsid w:val="009852C8"/>
    <w:rsid w:val="0098535A"/>
    <w:rsid w:val="00985478"/>
    <w:rsid w:val="009854FF"/>
    <w:rsid w:val="0098569F"/>
    <w:rsid w:val="0098578D"/>
    <w:rsid w:val="00985A1E"/>
    <w:rsid w:val="00985BC9"/>
    <w:rsid w:val="00986092"/>
    <w:rsid w:val="0098613E"/>
    <w:rsid w:val="00986250"/>
    <w:rsid w:val="0098648F"/>
    <w:rsid w:val="00986650"/>
    <w:rsid w:val="009866FC"/>
    <w:rsid w:val="00986795"/>
    <w:rsid w:val="00986859"/>
    <w:rsid w:val="00986869"/>
    <w:rsid w:val="009869BF"/>
    <w:rsid w:val="00986B90"/>
    <w:rsid w:val="00986BCC"/>
    <w:rsid w:val="00986E3C"/>
    <w:rsid w:val="00986F73"/>
    <w:rsid w:val="009870F5"/>
    <w:rsid w:val="0098725B"/>
    <w:rsid w:val="009877D1"/>
    <w:rsid w:val="00987A9E"/>
    <w:rsid w:val="00987AB7"/>
    <w:rsid w:val="00987B9D"/>
    <w:rsid w:val="00987BD8"/>
    <w:rsid w:val="00987E69"/>
    <w:rsid w:val="00987F61"/>
    <w:rsid w:val="00990012"/>
    <w:rsid w:val="00990238"/>
    <w:rsid w:val="0099054E"/>
    <w:rsid w:val="009905A4"/>
    <w:rsid w:val="00990E9B"/>
    <w:rsid w:val="009913D5"/>
    <w:rsid w:val="00991559"/>
    <w:rsid w:val="00991606"/>
    <w:rsid w:val="0099174A"/>
    <w:rsid w:val="0099194C"/>
    <w:rsid w:val="00991CDB"/>
    <w:rsid w:val="00992111"/>
    <w:rsid w:val="0099230B"/>
    <w:rsid w:val="0099232A"/>
    <w:rsid w:val="00992601"/>
    <w:rsid w:val="00992628"/>
    <w:rsid w:val="00992B2F"/>
    <w:rsid w:val="00992B5F"/>
    <w:rsid w:val="00992C9E"/>
    <w:rsid w:val="00992F16"/>
    <w:rsid w:val="0099338C"/>
    <w:rsid w:val="009933CA"/>
    <w:rsid w:val="009933E1"/>
    <w:rsid w:val="0099360E"/>
    <w:rsid w:val="0099392E"/>
    <w:rsid w:val="0099399C"/>
    <w:rsid w:val="00993A9C"/>
    <w:rsid w:val="00993B4C"/>
    <w:rsid w:val="00993D5C"/>
    <w:rsid w:val="00993DA4"/>
    <w:rsid w:val="00993DA6"/>
    <w:rsid w:val="00993EF2"/>
    <w:rsid w:val="00993F41"/>
    <w:rsid w:val="00994383"/>
    <w:rsid w:val="00994459"/>
    <w:rsid w:val="0099447B"/>
    <w:rsid w:val="009944F1"/>
    <w:rsid w:val="0099478F"/>
    <w:rsid w:val="00994941"/>
    <w:rsid w:val="00994A80"/>
    <w:rsid w:val="00994CF5"/>
    <w:rsid w:val="00994F8F"/>
    <w:rsid w:val="0099503E"/>
    <w:rsid w:val="00995105"/>
    <w:rsid w:val="009953B8"/>
    <w:rsid w:val="00995462"/>
    <w:rsid w:val="009954F7"/>
    <w:rsid w:val="0099563A"/>
    <w:rsid w:val="009956D0"/>
    <w:rsid w:val="0099579D"/>
    <w:rsid w:val="00995DAF"/>
    <w:rsid w:val="00995EBD"/>
    <w:rsid w:val="00995FFC"/>
    <w:rsid w:val="0099613C"/>
    <w:rsid w:val="009962B6"/>
    <w:rsid w:val="00996B1F"/>
    <w:rsid w:val="0099730D"/>
    <w:rsid w:val="0099743F"/>
    <w:rsid w:val="00997547"/>
    <w:rsid w:val="00997616"/>
    <w:rsid w:val="009976F5"/>
    <w:rsid w:val="00997B97"/>
    <w:rsid w:val="00997BD4"/>
    <w:rsid w:val="00997F0C"/>
    <w:rsid w:val="00997FA5"/>
    <w:rsid w:val="009A0145"/>
    <w:rsid w:val="009A0250"/>
    <w:rsid w:val="009A0468"/>
    <w:rsid w:val="009A04F9"/>
    <w:rsid w:val="009A05E8"/>
    <w:rsid w:val="009A08CB"/>
    <w:rsid w:val="009A0F35"/>
    <w:rsid w:val="009A1221"/>
    <w:rsid w:val="009A138A"/>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2F52"/>
    <w:rsid w:val="009A305D"/>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417"/>
    <w:rsid w:val="009A5846"/>
    <w:rsid w:val="009A5981"/>
    <w:rsid w:val="009A5D0C"/>
    <w:rsid w:val="009A5F26"/>
    <w:rsid w:val="009A63FD"/>
    <w:rsid w:val="009A647E"/>
    <w:rsid w:val="009A652F"/>
    <w:rsid w:val="009A6530"/>
    <w:rsid w:val="009A67DB"/>
    <w:rsid w:val="009A6848"/>
    <w:rsid w:val="009A6AF9"/>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1A6"/>
    <w:rsid w:val="009B2553"/>
    <w:rsid w:val="009B26C7"/>
    <w:rsid w:val="009B275F"/>
    <w:rsid w:val="009B28D9"/>
    <w:rsid w:val="009B29F7"/>
    <w:rsid w:val="009B2A04"/>
    <w:rsid w:val="009B2A9C"/>
    <w:rsid w:val="009B2B2A"/>
    <w:rsid w:val="009B2B44"/>
    <w:rsid w:val="009B2B8F"/>
    <w:rsid w:val="009B2BB1"/>
    <w:rsid w:val="009B2E94"/>
    <w:rsid w:val="009B2EF1"/>
    <w:rsid w:val="009B344F"/>
    <w:rsid w:val="009B360A"/>
    <w:rsid w:val="009B3626"/>
    <w:rsid w:val="009B36CF"/>
    <w:rsid w:val="009B382C"/>
    <w:rsid w:val="009B393A"/>
    <w:rsid w:val="009B3A4F"/>
    <w:rsid w:val="009B3AF7"/>
    <w:rsid w:val="009B4022"/>
    <w:rsid w:val="009B42D0"/>
    <w:rsid w:val="009B4576"/>
    <w:rsid w:val="009B4656"/>
    <w:rsid w:val="009B498E"/>
    <w:rsid w:val="009B4A28"/>
    <w:rsid w:val="009B4D5B"/>
    <w:rsid w:val="009B4F9B"/>
    <w:rsid w:val="009B5257"/>
    <w:rsid w:val="009B55E5"/>
    <w:rsid w:val="009B5740"/>
    <w:rsid w:val="009B593D"/>
    <w:rsid w:val="009B5956"/>
    <w:rsid w:val="009B5B74"/>
    <w:rsid w:val="009B5DE0"/>
    <w:rsid w:val="009B5E39"/>
    <w:rsid w:val="009B5E70"/>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B74"/>
    <w:rsid w:val="009C0C90"/>
    <w:rsid w:val="009C0CD9"/>
    <w:rsid w:val="009C0D26"/>
    <w:rsid w:val="009C1120"/>
    <w:rsid w:val="009C14AA"/>
    <w:rsid w:val="009C1599"/>
    <w:rsid w:val="009C19A2"/>
    <w:rsid w:val="009C1CEA"/>
    <w:rsid w:val="009C211A"/>
    <w:rsid w:val="009C21DB"/>
    <w:rsid w:val="009C2950"/>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78"/>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E93"/>
    <w:rsid w:val="009C5F64"/>
    <w:rsid w:val="009C607E"/>
    <w:rsid w:val="009C6113"/>
    <w:rsid w:val="009C639D"/>
    <w:rsid w:val="009C63D0"/>
    <w:rsid w:val="009C649A"/>
    <w:rsid w:val="009C6696"/>
    <w:rsid w:val="009C680F"/>
    <w:rsid w:val="009C6AF9"/>
    <w:rsid w:val="009C6B40"/>
    <w:rsid w:val="009C6D73"/>
    <w:rsid w:val="009C6E53"/>
    <w:rsid w:val="009C7246"/>
    <w:rsid w:val="009C75C9"/>
    <w:rsid w:val="009C7768"/>
    <w:rsid w:val="009C79D6"/>
    <w:rsid w:val="009C7A7B"/>
    <w:rsid w:val="009C7D03"/>
    <w:rsid w:val="009C7F6F"/>
    <w:rsid w:val="009D0098"/>
    <w:rsid w:val="009D01BE"/>
    <w:rsid w:val="009D03DE"/>
    <w:rsid w:val="009D0472"/>
    <w:rsid w:val="009D0578"/>
    <w:rsid w:val="009D06D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1EC"/>
    <w:rsid w:val="009D3335"/>
    <w:rsid w:val="009D3354"/>
    <w:rsid w:val="009D3963"/>
    <w:rsid w:val="009D3BE1"/>
    <w:rsid w:val="009D3D22"/>
    <w:rsid w:val="009D3E64"/>
    <w:rsid w:val="009D4017"/>
    <w:rsid w:val="009D4065"/>
    <w:rsid w:val="009D47FB"/>
    <w:rsid w:val="009D4986"/>
    <w:rsid w:val="009D4A07"/>
    <w:rsid w:val="009D4ABB"/>
    <w:rsid w:val="009D4B48"/>
    <w:rsid w:val="009D4B5F"/>
    <w:rsid w:val="009D4CE6"/>
    <w:rsid w:val="009D4E2F"/>
    <w:rsid w:val="009D52FD"/>
    <w:rsid w:val="009D5517"/>
    <w:rsid w:val="009D5531"/>
    <w:rsid w:val="009D5670"/>
    <w:rsid w:val="009D568A"/>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CE5"/>
    <w:rsid w:val="009D7DFC"/>
    <w:rsid w:val="009E0125"/>
    <w:rsid w:val="009E0128"/>
    <w:rsid w:val="009E0559"/>
    <w:rsid w:val="009E05B4"/>
    <w:rsid w:val="009E087C"/>
    <w:rsid w:val="009E097A"/>
    <w:rsid w:val="009E0A3D"/>
    <w:rsid w:val="009E0AA3"/>
    <w:rsid w:val="009E0B20"/>
    <w:rsid w:val="009E0C1D"/>
    <w:rsid w:val="009E0EF3"/>
    <w:rsid w:val="009E0F4D"/>
    <w:rsid w:val="009E1138"/>
    <w:rsid w:val="009E129F"/>
    <w:rsid w:val="009E135A"/>
    <w:rsid w:val="009E154A"/>
    <w:rsid w:val="009E1825"/>
    <w:rsid w:val="009E191C"/>
    <w:rsid w:val="009E1BB9"/>
    <w:rsid w:val="009E1C35"/>
    <w:rsid w:val="009E1C39"/>
    <w:rsid w:val="009E1D38"/>
    <w:rsid w:val="009E1EDC"/>
    <w:rsid w:val="009E2155"/>
    <w:rsid w:val="009E2330"/>
    <w:rsid w:val="009E24A4"/>
    <w:rsid w:val="009E2538"/>
    <w:rsid w:val="009E25BC"/>
    <w:rsid w:val="009E272B"/>
    <w:rsid w:val="009E2936"/>
    <w:rsid w:val="009E2B2C"/>
    <w:rsid w:val="009E2FA3"/>
    <w:rsid w:val="009E2FA5"/>
    <w:rsid w:val="009E303C"/>
    <w:rsid w:val="009E30AF"/>
    <w:rsid w:val="009E315E"/>
    <w:rsid w:val="009E3331"/>
    <w:rsid w:val="009E34A7"/>
    <w:rsid w:val="009E34D9"/>
    <w:rsid w:val="009E3516"/>
    <w:rsid w:val="009E370D"/>
    <w:rsid w:val="009E3797"/>
    <w:rsid w:val="009E3E7B"/>
    <w:rsid w:val="009E3EFA"/>
    <w:rsid w:val="009E41A7"/>
    <w:rsid w:val="009E45D1"/>
    <w:rsid w:val="009E4644"/>
    <w:rsid w:val="009E46F3"/>
    <w:rsid w:val="009E496F"/>
    <w:rsid w:val="009E4A93"/>
    <w:rsid w:val="009E4B16"/>
    <w:rsid w:val="009E4EA1"/>
    <w:rsid w:val="009E501D"/>
    <w:rsid w:val="009E51EC"/>
    <w:rsid w:val="009E5318"/>
    <w:rsid w:val="009E5461"/>
    <w:rsid w:val="009E573B"/>
    <w:rsid w:val="009E57A4"/>
    <w:rsid w:val="009E5955"/>
    <w:rsid w:val="009E5AF1"/>
    <w:rsid w:val="009E5EFB"/>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F0042"/>
    <w:rsid w:val="009F039A"/>
    <w:rsid w:val="009F0534"/>
    <w:rsid w:val="009F0569"/>
    <w:rsid w:val="009F0A67"/>
    <w:rsid w:val="009F0D78"/>
    <w:rsid w:val="009F0F95"/>
    <w:rsid w:val="009F139B"/>
    <w:rsid w:val="009F146B"/>
    <w:rsid w:val="009F17E7"/>
    <w:rsid w:val="009F19F0"/>
    <w:rsid w:val="009F1C40"/>
    <w:rsid w:val="009F1E7D"/>
    <w:rsid w:val="009F1F61"/>
    <w:rsid w:val="009F2171"/>
    <w:rsid w:val="009F2615"/>
    <w:rsid w:val="009F29F3"/>
    <w:rsid w:val="009F2C02"/>
    <w:rsid w:val="009F2D4E"/>
    <w:rsid w:val="009F2EBB"/>
    <w:rsid w:val="009F3072"/>
    <w:rsid w:val="009F3758"/>
    <w:rsid w:val="009F38CD"/>
    <w:rsid w:val="009F3A39"/>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6F"/>
    <w:rsid w:val="009F56A2"/>
    <w:rsid w:val="009F5A59"/>
    <w:rsid w:val="009F5BEA"/>
    <w:rsid w:val="009F5C88"/>
    <w:rsid w:val="009F5DE8"/>
    <w:rsid w:val="009F5E53"/>
    <w:rsid w:val="009F5F37"/>
    <w:rsid w:val="009F612E"/>
    <w:rsid w:val="009F63D1"/>
    <w:rsid w:val="009F63F4"/>
    <w:rsid w:val="009F683C"/>
    <w:rsid w:val="009F6C17"/>
    <w:rsid w:val="009F6DA5"/>
    <w:rsid w:val="009F6DDB"/>
    <w:rsid w:val="009F702F"/>
    <w:rsid w:val="009F7067"/>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CE7"/>
    <w:rsid w:val="00A00D9F"/>
    <w:rsid w:val="00A00E5A"/>
    <w:rsid w:val="00A00FEB"/>
    <w:rsid w:val="00A0102F"/>
    <w:rsid w:val="00A01407"/>
    <w:rsid w:val="00A01498"/>
    <w:rsid w:val="00A01626"/>
    <w:rsid w:val="00A0172D"/>
    <w:rsid w:val="00A018ED"/>
    <w:rsid w:val="00A01905"/>
    <w:rsid w:val="00A0193D"/>
    <w:rsid w:val="00A01A8E"/>
    <w:rsid w:val="00A01C15"/>
    <w:rsid w:val="00A01F1F"/>
    <w:rsid w:val="00A0237E"/>
    <w:rsid w:val="00A023D8"/>
    <w:rsid w:val="00A02429"/>
    <w:rsid w:val="00A02A6A"/>
    <w:rsid w:val="00A02AB0"/>
    <w:rsid w:val="00A02BF4"/>
    <w:rsid w:val="00A030CF"/>
    <w:rsid w:val="00A03176"/>
    <w:rsid w:val="00A032CE"/>
    <w:rsid w:val="00A032E1"/>
    <w:rsid w:val="00A03458"/>
    <w:rsid w:val="00A034D6"/>
    <w:rsid w:val="00A0360E"/>
    <w:rsid w:val="00A03650"/>
    <w:rsid w:val="00A03742"/>
    <w:rsid w:val="00A03CDB"/>
    <w:rsid w:val="00A03EA6"/>
    <w:rsid w:val="00A03F87"/>
    <w:rsid w:val="00A03FC8"/>
    <w:rsid w:val="00A040CB"/>
    <w:rsid w:val="00A046EB"/>
    <w:rsid w:val="00A0472B"/>
    <w:rsid w:val="00A0480A"/>
    <w:rsid w:val="00A049DF"/>
    <w:rsid w:val="00A04A00"/>
    <w:rsid w:val="00A04A0E"/>
    <w:rsid w:val="00A04B6C"/>
    <w:rsid w:val="00A04F3F"/>
    <w:rsid w:val="00A05100"/>
    <w:rsid w:val="00A05140"/>
    <w:rsid w:val="00A05380"/>
    <w:rsid w:val="00A05B1A"/>
    <w:rsid w:val="00A05D26"/>
    <w:rsid w:val="00A05E5E"/>
    <w:rsid w:val="00A05EBC"/>
    <w:rsid w:val="00A06016"/>
    <w:rsid w:val="00A06054"/>
    <w:rsid w:val="00A06136"/>
    <w:rsid w:val="00A06239"/>
    <w:rsid w:val="00A062FA"/>
    <w:rsid w:val="00A063F4"/>
    <w:rsid w:val="00A064F1"/>
    <w:rsid w:val="00A065DC"/>
    <w:rsid w:val="00A065E3"/>
    <w:rsid w:val="00A06714"/>
    <w:rsid w:val="00A068E3"/>
    <w:rsid w:val="00A06914"/>
    <w:rsid w:val="00A06AA1"/>
    <w:rsid w:val="00A06AB6"/>
    <w:rsid w:val="00A06E05"/>
    <w:rsid w:val="00A071FE"/>
    <w:rsid w:val="00A0722E"/>
    <w:rsid w:val="00A073AF"/>
    <w:rsid w:val="00A07518"/>
    <w:rsid w:val="00A07682"/>
    <w:rsid w:val="00A078B9"/>
    <w:rsid w:val="00A07AAD"/>
    <w:rsid w:val="00A07B48"/>
    <w:rsid w:val="00A07FA4"/>
    <w:rsid w:val="00A1005F"/>
    <w:rsid w:val="00A10115"/>
    <w:rsid w:val="00A1023D"/>
    <w:rsid w:val="00A102CC"/>
    <w:rsid w:val="00A10424"/>
    <w:rsid w:val="00A108F4"/>
    <w:rsid w:val="00A10A6F"/>
    <w:rsid w:val="00A10AF0"/>
    <w:rsid w:val="00A10B24"/>
    <w:rsid w:val="00A10BEB"/>
    <w:rsid w:val="00A10BF9"/>
    <w:rsid w:val="00A10DCC"/>
    <w:rsid w:val="00A10DEE"/>
    <w:rsid w:val="00A10F39"/>
    <w:rsid w:val="00A10FBF"/>
    <w:rsid w:val="00A110BE"/>
    <w:rsid w:val="00A111F5"/>
    <w:rsid w:val="00A11250"/>
    <w:rsid w:val="00A1127A"/>
    <w:rsid w:val="00A112DC"/>
    <w:rsid w:val="00A112FC"/>
    <w:rsid w:val="00A1189A"/>
    <w:rsid w:val="00A11984"/>
    <w:rsid w:val="00A11BAE"/>
    <w:rsid w:val="00A11EDC"/>
    <w:rsid w:val="00A11F8A"/>
    <w:rsid w:val="00A12174"/>
    <w:rsid w:val="00A12265"/>
    <w:rsid w:val="00A1227F"/>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BCA"/>
    <w:rsid w:val="00A13D05"/>
    <w:rsid w:val="00A13FF1"/>
    <w:rsid w:val="00A14177"/>
    <w:rsid w:val="00A141CC"/>
    <w:rsid w:val="00A14297"/>
    <w:rsid w:val="00A14455"/>
    <w:rsid w:val="00A145DE"/>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53A"/>
    <w:rsid w:val="00A15577"/>
    <w:rsid w:val="00A1561E"/>
    <w:rsid w:val="00A1566D"/>
    <w:rsid w:val="00A15AFC"/>
    <w:rsid w:val="00A15CF1"/>
    <w:rsid w:val="00A15EF8"/>
    <w:rsid w:val="00A15FC1"/>
    <w:rsid w:val="00A16027"/>
    <w:rsid w:val="00A16326"/>
    <w:rsid w:val="00A168EF"/>
    <w:rsid w:val="00A16A11"/>
    <w:rsid w:val="00A16B5E"/>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5CE"/>
    <w:rsid w:val="00A21710"/>
    <w:rsid w:val="00A218D0"/>
    <w:rsid w:val="00A219A3"/>
    <w:rsid w:val="00A21A80"/>
    <w:rsid w:val="00A21C87"/>
    <w:rsid w:val="00A21D7A"/>
    <w:rsid w:val="00A21EAF"/>
    <w:rsid w:val="00A21FE0"/>
    <w:rsid w:val="00A22006"/>
    <w:rsid w:val="00A223AE"/>
    <w:rsid w:val="00A225CE"/>
    <w:rsid w:val="00A225EC"/>
    <w:rsid w:val="00A22826"/>
    <w:rsid w:val="00A22AB8"/>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495"/>
    <w:rsid w:val="00A31593"/>
    <w:rsid w:val="00A3184E"/>
    <w:rsid w:val="00A318A7"/>
    <w:rsid w:val="00A31A4B"/>
    <w:rsid w:val="00A31CA5"/>
    <w:rsid w:val="00A31FBD"/>
    <w:rsid w:val="00A32357"/>
    <w:rsid w:val="00A3239A"/>
    <w:rsid w:val="00A3244A"/>
    <w:rsid w:val="00A325F5"/>
    <w:rsid w:val="00A32619"/>
    <w:rsid w:val="00A326B2"/>
    <w:rsid w:val="00A3274F"/>
    <w:rsid w:val="00A32916"/>
    <w:rsid w:val="00A32A37"/>
    <w:rsid w:val="00A32C80"/>
    <w:rsid w:val="00A32CD4"/>
    <w:rsid w:val="00A32D72"/>
    <w:rsid w:val="00A333FE"/>
    <w:rsid w:val="00A3381B"/>
    <w:rsid w:val="00A33BB2"/>
    <w:rsid w:val="00A33C4A"/>
    <w:rsid w:val="00A33D0D"/>
    <w:rsid w:val="00A33DF1"/>
    <w:rsid w:val="00A340C0"/>
    <w:rsid w:val="00A34155"/>
    <w:rsid w:val="00A3416B"/>
    <w:rsid w:val="00A34371"/>
    <w:rsid w:val="00A34423"/>
    <w:rsid w:val="00A34538"/>
    <w:rsid w:val="00A345F2"/>
    <w:rsid w:val="00A34D6C"/>
    <w:rsid w:val="00A34D8C"/>
    <w:rsid w:val="00A34FA9"/>
    <w:rsid w:val="00A355D1"/>
    <w:rsid w:val="00A3570D"/>
    <w:rsid w:val="00A35B69"/>
    <w:rsid w:val="00A35D82"/>
    <w:rsid w:val="00A36064"/>
    <w:rsid w:val="00A360AD"/>
    <w:rsid w:val="00A3617E"/>
    <w:rsid w:val="00A361C0"/>
    <w:rsid w:val="00A36203"/>
    <w:rsid w:val="00A362C7"/>
    <w:rsid w:val="00A3649C"/>
    <w:rsid w:val="00A3650B"/>
    <w:rsid w:val="00A368F9"/>
    <w:rsid w:val="00A368FE"/>
    <w:rsid w:val="00A36AB9"/>
    <w:rsid w:val="00A36CBB"/>
    <w:rsid w:val="00A36CC0"/>
    <w:rsid w:val="00A36FA6"/>
    <w:rsid w:val="00A36FCF"/>
    <w:rsid w:val="00A371D5"/>
    <w:rsid w:val="00A37272"/>
    <w:rsid w:val="00A372C7"/>
    <w:rsid w:val="00A374A8"/>
    <w:rsid w:val="00A3760B"/>
    <w:rsid w:val="00A37785"/>
    <w:rsid w:val="00A37A25"/>
    <w:rsid w:val="00A37B20"/>
    <w:rsid w:val="00A37D8A"/>
    <w:rsid w:val="00A37EDA"/>
    <w:rsid w:val="00A37FCA"/>
    <w:rsid w:val="00A40036"/>
    <w:rsid w:val="00A401F4"/>
    <w:rsid w:val="00A40413"/>
    <w:rsid w:val="00A4041A"/>
    <w:rsid w:val="00A40532"/>
    <w:rsid w:val="00A4074D"/>
    <w:rsid w:val="00A40B8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818"/>
    <w:rsid w:val="00A42988"/>
    <w:rsid w:val="00A429F9"/>
    <w:rsid w:val="00A42A5D"/>
    <w:rsid w:val="00A42C53"/>
    <w:rsid w:val="00A42E2F"/>
    <w:rsid w:val="00A42EA5"/>
    <w:rsid w:val="00A42F2B"/>
    <w:rsid w:val="00A430E1"/>
    <w:rsid w:val="00A4311B"/>
    <w:rsid w:val="00A434DE"/>
    <w:rsid w:val="00A434DF"/>
    <w:rsid w:val="00A434F5"/>
    <w:rsid w:val="00A43539"/>
    <w:rsid w:val="00A43940"/>
    <w:rsid w:val="00A439BC"/>
    <w:rsid w:val="00A43A8B"/>
    <w:rsid w:val="00A43F60"/>
    <w:rsid w:val="00A43F67"/>
    <w:rsid w:val="00A44004"/>
    <w:rsid w:val="00A44159"/>
    <w:rsid w:val="00A441FE"/>
    <w:rsid w:val="00A44AD7"/>
    <w:rsid w:val="00A44C18"/>
    <w:rsid w:val="00A44CEC"/>
    <w:rsid w:val="00A450D2"/>
    <w:rsid w:val="00A450F9"/>
    <w:rsid w:val="00A45248"/>
    <w:rsid w:val="00A45252"/>
    <w:rsid w:val="00A453E1"/>
    <w:rsid w:val="00A4562C"/>
    <w:rsid w:val="00A4588D"/>
    <w:rsid w:val="00A458CF"/>
    <w:rsid w:val="00A4637F"/>
    <w:rsid w:val="00A46526"/>
    <w:rsid w:val="00A4664F"/>
    <w:rsid w:val="00A46793"/>
    <w:rsid w:val="00A467AB"/>
    <w:rsid w:val="00A46962"/>
    <w:rsid w:val="00A46999"/>
    <w:rsid w:val="00A46AAD"/>
    <w:rsid w:val="00A46C7E"/>
    <w:rsid w:val="00A46CA4"/>
    <w:rsid w:val="00A46CED"/>
    <w:rsid w:val="00A46D13"/>
    <w:rsid w:val="00A46E70"/>
    <w:rsid w:val="00A46F7B"/>
    <w:rsid w:val="00A47336"/>
    <w:rsid w:val="00A47367"/>
    <w:rsid w:val="00A47572"/>
    <w:rsid w:val="00A47738"/>
    <w:rsid w:val="00A47CEF"/>
    <w:rsid w:val="00A47D0C"/>
    <w:rsid w:val="00A47D29"/>
    <w:rsid w:val="00A47F58"/>
    <w:rsid w:val="00A47FEE"/>
    <w:rsid w:val="00A5047D"/>
    <w:rsid w:val="00A504A2"/>
    <w:rsid w:val="00A504F5"/>
    <w:rsid w:val="00A50536"/>
    <w:rsid w:val="00A505FB"/>
    <w:rsid w:val="00A50651"/>
    <w:rsid w:val="00A50746"/>
    <w:rsid w:val="00A507F8"/>
    <w:rsid w:val="00A50D89"/>
    <w:rsid w:val="00A50DB7"/>
    <w:rsid w:val="00A50E3C"/>
    <w:rsid w:val="00A50F2B"/>
    <w:rsid w:val="00A50FE7"/>
    <w:rsid w:val="00A51047"/>
    <w:rsid w:val="00A516E2"/>
    <w:rsid w:val="00A51AB7"/>
    <w:rsid w:val="00A51B82"/>
    <w:rsid w:val="00A51B84"/>
    <w:rsid w:val="00A51FDE"/>
    <w:rsid w:val="00A524D0"/>
    <w:rsid w:val="00A524DA"/>
    <w:rsid w:val="00A52518"/>
    <w:rsid w:val="00A52940"/>
    <w:rsid w:val="00A529BF"/>
    <w:rsid w:val="00A52AA6"/>
    <w:rsid w:val="00A52D56"/>
    <w:rsid w:val="00A52DA8"/>
    <w:rsid w:val="00A53215"/>
    <w:rsid w:val="00A53343"/>
    <w:rsid w:val="00A53617"/>
    <w:rsid w:val="00A5365B"/>
    <w:rsid w:val="00A538C0"/>
    <w:rsid w:val="00A5395F"/>
    <w:rsid w:val="00A53B0A"/>
    <w:rsid w:val="00A53D23"/>
    <w:rsid w:val="00A540B1"/>
    <w:rsid w:val="00A540B3"/>
    <w:rsid w:val="00A54133"/>
    <w:rsid w:val="00A541A7"/>
    <w:rsid w:val="00A54325"/>
    <w:rsid w:val="00A5432F"/>
    <w:rsid w:val="00A54446"/>
    <w:rsid w:val="00A544EE"/>
    <w:rsid w:val="00A5478B"/>
    <w:rsid w:val="00A549BE"/>
    <w:rsid w:val="00A54B71"/>
    <w:rsid w:val="00A554FA"/>
    <w:rsid w:val="00A5567B"/>
    <w:rsid w:val="00A5580C"/>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60"/>
    <w:rsid w:val="00A575BB"/>
    <w:rsid w:val="00A5760A"/>
    <w:rsid w:val="00A57642"/>
    <w:rsid w:val="00A5769C"/>
    <w:rsid w:val="00A57BCE"/>
    <w:rsid w:val="00A57D22"/>
    <w:rsid w:val="00A57DCA"/>
    <w:rsid w:val="00A57EEE"/>
    <w:rsid w:val="00A601F6"/>
    <w:rsid w:val="00A602A4"/>
    <w:rsid w:val="00A602D9"/>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75"/>
    <w:rsid w:val="00A61FCB"/>
    <w:rsid w:val="00A62535"/>
    <w:rsid w:val="00A62642"/>
    <w:rsid w:val="00A6265C"/>
    <w:rsid w:val="00A627E4"/>
    <w:rsid w:val="00A62ADE"/>
    <w:rsid w:val="00A62CCF"/>
    <w:rsid w:val="00A62E0C"/>
    <w:rsid w:val="00A62FE8"/>
    <w:rsid w:val="00A632AF"/>
    <w:rsid w:val="00A634FA"/>
    <w:rsid w:val="00A635CF"/>
    <w:rsid w:val="00A6390F"/>
    <w:rsid w:val="00A64038"/>
    <w:rsid w:val="00A6440C"/>
    <w:rsid w:val="00A648EB"/>
    <w:rsid w:val="00A64B02"/>
    <w:rsid w:val="00A64CD6"/>
    <w:rsid w:val="00A64DD4"/>
    <w:rsid w:val="00A64DE5"/>
    <w:rsid w:val="00A64ECE"/>
    <w:rsid w:val="00A650FD"/>
    <w:rsid w:val="00A65279"/>
    <w:rsid w:val="00A652B3"/>
    <w:rsid w:val="00A65324"/>
    <w:rsid w:val="00A6553F"/>
    <w:rsid w:val="00A655AC"/>
    <w:rsid w:val="00A65691"/>
    <w:rsid w:val="00A656B3"/>
    <w:rsid w:val="00A6580E"/>
    <w:rsid w:val="00A65919"/>
    <w:rsid w:val="00A65B45"/>
    <w:rsid w:val="00A65B9C"/>
    <w:rsid w:val="00A66056"/>
    <w:rsid w:val="00A66472"/>
    <w:rsid w:val="00A665F6"/>
    <w:rsid w:val="00A667A1"/>
    <w:rsid w:val="00A66AAA"/>
    <w:rsid w:val="00A66E6B"/>
    <w:rsid w:val="00A672E8"/>
    <w:rsid w:val="00A675D9"/>
    <w:rsid w:val="00A67AA0"/>
    <w:rsid w:val="00A67BC3"/>
    <w:rsid w:val="00A67C0E"/>
    <w:rsid w:val="00A67D6D"/>
    <w:rsid w:val="00A70243"/>
    <w:rsid w:val="00A70362"/>
    <w:rsid w:val="00A70420"/>
    <w:rsid w:val="00A7067D"/>
    <w:rsid w:val="00A706DE"/>
    <w:rsid w:val="00A7076A"/>
    <w:rsid w:val="00A7086B"/>
    <w:rsid w:val="00A70937"/>
    <w:rsid w:val="00A70AC3"/>
    <w:rsid w:val="00A70B04"/>
    <w:rsid w:val="00A70CA3"/>
    <w:rsid w:val="00A70E16"/>
    <w:rsid w:val="00A711DC"/>
    <w:rsid w:val="00A71223"/>
    <w:rsid w:val="00A715CC"/>
    <w:rsid w:val="00A7170D"/>
    <w:rsid w:val="00A7187A"/>
    <w:rsid w:val="00A718E6"/>
    <w:rsid w:val="00A71911"/>
    <w:rsid w:val="00A72154"/>
    <w:rsid w:val="00A72357"/>
    <w:rsid w:val="00A7278B"/>
    <w:rsid w:val="00A7289E"/>
    <w:rsid w:val="00A729E3"/>
    <w:rsid w:val="00A72A69"/>
    <w:rsid w:val="00A72B27"/>
    <w:rsid w:val="00A72C02"/>
    <w:rsid w:val="00A72F10"/>
    <w:rsid w:val="00A7302A"/>
    <w:rsid w:val="00A7304C"/>
    <w:rsid w:val="00A73169"/>
    <w:rsid w:val="00A731FB"/>
    <w:rsid w:val="00A7321B"/>
    <w:rsid w:val="00A73401"/>
    <w:rsid w:val="00A7342F"/>
    <w:rsid w:val="00A73756"/>
    <w:rsid w:val="00A738FE"/>
    <w:rsid w:val="00A73B71"/>
    <w:rsid w:val="00A73CA0"/>
    <w:rsid w:val="00A73E65"/>
    <w:rsid w:val="00A73F11"/>
    <w:rsid w:val="00A7441C"/>
    <w:rsid w:val="00A74496"/>
    <w:rsid w:val="00A74560"/>
    <w:rsid w:val="00A745CA"/>
    <w:rsid w:val="00A74888"/>
    <w:rsid w:val="00A74B0F"/>
    <w:rsid w:val="00A75024"/>
    <w:rsid w:val="00A75058"/>
    <w:rsid w:val="00A75186"/>
    <w:rsid w:val="00A752BB"/>
    <w:rsid w:val="00A75447"/>
    <w:rsid w:val="00A755A9"/>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34B"/>
    <w:rsid w:val="00A77893"/>
    <w:rsid w:val="00A77AF0"/>
    <w:rsid w:val="00A77E09"/>
    <w:rsid w:val="00A80111"/>
    <w:rsid w:val="00A80315"/>
    <w:rsid w:val="00A80323"/>
    <w:rsid w:val="00A8056D"/>
    <w:rsid w:val="00A80588"/>
    <w:rsid w:val="00A805E5"/>
    <w:rsid w:val="00A80826"/>
    <w:rsid w:val="00A80B84"/>
    <w:rsid w:val="00A80BC5"/>
    <w:rsid w:val="00A80C82"/>
    <w:rsid w:val="00A80EE2"/>
    <w:rsid w:val="00A80F23"/>
    <w:rsid w:val="00A80F2A"/>
    <w:rsid w:val="00A80FCD"/>
    <w:rsid w:val="00A81079"/>
    <w:rsid w:val="00A812DF"/>
    <w:rsid w:val="00A813D6"/>
    <w:rsid w:val="00A81ABF"/>
    <w:rsid w:val="00A81D08"/>
    <w:rsid w:val="00A81D12"/>
    <w:rsid w:val="00A81FA4"/>
    <w:rsid w:val="00A82568"/>
    <w:rsid w:val="00A826C1"/>
    <w:rsid w:val="00A82C4A"/>
    <w:rsid w:val="00A82C73"/>
    <w:rsid w:val="00A82DCC"/>
    <w:rsid w:val="00A82EB7"/>
    <w:rsid w:val="00A82ECC"/>
    <w:rsid w:val="00A82FB9"/>
    <w:rsid w:val="00A83239"/>
    <w:rsid w:val="00A83254"/>
    <w:rsid w:val="00A83661"/>
    <w:rsid w:val="00A836AD"/>
    <w:rsid w:val="00A838E2"/>
    <w:rsid w:val="00A8393F"/>
    <w:rsid w:val="00A83C7F"/>
    <w:rsid w:val="00A83F65"/>
    <w:rsid w:val="00A84321"/>
    <w:rsid w:val="00A843CD"/>
    <w:rsid w:val="00A844EA"/>
    <w:rsid w:val="00A8453A"/>
    <w:rsid w:val="00A84674"/>
    <w:rsid w:val="00A8484F"/>
    <w:rsid w:val="00A84998"/>
    <w:rsid w:val="00A84CE6"/>
    <w:rsid w:val="00A85028"/>
    <w:rsid w:val="00A85066"/>
    <w:rsid w:val="00A852B0"/>
    <w:rsid w:val="00A852BF"/>
    <w:rsid w:val="00A8582B"/>
    <w:rsid w:val="00A85B60"/>
    <w:rsid w:val="00A85C09"/>
    <w:rsid w:val="00A85CEE"/>
    <w:rsid w:val="00A85D6B"/>
    <w:rsid w:val="00A85D97"/>
    <w:rsid w:val="00A85E39"/>
    <w:rsid w:val="00A85F1C"/>
    <w:rsid w:val="00A85F30"/>
    <w:rsid w:val="00A86549"/>
    <w:rsid w:val="00A86589"/>
    <w:rsid w:val="00A8668C"/>
    <w:rsid w:val="00A8670D"/>
    <w:rsid w:val="00A86A34"/>
    <w:rsid w:val="00A86FC6"/>
    <w:rsid w:val="00A87126"/>
    <w:rsid w:val="00A87293"/>
    <w:rsid w:val="00A876CD"/>
    <w:rsid w:val="00A876DD"/>
    <w:rsid w:val="00A87773"/>
    <w:rsid w:val="00A90260"/>
    <w:rsid w:val="00A902C8"/>
    <w:rsid w:val="00A903B1"/>
    <w:rsid w:val="00A903C5"/>
    <w:rsid w:val="00A9094A"/>
    <w:rsid w:val="00A909E5"/>
    <w:rsid w:val="00A90C9D"/>
    <w:rsid w:val="00A91122"/>
    <w:rsid w:val="00A913C0"/>
    <w:rsid w:val="00A91676"/>
    <w:rsid w:val="00A918C4"/>
    <w:rsid w:val="00A9191E"/>
    <w:rsid w:val="00A91AC0"/>
    <w:rsid w:val="00A91BC0"/>
    <w:rsid w:val="00A91D06"/>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93E"/>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468"/>
    <w:rsid w:val="00A96484"/>
    <w:rsid w:val="00A96515"/>
    <w:rsid w:val="00A966B4"/>
    <w:rsid w:val="00A96703"/>
    <w:rsid w:val="00A9675E"/>
    <w:rsid w:val="00A96B7E"/>
    <w:rsid w:val="00A96B9A"/>
    <w:rsid w:val="00A96CED"/>
    <w:rsid w:val="00A96D95"/>
    <w:rsid w:val="00A96E80"/>
    <w:rsid w:val="00A96FD8"/>
    <w:rsid w:val="00A9712F"/>
    <w:rsid w:val="00A971BF"/>
    <w:rsid w:val="00A9732B"/>
    <w:rsid w:val="00A973C8"/>
    <w:rsid w:val="00A97BA5"/>
    <w:rsid w:val="00A97E1F"/>
    <w:rsid w:val="00AA0150"/>
    <w:rsid w:val="00AA01F9"/>
    <w:rsid w:val="00AA0641"/>
    <w:rsid w:val="00AA082F"/>
    <w:rsid w:val="00AA08C1"/>
    <w:rsid w:val="00AA0A4D"/>
    <w:rsid w:val="00AA0A58"/>
    <w:rsid w:val="00AA0B09"/>
    <w:rsid w:val="00AA0B14"/>
    <w:rsid w:val="00AA0C88"/>
    <w:rsid w:val="00AA0E31"/>
    <w:rsid w:val="00AA110B"/>
    <w:rsid w:val="00AA115A"/>
    <w:rsid w:val="00AA1177"/>
    <w:rsid w:val="00AA117A"/>
    <w:rsid w:val="00AA13A7"/>
    <w:rsid w:val="00AA14C3"/>
    <w:rsid w:val="00AA176A"/>
    <w:rsid w:val="00AA17B6"/>
    <w:rsid w:val="00AA18A0"/>
    <w:rsid w:val="00AA1913"/>
    <w:rsid w:val="00AA1CA2"/>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9F1"/>
    <w:rsid w:val="00AA3C6E"/>
    <w:rsid w:val="00AA3DC3"/>
    <w:rsid w:val="00AA3F32"/>
    <w:rsid w:val="00AA409E"/>
    <w:rsid w:val="00AA4130"/>
    <w:rsid w:val="00AA4186"/>
    <w:rsid w:val="00AA41E5"/>
    <w:rsid w:val="00AA43DD"/>
    <w:rsid w:val="00AA45EC"/>
    <w:rsid w:val="00AA4779"/>
    <w:rsid w:val="00AA484E"/>
    <w:rsid w:val="00AA4C41"/>
    <w:rsid w:val="00AA4E04"/>
    <w:rsid w:val="00AA4EAC"/>
    <w:rsid w:val="00AA502C"/>
    <w:rsid w:val="00AA5077"/>
    <w:rsid w:val="00AA50D0"/>
    <w:rsid w:val="00AA5138"/>
    <w:rsid w:val="00AA537F"/>
    <w:rsid w:val="00AA5591"/>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AEA"/>
    <w:rsid w:val="00AA6BD9"/>
    <w:rsid w:val="00AA6C15"/>
    <w:rsid w:val="00AA6F2A"/>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1C24"/>
    <w:rsid w:val="00AB209C"/>
    <w:rsid w:val="00AB20B4"/>
    <w:rsid w:val="00AB22D5"/>
    <w:rsid w:val="00AB23C9"/>
    <w:rsid w:val="00AB24A2"/>
    <w:rsid w:val="00AB2662"/>
    <w:rsid w:val="00AB26F9"/>
    <w:rsid w:val="00AB28F9"/>
    <w:rsid w:val="00AB29E5"/>
    <w:rsid w:val="00AB2E0E"/>
    <w:rsid w:val="00AB2E41"/>
    <w:rsid w:val="00AB2E7C"/>
    <w:rsid w:val="00AB2F6E"/>
    <w:rsid w:val="00AB308B"/>
    <w:rsid w:val="00AB3243"/>
    <w:rsid w:val="00AB33BF"/>
    <w:rsid w:val="00AB33F1"/>
    <w:rsid w:val="00AB3780"/>
    <w:rsid w:val="00AB3DD5"/>
    <w:rsid w:val="00AB3E97"/>
    <w:rsid w:val="00AB4188"/>
    <w:rsid w:val="00AB418B"/>
    <w:rsid w:val="00AB4445"/>
    <w:rsid w:val="00AB4634"/>
    <w:rsid w:val="00AB4910"/>
    <w:rsid w:val="00AB4BCF"/>
    <w:rsid w:val="00AB4C3A"/>
    <w:rsid w:val="00AB4CEF"/>
    <w:rsid w:val="00AB4D90"/>
    <w:rsid w:val="00AB511D"/>
    <w:rsid w:val="00AB55E8"/>
    <w:rsid w:val="00AB56E1"/>
    <w:rsid w:val="00AB5881"/>
    <w:rsid w:val="00AB5A88"/>
    <w:rsid w:val="00AB5AB7"/>
    <w:rsid w:val="00AB5C4A"/>
    <w:rsid w:val="00AB5DC2"/>
    <w:rsid w:val="00AB5F1D"/>
    <w:rsid w:val="00AB5FE9"/>
    <w:rsid w:val="00AB6A2B"/>
    <w:rsid w:val="00AB6EB6"/>
    <w:rsid w:val="00AB7393"/>
    <w:rsid w:val="00AB74F8"/>
    <w:rsid w:val="00AB757B"/>
    <w:rsid w:val="00AB770A"/>
    <w:rsid w:val="00AB775A"/>
    <w:rsid w:val="00AB7791"/>
    <w:rsid w:val="00AB7866"/>
    <w:rsid w:val="00AB7A2F"/>
    <w:rsid w:val="00AB7B22"/>
    <w:rsid w:val="00AB7E1A"/>
    <w:rsid w:val="00AC008A"/>
    <w:rsid w:val="00AC0489"/>
    <w:rsid w:val="00AC0603"/>
    <w:rsid w:val="00AC0702"/>
    <w:rsid w:val="00AC07E7"/>
    <w:rsid w:val="00AC09A2"/>
    <w:rsid w:val="00AC0A51"/>
    <w:rsid w:val="00AC0A58"/>
    <w:rsid w:val="00AC1052"/>
    <w:rsid w:val="00AC118D"/>
    <w:rsid w:val="00AC12DA"/>
    <w:rsid w:val="00AC146B"/>
    <w:rsid w:val="00AC17D8"/>
    <w:rsid w:val="00AC18AF"/>
    <w:rsid w:val="00AC19A1"/>
    <w:rsid w:val="00AC1BD5"/>
    <w:rsid w:val="00AC1C0F"/>
    <w:rsid w:val="00AC1DD7"/>
    <w:rsid w:val="00AC1DFA"/>
    <w:rsid w:val="00AC1ECA"/>
    <w:rsid w:val="00AC1FE1"/>
    <w:rsid w:val="00AC262E"/>
    <w:rsid w:val="00AC26C8"/>
    <w:rsid w:val="00AC2B5C"/>
    <w:rsid w:val="00AC2C7A"/>
    <w:rsid w:val="00AC2DBA"/>
    <w:rsid w:val="00AC2E58"/>
    <w:rsid w:val="00AC2FA3"/>
    <w:rsid w:val="00AC2FFC"/>
    <w:rsid w:val="00AC31A5"/>
    <w:rsid w:val="00AC31D6"/>
    <w:rsid w:val="00AC3213"/>
    <w:rsid w:val="00AC3317"/>
    <w:rsid w:val="00AC3480"/>
    <w:rsid w:val="00AC35A5"/>
    <w:rsid w:val="00AC363F"/>
    <w:rsid w:val="00AC37B0"/>
    <w:rsid w:val="00AC38C3"/>
    <w:rsid w:val="00AC3A3D"/>
    <w:rsid w:val="00AC3E84"/>
    <w:rsid w:val="00AC4432"/>
    <w:rsid w:val="00AC444F"/>
    <w:rsid w:val="00AC44CD"/>
    <w:rsid w:val="00AC4679"/>
    <w:rsid w:val="00AC47E9"/>
    <w:rsid w:val="00AC48DA"/>
    <w:rsid w:val="00AC4A92"/>
    <w:rsid w:val="00AC4CB9"/>
    <w:rsid w:val="00AC52B5"/>
    <w:rsid w:val="00AC53FC"/>
    <w:rsid w:val="00AC5449"/>
    <w:rsid w:val="00AC5467"/>
    <w:rsid w:val="00AC5494"/>
    <w:rsid w:val="00AC57E9"/>
    <w:rsid w:val="00AC57FA"/>
    <w:rsid w:val="00AC5A5D"/>
    <w:rsid w:val="00AC5D81"/>
    <w:rsid w:val="00AC614B"/>
    <w:rsid w:val="00AC621A"/>
    <w:rsid w:val="00AC6349"/>
    <w:rsid w:val="00AC65E8"/>
    <w:rsid w:val="00AC6643"/>
    <w:rsid w:val="00AC669E"/>
    <w:rsid w:val="00AC66D5"/>
    <w:rsid w:val="00AC6BFD"/>
    <w:rsid w:val="00AC6C31"/>
    <w:rsid w:val="00AC6DB5"/>
    <w:rsid w:val="00AC73F5"/>
    <w:rsid w:val="00AC7717"/>
    <w:rsid w:val="00AC7773"/>
    <w:rsid w:val="00AC791D"/>
    <w:rsid w:val="00AC7AB8"/>
    <w:rsid w:val="00AC7B51"/>
    <w:rsid w:val="00AC7BC2"/>
    <w:rsid w:val="00AC7C08"/>
    <w:rsid w:val="00AC7E6E"/>
    <w:rsid w:val="00AC7F6B"/>
    <w:rsid w:val="00AC7FB3"/>
    <w:rsid w:val="00AD02ED"/>
    <w:rsid w:val="00AD030A"/>
    <w:rsid w:val="00AD03A6"/>
    <w:rsid w:val="00AD0414"/>
    <w:rsid w:val="00AD08EE"/>
    <w:rsid w:val="00AD09EA"/>
    <w:rsid w:val="00AD0A30"/>
    <w:rsid w:val="00AD0B37"/>
    <w:rsid w:val="00AD0CDC"/>
    <w:rsid w:val="00AD0DCA"/>
    <w:rsid w:val="00AD0E18"/>
    <w:rsid w:val="00AD0EB1"/>
    <w:rsid w:val="00AD10B6"/>
    <w:rsid w:val="00AD10F5"/>
    <w:rsid w:val="00AD129B"/>
    <w:rsid w:val="00AD1438"/>
    <w:rsid w:val="00AD1588"/>
    <w:rsid w:val="00AD15C0"/>
    <w:rsid w:val="00AD17F1"/>
    <w:rsid w:val="00AD1AB0"/>
    <w:rsid w:val="00AD1CD5"/>
    <w:rsid w:val="00AD1CF3"/>
    <w:rsid w:val="00AD1E7F"/>
    <w:rsid w:val="00AD1F10"/>
    <w:rsid w:val="00AD1F65"/>
    <w:rsid w:val="00AD2012"/>
    <w:rsid w:val="00AD2267"/>
    <w:rsid w:val="00AD269C"/>
    <w:rsid w:val="00AD2714"/>
    <w:rsid w:val="00AD27CD"/>
    <w:rsid w:val="00AD289B"/>
    <w:rsid w:val="00AD2CBF"/>
    <w:rsid w:val="00AD303D"/>
    <w:rsid w:val="00AD3206"/>
    <w:rsid w:val="00AD3260"/>
    <w:rsid w:val="00AD330B"/>
    <w:rsid w:val="00AD390B"/>
    <w:rsid w:val="00AD3A43"/>
    <w:rsid w:val="00AD3A57"/>
    <w:rsid w:val="00AD3CC5"/>
    <w:rsid w:val="00AD3CF6"/>
    <w:rsid w:val="00AD3D2A"/>
    <w:rsid w:val="00AD4202"/>
    <w:rsid w:val="00AD475A"/>
    <w:rsid w:val="00AD4AEC"/>
    <w:rsid w:val="00AD4E9A"/>
    <w:rsid w:val="00AD5288"/>
    <w:rsid w:val="00AD52E4"/>
    <w:rsid w:val="00AD541C"/>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374"/>
    <w:rsid w:val="00AD74D8"/>
    <w:rsid w:val="00AD75D1"/>
    <w:rsid w:val="00AD7AD4"/>
    <w:rsid w:val="00AD7BF5"/>
    <w:rsid w:val="00AD7F31"/>
    <w:rsid w:val="00AE001B"/>
    <w:rsid w:val="00AE08A4"/>
    <w:rsid w:val="00AE09E4"/>
    <w:rsid w:val="00AE0AB7"/>
    <w:rsid w:val="00AE0C86"/>
    <w:rsid w:val="00AE0DB4"/>
    <w:rsid w:val="00AE0E8E"/>
    <w:rsid w:val="00AE14C6"/>
    <w:rsid w:val="00AE1595"/>
    <w:rsid w:val="00AE1654"/>
    <w:rsid w:val="00AE1804"/>
    <w:rsid w:val="00AE18DA"/>
    <w:rsid w:val="00AE1B85"/>
    <w:rsid w:val="00AE1CDE"/>
    <w:rsid w:val="00AE1E77"/>
    <w:rsid w:val="00AE1F86"/>
    <w:rsid w:val="00AE20C8"/>
    <w:rsid w:val="00AE2144"/>
    <w:rsid w:val="00AE220F"/>
    <w:rsid w:val="00AE24FE"/>
    <w:rsid w:val="00AE255E"/>
    <w:rsid w:val="00AE2A11"/>
    <w:rsid w:val="00AE2C22"/>
    <w:rsid w:val="00AE2CD3"/>
    <w:rsid w:val="00AE2D84"/>
    <w:rsid w:val="00AE2FA6"/>
    <w:rsid w:val="00AE3058"/>
    <w:rsid w:val="00AE31E4"/>
    <w:rsid w:val="00AE36E3"/>
    <w:rsid w:val="00AE381A"/>
    <w:rsid w:val="00AE397A"/>
    <w:rsid w:val="00AE3A44"/>
    <w:rsid w:val="00AE3B23"/>
    <w:rsid w:val="00AE3C37"/>
    <w:rsid w:val="00AE3D32"/>
    <w:rsid w:val="00AE3E59"/>
    <w:rsid w:val="00AE3EB2"/>
    <w:rsid w:val="00AE3F15"/>
    <w:rsid w:val="00AE3F21"/>
    <w:rsid w:val="00AE43B7"/>
    <w:rsid w:val="00AE4870"/>
    <w:rsid w:val="00AE4A0C"/>
    <w:rsid w:val="00AE4D7D"/>
    <w:rsid w:val="00AE4E7A"/>
    <w:rsid w:val="00AE4E92"/>
    <w:rsid w:val="00AE4F7B"/>
    <w:rsid w:val="00AE52D3"/>
    <w:rsid w:val="00AE541A"/>
    <w:rsid w:val="00AE549C"/>
    <w:rsid w:val="00AE54FC"/>
    <w:rsid w:val="00AE5C52"/>
    <w:rsid w:val="00AE5E63"/>
    <w:rsid w:val="00AE60BF"/>
    <w:rsid w:val="00AE618A"/>
    <w:rsid w:val="00AE6592"/>
    <w:rsid w:val="00AE65CC"/>
    <w:rsid w:val="00AE661A"/>
    <w:rsid w:val="00AE6690"/>
    <w:rsid w:val="00AE6C43"/>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40D"/>
    <w:rsid w:val="00AF0511"/>
    <w:rsid w:val="00AF0525"/>
    <w:rsid w:val="00AF05A8"/>
    <w:rsid w:val="00AF0656"/>
    <w:rsid w:val="00AF076D"/>
    <w:rsid w:val="00AF0796"/>
    <w:rsid w:val="00AF0F7E"/>
    <w:rsid w:val="00AF0FD4"/>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48"/>
    <w:rsid w:val="00AF3BFF"/>
    <w:rsid w:val="00AF3DA7"/>
    <w:rsid w:val="00AF3E12"/>
    <w:rsid w:val="00AF4055"/>
    <w:rsid w:val="00AF4062"/>
    <w:rsid w:val="00AF44BA"/>
    <w:rsid w:val="00AF46D8"/>
    <w:rsid w:val="00AF4764"/>
    <w:rsid w:val="00AF47A1"/>
    <w:rsid w:val="00AF493E"/>
    <w:rsid w:val="00AF4A76"/>
    <w:rsid w:val="00AF4C4D"/>
    <w:rsid w:val="00AF4C7C"/>
    <w:rsid w:val="00AF504E"/>
    <w:rsid w:val="00AF55C7"/>
    <w:rsid w:val="00AF5696"/>
    <w:rsid w:val="00AF59F8"/>
    <w:rsid w:val="00AF6213"/>
    <w:rsid w:val="00AF6899"/>
    <w:rsid w:val="00AF6BD9"/>
    <w:rsid w:val="00AF6E10"/>
    <w:rsid w:val="00AF6E56"/>
    <w:rsid w:val="00AF7082"/>
    <w:rsid w:val="00AF77AA"/>
    <w:rsid w:val="00AF79D6"/>
    <w:rsid w:val="00AF7AB8"/>
    <w:rsid w:val="00AF7C00"/>
    <w:rsid w:val="00AF7C07"/>
    <w:rsid w:val="00B00544"/>
    <w:rsid w:val="00B0071D"/>
    <w:rsid w:val="00B007E6"/>
    <w:rsid w:val="00B00F8C"/>
    <w:rsid w:val="00B01037"/>
    <w:rsid w:val="00B01099"/>
    <w:rsid w:val="00B01214"/>
    <w:rsid w:val="00B0141F"/>
    <w:rsid w:val="00B01429"/>
    <w:rsid w:val="00B0146D"/>
    <w:rsid w:val="00B0165E"/>
    <w:rsid w:val="00B017FD"/>
    <w:rsid w:val="00B01BE7"/>
    <w:rsid w:val="00B02243"/>
    <w:rsid w:val="00B02C6E"/>
    <w:rsid w:val="00B02EEA"/>
    <w:rsid w:val="00B02F06"/>
    <w:rsid w:val="00B02F95"/>
    <w:rsid w:val="00B03668"/>
    <w:rsid w:val="00B03698"/>
    <w:rsid w:val="00B036D4"/>
    <w:rsid w:val="00B03744"/>
    <w:rsid w:val="00B03770"/>
    <w:rsid w:val="00B039E0"/>
    <w:rsid w:val="00B03BD3"/>
    <w:rsid w:val="00B03BFC"/>
    <w:rsid w:val="00B03EA2"/>
    <w:rsid w:val="00B040BC"/>
    <w:rsid w:val="00B0422A"/>
    <w:rsid w:val="00B043EB"/>
    <w:rsid w:val="00B04486"/>
    <w:rsid w:val="00B044E6"/>
    <w:rsid w:val="00B04BF0"/>
    <w:rsid w:val="00B04D15"/>
    <w:rsid w:val="00B04E7D"/>
    <w:rsid w:val="00B05258"/>
    <w:rsid w:val="00B05404"/>
    <w:rsid w:val="00B054EC"/>
    <w:rsid w:val="00B0560C"/>
    <w:rsid w:val="00B0588C"/>
    <w:rsid w:val="00B05ADD"/>
    <w:rsid w:val="00B05B6E"/>
    <w:rsid w:val="00B05E4A"/>
    <w:rsid w:val="00B06397"/>
    <w:rsid w:val="00B06876"/>
    <w:rsid w:val="00B068BE"/>
    <w:rsid w:val="00B06A61"/>
    <w:rsid w:val="00B06C82"/>
    <w:rsid w:val="00B06D64"/>
    <w:rsid w:val="00B06DFC"/>
    <w:rsid w:val="00B06EC0"/>
    <w:rsid w:val="00B06F50"/>
    <w:rsid w:val="00B07083"/>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9A4"/>
    <w:rsid w:val="00B10A4A"/>
    <w:rsid w:val="00B10B93"/>
    <w:rsid w:val="00B10BE6"/>
    <w:rsid w:val="00B10D94"/>
    <w:rsid w:val="00B10EA9"/>
    <w:rsid w:val="00B10ED4"/>
    <w:rsid w:val="00B11094"/>
    <w:rsid w:val="00B1110F"/>
    <w:rsid w:val="00B111EA"/>
    <w:rsid w:val="00B1142F"/>
    <w:rsid w:val="00B114C2"/>
    <w:rsid w:val="00B115E0"/>
    <w:rsid w:val="00B116E0"/>
    <w:rsid w:val="00B11746"/>
    <w:rsid w:val="00B118B4"/>
    <w:rsid w:val="00B118E3"/>
    <w:rsid w:val="00B11A82"/>
    <w:rsid w:val="00B11E0C"/>
    <w:rsid w:val="00B11F89"/>
    <w:rsid w:val="00B123C3"/>
    <w:rsid w:val="00B1240F"/>
    <w:rsid w:val="00B12452"/>
    <w:rsid w:val="00B12518"/>
    <w:rsid w:val="00B1252B"/>
    <w:rsid w:val="00B12622"/>
    <w:rsid w:val="00B12629"/>
    <w:rsid w:val="00B12745"/>
    <w:rsid w:val="00B129B2"/>
    <w:rsid w:val="00B12A1E"/>
    <w:rsid w:val="00B12A9D"/>
    <w:rsid w:val="00B12AAE"/>
    <w:rsid w:val="00B12ECA"/>
    <w:rsid w:val="00B12F2D"/>
    <w:rsid w:val="00B1305C"/>
    <w:rsid w:val="00B130C0"/>
    <w:rsid w:val="00B13352"/>
    <w:rsid w:val="00B134B7"/>
    <w:rsid w:val="00B1356B"/>
    <w:rsid w:val="00B136DD"/>
    <w:rsid w:val="00B1390F"/>
    <w:rsid w:val="00B13C31"/>
    <w:rsid w:val="00B142D3"/>
    <w:rsid w:val="00B1430E"/>
    <w:rsid w:val="00B143D3"/>
    <w:rsid w:val="00B1447C"/>
    <w:rsid w:val="00B145DB"/>
    <w:rsid w:val="00B149FC"/>
    <w:rsid w:val="00B14BDB"/>
    <w:rsid w:val="00B14D95"/>
    <w:rsid w:val="00B14FF9"/>
    <w:rsid w:val="00B15067"/>
    <w:rsid w:val="00B1509F"/>
    <w:rsid w:val="00B15492"/>
    <w:rsid w:val="00B156C7"/>
    <w:rsid w:val="00B157AB"/>
    <w:rsid w:val="00B15965"/>
    <w:rsid w:val="00B159AF"/>
    <w:rsid w:val="00B15BF5"/>
    <w:rsid w:val="00B15CF1"/>
    <w:rsid w:val="00B1614D"/>
    <w:rsid w:val="00B1629E"/>
    <w:rsid w:val="00B16353"/>
    <w:rsid w:val="00B16445"/>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594"/>
    <w:rsid w:val="00B1780E"/>
    <w:rsid w:val="00B178E0"/>
    <w:rsid w:val="00B1795B"/>
    <w:rsid w:val="00B17AD7"/>
    <w:rsid w:val="00B17C09"/>
    <w:rsid w:val="00B17F9F"/>
    <w:rsid w:val="00B2008A"/>
    <w:rsid w:val="00B200FC"/>
    <w:rsid w:val="00B202DB"/>
    <w:rsid w:val="00B202FF"/>
    <w:rsid w:val="00B203EE"/>
    <w:rsid w:val="00B205BA"/>
    <w:rsid w:val="00B205ED"/>
    <w:rsid w:val="00B206D2"/>
    <w:rsid w:val="00B207A9"/>
    <w:rsid w:val="00B20BB6"/>
    <w:rsid w:val="00B20CF1"/>
    <w:rsid w:val="00B20FFC"/>
    <w:rsid w:val="00B2134A"/>
    <w:rsid w:val="00B21742"/>
    <w:rsid w:val="00B21A8F"/>
    <w:rsid w:val="00B21C57"/>
    <w:rsid w:val="00B21C8F"/>
    <w:rsid w:val="00B21D89"/>
    <w:rsid w:val="00B21DE7"/>
    <w:rsid w:val="00B21ECB"/>
    <w:rsid w:val="00B21F04"/>
    <w:rsid w:val="00B220F7"/>
    <w:rsid w:val="00B221B4"/>
    <w:rsid w:val="00B2275B"/>
    <w:rsid w:val="00B2285C"/>
    <w:rsid w:val="00B228FC"/>
    <w:rsid w:val="00B22926"/>
    <w:rsid w:val="00B22C21"/>
    <w:rsid w:val="00B22DE1"/>
    <w:rsid w:val="00B2301D"/>
    <w:rsid w:val="00B232B8"/>
    <w:rsid w:val="00B23469"/>
    <w:rsid w:val="00B23523"/>
    <w:rsid w:val="00B2397D"/>
    <w:rsid w:val="00B23A2D"/>
    <w:rsid w:val="00B23AD9"/>
    <w:rsid w:val="00B23C25"/>
    <w:rsid w:val="00B23CEA"/>
    <w:rsid w:val="00B23ECC"/>
    <w:rsid w:val="00B23F61"/>
    <w:rsid w:val="00B24052"/>
    <w:rsid w:val="00B2405F"/>
    <w:rsid w:val="00B241C7"/>
    <w:rsid w:val="00B24347"/>
    <w:rsid w:val="00B244A7"/>
    <w:rsid w:val="00B2474E"/>
    <w:rsid w:val="00B2475E"/>
    <w:rsid w:val="00B24A0F"/>
    <w:rsid w:val="00B24EBA"/>
    <w:rsid w:val="00B25008"/>
    <w:rsid w:val="00B2506E"/>
    <w:rsid w:val="00B255D0"/>
    <w:rsid w:val="00B2577A"/>
    <w:rsid w:val="00B25842"/>
    <w:rsid w:val="00B25C0E"/>
    <w:rsid w:val="00B25D2C"/>
    <w:rsid w:val="00B25E5C"/>
    <w:rsid w:val="00B260CE"/>
    <w:rsid w:val="00B261EF"/>
    <w:rsid w:val="00B26263"/>
    <w:rsid w:val="00B2638A"/>
    <w:rsid w:val="00B2674A"/>
    <w:rsid w:val="00B2683C"/>
    <w:rsid w:val="00B2690B"/>
    <w:rsid w:val="00B26CAD"/>
    <w:rsid w:val="00B26D72"/>
    <w:rsid w:val="00B26D79"/>
    <w:rsid w:val="00B27181"/>
    <w:rsid w:val="00B273AF"/>
    <w:rsid w:val="00B27675"/>
    <w:rsid w:val="00B27925"/>
    <w:rsid w:val="00B27AB6"/>
    <w:rsid w:val="00B27BB7"/>
    <w:rsid w:val="00B27D6D"/>
    <w:rsid w:val="00B301F1"/>
    <w:rsid w:val="00B3044F"/>
    <w:rsid w:val="00B3048A"/>
    <w:rsid w:val="00B30579"/>
    <w:rsid w:val="00B3078B"/>
    <w:rsid w:val="00B307C5"/>
    <w:rsid w:val="00B30858"/>
    <w:rsid w:val="00B30A0F"/>
    <w:rsid w:val="00B30C9D"/>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2201"/>
    <w:rsid w:val="00B324FD"/>
    <w:rsid w:val="00B32553"/>
    <w:rsid w:val="00B32A8B"/>
    <w:rsid w:val="00B32B26"/>
    <w:rsid w:val="00B32C8F"/>
    <w:rsid w:val="00B32DC9"/>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C2"/>
    <w:rsid w:val="00B357DC"/>
    <w:rsid w:val="00B35926"/>
    <w:rsid w:val="00B35A44"/>
    <w:rsid w:val="00B35A62"/>
    <w:rsid w:val="00B35D1D"/>
    <w:rsid w:val="00B36006"/>
    <w:rsid w:val="00B361AF"/>
    <w:rsid w:val="00B36492"/>
    <w:rsid w:val="00B36917"/>
    <w:rsid w:val="00B36931"/>
    <w:rsid w:val="00B36BA3"/>
    <w:rsid w:val="00B36CCB"/>
    <w:rsid w:val="00B37478"/>
    <w:rsid w:val="00B37869"/>
    <w:rsid w:val="00B37FF6"/>
    <w:rsid w:val="00B40113"/>
    <w:rsid w:val="00B4014E"/>
    <w:rsid w:val="00B4023F"/>
    <w:rsid w:val="00B40365"/>
    <w:rsid w:val="00B40468"/>
    <w:rsid w:val="00B4052A"/>
    <w:rsid w:val="00B405E7"/>
    <w:rsid w:val="00B406E7"/>
    <w:rsid w:val="00B40846"/>
    <w:rsid w:val="00B408D8"/>
    <w:rsid w:val="00B40A51"/>
    <w:rsid w:val="00B40B5A"/>
    <w:rsid w:val="00B40C25"/>
    <w:rsid w:val="00B40D07"/>
    <w:rsid w:val="00B40DC9"/>
    <w:rsid w:val="00B40EB5"/>
    <w:rsid w:val="00B40F5D"/>
    <w:rsid w:val="00B415C4"/>
    <w:rsid w:val="00B4167B"/>
    <w:rsid w:val="00B416EA"/>
    <w:rsid w:val="00B4171C"/>
    <w:rsid w:val="00B417EC"/>
    <w:rsid w:val="00B418A1"/>
    <w:rsid w:val="00B4194D"/>
    <w:rsid w:val="00B41966"/>
    <w:rsid w:val="00B41D40"/>
    <w:rsid w:val="00B41E6B"/>
    <w:rsid w:val="00B41F13"/>
    <w:rsid w:val="00B42233"/>
    <w:rsid w:val="00B42A68"/>
    <w:rsid w:val="00B433B3"/>
    <w:rsid w:val="00B43892"/>
    <w:rsid w:val="00B43D6C"/>
    <w:rsid w:val="00B43DA5"/>
    <w:rsid w:val="00B43EDA"/>
    <w:rsid w:val="00B4403E"/>
    <w:rsid w:val="00B44205"/>
    <w:rsid w:val="00B44290"/>
    <w:rsid w:val="00B44666"/>
    <w:rsid w:val="00B446A1"/>
    <w:rsid w:val="00B446D1"/>
    <w:rsid w:val="00B44C79"/>
    <w:rsid w:val="00B44D5C"/>
    <w:rsid w:val="00B44EC8"/>
    <w:rsid w:val="00B4516C"/>
    <w:rsid w:val="00B4559E"/>
    <w:rsid w:val="00B4581D"/>
    <w:rsid w:val="00B45B70"/>
    <w:rsid w:val="00B45C5A"/>
    <w:rsid w:val="00B45C71"/>
    <w:rsid w:val="00B45E93"/>
    <w:rsid w:val="00B4658D"/>
    <w:rsid w:val="00B4682A"/>
    <w:rsid w:val="00B46A8A"/>
    <w:rsid w:val="00B46C57"/>
    <w:rsid w:val="00B46CAC"/>
    <w:rsid w:val="00B46D34"/>
    <w:rsid w:val="00B47413"/>
    <w:rsid w:val="00B4764F"/>
    <w:rsid w:val="00B476D7"/>
    <w:rsid w:val="00B477F4"/>
    <w:rsid w:val="00B47CB1"/>
    <w:rsid w:val="00B47D8D"/>
    <w:rsid w:val="00B5009C"/>
    <w:rsid w:val="00B50123"/>
    <w:rsid w:val="00B50132"/>
    <w:rsid w:val="00B50169"/>
    <w:rsid w:val="00B50191"/>
    <w:rsid w:val="00B502AB"/>
    <w:rsid w:val="00B5034E"/>
    <w:rsid w:val="00B504D5"/>
    <w:rsid w:val="00B504F3"/>
    <w:rsid w:val="00B50A04"/>
    <w:rsid w:val="00B50A8B"/>
    <w:rsid w:val="00B50F14"/>
    <w:rsid w:val="00B510E8"/>
    <w:rsid w:val="00B51188"/>
    <w:rsid w:val="00B5120B"/>
    <w:rsid w:val="00B51495"/>
    <w:rsid w:val="00B516C0"/>
    <w:rsid w:val="00B516C5"/>
    <w:rsid w:val="00B5175D"/>
    <w:rsid w:val="00B5192A"/>
    <w:rsid w:val="00B519D0"/>
    <w:rsid w:val="00B5212C"/>
    <w:rsid w:val="00B521C2"/>
    <w:rsid w:val="00B52232"/>
    <w:rsid w:val="00B5224E"/>
    <w:rsid w:val="00B522B9"/>
    <w:rsid w:val="00B522EE"/>
    <w:rsid w:val="00B528B4"/>
    <w:rsid w:val="00B5290F"/>
    <w:rsid w:val="00B52AF5"/>
    <w:rsid w:val="00B52D91"/>
    <w:rsid w:val="00B52F71"/>
    <w:rsid w:val="00B53396"/>
    <w:rsid w:val="00B53881"/>
    <w:rsid w:val="00B5399B"/>
    <w:rsid w:val="00B53A76"/>
    <w:rsid w:val="00B53F62"/>
    <w:rsid w:val="00B53FB2"/>
    <w:rsid w:val="00B54042"/>
    <w:rsid w:val="00B540F0"/>
    <w:rsid w:val="00B542A2"/>
    <w:rsid w:val="00B54358"/>
    <w:rsid w:val="00B5474C"/>
    <w:rsid w:val="00B54807"/>
    <w:rsid w:val="00B54A9E"/>
    <w:rsid w:val="00B54ACA"/>
    <w:rsid w:val="00B54B1E"/>
    <w:rsid w:val="00B54CD4"/>
    <w:rsid w:val="00B54D84"/>
    <w:rsid w:val="00B54E27"/>
    <w:rsid w:val="00B55054"/>
    <w:rsid w:val="00B55237"/>
    <w:rsid w:val="00B55490"/>
    <w:rsid w:val="00B555E3"/>
    <w:rsid w:val="00B558AD"/>
    <w:rsid w:val="00B559EF"/>
    <w:rsid w:val="00B55AC5"/>
    <w:rsid w:val="00B56207"/>
    <w:rsid w:val="00B5629D"/>
    <w:rsid w:val="00B565EA"/>
    <w:rsid w:val="00B56BDF"/>
    <w:rsid w:val="00B56D2A"/>
    <w:rsid w:val="00B56E48"/>
    <w:rsid w:val="00B56EF7"/>
    <w:rsid w:val="00B575F9"/>
    <w:rsid w:val="00B576C8"/>
    <w:rsid w:val="00B579BC"/>
    <w:rsid w:val="00B579BF"/>
    <w:rsid w:val="00B57FB8"/>
    <w:rsid w:val="00B60168"/>
    <w:rsid w:val="00B6018C"/>
    <w:rsid w:val="00B606B9"/>
    <w:rsid w:val="00B60812"/>
    <w:rsid w:val="00B60A62"/>
    <w:rsid w:val="00B60BD4"/>
    <w:rsid w:val="00B60E22"/>
    <w:rsid w:val="00B60FB1"/>
    <w:rsid w:val="00B6102D"/>
    <w:rsid w:val="00B61326"/>
    <w:rsid w:val="00B614F0"/>
    <w:rsid w:val="00B61514"/>
    <w:rsid w:val="00B6157F"/>
    <w:rsid w:val="00B615DB"/>
    <w:rsid w:val="00B61A10"/>
    <w:rsid w:val="00B61FA6"/>
    <w:rsid w:val="00B61FC2"/>
    <w:rsid w:val="00B62156"/>
    <w:rsid w:val="00B6223B"/>
    <w:rsid w:val="00B62314"/>
    <w:rsid w:val="00B626C4"/>
    <w:rsid w:val="00B6280E"/>
    <w:rsid w:val="00B629DF"/>
    <w:rsid w:val="00B63050"/>
    <w:rsid w:val="00B63270"/>
    <w:rsid w:val="00B635A7"/>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EF9"/>
    <w:rsid w:val="00B65FA0"/>
    <w:rsid w:val="00B66161"/>
    <w:rsid w:val="00B6626F"/>
    <w:rsid w:val="00B66344"/>
    <w:rsid w:val="00B66788"/>
    <w:rsid w:val="00B668AF"/>
    <w:rsid w:val="00B669C3"/>
    <w:rsid w:val="00B66BD7"/>
    <w:rsid w:val="00B66CB0"/>
    <w:rsid w:val="00B66EE5"/>
    <w:rsid w:val="00B66FD9"/>
    <w:rsid w:val="00B671BE"/>
    <w:rsid w:val="00B672D5"/>
    <w:rsid w:val="00B67A26"/>
    <w:rsid w:val="00B67BA3"/>
    <w:rsid w:val="00B67DAE"/>
    <w:rsid w:val="00B67E8C"/>
    <w:rsid w:val="00B67FF5"/>
    <w:rsid w:val="00B70248"/>
    <w:rsid w:val="00B70256"/>
    <w:rsid w:val="00B7035F"/>
    <w:rsid w:val="00B703B3"/>
    <w:rsid w:val="00B70429"/>
    <w:rsid w:val="00B7045E"/>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275"/>
    <w:rsid w:val="00B73322"/>
    <w:rsid w:val="00B73328"/>
    <w:rsid w:val="00B7369A"/>
    <w:rsid w:val="00B736B3"/>
    <w:rsid w:val="00B738ED"/>
    <w:rsid w:val="00B739E1"/>
    <w:rsid w:val="00B73A79"/>
    <w:rsid w:val="00B73A95"/>
    <w:rsid w:val="00B73AAF"/>
    <w:rsid w:val="00B73BB5"/>
    <w:rsid w:val="00B73E47"/>
    <w:rsid w:val="00B73FDF"/>
    <w:rsid w:val="00B740D4"/>
    <w:rsid w:val="00B740E7"/>
    <w:rsid w:val="00B7438B"/>
    <w:rsid w:val="00B74951"/>
    <w:rsid w:val="00B7504C"/>
    <w:rsid w:val="00B752B5"/>
    <w:rsid w:val="00B75395"/>
    <w:rsid w:val="00B753E8"/>
    <w:rsid w:val="00B75482"/>
    <w:rsid w:val="00B75781"/>
    <w:rsid w:val="00B757DF"/>
    <w:rsid w:val="00B75826"/>
    <w:rsid w:val="00B75908"/>
    <w:rsid w:val="00B75CD8"/>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40"/>
    <w:rsid w:val="00B77727"/>
    <w:rsid w:val="00B77744"/>
    <w:rsid w:val="00B77BBD"/>
    <w:rsid w:val="00B77EEB"/>
    <w:rsid w:val="00B80121"/>
    <w:rsid w:val="00B80167"/>
    <w:rsid w:val="00B80924"/>
    <w:rsid w:val="00B80F0C"/>
    <w:rsid w:val="00B80F96"/>
    <w:rsid w:val="00B8112E"/>
    <w:rsid w:val="00B813BB"/>
    <w:rsid w:val="00B8155A"/>
    <w:rsid w:val="00B81857"/>
    <w:rsid w:val="00B818D3"/>
    <w:rsid w:val="00B8199C"/>
    <w:rsid w:val="00B81A61"/>
    <w:rsid w:val="00B81B05"/>
    <w:rsid w:val="00B81CEE"/>
    <w:rsid w:val="00B81F08"/>
    <w:rsid w:val="00B81FB9"/>
    <w:rsid w:val="00B81FBC"/>
    <w:rsid w:val="00B8235E"/>
    <w:rsid w:val="00B825B3"/>
    <w:rsid w:val="00B82AE6"/>
    <w:rsid w:val="00B82B06"/>
    <w:rsid w:val="00B82C40"/>
    <w:rsid w:val="00B82E16"/>
    <w:rsid w:val="00B82F34"/>
    <w:rsid w:val="00B830C8"/>
    <w:rsid w:val="00B8314A"/>
    <w:rsid w:val="00B83190"/>
    <w:rsid w:val="00B83478"/>
    <w:rsid w:val="00B83CD2"/>
    <w:rsid w:val="00B8400F"/>
    <w:rsid w:val="00B843F9"/>
    <w:rsid w:val="00B84481"/>
    <w:rsid w:val="00B8453F"/>
    <w:rsid w:val="00B846F8"/>
    <w:rsid w:val="00B849F3"/>
    <w:rsid w:val="00B84F4F"/>
    <w:rsid w:val="00B85205"/>
    <w:rsid w:val="00B853F7"/>
    <w:rsid w:val="00B8541D"/>
    <w:rsid w:val="00B85757"/>
    <w:rsid w:val="00B85773"/>
    <w:rsid w:val="00B85C16"/>
    <w:rsid w:val="00B85F01"/>
    <w:rsid w:val="00B86208"/>
    <w:rsid w:val="00B869BF"/>
    <w:rsid w:val="00B86A5B"/>
    <w:rsid w:val="00B86C48"/>
    <w:rsid w:val="00B86D91"/>
    <w:rsid w:val="00B86E35"/>
    <w:rsid w:val="00B86EE2"/>
    <w:rsid w:val="00B870D5"/>
    <w:rsid w:val="00B8753A"/>
    <w:rsid w:val="00B8755A"/>
    <w:rsid w:val="00B876BB"/>
    <w:rsid w:val="00B878C1"/>
    <w:rsid w:val="00B87981"/>
    <w:rsid w:val="00B87B6F"/>
    <w:rsid w:val="00B87C89"/>
    <w:rsid w:val="00B87CE8"/>
    <w:rsid w:val="00B87E9C"/>
    <w:rsid w:val="00B87F6D"/>
    <w:rsid w:val="00B90041"/>
    <w:rsid w:val="00B900DF"/>
    <w:rsid w:val="00B904D8"/>
    <w:rsid w:val="00B907CB"/>
    <w:rsid w:val="00B90E2C"/>
    <w:rsid w:val="00B90F3A"/>
    <w:rsid w:val="00B90FD6"/>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0CE"/>
    <w:rsid w:val="00B9227F"/>
    <w:rsid w:val="00B924E0"/>
    <w:rsid w:val="00B926E0"/>
    <w:rsid w:val="00B928F1"/>
    <w:rsid w:val="00B92A0A"/>
    <w:rsid w:val="00B92B90"/>
    <w:rsid w:val="00B92D00"/>
    <w:rsid w:val="00B92F78"/>
    <w:rsid w:val="00B93017"/>
    <w:rsid w:val="00B930DC"/>
    <w:rsid w:val="00B93141"/>
    <w:rsid w:val="00B9327A"/>
    <w:rsid w:val="00B9380B"/>
    <w:rsid w:val="00B93AD9"/>
    <w:rsid w:val="00B93B7A"/>
    <w:rsid w:val="00B93F0C"/>
    <w:rsid w:val="00B93F76"/>
    <w:rsid w:val="00B940D8"/>
    <w:rsid w:val="00B94161"/>
    <w:rsid w:val="00B942D3"/>
    <w:rsid w:val="00B94543"/>
    <w:rsid w:val="00B946B2"/>
    <w:rsid w:val="00B948CE"/>
    <w:rsid w:val="00B94ABB"/>
    <w:rsid w:val="00B94DA3"/>
    <w:rsid w:val="00B9529C"/>
    <w:rsid w:val="00B9532A"/>
    <w:rsid w:val="00B9549C"/>
    <w:rsid w:val="00B955EF"/>
    <w:rsid w:val="00B95698"/>
    <w:rsid w:val="00B957A9"/>
    <w:rsid w:val="00B958FE"/>
    <w:rsid w:val="00B95AAE"/>
    <w:rsid w:val="00B95C4F"/>
    <w:rsid w:val="00B95D69"/>
    <w:rsid w:val="00B95E1F"/>
    <w:rsid w:val="00B95E33"/>
    <w:rsid w:val="00B961C8"/>
    <w:rsid w:val="00B96866"/>
    <w:rsid w:val="00B96887"/>
    <w:rsid w:val="00B96C4C"/>
    <w:rsid w:val="00B96D0B"/>
    <w:rsid w:val="00B96E06"/>
    <w:rsid w:val="00B9709A"/>
    <w:rsid w:val="00B9722A"/>
    <w:rsid w:val="00B973C7"/>
    <w:rsid w:val="00B97436"/>
    <w:rsid w:val="00B9753A"/>
    <w:rsid w:val="00B97651"/>
    <w:rsid w:val="00B97786"/>
    <w:rsid w:val="00B978AC"/>
    <w:rsid w:val="00B97BA3"/>
    <w:rsid w:val="00B97DB5"/>
    <w:rsid w:val="00BA0247"/>
    <w:rsid w:val="00BA03C4"/>
    <w:rsid w:val="00BA0564"/>
    <w:rsid w:val="00BA09E0"/>
    <w:rsid w:val="00BA0B9C"/>
    <w:rsid w:val="00BA0CA4"/>
    <w:rsid w:val="00BA0D6A"/>
    <w:rsid w:val="00BA0DB4"/>
    <w:rsid w:val="00BA0E30"/>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0C"/>
    <w:rsid w:val="00BA2C1E"/>
    <w:rsid w:val="00BA2C3C"/>
    <w:rsid w:val="00BA2C5E"/>
    <w:rsid w:val="00BA2EB3"/>
    <w:rsid w:val="00BA2F24"/>
    <w:rsid w:val="00BA32E9"/>
    <w:rsid w:val="00BA361D"/>
    <w:rsid w:val="00BA36DB"/>
    <w:rsid w:val="00BA36E7"/>
    <w:rsid w:val="00BA38B5"/>
    <w:rsid w:val="00BA3A75"/>
    <w:rsid w:val="00BA3BFA"/>
    <w:rsid w:val="00BA3C35"/>
    <w:rsid w:val="00BA4354"/>
    <w:rsid w:val="00BA4B9F"/>
    <w:rsid w:val="00BA5036"/>
    <w:rsid w:val="00BA50A0"/>
    <w:rsid w:val="00BA5672"/>
    <w:rsid w:val="00BA5869"/>
    <w:rsid w:val="00BA58C6"/>
    <w:rsid w:val="00BA598B"/>
    <w:rsid w:val="00BA6182"/>
    <w:rsid w:val="00BA6190"/>
    <w:rsid w:val="00BA634B"/>
    <w:rsid w:val="00BA658E"/>
    <w:rsid w:val="00BA6611"/>
    <w:rsid w:val="00BA6A4E"/>
    <w:rsid w:val="00BA6C5F"/>
    <w:rsid w:val="00BA6DD8"/>
    <w:rsid w:val="00BA7015"/>
    <w:rsid w:val="00BA71BB"/>
    <w:rsid w:val="00BA736F"/>
    <w:rsid w:val="00BA76B2"/>
    <w:rsid w:val="00BA78FD"/>
    <w:rsid w:val="00BA7903"/>
    <w:rsid w:val="00BA7A51"/>
    <w:rsid w:val="00BA7B72"/>
    <w:rsid w:val="00BA7CA8"/>
    <w:rsid w:val="00BA7F37"/>
    <w:rsid w:val="00BA7FA7"/>
    <w:rsid w:val="00BB0013"/>
    <w:rsid w:val="00BB03B7"/>
    <w:rsid w:val="00BB0582"/>
    <w:rsid w:val="00BB061A"/>
    <w:rsid w:val="00BB06AE"/>
    <w:rsid w:val="00BB0B7D"/>
    <w:rsid w:val="00BB0EA9"/>
    <w:rsid w:val="00BB0F00"/>
    <w:rsid w:val="00BB0F94"/>
    <w:rsid w:val="00BB0FE3"/>
    <w:rsid w:val="00BB1082"/>
    <w:rsid w:val="00BB12BC"/>
    <w:rsid w:val="00BB1614"/>
    <w:rsid w:val="00BB179E"/>
    <w:rsid w:val="00BB1840"/>
    <w:rsid w:val="00BB1D36"/>
    <w:rsid w:val="00BB1F3A"/>
    <w:rsid w:val="00BB20D8"/>
    <w:rsid w:val="00BB22FA"/>
    <w:rsid w:val="00BB249C"/>
    <w:rsid w:val="00BB2673"/>
    <w:rsid w:val="00BB290A"/>
    <w:rsid w:val="00BB2ADF"/>
    <w:rsid w:val="00BB2C48"/>
    <w:rsid w:val="00BB3250"/>
    <w:rsid w:val="00BB34B7"/>
    <w:rsid w:val="00BB353E"/>
    <w:rsid w:val="00BB36B3"/>
    <w:rsid w:val="00BB36D8"/>
    <w:rsid w:val="00BB3BA3"/>
    <w:rsid w:val="00BB3CED"/>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779"/>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891"/>
    <w:rsid w:val="00BC2C26"/>
    <w:rsid w:val="00BC2C5D"/>
    <w:rsid w:val="00BC2CB2"/>
    <w:rsid w:val="00BC318A"/>
    <w:rsid w:val="00BC31C4"/>
    <w:rsid w:val="00BC36C6"/>
    <w:rsid w:val="00BC377A"/>
    <w:rsid w:val="00BC3C00"/>
    <w:rsid w:val="00BC3C3B"/>
    <w:rsid w:val="00BC3D82"/>
    <w:rsid w:val="00BC3DFB"/>
    <w:rsid w:val="00BC3F2B"/>
    <w:rsid w:val="00BC40E8"/>
    <w:rsid w:val="00BC414C"/>
    <w:rsid w:val="00BC4242"/>
    <w:rsid w:val="00BC42F7"/>
    <w:rsid w:val="00BC4378"/>
    <w:rsid w:val="00BC4434"/>
    <w:rsid w:val="00BC446F"/>
    <w:rsid w:val="00BC50F9"/>
    <w:rsid w:val="00BC532C"/>
    <w:rsid w:val="00BC5381"/>
    <w:rsid w:val="00BC5714"/>
    <w:rsid w:val="00BC57EF"/>
    <w:rsid w:val="00BC581F"/>
    <w:rsid w:val="00BC58DC"/>
    <w:rsid w:val="00BC58F2"/>
    <w:rsid w:val="00BC5960"/>
    <w:rsid w:val="00BC5B37"/>
    <w:rsid w:val="00BC60F7"/>
    <w:rsid w:val="00BC6305"/>
    <w:rsid w:val="00BC6319"/>
    <w:rsid w:val="00BC63F5"/>
    <w:rsid w:val="00BC65B7"/>
    <w:rsid w:val="00BC6B13"/>
    <w:rsid w:val="00BC6C6B"/>
    <w:rsid w:val="00BC6CAA"/>
    <w:rsid w:val="00BC788C"/>
    <w:rsid w:val="00BC790A"/>
    <w:rsid w:val="00BC7ADC"/>
    <w:rsid w:val="00BC7B8F"/>
    <w:rsid w:val="00BC7E03"/>
    <w:rsid w:val="00BC7E85"/>
    <w:rsid w:val="00BC7FB8"/>
    <w:rsid w:val="00BD0046"/>
    <w:rsid w:val="00BD07D3"/>
    <w:rsid w:val="00BD0AB2"/>
    <w:rsid w:val="00BD0B0E"/>
    <w:rsid w:val="00BD0B66"/>
    <w:rsid w:val="00BD0FBA"/>
    <w:rsid w:val="00BD1423"/>
    <w:rsid w:val="00BD15FD"/>
    <w:rsid w:val="00BD1607"/>
    <w:rsid w:val="00BD1640"/>
    <w:rsid w:val="00BD16F4"/>
    <w:rsid w:val="00BD1712"/>
    <w:rsid w:val="00BD1D1D"/>
    <w:rsid w:val="00BD1D6F"/>
    <w:rsid w:val="00BD1DEF"/>
    <w:rsid w:val="00BD1EFC"/>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23C"/>
    <w:rsid w:val="00BD427C"/>
    <w:rsid w:val="00BD447E"/>
    <w:rsid w:val="00BD47A4"/>
    <w:rsid w:val="00BD4830"/>
    <w:rsid w:val="00BD4884"/>
    <w:rsid w:val="00BD4960"/>
    <w:rsid w:val="00BD4C19"/>
    <w:rsid w:val="00BD4D1F"/>
    <w:rsid w:val="00BD4E8C"/>
    <w:rsid w:val="00BD5002"/>
    <w:rsid w:val="00BD5152"/>
    <w:rsid w:val="00BD568A"/>
    <w:rsid w:val="00BD5718"/>
    <w:rsid w:val="00BD58E2"/>
    <w:rsid w:val="00BD5A95"/>
    <w:rsid w:val="00BD5B5D"/>
    <w:rsid w:val="00BD5C09"/>
    <w:rsid w:val="00BD5C10"/>
    <w:rsid w:val="00BD5FB7"/>
    <w:rsid w:val="00BD6288"/>
    <w:rsid w:val="00BD66A7"/>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92F"/>
    <w:rsid w:val="00BE1B5E"/>
    <w:rsid w:val="00BE1FB7"/>
    <w:rsid w:val="00BE2D0B"/>
    <w:rsid w:val="00BE2FC3"/>
    <w:rsid w:val="00BE35CF"/>
    <w:rsid w:val="00BE3653"/>
    <w:rsid w:val="00BE3687"/>
    <w:rsid w:val="00BE380A"/>
    <w:rsid w:val="00BE38AB"/>
    <w:rsid w:val="00BE396A"/>
    <w:rsid w:val="00BE3B89"/>
    <w:rsid w:val="00BE3CDA"/>
    <w:rsid w:val="00BE3DFE"/>
    <w:rsid w:val="00BE3E06"/>
    <w:rsid w:val="00BE3E59"/>
    <w:rsid w:val="00BE3E6D"/>
    <w:rsid w:val="00BE3EE4"/>
    <w:rsid w:val="00BE44AA"/>
    <w:rsid w:val="00BE44B3"/>
    <w:rsid w:val="00BE4505"/>
    <w:rsid w:val="00BE4558"/>
    <w:rsid w:val="00BE45B6"/>
    <w:rsid w:val="00BE473F"/>
    <w:rsid w:val="00BE4A78"/>
    <w:rsid w:val="00BE4B79"/>
    <w:rsid w:val="00BE4B82"/>
    <w:rsid w:val="00BE4DF2"/>
    <w:rsid w:val="00BE5037"/>
    <w:rsid w:val="00BE50D2"/>
    <w:rsid w:val="00BE531E"/>
    <w:rsid w:val="00BE549F"/>
    <w:rsid w:val="00BE54A3"/>
    <w:rsid w:val="00BE552D"/>
    <w:rsid w:val="00BE5591"/>
    <w:rsid w:val="00BE5719"/>
    <w:rsid w:val="00BE5AAB"/>
    <w:rsid w:val="00BE5AC7"/>
    <w:rsid w:val="00BE5C47"/>
    <w:rsid w:val="00BE5F7D"/>
    <w:rsid w:val="00BE5F7F"/>
    <w:rsid w:val="00BE6037"/>
    <w:rsid w:val="00BE627C"/>
    <w:rsid w:val="00BE643C"/>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B32"/>
    <w:rsid w:val="00BE7D0F"/>
    <w:rsid w:val="00BE7DAF"/>
    <w:rsid w:val="00BE7E1E"/>
    <w:rsid w:val="00BE7EC7"/>
    <w:rsid w:val="00BE7F68"/>
    <w:rsid w:val="00BF0333"/>
    <w:rsid w:val="00BF053B"/>
    <w:rsid w:val="00BF0816"/>
    <w:rsid w:val="00BF08AE"/>
    <w:rsid w:val="00BF08C6"/>
    <w:rsid w:val="00BF099E"/>
    <w:rsid w:val="00BF0E63"/>
    <w:rsid w:val="00BF0FB5"/>
    <w:rsid w:val="00BF11F8"/>
    <w:rsid w:val="00BF12EA"/>
    <w:rsid w:val="00BF1350"/>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6AA"/>
    <w:rsid w:val="00BF390E"/>
    <w:rsid w:val="00BF3C4E"/>
    <w:rsid w:val="00BF3D5C"/>
    <w:rsid w:val="00BF3EB8"/>
    <w:rsid w:val="00BF3FFE"/>
    <w:rsid w:val="00BF4436"/>
    <w:rsid w:val="00BF4659"/>
    <w:rsid w:val="00BF4702"/>
    <w:rsid w:val="00BF477A"/>
    <w:rsid w:val="00BF48D6"/>
    <w:rsid w:val="00BF48F4"/>
    <w:rsid w:val="00BF49C3"/>
    <w:rsid w:val="00BF4B55"/>
    <w:rsid w:val="00BF4BEF"/>
    <w:rsid w:val="00BF4E87"/>
    <w:rsid w:val="00BF5567"/>
    <w:rsid w:val="00BF560D"/>
    <w:rsid w:val="00BF57CD"/>
    <w:rsid w:val="00BF57D0"/>
    <w:rsid w:val="00BF57EF"/>
    <w:rsid w:val="00BF582C"/>
    <w:rsid w:val="00BF596F"/>
    <w:rsid w:val="00BF599E"/>
    <w:rsid w:val="00BF5A33"/>
    <w:rsid w:val="00BF5A37"/>
    <w:rsid w:val="00BF5A97"/>
    <w:rsid w:val="00BF5E55"/>
    <w:rsid w:val="00BF61C1"/>
    <w:rsid w:val="00BF65D7"/>
    <w:rsid w:val="00BF6665"/>
    <w:rsid w:val="00BF6974"/>
    <w:rsid w:val="00BF6A8D"/>
    <w:rsid w:val="00BF6BC0"/>
    <w:rsid w:val="00BF6C07"/>
    <w:rsid w:val="00BF6ECB"/>
    <w:rsid w:val="00BF73B5"/>
    <w:rsid w:val="00BF75D3"/>
    <w:rsid w:val="00BF79D0"/>
    <w:rsid w:val="00BF7CB6"/>
    <w:rsid w:val="00BF7D82"/>
    <w:rsid w:val="00BF7DAE"/>
    <w:rsid w:val="00BF7FFA"/>
    <w:rsid w:val="00C0031A"/>
    <w:rsid w:val="00C008B0"/>
    <w:rsid w:val="00C00AB7"/>
    <w:rsid w:val="00C00C3C"/>
    <w:rsid w:val="00C00F9F"/>
    <w:rsid w:val="00C00FCF"/>
    <w:rsid w:val="00C012EB"/>
    <w:rsid w:val="00C01380"/>
    <w:rsid w:val="00C013A0"/>
    <w:rsid w:val="00C0141A"/>
    <w:rsid w:val="00C0148A"/>
    <w:rsid w:val="00C015BF"/>
    <w:rsid w:val="00C01687"/>
    <w:rsid w:val="00C017A9"/>
    <w:rsid w:val="00C01A73"/>
    <w:rsid w:val="00C01B78"/>
    <w:rsid w:val="00C01E5D"/>
    <w:rsid w:val="00C01EC0"/>
    <w:rsid w:val="00C02177"/>
    <w:rsid w:val="00C02509"/>
    <w:rsid w:val="00C029A0"/>
    <w:rsid w:val="00C02A43"/>
    <w:rsid w:val="00C02C01"/>
    <w:rsid w:val="00C02DC0"/>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A7B"/>
    <w:rsid w:val="00C05D35"/>
    <w:rsid w:val="00C05E33"/>
    <w:rsid w:val="00C05F1B"/>
    <w:rsid w:val="00C060C3"/>
    <w:rsid w:val="00C06323"/>
    <w:rsid w:val="00C065CC"/>
    <w:rsid w:val="00C067F5"/>
    <w:rsid w:val="00C06A66"/>
    <w:rsid w:val="00C06D77"/>
    <w:rsid w:val="00C06E52"/>
    <w:rsid w:val="00C06F76"/>
    <w:rsid w:val="00C06FD2"/>
    <w:rsid w:val="00C07269"/>
    <w:rsid w:val="00C073D1"/>
    <w:rsid w:val="00C0742D"/>
    <w:rsid w:val="00C075A7"/>
    <w:rsid w:val="00C07A46"/>
    <w:rsid w:val="00C07D6A"/>
    <w:rsid w:val="00C07F6F"/>
    <w:rsid w:val="00C10183"/>
    <w:rsid w:val="00C101B7"/>
    <w:rsid w:val="00C103E8"/>
    <w:rsid w:val="00C10591"/>
    <w:rsid w:val="00C1093D"/>
    <w:rsid w:val="00C112B8"/>
    <w:rsid w:val="00C11305"/>
    <w:rsid w:val="00C1192F"/>
    <w:rsid w:val="00C119A5"/>
    <w:rsid w:val="00C11B1D"/>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593"/>
    <w:rsid w:val="00C14ACD"/>
    <w:rsid w:val="00C14C85"/>
    <w:rsid w:val="00C14D00"/>
    <w:rsid w:val="00C14DFE"/>
    <w:rsid w:val="00C14FC9"/>
    <w:rsid w:val="00C150F2"/>
    <w:rsid w:val="00C1555A"/>
    <w:rsid w:val="00C15841"/>
    <w:rsid w:val="00C15AAF"/>
    <w:rsid w:val="00C15ADA"/>
    <w:rsid w:val="00C15AF0"/>
    <w:rsid w:val="00C15B84"/>
    <w:rsid w:val="00C15BF7"/>
    <w:rsid w:val="00C15C71"/>
    <w:rsid w:val="00C15CD2"/>
    <w:rsid w:val="00C15D60"/>
    <w:rsid w:val="00C15ECB"/>
    <w:rsid w:val="00C15EEB"/>
    <w:rsid w:val="00C1624F"/>
    <w:rsid w:val="00C163AD"/>
    <w:rsid w:val="00C167D5"/>
    <w:rsid w:val="00C16933"/>
    <w:rsid w:val="00C16D1C"/>
    <w:rsid w:val="00C16EDC"/>
    <w:rsid w:val="00C16F20"/>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623"/>
    <w:rsid w:val="00C2072D"/>
    <w:rsid w:val="00C20743"/>
    <w:rsid w:val="00C207D6"/>
    <w:rsid w:val="00C20A81"/>
    <w:rsid w:val="00C20A85"/>
    <w:rsid w:val="00C20D57"/>
    <w:rsid w:val="00C20E95"/>
    <w:rsid w:val="00C20FCA"/>
    <w:rsid w:val="00C212CB"/>
    <w:rsid w:val="00C2165D"/>
    <w:rsid w:val="00C218E8"/>
    <w:rsid w:val="00C219DD"/>
    <w:rsid w:val="00C21C4A"/>
    <w:rsid w:val="00C22389"/>
    <w:rsid w:val="00C225AE"/>
    <w:rsid w:val="00C225BB"/>
    <w:rsid w:val="00C22B48"/>
    <w:rsid w:val="00C22B49"/>
    <w:rsid w:val="00C22B75"/>
    <w:rsid w:val="00C22B7E"/>
    <w:rsid w:val="00C22C8E"/>
    <w:rsid w:val="00C22D29"/>
    <w:rsid w:val="00C22ECF"/>
    <w:rsid w:val="00C22F96"/>
    <w:rsid w:val="00C230CE"/>
    <w:rsid w:val="00C232B8"/>
    <w:rsid w:val="00C23471"/>
    <w:rsid w:val="00C23658"/>
    <w:rsid w:val="00C2372B"/>
    <w:rsid w:val="00C2382C"/>
    <w:rsid w:val="00C238C8"/>
    <w:rsid w:val="00C2398C"/>
    <w:rsid w:val="00C23ACD"/>
    <w:rsid w:val="00C23D17"/>
    <w:rsid w:val="00C23D4B"/>
    <w:rsid w:val="00C23DC5"/>
    <w:rsid w:val="00C23E70"/>
    <w:rsid w:val="00C23EFB"/>
    <w:rsid w:val="00C23F14"/>
    <w:rsid w:val="00C242FC"/>
    <w:rsid w:val="00C24BF9"/>
    <w:rsid w:val="00C24C6E"/>
    <w:rsid w:val="00C24CC3"/>
    <w:rsid w:val="00C2508F"/>
    <w:rsid w:val="00C250C5"/>
    <w:rsid w:val="00C25193"/>
    <w:rsid w:val="00C254F7"/>
    <w:rsid w:val="00C25500"/>
    <w:rsid w:val="00C25781"/>
    <w:rsid w:val="00C258C6"/>
    <w:rsid w:val="00C25C22"/>
    <w:rsid w:val="00C25C49"/>
    <w:rsid w:val="00C2644D"/>
    <w:rsid w:val="00C264C5"/>
    <w:rsid w:val="00C265BD"/>
    <w:rsid w:val="00C26837"/>
    <w:rsid w:val="00C26846"/>
    <w:rsid w:val="00C26B61"/>
    <w:rsid w:val="00C26F80"/>
    <w:rsid w:val="00C27071"/>
    <w:rsid w:val="00C27310"/>
    <w:rsid w:val="00C27379"/>
    <w:rsid w:val="00C27409"/>
    <w:rsid w:val="00C274EB"/>
    <w:rsid w:val="00C276DA"/>
    <w:rsid w:val="00C2784F"/>
    <w:rsid w:val="00C279EC"/>
    <w:rsid w:val="00C27A3A"/>
    <w:rsid w:val="00C27A77"/>
    <w:rsid w:val="00C27AB0"/>
    <w:rsid w:val="00C27B07"/>
    <w:rsid w:val="00C27B08"/>
    <w:rsid w:val="00C27E78"/>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1AC"/>
    <w:rsid w:val="00C32214"/>
    <w:rsid w:val="00C3231D"/>
    <w:rsid w:val="00C3253A"/>
    <w:rsid w:val="00C327C3"/>
    <w:rsid w:val="00C32801"/>
    <w:rsid w:val="00C32B80"/>
    <w:rsid w:val="00C32C08"/>
    <w:rsid w:val="00C32FB8"/>
    <w:rsid w:val="00C33067"/>
    <w:rsid w:val="00C3312C"/>
    <w:rsid w:val="00C33211"/>
    <w:rsid w:val="00C33230"/>
    <w:rsid w:val="00C33251"/>
    <w:rsid w:val="00C33428"/>
    <w:rsid w:val="00C335F0"/>
    <w:rsid w:val="00C3377A"/>
    <w:rsid w:val="00C33CAB"/>
    <w:rsid w:val="00C33DD8"/>
    <w:rsid w:val="00C33F40"/>
    <w:rsid w:val="00C340FC"/>
    <w:rsid w:val="00C343B0"/>
    <w:rsid w:val="00C344F6"/>
    <w:rsid w:val="00C344FB"/>
    <w:rsid w:val="00C345C0"/>
    <w:rsid w:val="00C346DE"/>
    <w:rsid w:val="00C34899"/>
    <w:rsid w:val="00C349D6"/>
    <w:rsid w:val="00C34DE4"/>
    <w:rsid w:val="00C34E6C"/>
    <w:rsid w:val="00C35088"/>
    <w:rsid w:val="00C35112"/>
    <w:rsid w:val="00C35290"/>
    <w:rsid w:val="00C35391"/>
    <w:rsid w:val="00C3544C"/>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70C3"/>
    <w:rsid w:val="00C37617"/>
    <w:rsid w:val="00C376DF"/>
    <w:rsid w:val="00C37791"/>
    <w:rsid w:val="00C379A2"/>
    <w:rsid w:val="00C37A1E"/>
    <w:rsid w:val="00C37AE6"/>
    <w:rsid w:val="00C37C95"/>
    <w:rsid w:val="00C37CB8"/>
    <w:rsid w:val="00C37FA9"/>
    <w:rsid w:val="00C4000E"/>
    <w:rsid w:val="00C40176"/>
    <w:rsid w:val="00C401D4"/>
    <w:rsid w:val="00C40226"/>
    <w:rsid w:val="00C40621"/>
    <w:rsid w:val="00C4062E"/>
    <w:rsid w:val="00C4082A"/>
    <w:rsid w:val="00C4088A"/>
    <w:rsid w:val="00C40BC2"/>
    <w:rsid w:val="00C4147B"/>
    <w:rsid w:val="00C4156C"/>
    <w:rsid w:val="00C4166C"/>
    <w:rsid w:val="00C41B17"/>
    <w:rsid w:val="00C41DCA"/>
    <w:rsid w:val="00C41FA3"/>
    <w:rsid w:val="00C41FBF"/>
    <w:rsid w:val="00C4203E"/>
    <w:rsid w:val="00C4211F"/>
    <w:rsid w:val="00C42467"/>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9"/>
    <w:rsid w:val="00C43C9D"/>
    <w:rsid w:val="00C43D38"/>
    <w:rsid w:val="00C43E81"/>
    <w:rsid w:val="00C43F7F"/>
    <w:rsid w:val="00C44358"/>
    <w:rsid w:val="00C446C5"/>
    <w:rsid w:val="00C44841"/>
    <w:rsid w:val="00C448D2"/>
    <w:rsid w:val="00C44911"/>
    <w:rsid w:val="00C44A80"/>
    <w:rsid w:val="00C44C8F"/>
    <w:rsid w:val="00C44D36"/>
    <w:rsid w:val="00C45146"/>
    <w:rsid w:val="00C452A4"/>
    <w:rsid w:val="00C456B7"/>
    <w:rsid w:val="00C457EB"/>
    <w:rsid w:val="00C45840"/>
    <w:rsid w:val="00C45959"/>
    <w:rsid w:val="00C45AA8"/>
    <w:rsid w:val="00C45D9C"/>
    <w:rsid w:val="00C45F66"/>
    <w:rsid w:val="00C460C3"/>
    <w:rsid w:val="00C46123"/>
    <w:rsid w:val="00C46191"/>
    <w:rsid w:val="00C4636A"/>
    <w:rsid w:val="00C46528"/>
    <w:rsid w:val="00C46556"/>
    <w:rsid w:val="00C465AF"/>
    <w:rsid w:val="00C468E5"/>
    <w:rsid w:val="00C46BC1"/>
    <w:rsid w:val="00C46FAC"/>
    <w:rsid w:val="00C47002"/>
    <w:rsid w:val="00C47149"/>
    <w:rsid w:val="00C47303"/>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7A8"/>
    <w:rsid w:val="00C527AD"/>
    <w:rsid w:val="00C52B88"/>
    <w:rsid w:val="00C52BD0"/>
    <w:rsid w:val="00C52E21"/>
    <w:rsid w:val="00C52E6C"/>
    <w:rsid w:val="00C52F60"/>
    <w:rsid w:val="00C52F77"/>
    <w:rsid w:val="00C530FA"/>
    <w:rsid w:val="00C53429"/>
    <w:rsid w:val="00C53592"/>
    <w:rsid w:val="00C536A4"/>
    <w:rsid w:val="00C5376B"/>
    <w:rsid w:val="00C53F74"/>
    <w:rsid w:val="00C5416B"/>
    <w:rsid w:val="00C5437C"/>
    <w:rsid w:val="00C54416"/>
    <w:rsid w:val="00C5462F"/>
    <w:rsid w:val="00C5478E"/>
    <w:rsid w:val="00C547E9"/>
    <w:rsid w:val="00C54900"/>
    <w:rsid w:val="00C54966"/>
    <w:rsid w:val="00C54DDF"/>
    <w:rsid w:val="00C5502E"/>
    <w:rsid w:val="00C5507C"/>
    <w:rsid w:val="00C551F8"/>
    <w:rsid w:val="00C5571A"/>
    <w:rsid w:val="00C55876"/>
    <w:rsid w:val="00C55B63"/>
    <w:rsid w:val="00C55BDD"/>
    <w:rsid w:val="00C55CED"/>
    <w:rsid w:val="00C55F12"/>
    <w:rsid w:val="00C55F36"/>
    <w:rsid w:val="00C56179"/>
    <w:rsid w:val="00C56218"/>
    <w:rsid w:val="00C5654A"/>
    <w:rsid w:val="00C565F0"/>
    <w:rsid w:val="00C56656"/>
    <w:rsid w:val="00C566CE"/>
    <w:rsid w:val="00C566FA"/>
    <w:rsid w:val="00C5691B"/>
    <w:rsid w:val="00C56921"/>
    <w:rsid w:val="00C56AF1"/>
    <w:rsid w:val="00C56E16"/>
    <w:rsid w:val="00C56EC4"/>
    <w:rsid w:val="00C56EFF"/>
    <w:rsid w:val="00C57490"/>
    <w:rsid w:val="00C57570"/>
    <w:rsid w:val="00C57801"/>
    <w:rsid w:val="00C57A4E"/>
    <w:rsid w:val="00C57B11"/>
    <w:rsid w:val="00C57B32"/>
    <w:rsid w:val="00C57C3B"/>
    <w:rsid w:val="00C57D21"/>
    <w:rsid w:val="00C57D81"/>
    <w:rsid w:val="00C57F20"/>
    <w:rsid w:val="00C6020C"/>
    <w:rsid w:val="00C60371"/>
    <w:rsid w:val="00C603A9"/>
    <w:rsid w:val="00C6044D"/>
    <w:rsid w:val="00C604EF"/>
    <w:rsid w:val="00C6052F"/>
    <w:rsid w:val="00C60691"/>
    <w:rsid w:val="00C607AF"/>
    <w:rsid w:val="00C610DF"/>
    <w:rsid w:val="00C61167"/>
    <w:rsid w:val="00C61202"/>
    <w:rsid w:val="00C61285"/>
    <w:rsid w:val="00C61456"/>
    <w:rsid w:val="00C6145D"/>
    <w:rsid w:val="00C61778"/>
    <w:rsid w:val="00C6196E"/>
    <w:rsid w:val="00C6203B"/>
    <w:rsid w:val="00C62091"/>
    <w:rsid w:val="00C62298"/>
    <w:rsid w:val="00C62412"/>
    <w:rsid w:val="00C6249D"/>
    <w:rsid w:val="00C624D5"/>
    <w:rsid w:val="00C6253B"/>
    <w:rsid w:val="00C62743"/>
    <w:rsid w:val="00C629BA"/>
    <w:rsid w:val="00C62A0E"/>
    <w:rsid w:val="00C62B59"/>
    <w:rsid w:val="00C62C14"/>
    <w:rsid w:val="00C62EDD"/>
    <w:rsid w:val="00C62F79"/>
    <w:rsid w:val="00C63180"/>
    <w:rsid w:val="00C63217"/>
    <w:rsid w:val="00C632CD"/>
    <w:rsid w:val="00C63530"/>
    <w:rsid w:val="00C63598"/>
    <w:rsid w:val="00C63671"/>
    <w:rsid w:val="00C636C8"/>
    <w:rsid w:val="00C63753"/>
    <w:rsid w:val="00C63B14"/>
    <w:rsid w:val="00C63BD2"/>
    <w:rsid w:val="00C64220"/>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E"/>
    <w:rsid w:val="00C65F97"/>
    <w:rsid w:val="00C66386"/>
    <w:rsid w:val="00C66923"/>
    <w:rsid w:val="00C669C1"/>
    <w:rsid w:val="00C66DC6"/>
    <w:rsid w:val="00C66E9F"/>
    <w:rsid w:val="00C66FEE"/>
    <w:rsid w:val="00C670F3"/>
    <w:rsid w:val="00C6738E"/>
    <w:rsid w:val="00C673E7"/>
    <w:rsid w:val="00C676E5"/>
    <w:rsid w:val="00C67816"/>
    <w:rsid w:val="00C678D4"/>
    <w:rsid w:val="00C6790C"/>
    <w:rsid w:val="00C67914"/>
    <w:rsid w:val="00C67E53"/>
    <w:rsid w:val="00C67EBE"/>
    <w:rsid w:val="00C700EC"/>
    <w:rsid w:val="00C703CE"/>
    <w:rsid w:val="00C704EA"/>
    <w:rsid w:val="00C706AD"/>
    <w:rsid w:val="00C70710"/>
    <w:rsid w:val="00C70974"/>
    <w:rsid w:val="00C70A2D"/>
    <w:rsid w:val="00C70AAF"/>
    <w:rsid w:val="00C70C90"/>
    <w:rsid w:val="00C71020"/>
    <w:rsid w:val="00C71085"/>
    <w:rsid w:val="00C71090"/>
    <w:rsid w:val="00C71138"/>
    <w:rsid w:val="00C71240"/>
    <w:rsid w:val="00C71254"/>
    <w:rsid w:val="00C7128D"/>
    <w:rsid w:val="00C71364"/>
    <w:rsid w:val="00C713B3"/>
    <w:rsid w:val="00C716C3"/>
    <w:rsid w:val="00C71926"/>
    <w:rsid w:val="00C71944"/>
    <w:rsid w:val="00C7198C"/>
    <w:rsid w:val="00C71C6B"/>
    <w:rsid w:val="00C71CEB"/>
    <w:rsid w:val="00C71DB1"/>
    <w:rsid w:val="00C72035"/>
    <w:rsid w:val="00C721D5"/>
    <w:rsid w:val="00C72225"/>
    <w:rsid w:val="00C726A8"/>
    <w:rsid w:val="00C726E5"/>
    <w:rsid w:val="00C726F7"/>
    <w:rsid w:val="00C72831"/>
    <w:rsid w:val="00C729D9"/>
    <w:rsid w:val="00C72A0C"/>
    <w:rsid w:val="00C72A1C"/>
    <w:rsid w:val="00C72D51"/>
    <w:rsid w:val="00C72D55"/>
    <w:rsid w:val="00C72E32"/>
    <w:rsid w:val="00C72E60"/>
    <w:rsid w:val="00C73445"/>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48A"/>
    <w:rsid w:val="00C755B0"/>
    <w:rsid w:val="00C7574F"/>
    <w:rsid w:val="00C75B2D"/>
    <w:rsid w:val="00C75F25"/>
    <w:rsid w:val="00C765EA"/>
    <w:rsid w:val="00C766DB"/>
    <w:rsid w:val="00C76D62"/>
    <w:rsid w:val="00C76D70"/>
    <w:rsid w:val="00C77173"/>
    <w:rsid w:val="00C774D0"/>
    <w:rsid w:val="00C7774D"/>
    <w:rsid w:val="00C77A31"/>
    <w:rsid w:val="00C77C99"/>
    <w:rsid w:val="00C77F2E"/>
    <w:rsid w:val="00C80006"/>
    <w:rsid w:val="00C800E0"/>
    <w:rsid w:val="00C80153"/>
    <w:rsid w:val="00C802F8"/>
    <w:rsid w:val="00C8050B"/>
    <w:rsid w:val="00C80970"/>
    <w:rsid w:val="00C80C4C"/>
    <w:rsid w:val="00C80EA5"/>
    <w:rsid w:val="00C81050"/>
    <w:rsid w:val="00C8108E"/>
    <w:rsid w:val="00C810DA"/>
    <w:rsid w:val="00C811F6"/>
    <w:rsid w:val="00C812C1"/>
    <w:rsid w:val="00C814FA"/>
    <w:rsid w:val="00C8155D"/>
    <w:rsid w:val="00C81790"/>
    <w:rsid w:val="00C818DC"/>
    <w:rsid w:val="00C81AFA"/>
    <w:rsid w:val="00C81B35"/>
    <w:rsid w:val="00C81DF1"/>
    <w:rsid w:val="00C81DF4"/>
    <w:rsid w:val="00C81F3B"/>
    <w:rsid w:val="00C81FCD"/>
    <w:rsid w:val="00C82012"/>
    <w:rsid w:val="00C82028"/>
    <w:rsid w:val="00C8226E"/>
    <w:rsid w:val="00C822A5"/>
    <w:rsid w:val="00C82364"/>
    <w:rsid w:val="00C82A18"/>
    <w:rsid w:val="00C82A46"/>
    <w:rsid w:val="00C82CCC"/>
    <w:rsid w:val="00C82EBA"/>
    <w:rsid w:val="00C82EC7"/>
    <w:rsid w:val="00C82FC6"/>
    <w:rsid w:val="00C832E4"/>
    <w:rsid w:val="00C8349E"/>
    <w:rsid w:val="00C8349F"/>
    <w:rsid w:val="00C83753"/>
    <w:rsid w:val="00C83A7B"/>
    <w:rsid w:val="00C83AF9"/>
    <w:rsid w:val="00C83EB2"/>
    <w:rsid w:val="00C83F40"/>
    <w:rsid w:val="00C840E7"/>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78F"/>
    <w:rsid w:val="00C8785C"/>
    <w:rsid w:val="00C878EE"/>
    <w:rsid w:val="00C87C42"/>
    <w:rsid w:val="00C87C99"/>
    <w:rsid w:val="00C87E8A"/>
    <w:rsid w:val="00C900BF"/>
    <w:rsid w:val="00C9015B"/>
    <w:rsid w:val="00C901F4"/>
    <w:rsid w:val="00C9021C"/>
    <w:rsid w:val="00C902F1"/>
    <w:rsid w:val="00C90328"/>
    <w:rsid w:val="00C90338"/>
    <w:rsid w:val="00C908CB"/>
    <w:rsid w:val="00C90E22"/>
    <w:rsid w:val="00C90E6C"/>
    <w:rsid w:val="00C9114A"/>
    <w:rsid w:val="00C913CB"/>
    <w:rsid w:val="00C914F6"/>
    <w:rsid w:val="00C915F8"/>
    <w:rsid w:val="00C91869"/>
    <w:rsid w:val="00C91990"/>
    <w:rsid w:val="00C9199C"/>
    <w:rsid w:val="00C922AF"/>
    <w:rsid w:val="00C9245D"/>
    <w:rsid w:val="00C9261E"/>
    <w:rsid w:val="00C92655"/>
    <w:rsid w:val="00C92729"/>
    <w:rsid w:val="00C927D1"/>
    <w:rsid w:val="00C928CA"/>
    <w:rsid w:val="00C92D4E"/>
    <w:rsid w:val="00C92E65"/>
    <w:rsid w:val="00C9324E"/>
    <w:rsid w:val="00C93413"/>
    <w:rsid w:val="00C93586"/>
    <w:rsid w:val="00C938B8"/>
    <w:rsid w:val="00C93B63"/>
    <w:rsid w:val="00C93E80"/>
    <w:rsid w:val="00C94040"/>
    <w:rsid w:val="00C9422A"/>
    <w:rsid w:val="00C942E7"/>
    <w:rsid w:val="00C943BD"/>
    <w:rsid w:val="00C943E8"/>
    <w:rsid w:val="00C94816"/>
    <w:rsid w:val="00C94859"/>
    <w:rsid w:val="00C94876"/>
    <w:rsid w:val="00C94BCA"/>
    <w:rsid w:val="00C94C12"/>
    <w:rsid w:val="00C94D11"/>
    <w:rsid w:val="00C94D22"/>
    <w:rsid w:val="00C94E8B"/>
    <w:rsid w:val="00C94EA9"/>
    <w:rsid w:val="00C95030"/>
    <w:rsid w:val="00C950F5"/>
    <w:rsid w:val="00C952E8"/>
    <w:rsid w:val="00C9588A"/>
    <w:rsid w:val="00C95944"/>
    <w:rsid w:val="00C95C6C"/>
    <w:rsid w:val="00C95CA4"/>
    <w:rsid w:val="00C95D0C"/>
    <w:rsid w:val="00C95DC8"/>
    <w:rsid w:val="00C95E55"/>
    <w:rsid w:val="00C95E83"/>
    <w:rsid w:val="00C95E8A"/>
    <w:rsid w:val="00C96327"/>
    <w:rsid w:val="00C96344"/>
    <w:rsid w:val="00C965C9"/>
    <w:rsid w:val="00C9696D"/>
    <w:rsid w:val="00C96B34"/>
    <w:rsid w:val="00C96BAD"/>
    <w:rsid w:val="00C96E5E"/>
    <w:rsid w:val="00C9737B"/>
    <w:rsid w:val="00C974CA"/>
    <w:rsid w:val="00C97640"/>
    <w:rsid w:val="00C978BF"/>
    <w:rsid w:val="00C979C5"/>
    <w:rsid w:val="00C97BE0"/>
    <w:rsid w:val="00C97EB4"/>
    <w:rsid w:val="00CA0258"/>
    <w:rsid w:val="00CA0450"/>
    <w:rsid w:val="00CA0644"/>
    <w:rsid w:val="00CA0654"/>
    <w:rsid w:val="00CA0B6F"/>
    <w:rsid w:val="00CA0BF9"/>
    <w:rsid w:val="00CA0D3A"/>
    <w:rsid w:val="00CA0D82"/>
    <w:rsid w:val="00CA0F8F"/>
    <w:rsid w:val="00CA0F9E"/>
    <w:rsid w:val="00CA101A"/>
    <w:rsid w:val="00CA1093"/>
    <w:rsid w:val="00CA1167"/>
    <w:rsid w:val="00CA11A0"/>
    <w:rsid w:val="00CA12D0"/>
    <w:rsid w:val="00CA146F"/>
    <w:rsid w:val="00CA16CB"/>
    <w:rsid w:val="00CA16F0"/>
    <w:rsid w:val="00CA1807"/>
    <w:rsid w:val="00CA18A7"/>
    <w:rsid w:val="00CA1B19"/>
    <w:rsid w:val="00CA1C15"/>
    <w:rsid w:val="00CA2028"/>
    <w:rsid w:val="00CA2034"/>
    <w:rsid w:val="00CA230A"/>
    <w:rsid w:val="00CA25C6"/>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C6"/>
    <w:rsid w:val="00CA4F52"/>
    <w:rsid w:val="00CA4F61"/>
    <w:rsid w:val="00CA4F77"/>
    <w:rsid w:val="00CA5233"/>
    <w:rsid w:val="00CA53EA"/>
    <w:rsid w:val="00CA5604"/>
    <w:rsid w:val="00CA5825"/>
    <w:rsid w:val="00CA5C4E"/>
    <w:rsid w:val="00CA5DB8"/>
    <w:rsid w:val="00CA5FA4"/>
    <w:rsid w:val="00CA603B"/>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C48"/>
    <w:rsid w:val="00CA7D8F"/>
    <w:rsid w:val="00CA7E1A"/>
    <w:rsid w:val="00CA7F72"/>
    <w:rsid w:val="00CB0483"/>
    <w:rsid w:val="00CB0625"/>
    <w:rsid w:val="00CB0632"/>
    <w:rsid w:val="00CB0655"/>
    <w:rsid w:val="00CB0A53"/>
    <w:rsid w:val="00CB0AE2"/>
    <w:rsid w:val="00CB0BD0"/>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A7"/>
    <w:rsid w:val="00CB344A"/>
    <w:rsid w:val="00CB3510"/>
    <w:rsid w:val="00CB3557"/>
    <w:rsid w:val="00CB3760"/>
    <w:rsid w:val="00CB376B"/>
    <w:rsid w:val="00CB3FB1"/>
    <w:rsid w:val="00CB40B2"/>
    <w:rsid w:val="00CB4251"/>
    <w:rsid w:val="00CB43AA"/>
    <w:rsid w:val="00CB481A"/>
    <w:rsid w:val="00CB4928"/>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211"/>
    <w:rsid w:val="00CB724C"/>
    <w:rsid w:val="00CB742A"/>
    <w:rsid w:val="00CB7482"/>
    <w:rsid w:val="00CB7A8C"/>
    <w:rsid w:val="00CB7EE5"/>
    <w:rsid w:val="00CC00B1"/>
    <w:rsid w:val="00CC0178"/>
    <w:rsid w:val="00CC0350"/>
    <w:rsid w:val="00CC086C"/>
    <w:rsid w:val="00CC0B83"/>
    <w:rsid w:val="00CC0DB5"/>
    <w:rsid w:val="00CC0E54"/>
    <w:rsid w:val="00CC100C"/>
    <w:rsid w:val="00CC10E8"/>
    <w:rsid w:val="00CC123D"/>
    <w:rsid w:val="00CC12B5"/>
    <w:rsid w:val="00CC1364"/>
    <w:rsid w:val="00CC1493"/>
    <w:rsid w:val="00CC14B5"/>
    <w:rsid w:val="00CC15A5"/>
    <w:rsid w:val="00CC15B3"/>
    <w:rsid w:val="00CC15D1"/>
    <w:rsid w:val="00CC1BE1"/>
    <w:rsid w:val="00CC1F56"/>
    <w:rsid w:val="00CC1F93"/>
    <w:rsid w:val="00CC244D"/>
    <w:rsid w:val="00CC24DF"/>
    <w:rsid w:val="00CC254C"/>
    <w:rsid w:val="00CC2724"/>
    <w:rsid w:val="00CC27F8"/>
    <w:rsid w:val="00CC2970"/>
    <w:rsid w:val="00CC2B00"/>
    <w:rsid w:val="00CC2C03"/>
    <w:rsid w:val="00CC2C25"/>
    <w:rsid w:val="00CC2C8F"/>
    <w:rsid w:val="00CC2F6A"/>
    <w:rsid w:val="00CC3208"/>
    <w:rsid w:val="00CC347B"/>
    <w:rsid w:val="00CC363C"/>
    <w:rsid w:val="00CC3845"/>
    <w:rsid w:val="00CC387E"/>
    <w:rsid w:val="00CC3C15"/>
    <w:rsid w:val="00CC3EFE"/>
    <w:rsid w:val="00CC4029"/>
    <w:rsid w:val="00CC41F3"/>
    <w:rsid w:val="00CC424A"/>
    <w:rsid w:val="00CC45F4"/>
    <w:rsid w:val="00CC47A9"/>
    <w:rsid w:val="00CC47FF"/>
    <w:rsid w:val="00CC493A"/>
    <w:rsid w:val="00CC4BEE"/>
    <w:rsid w:val="00CC4DF0"/>
    <w:rsid w:val="00CC4E60"/>
    <w:rsid w:val="00CC5254"/>
    <w:rsid w:val="00CC54D1"/>
    <w:rsid w:val="00CC5894"/>
    <w:rsid w:val="00CC5B0C"/>
    <w:rsid w:val="00CC5C17"/>
    <w:rsid w:val="00CC5DB8"/>
    <w:rsid w:val="00CC5DC8"/>
    <w:rsid w:val="00CC5FB6"/>
    <w:rsid w:val="00CC5FE8"/>
    <w:rsid w:val="00CC64AE"/>
    <w:rsid w:val="00CC688C"/>
    <w:rsid w:val="00CC68A9"/>
    <w:rsid w:val="00CC6B7A"/>
    <w:rsid w:val="00CC6E50"/>
    <w:rsid w:val="00CC6F69"/>
    <w:rsid w:val="00CC70BB"/>
    <w:rsid w:val="00CC70D7"/>
    <w:rsid w:val="00CC713B"/>
    <w:rsid w:val="00CC7341"/>
    <w:rsid w:val="00CC76B2"/>
    <w:rsid w:val="00CC776B"/>
    <w:rsid w:val="00CC78CD"/>
    <w:rsid w:val="00CC793E"/>
    <w:rsid w:val="00CC7C26"/>
    <w:rsid w:val="00CC7F48"/>
    <w:rsid w:val="00CC7F5E"/>
    <w:rsid w:val="00CD004E"/>
    <w:rsid w:val="00CD00AA"/>
    <w:rsid w:val="00CD0412"/>
    <w:rsid w:val="00CD04E5"/>
    <w:rsid w:val="00CD04EE"/>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8A0"/>
    <w:rsid w:val="00CD1BCF"/>
    <w:rsid w:val="00CD1BD9"/>
    <w:rsid w:val="00CD1E00"/>
    <w:rsid w:val="00CD1FA9"/>
    <w:rsid w:val="00CD22AA"/>
    <w:rsid w:val="00CD2942"/>
    <w:rsid w:val="00CD29CB"/>
    <w:rsid w:val="00CD2B19"/>
    <w:rsid w:val="00CD2BD8"/>
    <w:rsid w:val="00CD2E78"/>
    <w:rsid w:val="00CD31CA"/>
    <w:rsid w:val="00CD3313"/>
    <w:rsid w:val="00CD3452"/>
    <w:rsid w:val="00CD3642"/>
    <w:rsid w:val="00CD36E2"/>
    <w:rsid w:val="00CD3717"/>
    <w:rsid w:val="00CD399A"/>
    <w:rsid w:val="00CD3B77"/>
    <w:rsid w:val="00CD40C0"/>
    <w:rsid w:val="00CD4258"/>
    <w:rsid w:val="00CD44BB"/>
    <w:rsid w:val="00CD4582"/>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4F4"/>
    <w:rsid w:val="00CD6527"/>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861"/>
    <w:rsid w:val="00CE496F"/>
    <w:rsid w:val="00CE49AD"/>
    <w:rsid w:val="00CE49E6"/>
    <w:rsid w:val="00CE4FF8"/>
    <w:rsid w:val="00CE51D1"/>
    <w:rsid w:val="00CE5245"/>
    <w:rsid w:val="00CE525A"/>
    <w:rsid w:val="00CE5343"/>
    <w:rsid w:val="00CE57DE"/>
    <w:rsid w:val="00CE5828"/>
    <w:rsid w:val="00CE5A2E"/>
    <w:rsid w:val="00CE5C01"/>
    <w:rsid w:val="00CE5C84"/>
    <w:rsid w:val="00CE5CB8"/>
    <w:rsid w:val="00CE6003"/>
    <w:rsid w:val="00CE6519"/>
    <w:rsid w:val="00CE682D"/>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F0093"/>
    <w:rsid w:val="00CF00ED"/>
    <w:rsid w:val="00CF0208"/>
    <w:rsid w:val="00CF0271"/>
    <w:rsid w:val="00CF0384"/>
    <w:rsid w:val="00CF03AF"/>
    <w:rsid w:val="00CF03E4"/>
    <w:rsid w:val="00CF09C7"/>
    <w:rsid w:val="00CF0A8B"/>
    <w:rsid w:val="00CF0C44"/>
    <w:rsid w:val="00CF0F50"/>
    <w:rsid w:val="00CF107B"/>
    <w:rsid w:val="00CF1084"/>
    <w:rsid w:val="00CF1184"/>
    <w:rsid w:val="00CF11F5"/>
    <w:rsid w:val="00CF12D1"/>
    <w:rsid w:val="00CF134A"/>
    <w:rsid w:val="00CF150D"/>
    <w:rsid w:val="00CF15AF"/>
    <w:rsid w:val="00CF1795"/>
    <w:rsid w:val="00CF17CD"/>
    <w:rsid w:val="00CF182A"/>
    <w:rsid w:val="00CF1835"/>
    <w:rsid w:val="00CF1B74"/>
    <w:rsid w:val="00CF1C07"/>
    <w:rsid w:val="00CF1E06"/>
    <w:rsid w:val="00CF1FE7"/>
    <w:rsid w:val="00CF2180"/>
    <w:rsid w:val="00CF2440"/>
    <w:rsid w:val="00CF24C4"/>
    <w:rsid w:val="00CF266F"/>
    <w:rsid w:val="00CF2897"/>
    <w:rsid w:val="00CF2904"/>
    <w:rsid w:val="00CF296A"/>
    <w:rsid w:val="00CF2C33"/>
    <w:rsid w:val="00CF2C6A"/>
    <w:rsid w:val="00CF2C6B"/>
    <w:rsid w:val="00CF3138"/>
    <w:rsid w:val="00CF3343"/>
    <w:rsid w:val="00CF34A0"/>
    <w:rsid w:val="00CF351D"/>
    <w:rsid w:val="00CF3529"/>
    <w:rsid w:val="00CF385E"/>
    <w:rsid w:val="00CF3920"/>
    <w:rsid w:val="00CF397E"/>
    <w:rsid w:val="00CF398F"/>
    <w:rsid w:val="00CF3B53"/>
    <w:rsid w:val="00CF3C13"/>
    <w:rsid w:val="00CF3CF1"/>
    <w:rsid w:val="00CF3F4C"/>
    <w:rsid w:val="00CF44DC"/>
    <w:rsid w:val="00CF477E"/>
    <w:rsid w:val="00CF4A79"/>
    <w:rsid w:val="00CF4B6C"/>
    <w:rsid w:val="00CF4BFB"/>
    <w:rsid w:val="00CF4C9B"/>
    <w:rsid w:val="00CF509D"/>
    <w:rsid w:val="00CF50A1"/>
    <w:rsid w:val="00CF576B"/>
    <w:rsid w:val="00CF58F0"/>
    <w:rsid w:val="00CF5A15"/>
    <w:rsid w:val="00CF5A21"/>
    <w:rsid w:val="00CF5B19"/>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D62"/>
    <w:rsid w:val="00CF7E14"/>
    <w:rsid w:val="00CF7E45"/>
    <w:rsid w:val="00CF7E8B"/>
    <w:rsid w:val="00CF7F7A"/>
    <w:rsid w:val="00D00450"/>
    <w:rsid w:val="00D00877"/>
    <w:rsid w:val="00D008BA"/>
    <w:rsid w:val="00D0093F"/>
    <w:rsid w:val="00D009EF"/>
    <w:rsid w:val="00D014F4"/>
    <w:rsid w:val="00D015A3"/>
    <w:rsid w:val="00D01686"/>
    <w:rsid w:val="00D017C0"/>
    <w:rsid w:val="00D01D84"/>
    <w:rsid w:val="00D01DAE"/>
    <w:rsid w:val="00D0218E"/>
    <w:rsid w:val="00D02237"/>
    <w:rsid w:val="00D0225A"/>
    <w:rsid w:val="00D022E5"/>
    <w:rsid w:val="00D027FD"/>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ED6"/>
    <w:rsid w:val="00D04FA2"/>
    <w:rsid w:val="00D05073"/>
    <w:rsid w:val="00D053E7"/>
    <w:rsid w:val="00D053EA"/>
    <w:rsid w:val="00D05772"/>
    <w:rsid w:val="00D05E0E"/>
    <w:rsid w:val="00D05E46"/>
    <w:rsid w:val="00D05F31"/>
    <w:rsid w:val="00D0609A"/>
    <w:rsid w:val="00D0624F"/>
    <w:rsid w:val="00D06298"/>
    <w:rsid w:val="00D062D6"/>
    <w:rsid w:val="00D0632D"/>
    <w:rsid w:val="00D06666"/>
    <w:rsid w:val="00D06818"/>
    <w:rsid w:val="00D069AD"/>
    <w:rsid w:val="00D069DE"/>
    <w:rsid w:val="00D06A1C"/>
    <w:rsid w:val="00D06DBD"/>
    <w:rsid w:val="00D07098"/>
    <w:rsid w:val="00D070FC"/>
    <w:rsid w:val="00D07172"/>
    <w:rsid w:val="00D07220"/>
    <w:rsid w:val="00D073DB"/>
    <w:rsid w:val="00D075F3"/>
    <w:rsid w:val="00D07919"/>
    <w:rsid w:val="00D07947"/>
    <w:rsid w:val="00D07E1D"/>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AC2"/>
    <w:rsid w:val="00D14FD9"/>
    <w:rsid w:val="00D15486"/>
    <w:rsid w:val="00D155E8"/>
    <w:rsid w:val="00D15668"/>
    <w:rsid w:val="00D15733"/>
    <w:rsid w:val="00D1574B"/>
    <w:rsid w:val="00D1591A"/>
    <w:rsid w:val="00D15A5E"/>
    <w:rsid w:val="00D15B5A"/>
    <w:rsid w:val="00D15DF3"/>
    <w:rsid w:val="00D15E1F"/>
    <w:rsid w:val="00D1608C"/>
    <w:rsid w:val="00D16264"/>
    <w:rsid w:val="00D1657C"/>
    <w:rsid w:val="00D16700"/>
    <w:rsid w:val="00D16743"/>
    <w:rsid w:val="00D16AD9"/>
    <w:rsid w:val="00D16B97"/>
    <w:rsid w:val="00D16BA6"/>
    <w:rsid w:val="00D16F36"/>
    <w:rsid w:val="00D172F8"/>
    <w:rsid w:val="00D175F5"/>
    <w:rsid w:val="00D177E9"/>
    <w:rsid w:val="00D17C11"/>
    <w:rsid w:val="00D17DCC"/>
    <w:rsid w:val="00D17FAF"/>
    <w:rsid w:val="00D2030D"/>
    <w:rsid w:val="00D20573"/>
    <w:rsid w:val="00D20690"/>
    <w:rsid w:val="00D20BB6"/>
    <w:rsid w:val="00D20D53"/>
    <w:rsid w:val="00D20FB5"/>
    <w:rsid w:val="00D21155"/>
    <w:rsid w:val="00D2120A"/>
    <w:rsid w:val="00D212F4"/>
    <w:rsid w:val="00D21452"/>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76"/>
    <w:rsid w:val="00D22A50"/>
    <w:rsid w:val="00D22B03"/>
    <w:rsid w:val="00D22C24"/>
    <w:rsid w:val="00D22C38"/>
    <w:rsid w:val="00D22E75"/>
    <w:rsid w:val="00D231DC"/>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7C"/>
    <w:rsid w:val="00D266F4"/>
    <w:rsid w:val="00D2713F"/>
    <w:rsid w:val="00D27181"/>
    <w:rsid w:val="00D271D9"/>
    <w:rsid w:val="00D27221"/>
    <w:rsid w:val="00D2728C"/>
    <w:rsid w:val="00D27596"/>
    <w:rsid w:val="00D27620"/>
    <w:rsid w:val="00D2779D"/>
    <w:rsid w:val="00D278DC"/>
    <w:rsid w:val="00D27F0E"/>
    <w:rsid w:val="00D300B4"/>
    <w:rsid w:val="00D3028D"/>
    <w:rsid w:val="00D305F6"/>
    <w:rsid w:val="00D30730"/>
    <w:rsid w:val="00D30ACF"/>
    <w:rsid w:val="00D30C42"/>
    <w:rsid w:val="00D30ECE"/>
    <w:rsid w:val="00D30EEA"/>
    <w:rsid w:val="00D30F9E"/>
    <w:rsid w:val="00D30FA6"/>
    <w:rsid w:val="00D3106F"/>
    <w:rsid w:val="00D3122E"/>
    <w:rsid w:val="00D31356"/>
    <w:rsid w:val="00D31449"/>
    <w:rsid w:val="00D316DE"/>
    <w:rsid w:val="00D3186F"/>
    <w:rsid w:val="00D3196A"/>
    <w:rsid w:val="00D32004"/>
    <w:rsid w:val="00D32026"/>
    <w:rsid w:val="00D32161"/>
    <w:rsid w:val="00D32402"/>
    <w:rsid w:val="00D32411"/>
    <w:rsid w:val="00D32453"/>
    <w:rsid w:val="00D327AF"/>
    <w:rsid w:val="00D3292A"/>
    <w:rsid w:val="00D3298E"/>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CA"/>
    <w:rsid w:val="00D34991"/>
    <w:rsid w:val="00D34A50"/>
    <w:rsid w:val="00D34AF4"/>
    <w:rsid w:val="00D34E7F"/>
    <w:rsid w:val="00D34F4F"/>
    <w:rsid w:val="00D35380"/>
    <w:rsid w:val="00D35446"/>
    <w:rsid w:val="00D356CC"/>
    <w:rsid w:val="00D358AB"/>
    <w:rsid w:val="00D358E0"/>
    <w:rsid w:val="00D3598C"/>
    <w:rsid w:val="00D35B9B"/>
    <w:rsid w:val="00D35C36"/>
    <w:rsid w:val="00D35F44"/>
    <w:rsid w:val="00D363E5"/>
    <w:rsid w:val="00D364BD"/>
    <w:rsid w:val="00D368C5"/>
    <w:rsid w:val="00D368EA"/>
    <w:rsid w:val="00D368F7"/>
    <w:rsid w:val="00D369F6"/>
    <w:rsid w:val="00D36A7E"/>
    <w:rsid w:val="00D36A8C"/>
    <w:rsid w:val="00D36E35"/>
    <w:rsid w:val="00D37208"/>
    <w:rsid w:val="00D372D4"/>
    <w:rsid w:val="00D3735A"/>
    <w:rsid w:val="00D37680"/>
    <w:rsid w:val="00D37C3E"/>
    <w:rsid w:val="00D37FCF"/>
    <w:rsid w:val="00D401A6"/>
    <w:rsid w:val="00D40470"/>
    <w:rsid w:val="00D40971"/>
    <w:rsid w:val="00D409D2"/>
    <w:rsid w:val="00D409DD"/>
    <w:rsid w:val="00D40F2A"/>
    <w:rsid w:val="00D4102C"/>
    <w:rsid w:val="00D410B5"/>
    <w:rsid w:val="00D410DB"/>
    <w:rsid w:val="00D4147E"/>
    <w:rsid w:val="00D41618"/>
    <w:rsid w:val="00D4179F"/>
    <w:rsid w:val="00D4189A"/>
    <w:rsid w:val="00D4199E"/>
    <w:rsid w:val="00D41B1B"/>
    <w:rsid w:val="00D41CA1"/>
    <w:rsid w:val="00D423B2"/>
    <w:rsid w:val="00D4277E"/>
    <w:rsid w:val="00D4286E"/>
    <w:rsid w:val="00D42965"/>
    <w:rsid w:val="00D42990"/>
    <w:rsid w:val="00D42B24"/>
    <w:rsid w:val="00D42B30"/>
    <w:rsid w:val="00D42EA0"/>
    <w:rsid w:val="00D42F4E"/>
    <w:rsid w:val="00D4333F"/>
    <w:rsid w:val="00D43696"/>
    <w:rsid w:val="00D43764"/>
    <w:rsid w:val="00D437EC"/>
    <w:rsid w:val="00D43846"/>
    <w:rsid w:val="00D43B6C"/>
    <w:rsid w:val="00D43C37"/>
    <w:rsid w:val="00D4407B"/>
    <w:rsid w:val="00D4409D"/>
    <w:rsid w:val="00D4435F"/>
    <w:rsid w:val="00D443CB"/>
    <w:rsid w:val="00D446D7"/>
    <w:rsid w:val="00D44AF6"/>
    <w:rsid w:val="00D44BBE"/>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B6"/>
    <w:rsid w:val="00D4782B"/>
    <w:rsid w:val="00D478BC"/>
    <w:rsid w:val="00D47ADF"/>
    <w:rsid w:val="00D47F5E"/>
    <w:rsid w:val="00D500C5"/>
    <w:rsid w:val="00D5019D"/>
    <w:rsid w:val="00D50368"/>
    <w:rsid w:val="00D505A5"/>
    <w:rsid w:val="00D505F2"/>
    <w:rsid w:val="00D506E0"/>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F2C"/>
    <w:rsid w:val="00D52FA7"/>
    <w:rsid w:val="00D52FE3"/>
    <w:rsid w:val="00D53041"/>
    <w:rsid w:val="00D5305E"/>
    <w:rsid w:val="00D53206"/>
    <w:rsid w:val="00D5331C"/>
    <w:rsid w:val="00D53391"/>
    <w:rsid w:val="00D5357D"/>
    <w:rsid w:val="00D535B4"/>
    <w:rsid w:val="00D53637"/>
    <w:rsid w:val="00D53BEF"/>
    <w:rsid w:val="00D53CB5"/>
    <w:rsid w:val="00D5404F"/>
    <w:rsid w:val="00D540A3"/>
    <w:rsid w:val="00D54429"/>
    <w:rsid w:val="00D54432"/>
    <w:rsid w:val="00D5443D"/>
    <w:rsid w:val="00D544BC"/>
    <w:rsid w:val="00D54650"/>
    <w:rsid w:val="00D546CC"/>
    <w:rsid w:val="00D54879"/>
    <w:rsid w:val="00D54A0C"/>
    <w:rsid w:val="00D54B5A"/>
    <w:rsid w:val="00D54CBB"/>
    <w:rsid w:val="00D54DBF"/>
    <w:rsid w:val="00D54F0A"/>
    <w:rsid w:val="00D5500E"/>
    <w:rsid w:val="00D550B1"/>
    <w:rsid w:val="00D554EB"/>
    <w:rsid w:val="00D554F4"/>
    <w:rsid w:val="00D5554F"/>
    <w:rsid w:val="00D55553"/>
    <w:rsid w:val="00D556D1"/>
    <w:rsid w:val="00D55869"/>
    <w:rsid w:val="00D55EE9"/>
    <w:rsid w:val="00D55F6E"/>
    <w:rsid w:val="00D55FD2"/>
    <w:rsid w:val="00D564D4"/>
    <w:rsid w:val="00D56766"/>
    <w:rsid w:val="00D56A1B"/>
    <w:rsid w:val="00D56CEB"/>
    <w:rsid w:val="00D56DEA"/>
    <w:rsid w:val="00D56E08"/>
    <w:rsid w:val="00D56E5A"/>
    <w:rsid w:val="00D57002"/>
    <w:rsid w:val="00D570F8"/>
    <w:rsid w:val="00D57262"/>
    <w:rsid w:val="00D5739D"/>
    <w:rsid w:val="00D57745"/>
    <w:rsid w:val="00D577C9"/>
    <w:rsid w:val="00D5788D"/>
    <w:rsid w:val="00D5795F"/>
    <w:rsid w:val="00D57A1D"/>
    <w:rsid w:val="00D57E13"/>
    <w:rsid w:val="00D6016A"/>
    <w:rsid w:val="00D601C0"/>
    <w:rsid w:val="00D60273"/>
    <w:rsid w:val="00D60461"/>
    <w:rsid w:val="00D605A2"/>
    <w:rsid w:val="00D60814"/>
    <w:rsid w:val="00D60977"/>
    <w:rsid w:val="00D60A2E"/>
    <w:rsid w:val="00D60C59"/>
    <w:rsid w:val="00D60D02"/>
    <w:rsid w:val="00D60D5E"/>
    <w:rsid w:val="00D60E95"/>
    <w:rsid w:val="00D610C6"/>
    <w:rsid w:val="00D610E3"/>
    <w:rsid w:val="00D611C5"/>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4A2"/>
    <w:rsid w:val="00D625F2"/>
    <w:rsid w:val="00D62718"/>
    <w:rsid w:val="00D62AFA"/>
    <w:rsid w:val="00D62B80"/>
    <w:rsid w:val="00D62FA9"/>
    <w:rsid w:val="00D63035"/>
    <w:rsid w:val="00D631FE"/>
    <w:rsid w:val="00D63206"/>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3C"/>
    <w:rsid w:val="00D647E0"/>
    <w:rsid w:val="00D64DEA"/>
    <w:rsid w:val="00D64E5A"/>
    <w:rsid w:val="00D64F13"/>
    <w:rsid w:val="00D65215"/>
    <w:rsid w:val="00D65322"/>
    <w:rsid w:val="00D655BB"/>
    <w:rsid w:val="00D6580C"/>
    <w:rsid w:val="00D660D4"/>
    <w:rsid w:val="00D66185"/>
    <w:rsid w:val="00D6647F"/>
    <w:rsid w:val="00D665E8"/>
    <w:rsid w:val="00D66675"/>
    <w:rsid w:val="00D66B4D"/>
    <w:rsid w:val="00D66D2D"/>
    <w:rsid w:val="00D670A4"/>
    <w:rsid w:val="00D671A3"/>
    <w:rsid w:val="00D67264"/>
    <w:rsid w:val="00D6742F"/>
    <w:rsid w:val="00D67AE2"/>
    <w:rsid w:val="00D67C2C"/>
    <w:rsid w:val="00D67C95"/>
    <w:rsid w:val="00D67E70"/>
    <w:rsid w:val="00D67F3C"/>
    <w:rsid w:val="00D67F3D"/>
    <w:rsid w:val="00D67FA8"/>
    <w:rsid w:val="00D702F0"/>
    <w:rsid w:val="00D703A2"/>
    <w:rsid w:val="00D703B5"/>
    <w:rsid w:val="00D70721"/>
    <w:rsid w:val="00D707C3"/>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06"/>
    <w:rsid w:val="00D734C3"/>
    <w:rsid w:val="00D73603"/>
    <w:rsid w:val="00D73B00"/>
    <w:rsid w:val="00D73D33"/>
    <w:rsid w:val="00D73EE7"/>
    <w:rsid w:val="00D73F35"/>
    <w:rsid w:val="00D741E3"/>
    <w:rsid w:val="00D741EB"/>
    <w:rsid w:val="00D74642"/>
    <w:rsid w:val="00D748F8"/>
    <w:rsid w:val="00D74D57"/>
    <w:rsid w:val="00D74F18"/>
    <w:rsid w:val="00D74F50"/>
    <w:rsid w:val="00D75006"/>
    <w:rsid w:val="00D75045"/>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5C2"/>
    <w:rsid w:val="00D776AB"/>
    <w:rsid w:val="00D77954"/>
    <w:rsid w:val="00D77B4C"/>
    <w:rsid w:val="00D77C33"/>
    <w:rsid w:val="00D77C79"/>
    <w:rsid w:val="00D77E38"/>
    <w:rsid w:val="00D80043"/>
    <w:rsid w:val="00D80082"/>
    <w:rsid w:val="00D800EC"/>
    <w:rsid w:val="00D802EF"/>
    <w:rsid w:val="00D803B6"/>
    <w:rsid w:val="00D80424"/>
    <w:rsid w:val="00D805D6"/>
    <w:rsid w:val="00D8088C"/>
    <w:rsid w:val="00D808C5"/>
    <w:rsid w:val="00D809C3"/>
    <w:rsid w:val="00D80B4C"/>
    <w:rsid w:val="00D80B84"/>
    <w:rsid w:val="00D80BDB"/>
    <w:rsid w:val="00D80EFB"/>
    <w:rsid w:val="00D81168"/>
    <w:rsid w:val="00D811A8"/>
    <w:rsid w:val="00D81211"/>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59"/>
    <w:rsid w:val="00D8377F"/>
    <w:rsid w:val="00D8389E"/>
    <w:rsid w:val="00D83901"/>
    <w:rsid w:val="00D83AC3"/>
    <w:rsid w:val="00D83BBF"/>
    <w:rsid w:val="00D83D2C"/>
    <w:rsid w:val="00D83E3E"/>
    <w:rsid w:val="00D83F81"/>
    <w:rsid w:val="00D840DE"/>
    <w:rsid w:val="00D841BA"/>
    <w:rsid w:val="00D842D9"/>
    <w:rsid w:val="00D844DD"/>
    <w:rsid w:val="00D84558"/>
    <w:rsid w:val="00D845E4"/>
    <w:rsid w:val="00D848EA"/>
    <w:rsid w:val="00D84916"/>
    <w:rsid w:val="00D8497C"/>
    <w:rsid w:val="00D8497D"/>
    <w:rsid w:val="00D84EBC"/>
    <w:rsid w:val="00D85243"/>
    <w:rsid w:val="00D8553F"/>
    <w:rsid w:val="00D85A77"/>
    <w:rsid w:val="00D85AC2"/>
    <w:rsid w:val="00D85DDC"/>
    <w:rsid w:val="00D85F24"/>
    <w:rsid w:val="00D85F59"/>
    <w:rsid w:val="00D860CF"/>
    <w:rsid w:val="00D86134"/>
    <w:rsid w:val="00D8626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E1"/>
    <w:rsid w:val="00D920FA"/>
    <w:rsid w:val="00D92470"/>
    <w:rsid w:val="00D92758"/>
    <w:rsid w:val="00D9279D"/>
    <w:rsid w:val="00D92828"/>
    <w:rsid w:val="00D928A7"/>
    <w:rsid w:val="00D92C61"/>
    <w:rsid w:val="00D92EB8"/>
    <w:rsid w:val="00D931EC"/>
    <w:rsid w:val="00D935F0"/>
    <w:rsid w:val="00D93856"/>
    <w:rsid w:val="00D939DA"/>
    <w:rsid w:val="00D9407F"/>
    <w:rsid w:val="00D943C2"/>
    <w:rsid w:val="00D9469D"/>
    <w:rsid w:val="00D94F7A"/>
    <w:rsid w:val="00D95370"/>
    <w:rsid w:val="00D959A1"/>
    <w:rsid w:val="00D95C9A"/>
    <w:rsid w:val="00D95D26"/>
    <w:rsid w:val="00D95DAC"/>
    <w:rsid w:val="00D95EB3"/>
    <w:rsid w:val="00D95F0D"/>
    <w:rsid w:val="00D95FB7"/>
    <w:rsid w:val="00D961F0"/>
    <w:rsid w:val="00D96447"/>
    <w:rsid w:val="00D9653E"/>
    <w:rsid w:val="00D96E95"/>
    <w:rsid w:val="00D96FE1"/>
    <w:rsid w:val="00D9700C"/>
    <w:rsid w:val="00D97019"/>
    <w:rsid w:val="00D9702D"/>
    <w:rsid w:val="00D9714C"/>
    <w:rsid w:val="00D97350"/>
    <w:rsid w:val="00D97763"/>
    <w:rsid w:val="00D977DE"/>
    <w:rsid w:val="00D97AD5"/>
    <w:rsid w:val="00D97C54"/>
    <w:rsid w:val="00D97F58"/>
    <w:rsid w:val="00DA0440"/>
    <w:rsid w:val="00DA091C"/>
    <w:rsid w:val="00DA0C83"/>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53C"/>
    <w:rsid w:val="00DA563B"/>
    <w:rsid w:val="00DA56D7"/>
    <w:rsid w:val="00DA57D4"/>
    <w:rsid w:val="00DA57D8"/>
    <w:rsid w:val="00DA5E35"/>
    <w:rsid w:val="00DA5E39"/>
    <w:rsid w:val="00DA5EE2"/>
    <w:rsid w:val="00DA6085"/>
    <w:rsid w:val="00DA61B0"/>
    <w:rsid w:val="00DA6226"/>
    <w:rsid w:val="00DA6365"/>
    <w:rsid w:val="00DA68A5"/>
    <w:rsid w:val="00DA6BA2"/>
    <w:rsid w:val="00DA6BE0"/>
    <w:rsid w:val="00DA6DC5"/>
    <w:rsid w:val="00DA7138"/>
    <w:rsid w:val="00DA71B1"/>
    <w:rsid w:val="00DA74AB"/>
    <w:rsid w:val="00DA74BC"/>
    <w:rsid w:val="00DA7728"/>
    <w:rsid w:val="00DA77BA"/>
    <w:rsid w:val="00DA7899"/>
    <w:rsid w:val="00DA78A3"/>
    <w:rsid w:val="00DA793B"/>
    <w:rsid w:val="00DA7996"/>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714"/>
    <w:rsid w:val="00DB1A3D"/>
    <w:rsid w:val="00DB1BB8"/>
    <w:rsid w:val="00DB1DBC"/>
    <w:rsid w:val="00DB1F64"/>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D15"/>
    <w:rsid w:val="00DB31F1"/>
    <w:rsid w:val="00DB338B"/>
    <w:rsid w:val="00DB3707"/>
    <w:rsid w:val="00DB3724"/>
    <w:rsid w:val="00DB3770"/>
    <w:rsid w:val="00DB381F"/>
    <w:rsid w:val="00DB39D3"/>
    <w:rsid w:val="00DB3AD9"/>
    <w:rsid w:val="00DB409E"/>
    <w:rsid w:val="00DB41A3"/>
    <w:rsid w:val="00DB43B1"/>
    <w:rsid w:val="00DB43E4"/>
    <w:rsid w:val="00DB43EB"/>
    <w:rsid w:val="00DB4BA2"/>
    <w:rsid w:val="00DB4E8E"/>
    <w:rsid w:val="00DB513A"/>
    <w:rsid w:val="00DB51E2"/>
    <w:rsid w:val="00DB51EA"/>
    <w:rsid w:val="00DB5469"/>
    <w:rsid w:val="00DB5574"/>
    <w:rsid w:val="00DB56CA"/>
    <w:rsid w:val="00DB58FC"/>
    <w:rsid w:val="00DB591A"/>
    <w:rsid w:val="00DB5B35"/>
    <w:rsid w:val="00DB607C"/>
    <w:rsid w:val="00DB60B5"/>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15E"/>
    <w:rsid w:val="00DC2278"/>
    <w:rsid w:val="00DC29B5"/>
    <w:rsid w:val="00DC2BCA"/>
    <w:rsid w:val="00DC2DBF"/>
    <w:rsid w:val="00DC302B"/>
    <w:rsid w:val="00DC303C"/>
    <w:rsid w:val="00DC327B"/>
    <w:rsid w:val="00DC3376"/>
    <w:rsid w:val="00DC3417"/>
    <w:rsid w:val="00DC376F"/>
    <w:rsid w:val="00DC3AA6"/>
    <w:rsid w:val="00DC3B1A"/>
    <w:rsid w:val="00DC3D59"/>
    <w:rsid w:val="00DC3E72"/>
    <w:rsid w:val="00DC3EE4"/>
    <w:rsid w:val="00DC4184"/>
    <w:rsid w:val="00DC440D"/>
    <w:rsid w:val="00DC4739"/>
    <w:rsid w:val="00DC4854"/>
    <w:rsid w:val="00DC4904"/>
    <w:rsid w:val="00DC4A35"/>
    <w:rsid w:val="00DC4AFD"/>
    <w:rsid w:val="00DC4D6D"/>
    <w:rsid w:val="00DC5145"/>
    <w:rsid w:val="00DC53C9"/>
    <w:rsid w:val="00DC5438"/>
    <w:rsid w:val="00DC54F2"/>
    <w:rsid w:val="00DC55EB"/>
    <w:rsid w:val="00DC5792"/>
    <w:rsid w:val="00DC5861"/>
    <w:rsid w:val="00DC586D"/>
    <w:rsid w:val="00DC597D"/>
    <w:rsid w:val="00DC5D96"/>
    <w:rsid w:val="00DC5E74"/>
    <w:rsid w:val="00DC633D"/>
    <w:rsid w:val="00DC6356"/>
    <w:rsid w:val="00DC6838"/>
    <w:rsid w:val="00DC69B0"/>
    <w:rsid w:val="00DC6ADC"/>
    <w:rsid w:val="00DC6C80"/>
    <w:rsid w:val="00DC6D14"/>
    <w:rsid w:val="00DC6E54"/>
    <w:rsid w:val="00DC7463"/>
    <w:rsid w:val="00DC74FC"/>
    <w:rsid w:val="00DC76C6"/>
    <w:rsid w:val="00DC77ED"/>
    <w:rsid w:val="00DC788D"/>
    <w:rsid w:val="00DC78AA"/>
    <w:rsid w:val="00DC7B37"/>
    <w:rsid w:val="00DC7C55"/>
    <w:rsid w:val="00DC7C5D"/>
    <w:rsid w:val="00DC7EE5"/>
    <w:rsid w:val="00DC7F51"/>
    <w:rsid w:val="00DD0112"/>
    <w:rsid w:val="00DD0289"/>
    <w:rsid w:val="00DD0364"/>
    <w:rsid w:val="00DD042F"/>
    <w:rsid w:val="00DD04A9"/>
    <w:rsid w:val="00DD0635"/>
    <w:rsid w:val="00DD09DD"/>
    <w:rsid w:val="00DD0CA5"/>
    <w:rsid w:val="00DD0D5B"/>
    <w:rsid w:val="00DD0EDD"/>
    <w:rsid w:val="00DD1021"/>
    <w:rsid w:val="00DD1116"/>
    <w:rsid w:val="00DD147F"/>
    <w:rsid w:val="00DD1498"/>
    <w:rsid w:val="00DD15BB"/>
    <w:rsid w:val="00DD15D9"/>
    <w:rsid w:val="00DD18CF"/>
    <w:rsid w:val="00DD19AC"/>
    <w:rsid w:val="00DD1AC9"/>
    <w:rsid w:val="00DD1B0A"/>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765"/>
    <w:rsid w:val="00DD29F0"/>
    <w:rsid w:val="00DD2DD2"/>
    <w:rsid w:val="00DD2E67"/>
    <w:rsid w:val="00DD2FCE"/>
    <w:rsid w:val="00DD329F"/>
    <w:rsid w:val="00DD33D4"/>
    <w:rsid w:val="00DD3479"/>
    <w:rsid w:val="00DD35A0"/>
    <w:rsid w:val="00DD384D"/>
    <w:rsid w:val="00DD38BD"/>
    <w:rsid w:val="00DD3DFF"/>
    <w:rsid w:val="00DD3E4B"/>
    <w:rsid w:val="00DD3F6C"/>
    <w:rsid w:val="00DD41EB"/>
    <w:rsid w:val="00DD4276"/>
    <w:rsid w:val="00DD44B5"/>
    <w:rsid w:val="00DD4839"/>
    <w:rsid w:val="00DD4984"/>
    <w:rsid w:val="00DD498F"/>
    <w:rsid w:val="00DD4AAB"/>
    <w:rsid w:val="00DD4AE7"/>
    <w:rsid w:val="00DD5008"/>
    <w:rsid w:val="00DD509D"/>
    <w:rsid w:val="00DD544A"/>
    <w:rsid w:val="00DD5741"/>
    <w:rsid w:val="00DD5964"/>
    <w:rsid w:val="00DD6079"/>
    <w:rsid w:val="00DD6328"/>
    <w:rsid w:val="00DD659F"/>
    <w:rsid w:val="00DD65AC"/>
    <w:rsid w:val="00DD682A"/>
    <w:rsid w:val="00DD691E"/>
    <w:rsid w:val="00DD6B54"/>
    <w:rsid w:val="00DD6C3E"/>
    <w:rsid w:val="00DD7035"/>
    <w:rsid w:val="00DD70C2"/>
    <w:rsid w:val="00DD7467"/>
    <w:rsid w:val="00DD74D9"/>
    <w:rsid w:val="00DD7548"/>
    <w:rsid w:val="00DD76E1"/>
    <w:rsid w:val="00DD7980"/>
    <w:rsid w:val="00DD79AB"/>
    <w:rsid w:val="00DD7C6D"/>
    <w:rsid w:val="00DD7E91"/>
    <w:rsid w:val="00DE007B"/>
    <w:rsid w:val="00DE04E3"/>
    <w:rsid w:val="00DE07BB"/>
    <w:rsid w:val="00DE0818"/>
    <w:rsid w:val="00DE0966"/>
    <w:rsid w:val="00DE0A4C"/>
    <w:rsid w:val="00DE0A6B"/>
    <w:rsid w:val="00DE0BB5"/>
    <w:rsid w:val="00DE11DC"/>
    <w:rsid w:val="00DE1596"/>
    <w:rsid w:val="00DE1B3C"/>
    <w:rsid w:val="00DE1B45"/>
    <w:rsid w:val="00DE1C83"/>
    <w:rsid w:val="00DE1F0D"/>
    <w:rsid w:val="00DE21F3"/>
    <w:rsid w:val="00DE25B1"/>
    <w:rsid w:val="00DE25DF"/>
    <w:rsid w:val="00DE2602"/>
    <w:rsid w:val="00DE26CD"/>
    <w:rsid w:val="00DE2785"/>
    <w:rsid w:val="00DE286A"/>
    <w:rsid w:val="00DE2A5F"/>
    <w:rsid w:val="00DE2A83"/>
    <w:rsid w:val="00DE2CFE"/>
    <w:rsid w:val="00DE304A"/>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5021"/>
    <w:rsid w:val="00DE50B3"/>
    <w:rsid w:val="00DE50B8"/>
    <w:rsid w:val="00DE5241"/>
    <w:rsid w:val="00DE5273"/>
    <w:rsid w:val="00DE52A0"/>
    <w:rsid w:val="00DE582E"/>
    <w:rsid w:val="00DE59C6"/>
    <w:rsid w:val="00DE5A45"/>
    <w:rsid w:val="00DE5C8B"/>
    <w:rsid w:val="00DE5CD3"/>
    <w:rsid w:val="00DE5FBA"/>
    <w:rsid w:val="00DE62D8"/>
    <w:rsid w:val="00DE667D"/>
    <w:rsid w:val="00DE66D7"/>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9DA"/>
    <w:rsid w:val="00DF0F21"/>
    <w:rsid w:val="00DF1270"/>
    <w:rsid w:val="00DF12DB"/>
    <w:rsid w:val="00DF16D2"/>
    <w:rsid w:val="00DF1DC4"/>
    <w:rsid w:val="00DF2017"/>
    <w:rsid w:val="00DF2485"/>
    <w:rsid w:val="00DF24E2"/>
    <w:rsid w:val="00DF252C"/>
    <w:rsid w:val="00DF278D"/>
    <w:rsid w:val="00DF280E"/>
    <w:rsid w:val="00DF28AB"/>
    <w:rsid w:val="00DF28B1"/>
    <w:rsid w:val="00DF2C04"/>
    <w:rsid w:val="00DF2C0C"/>
    <w:rsid w:val="00DF2D0A"/>
    <w:rsid w:val="00DF2EFC"/>
    <w:rsid w:val="00DF2FAA"/>
    <w:rsid w:val="00DF2FD5"/>
    <w:rsid w:val="00DF305E"/>
    <w:rsid w:val="00DF3235"/>
    <w:rsid w:val="00DF331B"/>
    <w:rsid w:val="00DF343C"/>
    <w:rsid w:val="00DF3444"/>
    <w:rsid w:val="00DF36CE"/>
    <w:rsid w:val="00DF3943"/>
    <w:rsid w:val="00DF3945"/>
    <w:rsid w:val="00DF3B4E"/>
    <w:rsid w:val="00DF3C8D"/>
    <w:rsid w:val="00DF3CAF"/>
    <w:rsid w:val="00DF3D56"/>
    <w:rsid w:val="00DF3D9B"/>
    <w:rsid w:val="00DF3EC5"/>
    <w:rsid w:val="00DF3F54"/>
    <w:rsid w:val="00DF43E2"/>
    <w:rsid w:val="00DF4436"/>
    <w:rsid w:val="00DF44BB"/>
    <w:rsid w:val="00DF4500"/>
    <w:rsid w:val="00DF46B0"/>
    <w:rsid w:val="00DF46B1"/>
    <w:rsid w:val="00DF4A6A"/>
    <w:rsid w:val="00DF501B"/>
    <w:rsid w:val="00DF5134"/>
    <w:rsid w:val="00DF56C5"/>
    <w:rsid w:val="00DF57AB"/>
    <w:rsid w:val="00DF5A78"/>
    <w:rsid w:val="00DF5A82"/>
    <w:rsid w:val="00DF5B67"/>
    <w:rsid w:val="00DF5B70"/>
    <w:rsid w:val="00DF5B7F"/>
    <w:rsid w:val="00DF5BFB"/>
    <w:rsid w:val="00DF5C27"/>
    <w:rsid w:val="00DF6023"/>
    <w:rsid w:val="00DF69BE"/>
    <w:rsid w:val="00DF6CCC"/>
    <w:rsid w:val="00DF6CDE"/>
    <w:rsid w:val="00DF6DA7"/>
    <w:rsid w:val="00DF6DE0"/>
    <w:rsid w:val="00DF6F0B"/>
    <w:rsid w:val="00DF6F36"/>
    <w:rsid w:val="00DF730C"/>
    <w:rsid w:val="00DF73F9"/>
    <w:rsid w:val="00DF741D"/>
    <w:rsid w:val="00DF76DC"/>
    <w:rsid w:val="00DF7A33"/>
    <w:rsid w:val="00DF7B9E"/>
    <w:rsid w:val="00DF7BDE"/>
    <w:rsid w:val="00DF7C88"/>
    <w:rsid w:val="00DF7CE4"/>
    <w:rsid w:val="00DF7E11"/>
    <w:rsid w:val="00E00037"/>
    <w:rsid w:val="00E000CB"/>
    <w:rsid w:val="00E000DF"/>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C23"/>
    <w:rsid w:val="00E0303B"/>
    <w:rsid w:val="00E034CA"/>
    <w:rsid w:val="00E03613"/>
    <w:rsid w:val="00E0366B"/>
    <w:rsid w:val="00E036FC"/>
    <w:rsid w:val="00E03A7C"/>
    <w:rsid w:val="00E03B38"/>
    <w:rsid w:val="00E03CB0"/>
    <w:rsid w:val="00E03EFB"/>
    <w:rsid w:val="00E03F3E"/>
    <w:rsid w:val="00E03FDC"/>
    <w:rsid w:val="00E040B0"/>
    <w:rsid w:val="00E04125"/>
    <w:rsid w:val="00E043E3"/>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D1"/>
    <w:rsid w:val="00E103E5"/>
    <w:rsid w:val="00E1041B"/>
    <w:rsid w:val="00E104AD"/>
    <w:rsid w:val="00E10506"/>
    <w:rsid w:val="00E10522"/>
    <w:rsid w:val="00E1098F"/>
    <w:rsid w:val="00E10F88"/>
    <w:rsid w:val="00E11A94"/>
    <w:rsid w:val="00E11D56"/>
    <w:rsid w:val="00E11DBE"/>
    <w:rsid w:val="00E11F88"/>
    <w:rsid w:val="00E12397"/>
    <w:rsid w:val="00E124B1"/>
    <w:rsid w:val="00E1250F"/>
    <w:rsid w:val="00E12517"/>
    <w:rsid w:val="00E12538"/>
    <w:rsid w:val="00E12569"/>
    <w:rsid w:val="00E126B0"/>
    <w:rsid w:val="00E1270E"/>
    <w:rsid w:val="00E1271C"/>
    <w:rsid w:val="00E12A02"/>
    <w:rsid w:val="00E12DA6"/>
    <w:rsid w:val="00E12DBD"/>
    <w:rsid w:val="00E12F80"/>
    <w:rsid w:val="00E1315B"/>
    <w:rsid w:val="00E13485"/>
    <w:rsid w:val="00E134D6"/>
    <w:rsid w:val="00E13581"/>
    <w:rsid w:val="00E13C3D"/>
    <w:rsid w:val="00E1424F"/>
    <w:rsid w:val="00E144A2"/>
    <w:rsid w:val="00E1489F"/>
    <w:rsid w:val="00E14A42"/>
    <w:rsid w:val="00E14EB9"/>
    <w:rsid w:val="00E1520B"/>
    <w:rsid w:val="00E15343"/>
    <w:rsid w:val="00E1546D"/>
    <w:rsid w:val="00E15491"/>
    <w:rsid w:val="00E15510"/>
    <w:rsid w:val="00E158E2"/>
    <w:rsid w:val="00E15AF0"/>
    <w:rsid w:val="00E15DFB"/>
    <w:rsid w:val="00E15F80"/>
    <w:rsid w:val="00E15F9B"/>
    <w:rsid w:val="00E164B8"/>
    <w:rsid w:val="00E16529"/>
    <w:rsid w:val="00E16CDC"/>
    <w:rsid w:val="00E170A3"/>
    <w:rsid w:val="00E1715C"/>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2CA"/>
    <w:rsid w:val="00E21630"/>
    <w:rsid w:val="00E21670"/>
    <w:rsid w:val="00E216A7"/>
    <w:rsid w:val="00E21A09"/>
    <w:rsid w:val="00E21A92"/>
    <w:rsid w:val="00E21BAE"/>
    <w:rsid w:val="00E220E0"/>
    <w:rsid w:val="00E2247D"/>
    <w:rsid w:val="00E22579"/>
    <w:rsid w:val="00E22629"/>
    <w:rsid w:val="00E22783"/>
    <w:rsid w:val="00E227A6"/>
    <w:rsid w:val="00E227BA"/>
    <w:rsid w:val="00E2282E"/>
    <w:rsid w:val="00E2283A"/>
    <w:rsid w:val="00E2283D"/>
    <w:rsid w:val="00E2284B"/>
    <w:rsid w:val="00E2291A"/>
    <w:rsid w:val="00E22C5B"/>
    <w:rsid w:val="00E22F0B"/>
    <w:rsid w:val="00E22F4E"/>
    <w:rsid w:val="00E232D5"/>
    <w:rsid w:val="00E235D1"/>
    <w:rsid w:val="00E2378D"/>
    <w:rsid w:val="00E23840"/>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D11"/>
    <w:rsid w:val="00E26DAC"/>
    <w:rsid w:val="00E26F46"/>
    <w:rsid w:val="00E27369"/>
    <w:rsid w:val="00E27426"/>
    <w:rsid w:val="00E27498"/>
    <w:rsid w:val="00E274B8"/>
    <w:rsid w:val="00E2750A"/>
    <w:rsid w:val="00E275C5"/>
    <w:rsid w:val="00E27911"/>
    <w:rsid w:val="00E27CFE"/>
    <w:rsid w:val="00E300D1"/>
    <w:rsid w:val="00E301E8"/>
    <w:rsid w:val="00E30237"/>
    <w:rsid w:val="00E303F6"/>
    <w:rsid w:val="00E305AB"/>
    <w:rsid w:val="00E307F7"/>
    <w:rsid w:val="00E30A19"/>
    <w:rsid w:val="00E30A5F"/>
    <w:rsid w:val="00E30C13"/>
    <w:rsid w:val="00E30C31"/>
    <w:rsid w:val="00E30CE2"/>
    <w:rsid w:val="00E30DE5"/>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85C"/>
    <w:rsid w:val="00E328F0"/>
    <w:rsid w:val="00E32A4C"/>
    <w:rsid w:val="00E32DC2"/>
    <w:rsid w:val="00E330DF"/>
    <w:rsid w:val="00E33449"/>
    <w:rsid w:val="00E339AD"/>
    <w:rsid w:val="00E33A8C"/>
    <w:rsid w:val="00E33E63"/>
    <w:rsid w:val="00E34093"/>
    <w:rsid w:val="00E3413F"/>
    <w:rsid w:val="00E341AF"/>
    <w:rsid w:val="00E341E0"/>
    <w:rsid w:val="00E34282"/>
    <w:rsid w:val="00E3437C"/>
    <w:rsid w:val="00E343C8"/>
    <w:rsid w:val="00E344CD"/>
    <w:rsid w:val="00E34522"/>
    <w:rsid w:val="00E345C0"/>
    <w:rsid w:val="00E34F20"/>
    <w:rsid w:val="00E350C8"/>
    <w:rsid w:val="00E3557A"/>
    <w:rsid w:val="00E35675"/>
    <w:rsid w:val="00E358C5"/>
    <w:rsid w:val="00E35AFC"/>
    <w:rsid w:val="00E35B3C"/>
    <w:rsid w:val="00E35B49"/>
    <w:rsid w:val="00E360D3"/>
    <w:rsid w:val="00E3623B"/>
    <w:rsid w:val="00E362C2"/>
    <w:rsid w:val="00E3638A"/>
    <w:rsid w:val="00E3648B"/>
    <w:rsid w:val="00E364B4"/>
    <w:rsid w:val="00E3652A"/>
    <w:rsid w:val="00E36927"/>
    <w:rsid w:val="00E36AA7"/>
    <w:rsid w:val="00E36D8A"/>
    <w:rsid w:val="00E36E44"/>
    <w:rsid w:val="00E36FA2"/>
    <w:rsid w:val="00E37024"/>
    <w:rsid w:val="00E370AE"/>
    <w:rsid w:val="00E3715F"/>
    <w:rsid w:val="00E37C7C"/>
    <w:rsid w:val="00E37E96"/>
    <w:rsid w:val="00E40177"/>
    <w:rsid w:val="00E4019E"/>
    <w:rsid w:val="00E403AF"/>
    <w:rsid w:val="00E405C3"/>
    <w:rsid w:val="00E406C8"/>
    <w:rsid w:val="00E40A01"/>
    <w:rsid w:val="00E40B50"/>
    <w:rsid w:val="00E40DDB"/>
    <w:rsid w:val="00E40E69"/>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D18"/>
    <w:rsid w:val="00E45D8D"/>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44E"/>
    <w:rsid w:val="00E5052F"/>
    <w:rsid w:val="00E50626"/>
    <w:rsid w:val="00E506C6"/>
    <w:rsid w:val="00E507C5"/>
    <w:rsid w:val="00E51086"/>
    <w:rsid w:val="00E513D7"/>
    <w:rsid w:val="00E51456"/>
    <w:rsid w:val="00E518FE"/>
    <w:rsid w:val="00E51984"/>
    <w:rsid w:val="00E51E62"/>
    <w:rsid w:val="00E51E8E"/>
    <w:rsid w:val="00E52031"/>
    <w:rsid w:val="00E520F8"/>
    <w:rsid w:val="00E52293"/>
    <w:rsid w:val="00E52316"/>
    <w:rsid w:val="00E52408"/>
    <w:rsid w:val="00E527A5"/>
    <w:rsid w:val="00E52AB7"/>
    <w:rsid w:val="00E52CCA"/>
    <w:rsid w:val="00E53235"/>
    <w:rsid w:val="00E532BE"/>
    <w:rsid w:val="00E53438"/>
    <w:rsid w:val="00E53446"/>
    <w:rsid w:val="00E53455"/>
    <w:rsid w:val="00E535BC"/>
    <w:rsid w:val="00E535F3"/>
    <w:rsid w:val="00E5363F"/>
    <w:rsid w:val="00E536C1"/>
    <w:rsid w:val="00E53743"/>
    <w:rsid w:val="00E53831"/>
    <w:rsid w:val="00E538DA"/>
    <w:rsid w:val="00E53A08"/>
    <w:rsid w:val="00E53A0B"/>
    <w:rsid w:val="00E53BE0"/>
    <w:rsid w:val="00E53CA4"/>
    <w:rsid w:val="00E53D2A"/>
    <w:rsid w:val="00E53E68"/>
    <w:rsid w:val="00E53EFE"/>
    <w:rsid w:val="00E544EA"/>
    <w:rsid w:val="00E545C7"/>
    <w:rsid w:val="00E5468A"/>
    <w:rsid w:val="00E54752"/>
    <w:rsid w:val="00E548E0"/>
    <w:rsid w:val="00E54A72"/>
    <w:rsid w:val="00E54A91"/>
    <w:rsid w:val="00E54AB2"/>
    <w:rsid w:val="00E54C67"/>
    <w:rsid w:val="00E54DE6"/>
    <w:rsid w:val="00E54FCC"/>
    <w:rsid w:val="00E55020"/>
    <w:rsid w:val="00E5513F"/>
    <w:rsid w:val="00E5555C"/>
    <w:rsid w:val="00E55736"/>
    <w:rsid w:val="00E55945"/>
    <w:rsid w:val="00E5597C"/>
    <w:rsid w:val="00E55D69"/>
    <w:rsid w:val="00E55DA4"/>
    <w:rsid w:val="00E565D4"/>
    <w:rsid w:val="00E565E3"/>
    <w:rsid w:val="00E566C4"/>
    <w:rsid w:val="00E56A45"/>
    <w:rsid w:val="00E56C39"/>
    <w:rsid w:val="00E56D06"/>
    <w:rsid w:val="00E56DA4"/>
    <w:rsid w:val="00E56FC7"/>
    <w:rsid w:val="00E5725B"/>
    <w:rsid w:val="00E572C3"/>
    <w:rsid w:val="00E574CB"/>
    <w:rsid w:val="00E574CD"/>
    <w:rsid w:val="00E575AB"/>
    <w:rsid w:val="00E5764C"/>
    <w:rsid w:val="00E57888"/>
    <w:rsid w:val="00E578C5"/>
    <w:rsid w:val="00E57EFB"/>
    <w:rsid w:val="00E60035"/>
    <w:rsid w:val="00E6051E"/>
    <w:rsid w:val="00E609B1"/>
    <w:rsid w:val="00E60E32"/>
    <w:rsid w:val="00E60E9E"/>
    <w:rsid w:val="00E60FF7"/>
    <w:rsid w:val="00E61067"/>
    <w:rsid w:val="00E6132B"/>
    <w:rsid w:val="00E61435"/>
    <w:rsid w:val="00E6149A"/>
    <w:rsid w:val="00E6179E"/>
    <w:rsid w:val="00E618B9"/>
    <w:rsid w:val="00E618E7"/>
    <w:rsid w:val="00E619B7"/>
    <w:rsid w:val="00E61DAD"/>
    <w:rsid w:val="00E61DEE"/>
    <w:rsid w:val="00E61F1A"/>
    <w:rsid w:val="00E61F85"/>
    <w:rsid w:val="00E624D6"/>
    <w:rsid w:val="00E625E5"/>
    <w:rsid w:val="00E62C39"/>
    <w:rsid w:val="00E62C99"/>
    <w:rsid w:val="00E62E89"/>
    <w:rsid w:val="00E62EDE"/>
    <w:rsid w:val="00E62F5D"/>
    <w:rsid w:val="00E633B2"/>
    <w:rsid w:val="00E637E3"/>
    <w:rsid w:val="00E638E0"/>
    <w:rsid w:val="00E63E04"/>
    <w:rsid w:val="00E63F2A"/>
    <w:rsid w:val="00E63FC4"/>
    <w:rsid w:val="00E64098"/>
    <w:rsid w:val="00E641D7"/>
    <w:rsid w:val="00E6422C"/>
    <w:rsid w:val="00E64994"/>
    <w:rsid w:val="00E64B8E"/>
    <w:rsid w:val="00E64C00"/>
    <w:rsid w:val="00E64DAE"/>
    <w:rsid w:val="00E64F39"/>
    <w:rsid w:val="00E650C7"/>
    <w:rsid w:val="00E65180"/>
    <w:rsid w:val="00E6534D"/>
    <w:rsid w:val="00E654DA"/>
    <w:rsid w:val="00E65614"/>
    <w:rsid w:val="00E65876"/>
    <w:rsid w:val="00E65899"/>
    <w:rsid w:val="00E65966"/>
    <w:rsid w:val="00E659E0"/>
    <w:rsid w:val="00E65A90"/>
    <w:rsid w:val="00E65A99"/>
    <w:rsid w:val="00E65AEC"/>
    <w:rsid w:val="00E65B61"/>
    <w:rsid w:val="00E65BBE"/>
    <w:rsid w:val="00E65D4A"/>
    <w:rsid w:val="00E65E54"/>
    <w:rsid w:val="00E65E57"/>
    <w:rsid w:val="00E65ED2"/>
    <w:rsid w:val="00E65EF6"/>
    <w:rsid w:val="00E65F52"/>
    <w:rsid w:val="00E6602E"/>
    <w:rsid w:val="00E66056"/>
    <w:rsid w:val="00E66082"/>
    <w:rsid w:val="00E66333"/>
    <w:rsid w:val="00E663F5"/>
    <w:rsid w:val="00E666B4"/>
    <w:rsid w:val="00E666F9"/>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67F5C"/>
    <w:rsid w:val="00E70320"/>
    <w:rsid w:val="00E70615"/>
    <w:rsid w:val="00E70887"/>
    <w:rsid w:val="00E70A3D"/>
    <w:rsid w:val="00E70E44"/>
    <w:rsid w:val="00E70EE0"/>
    <w:rsid w:val="00E70F07"/>
    <w:rsid w:val="00E710D0"/>
    <w:rsid w:val="00E711B7"/>
    <w:rsid w:val="00E71366"/>
    <w:rsid w:val="00E716F2"/>
    <w:rsid w:val="00E71871"/>
    <w:rsid w:val="00E719EA"/>
    <w:rsid w:val="00E71A0B"/>
    <w:rsid w:val="00E71DB5"/>
    <w:rsid w:val="00E720CE"/>
    <w:rsid w:val="00E72373"/>
    <w:rsid w:val="00E724BF"/>
    <w:rsid w:val="00E72859"/>
    <w:rsid w:val="00E7286C"/>
    <w:rsid w:val="00E72A93"/>
    <w:rsid w:val="00E72FD5"/>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D54"/>
    <w:rsid w:val="00E77123"/>
    <w:rsid w:val="00E77130"/>
    <w:rsid w:val="00E772A9"/>
    <w:rsid w:val="00E77332"/>
    <w:rsid w:val="00E776B7"/>
    <w:rsid w:val="00E778DB"/>
    <w:rsid w:val="00E7790B"/>
    <w:rsid w:val="00E77B26"/>
    <w:rsid w:val="00E77CA4"/>
    <w:rsid w:val="00E80359"/>
    <w:rsid w:val="00E80389"/>
    <w:rsid w:val="00E8059F"/>
    <w:rsid w:val="00E80819"/>
    <w:rsid w:val="00E80D3C"/>
    <w:rsid w:val="00E80D40"/>
    <w:rsid w:val="00E80DAC"/>
    <w:rsid w:val="00E80EC6"/>
    <w:rsid w:val="00E80F06"/>
    <w:rsid w:val="00E80FD5"/>
    <w:rsid w:val="00E810E5"/>
    <w:rsid w:val="00E811BC"/>
    <w:rsid w:val="00E815D9"/>
    <w:rsid w:val="00E8168E"/>
    <w:rsid w:val="00E81826"/>
    <w:rsid w:val="00E818AC"/>
    <w:rsid w:val="00E818C4"/>
    <w:rsid w:val="00E818FF"/>
    <w:rsid w:val="00E81C28"/>
    <w:rsid w:val="00E8209B"/>
    <w:rsid w:val="00E82213"/>
    <w:rsid w:val="00E8239C"/>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25C"/>
    <w:rsid w:val="00E852A6"/>
    <w:rsid w:val="00E8533B"/>
    <w:rsid w:val="00E85442"/>
    <w:rsid w:val="00E854FC"/>
    <w:rsid w:val="00E85747"/>
    <w:rsid w:val="00E857ED"/>
    <w:rsid w:val="00E86173"/>
    <w:rsid w:val="00E863FF"/>
    <w:rsid w:val="00E866EA"/>
    <w:rsid w:val="00E86752"/>
    <w:rsid w:val="00E86948"/>
    <w:rsid w:val="00E869D8"/>
    <w:rsid w:val="00E86A4A"/>
    <w:rsid w:val="00E86AE7"/>
    <w:rsid w:val="00E86B3D"/>
    <w:rsid w:val="00E87165"/>
    <w:rsid w:val="00E875D5"/>
    <w:rsid w:val="00E8767D"/>
    <w:rsid w:val="00E8768E"/>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D"/>
    <w:rsid w:val="00E91682"/>
    <w:rsid w:val="00E916BC"/>
    <w:rsid w:val="00E9173F"/>
    <w:rsid w:val="00E91BBF"/>
    <w:rsid w:val="00E91D34"/>
    <w:rsid w:val="00E91DAD"/>
    <w:rsid w:val="00E91ED1"/>
    <w:rsid w:val="00E9203F"/>
    <w:rsid w:val="00E9226C"/>
    <w:rsid w:val="00E92270"/>
    <w:rsid w:val="00E922A7"/>
    <w:rsid w:val="00E92680"/>
    <w:rsid w:val="00E9275C"/>
    <w:rsid w:val="00E92C0B"/>
    <w:rsid w:val="00E92D03"/>
    <w:rsid w:val="00E92D5F"/>
    <w:rsid w:val="00E92D6F"/>
    <w:rsid w:val="00E92EC8"/>
    <w:rsid w:val="00E93287"/>
    <w:rsid w:val="00E9328B"/>
    <w:rsid w:val="00E9351C"/>
    <w:rsid w:val="00E93756"/>
    <w:rsid w:val="00E938CD"/>
    <w:rsid w:val="00E938F2"/>
    <w:rsid w:val="00E93C81"/>
    <w:rsid w:val="00E93DA8"/>
    <w:rsid w:val="00E940B4"/>
    <w:rsid w:val="00E943E7"/>
    <w:rsid w:val="00E9449A"/>
    <w:rsid w:val="00E944A3"/>
    <w:rsid w:val="00E94523"/>
    <w:rsid w:val="00E9457F"/>
    <w:rsid w:val="00E94614"/>
    <w:rsid w:val="00E9468A"/>
    <w:rsid w:val="00E94A7F"/>
    <w:rsid w:val="00E94A9B"/>
    <w:rsid w:val="00E94CD4"/>
    <w:rsid w:val="00E94EC0"/>
    <w:rsid w:val="00E94F28"/>
    <w:rsid w:val="00E94F3F"/>
    <w:rsid w:val="00E94F8E"/>
    <w:rsid w:val="00E95073"/>
    <w:rsid w:val="00E9558F"/>
    <w:rsid w:val="00E955FD"/>
    <w:rsid w:val="00E9573B"/>
    <w:rsid w:val="00E95F84"/>
    <w:rsid w:val="00E96669"/>
    <w:rsid w:val="00E967F7"/>
    <w:rsid w:val="00E96CC9"/>
    <w:rsid w:val="00E96D74"/>
    <w:rsid w:val="00E96D83"/>
    <w:rsid w:val="00E9715B"/>
    <w:rsid w:val="00E971F5"/>
    <w:rsid w:val="00E97245"/>
    <w:rsid w:val="00E9725A"/>
    <w:rsid w:val="00E974C2"/>
    <w:rsid w:val="00E97542"/>
    <w:rsid w:val="00E97741"/>
    <w:rsid w:val="00E97ACF"/>
    <w:rsid w:val="00E97CAC"/>
    <w:rsid w:val="00E97D46"/>
    <w:rsid w:val="00E97DDB"/>
    <w:rsid w:val="00E97EEE"/>
    <w:rsid w:val="00E97F7A"/>
    <w:rsid w:val="00E97FFA"/>
    <w:rsid w:val="00E97FFC"/>
    <w:rsid w:val="00EA00AE"/>
    <w:rsid w:val="00EA0435"/>
    <w:rsid w:val="00EA0695"/>
    <w:rsid w:val="00EA0802"/>
    <w:rsid w:val="00EA0B10"/>
    <w:rsid w:val="00EA1028"/>
    <w:rsid w:val="00EA13B2"/>
    <w:rsid w:val="00EA1463"/>
    <w:rsid w:val="00EA169C"/>
    <w:rsid w:val="00EA1753"/>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88F"/>
    <w:rsid w:val="00EA3A87"/>
    <w:rsid w:val="00EA3BAA"/>
    <w:rsid w:val="00EA3C83"/>
    <w:rsid w:val="00EA3D3C"/>
    <w:rsid w:val="00EA3D7D"/>
    <w:rsid w:val="00EA3E5C"/>
    <w:rsid w:val="00EA4011"/>
    <w:rsid w:val="00EA4031"/>
    <w:rsid w:val="00EA4462"/>
    <w:rsid w:val="00EA4552"/>
    <w:rsid w:val="00EA46DE"/>
    <w:rsid w:val="00EA4A96"/>
    <w:rsid w:val="00EA4BA4"/>
    <w:rsid w:val="00EA4BEC"/>
    <w:rsid w:val="00EA4C57"/>
    <w:rsid w:val="00EA4CE5"/>
    <w:rsid w:val="00EA503D"/>
    <w:rsid w:val="00EA508E"/>
    <w:rsid w:val="00EA50E3"/>
    <w:rsid w:val="00EA52EE"/>
    <w:rsid w:val="00EA530B"/>
    <w:rsid w:val="00EA54D9"/>
    <w:rsid w:val="00EA56FC"/>
    <w:rsid w:val="00EA5816"/>
    <w:rsid w:val="00EA59B7"/>
    <w:rsid w:val="00EA5A9C"/>
    <w:rsid w:val="00EA5BDD"/>
    <w:rsid w:val="00EA5BEC"/>
    <w:rsid w:val="00EA5C01"/>
    <w:rsid w:val="00EA5DF7"/>
    <w:rsid w:val="00EA5E7C"/>
    <w:rsid w:val="00EA5EB0"/>
    <w:rsid w:val="00EA6072"/>
    <w:rsid w:val="00EA62D3"/>
    <w:rsid w:val="00EA6701"/>
    <w:rsid w:val="00EA67B3"/>
    <w:rsid w:val="00EA6A73"/>
    <w:rsid w:val="00EA6D30"/>
    <w:rsid w:val="00EA6E03"/>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6B6"/>
    <w:rsid w:val="00EB1701"/>
    <w:rsid w:val="00EB1CCA"/>
    <w:rsid w:val="00EB1E53"/>
    <w:rsid w:val="00EB1F9E"/>
    <w:rsid w:val="00EB2078"/>
    <w:rsid w:val="00EB21BE"/>
    <w:rsid w:val="00EB22CA"/>
    <w:rsid w:val="00EB2464"/>
    <w:rsid w:val="00EB2777"/>
    <w:rsid w:val="00EB280A"/>
    <w:rsid w:val="00EB2F7E"/>
    <w:rsid w:val="00EB30E3"/>
    <w:rsid w:val="00EB311F"/>
    <w:rsid w:val="00EB326E"/>
    <w:rsid w:val="00EB392C"/>
    <w:rsid w:val="00EB3A4D"/>
    <w:rsid w:val="00EB3DA8"/>
    <w:rsid w:val="00EB3DC7"/>
    <w:rsid w:val="00EB3FB7"/>
    <w:rsid w:val="00EB401D"/>
    <w:rsid w:val="00EB418D"/>
    <w:rsid w:val="00EB43A8"/>
    <w:rsid w:val="00EB44FE"/>
    <w:rsid w:val="00EB4678"/>
    <w:rsid w:val="00EB4882"/>
    <w:rsid w:val="00EB4B90"/>
    <w:rsid w:val="00EB4C30"/>
    <w:rsid w:val="00EB4F10"/>
    <w:rsid w:val="00EB502A"/>
    <w:rsid w:val="00EB518A"/>
    <w:rsid w:val="00EB5259"/>
    <w:rsid w:val="00EB5288"/>
    <w:rsid w:val="00EB528C"/>
    <w:rsid w:val="00EB52B2"/>
    <w:rsid w:val="00EB53D9"/>
    <w:rsid w:val="00EB54B8"/>
    <w:rsid w:val="00EB54BF"/>
    <w:rsid w:val="00EB54E6"/>
    <w:rsid w:val="00EB5560"/>
    <w:rsid w:val="00EB561A"/>
    <w:rsid w:val="00EB5A3F"/>
    <w:rsid w:val="00EB6046"/>
    <w:rsid w:val="00EB6449"/>
    <w:rsid w:val="00EB6850"/>
    <w:rsid w:val="00EB6946"/>
    <w:rsid w:val="00EB6CCF"/>
    <w:rsid w:val="00EB6CFE"/>
    <w:rsid w:val="00EB6EB6"/>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599"/>
    <w:rsid w:val="00EC059B"/>
    <w:rsid w:val="00EC09B3"/>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CB"/>
    <w:rsid w:val="00EC1FD8"/>
    <w:rsid w:val="00EC20C1"/>
    <w:rsid w:val="00EC20EE"/>
    <w:rsid w:val="00EC22CB"/>
    <w:rsid w:val="00EC23B3"/>
    <w:rsid w:val="00EC23B9"/>
    <w:rsid w:val="00EC2A32"/>
    <w:rsid w:val="00EC2B27"/>
    <w:rsid w:val="00EC2B31"/>
    <w:rsid w:val="00EC2D95"/>
    <w:rsid w:val="00EC2EA4"/>
    <w:rsid w:val="00EC310F"/>
    <w:rsid w:val="00EC3333"/>
    <w:rsid w:val="00EC33B8"/>
    <w:rsid w:val="00EC343B"/>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8D8"/>
    <w:rsid w:val="00EC4AA6"/>
    <w:rsid w:val="00EC4D56"/>
    <w:rsid w:val="00EC4DCE"/>
    <w:rsid w:val="00EC51C8"/>
    <w:rsid w:val="00EC52D5"/>
    <w:rsid w:val="00EC5416"/>
    <w:rsid w:val="00EC5502"/>
    <w:rsid w:val="00EC55B8"/>
    <w:rsid w:val="00EC5605"/>
    <w:rsid w:val="00EC56A6"/>
    <w:rsid w:val="00EC5E05"/>
    <w:rsid w:val="00EC5EA3"/>
    <w:rsid w:val="00EC671E"/>
    <w:rsid w:val="00EC6AB5"/>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AD1"/>
    <w:rsid w:val="00ED1B2B"/>
    <w:rsid w:val="00ED1DD5"/>
    <w:rsid w:val="00ED2172"/>
    <w:rsid w:val="00ED2445"/>
    <w:rsid w:val="00ED24AD"/>
    <w:rsid w:val="00ED2505"/>
    <w:rsid w:val="00ED260B"/>
    <w:rsid w:val="00ED2646"/>
    <w:rsid w:val="00ED26A1"/>
    <w:rsid w:val="00ED28D3"/>
    <w:rsid w:val="00ED2965"/>
    <w:rsid w:val="00ED297E"/>
    <w:rsid w:val="00ED2B05"/>
    <w:rsid w:val="00ED2C16"/>
    <w:rsid w:val="00ED2D81"/>
    <w:rsid w:val="00ED2EAC"/>
    <w:rsid w:val="00ED306B"/>
    <w:rsid w:val="00ED35D7"/>
    <w:rsid w:val="00ED35DB"/>
    <w:rsid w:val="00ED3729"/>
    <w:rsid w:val="00ED3BD4"/>
    <w:rsid w:val="00ED4044"/>
    <w:rsid w:val="00ED412E"/>
    <w:rsid w:val="00ED4588"/>
    <w:rsid w:val="00ED4A3C"/>
    <w:rsid w:val="00ED4D69"/>
    <w:rsid w:val="00ED4E78"/>
    <w:rsid w:val="00ED4EB6"/>
    <w:rsid w:val="00ED4F2E"/>
    <w:rsid w:val="00ED508C"/>
    <w:rsid w:val="00ED50E2"/>
    <w:rsid w:val="00ED5242"/>
    <w:rsid w:val="00ED55CD"/>
    <w:rsid w:val="00ED5621"/>
    <w:rsid w:val="00ED5AAF"/>
    <w:rsid w:val="00ED5AE3"/>
    <w:rsid w:val="00ED5AEC"/>
    <w:rsid w:val="00ED5D25"/>
    <w:rsid w:val="00ED5E36"/>
    <w:rsid w:val="00ED63AC"/>
    <w:rsid w:val="00ED648B"/>
    <w:rsid w:val="00ED6586"/>
    <w:rsid w:val="00ED660B"/>
    <w:rsid w:val="00ED67B6"/>
    <w:rsid w:val="00ED6A77"/>
    <w:rsid w:val="00ED6B37"/>
    <w:rsid w:val="00ED6C08"/>
    <w:rsid w:val="00ED6C58"/>
    <w:rsid w:val="00ED6DAC"/>
    <w:rsid w:val="00ED6E24"/>
    <w:rsid w:val="00ED6E83"/>
    <w:rsid w:val="00ED6F9C"/>
    <w:rsid w:val="00ED77CB"/>
    <w:rsid w:val="00ED78AB"/>
    <w:rsid w:val="00ED7A5A"/>
    <w:rsid w:val="00ED7B0B"/>
    <w:rsid w:val="00ED7D36"/>
    <w:rsid w:val="00ED7DB8"/>
    <w:rsid w:val="00ED7EDA"/>
    <w:rsid w:val="00EE00E9"/>
    <w:rsid w:val="00EE02C1"/>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476"/>
    <w:rsid w:val="00EE1670"/>
    <w:rsid w:val="00EE170D"/>
    <w:rsid w:val="00EE17FC"/>
    <w:rsid w:val="00EE1962"/>
    <w:rsid w:val="00EE1972"/>
    <w:rsid w:val="00EE19D9"/>
    <w:rsid w:val="00EE19E2"/>
    <w:rsid w:val="00EE1A4F"/>
    <w:rsid w:val="00EE1C35"/>
    <w:rsid w:val="00EE1CE3"/>
    <w:rsid w:val="00EE1D9D"/>
    <w:rsid w:val="00EE1F0D"/>
    <w:rsid w:val="00EE23B9"/>
    <w:rsid w:val="00EE2614"/>
    <w:rsid w:val="00EE267B"/>
    <w:rsid w:val="00EE273A"/>
    <w:rsid w:val="00EE27B3"/>
    <w:rsid w:val="00EE2A33"/>
    <w:rsid w:val="00EE33BD"/>
    <w:rsid w:val="00EE3454"/>
    <w:rsid w:val="00EE3682"/>
    <w:rsid w:val="00EE37C3"/>
    <w:rsid w:val="00EE3BD8"/>
    <w:rsid w:val="00EE3EE6"/>
    <w:rsid w:val="00EE418B"/>
    <w:rsid w:val="00EE4545"/>
    <w:rsid w:val="00EE46FF"/>
    <w:rsid w:val="00EE4BD9"/>
    <w:rsid w:val="00EE4CF0"/>
    <w:rsid w:val="00EE4E18"/>
    <w:rsid w:val="00EE4F69"/>
    <w:rsid w:val="00EE5133"/>
    <w:rsid w:val="00EE522E"/>
    <w:rsid w:val="00EE533E"/>
    <w:rsid w:val="00EE5538"/>
    <w:rsid w:val="00EE56DA"/>
    <w:rsid w:val="00EE5878"/>
    <w:rsid w:val="00EE589D"/>
    <w:rsid w:val="00EE5C80"/>
    <w:rsid w:val="00EE6017"/>
    <w:rsid w:val="00EE667C"/>
    <w:rsid w:val="00EE67A3"/>
    <w:rsid w:val="00EE688A"/>
    <w:rsid w:val="00EE6A73"/>
    <w:rsid w:val="00EE6AED"/>
    <w:rsid w:val="00EE6BDB"/>
    <w:rsid w:val="00EE6C44"/>
    <w:rsid w:val="00EE6D2C"/>
    <w:rsid w:val="00EE6D54"/>
    <w:rsid w:val="00EE7187"/>
    <w:rsid w:val="00EE739F"/>
    <w:rsid w:val="00EE743A"/>
    <w:rsid w:val="00EE7484"/>
    <w:rsid w:val="00EE7493"/>
    <w:rsid w:val="00EE7A6A"/>
    <w:rsid w:val="00EE7BC3"/>
    <w:rsid w:val="00EE7D25"/>
    <w:rsid w:val="00EE7F05"/>
    <w:rsid w:val="00EF0001"/>
    <w:rsid w:val="00EF041C"/>
    <w:rsid w:val="00EF046C"/>
    <w:rsid w:val="00EF0570"/>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5F5"/>
    <w:rsid w:val="00EF194F"/>
    <w:rsid w:val="00EF19F8"/>
    <w:rsid w:val="00EF1AF9"/>
    <w:rsid w:val="00EF1B0E"/>
    <w:rsid w:val="00EF1BEE"/>
    <w:rsid w:val="00EF1D6B"/>
    <w:rsid w:val="00EF1FA1"/>
    <w:rsid w:val="00EF20F0"/>
    <w:rsid w:val="00EF2366"/>
    <w:rsid w:val="00EF24BE"/>
    <w:rsid w:val="00EF2971"/>
    <w:rsid w:val="00EF2A4C"/>
    <w:rsid w:val="00EF2A59"/>
    <w:rsid w:val="00EF2B37"/>
    <w:rsid w:val="00EF2B41"/>
    <w:rsid w:val="00EF2D65"/>
    <w:rsid w:val="00EF3071"/>
    <w:rsid w:val="00EF30E9"/>
    <w:rsid w:val="00EF31B8"/>
    <w:rsid w:val="00EF324C"/>
    <w:rsid w:val="00EF33E3"/>
    <w:rsid w:val="00EF357E"/>
    <w:rsid w:val="00EF3646"/>
    <w:rsid w:val="00EF3664"/>
    <w:rsid w:val="00EF3684"/>
    <w:rsid w:val="00EF36F2"/>
    <w:rsid w:val="00EF379B"/>
    <w:rsid w:val="00EF37DC"/>
    <w:rsid w:val="00EF3856"/>
    <w:rsid w:val="00EF3B8A"/>
    <w:rsid w:val="00EF3D5B"/>
    <w:rsid w:val="00EF415B"/>
    <w:rsid w:val="00EF437F"/>
    <w:rsid w:val="00EF443B"/>
    <w:rsid w:val="00EF45D6"/>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50B"/>
    <w:rsid w:val="00EF6793"/>
    <w:rsid w:val="00EF680A"/>
    <w:rsid w:val="00EF6845"/>
    <w:rsid w:val="00EF6AE4"/>
    <w:rsid w:val="00EF6B19"/>
    <w:rsid w:val="00EF6D0B"/>
    <w:rsid w:val="00EF6D25"/>
    <w:rsid w:val="00EF6DF3"/>
    <w:rsid w:val="00EF6E06"/>
    <w:rsid w:val="00EF71B9"/>
    <w:rsid w:val="00EF72B8"/>
    <w:rsid w:val="00EF74E2"/>
    <w:rsid w:val="00EF752F"/>
    <w:rsid w:val="00EF7816"/>
    <w:rsid w:val="00EF7A9B"/>
    <w:rsid w:val="00EF7CC5"/>
    <w:rsid w:val="00F00118"/>
    <w:rsid w:val="00F00235"/>
    <w:rsid w:val="00F003D1"/>
    <w:rsid w:val="00F00743"/>
    <w:rsid w:val="00F00BF9"/>
    <w:rsid w:val="00F01279"/>
    <w:rsid w:val="00F01336"/>
    <w:rsid w:val="00F015EE"/>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72C"/>
    <w:rsid w:val="00F0294F"/>
    <w:rsid w:val="00F029B0"/>
    <w:rsid w:val="00F02A0D"/>
    <w:rsid w:val="00F02AD5"/>
    <w:rsid w:val="00F02AF6"/>
    <w:rsid w:val="00F02B98"/>
    <w:rsid w:val="00F02E8F"/>
    <w:rsid w:val="00F03252"/>
    <w:rsid w:val="00F0326B"/>
    <w:rsid w:val="00F0349F"/>
    <w:rsid w:val="00F0353E"/>
    <w:rsid w:val="00F0354E"/>
    <w:rsid w:val="00F035FD"/>
    <w:rsid w:val="00F037F1"/>
    <w:rsid w:val="00F03B07"/>
    <w:rsid w:val="00F04202"/>
    <w:rsid w:val="00F04707"/>
    <w:rsid w:val="00F0479C"/>
    <w:rsid w:val="00F049A2"/>
    <w:rsid w:val="00F04BC8"/>
    <w:rsid w:val="00F04DB4"/>
    <w:rsid w:val="00F04DD0"/>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CDD"/>
    <w:rsid w:val="00F06E05"/>
    <w:rsid w:val="00F06EBB"/>
    <w:rsid w:val="00F06F4B"/>
    <w:rsid w:val="00F06F96"/>
    <w:rsid w:val="00F070BF"/>
    <w:rsid w:val="00F070E4"/>
    <w:rsid w:val="00F07120"/>
    <w:rsid w:val="00F07255"/>
    <w:rsid w:val="00F07303"/>
    <w:rsid w:val="00F0747C"/>
    <w:rsid w:val="00F074FA"/>
    <w:rsid w:val="00F07834"/>
    <w:rsid w:val="00F07E79"/>
    <w:rsid w:val="00F07FC2"/>
    <w:rsid w:val="00F1009D"/>
    <w:rsid w:val="00F1037E"/>
    <w:rsid w:val="00F106B3"/>
    <w:rsid w:val="00F10787"/>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673"/>
    <w:rsid w:val="00F12A63"/>
    <w:rsid w:val="00F12B0F"/>
    <w:rsid w:val="00F12C72"/>
    <w:rsid w:val="00F12DAA"/>
    <w:rsid w:val="00F12FA3"/>
    <w:rsid w:val="00F13270"/>
    <w:rsid w:val="00F13956"/>
    <w:rsid w:val="00F13ED5"/>
    <w:rsid w:val="00F13FF1"/>
    <w:rsid w:val="00F1425C"/>
    <w:rsid w:val="00F1446D"/>
    <w:rsid w:val="00F14539"/>
    <w:rsid w:val="00F1459C"/>
    <w:rsid w:val="00F146BA"/>
    <w:rsid w:val="00F147CC"/>
    <w:rsid w:val="00F148B0"/>
    <w:rsid w:val="00F15056"/>
    <w:rsid w:val="00F152BA"/>
    <w:rsid w:val="00F15307"/>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16"/>
    <w:rsid w:val="00F20A3E"/>
    <w:rsid w:val="00F20AD8"/>
    <w:rsid w:val="00F20C37"/>
    <w:rsid w:val="00F20E4F"/>
    <w:rsid w:val="00F20FF7"/>
    <w:rsid w:val="00F21308"/>
    <w:rsid w:val="00F215F1"/>
    <w:rsid w:val="00F21775"/>
    <w:rsid w:val="00F2193B"/>
    <w:rsid w:val="00F21A0C"/>
    <w:rsid w:val="00F21A62"/>
    <w:rsid w:val="00F21AC4"/>
    <w:rsid w:val="00F21B62"/>
    <w:rsid w:val="00F21B71"/>
    <w:rsid w:val="00F21CD6"/>
    <w:rsid w:val="00F223E4"/>
    <w:rsid w:val="00F2298F"/>
    <w:rsid w:val="00F22A3A"/>
    <w:rsid w:val="00F22B87"/>
    <w:rsid w:val="00F22CD0"/>
    <w:rsid w:val="00F22E2D"/>
    <w:rsid w:val="00F22E35"/>
    <w:rsid w:val="00F22E47"/>
    <w:rsid w:val="00F22F1A"/>
    <w:rsid w:val="00F22F9B"/>
    <w:rsid w:val="00F22FD6"/>
    <w:rsid w:val="00F2309E"/>
    <w:rsid w:val="00F2316E"/>
    <w:rsid w:val="00F231A8"/>
    <w:rsid w:val="00F231BA"/>
    <w:rsid w:val="00F232EC"/>
    <w:rsid w:val="00F233AF"/>
    <w:rsid w:val="00F23661"/>
    <w:rsid w:val="00F23B51"/>
    <w:rsid w:val="00F23BC3"/>
    <w:rsid w:val="00F23CE1"/>
    <w:rsid w:val="00F23D5A"/>
    <w:rsid w:val="00F24059"/>
    <w:rsid w:val="00F241B4"/>
    <w:rsid w:val="00F2432D"/>
    <w:rsid w:val="00F24446"/>
    <w:rsid w:val="00F24690"/>
    <w:rsid w:val="00F24767"/>
    <w:rsid w:val="00F2488D"/>
    <w:rsid w:val="00F248B7"/>
    <w:rsid w:val="00F24AF9"/>
    <w:rsid w:val="00F24B08"/>
    <w:rsid w:val="00F24BE7"/>
    <w:rsid w:val="00F24DEE"/>
    <w:rsid w:val="00F24DF6"/>
    <w:rsid w:val="00F24E20"/>
    <w:rsid w:val="00F24F79"/>
    <w:rsid w:val="00F2503B"/>
    <w:rsid w:val="00F25525"/>
    <w:rsid w:val="00F255E3"/>
    <w:rsid w:val="00F257B3"/>
    <w:rsid w:val="00F25CAD"/>
    <w:rsid w:val="00F26034"/>
    <w:rsid w:val="00F260B0"/>
    <w:rsid w:val="00F2619D"/>
    <w:rsid w:val="00F26314"/>
    <w:rsid w:val="00F26475"/>
    <w:rsid w:val="00F26BC0"/>
    <w:rsid w:val="00F26FE3"/>
    <w:rsid w:val="00F27033"/>
    <w:rsid w:val="00F27225"/>
    <w:rsid w:val="00F27353"/>
    <w:rsid w:val="00F274EE"/>
    <w:rsid w:val="00F275B6"/>
    <w:rsid w:val="00F278A7"/>
    <w:rsid w:val="00F27B64"/>
    <w:rsid w:val="00F27BF1"/>
    <w:rsid w:val="00F27E2B"/>
    <w:rsid w:val="00F27F5C"/>
    <w:rsid w:val="00F303F0"/>
    <w:rsid w:val="00F305AB"/>
    <w:rsid w:val="00F305F2"/>
    <w:rsid w:val="00F306BC"/>
    <w:rsid w:val="00F30856"/>
    <w:rsid w:val="00F3093F"/>
    <w:rsid w:val="00F30966"/>
    <w:rsid w:val="00F309A5"/>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2BF"/>
    <w:rsid w:val="00F3330A"/>
    <w:rsid w:val="00F33352"/>
    <w:rsid w:val="00F3359A"/>
    <w:rsid w:val="00F339CF"/>
    <w:rsid w:val="00F33CAF"/>
    <w:rsid w:val="00F33D38"/>
    <w:rsid w:val="00F33D61"/>
    <w:rsid w:val="00F33E5D"/>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89E"/>
    <w:rsid w:val="00F358EE"/>
    <w:rsid w:val="00F365C2"/>
    <w:rsid w:val="00F36671"/>
    <w:rsid w:val="00F36D9D"/>
    <w:rsid w:val="00F36E46"/>
    <w:rsid w:val="00F372E7"/>
    <w:rsid w:val="00F374F0"/>
    <w:rsid w:val="00F375D2"/>
    <w:rsid w:val="00F37604"/>
    <w:rsid w:val="00F377C3"/>
    <w:rsid w:val="00F37A46"/>
    <w:rsid w:val="00F37B73"/>
    <w:rsid w:val="00F37B76"/>
    <w:rsid w:val="00F37BA1"/>
    <w:rsid w:val="00F40075"/>
    <w:rsid w:val="00F404CD"/>
    <w:rsid w:val="00F4059C"/>
    <w:rsid w:val="00F406CA"/>
    <w:rsid w:val="00F408D8"/>
    <w:rsid w:val="00F409FE"/>
    <w:rsid w:val="00F40A77"/>
    <w:rsid w:val="00F40DB9"/>
    <w:rsid w:val="00F40FC1"/>
    <w:rsid w:val="00F417B3"/>
    <w:rsid w:val="00F417FA"/>
    <w:rsid w:val="00F41A83"/>
    <w:rsid w:val="00F41AEC"/>
    <w:rsid w:val="00F41CFA"/>
    <w:rsid w:val="00F41EA0"/>
    <w:rsid w:val="00F4209B"/>
    <w:rsid w:val="00F420EA"/>
    <w:rsid w:val="00F423A7"/>
    <w:rsid w:val="00F423BE"/>
    <w:rsid w:val="00F42413"/>
    <w:rsid w:val="00F4243F"/>
    <w:rsid w:val="00F42792"/>
    <w:rsid w:val="00F42890"/>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609"/>
    <w:rsid w:val="00F44B20"/>
    <w:rsid w:val="00F45128"/>
    <w:rsid w:val="00F45353"/>
    <w:rsid w:val="00F45359"/>
    <w:rsid w:val="00F45711"/>
    <w:rsid w:val="00F457BC"/>
    <w:rsid w:val="00F458F2"/>
    <w:rsid w:val="00F45A02"/>
    <w:rsid w:val="00F45AA8"/>
    <w:rsid w:val="00F45B7B"/>
    <w:rsid w:val="00F45BD7"/>
    <w:rsid w:val="00F45D13"/>
    <w:rsid w:val="00F45D4D"/>
    <w:rsid w:val="00F46272"/>
    <w:rsid w:val="00F464BA"/>
    <w:rsid w:val="00F4666D"/>
    <w:rsid w:val="00F4695B"/>
    <w:rsid w:val="00F46BC0"/>
    <w:rsid w:val="00F46D4D"/>
    <w:rsid w:val="00F46D9D"/>
    <w:rsid w:val="00F46E9B"/>
    <w:rsid w:val="00F46F56"/>
    <w:rsid w:val="00F4719E"/>
    <w:rsid w:val="00F471B2"/>
    <w:rsid w:val="00F471BA"/>
    <w:rsid w:val="00F47473"/>
    <w:rsid w:val="00F47A25"/>
    <w:rsid w:val="00F47A98"/>
    <w:rsid w:val="00F47B1C"/>
    <w:rsid w:val="00F47BC7"/>
    <w:rsid w:val="00F47D1B"/>
    <w:rsid w:val="00F47D5C"/>
    <w:rsid w:val="00F47E1F"/>
    <w:rsid w:val="00F500CF"/>
    <w:rsid w:val="00F500EC"/>
    <w:rsid w:val="00F50157"/>
    <w:rsid w:val="00F501E6"/>
    <w:rsid w:val="00F50244"/>
    <w:rsid w:val="00F505AB"/>
    <w:rsid w:val="00F50652"/>
    <w:rsid w:val="00F50859"/>
    <w:rsid w:val="00F50F80"/>
    <w:rsid w:val="00F5103D"/>
    <w:rsid w:val="00F51041"/>
    <w:rsid w:val="00F51059"/>
    <w:rsid w:val="00F51089"/>
    <w:rsid w:val="00F5131D"/>
    <w:rsid w:val="00F514A9"/>
    <w:rsid w:val="00F51601"/>
    <w:rsid w:val="00F51B28"/>
    <w:rsid w:val="00F51BD7"/>
    <w:rsid w:val="00F51C12"/>
    <w:rsid w:val="00F51C8B"/>
    <w:rsid w:val="00F51D5D"/>
    <w:rsid w:val="00F52166"/>
    <w:rsid w:val="00F52609"/>
    <w:rsid w:val="00F52B07"/>
    <w:rsid w:val="00F52C2B"/>
    <w:rsid w:val="00F52E7C"/>
    <w:rsid w:val="00F53049"/>
    <w:rsid w:val="00F53485"/>
    <w:rsid w:val="00F5387C"/>
    <w:rsid w:val="00F538BC"/>
    <w:rsid w:val="00F53B08"/>
    <w:rsid w:val="00F53DAC"/>
    <w:rsid w:val="00F53DD5"/>
    <w:rsid w:val="00F53DFA"/>
    <w:rsid w:val="00F54163"/>
    <w:rsid w:val="00F5460F"/>
    <w:rsid w:val="00F54653"/>
    <w:rsid w:val="00F546BA"/>
    <w:rsid w:val="00F548CC"/>
    <w:rsid w:val="00F54911"/>
    <w:rsid w:val="00F549C6"/>
    <w:rsid w:val="00F54F8C"/>
    <w:rsid w:val="00F55367"/>
    <w:rsid w:val="00F5587F"/>
    <w:rsid w:val="00F558AC"/>
    <w:rsid w:val="00F558EF"/>
    <w:rsid w:val="00F55A06"/>
    <w:rsid w:val="00F55A68"/>
    <w:rsid w:val="00F55CF8"/>
    <w:rsid w:val="00F55FCE"/>
    <w:rsid w:val="00F5608A"/>
    <w:rsid w:val="00F5623D"/>
    <w:rsid w:val="00F56655"/>
    <w:rsid w:val="00F5684E"/>
    <w:rsid w:val="00F56B94"/>
    <w:rsid w:val="00F56D35"/>
    <w:rsid w:val="00F56F3A"/>
    <w:rsid w:val="00F56F9D"/>
    <w:rsid w:val="00F57077"/>
    <w:rsid w:val="00F575A7"/>
    <w:rsid w:val="00F57686"/>
    <w:rsid w:val="00F5768A"/>
    <w:rsid w:val="00F576A4"/>
    <w:rsid w:val="00F576FB"/>
    <w:rsid w:val="00F5792F"/>
    <w:rsid w:val="00F57D02"/>
    <w:rsid w:val="00F57D89"/>
    <w:rsid w:val="00F57DD4"/>
    <w:rsid w:val="00F57E89"/>
    <w:rsid w:val="00F57EF6"/>
    <w:rsid w:val="00F57F9D"/>
    <w:rsid w:val="00F57FFE"/>
    <w:rsid w:val="00F60044"/>
    <w:rsid w:val="00F6017A"/>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53A"/>
    <w:rsid w:val="00F619EF"/>
    <w:rsid w:val="00F61B60"/>
    <w:rsid w:val="00F61FDF"/>
    <w:rsid w:val="00F620C1"/>
    <w:rsid w:val="00F621EF"/>
    <w:rsid w:val="00F622FF"/>
    <w:rsid w:val="00F62345"/>
    <w:rsid w:val="00F6248F"/>
    <w:rsid w:val="00F62BDE"/>
    <w:rsid w:val="00F62BF4"/>
    <w:rsid w:val="00F62CA8"/>
    <w:rsid w:val="00F62CCC"/>
    <w:rsid w:val="00F62D50"/>
    <w:rsid w:val="00F62D6A"/>
    <w:rsid w:val="00F62E8F"/>
    <w:rsid w:val="00F63192"/>
    <w:rsid w:val="00F6354A"/>
    <w:rsid w:val="00F636A4"/>
    <w:rsid w:val="00F636D4"/>
    <w:rsid w:val="00F63737"/>
    <w:rsid w:val="00F63B8B"/>
    <w:rsid w:val="00F63FFD"/>
    <w:rsid w:val="00F641E3"/>
    <w:rsid w:val="00F642E0"/>
    <w:rsid w:val="00F64529"/>
    <w:rsid w:val="00F64699"/>
    <w:rsid w:val="00F64714"/>
    <w:rsid w:val="00F647EA"/>
    <w:rsid w:val="00F64B95"/>
    <w:rsid w:val="00F64B9A"/>
    <w:rsid w:val="00F64C82"/>
    <w:rsid w:val="00F64D02"/>
    <w:rsid w:val="00F64D32"/>
    <w:rsid w:val="00F64EAC"/>
    <w:rsid w:val="00F64F4A"/>
    <w:rsid w:val="00F65662"/>
    <w:rsid w:val="00F657F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64E"/>
    <w:rsid w:val="00F677EC"/>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B47"/>
    <w:rsid w:val="00F71BE3"/>
    <w:rsid w:val="00F71FA9"/>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C6C"/>
    <w:rsid w:val="00F750EF"/>
    <w:rsid w:val="00F751CA"/>
    <w:rsid w:val="00F75384"/>
    <w:rsid w:val="00F7546E"/>
    <w:rsid w:val="00F75B0C"/>
    <w:rsid w:val="00F75BA9"/>
    <w:rsid w:val="00F75CB7"/>
    <w:rsid w:val="00F75DB2"/>
    <w:rsid w:val="00F75DCA"/>
    <w:rsid w:val="00F7638F"/>
    <w:rsid w:val="00F766C5"/>
    <w:rsid w:val="00F76C4D"/>
    <w:rsid w:val="00F76E0D"/>
    <w:rsid w:val="00F76EA1"/>
    <w:rsid w:val="00F770A6"/>
    <w:rsid w:val="00F77284"/>
    <w:rsid w:val="00F77292"/>
    <w:rsid w:val="00F77760"/>
    <w:rsid w:val="00F77889"/>
    <w:rsid w:val="00F77967"/>
    <w:rsid w:val="00F77AB5"/>
    <w:rsid w:val="00F77AFD"/>
    <w:rsid w:val="00F77D0B"/>
    <w:rsid w:val="00F77D4C"/>
    <w:rsid w:val="00F80570"/>
    <w:rsid w:val="00F806CD"/>
    <w:rsid w:val="00F80967"/>
    <w:rsid w:val="00F80FC4"/>
    <w:rsid w:val="00F81024"/>
    <w:rsid w:val="00F810F1"/>
    <w:rsid w:val="00F812A5"/>
    <w:rsid w:val="00F813CE"/>
    <w:rsid w:val="00F81462"/>
    <w:rsid w:val="00F814DE"/>
    <w:rsid w:val="00F816E5"/>
    <w:rsid w:val="00F81983"/>
    <w:rsid w:val="00F81994"/>
    <w:rsid w:val="00F819BA"/>
    <w:rsid w:val="00F81AA7"/>
    <w:rsid w:val="00F81BE8"/>
    <w:rsid w:val="00F81CDC"/>
    <w:rsid w:val="00F81D2D"/>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C14"/>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825"/>
    <w:rsid w:val="00F86AF3"/>
    <w:rsid w:val="00F86CF7"/>
    <w:rsid w:val="00F8711C"/>
    <w:rsid w:val="00F871E1"/>
    <w:rsid w:val="00F8727D"/>
    <w:rsid w:val="00F87523"/>
    <w:rsid w:val="00F8758B"/>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E94"/>
    <w:rsid w:val="00F911D7"/>
    <w:rsid w:val="00F9121F"/>
    <w:rsid w:val="00F9122F"/>
    <w:rsid w:val="00F91446"/>
    <w:rsid w:val="00F91482"/>
    <w:rsid w:val="00F9158A"/>
    <w:rsid w:val="00F9170C"/>
    <w:rsid w:val="00F917EB"/>
    <w:rsid w:val="00F91847"/>
    <w:rsid w:val="00F920A6"/>
    <w:rsid w:val="00F9212F"/>
    <w:rsid w:val="00F92246"/>
    <w:rsid w:val="00F92265"/>
    <w:rsid w:val="00F92389"/>
    <w:rsid w:val="00F9293E"/>
    <w:rsid w:val="00F929FA"/>
    <w:rsid w:val="00F92AA4"/>
    <w:rsid w:val="00F92DE6"/>
    <w:rsid w:val="00F93078"/>
    <w:rsid w:val="00F9318A"/>
    <w:rsid w:val="00F93364"/>
    <w:rsid w:val="00F93402"/>
    <w:rsid w:val="00F93440"/>
    <w:rsid w:val="00F93731"/>
    <w:rsid w:val="00F93813"/>
    <w:rsid w:val="00F9397C"/>
    <w:rsid w:val="00F939CD"/>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EE"/>
    <w:rsid w:val="00F95D79"/>
    <w:rsid w:val="00F96129"/>
    <w:rsid w:val="00F961A8"/>
    <w:rsid w:val="00F9649A"/>
    <w:rsid w:val="00F96592"/>
    <w:rsid w:val="00F966B6"/>
    <w:rsid w:val="00F966E3"/>
    <w:rsid w:val="00F966ED"/>
    <w:rsid w:val="00F96902"/>
    <w:rsid w:val="00F96A62"/>
    <w:rsid w:val="00F96B0F"/>
    <w:rsid w:val="00F96BA2"/>
    <w:rsid w:val="00F96BBF"/>
    <w:rsid w:val="00F96CE0"/>
    <w:rsid w:val="00F96D23"/>
    <w:rsid w:val="00F9700B"/>
    <w:rsid w:val="00F97141"/>
    <w:rsid w:val="00F973AB"/>
    <w:rsid w:val="00F9747F"/>
    <w:rsid w:val="00F97815"/>
    <w:rsid w:val="00F978F8"/>
    <w:rsid w:val="00F97914"/>
    <w:rsid w:val="00F97A02"/>
    <w:rsid w:val="00F97B27"/>
    <w:rsid w:val="00F97B78"/>
    <w:rsid w:val="00F97C9B"/>
    <w:rsid w:val="00FA00C7"/>
    <w:rsid w:val="00FA0121"/>
    <w:rsid w:val="00FA015A"/>
    <w:rsid w:val="00FA02AF"/>
    <w:rsid w:val="00FA062D"/>
    <w:rsid w:val="00FA06DF"/>
    <w:rsid w:val="00FA0783"/>
    <w:rsid w:val="00FA0888"/>
    <w:rsid w:val="00FA0926"/>
    <w:rsid w:val="00FA0990"/>
    <w:rsid w:val="00FA0A68"/>
    <w:rsid w:val="00FA0AF5"/>
    <w:rsid w:val="00FA0C10"/>
    <w:rsid w:val="00FA0D86"/>
    <w:rsid w:val="00FA0F09"/>
    <w:rsid w:val="00FA185B"/>
    <w:rsid w:val="00FA1ADF"/>
    <w:rsid w:val="00FA1C08"/>
    <w:rsid w:val="00FA24A6"/>
    <w:rsid w:val="00FA256A"/>
    <w:rsid w:val="00FA260E"/>
    <w:rsid w:val="00FA2932"/>
    <w:rsid w:val="00FA2C1D"/>
    <w:rsid w:val="00FA2D18"/>
    <w:rsid w:val="00FA2D19"/>
    <w:rsid w:val="00FA2DF4"/>
    <w:rsid w:val="00FA2ECF"/>
    <w:rsid w:val="00FA2F18"/>
    <w:rsid w:val="00FA311F"/>
    <w:rsid w:val="00FA3323"/>
    <w:rsid w:val="00FA33E9"/>
    <w:rsid w:val="00FA3424"/>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DF"/>
    <w:rsid w:val="00FA6C46"/>
    <w:rsid w:val="00FA6CA0"/>
    <w:rsid w:val="00FA6F15"/>
    <w:rsid w:val="00FA714C"/>
    <w:rsid w:val="00FA7226"/>
    <w:rsid w:val="00FA7528"/>
    <w:rsid w:val="00FA7845"/>
    <w:rsid w:val="00FA7876"/>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34D"/>
    <w:rsid w:val="00FB13DF"/>
    <w:rsid w:val="00FB15DD"/>
    <w:rsid w:val="00FB15E2"/>
    <w:rsid w:val="00FB1640"/>
    <w:rsid w:val="00FB17AC"/>
    <w:rsid w:val="00FB17E3"/>
    <w:rsid w:val="00FB1AF7"/>
    <w:rsid w:val="00FB1D1E"/>
    <w:rsid w:val="00FB21B8"/>
    <w:rsid w:val="00FB26D8"/>
    <w:rsid w:val="00FB271E"/>
    <w:rsid w:val="00FB2CA9"/>
    <w:rsid w:val="00FB3120"/>
    <w:rsid w:val="00FB31E7"/>
    <w:rsid w:val="00FB320D"/>
    <w:rsid w:val="00FB3262"/>
    <w:rsid w:val="00FB3539"/>
    <w:rsid w:val="00FB3762"/>
    <w:rsid w:val="00FB379F"/>
    <w:rsid w:val="00FB4106"/>
    <w:rsid w:val="00FB41E6"/>
    <w:rsid w:val="00FB4213"/>
    <w:rsid w:val="00FB42B4"/>
    <w:rsid w:val="00FB43DC"/>
    <w:rsid w:val="00FB4673"/>
    <w:rsid w:val="00FB46CB"/>
    <w:rsid w:val="00FB4820"/>
    <w:rsid w:val="00FB4A19"/>
    <w:rsid w:val="00FB4A3B"/>
    <w:rsid w:val="00FB4B1F"/>
    <w:rsid w:val="00FB4C44"/>
    <w:rsid w:val="00FB4D2D"/>
    <w:rsid w:val="00FB4E77"/>
    <w:rsid w:val="00FB4EB1"/>
    <w:rsid w:val="00FB4ECB"/>
    <w:rsid w:val="00FB4F77"/>
    <w:rsid w:val="00FB5274"/>
    <w:rsid w:val="00FB5400"/>
    <w:rsid w:val="00FB5520"/>
    <w:rsid w:val="00FB5921"/>
    <w:rsid w:val="00FB5A07"/>
    <w:rsid w:val="00FB5E8C"/>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7F4"/>
    <w:rsid w:val="00FB78FD"/>
    <w:rsid w:val="00FB79D9"/>
    <w:rsid w:val="00FB7A02"/>
    <w:rsid w:val="00FB7AA0"/>
    <w:rsid w:val="00FB7AFC"/>
    <w:rsid w:val="00FB7BC5"/>
    <w:rsid w:val="00FB7D50"/>
    <w:rsid w:val="00FC008A"/>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EB"/>
    <w:rsid w:val="00FC2DA7"/>
    <w:rsid w:val="00FC3096"/>
    <w:rsid w:val="00FC3155"/>
    <w:rsid w:val="00FC3221"/>
    <w:rsid w:val="00FC324C"/>
    <w:rsid w:val="00FC32B5"/>
    <w:rsid w:val="00FC3332"/>
    <w:rsid w:val="00FC3B68"/>
    <w:rsid w:val="00FC3E45"/>
    <w:rsid w:val="00FC3E9D"/>
    <w:rsid w:val="00FC3F30"/>
    <w:rsid w:val="00FC48D2"/>
    <w:rsid w:val="00FC4A27"/>
    <w:rsid w:val="00FC4BD1"/>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AEB"/>
    <w:rsid w:val="00FC6B38"/>
    <w:rsid w:val="00FC6D52"/>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B3"/>
    <w:rsid w:val="00FD082A"/>
    <w:rsid w:val="00FD09DB"/>
    <w:rsid w:val="00FD0B65"/>
    <w:rsid w:val="00FD0DF9"/>
    <w:rsid w:val="00FD0E47"/>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AF8"/>
    <w:rsid w:val="00FD4D58"/>
    <w:rsid w:val="00FD4DF9"/>
    <w:rsid w:val="00FD4FC4"/>
    <w:rsid w:val="00FD515E"/>
    <w:rsid w:val="00FD52E3"/>
    <w:rsid w:val="00FD58E1"/>
    <w:rsid w:val="00FD5A1A"/>
    <w:rsid w:val="00FD5A43"/>
    <w:rsid w:val="00FD5AA1"/>
    <w:rsid w:val="00FD5AB3"/>
    <w:rsid w:val="00FD5B97"/>
    <w:rsid w:val="00FD5CBF"/>
    <w:rsid w:val="00FD5EB3"/>
    <w:rsid w:val="00FD619F"/>
    <w:rsid w:val="00FD644C"/>
    <w:rsid w:val="00FD66EB"/>
    <w:rsid w:val="00FD69EC"/>
    <w:rsid w:val="00FD6B4D"/>
    <w:rsid w:val="00FD6FD0"/>
    <w:rsid w:val="00FD702C"/>
    <w:rsid w:val="00FD711B"/>
    <w:rsid w:val="00FD7411"/>
    <w:rsid w:val="00FD7492"/>
    <w:rsid w:val="00FD74E9"/>
    <w:rsid w:val="00FD75BC"/>
    <w:rsid w:val="00FD7730"/>
    <w:rsid w:val="00FD77B7"/>
    <w:rsid w:val="00FD77CD"/>
    <w:rsid w:val="00FD7C41"/>
    <w:rsid w:val="00FD7F85"/>
    <w:rsid w:val="00FE0076"/>
    <w:rsid w:val="00FE0240"/>
    <w:rsid w:val="00FE0557"/>
    <w:rsid w:val="00FE06FE"/>
    <w:rsid w:val="00FE0823"/>
    <w:rsid w:val="00FE096B"/>
    <w:rsid w:val="00FE09FD"/>
    <w:rsid w:val="00FE0B75"/>
    <w:rsid w:val="00FE0BBC"/>
    <w:rsid w:val="00FE0C5B"/>
    <w:rsid w:val="00FE0CC5"/>
    <w:rsid w:val="00FE0FDD"/>
    <w:rsid w:val="00FE116D"/>
    <w:rsid w:val="00FE1468"/>
    <w:rsid w:val="00FE150C"/>
    <w:rsid w:val="00FE1543"/>
    <w:rsid w:val="00FE1984"/>
    <w:rsid w:val="00FE1A0B"/>
    <w:rsid w:val="00FE1ABB"/>
    <w:rsid w:val="00FE1ADA"/>
    <w:rsid w:val="00FE1B4B"/>
    <w:rsid w:val="00FE1B97"/>
    <w:rsid w:val="00FE1C3A"/>
    <w:rsid w:val="00FE1DF5"/>
    <w:rsid w:val="00FE1F69"/>
    <w:rsid w:val="00FE20DD"/>
    <w:rsid w:val="00FE23D0"/>
    <w:rsid w:val="00FE255A"/>
    <w:rsid w:val="00FE2581"/>
    <w:rsid w:val="00FE2A70"/>
    <w:rsid w:val="00FE2A8A"/>
    <w:rsid w:val="00FE2C26"/>
    <w:rsid w:val="00FE2E1D"/>
    <w:rsid w:val="00FE2F24"/>
    <w:rsid w:val="00FE3120"/>
    <w:rsid w:val="00FE3146"/>
    <w:rsid w:val="00FE3174"/>
    <w:rsid w:val="00FE336E"/>
    <w:rsid w:val="00FE3C19"/>
    <w:rsid w:val="00FE3FDC"/>
    <w:rsid w:val="00FE407F"/>
    <w:rsid w:val="00FE46E8"/>
    <w:rsid w:val="00FE49C5"/>
    <w:rsid w:val="00FE4A0D"/>
    <w:rsid w:val="00FE4E41"/>
    <w:rsid w:val="00FE4F7E"/>
    <w:rsid w:val="00FE5267"/>
    <w:rsid w:val="00FE53B5"/>
    <w:rsid w:val="00FE5409"/>
    <w:rsid w:val="00FE5446"/>
    <w:rsid w:val="00FE54D9"/>
    <w:rsid w:val="00FE583D"/>
    <w:rsid w:val="00FE5856"/>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382"/>
    <w:rsid w:val="00FE7478"/>
    <w:rsid w:val="00FE751A"/>
    <w:rsid w:val="00FE7EB1"/>
    <w:rsid w:val="00FF018E"/>
    <w:rsid w:val="00FF074F"/>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B53"/>
    <w:rsid w:val="00FF1D89"/>
    <w:rsid w:val="00FF1F09"/>
    <w:rsid w:val="00FF1F16"/>
    <w:rsid w:val="00FF2035"/>
    <w:rsid w:val="00FF232C"/>
    <w:rsid w:val="00FF282D"/>
    <w:rsid w:val="00FF2B3B"/>
    <w:rsid w:val="00FF2C97"/>
    <w:rsid w:val="00FF2D02"/>
    <w:rsid w:val="00FF2EEC"/>
    <w:rsid w:val="00FF300D"/>
    <w:rsid w:val="00FF3063"/>
    <w:rsid w:val="00FF3138"/>
    <w:rsid w:val="00FF3363"/>
    <w:rsid w:val="00FF351C"/>
    <w:rsid w:val="00FF36CB"/>
    <w:rsid w:val="00FF39EE"/>
    <w:rsid w:val="00FF3ED1"/>
    <w:rsid w:val="00FF40E6"/>
    <w:rsid w:val="00FF487B"/>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9E4"/>
    <w:rsid w:val="00FF6A41"/>
    <w:rsid w:val="00FF6A4D"/>
    <w:rsid w:val="00FF71FC"/>
    <w:rsid w:val="00FF72DC"/>
    <w:rsid w:val="00FF73BC"/>
    <w:rsid w:val="00FF751C"/>
    <w:rsid w:val="00FF757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2"/>
    </o:shapelayout>
  </w:shapeDefaults>
  <w:decimalSymbol w:val="."/>
  <w:listSeparator w:val=","/>
  <w14:docId w14:val="4573083E"/>
  <w15:docId w15:val="{01E7EA3C-1D27-4113-8EC0-DC1CBBAB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895D84"/>
    <w:pPr>
      <w:ind w:left="-142"/>
      <w:outlineLvl w:val="1"/>
    </w:pPr>
    <w:rPr>
      <w:rFonts w:ascii="Verdana" w:hAnsi="Verdana" w:cs="Arial"/>
      <w:b/>
      <w:bCs/>
      <w:spacing w:val="-4"/>
      <w:kern w:val="28"/>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895D84"/>
    <w:rPr>
      <w:rFonts w:ascii="Verdana" w:hAnsi="Verdana" w:cs="Arial"/>
      <w:b/>
      <w:bCs/>
      <w:spacing w:val="-4"/>
      <w:kern w:val="28"/>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19021626">
      <w:bodyDiv w:val="1"/>
      <w:marLeft w:val="0"/>
      <w:marRight w:val="0"/>
      <w:marTop w:val="0"/>
      <w:marBottom w:val="0"/>
      <w:divBdr>
        <w:top w:val="none" w:sz="0" w:space="0" w:color="auto"/>
        <w:left w:val="none" w:sz="0" w:space="0" w:color="auto"/>
        <w:bottom w:val="none" w:sz="0" w:space="0" w:color="auto"/>
        <w:right w:val="none" w:sz="0" w:space="0" w:color="auto"/>
      </w:divBdr>
    </w:div>
    <w:div w:id="224604243">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1421701">
      <w:bodyDiv w:val="1"/>
      <w:marLeft w:val="0"/>
      <w:marRight w:val="0"/>
      <w:marTop w:val="0"/>
      <w:marBottom w:val="0"/>
      <w:divBdr>
        <w:top w:val="none" w:sz="0" w:space="0" w:color="auto"/>
        <w:left w:val="none" w:sz="0" w:space="0" w:color="auto"/>
        <w:bottom w:val="none" w:sz="0" w:space="0" w:color="auto"/>
        <w:right w:val="none" w:sz="0" w:space="0" w:color="auto"/>
      </w:divBdr>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68921104">
      <w:bodyDiv w:val="1"/>
      <w:marLeft w:val="0"/>
      <w:marRight w:val="0"/>
      <w:marTop w:val="0"/>
      <w:marBottom w:val="0"/>
      <w:divBdr>
        <w:top w:val="none" w:sz="0" w:space="0" w:color="auto"/>
        <w:left w:val="none" w:sz="0" w:space="0" w:color="auto"/>
        <w:bottom w:val="none" w:sz="0" w:space="0" w:color="auto"/>
        <w:right w:val="none" w:sz="0" w:space="0" w:color="auto"/>
      </w:divBdr>
    </w:div>
    <w:div w:id="397826873">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07780996">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01388097">
      <w:bodyDiv w:val="1"/>
      <w:marLeft w:val="0"/>
      <w:marRight w:val="0"/>
      <w:marTop w:val="0"/>
      <w:marBottom w:val="0"/>
      <w:divBdr>
        <w:top w:val="none" w:sz="0" w:space="0" w:color="auto"/>
        <w:left w:val="none" w:sz="0" w:space="0" w:color="auto"/>
        <w:bottom w:val="none" w:sz="0" w:space="0" w:color="auto"/>
        <w:right w:val="none" w:sz="0" w:space="0" w:color="auto"/>
      </w:divBdr>
    </w:div>
    <w:div w:id="809634776">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378390">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27911879">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57075001">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14467936">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0033039">
      <w:bodyDiv w:val="1"/>
      <w:marLeft w:val="0"/>
      <w:marRight w:val="0"/>
      <w:marTop w:val="0"/>
      <w:marBottom w:val="0"/>
      <w:divBdr>
        <w:top w:val="none" w:sz="0" w:space="0" w:color="auto"/>
        <w:left w:val="none" w:sz="0" w:space="0" w:color="auto"/>
        <w:bottom w:val="none" w:sz="0" w:space="0" w:color="auto"/>
        <w:right w:val="none" w:sz="0" w:space="0" w:color="auto"/>
      </w:divBdr>
    </w:div>
    <w:div w:id="1466385473">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6970626">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1186298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47398776">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4304202">
      <w:bodyDiv w:val="1"/>
      <w:marLeft w:val="0"/>
      <w:marRight w:val="0"/>
      <w:marTop w:val="0"/>
      <w:marBottom w:val="0"/>
      <w:divBdr>
        <w:top w:val="none" w:sz="0" w:space="0" w:color="auto"/>
        <w:left w:val="none" w:sz="0" w:space="0" w:color="auto"/>
        <w:bottom w:val="none" w:sz="0" w:space="0" w:color="auto"/>
        <w:right w:val="none" w:sz="0" w:space="0" w:color="auto"/>
      </w:divBdr>
    </w:div>
    <w:div w:id="1716657869">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39292999">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40466295">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64063209">
      <w:bodyDiv w:val="1"/>
      <w:marLeft w:val="0"/>
      <w:marRight w:val="0"/>
      <w:marTop w:val="0"/>
      <w:marBottom w:val="0"/>
      <w:divBdr>
        <w:top w:val="none" w:sz="0" w:space="0" w:color="auto"/>
        <w:left w:val="none" w:sz="0" w:space="0" w:color="auto"/>
        <w:bottom w:val="none" w:sz="0" w:space="0" w:color="auto"/>
        <w:right w:val="none" w:sz="0" w:space="0" w:color="auto"/>
      </w:divBdr>
    </w:div>
    <w:div w:id="2077629966">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095122553">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81</TotalTime>
  <Pages>27</Pages>
  <Words>10438</Words>
  <Characters>55524</Characters>
  <Application>Microsoft Office Word</Application>
  <DocSecurity>0</DocSecurity>
  <Lines>462</Lines>
  <Paragraphs>131</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65831</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msynott</dc:creator>
  <cp:keywords/>
  <dc:description/>
  <cp:lastModifiedBy>Michelle Synott</cp:lastModifiedBy>
  <cp:revision>24</cp:revision>
  <cp:lastPrinted>2022-10-31T04:16:00Z</cp:lastPrinted>
  <dcterms:created xsi:type="dcterms:W3CDTF">2022-10-31T01:00:00Z</dcterms:created>
  <dcterms:modified xsi:type="dcterms:W3CDTF">2022-10-31T06:26:00Z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ies>
</file>