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7FCA5353"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384772">
        <w:rPr>
          <w:caps w:val="0"/>
        </w:rPr>
        <w:t>5</w:t>
      </w:r>
    </w:p>
    <w:p w14:paraId="0C6B487A" w14:textId="77777777" w:rsidR="00900037" w:rsidRPr="00013220" w:rsidRDefault="00900037" w:rsidP="002B6652">
      <w:pPr>
        <w:pStyle w:val="Subtitle"/>
        <w:ind w:left="-426" w:right="-623"/>
        <w:jc w:val="center"/>
        <w:rPr>
          <w:b/>
          <w:i w:val="0"/>
          <w:sz w:val="36"/>
          <w:szCs w:val="36"/>
        </w:rPr>
      </w:pPr>
    </w:p>
    <w:p w14:paraId="0AC82FDD" w14:textId="572A981F" w:rsidR="00900037" w:rsidRPr="006F7EC0" w:rsidRDefault="00384772" w:rsidP="006F7EC0">
      <w:pPr>
        <w:pStyle w:val="Title"/>
        <w:spacing w:before="200"/>
        <w:ind w:left="-426" w:right="-623"/>
        <w:jc w:val="center"/>
        <w:rPr>
          <w:caps w:val="0"/>
          <w:sz w:val="28"/>
          <w:szCs w:val="28"/>
        </w:rPr>
      </w:pPr>
      <w:r>
        <w:rPr>
          <w:caps w:val="0"/>
          <w:sz w:val="28"/>
          <w:szCs w:val="28"/>
        </w:rPr>
        <w:t xml:space="preserve">January </w:t>
      </w:r>
      <w:r w:rsidR="00960C5D">
        <w:rPr>
          <w:caps w:val="0"/>
          <w:sz w:val="28"/>
          <w:szCs w:val="28"/>
        </w:rPr>
        <w:t>202</w:t>
      </w:r>
      <w:r>
        <w:rPr>
          <w:caps w:val="0"/>
          <w:sz w:val="28"/>
          <w:szCs w:val="28"/>
        </w:rPr>
        <w:t>2</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March </w:t>
      </w:r>
      <w:r w:rsidR="00960C5D">
        <w:rPr>
          <w:caps w:val="0"/>
          <w:sz w:val="28"/>
          <w:szCs w:val="28"/>
        </w:rPr>
        <w:t>202</w:t>
      </w:r>
      <w:r>
        <w:rPr>
          <w:caps w:val="0"/>
          <w:sz w:val="28"/>
          <w:szCs w:val="28"/>
        </w:rPr>
        <w:t>2</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2129C6E8"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B1647F">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123CC445"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3D3453">
        <w:rPr>
          <w:rFonts w:cs="Arial"/>
        </w:rPr>
        <w:t>January</w:t>
      </w:r>
      <w:r w:rsidR="003D3453" w:rsidRPr="00ED55CD">
        <w:rPr>
          <w:rFonts w:cs="Arial"/>
        </w:rPr>
        <w:t xml:space="preserve"> </w:t>
      </w:r>
      <w:r w:rsidR="003467B2" w:rsidRPr="00ED55CD">
        <w:rPr>
          <w:rFonts w:cs="Arial"/>
        </w:rPr>
        <w:t xml:space="preserve">to </w:t>
      </w:r>
      <w:r w:rsidR="003D3453">
        <w:rPr>
          <w:rFonts w:cs="Arial"/>
        </w:rPr>
        <w:t>March</w:t>
      </w:r>
      <w:r w:rsidR="003D3453" w:rsidRPr="00ED55CD">
        <w:rPr>
          <w:rFonts w:cs="Arial"/>
        </w:rPr>
        <w:t xml:space="preserve"> </w:t>
      </w:r>
      <w:r w:rsidR="003467B2" w:rsidRPr="00ED55CD">
        <w:rPr>
          <w:rFonts w:cs="Arial"/>
        </w:rPr>
        <w:t>202</w:t>
      </w:r>
      <w:r w:rsidR="003D3453">
        <w:rPr>
          <w:rFonts w:cs="Arial"/>
        </w:rPr>
        <w:t>2</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46D97E04"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F83C14" w:rsidRPr="00ED55CD">
        <w:rPr>
          <w:rFonts w:cs="Arial"/>
        </w:rPr>
        <w:t>5</w:t>
      </w:r>
      <w:r w:rsidR="003D3453">
        <w:rPr>
          <w:rFonts w:cs="Arial"/>
        </w:rPr>
        <w:t>5</w:t>
      </w:r>
      <w:r w:rsidR="00281E08" w:rsidRPr="00ED55CD">
        <w:rPr>
          <w:rFonts w:cs="Arial"/>
        </w:rPr>
        <w:t xml:space="preserve"> </w:t>
      </w:r>
      <w:r w:rsidRPr="00ED55CD">
        <w:rPr>
          <w:rFonts w:cs="Arial"/>
        </w:rP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3EE5C4CC"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3D3453">
        <w:rPr>
          <w:sz w:val="16"/>
          <w:szCs w:val="16"/>
        </w:rPr>
        <w:t xml:space="preserve">October </w:t>
      </w:r>
      <w:r w:rsidR="009A7C28">
        <w:rPr>
          <w:sz w:val="16"/>
          <w:szCs w:val="16"/>
        </w:rPr>
        <w:t>2021</w:t>
      </w:r>
      <w:r>
        <w:rPr>
          <w:sz w:val="16"/>
          <w:szCs w:val="16"/>
        </w:rPr>
        <w:t xml:space="preserve"> to </w:t>
      </w:r>
      <w:r w:rsidR="004F7197">
        <w:rPr>
          <w:sz w:val="16"/>
          <w:szCs w:val="16"/>
        </w:rPr>
        <w:t>3</w:t>
      </w:r>
      <w:r w:rsidR="004F2F07">
        <w:rPr>
          <w:sz w:val="16"/>
          <w:szCs w:val="16"/>
        </w:rPr>
        <w:t xml:space="preserve">1 </w:t>
      </w:r>
      <w:r w:rsidR="003D3453">
        <w:rPr>
          <w:sz w:val="16"/>
          <w:szCs w:val="16"/>
        </w:rPr>
        <w:t>March 2022</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15EB2A14"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w:t>
            </w:r>
            <w:r w:rsidR="003D3453">
              <w:rPr>
                <w:rFonts w:cs="Arial"/>
                <w:b/>
                <w:bCs/>
                <w:sz w:val="18"/>
                <w:szCs w:val="18"/>
                <w:lang w:eastAsia="en-AU"/>
              </w:rPr>
              <w:t>4</w:t>
            </w:r>
          </w:p>
        </w:tc>
        <w:tc>
          <w:tcPr>
            <w:tcW w:w="992" w:type="dxa"/>
            <w:tcBorders>
              <w:top w:val="single" w:sz="4" w:space="0" w:color="auto"/>
              <w:left w:val="single" w:sz="4" w:space="0" w:color="auto"/>
              <w:bottom w:val="single" w:sz="4" w:space="0" w:color="auto"/>
              <w:right w:val="single" w:sz="4" w:space="0" w:color="auto"/>
            </w:tcBorders>
          </w:tcPr>
          <w:p w14:paraId="26E501C0" w14:textId="6EE6C60B"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w:t>
            </w:r>
            <w:r w:rsidR="003D3453">
              <w:rPr>
                <w:rFonts w:cs="Arial"/>
                <w:b/>
                <w:bCs/>
                <w:sz w:val="18"/>
                <w:szCs w:val="18"/>
                <w:lang w:eastAsia="en-AU"/>
              </w:rPr>
              <w:t>5</w:t>
            </w:r>
          </w:p>
        </w:tc>
      </w:tr>
      <w:tr w:rsidR="003D3453"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3D3453" w:rsidRPr="00504360" w:rsidRDefault="003D3453" w:rsidP="003D3453">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78492174" w:rsidR="003D3453" w:rsidRPr="00733DE0" w:rsidRDefault="003D3453" w:rsidP="003D3453">
            <w:pPr>
              <w:spacing w:line="240" w:lineRule="auto"/>
              <w:jc w:val="right"/>
              <w:rPr>
                <w:rFonts w:cs="Arial"/>
                <w:sz w:val="18"/>
                <w:szCs w:val="18"/>
              </w:rPr>
            </w:pPr>
            <w:r>
              <w:rPr>
                <w:rFonts w:cs="Arial"/>
                <w:sz w:val="18"/>
                <w:szCs w:val="18"/>
              </w:rPr>
              <w:t>2,051</w:t>
            </w:r>
          </w:p>
        </w:tc>
        <w:tc>
          <w:tcPr>
            <w:tcW w:w="992" w:type="dxa"/>
            <w:tcBorders>
              <w:top w:val="single" w:sz="4" w:space="0" w:color="auto"/>
              <w:left w:val="single" w:sz="4" w:space="0" w:color="auto"/>
              <w:bottom w:val="single" w:sz="4" w:space="0" w:color="auto"/>
              <w:right w:val="single" w:sz="4" w:space="0" w:color="auto"/>
            </w:tcBorders>
          </w:tcPr>
          <w:p w14:paraId="7FA692B3" w14:textId="66911E58" w:rsidR="003D3453" w:rsidRPr="00733DE0" w:rsidRDefault="00B7355F" w:rsidP="003D3453">
            <w:pPr>
              <w:spacing w:line="240" w:lineRule="auto"/>
              <w:jc w:val="right"/>
              <w:rPr>
                <w:rFonts w:cs="Arial"/>
                <w:sz w:val="18"/>
                <w:szCs w:val="18"/>
              </w:rPr>
            </w:pPr>
            <w:r>
              <w:rPr>
                <w:rFonts w:cs="Arial"/>
                <w:sz w:val="18"/>
                <w:szCs w:val="18"/>
              </w:rPr>
              <w:t>2,030</w:t>
            </w:r>
          </w:p>
        </w:tc>
      </w:tr>
      <w:tr w:rsidR="003D3453"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3D3453" w:rsidRPr="00504360" w:rsidRDefault="003D3453" w:rsidP="003D345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01E28DE6" w:rsidR="003D3453" w:rsidRPr="00733DE0" w:rsidRDefault="003D3453" w:rsidP="003D3453">
            <w:pPr>
              <w:spacing w:line="240" w:lineRule="auto"/>
              <w:jc w:val="right"/>
              <w:rPr>
                <w:rFonts w:cs="Arial"/>
                <w:sz w:val="18"/>
                <w:szCs w:val="18"/>
              </w:rPr>
            </w:pPr>
            <w:r>
              <w:rPr>
                <w:rFonts w:cs="Arial"/>
                <w:sz w:val="18"/>
                <w:szCs w:val="18"/>
              </w:rPr>
              <w:t>1,110</w:t>
            </w:r>
          </w:p>
        </w:tc>
        <w:tc>
          <w:tcPr>
            <w:tcW w:w="992" w:type="dxa"/>
            <w:tcBorders>
              <w:top w:val="single" w:sz="4" w:space="0" w:color="auto"/>
              <w:left w:val="single" w:sz="4" w:space="0" w:color="auto"/>
              <w:bottom w:val="single" w:sz="4" w:space="0" w:color="auto"/>
              <w:right w:val="single" w:sz="4" w:space="0" w:color="auto"/>
            </w:tcBorders>
          </w:tcPr>
          <w:p w14:paraId="01FC42FF" w14:textId="6B10D293" w:rsidR="003D3453" w:rsidRPr="00733DE0" w:rsidRDefault="00B7355F" w:rsidP="003D3453">
            <w:pPr>
              <w:spacing w:line="240" w:lineRule="auto"/>
              <w:jc w:val="right"/>
              <w:rPr>
                <w:rFonts w:cs="Arial"/>
                <w:sz w:val="18"/>
                <w:szCs w:val="18"/>
              </w:rPr>
            </w:pPr>
            <w:r>
              <w:rPr>
                <w:rFonts w:cs="Arial"/>
                <w:sz w:val="18"/>
                <w:szCs w:val="18"/>
              </w:rPr>
              <w:t>1,185</w:t>
            </w:r>
          </w:p>
        </w:tc>
      </w:tr>
      <w:tr w:rsidR="003D3453"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3D3453" w:rsidRPr="00504360" w:rsidRDefault="003D3453" w:rsidP="003D345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6D04E7A3" w:rsidR="003D3453" w:rsidRPr="00733DE0" w:rsidRDefault="003D3453" w:rsidP="003D3453">
            <w:pPr>
              <w:spacing w:line="240" w:lineRule="auto"/>
              <w:jc w:val="right"/>
              <w:rPr>
                <w:rFonts w:cs="Arial"/>
                <w:sz w:val="18"/>
                <w:szCs w:val="18"/>
              </w:rPr>
            </w:pPr>
            <w:r>
              <w:rPr>
                <w:rFonts w:cs="Arial"/>
                <w:sz w:val="18"/>
                <w:szCs w:val="18"/>
              </w:rPr>
              <w:t>941</w:t>
            </w:r>
          </w:p>
        </w:tc>
        <w:tc>
          <w:tcPr>
            <w:tcW w:w="992" w:type="dxa"/>
            <w:tcBorders>
              <w:top w:val="single" w:sz="4" w:space="0" w:color="auto"/>
              <w:left w:val="single" w:sz="4" w:space="0" w:color="auto"/>
              <w:bottom w:val="single" w:sz="4" w:space="0" w:color="auto"/>
              <w:right w:val="single" w:sz="4" w:space="0" w:color="auto"/>
            </w:tcBorders>
          </w:tcPr>
          <w:p w14:paraId="15DC554A" w14:textId="4D9FF599" w:rsidR="003D3453" w:rsidRPr="00733DE0" w:rsidRDefault="00B7355F" w:rsidP="003D3453">
            <w:pPr>
              <w:spacing w:line="240" w:lineRule="auto"/>
              <w:jc w:val="right"/>
              <w:rPr>
                <w:rFonts w:cs="Arial"/>
                <w:sz w:val="18"/>
                <w:szCs w:val="18"/>
              </w:rPr>
            </w:pPr>
            <w:r>
              <w:rPr>
                <w:rFonts w:cs="Arial"/>
                <w:sz w:val="18"/>
                <w:szCs w:val="18"/>
              </w:rPr>
              <w:t>845</w:t>
            </w:r>
          </w:p>
        </w:tc>
      </w:tr>
      <w:tr w:rsidR="003D3453"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3D3453" w:rsidRPr="00504360" w:rsidRDefault="003D3453" w:rsidP="003D3453">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137EF2B2" w:rsidR="003D3453" w:rsidRPr="00733DE0" w:rsidRDefault="003D3453" w:rsidP="003D3453">
            <w:pPr>
              <w:spacing w:line="240" w:lineRule="auto"/>
              <w:jc w:val="right"/>
              <w:rPr>
                <w:rFonts w:cs="Arial"/>
                <w:sz w:val="18"/>
                <w:szCs w:val="18"/>
                <w:lang w:eastAsia="en-AU"/>
              </w:rPr>
            </w:pPr>
            <w:r>
              <w:rPr>
                <w:rFonts w:cs="Arial"/>
                <w:sz w:val="18"/>
                <w:szCs w:val="18"/>
              </w:rPr>
              <w:t>579</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128883F0" w:rsidR="003D3453" w:rsidRPr="00733DE0" w:rsidRDefault="00B7355F" w:rsidP="003D3453">
            <w:pPr>
              <w:spacing w:line="240" w:lineRule="auto"/>
              <w:jc w:val="right"/>
              <w:rPr>
                <w:rFonts w:cs="Arial"/>
                <w:sz w:val="18"/>
                <w:szCs w:val="18"/>
              </w:rPr>
            </w:pPr>
            <w:r>
              <w:rPr>
                <w:rFonts w:cs="Arial"/>
                <w:sz w:val="18"/>
                <w:szCs w:val="18"/>
              </w:rPr>
              <w:t>588</w:t>
            </w:r>
          </w:p>
        </w:tc>
      </w:tr>
      <w:tr w:rsidR="003D3453"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3D3453" w:rsidRPr="00504360"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3D3453" w:rsidRPr="00733DE0" w:rsidRDefault="003D3453" w:rsidP="003D3453">
            <w:pPr>
              <w:spacing w:line="240" w:lineRule="auto"/>
              <w:jc w:val="right"/>
              <w:rPr>
                <w:rFonts w:cs="Arial"/>
                <w:sz w:val="18"/>
                <w:szCs w:val="18"/>
              </w:rPr>
            </w:pPr>
          </w:p>
        </w:tc>
      </w:tr>
      <w:tr w:rsidR="003D3453"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3D3453" w:rsidRPr="001E2C9A" w:rsidRDefault="003D3453" w:rsidP="003D3453">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3D3453" w:rsidRPr="00733DE0" w:rsidRDefault="003D3453" w:rsidP="003D34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3D3453" w:rsidRPr="00733DE0" w:rsidRDefault="003D3453" w:rsidP="003D3453">
            <w:pPr>
              <w:spacing w:line="240" w:lineRule="auto"/>
              <w:jc w:val="right"/>
              <w:rPr>
                <w:rFonts w:cs="Arial"/>
                <w:sz w:val="18"/>
                <w:szCs w:val="18"/>
              </w:rPr>
            </w:pPr>
          </w:p>
        </w:tc>
      </w:tr>
      <w:tr w:rsidR="003D3453"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3D3453" w:rsidRPr="0041058E" w:rsidRDefault="003D3453" w:rsidP="003D3453">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64E2252A" w:rsidR="003D3453" w:rsidRPr="00733DE0" w:rsidRDefault="003D3453" w:rsidP="003D3453">
            <w:pPr>
              <w:spacing w:line="240" w:lineRule="auto"/>
              <w:jc w:val="right"/>
              <w:rPr>
                <w:rFonts w:cs="Arial"/>
                <w:sz w:val="18"/>
                <w:szCs w:val="18"/>
              </w:rPr>
            </w:pPr>
            <w:r w:rsidRPr="002D2253">
              <w:rPr>
                <w:rFonts w:cs="Arial"/>
                <w:sz w:val="18"/>
                <w:szCs w:val="18"/>
              </w:rPr>
              <w:t>335</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08719FA4" w:rsidR="003D3453" w:rsidRPr="002D2253" w:rsidRDefault="00B7355F" w:rsidP="003D3453">
            <w:pPr>
              <w:spacing w:line="240" w:lineRule="auto"/>
              <w:jc w:val="right"/>
              <w:rPr>
                <w:rFonts w:cs="Arial"/>
                <w:sz w:val="18"/>
                <w:szCs w:val="18"/>
              </w:rPr>
            </w:pPr>
            <w:r>
              <w:rPr>
                <w:rFonts w:cs="Arial"/>
                <w:sz w:val="18"/>
                <w:szCs w:val="18"/>
              </w:rPr>
              <w:t>118</w:t>
            </w:r>
          </w:p>
        </w:tc>
      </w:tr>
      <w:tr w:rsidR="003D3453"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3D3453" w:rsidRPr="00504360" w:rsidRDefault="003D3453" w:rsidP="003D3453">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101DBAD7" w:rsidR="003D3453" w:rsidRPr="00733DE0" w:rsidRDefault="003D3453" w:rsidP="003D3453">
            <w:pPr>
              <w:spacing w:line="240" w:lineRule="auto"/>
              <w:jc w:val="right"/>
              <w:rPr>
                <w:rFonts w:cs="Arial"/>
                <w:sz w:val="18"/>
                <w:szCs w:val="18"/>
              </w:rPr>
            </w:pPr>
            <w:r w:rsidRPr="002D2253">
              <w:rPr>
                <w:rFonts w:cs="Arial"/>
                <w:sz w:val="18"/>
                <w:szCs w:val="18"/>
              </w:rPr>
              <w:t>272</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09C5EE3C" w:rsidR="003D3453" w:rsidRPr="002D2253" w:rsidRDefault="00B7355F" w:rsidP="003D3453">
            <w:pPr>
              <w:spacing w:line="240" w:lineRule="auto"/>
              <w:jc w:val="right"/>
              <w:rPr>
                <w:rFonts w:cs="Arial"/>
                <w:sz w:val="18"/>
                <w:szCs w:val="18"/>
              </w:rPr>
            </w:pPr>
            <w:r>
              <w:rPr>
                <w:rFonts w:cs="Arial"/>
                <w:sz w:val="18"/>
                <w:szCs w:val="18"/>
              </w:rPr>
              <w:t>115</w:t>
            </w:r>
          </w:p>
        </w:tc>
      </w:tr>
      <w:tr w:rsidR="003D3453"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3D3453" w:rsidRPr="00504360" w:rsidRDefault="003D3453" w:rsidP="003D3453">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078EF151" w:rsidR="003D3453" w:rsidRPr="00733DE0" w:rsidRDefault="003D3453" w:rsidP="003D3453">
            <w:pPr>
              <w:spacing w:line="240" w:lineRule="auto"/>
              <w:jc w:val="right"/>
              <w:rPr>
                <w:rFonts w:cs="Arial"/>
                <w:sz w:val="18"/>
                <w:szCs w:val="18"/>
                <w:lang w:eastAsia="en-AU"/>
              </w:rPr>
            </w:pPr>
            <w:r w:rsidRPr="002D2253">
              <w:rPr>
                <w:rFonts w:cs="Arial"/>
                <w:sz w:val="18"/>
                <w:szCs w:val="18"/>
              </w:rPr>
              <w:t>61%</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68F8EB96" w:rsidR="003D3453" w:rsidRPr="002D2253" w:rsidRDefault="00B7355F" w:rsidP="003D3453">
            <w:pPr>
              <w:spacing w:line="240" w:lineRule="auto"/>
              <w:jc w:val="right"/>
              <w:rPr>
                <w:rFonts w:cs="Arial"/>
                <w:sz w:val="18"/>
                <w:szCs w:val="18"/>
              </w:rPr>
            </w:pPr>
            <w:r>
              <w:rPr>
                <w:rFonts w:cs="Arial"/>
                <w:sz w:val="18"/>
                <w:szCs w:val="18"/>
              </w:rPr>
              <w:t>71%</w:t>
            </w:r>
          </w:p>
        </w:tc>
      </w:tr>
      <w:tr w:rsidR="003D3453"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3D3453" w:rsidRPr="00504360" w:rsidRDefault="003D3453" w:rsidP="003D3453">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6BFB85BD" w:rsidR="003D3453" w:rsidRPr="00733DE0" w:rsidRDefault="003D3453" w:rsidP="003D3453">
            <w:pPr>
              <w:spacing w:line="240" w:lineRule="auto"/>
              <w:jc w:val="right"/>
              <w:rPr>
                <w:rFonts w:cs="Arial"/>
                <w:sz w:val="18"/>
                <w:szCs w:val="18"/>
                <w:lang w:eastAsia="en-AU"/>
              </w:rPr>
            </w:pPr>
            <w:r w:rsidRPr="002D2253">
              <w:rPr>
                <w:rFonts w:cs="Arial"/>
                <w:sz w:val="18"/>
                <w:szCs w:val="18"/>
              </w:rPr>
              <w:t>23%</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21154452" w:rsidR="003D3453" w:rsidRPr="002D2253" w:rsidRDefault="00B7355F" w:rsidP="003D3453">
            <w:pPr>
              <w:spacing w:line="240" w:lineRule="auto"/>
              <w:jc w:val="right"/>
              <w:rPr>
                <w:rFonts w:cs="Arial"/>
                <w:sz w:val="18"/>
                <w:szCs w:val="18"/>
                <w:lang w:eastAsia="en-AU"/>
              </w:rPr>
            </w:pPr>
            <w:r>
              <w:rPr>
                <w:rFonts w:cs="Arial"/>
                <w:sz w:val="18"/>
                <w:szCs w:val="18"/>
                <w:lang w:eastAsia="en-AU"/>
              </w:rPr>
              <w:t>40%</w:t>
            </w:r>
          </w:p>
        </w:tc>
      </w:tr>
      <w:tr w:rsidR="003D3453"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3D3453" w:rsidRPr="00504360"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3D3453" w:rsidRPr="00733DE0" w:rsidRDefault="003D3453" w:rsidP="003D3453">
            <w:pPr>
              <w:spacing w:line="240" w:lineRule="auto"/>
              <w:jc w:val="right"/>
              <w:rPr>
                <w:rFonts w:cs="Arial"/>
                <w:sz w:val="18"/>
                <w:szCs w:val="18"/>
                <w:lang w:eastAsia="en-AU"/>
              </w:rPr>
            </w:pPr>
          </w:p>
        </w:tc>
      </w:tr>
      <w:tr w:rsidR="003D3453"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3D3453" w:rsidRPr="00504360" w:rsidRDefault="003D3453" w:rsidP="003D3453">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3D3453" w:rsidRPr="00733DE0" w:rsidRDefault="003D3453" w:rsidP="003D3453">
            <w:pPr>
              <w:spacing w:line="240" w:lineRule="auto"/>
              <w:jc w:val="right"/>
              <w:rPr>
                <w:rFonts w:cs="Arial"/>
                <w:sz w:val="18"/>
                <w:szCs w:val="18"/>
                <w:lang w:eastAsia="en-AU"/>
              </w:rPr>
            </w:pPr>
          </w:p>
        </w:tc>
      </w:tr>
      <w:tr w:rsidR="003D3453"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3D3453" w:rsidRPr="00504360" w:rsidRDefault="003D3453" w:rsidP="003D3453">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4E543AB0" w:rsidR="003D3453" w:rsidRPr="00733DE0" w:rsidRDefault="003D3453" w:rsidP="003D3453">
            <w:pPr>
              <w:spacing w:line="240" w:lineRule="auto"/>
              <w:jc w:val="right"/>
              <w:rPr>
                <w:rFonts w:cs="Arial"/>
                <w:sz w:val="18"/>
                <w:szCs w:val="18"/>
                <w:lang w:eastAsia="en-AU"/>
              </w:rPr>
            </w:pPr>
            <w:r w:rsidRPr="002D2253">
              <w:rPr>
                <w:rFonts w:cs="Arial"/>
                <w:sz w:val="18"/>
                <w:szCs w:val="18"/>
              </w:rPr>
              <w:t>73</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726AB564" w:rsidR="003D3453" w:rsidRPr="002D2253" w:rsidRDefault="00B7355F" w:rsidP="003D3453">
            <w:pPr>
              <w:spacing w:line="240" w:lineRule="auto"/>
              <w:jc w:val="right"/>
              <w:rPr>
                <w:rFonts w:cs="Arial"/>
                <w:sz w:val="18"/>
                <w:szCs w:val="18"/>
              </w:rPr>
            </w:pPr>
            <w:r>
              <w:rPr>
                <w:rFonts w:cs="Arial"/>
                <w:sz w:val="18"/>
                <w:szCs w:val="18"/>
              </w:rPr>
              <w:t>3</w:t>
            </w:r>
            <w:r w:rsidR="006F2F5A">
              <w:rPr>
                <w:rFonts w:cs="Arial"/>
                <w:sz w:val="18"/>
                <w:szCs w:val="18"/>
              </w:rPr>
              <w:t>7</w:t>
            </w:r>
          </w:p>
        </w:tc>
      </w:tr>
      <w:tr w:rsidR="003D3453"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3D3453" w:rsidRPr="00504360" w:rsidRDefault="003D3453" w:rsidP="003D3453">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42B0E1FD" w:rsidR="003D3453" w:rsidRPr="00733DE0" w:rsidRDefault="003D3453" w:rsidP="003D3453">
            <w:pPr>
              <w:spacing w:line="240" w:lineRule="auto"/>
              <w:jc w:val="right"/>
              <w:rPr>
                <w:rFonts w:cs="Arial"/>
                <w:sz w:val="18"/>
                <w:szCs w:val="18"/>
                <w:lang w:eastAsia="en-AU"/>
              </w:rPr>
            </w:pPr>
            <w:r w:rsidRPr="002D2253">
              <w:rPr>
                <w:rFonts w:cs="Arial"/>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5DC868AC" w:rsidR="003D3453" w:rsidRPr="002D2253" w:rsidRDefault="00B7355F" w:rsidP="003D3453">
            <w:pPr>
              <w:spacing w:line="240" w:lineRule="auto"/>
              <w:jc w:val="right"/>
              <w:rPr>
                <w:rFonts w:cs="Arial"/>
                <w:sz w:val="18"/>
                <w:szCs w:val="18"/>
              </w:rPr>
            </w:pPr>
            <w:r>
              <w:rPr>
                <w:rFonts w:cs="Arial"/>
                <w:sz w:val="18"/>
                <w:szCs w:val="18"/>
              </w:rPr>
              <w:t>28</w:t>
            </w:r>
          </w:p>
        </w:tc>
      </w:tr>
      <w:tr w:rsidR="003D3453"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3D3453" w:rsidRPr="00504360" w:rsidRDefault="003D3453" w:rsidP="003D3453">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55371231" w:rsidR="003D3453" w:rsidRPr="00733DE0" w:rsidRDefault="003D3453" w:rsidP="003D3453">
            <w:pPr>
              <w:spacing w:line="240" w:lineRule="auto"/>
              <w:jc w:val="right"/>
              <w:rPr>
                <w:rFonts w:cs="Arial"/>
                <w:sz w:val="18"/>
                <w:szCs w:val="18"/>
              </w:rPr>
            </w:pPr>
            <w:r w:rsidRPr="002D2253">
              <w:rPr>
                <w:rFonts w:cs="Arial"/>
                <w:sz w:val="18"/>
                <w:szCs w:val="18"/>
              </w:rPr>
              <w:t>105</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67E85170" w:rsidR="003D3453" w:rsidRPr="002D2253" w:rsidRDefault="00B7355F" w:rsidP="003D3453">
            <w:pPr>
              <w:spacing w:line="240" w:lineRule="auto"/>
              <w:jc w:val="right"/>
              <w:rPr>
                <w:rFonts w:cs="Arial"/>
                <w:sz w:val="18"/>
                <w:szCs w:val="18"/>
              </w:rPr>
            </w:pPr>
            <w:r>
              <w:rPr>
                <w:rFonts w:cs="Arial"/>
                <w:sz w:val="18"/>
                <w:szCs w:val="18"/>
              </w:rPr>
              <w:t>74</w:t>
            </w:r>
          </w:p>
        </w:tc>
      </w:tr>
      <w:tr w:rsidR="003D3453" w:rsidRPr="00504360" w14:paraId="2709F33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3D3453" w:rsidRDefault="003D3453" w:rsidP="003D3453">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1EF20" w14:textId="7092E560" w:rsidR="003D3453" w:rsidRPr="00733DE0" w:rsidRDefault="003D3453" w:rsidP="003D3453">
            <w:pPr>
              <w:spacing w:line="240" w:lineRule="auto"/>
              <w:jc w:val="right"/>
              <w:rPr>
                <w:rFonts w:cs="Arial"/>
                <w:sz w:val="18"/>
                <w:szCs w:val="18"/>
              </w:rPr>
            </w:pPr>
            <w:r w:rsidRPr="002D2253">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56891585" w:rsidR="003D3453" w:rsidRPr="002D2253" w:rsidRDefault="00B7355F" w:rsidP="003D3453">
            <w:pPr>
              <w:spacing w:line="240" w:lineRule="auto"/>
              <w:jc w:val="right"/>
              <w:rPr>
                <w:rFonts w:cs="Arial"/>
                <w:sz w:val="18"/>
                <w:szCs w:val="18"/>
              </w:rPr>
            </w:pPr>
            <w:r>
              <w:rPr>
                <w:rFonts w:cs="Arial"/>
                <w:sz w:val="18"/>
                <w:szCs w:val="18"/>
              </w:rPr>
              <w:t>0</w:t>
            </w:r>
          </w:p>
        </w:tc>
      </w:tr>
      <w:tr w:rsidR="003D3453"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3D3453" w:rsidRPr="00504360" w:rsidRDefault="003D3453" w:rsidP="003D3453">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34020D1F" w:rsidR="003D3453" w:rsidRPr="00733DE0" w:rsidRDefault="003D3453" w:rsidP="003D3453">
            <w:pPr>
              <w:spacing w:line="240" w:lineRule="auto"/>
              <w:jc w:val="right"/>
              <w:rPr>
                <w:rFonts w:cs="Arial"/>
                <w:sz w:val="18"/>
                <w:szCs w:val="18"/>
                <w:lang w:eastAsia="en-AU"/>
              </w:rPr>
            </w:pPr>
            <w:r w:rsidRPr="002D2253">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46919606" w:rsidR="003D3453" w:rsidRPr="002D2253" w:rsidRDefault="003F2106" w:rsidP="003D3453">
            <w:pPr>
              <w:spacing w:line="240" w:lineRule="auto"/>
              <w:jc w:val="right"/>
              <w:rPr>
                <w:rFonts w:cs="Arial"/>
                <w:sz w:val="18"/>
                <w:szCs w:val="18"/>
              </w:rPr>
            </w:pPr>
            <w:r>
              <w:rPr>
                <w:rFonts w:cs="Arial"/>
                <w:sz w:val="18"/>
                <w:szCs w:val="18"/>
              </w:rPr>
              <w:t>6</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0114A6" w:rsidRPr="00504360" w14:paraId="4B8C25F7" w14:textId="77777777" w:rsidTr="00F44B1B">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0114A6" w:rsidRPr="00504360" w:rsidRDefault="000114A6" w:rsidP="000114A6">
            <w:pPr>
              <w:spacing w:line="240" w:lineRule="auto"/>
              <w:rPr>
                <w:rFonts w:cs="Arial"/>
                <w:sz w:val="18"/>
                <w:szCs w:val="18"/>
              </w:rPr>
            </w:pPr>
            <w:r w:rsidRPr="0041058E">
              <w:rPr>
                <w:rFonts w:cs="Arial"/>
                <w:b/>
                <w:sz w:val="18"/>
                <w:szCs w:val="18"/>
                <w:lang w:eastAsia="en-AU"/>
              </w:rPr>
              <w:lastRenderedPageBreak/>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EB36" w14:textId="48098346"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Pr>
                <w:rFonts w:cs="Arial"/>
                <w:b/>
                <w:bCs/>
                <w:sz w:val="18"/>
                <w:szCs w:val="18"/>
                <w:lang w:eastAsia="en-AU"/>
              </w:rPr>
              <w:t>5</w:t>
            </w:r>
            <w:r w:rsidR="003D3453">
              <w:rPr>
                <w:rFonts w:cs="Arial"/>
                <w:b/>
                <w:bCs/>
                <w:sz w:val="18"/>
                <w:szCs w:val="18"/>
                <w:lang w:eastAsia="en-AU"/>
              </w:rPr>
              <w:t>4</w:t>
            </w:r>
          </w:p>
        </w:tc>
        <w:tc>
          <w:tcPr>
            <w:tcW w:w="992" w:type="dxa"/>
            <w:tcBorders>
              <w:top w:val="single" w:sz="4" w:space="0" w:color="auto"/>
              <w:left w:val="single" w:sz="4" w:space="0" w:color="auto"/>
              <w:bottom w:val="single" w:sz="4" w:space="0" w:color="auto"/>
              <w:right w:val="single" w:sz="4" w:space="0" w:color="auto"/>
            </w:tcBorders>
          </w:tcPr>
          <w:p w14:paraId="4A5F7805" w14:textId="399F7647"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Pr>
                <w:rFonts w:cs="Arial"/>
                <w:b/>
                <w:bCs/>
                <w:sz w:val="18"/>
                <w:szCs w:val="18"/>
                <w:lang w:eastAsia="en-AU"/>
              </w:rPr>
              <w:t>5</w:t>
            </w:r>
            <w:r w:rsidR="003D3453">
              <w:rPr>
                <w:rFonts w:cs="Arial"/>
                <w:b/>
                <w:bCs/>
                <w:sz w:val="18"/>
                <w:szCs w:val="18"/>
                <w:lang w:eastAsia="en-AU"/>
              </w:rPr>
              <w:t>5</w:t>
            </w:r>
          </w:p>
        </w:tc>
      </w:tr>
      <w:tr w:rsidR="003D3453" w:rsidRPr="00504360" w14:paraId="0F426218"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3D3453" w:rsidRPr="00504360" w:rsidRDefault="003D3453" w:rsidP="003D3453">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158306C6" w:rsidR="003D3453" w:rsidRPr="00733DE0" w:rsidRDefault="003D3453" w:rsidP="003D3453">
            <w:pPr>
              <w:spacing w:line="240" w:lineRule="auto"/>
              <w:jc w:val="right"/>
              <w:rPr>
                <w:rFonts w:cs="Arial"/>
                <w:sz w:val="18"/>
                <w:szCs w:val="18"/>
              </w:rPr>
            </w:pPr>
            <w:r w:rsidRPr="002D2253">
              <w:rPr>
                <w:rFonts w:cs="Arial"/>
                <w:sz w:val="18"/>
                <w:szCs w:val="18"/>
              </w:rPr>
              <w:t>75%</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6E90871D" w:rsidR="003D3453" w:rsidRPr="002D2253" w:rsidRDefault="003F2106" w:rsidP="003D3453">
            <w:pPr>
              <w:spacing w:line="240" w:lineRule="auto"/>
              <w:jc w:val="right"/>
              <w:rPr>
                <w:rFonts w:cs="Arial"/>
                <w:sz w:val="18"/>
                <w:szCs w:val="18"/>
              </w:rPr>
            </w:pPr>
            <w:r>
              <w:rPr>
                <w:rFonts w:cs="Arial"/>
                <w:sz w:val="18"/>
                <w:szCs w:val="18"/>
              </w:rPr>
              <w:t>100%</w:t>
            </w:r>
          </w:p>
        </w:tc>
      </w:tr>
      <w:tr w:rsidR="003D3453" w:rsidRPr="00504360" w14:paraId="09FA7CF5"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3D3453" w:rsidRPr="00504360" w:rsidRDefault="003D3453" w:rsidP="003D3453">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5BB2456C" w:rsidR="003D3453" w:rsidRPr="00733DE0" w:rsidRDefault="003D3453" w:rsidP="003D3453">
            <w:pPr>
              <w:spacing w:line="240" w:lineRule="auto"/>
              <w:jc w:val="right"/>
              <w:rPr>
                <w:rFonts w:cs="Arial"/>
                <w:sz w:val="18"/>
                <w:szCs w:val="18"/>
              </w:rPr>
            </w:pPr>
            <w:r w:rsidRPr="002D2253">
              <w:rPr>
                <w:rFonts w:cs="Arial"/>
                <w:sz w:val="18"/>
                <w:szCs w:val="18"/>
              </w:rPr>
              <w:t>25%</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401296C0" w:rsidR="003D3453" w:rsidRPr="002D2253" w:rsidRDefault="003F2106" w:rsidP="003D3453">
            <w:pPr>
              <w:spacing w:line="240" w:lineRule="auto"/>
              <w:jc w:val="right"/>
              <w:rPr>
                <w:rFonts w:cs="Arial"/>
                <w:sz w:val="18"/>
                <w:szCs w:val="18"/>
              </w:rPr>
            </w:pPr>
            <w:r>
              <w:rPr>
                <w:rFonts w:cs="Arial"/>
                <w:sz w:val="18"/>
                <w:szCs w:val="18"/>
              </w:rPr>
              <w:t>0%</w:t>
            </w:r>
          </w:p>
        </w:tc>
      </w:tr>
      <w:tr w:rsidR="003D3453" w:rsidRPr="00D157E2" w14:paraId="714A0FD4" w14:textId="2CDC150F"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3D3453" w:rsidRPr="00504360"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3D3453" w:rsidRPr="00733DE0" w:rsidRDefault="003D3453" w:rsidP="00D157E2">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3D3453" w:rsidRPr="002D2253" w:rsidRDefault="003D3453" w:rsidP="00D157E2">
            <w:pPr>
              <w:spacing w:line="240" w:lineRule="auto"/>
              <w:rPr>
                <w:rFonts w:cs="Arial"/>
                <w:sz w:val="18"/>
                <w:szCs w:val="18"/>
                <w:lang w:eastAsia="en-AU"/>
              </w:rPr>
            </w:pPr>
          </w:p>
        </w:tc>
      </w:tr>
      <w:tr w:rsidR="003D3453" w:rsidRPr="00504360" w14:paraId="148E7FF6"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3D3453" w:rsidRPr="0041058E" w:rsidRDefault="003D3453" w:rsidP="003D3453">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77777777" w:rsidR="003D3453" w:rsidRPr="002D2253" w:rsidRDefault="003D3453" w:rsidP="003D3453">
            <w:pPr>
              <w:spacing w:line="240" w:lineRule="auto"/>
              <w:jc w:val="right"/>
              <w:rPr>
                <w:rFonts w:cs="Arial"/>
                <w:sz w:val="18"/>
                <w:szCs w:val="18"/>
              </w:rPr>
            </w:pPr>
          </w:p>
        </w:tc>
      </w:tr>
      <w:tr w:rsidR="003D3453" w:rsidRPr="00504360" w14:paraId="71FF2B6B"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574A3774" w:rsidR="003D3453" w:rsidRPr="00B50123" w:rsidRDefault="003D3453" w:rsidP="003D3453">
            <w:pPr>
              <w:spacing w:line="240" w:lineRule="auto"/>
              <w:rPr>
                <w:rFonts w:cs="Arial"/>
                <w:sz w:val="18"/>
                <w:szCs w:val="18"/>
                <w:lang w:eastAsia="en-AU"/>
              </w:rPr>
            </w:pPr>
            <w:bookmarkStart w:id="1" w:name="_Hlk104985503"/>
            <w:r w:rsidRPr="0003283F">
              <w:rPr>
                <w:rFonts w:cs="Arial"/>
                <w:sz w:val="18"/>
                <w:szCs w:val="18"/>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5CE3652A" w:rsidR="003D3453" w:rsidRPr="00733DE0" w:rsidRDefault="003D3453" w:rsidP="003D3453">
            <w:pPr>
              <w:spacing w:line="240" w:lineRule="auto"/>
              <w:jc w:val="right"/>
              <w:rPr>
                <w:rFonts w:cs="Arial"/>
                <w:sz w:val="18"/>
                <w:szCs w:val="18"/>
                <w:lang w:eastAsia="en-AU"/>
              </w:rPr>
            </w:pPr>
            <w:r w:rsidRPr="002D2253">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19EF877C" w:rsidR="003D3453" w:rsidRPr="002D2253" w:rsidRDefault="003F2106" w:rsidP="003D3453">
            <w:pPr>
              <w:spacing w:line="240" w:lineRule="auto"/>
              <w:jc w:val="right"/>
              <w:rPr>
                <w:rFonts w:cs="Arial"/>
                <w:sz w:val="18"/>
                <w:szCs w:val="18"/>
              </w:rPr>
            </w:pPr>
            <w:r>
              <w:rPr>
                <w:rFonts w:cs="Arial"/>
                <w:sz w:val="18"/>
                <w:szCs w:val="18"/>
              </w:rPr>
              <w:t>10</w:t>
            </w:r>
          </w:p>
        </w:tc>
      </w:tr>
      <w:bookmarkEnd w:id="1"/>
      <w:tr w:rsidR="003D3453" w:rsidRPr="00504360" w14:paraId="16DEBA40"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3D3453" w:rsidRPr="00B50123" w:rsidRDefault="003D3453" w:rsidP="003D3453">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76C04AAB" w:rsidR="003D3453" w:rsidRPr="00733DE0" w:rsidRDefault="003D3453" w:rsidP="003D3453">
            <w:pPr>
              <w:spacing w:line="240" w:lineRule="auto"/>
              <w:jc w:val="right"/>
              <w:rPr>
                <w:rFonts w:cs="Arial"/>
                <w:sz w:val="18"/>
                <w:szCs w:val="18"/>
                <w:lang w:eastAsia="en-AU"/>
              </w:rPr>
            </w:pPr>
            <w:r w:rsidRPr="002D2253">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08DB56FB" w:rsidR="003D3453" w:rsidRPr="002D2253" w:rsidRDefault="003F2106" w:rsidP="003D3453">
            <w:pPr>
              <w:spacing w:line="240" w:lineRule="auto"/>
              <w:jc w:val="right"/>
              <w:rPr>
                <w:rFonts w:cs="Arial"/>
                <w:sz w:val="18"/>
                <w:szCs w:val="18"/>
              </w:rPr>
            </w:pPr>
            <w:r>
              <w:rPr>
                <w:rFonts w:cs="Arial"/>
                <w:sz w:val="18"/>
                <w:szCs w:val="18"/>
              </w:rPr>
              <w:t>10</w:t>
            </w:r>
          </w:p>
        </w:tc>
      </w:tr>
      <w:tr w:rsidR="003D3453" w:rsidRPr="00504360" w14:paraId="7EB54823"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4F6E25BE" w:rsidR="003D3453" w:rsidRPr="00B50123" w:rsidRDefault="003D3453" w:rsidP="003D3453">
            <w:pPr>
              <w:spacing w:line="240" w:lineRule="auto"/>
              <w:rPr>
                <w:rFonts w:cs="Arial"/>
                <w:sz w:val="18"/>
                <w:szCs w:val="18"/>
                <w:lang w:eastAsia="en-AU"/>
              </w:rPr>
            </w:pPr>
            <w:r w:rsidRPr="0003283F">
              <w:rPr>
                <w:rFonts w:cs="Arial"/>
                <w:sz w:val="18"/>
                <w:szCs w:val="18"/>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1D975AAA" w:rsidR="003D3453" w:rsidRPr="00733DE0" w:rsidRDefault="003D3453" w:rsidP="003D3453">
            <w:pPr>
              <w:spacing w:line="240" w:lineRule="auto"/>
              <w:jc w:val="right"/>
              <w:rPr>
                <w:rFonts w:cs="Arial"/>
                <w:sz w:val="18"/>
                <w:szCs w:val="18"/>
                <w:lang w:eastAsia="en-AU"/>
              </w:rPr>
            </w:pPr>
            <w:r w:rsidRPr="002D2253">
              <w:rPr>
                <w:rFonts w:cs="Arial"/>
                <w:sz w:val="18"/>
                <w:szCs w:val="18"/>
              </w:rPr>
              <w:t>3</w:t>
            </w: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0354C04D" w:rsidR="003D3453" w:rsidRPr="002D2253" w:rsidRDefault="003F2106" w:rsidP="003D3453">
            <w:pPr>
              <w:spacing w:line="240" w:lineRule="auto"/>
              <w:jc w:val="right"/>
              <w:rPr>
                <w:rFonts w:cs="Arial"/>
                <w:sz w:val="18"/>
                <w:szCs w:val="18"/>
              </w:rPr>
            </w:pPr>
            <w:r>
              <w:rPr>
                <w:rFonts w:cs="Arial"/>
                <w:sz w:val="18"/>
                <w:szCs w:val="18"/>
              </w:rPr>
              <w:t>16</w:t>
            </w:r>
          </w:p>
        </w:tc>
      </w:tr>
      <w:tr w:rsidR="003D3453" w:rsidRPr="00504360" w14:paraId="52C3F0C4" w14:textId="77777777"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3D3453" w:rsidRPr="00504360"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777777" w:rsidR="003D3453" w:rsidRPr="002D2253" w:rsidRDefault="003D3453" w:rsidP="003D3453">
            <w:pPr>
              <w:spacing w:line="240" w:lineRule="auto"/>
              <w:jc w:val="right"/>
              <w:rPr>
                <w:rFonts w:cs="Arial"/>
                <w:sz w:val="18"/>
                <w:szCs w:val="18"/>
              </w:rPr>
            </w:pPr>
          </w:p>
        </w:tc>
      </w:tr>
      <w:tr w:rsidR="003D3453" w:rsidRPr="00504360" w14:paraId="6E254E7A"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3D3453" w:rsidRPr="00E10506" w:rsidRDefault="003D3453" w:rsidP="003D3453">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3D3453" w:rsidRPr="00733DE0" w:rsidRDefault="003D3453" w:rsidP="003D3453">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7777777" w:rsidR="003D3453" w:rsidRPr="002D2253" w:rsidRDefault="003D3453" w:rsidP="003D3453">
            <w:pPr>
              <w:spacing w:line="240" w:lineRule="auto"/>
              <w:jc w:val="right"/>
              <w:rPr>
                <w:rFonts w:cs="Arial"/>
                <w:sz w:val="18"/>
                <w:szCs w:val="18"/>
              </w:rPr>
            </w:pPr>
          </w:p>
        </w:tc>
      </w:tr>
      <w:tr w:rsidR="003D3453" w:rsidRPr="00504360" w14:paraId="53E5D51F"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3D3453" w:rsidRPr="00504360" w:rsidRDefault="003D3453" w:rsidP="003D3453">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4209710C" w:rsidR="003D3453" w:rsidRPr="00733DE0" w:rsidRDefault="003D3453" w:rsidP="003D3453">
            <w:pPr>
              <w:spacing w:line="240" w:lineRule="auto"/>
              <w:jc w:val="right"/>
              <w:rPr>
                <w:rFonts w:cs="Arial"/>
                <w:sz w:val="18"/>
                <w:szCs w:val="18"/>
                <w:lang w:eastAsia="en-AU"/>
              </w:rPr>
            </w:pPr>
            <w:r w:rsidRPr="002D2253">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6AC1020E" w:rsidR="003D3453" w:rsidRPr="002D2253" w:rsidRDefault="003F2106" w:rsidP="003D3453">
            <w:pPr>
              <w:spacing w:line="240" w:lineRule="auto"/>
              <w:jc w:val="right"/>
              <w:rPr>
                <w:rFonts w:cs="Arial"/>
                <w:sz w:val="18"/>
                <w:szCs w:val="18"/>
              </w:rPr>
            </w:pPr>
            <w:r>
              <w:rPr>
                <w:rFonts w:cs="Arial"/>
                <w:sz w:val="18"/>
                <w:szCs w:val="18"/>
              </w:rPr>
              <w:t>92%</w:t>
            </w:r>
          </w:p>
        </w:tc>
      </w:tr>
      <w:tr w:rsidR="003D3453" w:rsidRPr="00504360" w14:paraId="4859A3E0"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3D3453" w:rsidRDefault="003D3453" w:rsidP="003D3453">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3BC4EA01" w:rsidR="003D3453" w:rsidRPr="00733DE0" w:rsidRDefault="003D3453" w:rsidP="003D3453">
            <w:pPr>
              <w:spacing w:line="240" w:lineRule="auto"/>
              <w:jc w:val="right"/>
              <w:rPr>
                <w:rFonts w:cs="Arial"/>
                <w:sz w:val="18"/>
                <w:szCs w:val="18"/>
              </w:rPr>
            </w:pPr>
            <w:r w:rsidRPr="002D2253">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76D68306" w:rsidR="003D3453" w:rsidRPr="002D2253" w:rsidRDefault="003F2106" w:rsidP="003D3453">
            <w:pPr>
              <w:spacing w:line="240" w:lineRule="auto"/>
              <w:jc w:val="right"/>
              <w:rPr>
                <w:rFonts w:cs="Arial"/>
                <w:sz w:val="18"/>
                <w:szCs w:val="18"/>
              </w:rPr>
            </w:pPr>
            <w:r>
              <w:rPr>
                <w:rFonts w:cs="Arial"/>
                <w:sz w:val="18"/>
                <w:szCs w:val="18"/>
              </w:rPr>
              <w:t>8%</w:t>
            </w:r>
          </w:p>
        </w:tc>
      </w:tr>
      <w:tr w:rsidR="003D3453" w:rsidRPr="00504360" w14:paraId="23135AF5" w14:textId="77777777" w:rsidTr="00D157E2">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3D3453"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FF09C" w14:textId="77777777" w:rsidR="003D3453" w:rsidRPr="00733DE0" w:rsidRDefault="003D3453" w:rsidP="003D34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77777777" w:rsidR="003D3453" w:rsidRPr="002D2253" w:rsidRDefault="003D3453" w:rsidP="003D3453">
            <w:pPr>
              <w:spacing w:line="240" w:lineRule="auto"/>
              <w:jc w:val="right"/>
              <w:rPr>
                <w:rFonts w:cs="Arial"/>
                <w:sz w:val="18"/>
                <w:szCs w:val="18"/>
              </w:rPr>
            </w:pPr>
          </w:p>
        </w:tc>
      </w:tr>
      <w:tr w:rsidR="003D3453" w:rsidRPr="00504360" w14:paraId="37C0A955"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3D3453" w:rsidRDefault="003D3453" w:rsidP="003D3453">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6DD9" w14:textId="2C58E0C2" w:rsidR="003D3453" w:rsidRPr="00733DE0" w:rsidRDefault="003D3453" w:rsidP="003D34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6D1B63E8" w:rsidR="003D3453" w:rsidRPr="002D2253" w:rsidRDefault="003D3453" w:rsidP="003D3453">
            <w:pPr>
              <w:spacing w:line="240" w:lineRule="auto"/>
              <w:jc w:val="right"/>
              <w:rPr>
                <w:rFonts w:cs="Arial"/>
                <w:sz w:val="18"/>
                <w:szCs w:val="18"/>
              </w:rPr>
            </w:pPr>
          </w:p>
        </w:tc>
      </w:tr>
      <w:tr w:rsidR="003D3453" w:rsidRPr="00504360" w14:paraId="2926F0DE"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3D3453" w:rsidRDefault="003D3453" w:rsidP="003D3453">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66C68" w14:textId="3F036F65" w:rsidR="003D3453" w:rsidRPr="00733DE0" w:rsidRDefault="003D3453" w:rsidP="003D3453">
            <w:pPr>
              <w:spacing w:line="240" w:lineRule="auto"/>
              <w:jc w:val="right"/>
              <w:rPr>
                <w:rFonts w:cs="Arial"/>
                <w:sz w:val="18"/>
                <w:szCs w:val="18"/>
              </w:rPr>
            </w:pPr>
            <w:r w:rsidRPr="002D2253">
              <w:rPr>
                <w:rFonts w:cs="Arial"/>
                <w:sz w:val="18"/>
                <w:szCs w:val="18"/>
              </w:rPr>
              <w:t>32</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6B0E8EC7" w:rsidR="003D3453" w:rsidRPr="002D2253" w:rsidRDefault="003F2106" w:rsidP="003D3453">
            <w:pPr>
              <w:spacing w:line="240" w:lineRule="auto"/>
              <w:jc w:val="right"/>
              <w:rPr>
                <w:rFonts w:cs="Arial"/>
                <w:sz w:val="18"/>
                <w:szCs w:val="18"/>
              </w:rPr>
            </w:pPr>
            <w:r>
              <w:rPr>
                <w:rFonts w:cs="Arial"/>
                <w:sz w:val="18"/>
                <w:szCs w:val="18"/>
              </w:rPr>
              <w:t>1</w:t>
            </w:r>
            <w:r w:rsidR="00A67760">
              <w:rPr>
                <w:rFonts w:cs="Arial"/>
                <w:sz w:val="18"/>
                <w:szCs w:val="18"/>
              </w:rPr>
              <w:t>6</w:t>
            </w:r>
          </w:p>
        </w:tc>
      </w:tr>
      <w:tr w:rsidR="003D3453" w:rsidRPr="00504360" w14:paraId="09CC1571" w14:textId="77777777" w:rsidTr="00D157E2">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3D3453" w:rsidRDefault="003D3453" w:rsidP="003D3453">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4FDA4" w14:textId="77777777" w:rsidR="003D3453" w:rsidRPr="00733DE0" w:rsidRDefault="003D3453" w:rsidP="003D34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77777777" w:rsidR="003D3453" w:rsidRPr="002D2253" w:rsidRDefault="003D3453" w:rsidP="003D3453">
            <w:pPr>
              <w:spacing w:line="240" w:lineRule="auto"/>
              <w:jc w:val="right"/>
              <w:rPr>
                <w:rFonts w:cs="Arial"/>
                <w:sz w:val="18"/>
                <w:szCs w:val="18"/>
              </w:rPr>
            </w:pPr>
          </w:p>
        </w:tc>
      </w:tr>
      <w:tr w:rsidR="003D3453" w:rsidRPr="00504360" w14:paraId="716838D1"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3D3453" w:rsidRDefault="003D3453" w:rsidP="003D3453">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3A1D1" w14:textId="77777777" w:rsidR="003D3453" w:rsidRPr="00733DE0" w:rsidRDefault="003D3453" w:rsidP="003D3453">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77777777" w:rsidR="003D3453" w:rsidRPr="002D2253" w:rsidRDefault="003D3453" w:rsidP="003D3453">
            <w:pPr>
              <w:spacing w:line="240" w:lineRule="auto"/>
              <w:jc w:val="right"/>
              <w:rPr>
                <w:rFonts w:cs="Arial"/>
                <w:sz w:val="18"/>
                <w:szCs w:val="18"/>
              </w:rPr>
            </w:pPr>
          </w:p>
        </w:tc>
      </w:tr>
      <w:tr w:rsidR="003D3453" w:rsidRPr="00504360" w14:paraId="1562F8F8"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3D3453" w:rsidRDefault="003D3453" w:rsidP="003D3453">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D3333" w14:textId="6D1FBFAF" w:rsidR="003D3453" w:rsidRPr="00733DE0" w:rsidRDefault="003D3453" w:rsidP="003D3453">
            <w:pPr>
              <w:spacing w:line="240" w:lineRule="auto"/>
              <w:jc w:val="right"/>
              <w:rPr>
                <w:rFonts w:cs="Arial"/>
                <w:sz w:val="18"/>
                <w:szCs w:val="18"/>
              </w:rPr>
            </w:pPr>
            <w:r>
              <w:rPr>
                <w:rFonts w:cs="Arial"/>
                <w:sz w:val="18"/>
                <w:szCs w:val="18"/>
              </w:rPr>
              <w:t>224</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2AC75D34" w:rsidR="003D3453" w:rsidRPr="002D2253" w:rsidRDefault="003F2106" w:rsidP="003D3453">
            <w:pPr>
              <w:spacing w:line="240" w:lineRule="auto"/>
              <w:jc w:val="right"/>
              <w:rPr>
                <w:rFonts w:cs="Arial"/>
                <w:sz w:val="18"/>
                <w:szCs w:val="18"/>
              </w:rPr>
            </w:pPr>
            <w:r>
              <w:rPr>
                <w:rFonts w:cs="Arial"/>
                <w:sz w:val="18"/>
                <w:szCs w:val="18"/>
              </w:rPr>
              <w:t>164</w:t>
            </w:r>
          </w:p>
        </w:tc>
      </w:tr>
      <w:tr w:rsidR="003D3453" w:rsidRPr="00504360" w14:paraId="559E0289"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3D3453" w:rsidRDefault="003D3453" w:rsidP="003D3453">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D6E1" w14:textId="658C181C" w:rsidR="003D3453" w:rsidRPr="00733DE0" w:rsidRDefault="003D3453" w:rsidP="003D3453">
            <w:pPr>
              <w:spacing w:line="240" w:lineRule="auto"/>
              <w:jc w:val="right"/>
              <w:rPr>
                <w:rFonts w:cs="Arial"/>
                <w:sz w:val="18"/>
                <w:szCs w:val="18"/>
              </w:rPr>
            </w:pPr>
            <w:r>
              <w:rPr>
                <w:rFonts w:cs="Arial"/>
                <w:sz w:val="18"/>
                <w:szCs w:val="18"/>
              </w:rPr>
              <w:t>62</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28011556" w:rsidR="003D3453" w:rsidRPr="002D2253" w:rsidRDefault="003F2106" w:rsidP="003D3453">
            <w:pPr>
              <w:spacing w:line="240" w:lineRule="auto"/>
              <w:jc w:val="right"/>
              <w:rPr>
                <w:rFonts w:cs="Arial"/>
                <w:sz w:val="18"/>
                <w:szCs w:val="18"/>
              </w:rPr>
            </w:pPr>
            <w:r>
              <w:rPr>
                <w:rFonts w:cs="Arial"/>
                <w:sz w:val="18"/>
                <w:szCs w:val="18"/>
              </w:rPr>
              <w:t>35</w:t>
            </w:r>
          </w:p>
        </w:tc>
      </w:tr>
      <w:tr w:rsidR="003D3453" w:rsidRPr="00504360" w14:paraId="3D917EA4"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3D3453" w:rsidRPr="00504360" w:rsidRDefault="003D3453" w:rsidP="003D3453">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8A31A" w14:textId="0C0A92BE" w:rsidR="003D3453" w:rsidRPr="00733DE0" w:rsidRDefault="003D3453" w:rsidP="003D3453">
            <w:pPr>
              <w:spacing w:line="240" w:lineRule="auto"/>
              <w:jc w:val="right"/>
              <w:rPr>
                <w:rFonts w:cs="Arial"/>
                <w:sz w:val="18"/>
                <w:szCs w:val="18"/>
              </w:rPr>
            </w:pPr>
            <w:r>
              <w:rPr>
                <w:rFonts w:cs="Arial"/>
                <w:sz w:val="18"/>
                <w:szCs w:val="18"/>
              </w:rPr>
              <w:t>105</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22EC7EAB" w:rsidR="003D3453" w:rsidRDefault="003F2106" w:rsidP="003D3453">
            <w:pPr>
              <w:spacing w:line="240" w:lineRule="auto"/>
              <w:jc w:val="right"/>
              <w:rPr>
                <w:rFonts w:cs="Arial"/>
                <w:sz w:val="18"/>
                <w:szCs w:val="18"/>
              </w:rPr>
            </w:pPr>
            <w:r>
              <w:rPr>
                <w:rFonts w:cs="Arial"/>
                <w:sz w:val="18"/>
                <w:szCs w:val="18"/>
              </w:rPr>
              <w:t>83</w:t>
            </w:r>
          </w:p>
        </w:tc>
      </w:tr>
      <w:bookmarkEnd w:id="0"/>
    </w:tbl>
    <w:p w14:paraId="350C67ED" w14:textId="77777777" w:rsidR="004B60C0" w:rsidRDefault="004B60C0" w:rsidP="00C92D4E">
      <w:pPr>
        <w:ind w:left="-142" w:right="-425"/>
        <w:jc w:val="both"/>
        <w:rPr>
          <w:rFonts w:cs="Arial"/>
        </w:rPr>
      </w:pPr>
    </w:p>
    <w:p w14:paraId="46E11053" w14:textId="5A70F6EB" w:rsidR="00434C44" w:rsidRPr="00B61ECB" w:rsidRDefault="00434C44" w:rsidP="00A06016">
      <w:pPr>
        <w:ind w:left="-142" w:right="-425"/>
        <w:jc w:val="both"/>
        <w:rPr>
          <w:rFonts w:cs="Arial"/>
          <w:b/>
          <w:bCs/>
          <w:sz w:val="22"/>
          <w:szCs w:val="22"/>
        </w:rPr>
      </w:pPr>
      <w:r w:rsidRPr="00B61ECB">
        <w:rPr>
          <w:rFonts w:cs="Arial"/>
          <w:b/>
          <w:bCs/>
          <w:sz w:val="22"/>
          <w:szCs w:val="22"/>
        </w:rPr>
        <w:t>Quarterly Trends</w:t>
      </w:r>
    </w:p>
    <w:p w14:paraId="25452684" w14:textId="7A7E8F16" w:rsidR="002416C1" w:rsidRDefault="00312D61" w:rsidP="00A06016">
      <w:pPr>
        <w:ind w:left="-142" w:right="-425"/>
        <w:jc w:val="both"/>
        <w:rPr>
          <w:rFonts w:cs="Arial"/>
        </w:rPr>
      </w:pPr>
      <w:r>
        <w:rPr>
          <w:rFonts w:cs="Arial"/>
        </w:rPr>
        <w:t xml:space="preserve">The summary of activity shown in Table 1 above is indicative of </w:t>
      </w:r>
      <w:r w:rsidR="00112D01">
        <w:rPr>
          <w:rFonts w:cs="Arial"/>
        </w:rPr>
        <w:t xml:space="preserve">a high level of support for community members in what </w:t>
      </w:r>
      <w:r w:rsidR="00080A91">
        <w:rPr>
          <w:rFonts w:cs="Arial"/>
        </w:rPr>
        <w:t>was</w:t>
      </w:r>
      <w:r w:rsidR="00112D01">
        <w:rPr>
          <w:rFonts w:cs="Arial"/>
        </w:rPr>
        <w:t xml:space="preserve"> a challenging quarter. </w:t>
      </w:r>
      <w:r w:rsidR="002416C1">
        <w:rPr>
          <w:rFonts w:cs="Arial"/>
        </w:rPr>
        <w:t xml:space="preserve">The first wave of the Omicron variant of COVID-19 and serious unrest in some of the FRC communities necessitated a tailored and elevated response to ensure clients and Local Commissioners were adequately supported </w:t>
      </w:r>
      <w:r w:rsidR="00703A93">
        <w:rPr>
          <w:rFonts w:cs="Arial"/>
        </w:rPr>
        <w:t>during</w:t>
      </w:r>
      <w:r w:rsidR="002416C1">
        <w:rPr>
          <w:rFonts w:cs="Arial"/>
        </w:rPr>
        <w:t xml:space="preserve"> the reporting period.</w:t>
      </w:r>
    </w:p>
    <w:p w14:paraId="77C3363C" w14:textId="77777777" w:rsidR="002416C1" w:rsidRDefault="002416C1" w:rsidP="00A06016">
      <w:pPr>
        <w:ind w:left="-142" w:right="-425"/>
        <w:jc w:val="both"/>
        <w:rPr>
          <w:rFonts w:cs="Arial"/>
        </w:rPr>
      </w:pPr>
    </w:p>
    <w:p w14:paraId="12AEA4B9" w14:textId="644444E3" w:rsidR="00312D61" w:rsidRDefault="00112D01" w:rsidP="00A06016">
      <w:pPr>
        <w:ind w:left="-142" w:right="-425"/>
        <w:jc w:val="both"/>
        <w:rPr>
          <w:rFonts w:cs="Arial"/>
        </w:rPr>
      </w:pPr>
      <w:r>
        <w:rPr>
          <w:rFonts w:cs="Arial"/>
        </w:rPr>
        <w:t xml:space="preserve">Queensland experienced </w:t>
      </w:r>
      <w:r w:rsidR="00080A91">
        <w:rPr>
          <w:rFonts w:cs="Arial"/>
        </w:rPr>
        <w:t xml:space="preserve">widespread community transmission of the Omicron variant of COVID-19 during January 2022. This Omicron wave resulted in the beginning of the school year being delayed by a week, and the </w:t>
      </w:r>
      <w:r w:rsidR="00772435">
        <w:rPr>
          <w:rFonts w:cs="Arial"/>
        </w:rPr>
        <w:t xml:space="preserve">Executive Management Team took the decision to </w:t>
      </w:r>
      <w:r w:rsidR="00080A91">
        <w:rPr>
          <w:rFonts w:cs="Arial"/>
        </w:rPr>
        <w:t>mov</w:t>
      </w:r>
      <w:r w:rsidR="00772435">
        <w:rPr>
          <w:rFonts w:cs="Arial"/>
        </w:rPr>
        <w:t>e</w:t>
      </w:r>
      <w:r w:rsidR="00080A91">
        <w:rPr>
          <w:rFonts w:cs="Arial"/>
        </w:rPr>
        <w:t xml:space="preserve"> to </w:t>
      </w:r>
      <w:r w:rsidR="00772435">
        <w:rPr>
          <w:rFonts w:cs="Arial"/>
        </w:rPr>
        <w:t xml:space="preserve">Scenario 2 of its Preparedness Framework for COVID-19. Scenario 2 </w:t>
      </w:r>
      <w:r w:rsidR="00703A93">
        <w:rPr>
          <w:rFonts w:cs="Arial"/>
        </w:rPr>
        <w:t>required</w:t>
      </w:r>
      <w:r w:rsidR="00772435">
        <w:rPr>
          <w:rFonts w:cs="Arial"/>
        </w:rPr>
        <w:t xml:space="preserve"> FRC operations be modified on a case-by-case basis according to a need versus risk assessment. As there were a high number of cases of COVID-19 in Cairns, </w:t>
      </w:r>
      <w:r w:rsidR="00A33D69">
        <w:rPr>
          <w:rFonts w:cs="Arial"/>
        </w:rPr>
        <w:t xml:space="preserve">and cases </w:t>
      </w:r>
      <w:r w:rsidR="00772435">
        <w:rPr>
          <w:rFonts w:cs="Arial"/>
        </w:rPr>
        <w:t>in each of the FRC communities,</w:t>
      </w:r>
      <w:r w:rsidR="00A33D69">
        <w:rPr>
          <w:rFonts w:cs="Arial"/>
        </w:rPr>
        <w:t xml:space="preserve"> conferences were suspended and travel to community by registry staff assessed on a case-by-case basis.</w:t>
      </w:r>
    </w:p>
    <w:p w14:paraId="776A9C42" w14:textId="4FF9792D" w:rsidR="005E400E" w:rsidRDefault="005E400E" w:rsidP="00A06016">
      <w:pPr>
        <w:ind w:left="-142" w:right="-425"/>
        <w:jc w:val="both"/>
        <w:rPr>
          <w:rFonts w:cs="Arial"/>
        </w:rPr>
      </w:pPr>
    </w:p>
    <w:p w14:paraId="78FCE374" w14:textId="359F05B3" w:rsidR="00A61F5F" w:rsidRDefault="005E400E" w:rsidP="00A61F5F">
      <w:pPr>
        <w:ind w:left="-142" w:right="-425"/>
        <w:jc w:val="both"/>
        <w:rPr>
          <w:rFonts w:cs="Arial"/>
        </w:rPr>
      </w:pPr>
      <w:r>
        <w:rPr>
          <w:rFonts w:cs="Arial"/>
        </w:rPr>
        <w:t xml:space="preserve">Conferencing resumed in Mossman Gorge on </w:t>
      </w:r>
      <w:r w:rsidRPr="007974BD">
        <w:rPr>
          <w:rFonts w:cs="Arial"/>
        </w:rPr>
        <w:t>1 March</w:t>
      </w:r>
      <w:r w:rsidR="00C83640" w:rsidRPr="007974BD">
        <w:rPr>
          <w:rFonts w:cs="Arial"/>
        </w:rPr>
        <w:t xml:space="preserve"> 2022</w:t>
      </w:r>
      <w:r w:rsidRPr="007974BD">
        <w:rPr>
          <w:rFonts w:cs="Arial"/>
        </w:rPr>
        <w:t xml:space="preserve">, and in </w:t>
      </w:r>
      <w:r w:rsidRPr="00B61ECB">
        <w:rPr>
          <w:rFonts w:cs="Arial"/>
        </w:rPr>
        <w:t>the remainder of the FRC communities in the two weeks following</w:t>
      </w:r>
      <w:r>
        <w:rPr>
          <w:rFonts w:cs="Arial"/>
        </w:rPr>
        <w:t xml:space="preserve">. </w:t>
      </w:r>
      <w:r w:rsidR="00C83640">
        <w:rPr>
          <w:rFonts w:cs="Arial"/>
        </w:rPr>
        <w:t xml:space="preserve">This delay in the beginning of conferencing is reflected in </w:t>
      </w:r>
      <w:r w:rsidR="007D70C3">
        <w:rPr>
          <w:rFonts w:cs="Arial"/>
        </w:rPr>
        <w:t>a</w:t>
      </w:r>
      <w:r w:rsidR="00C83640">
        <w:rPr>
          <w:rFonts w:cs="Arial"/>
        </w:rPr>
        <w:t xml:space="preserve"> reduction </w:t>
      </w:r>
      <w:r w:rsidR="007D70C3">
        <w:rPr>
          <w:rFonts w:cs="Arial"/>
        </w:rPr>
        <w:t>in</w:t>
      </w:r>
      <w:r w:rsidR="00C83640">
        <w:rPr>
          <w:rFonts w:cs="Arial"/>
        </w:rPr>
        <w:t xml:space="preserve"> the number of conferences from 335 in quarter 54 to 11</w:t>
      </w:r>
      <w:r w:rsidR="00A67760">
        <w:rPr>
          <w:rFonts w:cs="Arial"/>
        </w:rPr>
        <w:t>8</w:t>
      </w:r>
      <w:r w:rsidR="00C83640">
        <w:rPr>
          <w:rFonts w:cs="Arial"/>
        </w:rPr>
        <w:t xml:space="preserve"> in this quarter. Conference attendance however, increased during this time by 10 </w:t>
      </w:r>
      <w:r w:rsidR="00564F85">
        <w:rPr>
          <w:rFonts w:cs="Arial"/>
        </w:rPr>
        <w:t>percent</w:t>
      </w:r>
      <w:r w:rsidR="00C83640">
        <w:rPr>
          <w:rFonts w:cs="Arial"/>
        </w:rPr>
        <w:t xml:space="preserve">, from 61 </w:t>
      </w:r>
      <w:r w:rsidR="00564F85">
        <w:rPr>
          <w:rFonts w:cs="Arial"/>
        </w:rPr>
        <w:t>percent</w:t>
      </w:r>
      <w:r w:rsidR="000709B9">
        <w:rPr>
          <w:rFonts w:cs="Arial"/>
        </w:rPr>
        <w:t xml:space="preserve"> in quarter 54</w:t>
      </w:r>
      <w:r w:rsidR="00C83640">
        <w:rPr>
          <w:rFonts w:cs="Arial"/>
        </w:rPr>
        <w:t xml:space="preserve"> to 71 </w:t>
      </w:r>
      <w:r w:rsidR="00564F85">
        <w:rPr>
          <w:rFonts w:cs="Arial"/>
        </w:rPr>
        <w:t>percent</w:t>
      </w:r>
      <w:r w:rsidR="000709B9">
        <w:rPr>
          <w:rFonts w:cs="Arial"/>
        </w:rPr>
        <w:t xml:space="preserve"> in quarter 55</w:t>
      </w:r>
      <w:r w:rsidR="00C83640">
        <w:rPr>
          <w:rFonts w:cs="Arial"/>
        </w:rPr>
        <w:t xml:space="preserve">. It is also of note that </w:t>
      </w:r>
      <w:r w:rsidR="007D70C3">
        <w:rPr>
          <w:rFonts w:cs="Arial"/>
        </w:rPr>
        <w:t xml:space="preserve">the </w:t>
      </w:r>
      <w:r w:rsidR="00690600">
        <w:rPr>
          <w:rFonts w:cs="Arial"/>
        </w:rPr>
        <w:t xml:space="preserve">proportion of clients who provided a reasonable excuse for non-attendance increased by 17 </w:t>
      </w:r>
      <w:r w:rsidR="00564F85">
        <w:rPr>
          <w:rFonts w:cs="Arial"/>
        </w:rPr>
        <w:t>percent</w:t>
      </w:r>
      <w:r w:rsidR="00690600">
        <w:rPr>
          <w:rFonts w:cs="Arial"/>
        </w:rPr>
        <w:t xml:space="preserve"> from the previous quarter. These conference attendance statistics</w:t>
      </w:r>
      <w:r w:rsidR="00C83640">
        <w:rPr>
          <w:rFonts w:cs="Arial"/>
        </w:rPr>
        <w:t xml:space="preserve"> demonstrate</w:t>
      </w:r>
      <w:r w:rsidR="00690600">
        <w:rPr>
          <w:rFonts w:cs="Arial"/>
        </w:rPr>
        <w:t xml:space="preserve"> the </w:t>
      </w:r>
      <w:r w:rsidR="000709B9">
        <w:rPr>
          <w:rFonts w:cs="Arial"/>
        </w:rPr>
        <w:t xml:space="preserve">growing </w:t>
      </w:r>
      <w:r w:rsidR="00C83640">
        <w:rPr>
          <w:rFonts w:cs="Arial"/>
        </w:rPr>
        <w:t>willingness of clients to engage with the FRC.</w:t>
      </w:r>
    </w:p>
    <w:p w14:paraId="3A2D86CC" w14:textId="7F991227" w:rsidR="00EF36AB" w:rsidRDefault="00EF36AB" w:rsidP="00A61F5F">
      <w:pPr>
        <w:ind w:left="-142" w:right="-425"/>
        <w:jc w:val="both"/>
        <w:rPr>
          <w:rFonts w:cs="Arial"/>
        </w:rPr>
      </w:pPr>
    </w:p>
    <w:p w14:paraId="2E5A5E67" w14:textId="551E25C3" w:rsidR="00EF36AB" w:rsidRDefault="00EF36AB" w:rsidP="00A61F5F">
      <w:pPr>
        <w:ind w:left="-142" w:right="-425"/>
        <w:jc w:val="both"/>
        <w:rPr>
          <w:rFonts w:cs="Arial"/>
        </w:rPr>
      </w:pPr>
      <w:r>
        <w:rPr>
          <w:rFonts w:cs="Arial"/>
        </w:rPr>
        <w:t xml:space="preserve">A further measure of support for FRC communities during this time was </w:t>
      </w:r>
      <w:r w:rsidR="007D70C3">
        <w:rPr>
          <w:rFonts w:cs="Arial"/>
        </w:rPr>
        <w:t>an</w:t>
      </w:r>
      <w:r>
        <w:rPr>
          <w:rFonts w:cs="Arial"/>
        </w:rPr>
        <w:t xml:space="preserve"> increase in the number of Voluntary Agreements for case plans, which rose from one in Quarter 54 to </w:t>
      </w:r>
      <w:r w:rsidR="00C2618D">
        <w:rPr>
          <w:rFonts w:cs="Arial"/>
        </w:rPr>
        <w:t>10</w:t>
      </w:r>
      <w:r>
        <w:rPr>
          <w:rFonts w:cs="Arial"/>
        </w:rPr>
        <w:t xml:space="preserve"> in Quarter 55.</w:t>
      </w:r>
      <w:r w:rsidR="00C2618D">
        <w:rPr>
          <w:rFonts w:cs="Arial"/>
        </w:rPr>
        <w:t xml:space="preserve"> These 10 </w:t>
      </w:r>
      <w:r w:rsidR="00383B0F">
        <w:rPr>
          <w:rFonts w:cs="Arial"/>
        </w:rPr>
        <w:t xml:space="preserve">voluntary </w:t>
      </w:r>
      <w:r w:rsidR="00C2618D">
        <w:rPr>
          <w:rFonts w:cs="Arial"/>
        </w:rPr>
        <w:t>agreements were entered into by 9 individual clients. Of the 9 clients, 5 were participants of the FRC’s</w:t>
      </w:r>
      <w:r w:rsidR="00383B0F">
        <w:rPr>
          <w:rFonts w:cs="Arial"/>
        </w:rPr>
        <w:t xml:space="preserve"> new</w:t>
      </w:r>
      <w:r w:rsidR="00C2618D">
        <w:rPr>
          <w:rFonts w:cs="Arial"/>
        </w:rPr>
        <w:t xml:space="preserve"> Intensive Case Management </w:t>
      </w:r>
      <w:r w:rsidR="00383B0F">
        <w:rPr>
          <w:rFonts w:cs="Arial"/>
        </w:rPr>
        <w:t xml:space="preserve">(ICM) </w:t>
      </w:r>
      <w:r w:rsidR="00C2618D">
        <w:rPr>
          <w:rFonts w:cs="Arial"/>
        </w:rPr>
        <w:t>Framework</w:t>
      </w:r>
      <w:r w:rsidR="00383B0F">
        <w:rPr>
          <w:rFonts w:cs="Arial"/>
        </w:rPr>
        <w:t>.</w:t>
      </w:r>
    </w:p>
    <w:p w14:paraId="6264BC7D" w14:textId="4D9FF7E1" w:rsidR="000709B9" w:rsidRDefault="000709B9" w:rsidP="00A06016">
      <w:pPr>
        <w:ind w:left="-142" w:right="-425"/>
        <w:jc w:val="both"/>
        <w:rPr>
          <w:rFonts w:cs="Arial"/>
        </w:rPr>
      </w:pPr>
    </w:p>
    <w:p w14:paraId="6806682B" w14:textId="77777777" w:rsidR="00782942" w:rsidRDefault="00782942">
      <w:pPr>
        <w:spacing w:line="240" w:lineRule="auto"/>
        <w:rPr>
          <w:rFonts w:cs="Arial"/>
          <w:b/>
          <w:bCs/>
        </w:rPr>
      </w:pPr>
      <w:r>
        <w:rPr>
          <w:rFonts w:cs="Arial"/>
          <w:b/>
          <w:bCs/>
        </w:rPr>
        <w:br w:type="page"/>
      </w:r>
    </w:p>
    <w:p w14:paraId="30AA8E16" w14:textId="009B7C91" w:rsidR="005E400E" w:rsidRPr="00B61ECB" w:rsidRDefault="000709B9" w:rsidP="000709B9">
      <w:pPr>
        <w:ind w:left="-142" w:right="-425"/>
        <w:jc w:val="both"/>
        <w:rPr>
          <w:rFonts w:cs="Arial"/>
          <w:b/>
          <w:bCs/>
          <w:sz w:val="22"/>
          <w:szCs w:val="22"/>
        </w:rPr>
      </w:pPr>
      <w:r w:rsidRPr="00B61ECB">
        <w:rPr>
          <w:rFonts w:cs="Arial"/>
          <w:b/>
          <w:bCs/>
          <w:sz w:val="22"/>
          <w:szCs w:val="22"/>
        </w:rPr>
        <w:lastRenderedPageBreak/>
        <w:t>Intensive Case Management</w:t>
      </w:r>
      <w:r w:rsidR="00306BDD" w:rsidRPr="00B61ECB">
        <w:rPr>
          <w:rFonts w:cs="Arial"/>
          <w:b/>
          <w:bCs/>
          <w:sz w:val="22"/>
          <w:szCs w:val="22"/>
        </w:rPr>
        <w:t xml:space="preserve"> F</w:t>
      </w:r>
      <w:r w:rsidR="005E6B34" w:rsidRPr="00B61ECB">
        <w:rPr>
          <w:rFonts w:cs="Arial"/>
          <w:b/>
          <w:bCs/>
          <w:sz w:val="22"/>
          <w:szCs w:val="22"/>
        </w:rPr>
        <w:t>r</w:t>
      </w:r>
      <w:r w:rsidR="00306BDD" w:rsidRPr="00B61ECB">
        <w:rPr>
          <w:rFonts w:cs="Arial"/>
          <w:b/>
          <w:bCs/>
          <w:sz w:val="22"/>
          <w:szCs w:val="22"/>
        </w:rPr>
        <w:t>amework</w:t>
      </w:r>
    </w:p>
    <w:p w14:paraId="5F3B4FD1" w14:textId="4F4A64B1" w:rsidR="000709B9" w:rsidRDefault="004972EA" w:rsidP="000709B9">
      <w:pPr>
        <w:ind w:left="-142" w:right="-425"/>
        <w:jc w:val="both"/>
        <w:rPr>
          <w:rFonts w:cs="Arial"/>
        </w:rPr>
      </w:pPr>
      <w:r w:rsidRPr="00782942">
        <w:rPr>
          <w:rFonts w:cs="Arial"/>
        </w:rPr>
        <w:t xml:space="preserve">Advice </w:t>
      </w:r>
      <w:r w:rsidR="00782942">
        <w:rPr>
          <w:rFonts w:cs="Arial"/>
        </w:rPr>
        <w:t xml:space="preserve">was </w:t>
      </w:r>
      <w:r>
        <w:rPr>
          <w:rFonts w:cs="Arial"/>
        </w:rPr>
        <w:t xml:space="preserve">received </w:t>
      </w:r>
      <w:r w:rsidRPr="00782942">
        <w:rPr>
          <w:rFonts w:cs="Arial"/>
        </w:rPr>
        <w:t>from key stakeholders in each of the five welfare reform communities</w:t>
      </w:r>
      <w:r>
        <w:rPr>
          <w:rFonts w:cs="Arial"/>
        </w:rPr>
        <w:t xml:space="preserve"> during January 2022 </w:t>
      </w:r>
      <w:r w:rsidR="00782942">
        <w:rPr>
          <w:rFonts w:cs="Arial"/>
        </w:rPr>
        <w:t xml:space="preserve">that there was a </w:t>
      </w:r>
      <w:r w:rsidRPr="00782942">
        <w:rPr>
          <w:rFonts w:cs="Arial"/>
        </w:rPr>
        <w:t>continu</w:t>
      </w:r>
      <w:r w:rsidR="00782942">
        <w:rPr>
          <w:rFonts w:cs="Arial"/>
        </w:rPr>
        <w:t>ing</w:t>
      </w:r>
      <w:r w:rsidRPr="00782942">
        <w:rPr>
          <w:rFonts w:cs="Arial"/>
        </w:rPr>
        <w:t xml:space="preserve"> need </w:t>
      </w:r>
      <w:r>
        <w:rPr>
          <w:rFonts w:cs="Arial"/>
        </w:rPr>
        <w:t>for</w:t>
      </w:r>
      <w:r w:rsidRPr="00782942">
        <w:rPr>
          <w:rFonts w:cs="Arial"/>
        </w:rPr>
        <w:t xml:space="preserve"> the FRC to provide support to community members – including those whose vulnerability </w:t>
      </w:r>
      <w:r>
        <w:rPr>
          <w:rFonts w:cs="Arial"/>
        </w:rPr>
        <w:t>wa</w:t>
      </w:r>
      <w:r w:rsidRPr="00782942">
        <w:rPr>
          <w:rFonts w:cs="Arial"/>
        </w:rPr>
        <w:t>s further exacerbated by the public health emergency - to resume primary responsibility for their own and family members’ wellbeing.</w:t>
      </w:r>
      <w:r>
        <w:rPr>
          <w:rFonts w:cs="Arial"/>
        </w:rPr>
        <w:t xml:space="preserve"> </w:t>
      </w:r>
      <w:r w:rsidR="001659B3">
        <w:rPr>
          <w:rFonts w:cs="Arial"/>
        </w:rPr>
        <w:t xml:space="preserve">In early 2022 </w:t>
      </w:r>
      <w:r w:rsidR="00306BDD">
        <w:rPr>
          <w:rFonts w:cs="Arial"/>
        </w:rPr>
        <w:t xml:space="preserve">the FRC developed its Intensive Case Management (ICM) Framework to ensure that vulnerable clients requiring immediate supportive intervention were </w:t>
      </w:r>
      <w:r w:rsidR="008A2C2E">
        <w:rPr>
          <w:rFonts w:cs="Arial"/>
        </w:rPr>
        <w:t xml:space="preserve">identified and </w:t>
      </w:r>
      <w:r w:rsidR="005E6B34">
        <w:rPr>
          <w:rFonts w:cs="Arial"/>
        </w:rPr>
        <w:t xml:space="preserve">engaged. </w:t>
      </w:r>
      <w:r w:rsidR="001659B3">
        <w:rPr>
          <w:rFonts w:cs="Arial"/>
        </w:rPr>
        <w:t>The framework was then implemented once conferencing was suspended due to the Omicron wave</w:t>
      </w:r>
      <w:r w:rsidR="008C2233">
        <w:rPr>
          <w:rFonts w:cs="Arial"/>
        </w:rPr>
        <w:t xml:space="preserve"> of COVID-19</w:t>
      </w:r>
      <w:r w:rsidR="001659B3">
        <w:rPr>
          <w:rFonts w:cs="Arial"/>
        </w:rPr>
        <w:t>.</w:t>
      </w:r>
    </w:p>
    <w:p w14:paraId="3A1CADF8" w14:textId="794ACDB8" w:rsidR="008C2233" w:rsidRDefault="008C2233" w:rsidP="000709B9">
      <w:pPr>
        <w:ind w:left="-142" w:right="-425"/>
        <w:jc w:val="both"/>
        <w:rPr>
          <w:rFonts w:cs="Arial"/>
        </w:rPr>
      </w:pPr>
    </w:p>
    <w:p w14:paraId="464E66EC" w14:textId="7405C0E0" w:rsidR="00383B0F" w:rsidRPr="004972EA" w:rsidRDefault="00FB519B" w:rsidP="000709B9">
      <w:pPr>
        <w:ind w:left="-142" w:right="-425"/>
        <w:jc w:val="both"/>
        <w:rPr>
          <w:rFonts w:cs="Arial"/>
        </w:rPr>
      </w:pPr>
      <w:r>
        <w:rPr>
          <w:rFonts w:cs="Arial"/>
        </w:rPr>
        <w:t xml:space="preserve">The goal of the ICM Framework is to provide an increased level of oversight and support to vulnerable clients. Clients who may benefit from an increased level of support in the absence of usual conferencing were identified and prioritised </w:t>
      </w:r>
      <w:r w:rsidR="00733398">
        <w:rPr>
          <w:rFonts w:cs="Arial"/>
        </w:rPr>
        <w:t>collaboratively between the registry staff and Local Commissioners. Local Commissioners and Local Registry Coordinators then began working closely with those clients and service providers in community to identify specific needs and implement plans to have those needs met. Ongoing support and coordination</w:t>
      </w:r>
      <w:r w:rsidR="00564405">
        <w:rPr>
          <w:rFonts w:cs="Arial"/>
        </w:rPr>
        <w:t xml:space="preserve"> were</w:t>
      </w:r>
      <w:r w:rsidR="00EA35CD">
        <w:rPr>
          <w:rFonts w:cs="Arial"/>
        </w:rPr>
        <w:t xml:space="preserve"> then provided for these clients. Early feedback from ICM participants and from Local Commissioners is that it has been of enormous benefit to clients needing extra support, particularly when service providers </w:t>
      </w:r>
      <w:r w:rsidR="00782942">
        <w:rPr>
          <w:rFonts w:cs="Arial"/>
        </w:rPr>
        <w:t>were</w:t>
      </w:r>
      <w:r w:rsidR="00EA35CD">
        <w:rPr>
          <w:rFonts w:cs="Arial"/>
        </w:rPr>
        <w:t xml:space="preserve"> </w:t>
      </w:r>
      <w:r w:rsidR="00703A93">
        <w:rPr>
          <w:rFonts w:cs="Arial"/>
        </w:rPr>
        <w:t xml:space="preserve">either providing only a limited service or were </w:t>
      </w:r>
      <w:r w:rsidR="00EA35CD">
        <w:rPr>
          <w:rFonts w:cs="Arial"/>
        </w:rPr>
        <w:t>absent from community during the Omicron wave.</w:t>
      </w:r>
    </w:p>
    <w:p w14:paraId="76986AEF" w14:textId="77029F55" w:rsidR="00A640CB" w:rsidRDefault="00A640CB" w:rsidP="00A06016">
      <w:pPr>
        <w:ind w:left="-142" w:right="-425"/>
        <w:jc w:val="both"/>
        <w:rPr>
          <w:rFonts w:cs="Arial"/>
        </w:rPr>
      </w:pPr>
    </w:p>
    <w:p w14:paraId="13FAF2C7" w14:textId="12A8BF73" w:rsidR="00434C44" w:rsidRPr="00B61ECB" w:rsidRDefault="00434C44" w:rsidP="00A06016">
      <w:pPr>
        <w:ind w:left="-142" w:right="-425"/>
        <w:jc w:val="both"/>
        <w:rPr>
          <w:rFonts w:cs="Arial"/>
          <w:b/>
          <w:bCs/>
          <w:sz w:val="22"/>
          <w:szCs w:val="22"/>
        </w:rPr>
      </w:pPr>
      <w:r w:rsidRPr="00B61ECB">
        <w:rPr>
          <w:rFonts w:cs="Arial"/>
          <w:b/>
          <w:bCs/>
          <w:sz w:val="22"/>
          <w:szCs w:val="22"/>
        </w:rPr>
        <w:t>Annual Report 2020-21</w:t>
      </w:r>
    </w:p>
    <w:p w14:paraId="748F12E5" w14:textId="053109C9" w:rsidR="00A640CB" w:rsidRDefault="001F6CD4" w:rsidP="00A06016">
      <w:pPr>
        <w:ind w:left="-142" w:right="-425"/>
        <w:jc w:val="both"/>
        <w:rPr>
          <w:rFonts w:cs="Arial"/>
        </w:rPr>
      </w:pPr>
      <w:r>
        <w:rPr>
          <w:rFonts w:cs="Arial"/>
        </w:rPr>
        <w:t xml:space="preserve">As noted in the previous quarterly report, the FRC’s </w:t>
      </w:r>
      <w:r w:rsidR="00A640CB">
        <w:rPr>
          <w:rFonts w:cs="Arial"/>
        </w:rPr>
        <w:t>Annual Report</w:t>
      </w:r>
      <w:r w:rsidR="00AC070F">
        <w:rPr>
          <w:rFonts w:cs="Arial"/>
        </w:rPr>
        <w:t xml:space="preserve">, as required under s143 of the </w:t>
      </w:r>
      <w:r w:rsidR="00AC070F" w:rsidRPr="00564405">
        <w:rPr>
          <w:rFonts w:cs="Arial"/>
          <w:i/>
          <w:iCs/>
        </w:rPr>
        <w:t>Family Responsibilities Commission Act 2008</w:t>
      </w:r>
      <w:r w:rsidR="00AC070F">
        <w:rPr>
          <w:rFonts w:cs="Arial"/>
          <w:i/>
          <w:iCs/>
        </w:rPr>
        <w:t>,</w:t>
      </w:r>
      <w:r w:rsidR="00A640CB">
        <w:rPr>
          <w:rFonts w:cs="Arial"/>
        </w:rPr>
        <w:t xml:space="preserve"> </w:t>
      </w:r>
      <w:r>
        <w:rPr>
          <w:rFonts w:cs="Arial"/>
        </w:rPr>
        <w:t>was provided to the Hon Craig Crawford MP on 28 October 2021</w:t>
      </w:r>
      <w:r w:rsidR="00AC070F">
        <w:rPr>
          <w:rFonts w:cs="Arial"/>
        </w:rPr>
        <w:t xml:space="preserve">. </w:t>
      </w:r>
      <w:r w:rsidR="007E5C40">
        <w:rPr>
          <w:rFonts w:cs="Arial"/>
        </w:rPr>
        <w:t>We are pleased to report that t</w:t>
      </w:r>
      <w:r w:rsidR="00FE55E7">
        <w:rPr>
          <w:rFonts w:cs="Arial"/>
        </w:rPr>
        <w:t xml:space="preserve">he FRC’s annual report was tabled in the Queensland Parliament by Minister Crawford on </w:t>
      </w:r>
      <w:r w:rsidR="00DB4CC4">
        <w:rPr>
          <w:rFonts w:cs="Arial"/>
        </w:rPr>
        <w:t>1</w:t>
      </w:r>
      <w:r w:rsidR="00FE55E7">
        <w:rPr>
          <w:rFonts w:cs="Arial"/>
        </w:rPr>
        <w:t xml:space="preserve"> February 2022.</w:t>
      </w:r>
    </w:p>
    <w:p w14:paraId="2B83947A" w14:textId="71E3CD5B" w:rsidR="00434C44" w:rsidRDefault="00434C44" w:rsidP="00A06016">
      <w:pPr>
        <w:ind w:left="-142" w:right="-425"/>
        <w:jc w:val="both"/>
        <w:rPr>
          <w:rFonts w:cs="Arial"/>
        </w:rPr>
      </w:pPr>
    </w:p>
    <w:p w14:paraId="4B4A0F5F" w14:textId="6AE1F6F3" w:rsidR="00434C44" w:rsidRPr="00B61ECB" w:rsidRDefault="00434C44" w:rsidP="00A06016">
      <w:pPr>
        <w:ind w:left="-142" w:right="-425"/>
        <w:jc w:val="both"/>
        <w:rPr>
          <w:rFonts w:cs="Arial"/>
          <w:b/>
          <w:bCs/>
          <w:sz w:val="22"/>
          <w:szCs w:val="22"/>
        </w:rPr>
      </w:pPr>
      <w:r w:rsidRPr="00B61ECB">
        <w:rPr>
          <w:rFonts w:cs="Arial"/>
          <w:b/>
          <w:bCs/>
          <w:sz w:val="22"/>
          <w:szCs w:val="22"/>
        </w:rPr>
        <w:t>Memorandum of Understanding</w:t>
      </w:r>
    </w:p>
    <w:p w14:paraId="4A64ACE5" w14:textId="1BC544C4" w:rsidR="00B04449" w:rsidRDefault="00AC4C5A" w:rsidP="00225B0D">
      <w:pPr>
        <w:ind w:left="-142" w:right="-425"/>
        <w:jc w:val="both"/>
        <w:rPr>
          <w:rFonts w:cs="Arial"/>
        </w:rPr>
      </w:pPr>
      <w:r>
        <w:rPr>
          <w:rFonts w:cs="Arial"/>
        </w:rPr>
        <w:t xml:space="preserve">In late February 2022, advice was received </w:t>
      </w:r>
      <w:r w:rsidR="00FE55E7">
        <w:rPr>
          <w:rFonts w:cs="Arial"/>
        </w:rPr>
        <w:t xml:space="preserve">from the Department of </w:t>
      </w:r>
      <w:r>
        <w:rPr>
          <w:rFonts w:cs="Arial"/>
        </w:rPr>
        <w:t xml:space="preserve">Seniors, Disability Services and Aboriginal and Torres Strait Islander Partnerships </w:t>
      </w:r>
      <w:r w:rsidR="00EA35CD">
        <w:rPr>
          <w:rFonts w:cs="Arial"/>
        </w:rPr>
        <w:t xml:space="preserve">(DSDSATSIP) </w:t>
      </w:r>
      <w:r>
        <w:rPr>
          <w:rFonts w:cs="Arial"/>
        </w:rPr>
        <w:t xml:space="preserve">that agreement had been reached between Minister Crawford and the Hon Ken Wyatt AM, </w:t>
      </w:r>
      <w:r w:rsidR="00B04449">
        <w:rPr>
          <w:rFonts w:cs="Arial"/>
        </w:rPr>
        <w:t>to fund the FRC for a two-year period, from 1 July 2021 to 30 June 2023. The Memorandum of Understanding was signed by all parties</w:t>
      </w:r>
      <w:r w:rsidR="00DB4CC4">
        <w:rPr>
          <w:rFonts w:cs="Arial"/>
        </w:rPr>
        <w:t xml:space="preserve"> and executed on 11 March 2022.</w:t>
      </w:r>
      <w:r w:rsidR="007E5C40">
        <w:rPr>
          <w:rFonts w:cs="Arial"/>
        </w:rPr>
        <w:t xml:space="preserve"> </w:t>
      </w:r>
      <w:r w:rsidR="00B04449">
        <w:rPr>
          <w:rFonts w:cs="Arial"/>
        </w:rPr>
        <w:t>Noting the impact of</w:t>
      </w:r>
      <w:r w:rsidR="00225B0D">
        <w:rPr>
          <w:rFonts w:cs="Arial"/>
        </w:rPr>
        <w:t xml:space="preserve"> funding uncertainty on the FRC’s operations, the Commission is pleased to </w:t>
      </w:r>
      <w:r w:rsidR="00A61F5F">
        <w:rPr>
          <w:rFonts w:cs="Arial"/>
        </w:rPr>
        <w:t>have the</w:t>
      </w:r>
      <w:r w:rsidR="00906F39">
        <w:rPr>
          <w:rFonts w:cs="Arial"/>
        </w:rPr>
        <w:t xml:space="preserve"> formal</w:t>
      </w:r>
      <w:r w:rsidR="00A61F5F">
        <w:rPr>
          <w:rFonts w:cs="Arial"/>
        </w:rPr>
        <w:t xml:space="preserve"> funding agreement in place until July 2023</w:t>
      </w:r>
      <w:r w:rsidR="00906F39">
        <w:rPr>
          <w:rFonts w:cs="Arial"/>
        </w:rPr>
        <w:t xml:space="preserve">, and to </w:t>
      </w:r>
      <w:r w:rsidR="00564405">
        <w:rPr>
          <w:rFonts w:cs="Arial"/>
        </w:rPr>
        <w:t xml:space="preserve">be able to </w:t>
      </w:r>
      <w:r w:rsidR="00906F39">
        <w:rPr>
          <w:rFonts w:cs="Arial"/>
        </w:rPr>
        <w:t>provide a measure of stability to clients, Local Commissioners and registry staff.</w:t>
      </w:r>
    </w:p>
    <w:p w14:paraId="51C40822" w14:textId="77777777" w:rsidR="00FE55E7" w:rsidRPr="00564405" w:rsidRDefault="00FE55E7" w:rsidP="00A06016">
      <w:pPr>
        <w:ind w:left="-142" w:right="-425"/>
        <w:jc w:val="both"/>
        <w:rPr>
          <w:rFonts w:cs="Arial"/>
        </w:rPr>
      </w:pPr>
    </w:p>
    <w:p w14:paraId="776DD0A6" w14:textId="4FCF1226" w:rsidR="00383B0F" w:rsidRPr="00B61ECB" w:rsidRDefault="00383B0F" w:rsidP="00A06016">
      <w:pPr>
        <w:ind w:left="-142" w:right="-425"/>
        <w:jc w:val="both"/>
        <w:rPr>
          <w:rFonts w:cs="Arial"/>
          <w:b/>
          <w:bCs/>
          <w:sz w:val="22"/>
          <w:szCs w:val="22"/>
        </w:rPr>
      </w:pPr>
      <w:r w:rsidRPr="00B61ECB">
        <w:rPr>
          <w:rFonts w:cs="Arial"/>
          <w:b/>
          <w:bCs/>
          <w:sz w:val="22"/>
          <w:szCs w:val="22"/>
        </w:rPr>
        <w:t>Future Directions Review</w:t>
      </w:r>
    </w:p>
    <w:p w14:paraId="55F81891" w14:textId="79EBE28D" w:rsidR="00383B0F" w:rsidRDefault="00EA35CD" w:rsidP="00A06016">
      <w:pPr>
        <w:ind w:left="-142" w:right="-425"/>
        <w:jc w:val="both"/>
        <w:rPr>
          <w:rFonts w:cs="Arial"/>
        </w:rPr>
      </w:pPr>
      <w:r w:rsidRPr="00564405">
        <w:rPr>
          <w:rFonts w:cs="Arial"/>
        </w:rPr>
        <w:t xml:space="preserve">On 25 </w:t>
      </w:r>
      <w:r>
        <w:rPr>
          <w:rFonts w:cs="Arial"/>
        </w:rPr>
        <w:t xml:space="preserve">March 2022, the FRC was advised by DSDSATSIP that a consultant had been engaged to undertake an independent review </w:t>
      </w:r>
      <w:r w:rsidR="00E35299">
        <w:rPr>
          <w:rFonts w:cs="Arial"/>
        </w:rPr>
        <w:t>to inform the Queensland Government’s decision-making on the future of the FRC. The FRC will participate in the review as an opportunity to celebrate successes</w:t>
      </w:r>
      <w:r w:rsidR="007E5C40">
        <w:rPr>
          <w:rFonts w:cs="Arial"/>
        </w:rPr>
        <w:t>,</w:t>
      </w:r>
      <w:r w:rsidR="00E35299">
        <w:rPr>
          <w:rFonts w:cs="Arial"/>
        </w:rPr>
        <w:t xml:space="preserve"> recognise and report challenges</w:t>
      </w:r>
      <w:r w:rsidR="007E5C40">
        <w:rPr>
          <w:rFonts w:cs="Arial"/>
        </w:rPr>
        <w:t xml:space="preserve"> and seek new opportunities to continue improving the FRC model of social change</w:t>
      </w:r>
      <w:r w:rsidR="00E35299">
        <w:rPr>
          <w:rFonts w:cs="Arial"/>
        </w:rPr>
        <w:t xml:space="preserve">. It is hoped that the results of the review will provide opportunities to improve and evolve the Commission into an organisation with greater reach and </w:t>
      </w:r>
      <w:r w:rsidR="00A93C47">
        <w:rPr>
          <w:rFonts w:cs="Arial"/>
        </w:rPr>
        <w:t>impact and lead to long-term operational stability.</w:t>
      </w:r>
    </w:p>
    <w:p w14:paraId="435BC7D3" w14:textId="77777777" w:rsidR="00E35299" w:rsidRPr="00564405" w:rsidRDefault="00E35299" w:rsidP="00A06016">
      <w:pPr>
        <w:ind w:left="-142" w:right="-425"/>
        <w:jc w:val="both"/>
        <w:rPr>
          <w:rFonts w:cs="Arial"/>
        </w:rPr>
      </w:pPr>
    </w:p>
    <w:p w14:paraId="0E45FB2A" w14:textId="77777777" w:rsidR="005A4C3F" w:rsidRDefault="005A4C3F">
      <w:pPr>
        <w:spacing w:line="240" w:lineRule="auto"/>
        <w:rPr>
          <w:rFonts w:cs="Arial"/>
          <w:b/>
          <w:bCs/>
          <w:sz w:val="22"/>
          <w:szCs w:val="22"/>
        </w:rPr>
      </w:pPr>
      <w:r>
        <w:rPr>
          <w:rFonts w:cs="Arial"/>
          <w:b/>
          <w:bCs/>
          <w:sz w:val="22"/>
          <w:szCs w:val="22"/>
        </w:rPr>
        <w:br w:type="page"/>
      </w:r>
    </w:p>
    <w:p w14:paraId="1E834C82" w14:textId="47DD4251" w:rsidR="00E35299" w:rsidRPr="00B61ECB" w:rsidRDefault="00E35299" w:rsidP="00E35299">
      <w:pPr>
        <w:ind w:left="-142" w:right="-425"/>
        <w:jc w:val="both"/>
        <w:rPr>
          <w:rFonts w:cs="Arial"/>
          <w:b/>
          <w:bCs/>
          <w:sz w:val="22"/>
          <w:szCs w:val="22"/>
        </w:rPr>
      </w:pPr>
      <w:r w:rsidRPr="00B61ECB">
        <w:rPr>
          <w:rFonts w:cs="Arial"/>
          <w:b/>
          <w:bCs/>
          <w:sz w:val="22"/>
          <w:szCs w:val="22"/>
        </w:rPr>
        <w:lastRenderedPageBreak/>
        <w:t>Community Support and Services Committee</w:t>
      </w:r>
    </w:p>
    <w:p w14:paraId="2E1AE501" w14:textId="695F22C5" w:rsidR="00E35299" w:rsidRDefault="00E35299" w:rsidP="00E35299">
      <w:pPr>
        <w:ind w:left="-142" w:right="-425"/>
        <w:jc w:val="both"/>
        <w:rPr>
          <w:rFonts w:cs="Arial"/>
        </w:rPr>
      </w:pPr>
      <w:r w:rsidRPr="00564405">
        <w:rPr>
          <w:rFonts w:cs="Arial"/>
        </w:rPr>
        <w:t xml:space="preserve">On 28 </w:t>
      </w:r>
      <w:r w:rsidR="00A93C47" w:rsidRPr="00564405">
        <w:rPr>
          <w:rFonts w:cs="Arial"/>
        </w:rPr>
        <w:t>March 2022</w:t>
      </w:r>
      <w:r w:rsidR="00A93C47">
        <w:rPr>
          <w:rFonts w:cs="Arial"/>
        </w:rPr>
        <w:t>, Commissioner Williams, along with Registrar Maxine McLeod and Executive Officer (Finance) Tracey Paterson, appeared at a Public Briefing of the Community Support and Services Committee of the Queensland State Parliament.</w:t>
      </w:r>
    </w:p>
    <w:p w14:paraId="7B04617F" w14:textId="721D3FF1" w:rsidR="00A93C47" w:rsidRDefault="00A93C47" w:rsidP="00E35299">
      <w:pPr>
        <w:ind w:left="-142" w:right="-425"/>
        <w:jc w:val="both"/>
        <w:rPr>
          <w:rFonts w:cs="Arial"/>
        </w:rPr>
      </w:pPr>
    </w:p>
    <w:p w14:paraId="7F781E67" w14:textId="5996E0CC" w:rsidR="00A93C47" w:rsidRDefault="00A93C47" w:rsidP="00E35299">
      <w:pPr>
        <w:ind w:left="-142" w:right="-425"/>
        <w:jc w:val="both"/>
        <w:rPr>
          <w:rFonts w:cs="Arial"/>
        </w:rPr>
      </w:pPr>
      <w:r>
        <w:rPr>
          <w:rFonts w:cs="Arial"/>
        </w:rPr>
        <w:t>Commissioner Williams reported to the Committee on:</w:t>
      </w:r>
    </w:p>
    <w:p w14:paraId="746998A4" w14:textId="77777777" w:rsidR="00A93C47" w:rsidRPr="00B61ECB" w:rsidRDefault="00A93C47" w:rsidP="00A67760">
      <w:pPr>
        <w:pStyle w:val="ListParagraph"/>
        <w:numPr>
          <w:ilvl w:val="0"/>
          <w:numId w:val="20"/>
        </w:numPr>
        <w:spacing w:line="288" w:lineRule="auto"/>
        <w:ind w:left="283" w:right="-425" w:hanging="357"/>
        <w:jc w:val="both"/>
        <w:rPr>
          <w:rFonts w:ascii="Verdana" w:hAnsi="Verdana" w:cs="Arial"/>
          <w:sz w:val="20"/>
          <w:szCs w:val="20"/>
        </w:rPr>
      </w:pPr>
      <w:r w:rsidRPr="00B61ECB">
        <w:rPr>
          <w:rFonts w:ascii="Verdana" w:hAnsi="Verdana" w:cs="Arial"/>
          <w:sz w:val="20"/>
          <w:szCs w:val="20"/>
        </w:rPr>
        <w:t>the operational performance highlights outlined in the recently tabled Annual Report</w:t>
      </w:r>
    </w:p>
    <w:p w14:paraId="672AF5A9" w14:textId="45A9C062" w:rsidR="00A93C47" w:rsidRPr="00B61ECB" w:rsidRDefault="00A93C47" w:rsidP="00A67760">
      <w:pPr>
        <w:pStyle w:val="ListParagraph"/>
        <w:numPr>
          <w:ilvl w:val="0"/>
          <w:numId w:val="20"/>
        </w:numPr>
        <w:spacing w:line="288" w:lineRule="auto"/>
        <w:ind w:left="283" w:right="-425" w:hanging="357"/>
        <w:jc w:val="both"/>
        <w:rPr>
          <w:rFonts w:ascii="Verdana" w:hAnsi="Verdana" w:cs="Arial"/>
          <w:sz w:val="20"/>
          <w:szCs w:val="20"/>
        </w:rPr>
      </w:pPr>
      <w:r w:rsidRPr="00B61ECB">
        <w:rPr>
          <w:rFonts w:ascii="Verdana" w:hAnsi="Verdana" w:cs="Arial"/>
          <w:sz w:val="20"/>
          <w:szCs w:val="20"/>
        </w:rPr>
        <w:t>the M</w:t>
      </w:r>
      <w:r w:rsidR="00564405" w:rsidRPr="00B61ECB">
        <w:rPr>
          <w:rFonts w:ascii="Verdana" w:hAnsi="Verdana" w:cs="Arial"/>
          <w:sz w:val="20"/>
          <w:szCs w:val="20"/>
        </w:rPr>
        <w:t>o</w:t>
      </w:r>
      <w:r w:rsidRPr="00B61ECB">
        <w:rPr>
          <w:rFonts w:ascii="Verdana" w:hAnsi="Verdana" w:cs="Arial"/>
          <w:sz w:val="20"/>
          <w:szCs w:val="20"/>
        </w:rPr>
        <w:t>U for funding and the impact of successive short-term funding agreements on the Commission’s operations</w:t>
      </w:r>
    </w:p>
    <w:p w14:paraId="7BDA416C" w14:textId="32068D35" w:rsidR="00BF1392" w:rsidRPr="00B61ECB" w:rsidRDefault="00BF1392" w:rsidP="00A67760">
      <w:pPr>
        <w:pStyle w:val="ListParagraph"/>
        <w:numPr>
          <w:ilvl w:val="0"/>
          <w:numId w:val="20"/>
        </w:numPr>
        <w:spacing w:line="288" w:lineRule="auto"/>
        <w:ind w:left="283" w:right="-425" w:hanging="357"/>
        <w:jc w:val="both"/>
        <w:rPr>
          <w:rFonts w:ascii="Verdana" w:hAnsi="Verdana" w:cs="Arial"/>
          <w:sz w:val="20"/>
          <w:szCs w:val="20"/>
        </w:rPr>
      </w:pPr>
      <w:r w:rsidRPr="00B61ECB">
        <w:rPr>
          <w:rFonts w:ascii="Verdana" w:hAnsi="Verdana" w:cs="Arial"/>
          <w:sz w:val="20"/>
          <w:szCs w:val="20"/>
        </w:rPr>
        <w:t>the history of external scrutiny of the FRC and potential data limitations in the context of the Future Directions Review, and</w:t>
      </w:r>
    </w:p>
    <w:p w14:paraId="19115990" w14:textId="3C91A9D4" w:rsidR="00BF1392" w:rsidRPr="00B61ECB" w:rsidRDefault="00BF1392" w:rsidP="00A67760">
      <w:pPr>
        <w:pStyle w:val="ListParagraph"/>
        <w:numPr>
          <w:ilvl w:val="0"/>
          <w:numId w:val="20"/>
        </w:numPr>
        <w:spacing w:line="288" w:lineRule="auto"/>
        <w:ind w:left="283" w:right="-425" w:hanging="357"/>
        <w:jc w:val="both"/>
        <w:rPr>
          <w:rFonts w:ascii="Verdana" w:hAnsi="Verdana" w:cs="Arial"/>
          <w:sz w:val="20"/>
          <w:szCs w:val="20"/>
        </w:rPr>
      </w:pPr>
      <w:r w:rsidRPr="00B61ECB">
        <w:rPr>
          <w:rFonts w:ascii="Verdana" w:hAnsi="Verdana" w:cs="Arial"/>
          <w:sz w:val="20"/>
          <w:szCs w:val="20"/>
        </w:rPr>
        <w:t xml:space="preserve">the importance of operationalising the </w:t>
      </w:r>
      <w:r w:rsidR="00564405" w:rsidRPr="00B61ECB">
        <w:rPr>
          <w:rFonts w:ascii="Verdana" w:hAnsi="Verdana" w:cs="Arial"/>
          <w:sz w:val="20"/>
          <w:szCs w:val="20"/>
        </w:rPr>
        <w:t xml:space="preserve">Childrens Court </w:t>
      </w:r>
      <w:r w:rsidRPr="00B61ECB">
        <w:rPr>
          <w:rFonts w:ascii="Verdana" w:hAnsi="Verdana" w:cs="Arial"/>
          <w:sz w:val="20"/>
          <w:szCs w:val="20"/>
        </w:rPr>
        <w:t>trigger in the FRC Act.</w:t>
      </w:r>
    </w:p>
    <w:p w14:paraId="09D87250" w14:textId="77777777" w:rsidR="00434C44" w:rsidRPr="00564405" w:rsidRDefault="00434C44" w:rsidP="00A06016">
      <w:pPr>
        <w:ind w:left="-142" w:right="-425"/>
        <w:jc w:val="both"/>
        <w:rPr>
          <w:rFonts w:cs="Arial"/>
          <w:b/>
          <w:bCs/>
        </w:rPr>
      </w:pPr>
    </w:p>
    <w:p w14:paraId="7B028457" w14:textId="77777777" w:rsidR="00A640CB" w:rsidRDefault="00A640CB" w:rsidP="00A06016">
      <w:pPr>
        <w:ind w:left="-142" w:right="-425"/>
        <w:jc w:val="both"/>
        <w:rPr>
          <w:rFonts w:cs="Arial"/>
        </w:rPr>
      </w:pPr>
    </w:p>
    <w:p w14:paraId="42C25446" w14:textId="3B9C93BA" w:rsidR="00A83C16" w:rsidRDefault="00A83C16">
      <w:pPr>
        <w:spacing w:line="240" w:lineRule="auto"/>
      </w:pPr>
      <w:r>
        <w:br w:type="page"/>
      </w: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21246F5D"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BB6750">
        <w:rPr>
          <w:noProof/>
        </w:rPr>
        <w:t>7</w:t>
      </w:r>
      <w:r w:rsidR="00F058BE">
        <w:rPr>
          <w:noProof/>
        </w:rPr>
        <w:fldChar w:fldCharType="end"/>
      </w:r>
    </w:p>
    <w:p w14:paraId="62DF3D4A" w14:textId="287DCC3B"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BB6750">
        <w:rPr>
          <w:noProof/>
        </w:rPr>
        <w:t>21</w:t>
      </w:r>
      <w:r>
        <w:rPr>
          <w:noProof/>
        </w:rPr>
        <w:fldChar w:fldCharType="end"/>
      </w:r>
    </w:p>
    <w:p w14:paraId="293F38D2" w14:textId="08664AB1"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BB6750">
        <w:rPr>
          <w:noProof/>
        </w:rPr>
        <w:t>24</w:t>
      </w:r>
      <w:r>
        <w:rPr>
          <w:noProof/>
        </w:rPr>
        <w:fldChar w:fldCharType="end"/>
      </w:r>
    </w:p>
    <w:p w14:paraId="79738A35" w14:textId="1EA169A8"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BB6750">
        <w:rPr>
          <w:noProof/>
        </w:rPr>
        <w:t>25</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11F6223A">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chemeClr val="bg1"/>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" strokecolor="white [3212]">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3D095CAC" w:rsidR="005A5B78" w:rsidRPr="00B04486" w:rsidRDefault="005A5B78" w:rsidP="005A5B78">
      <w:pPr>
        <w:spacing w:after="240" w:line="240" w:lineRule="auto"/>
        <w:ind w:left="-142"/>
        <w:rPr>
          <w:i/>
          <w:sz w:val="24"/>
          <w:szCs w:val="24"/>
        </w:rPr>
      </w:pPr>
      <w:r w:rsidRPr="00B04486">
        <w:rPr>
          <w:i/>
          <w:sz w:val="24"/>
          <w:szCs w:val="24"/>
        </w:rPr>
        <w:t xml:space="preserve">Report to </w:t>
      </w:r>
      <w:r w:rsidR="00F83C14">
        <w:rPr>
          <w:i/>
          <w:sz w:val="24"/>
          <w:szCs w:val="24"/>
        </w:rPr>
        <w:t>3</w:t>
      </w:r>
      <w:r w:rsidR="00344B6E">
        <w:rPr>
          <w:i/>
          <w:sz w:val="24"/>
          <w:szCs w:val="24"/>
        </w:rPr>
        <w:t xml:space="preserve">1 </w:t>
      </w:r>
      <w:r w:rsidR="001A5C4C">
        <w:rPr>
          <w:i/>
          <w:sz w:val="24"/>
          <w:szCs w:val="24"/>
        </w:rPr>
        <w:t xml:space="preserve">March </w:t>
      </w:r>
      <w:r w:rsidR="00E53438">
        <w:rPr>
          <w:i/>
          <w:sz w:val="24"/>
          <w:szCs w:val="24"/>
        </w:rPr>
        <w:t>202</w:t>
      </w:r>
      <w:r w:rsidR="001A5C4C">
        <w:rPr>
          <w:i/>
          <w:sz w:val="24"/>
          <w:szCs w:val="24"/>
        </w:rPr>
        <w:t>2</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AE5461">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Default="008F63D1" w:rsidP="0024013F">
      <w:pPr>
        <w:tabs>
          <w:tab w:val="left" w:pos="1134"/>
        </w:tabs>
        <w:ind w:left="-142" w:right="-425"/>
        <w:jc w:val="both"/>
        <w:rPr>
          <w:b/>
          <w:bCs/>
        </w:rPr>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27B379E4"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B22249">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5E1684">
        <w:t>55</w:t>
      </w:r>
      <w:r w:rsidR="005728FA">
        <w:t>,</w:t>
      </w:r>
      <w:r w:rsidR="007B68DE">
        <w:t xml:space="preserve"> </w:t>
      </w:r>
      <w:r w:rsidR="00D356CC">
        <w:t>4</w:t>
      </w:r>
      <w:r w:rsidR="005E1684">
        <w:t>93</w:t>
      </w:r>
      <w:r w:rsidR="00D356CC">
        <w:t xml:space="preserve"> </w:t>
      </w:r>
      <w:r w:rsidR="006648A1">
        <w:t xml:space="preserve">clients </w:t>
      </w:r>
      <w:r w:rsidR="00FE5409">
        <w:t>(</w:t>
      </w:r>
      <w:r w:rsidR="00D356CC">
        <w:t xml:space="preserve">84 </w:t>
      </w:r>
      <w:r w:rsidR="00FE5409">
        <w:t>percen</w:t>
      </w:r>
      <w:r w:rsidR="00FC7C1D">
        <w:t>t</w:t>
      </w:r>
      <w:r w:rsidR="006648A1">
        <w:t>)</w:t>
      </w:r>
      <w:r w:rsidR="00FE5409">
        <w:t xml:space="preserve"> were notified to the Commission with only one type of trigger notice</w:t>
      </w:r>
      <w:r w:rsidR="003A48E8">
        <w:t>. T</w:t>
      </w:r>
      <w:r w:rsidR="00FE5409">
        <w:t xml:space="preserve">he remaining </w:t>
      </w:r>
      <w:r w:rsidR="00D356CC">
        <w:t>9</w:t>
      </w:r>
      <w:r w:rsidR="005E1684">
        <w:t>5</w:t>
      </w:r>
      <w:r w:rsidR="00D356CC">
        <w:t xml:space="preserve"> </w:t>
      </w:r>
      <w:r w:rsidR="006648A1">
        <w:t xml:space="preserve">clients </w:t>
      </w:r>
      <w:r w:rsidR="00FE5409">
        <w:t>(</w:t>
      </w:r>
      <w:r w:rsidR="00D356CC">
        <w:t xml:space="preserve">16 </w:t>
      </w:r>
      <w:r w:rsidR="00FE5409">
        <w:t>percen</w:t>
      </w:r>
      <w:r w:rsidR="00FC7C1D">
        <w:t>t</w:t>
      </w:r>
      <w:r w:rsidR="00FE5409">
        <w:t>) received more than one type of trigger notice.</w:t>
      </w:r>
    </w:p>
    <w:p w14:paraId="613CE34C" w14:textId="77E8D45D" w:rsidR="004128E4" w:rsidRDefault="004128E4" w:rsidP="00106EA8">
      <w:pPr>
        <w:tabs>
          <w:tab w:val="left" w:pos="1134"/>
        </w:tabs>
        <w:ind w:left="-142" w:right="-425"/>
        <w:jc w:val="both"/>
      </w:pPr>
    </w:p>
    <w:p w14:paraId="5238F48D" w14:textId="0CB98499" w:rsidR="006F0F24" w:rsidRPr="00D925BE" w:rsidRDefault="006F0F24" w:rsidP="006F0F24">
      <w:pPr>
        <w:spacing w:after="120" w:line="240" w:lineRule="auto"/>
        <w:ind w:right="-425"/>
        <w:jc w:val="both"/>
        <w:rPr>
          <w:b/>
          <w:sz w:val="16"/>
          <w:szCs w:val="16"/>
        </w:rPr>
      </w:pPr>
      <w:r>
        <w:rPr>
          <w:b/>
          <w:sz w:val="16"/>
          <w:szCs w:val="16"/>
        </w:rPr>
        <w:t>T</w:t>
      </w:r>
      <w:r w:rsidRPr="00362EE1">
        <w:rPr>
          <w:b/>
          <w:sz w:val="16"/>
          <w:szCs w:val="16"/>
        </w:rPr>
        <w:t xml:space="preserve">able </w:t>
      </w:r>
      <w:r>
        <w:rPr>
          <w:b/>
          <w:sz w:val="16"/>
          <w:szCs w:val="16"/>
        </w:rPr>
        <w:t>2</w:t>
      </w:r>
      <w:r w:rsidRPr="00362EE1">
        <w:rPr>
          <w:b/>
          <w:sz w:val="16"/>
          <w:szCs w:val="16"/>
        </w:rPr>
        <w:t xml:space="preserve">: </w:t>
      </w:r>
      <w:r w:rsidRPr="00D61631">
        <w:rPr>
          <w:rFonts w:cs="Arial"/>
          <w:bCs/>
          <w:sz w:val="16"/>
          <w:szCs w:val="16"/>
        </w:rPr>
        <w:t>Number of</w:t>
      </w:r>
      <w:r w:rsidRPr="000A2D9F">
        <w:rPr>
          <w:rFonts w:cs="Arial"/>
          <w:bCs/>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 xml:space="preserve">1 </w:t>
      </w:r>
      <w:r>
        <w:rPr>
          <w:rFonts w:cs="Arial"/>
          <w:sz w:val="16"/>
          <w:szCs w:val="16"/>
        </w:rPr>
        <w:t>January</w:t>
      </w:r>
      <w:r>
        <w:rPr>
          <w:rFonts w:cs="Arial"/>
          <w:sz w:val="16"/>
          <w:szCs w:val="16"/>
        </w:rPr>
        <w:t xml:space="preserve"> 202</w:t>
      </w:r>
      <w:r>
        <w:rPr>
          <w:rFonts w:cs="Arial"/>
          <w:sz w:val="16"/>
          <w:szCs w:val="16"/>
        </w:rPr>
        <w:t>2</w:t>
      </w:r>
      <w:r>
        <w:rPr>
          <w:rFonts w:cs="Arial"/>
          <w:sz w:val="16"/>
          <w:szCs w:val="16"/>
        </w:rPr>
        <w:t xml:space="preserve"> to 31 </w:t>
      </w:r>
      <w:r>
        <w:rPr>
          <w:rFonts w:cs="Arial"/>
          <w:sz w:val="16"/>
          <w:szCs w:val="16"/>
        </w:rPr>
        <w:t>March</w:t>
      </w:r>
      <w:r>
        <w:rPr>
          <w:rFonts w:cs="Arial"/>
          <w:sz w:val="16"/>
          <w:szCs w:val="16"/>
        </w:rPr>
        <w:t xml:space="preserve"> 202</w:t>
      </w:r>
      <w:r>
        <w:rPr>
          <w:rFonts w:cs="Arial"/>
          <w:sz w:val="16"/>
          <w:szCs w:val="16"/>
        </w:rPr>
        <w:t>2</w:t>
      </w:r>
    </w:p>
    <w:tbl>
      <w:tblPr>
        <w:tblW w:w="5289" w:type="dxa"/>
        <w:tblInd w:w="93" w:type="dxa"/>
        <w:tblLook w:val="04A0" w:firstRow="1" w:lastRow="0" w:firstColumn="1" w:lastColumn="0" w:noHBand="0" w:noVBand="1"/>
      </w:tblPr>
      <w:tblGrid>
        <w:gridCol w:w="3446"/>
        <w:gridCol w:w="1843"/>
      </w:tblGrid>
      <w:tr w:rsidR="006F0F24" w:rsidRPr="006E764C" w14:paraId="64658590" w14:textId="77777777" w:rsidTr="006F4E59">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6E0AAC40" w14:textId="77777777" w:rsidR="006F0F24" w:rsidRPr="0093030B" w:rsidRDefault="006F0F24" w:rsidP="006F4E59">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2A7EFABA" w14:textId="77777777" w:rsidR="006F0F24" w:rsidRPr="0093030B" w:rsidRDefault="006F0F24" w:rsidP="006F4E59">
            <w:pPr>
              <w:pStyle w:val="TableText"/>
              <w:rPr>
                <w:b/>
                <w:lang w:eastAsia="en-AU"/>
              </w:rPr>
            </w:pPr>
            <w:r w:rsidRPr="0093030B">
              <w:rPr>
                <w:b/>
                <w:lang w:eastAsia="en-AU"/>
              </w:rPr>
              <w:t>Number of Clients</w:t>
            </w:r>
          </w:p>
        </w:tc>
      </w:tr>
      <w:tr w:rsidR="006F0F24" w:rsidRPr="006E764C" w14:paraId="735D8CD5" w14:textId="77777777" w:rsidTr="006F4E59">
        <w:trPr>
          <w:trHeight w:val="255"/>
        </w:trPr>
        <w:tc>
          <w:tcPr>
            <w:tcW w:w="3446" w:type="dxa"/>
            <w:tcBorders>
              <w:top w:val="nil"/>
              <w:left w:val="single" w:sz="4" w:space="0" w:color="auto"/>
              <w:bottom w:val="single" w:sz="4" w:space="0" w:color="auto"/>
              <w:right w:val="single" w:sz="4" w:space="0" w:color="auto"/>
            </w:tcBorders>
            <w:noWrap/>
            <w:hideMark/>
          </w:tcPr>
          <w:p w14:paraId="25C1D6E8" w14:textId="77777777" w:rsidR="006F0F24" w:rsidRPr="006E764C" w:rsidRDefault="006F0F24" w:rsidP="006F4E59">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185E43D9" w14:textId="66DD6900" w:rsidR="006F0F24" w:rsidRPr="005B6887" w:rsidRDefault="006F0F24" w:rsidP="006F4E59">
            <w:pPr>
              <w:jc w:val="right"/>
              <w:rPr>
                <w:rFonts w:cs="Arial"/>
              </w:rPr>
            </w:pPr>
            <w:r>
              <w:rPr>
                <w:rFonts w:cs="Arial"/>
              </w:rPr>
              <w:t>4</w:t>
            </w:r>
            <w:r>
              <w:rPr>
                <w:rFonts w:cs="Arial"/>
              </w:rPr>
              <w:t>93</w:t>
            </w:r>
          </w:p>
        </w:tc>
      </w:tr>
      <w:tr w:rsidR="006F0F24" w:rsidRPr="006E764C" w14:paraId="14404953" w14:textId="77777777" w:rsidTr="006F4E59">
        <w:trPr>
          <w:trHeight w:val="255"/>
        </w:trPr>
        <w:tc>
          <w:tcPr>
            <w:tcW w:w="3446" w:type="dxa"/>
            <w:tcBorders>
              <w:top w:val="nil"/>
              <w:left w:val="single" w:sz="4" w:space="0" w:color="auto"/>
              <w:bottom w:val="single" w:sz="4" w:space="0" w:color="auto"/>
              <w:right w:val="single" w:sz="4" w:space="0" w:color="auto"/>
            </w:tcBorders>
            <w:noWrap/>
            <w:hideMark/>
          </w:tcPr>
          <w:p w14:paraId="66F0BFA3" w14:textId="77777777" w:rsidR="006F0F24" w:rsidRPr="006E764C" w:rsidRDefault="006F0F24" w:rsidP="006F4E59">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3CF4BE96" w14:textId="6D7AB573" w:rsidR="006F0F24" w:rsidRPr="005B6887" w:rsidRDefault="006F0F24" w:rsidP="006F4E59">
            <w:pPr>
              <w:jc w:val="right"/>
              <w:rPr>
                <w:rFonts w:cs="Arial"/>
              </w:rPr>
            </w:pPr>
            <w:r>
              <w:rPr>
                <w:rFonts w:cs="Arial"/>
              </w:rPr>
              <w:t>8</w:t>
            </w:r>
            <w:r>
              <w:rPr>
                <w:rFonts w:cs="Arial"/>
              </w:rPr>
              <w:t>5</w:t>
            </w:r>
          </w:p>
        </w:tc>
      </w:tr>
      <w:tr w:rsidR="006F0F24" w:rsidRPr="006E764C" w14:paraId="0565493D" w14:textId="77777777" w:rsidTr="006F4E59">
        <w:trPr>
          <w:trHeight w:val="255"/>
        </w:trPr>
        <w:tc>
          <w:tcPr>
            <w:tcW w:w="3446" w:type="dxa"/>
            <w:tcBorders>
              <w:top w:val="nil"/>
              <w:left w:val="single" w:sz="4" w:space="0" w:color="auto"/>
              <w:bottom w:val="single" w:sz="4" w:space="0" w:color="auto"/>
              <w:right w:val="single" w:sz="4" w:space="0" w:color="auto"/>
            </w:tcBorders>
            <w:noWrap/>
            <w:hideMark/>
          </w:tcPr>
          <w:p w14:paraId="0149BDE9" w14:textId="77777777" w:rsidR="006F0F24" w:rsidRPr="006E764C" w:rsidRDefault="006F0F24" w:rsidP="006F4E59">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0507556F" w14:textId="07457940" w:rsidR="006F0F24" w:rsidRPr="005B6887" w:rsidRDefault="006F0F24" w:rsidP="006F4E59">
            <w:pPr>
              <w:jc w:val="right"/>
              <w:rPr>
                <w:rFonts w:cs="Arial"/>
              </w:rPr>
            </w:pPr>
            <w:r>
              <w:rPr>
                <w:rFonts w:cs="Arial"/>
              </w:rPr>
              <w:t>1</w:t>
            </w:r>
            <w:r>
              <w:rPr>
                <w:rFonts w:cs="Arial"/>
              </w:rPr>
              <w:t>0</w:t>
            </w:r>
          </w:p>
        </w:tc>
      </w:tr>
      <w:tr w:rsidR="006F0F24" w:rsidRPr="006E764C" w14:paraId="0E979F17" w14:textId="77777777" w:rsidTr="006F4E59">
        <w:trPr>
          <w:trHeight w:val="255"/>
        </w:trPr>
        <w:tc>
          <w:tcPr>
            <w:tcW w:w="3446" w:type="dxa"/>
            <w:tcBorders>
              <w:top w:val="nil"/>
              <w:left w:val="single" w:sz="4" w:space="0" w:color="auto"/>
              <w:bottom w:val="single" w:sz="4" w:space="0" w:color="auto"/>
              <w:right w:val="single" w:sz="4" w:space="0" w:color="auto"/>
            </w:tcBorders>
            <w:noWrap/>
            <w:hideMark/>
          </w:tcPr>
          <w:p w14:paraId="19B753D4" w14:textId="77777777" w:rsidR="006F0F24" w:rsidRPr="006E764C" w:rsidRDefault="006F0F24" w:rsidP="006F4E59">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2917BC18" w14:textId="0974A4DB" w:rsidR="006F0F24" w:rsidRPr="005B6887" w:rsidRDefault="006F0F24" w:rsidP="006F4E59">
            <w:pPr>
              <w:jc w:val="right"/>
              <w:rPr>
                <w:rFonts w:cs="Arial"/>
              </w:rPr>
            </w:pPr>
            <w:r>
              <w:rPr>
                <w:rFonts w:cs="Arial"/>
              </w:rPr>
              <w:t>0</w:t>
            </w:r>
          </w:p>
        </w:tc>
      </w:tr>
      <w:tr w:rsidR="006F0F24" w:rsidRPr="006E764C" w14:paraId="06AD173C" w14:textId="77777777" w:rsidTr="006F4E59">
        <w:trPr>
          <w:trHeight w:val="255"/>
        </w:trPr>
        <w:tc>
          <w:tcPr>
            <w:tcW w:w="3446" w:type="dxa"/>
            <w:tcBorders>
              <w:top w:val="nil"/>
              <w:left w:val="single" w:sz="4" w:space="0" w:color="auto"/>
              <w:bottom w:val="single" w:sz="4" w:space="0" w:color="auto"/>
              <w:right w:val="single" w:sz="4" w:space="0" w:color="auto"/>
            </w:tcBorders>
            <w:noWrap/>
            <w:hideMark/>
          </w:tcPr>
          <w:p w14:paraId="69BEFBF0" w14:textId="77777777" w:rsidR="006F0F24" w:rsidRPr="00645916" w:rsidRDefault="006F0F24" w:rsidP="006F4E59">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5ED40412" w14:textId="00EDA612" w:rsidR="006F0F24" w:rsidRPr="005B6887" w:rsidRDefault="006F0F24" w:rsidP="006F4E59">
            <w:pPr>
              <w:jc w:val="right"/>
              <w:rPr>
                <w:rFonts w:cs="Arial"/>
                <w:b/>
                <w:bCs/>
              </w:rPr>
            </w:pPr>
            <w:r w:rsidRPr="005B6887">
              <w:rPr>
                <w:rFonts w:cs="Arial"/>
                <w:b/>
                <w:bCs/>
              </w:rPr>
              <w:t>5</w:t>
            </w:r>
            <w:r>
              <w:rPr>
                <w:rFonts w:cs="Arial"/>
                <w:b/>
                <w:bCs/>
              </w:rPr>
              <w:t>88</w:t>
            </w:r>
          </w:p>
        </w:tc>
      </w:tr>
    </w:tbl>
    <w:p w14:paraId="71FD0CC3" w14:textId="01D010FB" w:rsidR="001263B0" w:rsidRDefault="001263B0" w:rsidP="00106EA8">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45933DA0" w14:textId="77777777" w:rsidR="003E4DE0" w:rsidRDefault="003E4DE0" w:rsidP="00106EA8">
      <w:pPr>
        <w:tabs>
          <w:tab w:val="left" w:pos="1134"/>
        </w:tabs>
        <w:ind w:left="-142" w:right="-425"/>
        <w:jc w:val="both"/>
      </w:pPr>
    </w:p>
    <w:p w14:paraId="6C36ABA8" w14:textId="69CD2281" w:rsidR="003317A8" w:rsidRPr="002B14E8" w:rsidRDefault="00FB4106" w:rsidP="005C0A9F">
      <w:pPr>
        <w:tabs>
          <w:tab w:val="decimal" w:pos="720"/>
        </w:tabs>
        <w:ind w:left="-142" w:right="-425"/>
        <w:jc w:val="both"/>
      </w:pPr>
      <w:r>
        <w:tab/>
      </w:r>
      <w:r w:rsidR="005E1684">
        <w:t>59</w:t>
      </w:r>
      <w:r w:rsidR="002B14E8" w:rsidRPr="002B14E8">
        <w:t xml:space="preserve"> </w:t>
      </w:r>
      <w:r w:rsidR="003317A8" w:rsidRPr="002B14E8">
        <w:t>percen</w:t>
      </w:r>
      <w:r w:rsidR="00FC7C1D" w:rsidRPr="002B14E8">
        <w:t>t</w:t>
      </w:r>
      <w:r w:rsidR="003317A8" w:rsidRPr="002B14E8">
        <w:t xml:space="preserve"> received a school attendance </w:t>
      </w:r>
      <w:r w:rsidR="00546F72" w:rsidRPr="002B14E8">
        <w:t xml:space="preserve">(EQ) </w:t>
      </w:r>
      <w:r w:rsidR="003317A8" w:rsidRPr="002B14E8">
        <w:t>notice</w:t>
      </w:r>
    </w:p>
    <w:p w14:paraId="148CD9E5" w14:textId="1D824BB5" w:rsidR="003317A8" w:rsidRPr="002B14E8" w:rsidRDefault="00FB4106" w:rsidP="005C0A9F">
      <w:pPr>
        <w:tabs>
          <w:tab w:val="decimal" w:pos="720"/>
        </w:tabs>
        <w:ind w:left="-142" w:right="-425"/>
        <w:jc w:val="both"/>
      </w:pPr>
      <w:r w:rsidRPr="002B14E8">
        <w:tab/>
      </w:r>
      <w:r w:rsidR="002B14E8">
        <w:t>13</w:t>
      </w:r>
      <w:r w:rsidR="002B14E8" w:rsidRPr="002B14E8">
        <w:t xml:space="preserve"> </w:t>
      </w:r>
      <w:r w:rsidR="00FC7C1D" w:rsidRPr="002B14E8">
        <w:t xml:space="preserve">percent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35B9421A" w14:textId="3462C968" w:rsidR="00384FFE" w:rsidRPr="002B14E8" w:rsidRDefault="00384FFE" w:rsidP="00384FFE">
      <w:pPr>
        <w:tabs>
          <w:tab w:val="decimal" w:pos="720"/>
        </w:tabs>
        <w:ind w:left="-142" w:right="-425"/>
        <w:jc w:val="both"/>
      </w:pPr>
      <w:r w:rsidRPr="002B14E8">
        <w:tab/>
      </w:r>
      <w:r w:rsidR="002B14E8">
        <w:t>5</w:t>
      </w:r>
      <w:r w:rsidRPr="002B14E8">
        <w:t xml:space="preserve"> percent received a child safety and welfare (CS) notice</w:t>
      </w:r>
    </w:p>
    <w:p w14:paraId="2F67FFD0" w14:textId="242E7581" w:rsidR="003317A8" w:rsidRPr="002B14E8" w:rsidRDefault="00FB4106" w:rsidP="005C0A9F">
      <w:pPr>
        <w:tabs>
          <w:tab w:val="decimal" w:pos="720"/>
        </w:tabs>
        <w:ind w:left="-142" w:right="-425"/>
        <w:jc w:val="both"/>
      </w:pPr>
      <w:r w:rsidRPr="002B14E8">
        <w:tab/>
      </w:r>
      <w:r w:rsidR="005E1684">
        <w:t>5</w:t>
      </w:r>
      <w:r w:rsidR="00E364B4" w:rsidRPr="002B14E8">
        <w:t xml:space="preserve"> </w:t>
      </w:r>
      <w:r w:rsidR="00FC7C1D" w:rsidRPr="002B14E8">
        <w:t xml:space="preserve">percent </w:t>
      </w:r>
      <w:r w:rsidR="00E364B4" w:rsidRPr="002B14E8">
        <w:t xml:space="preserve">received a domestic violence order </w:t>
      </w:r>
      <w:r w:rsidR="00546F72" w:rsidRPr="002B14E8">
        <w:t xml:space="preserve">(DVO) </w:t>
      </w:r>
      <w:r w:rsidR="00E364B4" w:rsidRPr="002B14E8">
        <w:t>notice</w:t>
      </w:r>
      <w:r w:rsidR="00C43C99">
        <w:t xml:space="preserve"> and</w:t>
      </w:r>
    </w:p>
    <w:p w14:paraId="5E30BB84" w14:textId="77777777" w:rsidR="005E1684" w:rsidRPr="002B14E8" w:rsidRDefault="005E1684" w:rsidP="005E1684">
      <w:pPr>
        <w:tabs>
          <w:tab w:val="decimal" w:pos="720"/>
        </w:tabs>
        <w:ind w:left="-142" w:right="-425"/>
        <w:jc w:val="both"/>
      </w:pPr>
      <w:r w:rsidRPr="002B14E8">
        <w:tab/>
      </w:r>
      <w:r>
        <w:t>1</w:t>
      </w:r>
      <w:r w:rsidRPr="002B14E8">
        <w:t xml:space="preserve"> percent received a domestic violence breach (DVB) notice</w:t>
      </w:r>
      <w:r>
        <w:t>.</w:t>
      </w:r>
    </w:p>
    <w:p w14:paraId="68FAE7D3" w14:textId="77777777" w:rsidR="00B22249" w:rsidRDefault="00B22249" w:rsidP="00C43C99">
      <w:pPr>
        <w:tabs>
          <w:tab w:val="left" w:pos="1134"/>
        </w:tabs>
        <w:ind w:left="-142" w:right="-425"/>
        <w:jc w:val="both"/>
      </w:pPr>
    </w:p>
    <w:p w14:paraId="74CFEB98" w14:textId="2B57F912" w:rsidR="002B14E8" w:rsidRDefault="002B14E8" w:rsidP="00C43C99">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5E1684">
        <w:t xml:space="preserve">7 </w:t>
      </w:r>
      <w:r w:rsidR="00C43C99">
        <w:t>clients with a housing tenancy breach (HT) notice</w:t>
      </w:r>
      <w:r w:rsidR="005E1684">
        <w:t xml:space="preserve"> and 2 clients with a school enrolment notice (SEN)</w:t>
      </w:r>
      <w:r>
        <w:t>.</w:t>
      </w:r>
    </w:p>
    <w:p w14:paraId="78ABBEEE" w14:textId="2458F564" w:rsidR="004E36FE" w:rsidRDefault="00702AE8" w:rsidP="004E36FE">
      <w:pPr>
        <w:tabs>
          <w:tab w:val="left" w:pos="1134"/>
        </w:tabs>
        <w:ind w:left="-142" w:right="-425"/>
        <w:jc w:val="both"/>
      </w:pPr>
      <w:r>
        <w:t xml:space="preserve">Table </w:t>
      </w:r>
      <w:r w:rsidR="001C1B82">
        <w:t>3</w:t>
      </w:r>
      <w:r>
        <w:t xml:space="preserve"> shows t</w:t>
      </w:r>
      <w:r w:rsidR="00D87B74">
        <w:t xml:space="preserve">he </w:t>
      </w:r>
      <w:r w:rsidR="00D87B74" w:rsidRPr="00ED2A82">
        <w:t xml:space="preserve">combination of trigger notices received for </w:t>
      </w:r>
      <w:r w:rsidR="0007578E" w:rsidRPr="00ED2A82">
        <w:t>9</w:t>
      </w:r>
      <w:r w:rsidR="005E1684" w:rsidRPr="00ED2A82">
        <w:t>5</w:t>
      </w:r>
      <w:r w:rsidR="0007578E"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One can see that predominantly </w:t>
      </w:r>
      <w:r w:rsidR="00E451BA" w:rsidRPr="00ED2A82">
        <w:t>there is a nexus between</w:t>
      </w:r>
      <w:r w:rsidR="00266BB4" w:rsidRPr="00ED2A82">
        <w:t xml:space="preserve"> </w:t>
      </w:r>
      <w:r w:rsidR="00D87B74" w:rsidRPr="00ED2A82">
        <w:t xml:space="preserve">Court convictions </w:t>
      </w:r>
      <w:r w:rsidR="00266BB4" w:rsidRPr="00ED2A82">
        <w:t xml:space="preserve">and domestic violence orders/breaches </w:t>
      </w:r>
      <w:r w:rsidR="00E451BA" w:rsidRPr="00ED2A82">
        <w:t>with</w:t>
      </w:r>
      <w:r w:rsidR="00D87B74" w:rsidRPr="00ED2A82">
        <w:t xml:space="preserve"> education </w:t>
      </w:r>
      <w:r w:rsidR="00E451BA" w:rsidRPr="00ED2A82">
        <w:t xml:space="preserve">notices </w:t>
      </w:r>
      <w:r w:rsidR="00D87B74" w:rsidRPr="00ED2A82">
        <w:t>and child safety issues</w:t>
      </w:r>
      <w:r w:rsidR="00A903B1" w:rsidRPr="00ED2A82">
        <w:t xml:space="preserve">, </w:t>
      </w:r>
      <w:proofErr w:type="gramStart"/>
      <w:r w:rsidR="00A903B1" w:rsidRPr="00ED2A82">
        <w:t xml:space="preserve">and </w:t>
      </w:r>
      <w:r w:rsidR="00E451BA" w:rsidRPr="00ED2A82">
        <w:t>also</w:t>
      </w:r>
      <w:proofErr w:type="gramEnd"/>
      <w:r w:rsidR="00E451BA" w:rsidRPr="00ED2A82">
        <w:t xml:space="preserve"> </w:t>
      </w:r>
      <w:r w:rsidR="00A903B1" w:rsidRPr="00ED2A82">
        <w:t>a strong nexus between child safety issues and education notices</w:t>
      </w:r>
      <w:r w:rsidR="00266BB4" w:rsidRPr="00ED2A82">
        <w:t>.</w:t>
      </w:r>
    </w:p>
    <w:p w14:paraId="4DF56508" w14:textId="6FC8AD83" w:rsidR="0030587D" w:rsidRDefault="0030587D" w:rsidP="00106EA8">
      <w:pPr>
        <w:tabs>
          <w:tab w:val="left" w:pos="1134"/>
        </w:tabs>
        <w:ind w:left="-142" w:right="-425"/>
        <w:jc w:val="both"/>
      </w:pPr>
    </w:p>
    <w:p w14:paraId="6F0A5996" w14:textId="77777777" w:rsidR="00DC1BD8" w:rsidRDefault="00DC1BD8">
      <w:pPr>
        <w:spacing w:line="240" w:lineRule="auto"/>
        <w:rPr>
          <w:b/>
          <w:sz w:val="16"/>
          <w:szCs w:val="16"/>
        </w:rPr>
      </w:pPr>
      <w:r>
        <w:rPr>
          <w:b/>
          <w:sz w:val="16"/>
          <w:szCs w:val="16"/>
        </w:rPr>
        <w:br w:type="page"/>
      </w:r>
    </w:p>
    <w:p w14:paraId="545211AE" w14:textId="748B9660"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DC1BD8">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multiple and differing </w:t>
      </w:r>
      <w:r w:rsidR="00352CA2" w:rsidRPr="00352CA2">
        <w:rPr>
          <w:bCs/>
          <w:sz w:val="16"/>
          <w:szCs w:val="16"/>
        </w:rPr>
        <w:t>agency notices</w:t>
      </w:r>
      <w:r w:rsidR="007E7F5E">
        <w:rPr>
          <w:bCs/>
          <w:sz w:val="16"/>
          <w:szCs w:val="16"/>
        </w:rPr>
        <w:t xml:space="preserve"> (</w:t>
      </w:r>
      <w:proofErr w:type="gramStart"/>
      <w:r w:rsidR="007E7F5E">
        <w:rPr>
          <w:bCs/>
          <w:sz w:val="16"/>
          <w:szCs w:val="16"/>
        </w:rPr>
        <w:t>i.e.</w:t>
      </w:r>
      <w:proofErr w:type="gramEnd"/>
      <w:r w:rsidR="007E7F5E">
        <w:rPr>
          <w:bCs/>
          <w:sz w:val="16"/>
          <w:szCs w:val="16"/>
        </w:rPr>
        <w:t xml:space="preserv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F83C14">
        <w:rPr>
          <w:bCs/>
          <w:sz w:val="16"/>
          <w:szCs w:val="16"/>
        </w:rPr>
        <w:t xml:space="preserve">1 </w:t>
      </w:r>
      <w:r w:rsidR="00415BC8">
        <w:rPr>
          <w:bCs/>
          <w:sz w:val="16"/>
          <w:szCs w:val="16"/>
        </w:rPr>
        <w:t>January 2022</w:t>
      </w:r>
      <w:r w:rsidR="00352CA2" w:rsidRPr="00352CA2">
        <w:rPr>
          <w:bCs/>
          <w:sz w:val="16"/>
          <w:szCs w:val="16"/>
        </w:rPr>
        <w:t xml:space="preserve"> to </w:t>
      </w:r>
      <w:r w:rsidR="00F83C14">
        <w:rPr>
          <w:bCs/>
          <w:sz w:val="16"/>
          <w:szCs w:val="16"/>
        </w:rPr>
        <w:t>3</w:t>
      </w:r>
      <w:r w:rsidR="00454A8C">
        <w:rPr>
          <w:bCs/>
          <w:sz w:val="16"/>
          <w:szCs w:val="16"/>
        </w:rPr>
        <w:t xml:space="preserve">1 </w:t>
      </w:r>
      <w:r w:rsidR="001A5C4C">
        <w:rPr>
          <w:bCs/>
          <w:sz w:val="16"/>
          <w:szCs w:val="16"/>
        </w:rPr>
        <w:t>March 2022</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277E4B" w:rsidRPr="00FE5409" w14:paraId="64EC235F" w14:textId="77777777" w:rsidTr="002C0BEA">
        <w:trPr>
          <w:trHeight w:val="300"/>
        </w:trPr>
        <w:tc>
          <w:tcPr>
            <w:tcW w:w="2200" w:type="dxa"/>
            <w:shd w:val="clear" w:color="auto" w:fill="auto"/>
            <w:vAlign w:val="bottom"/>
          </w:tcPr>
          <w:p w14:paraId="6AAC1868" w14:textId="606AF424" w:rsidR="00277E4B" w:rsidRDefault="00277E4B" w:rsidP="00277E4B">
            <w:pPr>
              <w:spacing w:line="240" w:lineRule="auto"/>
              <w:rPr>
                <w:rFonts w:cs="Arial"/>
                <w:color w:val="000000"/>
              </w:rPr>
            </w:pPr>
            <w:proofErr w:type="gramStart"/>
            <w:r>
              <w:rPr>
                <w:rFonts w:ascii="Calibri" w:hAnsi="Calibri" w:cs="Calibri"/>
                <w:sz w:val="22"/>
                <w:szCs w:val="22"/>
              </w:rPr>
              <w:t>CS,DVB</w:t>
            </w:r>
            <w:proofErr w:type="gramEnd"/>
            <w:r>
              <w:rPr>
                <w:rFonts w:ascii="Calibri" w:hAnsi="Calibri" w:cs="Calibri"/>
                <w:sz w:val="22"/>
                <w:szCs w:val="22"/>
              </w:rPr>
              <w:t>,MAG</w:t>
            </w:r>
          </w:p>
        </w:tc>
        <w:tc>
          <w:tcPr>
            <w:tcW w:w="1197" w:type="dxa"/>
            <w:shd w:val="clear" w:color="auto" w:fill="auto"/>
          </w:tcPr>
          <w:p w14:paraId="67312F30" w14:textId="3306B8C8" w:rsidR="00277E4B" w:rsidRPr="00FE5409" w:rsidRDefault="00277E4B" w:rsidP="00277E4B">
            <w:pPr>
              <w:spacing w:line="240" w:lineRule="auto"/>
              <w:jc w:val="right"/>
              <w:rPr>
                <w:rFonts w:cs="Calibri"/>
                <w:color w:val="000000"/>
                <w:lang w:eastAsia="en-AU"/>
              </w:rPr>
            </w:pPr>
            <w:r>
              <w:rPr>
                <w:rFonts w:cs="Arial"/>
                <w:color w:val="000000"/>
              </w:rPr>
              <w:t>1</w:t>
            </w:r>
          </w:p>
        </w:tc>
      </w:tr>
      <w:tr w:rsidR="00277E4B" w:rsidRPr="00FE5409" w14:paraId="4CC5A88B" w14:textId="77777777" w:rsidTr="002C0BEA">
        <w:trPr>
          <w:trHeight w:val="300"/>
        </w:trPr>
        <w:tc>
          <w:tcPr>
            <w:tcW w:w="2200" w:type="dxa"/>
            <w:shd w:val="clear" w:color="auto" w:fill="auto"/>
            <w:vAlign w:val="bottom"/>
          </w:tcPr>
          <w:p w14:paraId="61A9D4A5" w14:textId="5C616032" w:rsidR="00277E4B" w:rsidRDefault="00277E4B" w:rsidP="00277E4B">
            <w:pPr>
              <w:spacing w:line="240" w:lineRule="auto"/>
              <w:rPr>
                <w:rFonts w:cs="Arial"/>
                <w:color w:val="000000"/>
              </w:rPr>
            </w:pPr>
            <w:proofErr w:type="gramStart"/>
            <w:r>
              <w:rPr>
                <w:rFonts w:ascii="Calibri" w:hAnsi="Calibri" w:cs="Calibri"/>
                <w:sz w:val="22"/>
                <w:szCs w:val="22"/>
              </w:rPr>
              <w:t>CS,DVO</w:t>
            </w:r>
            <w:proofErr w:type="gramEnd"/>
          </w:p>
        </w:tc>
        <w:tc>
          <w:tcPr>
            <w:tcW w:w="1197" w:type="dxa"/>
            <w:shd w:val="clear" w:color="auto" w:fill="auto"/>
          </w:tcPr>
          <w:p w14:paraId="4B4FBAFF" w14:textId="23EB8DA6" w:rsidR="00277E4B" w:rsidRPr="00FE5409" w:rsidRDefault="00277E4B" w:rsidP="00277E4B">
            <w:pPr>
              <w:spacing w:line="240" w:lineRule="auto"/>
              <w:jc w:val="right"/>
              <w:rPr>
                <w:rFonts w:cs="Calibri"/>
                <w:color w:val="000000"/>
                <w:lang w:eastAsia="en-AU"/>
              </w:rPr>
            </w:pPr>
            <w:r>
              <w:rPr>
                <w:rFonts w:cs="Arial"/>
                <w:color w:val="000000"/>
              </w:rPr>
              <w:t>2</w:t>
            </w:r>
          </w:p>
        </w:tc>
      </w:tr>
      <w:tr w:rsidR="00277E4B" w:rsidRPr="00FE5409" w14:paraId="72A48ECB" w14:textId="77777777" w:rsidTr="002C0BEA">
        <w:trPr>
          <w:trHeight w:val="300"/>
        </w:trPr>
        <w:tc>
          <w:tcPr>
            <w:tcW w:w="2200" w:type="dxa"/>
            <w:shd w:val="clear" w:color="auto" w:fill="auto"/>
            <w:vAlign w:val="bottom"/>
          </w:tcPr>
          <w:p w14:paraId="5FB9CC03" w14:textId="066D3DA8" w:rsidR="00277E4B" w:rsidRDefault="00277E4B" w:rsidP="00277E4B">
            <w:pPr>
              <w:spacing w:line="240" w:lineRule="auto"/>
              <w:rPr>
                <w:rFonts w:cs="Arial"/>
                <w:color w:val="000000"/>
              </w:rPr>
            </w:pPr>
            <w:proofErr w:type="gramStart"/>
            <w:r>
              <w:rPr>
                <w:rFonts w:ascii="Calibri" w:hAnsi="Calibri" w:cs="Calibri"/>
                <w:sz w:val="22"/>
                <w:szCs w:val="22"/>
              </w:rPr>
              <w:t>CS,EQ</w:t>
            </w:r>
            <w:proofErr w:type="gramEnd"/>
          </w:p>
        </w:tc>
        <w:tc>
          <w:tcPr>
            <w:tcW w:w="1197" w:type="dxa"/>
            <w:shd w:val="clear" w:color="auto" w:fill="auto"/>
          </w:tcPr>
          <w:p w14:paraId="75D4754A" w14:textId="1EA5ED9A" w:rsidR="00277E4B" w:rsidRPr="00FE5409" w:rsidRDefault="00277E4B" w:rsidP="00277E4B">
            <w:pPr>
              <w:spacing w:line="240" w:lineRule="auto"/>
              <w:jc w:val="right"/>
              <w:rPr>
                <w:rFonts w:cs="Calibri"/>
                <w:color w:val="000000"/>
                <w:lang w:eastAsia="en-AU"/>
              </w:rPr>
            </w:pPr>
            <w:r>
              <w:rPr>
                <w:rFonts w:cs="Arial"/>
                <w:color w:val="000000"/>
              </w:rPr>
              <w:t>29</w:t>
            </w:r>
          </w:p>
        </w:tc>
      </w:tr>
      <w:tr w:rsidR="00277E4B" w:rsidRPr="00FE5409" w14:paraId="37C0D2CE" w14:textId="77777777" w:rsidTr="002C0BEA">
        <w:trPr>
          <w:trHeight w:val="300"/>
        </w:trPr>
        <w:tc>
          <w:tcPr>
            <w:tcW w:w="2200" w:type="dxa"/>
            <w:shd w:val="clear" w:color="auto" w:fill="auto"/>
            <w:vAlign w:val="bottom"/>
          </w:tcPr>
          <w:p w14:paraId="0B6C9CC2" w14:textId="4E1B58F0" w:rsidR="00277E4B" w:rsidRDefault="00277E4B" w:rsidP="00277E4B">
            <w:pPr>
              <w:spacing w:line="240" w:lineRule="auto"/>
              <w:rPr>
                <w:rFonts w:cs="Arial"/>
                <w:color w:val="000000"/>
              </w:rPr>
            </w:pPr>
            <w:proofErr w:type="gramStart"/>
            <w:r>
              <w:rPr>
                <w:rFonts w:ascii="Calibri" w:hAnsi="Calibri" w:cs="Calibri"/>
                <w:sz w:val="22"/>
                <w:szCs w:val="22"/>
              </w:rPr>
              <w:t>CS,EQ</w:t>
            </w:r>
            <w:proofErr w:type="gramEnd"/>
            <w:r>
              <w:rPr>
                <w:rFonts w:ascii="Calibri" w:hAnsi="Calibri" w:cs="Calibri"/>
                <w:sz w:val="22"/>
                <w:szCs w:val="22"/>
              </w:rPr>
              <w:t>,MAG</w:t>
            </w:r>
          </w:p>
        </w:tc>
        <w:tc>
          <w:tcPr>
            <w:tcW w:w="1197" w:type="dxa"/>
            <w:shd w:val="clear" w:color="auto" w:fill="auto"/>
          </w:tcPr>
          <w:p w14:paraId="60C66FED" w14:textId="5E98EDAF" w:rsidR="00277E4B" w:rsidRPr="00FE5409" w:rsidRDefault="00277E4B" w:rsidP="00277E4B">
            <w:pPr>
              <w:spacing w:line="240" w:lineRule="auto"/>
              <w:jc w:val="right"/>
              <w:rPr>
                <w:rFonts w:cs="Calibri"/>
                <w:color w:val="000000"/>
                <w:lang w:eastAsia="en-AU"/>
              </w:rPr>
            </w:pPr>
            <w:r>
              <w:rPr>
                <w:rFonts w:cs="Arial"/>
                <w:color w:val="000000"/>
              </w:rPr>
              <w:t>1</w:t>
            </w:r>
          </w:p>
        </w:tc>
      </w:tr>
      <w:tr w:rsidR="00277E4B" w:rsidRPr="00FE5409" w14:paraId="45421862" w14:textId="77777777" w:rsidTr="002C0BEA">
        <w:trPr>
          <w:trHeight w:val="300"/>
        </w:trPr>
        <w:tc>
          <w:tcPr>
            <w:tcW w:w="2200" w:type="dxa"/>
            <w:shd w:val="clear" w:color="auto" w:fill="auto"/>
            <w:vAlign w:val="bottom"/>
          </w:tcPr>
          <w:p w14:paraId="2433043D" w14:textId="2A04BE0C"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CS,MAG</w:t>
            </w:r>
            <w:proofErr w:type="gramEnd"/>
          </w:p>
        </w:tc>
        <w:tc>
          <w:tcPr>
            <w:tcW w:w="1197" w:type="dxa"/>
            <w:shd w:val="clear" w:color="auto" w:fill="auto"/>
          </w:tcPr>
          <w:p w14:paraId="5436615D" w14:textId="2BE32A04" w:rsidR="00277E4B" w:rsidRPr="00FE5409" w:rsidRDefault="00277E4B" w:rsidP="00277E4B">
            <w:pPr>
              <w:spacing w:line="240" w:lineRule="auto"/>
              <w:jc w:val="right"/>
              <w:rPr>
                <w:rFonts w:cs="Calibri"/>
                <w:color w:val="000000"/>
                <w:lang w:eastAsia="en-AU"/>
              </w:rPr>
            </w:pPr>
            <w:r>
              <w:rPr>
                <w:rFonts w:cs="Arial"/>
                <w:color w:val="000000"/>
              </w:rPr>
              <w:t>3</w:t>
            </w:r>
          </w:p>
        </w:tc>
      </w:tr>
      <w:tr w:rsidR="00277E4B" w:rsidRPr="00FE5409" w14:paraId="492A9CC8" w14:textId="77777777" w:rsidTr="002C0BEA">
        <w:trPr>
          <w:trHeight w:val="300"/>
        </w:trPr>
        <w:tc>
          <w:tcPr>
            <w:tcW w:w="2200" w:type="dxa"/>
            <w:shd w:val="clear" w:color="auto" w:fill="auto"/>
            <w:vAlign w:val="bottom"/>
          </w:tcPr>
          <w:p w14:paraId="13AE3B26" w14:textId="5950713A"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DIS,EQ</w:t>
            </w:r>
            <w:proofErr w:type="gramEnd"/>
          </w:p>
        </w:tc>
        <w:tc>
          <w:tcPr>
            <w:tcW w:w="1197" w:type="dxa"/>
            <w:shd w:val="clear" w:color="auto" w:fill="auto"/>
          </w:tcPr>
          <w:p w14:paraId="1E1FE897" w14:textId="44CFB451" w:rsidR="00277E4B" w:rsidRPr="00FE5409" w:rsidRDefault="00277E4B" w:rsidP="00277E4B">
            <w:pPr>
              <w:spacing w:line="240" w:lineRule="auto"/>
              <w:jc w:val="right"/>
              <w:rPr>
                <w:rFonts w:cs="Calibri"/>
                <w:color w:val="000000"/>
                <w:lang w:eastAsia="en-AU"/>
              </w:rPr>
            </w:pPr>
            <w:r>
              <w:rPr>
                <w:rFonts w:cs="Arial"/>
                <w:color w:val="000000"/>
              </w:rPr>
              <w:t>1</w:t>
            </w:r>
          </w:p>
        </w:tc>
      </w:tr>
      <w:tr w:rsidR="00277E4B" w:rsidRPr="00FE5409" w14:paraId="5DD4E31E" w14:textId="77777777" w:rsidTr="002C0BEA">
        <w:trPr>
          <w:trHeight w:val="300"/>
        </w:trPr>
        <w:tc>
          <w:tcPr>
            <w:tcW w:w="2200" w:type="dxa"/>
            <w:shd w:val="clear" w:color="auto" w:fill="auto"/>
            <w:vAlign w:val="bottom"/>
          </w:tcPr>
          <w:p w14:paraId="4CAD65B0" w14:textId="0F900D05" w:rsidR="00277E4B" w:rsidRDefault="00277E4B" w:rsidP="00277E4B">
            <w:pPr>
              <w:spacing w:line="240" w:lineRule="auto"/>
              <w:rPr>
                <w:rFonts w:cs="Calibri"/>
                <w:color w:val="000000"/>
              </w:rPr>
            </w:pPr>
            <w:proofErr w:type="gramStart"/>
            <w:r>
              <w:rPr>
                <w:rFonts w:ascii="Calibri" w:hAnsi="Calibri" w:cs="Calibri"/>
                <w:sz w:val="22"/>
                <w:szCs w:val="22"/>
              </w:rPr>
              <w:t>DVB,DVO</w:t>
            </w:r>
            <w:proofErr w:type="gramEnd"/>
            <w:r>
              <w:rPr>
                <w:rFonts w:ascii="Calibri" w:hAnsi="Calibri" w:cs="Calibri"/>
                <w:sz w:val="22"/>
                <w:szCs w:val="22"/>
              </w:rPr>
              <w:t>,MAG</w:t>
            </w:r>
          </w:p>
        </w:tc>
        <w:tc>
          <w:tcPr>
            <w:tcW w:w="1197" w:type="dxa"/>
            <w:shd w:val="clear" w:color="auto" w:fill="auto"/>
          </w:tcPr>
          <w:p w14:paraId="3322EC6D" w14:textId="6F457199" w:rsidR="00277E4B" w:rsidRDefault="00277E4B" w:rsidP="00277E4B">
            <w:pPr>
              <w:spacing w:line="240" w:lineRule="auto"/>
              <w:jc w:val="right"/>
              <w:rPr>
                <w:rFonts w:cs="Calibri"/>
                <w:color w:val="000000"/>
                <w:lang w:eastAsia="en-AU"/>
              </w:rPr>
            </w:pPr>
            <w:r>
              <w:rPr>
                <w:rFonts w:cs="Arial"/>
                <w:color w:val="000000"/>
              </w:rPr>
              <w:t>1</w:t>
            </w:r>
          </w:p>
        </w:tc>
      </w:tr>
      <w:tr w:rsidR="00277E4B" w:rsidRPr="00FE5409" w14:paraId="6FF59BF7" w14:textId="77777777" w:rsidTr="002C0BEA">
        <w:trPr>
          <w:trHeight w:val="300"/>
        </w:trPr>
        <w:tc>
          <w:tcPr>
            <w:tcW w:w="2200" w:type="dxa"/>
            <w:shd w:val="clear" w:color="auto" w:fill="auto"/>
            <w:vAlign w:val="bottom"/>
          </w:tcPr>
          <w:p w14:paraId="46C178A4" w14:textId="276D82FA" w:rsidR="00277E4B" w:rsidRDefault="00277E4B" w:rsidP="00277E4B">
            <w:pPr>
              <w:spacing w:line="240" w:lineRule="auto"/>
              <w:rPr>
                <w:rFonts w:cs="Calibri"/>
                <w:color w:val="000000"/>
                <w:lang w:eastAsia="en-AU"/>
              </w:rPr>
            </w:pPr>
            <w:proofErr w:type="gramStart"/>
            <w:r>
              <w:rPr>
                <w:rFonts w:ascii="Calibri" w:hAnsi="Calibri" w:cs="Calibri"/>
                <w:sz w:val="22"/>
                <w:szCs w:val="22"/>
              </w:rPr>
              <w:t>DVB,EQ</w:t>
            </w:r>
            <w:proofErr w:type="gramEnd"/>
          </w:p>
        </w:tc>
        <w:tc>
          <w:tcPr>
            <w:tcW w:w="1197" w:type="dxa"/>
            <w:shd w:val="clear" w:color="auto" w:fill="auto"/>
          </w:tcPr>
          <w:p w14:paraId="073DFBE8" w14:textId="5623E32E" w:rsidR="00277E4B" w:rsidRDefault="00277E4B" w:rsidP="00277E4B">
            <w:pPr>
              <w:spacing w:line="240" w:lineRule="auto"/>
              <w:jc w:val="right"/>
              <w:rPr>
                <w:rFonts w:cs="Calibri"/>
                <w:color w:val="000000"/>
                <w:lang w:eastAsia="en-AU"/>
              </w:rPr>
            </w:pPr>
            <w:r>
              <w:rPr>
                <w:rFonts w:cs="Arial"/>
                <w:color w:val="000000"/>
              </w:rPr>
              <w:t>1</w:t>
            </w:r>
          </w:p>
        </w:tc>
      </w:tr>
      <w:tr w:rsidR="00277E4B" w:rsidRPr="00FE5409" w14:paraId="1F7BFD3E" w14:textId="77777777" w:rsidTr="002C0BEA">
        <w:trPr>
          <w:trHeight w:val="300"/>
        </w:trPr>
        <w:tc>
          <w:tcPr>
            <w:tcW w:w="2200" w:type="dxa"/>
            <w:shd w:val="clear" w:color="auto" w:fill="auto"/>
            <w:vAlign w:val="bottom"/>
          </w:tcPr>
          <w:p w14:paraId="7F0F7750" w14:textId="6584CC87"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DVB,EQ</w:t>
            </w:r>
            <w:proofErr w:type="gramEnd"/>
            <w:r>
              <w:rPr>
                <w:rFonts w:ascii="Calibri" w:hAnsi="Calibri" w:cs="Calibri"/>
                <w:sz w:val="22"/>
                <w:szCs w:val="22"/>
              </w:rPr>
              <w:t>,MAG</w:t>
            </w:r>
          </w:p>
        </w:tc>
        <w:tc>
          <w:tcPr>
            <w:tcW w:w="1197" w:type="dxa"/>
            <w:shd w:val="clear" w:color="auto" w:fill="auto"/>
          </w:tcPr>
          <w:p w14:paraId="0F6136B2" w14:textId="39CF4B6E" w:rsidR="00277E4B" w:rsidRPr="00FE5409" w:rsidRDefault="00277E4B" w:rsidP="00277E4B">
            <w:pPr>
              <w:spacing w:line="240" w:lineRule="auto"/>
              <w:jc w:val="right"/>
              <w:rPr>
                <w:rFonts w:cs="Calibri"/>
                <w:color w:val="000000"/>
                <w:lang w:eastAsia="en-AU"/>
              </w:rPr>
            </w:pPr>
            <w:r>
              <w:rPr>
                <w:rFonts w:cs="Arial"/>
                <w:color w:val="000000"/>
              </w:rPr>
              <w:t>3</w:t>
            </w:r>
          </w:p>
        </w:tc>
      </w:tr>
      <w:tr w:rsidR="00277E4B" w:rsidRPr="00FE5409" w14:paraId="7473681C" w14:textId="77777777" w:rsidTr="002C0BEA">
        <w:trPr>
          <w:trHeight w:val="300"/>
        </w:trPr>
        <w:tc>
          <w:tcPr>
            <w:tcW w:w="2200" w:type="dxa"/>
            <w:shd w:val="clear" w:color="auto" w:fill="auto"/>
            <w:vAlign w:val="bottom"/>
          </w:tcPr>
          <w:p w14:paraId="1EC80D89" w14:textId="4D0A471F"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DVB,MAG</w:t>
            </w:r>
            <w:proofErr w:type="gramEnd"/>
          </w:p>
        </w:tc>
        <w:tc>
          <w:tcPr>
            <w:tcW w:w="1197" w:type="dxa"/>
            <w:shd w:val="clear" w:color="auto" w:fill="auto"/>
          </w:tcPr>
          <w:p w14:paraId="7BBBF358" w14:textId="608D8E21" w:rsidR="00277E4B" w:rsidRPr="00FE5409" w:rsidRDefault="00277E4B" w:rsidP="00277E4B">
            <w:pPr>
              <w:spacing w:line="240" w:lineRule="auto"/>
              <w:jc w:val="right"/>
              <w:rPr>
                <w:rFonts w:cs="Calibri"/>
                <w:color w:val="000000"/>
                <w:lang w:eastAsia="en-AU"/>
              </w:rPr>
            </w:pPr>
            <w:r>
              <w:rPr>
                <w:rFonts w:cs="Arial"/>
                <w:color w:val="000000"/>
              </w:rPr>
              <w:t>14</w:t>
            </w:r>
          </w:p>
        </w:tc>
      </w:tr>
      <w:tr w:rsidR="00277E4B" w:rsidRPr="00FE5409" w14:paraId="0ACB3A1E" w14:textId="77777777" w:rsidTr="002C0BEA">
        <w:trPr>
          <w:trHeight w:val="300"/>
        </w:trPr>
        <w:tc>
          <w:tcPr>
            <w:tcW w:w="2200" w:type="dxa"/>
            <w:shd w:val="clear" w:color="auto" w:fill="auto"/>
            <w:vAlign w:val="bottom"/>
          </w:tcPr>
          <w:p w14:paraId="067DD967" w14:textId="7171F874"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DVO,EQ</w:t>
            </w:r>
            <w:proofErr w:type="gramEnd"/>
          </w:p>
        </w:tc>
        <w:tc>
          <w:tcPr>
            <w:tcW w:w="1197" w:type="dxa"/>
            <w:shd w:val="clear" w:color="auto" w:fill="auto"/>
          </w:tcPr>
          <w:p w14:paraId="2509FA12" w14:textId="319279A8" w:rsidR="00277E4B" w:rsidRPr="00FE5409" w:rsidRDefault="00277E4B" w:rsidP="00277E4B">
            <w:pPr>
              <w:spacing w:line="240" w:lineRule="auto"/>
              <w:jc w:val="right"/>
              <w:rPr>
                <w:rFonts w:cs="Calibri"/>
                <w:color w:val="000000"/>
                <w:lang w:eastAsia="en-AU"/>
              </w:rPr>
            </w:pPr>
            <w:r>
              <w:rPr>
                <w:rFonts w:cs="Arial"/>
                <w:color w:val="000000"/>
              </w:rPr>
              <w:t>6</w:t>
            </w:r>
          </w:p>
        </w:tc>
      </w:tr>
      <w:tr w:rsidR="00277E4B" w:rsidRPr="00FE5409" w14:paraId="1787C4F7" w14:textId="77777777" w:rsidTr="002C0BEA">
        <w:trPr>
          <w:trHeight w:val="300"/>
        </w:trPr>
        <w:tc>
          <w:tcPr>
            <w:tcW w:w="2200" w:type="dxa"/>
            <w:shd w:val="clear" w:color="auto" w:fill="auto"/>
            <w:vAlign w:val="bottom"/>
          </w:tcPr>
          <w:p w14:paraId="4FDE344B" w14:textId="193924C5"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DVO,EQ</w:t>
            </w:r>
            <w:proofErr w:type="gramEnd"/>
            <w:r>
              <w:rPr>
                <w:rFonts w:ascii="Calibri" w:hAnsi="Calibri" w:cs="Calibri"/>
                <w:sz w:val="22"/>
                <w:szCs w:val="22"/>
              </w:rPr>
              <w:t>,MAG</w:t>
            </w:r>
          </w:p>
        </w:tc>
        <w:tc>
          <w:tcPr>
            <w:tcW w:w="1197" w:type="dxa"/>
            <w:shd w:val="clear" w:color="auto" w:fill="auto"/>
          </w:tcPr>
          <w:p w14:paraId="1A891217" w14:textId="5B51EA8F" w:rsidR="00277E4B" w:rsidRPr="00FE5409" w:rsidRDefault="00277E4B" w:rsidP="00277E4B">
            <w:pPr>
              <w:spacing w:line="240" w:lineRule="auto"/>
              <w:jc w:val="right"/>
              <w:rPr>
                <w:rFonts w:cs="Calibri"/>
                <w:color w:val="000000"/>
                <w:lang w:eastAsia="en-AU"/>
              </w:rPr>
            </w:pPr>
            <w:r>
              <w:rPr>
                <w:rFonts w:cs="Arial"/>
                <w:color w:val="000000"/>
              </w:rPr>
              <w:t>4</w:t>
            </w:r>
          </w:p>
        </w:tc>
      </w:tr>
      <w:tr w:rsidR="00277E4B" w:rsidRPr="00FE5409" w14:paraId="18BBD4F7" w14:textId="77777777" w:rsidTr="002C0BEA">
        <w:trPr>
          <w:trHeight w:val="300"/>
        </w:trPr>
        <w:tc>
          <w:tcPr>
            <w:tcW w:w="2200" w:type="dxa"/>
            <w:shd w:val="clear" w:color="auto" w:fill="auto"/>
            <w:vAlign w:val="bottom"/>
          </w:tcPr>
          <w:p w14:paraId="39E361CB" w14:textId="09B4192D" w:rsidR="00277E4B" w:rsidRPr="00FE5409" w:rsidRDefault="00277E4B" w:rsidP="00277E4B">
            <w:pPr>
              <w:spacing w:line="240" w:lineRule="auto"/>
              <w:rPr>
                <w:rFonts w:cs="Calibri"/>
                <w:color w:val="000000"/>
                <w:lang w:eastAsia="en-AU"/>
              </w:rPr>
            </w:pPr>
            <w:proofErr w:type="gramStart"/>
            <w:r>
              <w:rPr>
                <w:rFonts w:ascii="Calibri" w:hAnsi="Calibri" w:cs="Calibri"/>
                <w:sz w:val="22"/>
                <w:szCs w:val="22"/>
              </w:rPr>
              <w:t>DVO,MAG</w:t>
            </w:r>
            <w:proofErr w:type="gramEnd"/>
          </w:p>
        </w:tc>
        <w:tc>
          <w:tcPr>
            <w:tcW w:w="1197" w:type="dxa"/>
            <w:shd w:val="clear" w:color="auto" w:fill="auto"/>
          </w:tcPr>
          <w:p w14:paraId="632B8C8C" w14:textId="70A0698E" w:rsidR="00277E4B" w:rsidRDefault="00277E4B" w:rsidP="00277E4B">
            <w:pPr>
              <w:spacing w:line="240" w:lineRule="auto"/>
              <w:jc w:val="right"/>
              <w:rPr>
                <w:rFonts w:cs="Calibri"/>
                <w:color w:val="000000"/>
                <w:lang w:eastAsia="en-AU"/>
              </w:rPr>
            </w:pPr>
            <w:r>
              <w:rPr>
                <w:rFonts w:cs="Arial"/>
                <w:color w:val="000000"/>
              </w:rPr>
              <w:t>13</w:t>
            </w:r>
          </w:p>
        </w:tc>
      </w:tr>
      <w:tr w:rsidR="00277E4B" w:rsidRPr="00FE5409" w14:paraId="3740FA89" w14:textId="77777777" w:rsidTr="002C0BEA">
        <w:trPr>
          <w:trHeight w:val="300"/>
        </w:trPr>
        <w:tc>
          <w:tcPr>
            <w:tcW w:w="2200" w:type="dxa"/>
            <w:shd w:val="clear" w:color="auto" w:fill="auto"/>
            <w:vAlign w:val="bottom"/>
          </w:tcPr>
          <w:p w14:paraId="51D24033" w14:textId="4B5276BD" w:rsidR="00277E4B" w:rsidRDefault="00277E4B" w:rsidP="00277E4B">
            <w:pPr>
              <w:spacing w:line="240" w:lineRule="auto"/>
              <w:rPr>
                <w:rFonts w:cs="Calibri"/>
                <w:color w:val="000000"/>
                <w:lang w:eastAsia="en-AU"/>
              </w:rPr>
            </w:pPr>
            <w:proofErr w:type="gramStart"/>
            <w:r>
              <w:rPr>
                <w:rFonts w:ascii="Calibri" w:hAnsi="Calibri" w:cs="Calibri"/>
                <w:sz w:val="22"/>
                <w:szCs w:val="22"/>
              </w:rPr>
              <w:t>EQ,HT</w:t>
            </w:r>
            <w:proofErr w:type="gramEnd"/>
          </w:p>
        </w:tc>
        <w:tc>
          <w:tcPr>
            <w:tcW w:w="1197" w:type="dxa"/>
            <w:shd w:val="clear" w:color="auto" w:fill="auto"/>
          </w:tcPr>
          <w:p w14:paraId="09F5D6E0" w14:textId="54FE6538" w:rsidR="00277E4B" w:rsidRPr="00FE5409" w:rsidRDefault="00277E4B" w:rsidP="00277E4B">
            <w:pPr>
              <w:spacing w:line="240" w:lineRule="auto"/>
              <w:jc w:val="right"/>
              <w:rPr>
                <w:rFonts w:cs="Calibri"/>
                <w:color w:val="000000"/>
                <w:lang w:eastAsia="en-AU"/>
              </w:rPr>
            </w:pPr>
            <w:r>
              <w:rPr>
                <w:rFonts w:cs="Arial"/>
                <w:color w:val="000000"/>
              </w:rPr>
              <w:t>3</w:t>
            </w:r>
          </w:p>
        </w:tc>
      </w:tr>
      <w:tr w:rsidR="00277E4B" w:rsidRPr="00FE5409" w14:paraId="1CA3553C" w14:textId="77777777" w:rsidTr="002C0BEA">
        <w:trPr>
          <w:trHeight w:val="300"/>
        </w:trPr>
        <w:tc>
          <w:tcPr>
            <w:tcW w:w="2200" w:type="dxa"/>
            <w:shd w:val="clear" w:color="auto" w:fill="auto"/>
            <w:vAlign w:val="bottom"/>
          </w:tcPr>
          <w:p w14:paraId="2F839C82" w14:textId="02E2ABF5" w:rsidR="00277E4B" w:rsidRDefault="00277E4B" w:rsidP="00277E4B">
            <w:pPr>
              <w:spacing w:line="240" w:lineRule="auto"/>
              <w:rPr>
                <w:rFonts w:cs="Calibri"/>
                <w:color w:val="000000"/>
                <w:lang w:eastAsia="en-AU"/>
              </w:rPr>
            </w:pPr>
            <w:proofErr w:type="gramStart"/>
            <w:r>
              <w:rPr>
                <w:rFonts w:ascii="Calibri" w:hAnsi="Calibri" w:cs="Calibri"/>
                <w:sz w:val="22"/>
                <w:szCs w:val="22"/>
              </w:rPr>
              <w:t>EQ,MAG</w:t>
            </w:r>
            <w:proofErr w:type="gramEnd"/>
          </w:p>
        </w:tc>
        <w:tc>
          <w:tcPr>
            <w:tcW w:w="1197" w:type="dxa"/>
            <w:shd w:val="clear" w:color="auto" w:fill="auto"/>
          </w:tcPr>
          <w:p w14:paraId="6717F1C7" w14:textId="3E7E0044" w:rsidR="00277E4B" w:rsidRPr="00FE5409" w:rsidRDefault="00277E4B" w:rsidP="00277E4B">
            <w:pPr>
              <w:spacing w:line="240" w:lineRule="auto"/>
              <w:jc w:val="right"/>
              <w:rPr>
                <w:rFonts w:cs="Calibri"/>
                <w:color w:val="000000"/>
                <w:lang w:eastAsia="en-AU"/>
              </w:rPr>
            </w:pPr>
            <w:r>
              <w:rPr>
                <w:rFonts w:cs="Arial"/>
                <w:color w:val="000000"/>
              </w:rPr>
              <w:t>13</w:t>
            </w:r>
          </w:p>
        </w:tc>
      </w:tr>
      <w:tr w:rsidR="00277E4B" w:rsidRPr="00FE5409" w14:paraId="50E20029" w14:textId="77777777" w:rsidTr="0063787B">
        <w:trPr>
          <w:trHeight w:val="300"/>
        </w:trPr>
        <w:tc>
          <w:tcPr>
            <w:tcW w:w="2200" w:type="dxa"/>
            <w:shd w:val="clear" w:color="auto" w:fill="auto"/>
            <w:hideMark/>
          </w:tcPr>
          <w:p w14:paraId="53704947" w14:textId="77777777" w:rsidR="00277E4B" w:rsidRPr="00FE5409" w:rsidRDefault="00277E4B" w:rsidP="00277E4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02DD1244" w:rsidR="00277E4B" w:rsidRPr="00FE5409" w:rsidRDefault="00277E4B" w:rsidP="00277E4B">
            <w:pPr>
              <w:spacing w:line="240" w:lineRule="auto"/>
              <w:jc w:val="right"/>
              <w:rPr>
                <w:rFonts w:cs="Calibri"/>
                <w:b/>
                <w:bCs/>
                <w:color w:val="000000"/>
                <w:lang w:eastAsia="en-AU"/>
              </w:rPr>
            </w:pPr>
            <w:r>
              <w:rPr>
                <w:rFonts w:cs="Calibri"/>
                <w:b/>
                <w:bCs/>
                <w:color w:val="000000"/>
                <w:lang w:eastAsia="en-AU"/>
              </w:rPr>
              <w:t>95</w:t>
            </w:r>
          </w:p>
        </w:tc>
      </w:tr>
    </w:tbl>
    <w:p w14:paraId="2ADD0DB0" w14:textId="77777777" w:rsidR="00FE5409" w:rsidRDefault="00FE5409" w:rsidP="00106EA8">
      <w:pPr>
        <w:tabs>
          <w:tab w:val="left" w:pos="1134"/>
        </w:tabs>
        <w:ind w:left="-142" w:right="-425"/>
        <w:jc w:val="both"/>
      </w:pPr>
    </w:p>
    <w:p w14:paraId="01DC83BC" w14:textId="250019EA"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3AD4052C" w:rsidR="0056316C" w:rsidRDefault="00A73CA0" w:rsidP="00C16F20">
      <w:pPr>
        <w:ind w:left="-142" w:right="-425"/>
        <w:jc w:val="both"/>
        <w:rPr>
          <w:rFonts w:cs="Arial"/>
        </w:rPr>
      </w:pPr>
      <w:r>
        <w:rPr>
          <w:rFonts w:cs="Arial"/>
        </w:rPr>
        <w:t>The following data</w:t>
      </w:r>
      <w:r w:rsidR="00D85018">
        <w:rPr>
          <w:rFonts w:cs="Arial"/>
        </w:rPr>
        <w:t xml:space="preserve"> (tables </w:t>
      </w:r>
      <w:r w:rsidR="00C14BAC">
        <w:rPr>
          <w:rFonts w:cs="Arial"/>
        </w:rPr>
        <w:t>4</w:t>
      </w:r>
      <w:r w:rsidR="00D85018">
        <w:rPr>
          <w:rFonts w:cs="Arial"/>
        </w:rPr>
        <w:t xml:space="preserve"> to </w:t>
      </w:r>
      <w:r w:rsidR="00C14BAC">
        <w:rPr>
          <w:rFonts w:cs="Arial"/>
        </w:rPr>
        <w:t>8</w:t>
      </w:r>
      <w:r w:rsidR="00D85018">
        <w:rPr>
          <w:rFonts w:cs="Arial"/>
        </w:rPr>
        <w:t>)</w:t>
      </w:r>
      <w:r>
        <w:rPr>
          <w:rFonts w:cs="Arial"/>
        </w:rPr>
        <w:t xml:space="preserve"> provides an overview of interactions that have taken place with clients during this reporting period </w:t>
      </w:r>
      <w:r w:rsidR="00800631">
        <w:rPr>
          <w:rFonts w:cs="Arial"/>
        </w:rPr>
        <w:t xml:space="preserve">and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40D5BEB5"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Pr>
          <w:rFonts w:cs="Arial"/>
        </w:rPr>
        <w:t xml:space="preserve">. </w:t>
      </w:r>
      <w:r w:rsidR="0030673F">
        <w:rPr>
          <w:rFonts w:cs="Arial"/>
        </w:rPr>
        <w:t>The Commission is still seeing a number</w:t>
      </w:r>
      <w:r w:rsidR="00237AB1">
        <w:rPr>
          <w:rFonts w:cs="Arial"/>
        </w:rPr>
        <w:t xml:space="preserve"> of </w:t>
      </w:r>
      <w:r w:rsidR="00B23523">
        <w:rPr>
          <w:rFonts w:cs="Arial"/>
        </w:rPr>
        <w:t>i</w:t>
      </w:r>
      <w:r w:rsidR="00237AB1">
        <w:rPr>
          <w:rFonts w:cs="Arial"/>
        </w:rPr>
        <w:t>nteractions by client</w:t>
      </w:r>
      <w:r w:rsidR="0030673F">
        <w:rPr>
          <w:rFonts w:cs="Arial"/>
        </w:rPr>
        <w:t>s</w:t>
      </w:r>
      <w:r w:rsidR="00237AB1">
        <w:rPr>
          <w:rFonts w:cs="Arial"/>
        </w:rPr>
        <w:t xml:space="preserve"> on a less intrusive and more proactive basis</w:t>
      </w:r>
      <w:r w:rsidR="00701EFB">
        <w:rPr>
          <w:rFonts w:cs="Arial"/>
        </w:rPr>
        <w:t>,</w:t>
      </w:r>
      <w:r w:rsidR="00B23523">
        <w:rPr>
          <w:rFonts w:cs="Arial"/>
        </w:rPr>
        <w:t xml:space="preserve"> </w:t>
      </w:r>
      <w:proofErr w:type="gramStart"/>
      <w:r w:rsidR="00237AB1">
        <w:rPr>
          <w:rFonts w:cs="Arial"/>
        </w:rPr>
        <w:t>i.e.</w:t>
      </w:r>
      <w:proofErr w:type="gramEnd"/>
      <w:r w:rsidR="00237AB1">
        <w:rPr>
          <w:rFonts w:cs="Arial"/>
        </w:rPr>
        <w:t xml:space="preserve"> where engagement is on a voluntary basis (Table </w:t>
      </w:r>
      <w:r w:rsidR="002D3A70">
        <w:rPr>
          <w:rFonts w:cs="Arial"/>
        </w:rPr>
        <w:t>4</w:t>
      </w:r>
      <w:r w:rsidR="00237AB1">
        <w:rPr>
          <w:rFonts w:cs="Arial"/>
        </w:rPr>
        <w:t>)</w:t>
      </w:r>
      <w:r w:rsidR="00AE549C">
        <w:rPr>
          <w:rFonts w:cs="Arial"/>
        </w:rPr>
        <w:t>,</w:t>
      </w:r>
      <w:r w:rsidR="00237AB1">
        <w:rPr>
          <w:rFonts w:cs="Arial"/>
        </w:rPr>
        <w:t xml:space="preserve"> or where acceptance of the Commission’s decision for a referral to </w:t>
      </w:r>
      <w:r w:rsidR="009D568A">
        <w:rPr>
          <w:rFonts w:cs="Arial"/>
        </w:rPr>
        <w:t xml:space="preserve">a </w:t>
      </w:r>
      <w:r w:rsidR="00237AB1">
        <w:rPr>
          <w:rFonts w:cs="Arial"/>
        </w:rPr>
        <w:t>support service or income management is by agreement with the client (</w:t>
      </w:r>
      <w:r w:rsidR="00237AB1" w:rsidRPr="001227EE">
        <w:rPr>
          <w:rFonts w:cs="Arial"/>
        </w:rPr>
        <w:t xml:space="preserve">Table </w:t>
      </w:r>
      <w:r w:rsidR="002D3A70">
        <w:rPr>
          <w:rFonts w:cs="Arial"/>
        </w:rPr>
        <w:t>5</w:t>
      </w:r>
      <w:r w:rsidR="00237AB1">
        <w:rPr>
          <w:rFonts w:cs="Arial"/>
        </w:rPr>
        <w:t>). The</w:t>
      </w:r>
      <w:r w:rsidR="00B23523">
        <w:rPr>
          <w:rFonts w:cs="Arial"/>
        </w:rPr>
        <w:t xml:space="preserve">se proactive interactions </w:t>
      </w:r>
      <w:proofErr w:type="gramStart"/>
      <w:r w:rsidR="00B23523">
        <w:rPr>
          <w:rFonts w:cs="Arial"/>
        </w:rPr>
        <w:t xml:space="preserve">are </w:t>
      </w:r>
      <w:r w:rsidR="00D505F2">
        <w:rPr>
          <w:rFonts w:cs="Arial"/>
        </w:rPr>
        <w:t>c</w:t>
      </w:r>
      <w:r w:rsidR="00237AB1">
        <w:rPr>
          <w:rFonts w:cs="Arial"/>
        </w:rPr>
        <w:t>onsider</w:t>
      </w:r>
      <w:r w:rsidR="00B23523">
        <w:rPr>
          <w:rFonts w:cs="Arial"/>
        </w:rPr>
        <w:t>ed</w:t>
      </w:r>
      <w:r w:rsidR="00237AB1">
        <w:rPr>
          <w:rFonts w:cs="Arial"/>
        </w:rPr>
        <w:t xml:space="preserve"> to be</w:t>
      </w:r>
      <w:proofErr w:type="gramEnd"/>
      <w:r w:rsidR="00237AB1">
        <w:rPr>
          <w:rFonts w:cs="Arial"/>
        </w:rPr>
        <w:t xml:space="preserv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19233629" w14:textId="7F14021C" w:rsidR="00237AB1" w:rsidRPr="0092015D" w:rsidRDefault="00237AB1" w:rsidP="00237AB1">
      <w:pPr>
        <w:spacing w:after="120" w:line="240" w:lineRule="auto"/>
        <w:ind w:left="794" w:hanging="794"/>
      </w:pPr>
      <w:r w:rsidRPr="006C6A65">
        <w:rPr>
          <w:b/>
          <w:sz w:val="16"/>
          <w:szCs w:val="16"/>
        </w:rPr>
        <w:lastRenderedPageBreak/>
        <w:t xml:space="preserve">Table </w:t>
      </w:r>
      <w:r w:rsidR="00DC1BD8">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7"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7"/>
      <w:proofErr w:type="gramStart"/>
      <w:r w:rsidRPr="00656C56">
        <w:rPr>
          <w:sz w:val="16"/>
          <w:szCs w:val="16"/>
        </w:rPr>
        <w:t>entered into</w:t>
      </w:r>
      <w:proofErr w:type="gramEnd"/>
      <w:r>
        <w:rPr>
          <w:sz w:val="16"/>
          <w:szCs w:val="16"/>
        </w:rPr>
        <w:t xml:space="preserve"> </w:t>
      </w:r>
      <w:r w:rsidR="00397BFC">
        <w:rPr>
          <w:sz w:val="16"/>
          <w:szCs w:val="16"/>
        </w:rPr>
        <w:t xml:space="preserve">from </w:t>
      </w:r>
      <w:r w:rsidR="00F83C14">
        <w:rPr>
          <w:sz w:val="16"/>
          <w:szCs w:val="16"/>
        </w:rPr>
        <w:t xml:space="preserve">1 </w:t>
      </w:r>
      <w:r w:rsidR="00415BC8">
        <w:rPr>
          <w:sz w:val="16"/>
          <w:szCs w:val="16"/>
        </w:rPr>
        <w:t>January 2022</w:t>
      </w:r>
      <w:r>
        <w:rPr>
          <w:sz w:val="16"/>
          <w:szCs w:val="16"/>
        </w:rPr>
        <w:t xml:space="preserve"> to </w:t>
      </w:r>
      <w:r w:rsidR="00F83C14">
        <w:rPr>
          <w:sz w:val="16"/>
          <w:szCs w:val="16"/>
        </w:rPr>
        <w:t>3</w:t>
      </w:r>
      <w:r w:rsidR="006E3C46">
        <w:rPr>
          <w:sz w:val="16"/>
          <w:szCs w:val="16"/>
        </w:rPr>
        <w:t xml:space="preserve">1 </w:t>
      </w:r>
      <w:bookmarkStart w:id="8" w:name="_Ref74754019"/>
      <w:r w:rsidR="001A5C4C">
        <w:rPr>
          <w:sz w:val="16"/>
          <w:szCs w:val="16"/>
        </w:rPr>
        <w:t>March 2022</w:t>
      </w:r>
      <w:r w:rsidR="00604429" w:rsidRPr="008F6888">
        <w:rPr>
          <w:rStyle w:val="FootnoteReference"/>
          <w:sz w:val="16"/>
          <w:szCs w:val="16"/>
        </w:rPr>
        <w:footnoteReference w:id="6"/>
      </w:r>
      <w:bookmarkEnd w:id="8"/>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237AB1" w:rsidRPr="00776C26" w14:paraId="23E8C631" w14:textId="77777777" w:rsidTr="00237AB1">
        <w:tc>
          <w:tcPr>
            <w:tcW w:w="1555" w:type="dxa"/>
          </w:tcPr>
          <w:p w14:paraId="08DA178D" w14:textId="77777777" w:rsidR="00237AB1" w:rsidRPr="00776C26" w:rsidRDefault="00237AB1" w:rsidP="00237AB1">
            <w:pPr>
              <w:ind w:right="-425"/>
              <w:jc w:val="both"/>
              <w:rPr>
                <w:rFonts w:cs="Arial"/>
                <w:b/>
                <w:bCs/>
              </w:rPr>
            </w:pPr>
            <w:r w:rsidRPr="00776C26">
              <w:rPr>
                <w:rFonts w:cs="Arial"/>
                <w:b/>
                <w:bCs/>
              </w:rPr>
              <w:t>Total</w:t>
            </w:r>
          </w:p>
        </w:tc>
        <w:tc>
          <w:tcPr>
            <w:tcW w:w="992" w:type="dxa"/>
          </w:tcPr>
          <w:p w14:paraId="31C63D09" w14:textId="60E14922" w:rsidR="00237AB1" w:rsidRPr="00776C26" w:rsidRDefault="0094728C" w:rsidP="00237AB1">
            <w:pPr>
              <w:jc w:val="right"/>
              <w:rPr>
                <w:b/>
                <w:bCs/>
              </w:rPr>
            </w:pPr>
            <w:r>
              <w:rPr>
                <w:b/>
                <w:bCs/>
              </w:rPr>
              <w:t>10</w:t>
            </w:r>
          </w:p>
        </w:tc>
        <w:tc>
          <w:tcPr>
            <w:tcW w:w="1134" w:type="dxa"/>
          </w:tcPr>
          <w:p w14:paraId="1D2060AE" w14:textId="75F03D19" w:rsidR="00237AB1" w:rsidRPr="00776C26" w:rsidRDefault="0094728C" w:rsidP="00237AB1">
            <w:pPr>
              <w:jc w:val="right"/>
              <w:rPr>
                <w:b/>
                <w:bCs/>
              </w:rPr>
            </w:pPr>
            <w:r>
              <w:rPr>
                <w:b/>
                <w:bCs/>
              </w:rPr>
              <w:t>16</w:t>
            </w:r>
          </w:p>
        </w:tc>
        <w:tc>
          <w:tcPr>
            <w:tcW w:w="992" w:type="dxa"/>
          </w:tcPr>
          <w:p w14:paraId="7E29C7F4" w14:textId="6569B343" w:rsidR="00237AB1" w:rsidRPr="00776C26" w:rsidRDefault="0094728C" w:rsidP="00237AB1">
            <w:pPr>
              <w:jc w:val="right"/>
              <w:rPr>
                <w:b/>
                <w:bCs/>
              </w:rPr>
            </w:pPr>
            <w:r>
              <w:rPr>
                <w:b/>
                <w:bCs/>
              </w:rPr>
              <w:t>26</w:t>
            </w:r>
          </w:p>
        </w:tc>
      </w:tr>
    </w:tbl>
    <w:p w14:paraId="340804AB" w14:textId="2011C4C9" w:rsidR="00C64787" w:rsidRDefault="00C64787" w:rsidP="00237AB1">
      <w:pPr>
        <w:ind w:left="-142" w:right="-425"/>
        <w:jc w:val="both"/>
        <w:rPr>
          <w:rFonts w:cs="Arial"/>
        </w:rPr>
      </w:pPr>
    </w:p>
    <w:p w14:paraId="32A7D6CF" w14:textId="5B9615DC" w:rsidR="00237AB1" w:rsidRPr="0092015D" w:rsidRDefault="00237AB1" w:rsidP="00237AB1">
      <w:pPr>
        <w:spacing w:after="120" w:line="240" w:lineRule="auto"/>
        <w:ind w:left="794" w:hanging="794"/>
      </w:pPr>
      <w:r w:rsidRPr="006C6A65">
        <w:rPr>
          <w:b/>
          <w:sz w:val="16"/>
          <w:szCs w:val="16"/>
        </w:rPr>
        <w:t xml:space="preserve">Table </w:t>
      </w:r>
      <w:r w:rsidR="00DC1BD8">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0"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0"/>
      <w:proofErr w:type="gramStart"/>
      <w:r w:rsidRPr="00656C56">
        <w:rPr>
          <w:sz w:val="16"/>
          <w:szCs w:val="16"/>
        </w:rPr>
        <w:t>entered into</w:t>
      </w:r>
      <w:proofErr w:type="gramEnd"/>
      <w:r>
        <w:rPr>
          <w:sz w:val="16"/>
          <w:szCs w:val="16"/>
        </w:rPr>
        <w:t xml:space="preserve"> </w:t>
      </w:r>
      <w:r w:rsidR="00397BFC">
        <w:rPr>
          <w:sz w:val="16"/>
          <w:szCs w:val="16"/>
        </w:rPr>
        <w:t xml:space="preserve">from </w:t>
      </w:r>
      <w:r w:rsidR="00F83C14">
        <w:rPr>
          <w:sz w:val="16"/>
          <w:szCs w:val="16"/>
        </w:rPr>
        <w:t xml:space="preserve">1 </w:t>
      </w:r>
      <w:r w:rsidR="00415BC8">
        <w:rPr>
          <w:sz w:val="16"/>
          <w:szCs w:val="16"/>
        </w:rPr>
        <w:t>January 2022</w:t>
      </w:r>
      <w:r>
        <w:rPr>
          <w:sz w:val="16"/>
          <w:szCs w:val="16"/>
        </w:rPr>
        <w:t xml:space="preserve"> to </w:t>
      </w:r>
      <w:r w:rsidR="00F83C14">
        <w:rPr>
          <w:sz w:val="16"/>
          <w:szCs w:val="16"/>
        </w:rPr>
        <w:t>3</w:t>
      </w:r>
      <w:r w:rsidR="006E3C46">
        <w:rPr>
          <w:sz w:val="16"/>
          <w:szCs w:val="16"/>
        </w:rPr>
        <w:t xml:space="preserve">1 </w:t>
      </w:r>
      <w:r w:rsidR="001A5C4C">
        <w:rPr>
          <w:sz w:val="16"/>
          <w:szCs w:val="16"/>
        </w:rPr>
        <w:t>March 2022</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BB6750">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94728C" w14:paraId="604BDE97" w14:textId="77777777" w:rsidTr="00237AB1">
        <w:tc>
          <w:tcPr>
            <w:tcW w:w="1555" w:type="dxa"/>
          </w:tcPr>
          <w:p w14:paraId="16D39C9C" w14:textId="77777777" w:rsidR="0094728C" w:rsidRPr="00490B40" w:rsidRDefault="0094728C" w:rsidP="0094728C">
            <w:pPr>
              <w:ind w:right="-425"/>
              <w:jc w:val="both"/>
              <w:rPr>
                <w:rFonts w:cs="Arial"/>
              </w:rPr>
            </w:pPr>
            <w:r w:rsidRPr="00490B40">
              <w:rPr>
                <w:rFonts w:cs="Arial"/>
              </w:rPr>
              <w:t>AU</w:t>
            </w:r>
          </w:p>
        </w:tc>
        <w:tc>
          <w:tcPr>
            <w:tcW w:w="992" w:type="dxa"/>
            <w:vAlign w:val="bottom"/>
          </w:tcPr>
          <w:p w14:paraId="4F2BC6E4" w14:textId="4DB54444" w:rsidR="0094728C" w:rsidRPr="00900EA0" w:rsidRDefault="0094728C" w:rsidP="0094728C">
            <w:pPr>
              <w:jc w:val="right"/>
            </w:pPr>
            <w:r>
              <w:rPr>
                <w:rFonts w:ascii="Arial" w:hAnsi="Arial" w:cs="Arial"/>
              </w:rPr>
              <w:t>1</w:t>
            </w:r>
            <w:r w:rsidR="00677F7C">
              <w:rPr>
                <w:rFonts w:ascii="Arial" w:hAnsi="Arial" w:cs="Arial"/>
              </w:rPr>
              <w:t>6</w:t>
            </w:r>
          </w:p>
        </w:tc>
        <w:tc>
          <w:tcPr>
            <w:tcW w:w="1134" w:type="dxa"/>
            <w:vAlign w:val="bottom"/>
          </w:tcPr>
          <w:p w14:paraId="5D79F7D6" w14:textId="66EEEF87" w:rsidR="0094728C" w:rsidRPr="00900EA0" w:rsidRDefault="0094728C" w:rsidP="0094728C">
            <w:pPr>
              <w:jc w:val="right"/>
            </w:pPr>
            <w:r>
              <w:rPr>
                <w:rFonts w:ascii="Arial" w:hAnsi="Arial" w:cs="Arial"/>
              </w:rPr>
              <w:t>0</w:t>
            </w:r>
          </w:p>
        </w:tc>
        <w:tc>
          <w:tcPr>
            <w:tcW w:w="992" w:type="dxa"/>
            <w:vAlign w:val="bottom"/>
          </w:tcPr>
          <w:p w14:paraId="2B25B2DF" w14:textId="76EC6DB4" w:rsidR="0094728C" w:rsidRPr="00900EA0" w:rsidRDefault="0094728C" w:rsidP="0094728C">
            <w:pPr>
              <w:jc w:val="right"/>
              <w:rPr>
                <w:b/>
                <w:bCs/>
              </w:rPr>
            </w:pPr>
            <w:r>
              <w:rPr>
                <w:rFonts w:ascii="Arial" w:hAnsi="Arial" w:cs="Arial"/>
                <w:b/>
                <w:bCs/>
              </w:rPr>
              <w:t>1</w:t>
            </w:r>
            <w:r w:rsidR="00B75D16">
              <w:rPr>
                <w:rFonts w:ascii="Arial" w:hAnsi="Arial" w:cs="Arial"/>
                <w:b/>
                <w:bCs/>
              </w:rPr>
              <w:t>6</w:t>
            </w:r>
          </w:p>
        </w:tc>
      </w:tr>
      <w:tr w:rsidR="0094728C" w14:paraId="1A905600" w14:textId="77777777" w:rsidTr="00237AB1">
        <w:tc>
          <w:tcPr>
            <w:tcW w:w="1555" w:type="dxa"/>
          </w:tcPr>
          <w:p w14:paraId="59A72EEE" w14:textId="77777777" w:rsidR="0094728C" w:rsidRPr="00490B40" w:rsidRDefault="0094728C" w:rsidP="0094728C">
            <w:pPr>
              <w:ind w:right="-425"/>
              <w:jc w:val="both"/>
              <w:rPr>
                <w:rFonts w:cs="Arial"/>
              </w:rPr>
            </w:pPr>
            <w:r w:rsidRPr="00490B40">
              <w:rPr>
                <w:rFonts w:cs="Arial"/>
              </w:rPr>
              <w:t>CO</w:t>
            </w:r>
          </w:p>
        </w:tc>
        <w:tc>
          <w:tcPr>
            <w:tcW w:w="992" w:type="dxa"/>
            <w:vAlign w:val="bottom"/>
          </w:tcPr>
          <w:p w14:paraId="7DC045C3" w14:textId="6B6DB5C9" w:rsidR="0094728C" w:rsidRPr="00900EA0" w:rsidRDefault="0094728C" w:rsidP="0094728C">
            <w:pPr>
              <w:jc w:val="right"/>
            </w:pPr>
            <w:r>
              <w:rPr>
                <w:rFonts w:ascii="Arial" w:hAnsi="Arial" w:cs="Arial"/>
              </w:rPr>
              <w:t>3</w:t>
            </w:r>
          </w:p>
        </w:tc>
        <w:tc>
          <w:tcPr>
            <w:tcW w:w="1134" w:type="dxa"/>
            <w:vAlign w:val="bottom"/>
          </w:tcPr>
          <w:p w14:paraId="544139DB" w14:textId="6AE3C40C" w:rsidR="0094728C" w:rsidRPr="00900EA0" w:rsidRDefault="0094728C" w:rsidP="0094728C">
            <w:pPr>
              <w:jc w:val="right"/>
            </w:pPr>
            <w:r>
              <w:rPr>
                <w:rFonts w:ascii="Arial" w:hAnsi="Arial" w:cs="Arial"/>
              </w:rPr>
              <w:t>0</w:t>
            </w:r>
          </w:p>
        </w:tc>
        <w:tc>
          <w:tcPr>
            <w:tcW w:w="992" w:type="dxa"/>
            <w:vAlign w:val="bottom"/>
          </w:tcPr>
          <w:p w14:paraId="655575AD" w14:textId="3EE4ED15" w:rsidR="0094728C" w:rsidRPr="00900EA0" w:rsidRDefault="0094728C" w:rsidP="0094728C">
            <w:pPr>
              <w:jc w:val="right"/>
              <w:rPr>
                <w:b/>
                <w:bCs/>
              </w:rPr>
            </w:pPr>
            <w:r>
              <w:rPr>
                <w:rFonts w:ascii="Arial" w:hAnsi="Arial" w:cs="Arial"/>
                <w:b/>
                <w:bCs/>
              </w:rPr>
              <w:t>3</w:t>
            </w:r>
          </w:p>
        </w:tc>
      </w:tr>
      <w:tr w:rsidR="0094728C" w14:paraId="577F7E12" w14:textId="77777777" w:rsidTr="00237AB1">
        <w:tc>
          <w:tcPr>
            <w:tcW w:w="1555" w:type="dxa"/>
          </w:tcPr>
          <w:p w14:paraId="2E4003E9" w14:textId="77777777" w:rsidR="0094728C" w:rsidRPr="00490B40" w:rsidRDefault="0094728C" w:rsidP="0094728C">
            <w:pPr>
              <w:ind w:right="-425"/>
              <w:jc w:val="both"/>
              <w:rPr>
                <w:rFonts w:cs="Arial"/>
              </w:rPr>
            </w:pPr>
            <w:r w:rsidRPr="00490B40">
              <w:rPr>
                <w:rFonts w:cs="Arial"/>
              </w:rPr>
              <w:t>DM</w:t>
            </w:r>
          </w:p>
        </w:tc>
        <w:tc>
          <w:tcPr>
            <w:tcW w:w="992" w:type="dxa"/>
            <w:vAlign w:val="bottom"/>
          </w:tcPr>
          <w:p w14:paraId="68E2C72D" w14:textId="6F6807AE" w:rsidR="0094728C" w:rsidRPr="00900EA0" w:rsidRDefault="0094728C" w:rsidP="0094728C">
            <w:pPr>
              <w:jc w:val="right"/>
            </w:pPr>
            <w:r>
              <w:rPr>
                <w:rFonts w:ascii="Arial" w:hAnsi="Arial" w:cs="Arial"/>
              </w:rPr>
              <w:t>13</w:t>
            </w:r>
          </w:p>
        </w:tc>
        <w:tc>
          <w:tcPr>
            <w:tcW w:w="1134" w:type="dxa"/>
            <w:vAlign w:val="bottom"/>
          </w:tcPr>
          <w:p w14:paraId="5EFFF8C4" w14:textId="04FBA23D" w:rsidR="0094728C" w:rsidRPr="00900EA0" w:rsidRDefault="0094728C" w:rsidP="0094728C">
            <w:pPr>
              <w:jc w:val="right"/>
            </w:pPr>
            <w:r>
              <w:rPr>
                <w:rFonts w:ascii="Arial" w:hAnsi="Arial" w:cs="Arial"/>
              </w:rPr>
              <w:t>0</w:t>
            </w:r>
          </w:p>
        </w:tc>
        <w:tc>
          <w:tcPr>
            <w:tcW w:w="992" w:type="dxa"/>
            <w:vAlign w:val="bottom"/>
          </w:tcPr>
          <w:p w14:paraId="1CF754DE" w14:textId="448BB3BC" w:rsidR="0094728C" w:rsidRPr="00900EA0" w:rsidRDefault="0094728C" w:rsidP="0094728C">
            <w:pPr>
              <w:jc w:val="right"/>
              <w:rPr>
                <w:b/>
                <w:bCs/>
              </w:rPr>
            </w:pPr>
            <w:r>
              <w:rPr>
                <w:rFonts w:ascii="Arial" w:hAnsi="Arial" w:cs="Arial"/>
                <w:b/>
                <w:bCs/>
              </w:rPr>
              <w:t>13</w:t>
            </w:r>
          </w:p>
        </w:tc>
      </w:tr>
      <w:tr w:rsidR="0094728C" w14:paraId="55AC2A32" w14:textId="77777777" w:rsidTr="00237AB1">
        <w:tc>
          <w:tcPr>
            <w:tcW w:w="1555" w:type="dxa"/>
          </w:tcPr>
          <w:p w14:paraId="511465EF" w14:textId="77777777" w:rsidR="0094728C" w:rsidRPr="00490B40" w:rsidRDefault="0094728C" w:rsidP="0094728C">
            <w:pPr>
              <w:ind w:right="-425"/>
              <w:jc w:val="both"/>
              <w:rPr>
                <w:rFonts w:cs="Arial"/>
              </w:rPr>
            </w:pPr>
            <w:r w:rsidRPr="00490B40">
              <w:rPr>
                <w:rFonts w:cs="Arial"/>
              </w:rPr>
              <w:t>HV</w:t>
            </w:r>
          </w:p>
        </w:tc>
        <w:tc>
          <w:tcPr>
            <w:tcW w:w="992" w:type="dxa"/>
            <w:vAlign w:val="bottom"/>
          </w:tcPr>
          <w:p w14:paraId="16976329" w14:textId="3E7B0844" w:rsidR="0094728C" w:rsidRPr="00900EA0" w:rsidRDefault="0094728C" w:rsidP="0094728C">
            <w:pPr>
              <w:jc w:val="right"/>
            </w:pPr>
            <w:r>
              <w:rPr>
                <w:rFonts w:ascii="Arial" w:hAnsi="Arial" w:cs="Arial"/>
              </w:rPr>
              <w:t>3</w:t>
            </w:r>
          </w:p>
        </w:tc>
        <w:tc>
          <w:tcPr>
            <w:tcW w:w="1134" w:type="dxa"/>
            <w:vAlign w:val="bottom"/>
          </w:tcPr>
          <w:p w14:paraId="48C3CD7F" w14:textId="10F8F1CC" w:rsidR="0094728C" w:rsidRPr="00900EA0" w:rsidRDefault="0094728C" w:rsidP="0094728C">
            <w:pPr>
              <w:jc w:val="right"/>
            </w:pPr>
            <w:r>
              <w:rPr>
                <w:rFonts w:ascii="Arial" w:hAnsi="Arial" w:cs="Arial"/>
              </w:rPr>
              <w:t>0</w:t>
            </w:r>
          </w:p>
        </w:tc>
        <w:tc>
          <w:tcPr>
            <w:tcW w:w="992" w:type="dxa"/>
            <w:vAlign w:val="bottom"/>
          </w:tcPr>
          <w:p w14:paraId="1AAF646B" w14:textId="3960D176" w:rsidR="0094728C" w:rsidRPr="00900EA0" w:rsidRDefault="0094728C" w:rsidP="0094728C">
            <w:pPr>
              <w:jc w:val="right"/>
              <w:rPr>
                <w:b/>
                <w:bCs/>
              </w:rPr>
            </w:pPr>
            <w:r>
              <w:rPr>
                <w:rFonts w:ascii="Arial" w:hAnsi="Arial" w:cs="Arial"/>
                <w:b/>
                <w:bCs/>
              </w:rPr>
              <w:t>3</w:t>
            </w:r>
          </w:p>
        </w:tc>
      </w:tr>
      <w:tr w:rsidR="0094728C" w14:paraId="50F69E1F" w14:textId="77777777" w:rsidTr="00237AB1">
        <w:tc>
          <w:tcPr>
            <w:tcW w:w="1555" w:type="dxa"/>
          </w:tcPr>
          <w:p w14:paraId="48DBAB63" w14:textId="77777777" w:rsidR="0094728C" w:rsidRPr="00490B40" w:rsidRDefault="0094728C" w:rsidP="0094728C">
            <w:pPr>
              <w:ind w:right="-425"/>
              <w:jc w:val="both"/>
              <w:rPr>
                <w:rFonts w:cs="Arial"/>
              </w:rPr>
            </w:pPr>
            <w:r w:rsidRPr="00490B40">
              <w:rPr>
                <w:rFonts w:cs="Arial"/>
              </w:rPr>
              <w:t>MG</w:t>
            </w:r>
          </w:p>
        </w:tc>
        <w:tc>
          <w:tcPr>
            <w:tcW w:w="992" w:type="dxa"/>
            <w:vAlign w:val="bottom"/>
          </w:tcPr>
          <w:p w14:paraId="2E4ACC08" w14:textId="5250781A" w:rsidR="0094728C" w:rsidRPr="00900EA0" w:rsidRDefault="0094728C" w:rsidP="0094728C">
            <w:pPr>
              <w:jc w:val="right"/>
            </w:pPr>
            <w:r>
              <w:rPr>
                <w:rFonts w:ascii="Arial" w:hAnsi="Arial" w:cs="Arial"/>
              </w:rPr>
              <w:t>2</w:t>
            </w:r>
          </w:p>
        </w:tc>
        <w:tc>
          <w:tcPr>
            <w:tcW w:w="1134" w:type="dxa"/>
            <w:vAlign w:val="bottom"/>
          </w:tcPr>
          <w:p w14:paraId="06822B4C" w14:textId="741C6E49" w:rsidR="0094728C" w:rsidRPr="00900EA0" w:rsidRDefault="0094728C" w:rsidP="0094728C">
            <w:pPr>
              <w:jc w:val="right"/>
            </w:pPr>
            <w:r>
              <w:rPr>
                <w:rFonts w:ascii="Arial" w:hAnsi="Arial" w:cs="Arial"/>
              </w:rPr>
              <w:t>0</w:t>
            </w:r>
          </w:p>
        </w:tc>
        <w:tc>
          <w:tcPr>
            <w:tcW w:w="992" w:type="dxa"/>
            <w:vAlign w:val="bottom"/>
          </w:tcPr>
          <w:p w14:paraId="4AC3B4A9" w14:textId="01BFD57E" w:rsidR="0094728C" w:rsidRPr="00900EA0" w:rsidRDefault="0094728C" w:rsidP="0094728C">
            <w:pPr>
              <w:jc w:val="right"/>
              <w:rPr>
                <w:b/>
                <w:bCs/>
              </w:rPr>
            </w:pPr>
            <w:r>
              <w:rPr>
                <w:rFonts w:ascii="Arial" w:hAnsi="Arial" w:cs="Arial"/>
                <w:b/>
                <w:bCs/>
              </w:rPr>
              <w:t>2</w:t>
            </w:r>
          </w:p>
        </w:tc>
      </w:tr>
      <w:tr w:rsidR="0094728C" w14:paraId="7BC56D75" w14:textId="77777777" w:rsidTr="00237AB1">
        <w:tc>
          <w:tcPr>
            <w:tcW w:w="1555" w:type="dxa"/>
          </w:tcPr>
          <w:p w14:paraId="201CE63A" w14:textId="77777777" w:rsidR="0094728C" w:rsidRPr="00776C26" w:rsidRDefault="0094728C" w:rsidP="0094728C">
            <w:pPr>
              <w:ind w:right="-425"/>
              <w:jc w:val="both"/>
              <w:rPr>
                <w:rFonts w:cs="Arial"/>
                <w:b/>
                <w:bCs/>
              </w:rPr>
            </w:pPr>
            <w:r w:rsidRPr="00776C26">
              <w:rPr>
                <w:rFonts w:cs="Arial"/>
                <w:b/>
                <w:bCs/>
              </w:rPr>
              <w:t>Total</w:t>
            </w:r>
          </w:p>
        </w:tc>
        <w:tc>
          <w:tcPr>
            <w:tcW w:w="992" w:type="dxa"/>
            <w:vAlign w:val="bottom"/>
          </w:tcPr>
          <w:p w14:paraId="0FB9062E" w14:textId="2F47481D" w:rsidR="0094728C" w:rsidRPr="00900EA0" w:rsidRDefault="0094728C" w:rsidP="0094728C">
            <w:pPr>
              <w:jc w:val="right"/>
              <w:rPr>
                <w:b/>
                <w:bCs/>
              </w:rPr>
            </w:pPr>
            <w:r>
              <w:rPr>
                <w:rFonts w:ascii="Arial" w:hAnsi="Arial" w:cs="Arial"/>
                <w:b/>
                <w:bCs/>
              </w:rPr>
              <w:t>3</w:t>
            </w:r>
            <w:r w:rsidR="00B75D16">
              <w:rPr>
                <w:rFonts w:ascii="Arial" w:hAnsi="Arial" w:cs="Arial"/>
                <w:b/>
                <w:bCs/>
              </w:rPr>
              <w:t>7</w:t>
            </w:r>
          </w:p>
        </w:tc>
        <w:tc>
          <w:tcPr>
            <w:tcW w:w="1134" w:type="dxa"/>
            <w:vAlign w:val="bottom"/>
          </w:tcPr>
          <w:p w14:paraId="482ED4A6" w14:textId="109E0627" w:rsidR="0094728C" w:rsidRPr="00900EA0" w:rsidRDefault="0094728C" w:rsidP="0094728C">
            <w:pPr>
              <w:jc w:val="right"/>
              <w:rPr>
                <w:b/>
                <w:bCs/>
              </w:rPr>
            </w:pPr>
            <w:r>
              <w:rPr>
                <w:rFonts w:ascii="Arial" w:hAnsi="Arial" w:cs="Arial"/>
                <w:b/>
                <w:bCs/>
              </w:rPr>
              <w:t>0</w:t>
            </w:r>
          </w:p>
        </w:tc>
        <w:tc>
          <w:tcPr>
            <w:tcW w:w="992" w:type="dxa"/>
            <w:vAlign w:val="bottom"/>
          </w:tcPr>
          <w:p w14:paraId="47A0B826" w14:textId="73E8F1ED" w:rsidR="0094728C" w:rsidRPr="00900EA0" w:rsidRDefault="0094728C" w:rsidP="0094728C">
            <w:pPr>
              <w:jc w:val="right"/>
              <w:rPr>
                <w:b/>
                <w:bCs/>
              </w:rPr>
            </w:pPr>
            <w:r>
              <w:rPr>
                <w:rFonts w:ascii="Arial" w:hAnsi="Arial" w:cs="Arial"/>
                <w:b/>
                <w:bCs/>
              </w:rPr>
              <w:t>3</w:t>
            </w:r>
            <w:r w:rsidR="00B75D16">
              <w:rPr>
                <w:rFonts w:ascii="Arial" w:hAnsi="Arial" w:cs="Arial"/>
                <w:b/>
                <w:bCs/>
              </w:rPr>
              <w:t>7</w:t>
            </w:r>
          </w:p>
        </w:tc>
      </w:tr>
    </w:tbl>
    <w:p w14:paraId="600511AC" w14:textId="77777777" w:rsidR="00237AB1" w:rsidRDefault="00237AB1" w:rsidP="00237AB1">
      <w:pPr>
        <w:ind w:left="-142" w:right="-425"/>
        <w:jc w:val="both"/>
        <w:rPr>
          <w:rFonts w:cs="Arial"/>
        </w:rPr>
      </w:pPr>
    </w:p>
    <w:p w14:paraId="07242880" w14:textId="2C5FAFA8"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DC1BD8">
        <w:rPr>
          <w:b/>
          <w:sz w:val="16"/>
          <w:szCs w:val="16"/>
        </w:rPr>
        <w:t>6</w:t>
      </w:r>
      <w:r w:rsidRPr="004B6F52">
        <w:rPr>
          <w:b/>
          <w:sz w:val="16"/>
          <w:szCs w:val="16"/>
        </w:rPr>
        <w:t>:</w:t>
      </w:r>
      <w:r w:rsidRPr="0002195A">
        <w:rPr>
          <w:bCs/>
          <w:sz w:val="16"/>
          <w:szCs w:val="16"/>
        </w:rPr>
        <w:t xml:space="preserve"> Number of decisions by order</w:t>
      </w:r>
      <w:bookmarkStart w:id="11"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1"/>
      <w:r w:rsidRPr="0002195A">
        <w:rPr>
          <w:bCs/>
          <w:sz w:val="16"/>
          <w:szCs w:val="16"/>
        </w:rPr>
        <w:t xml:space="preserve">from </w:t>
      </w:r>
      <w:r w:rsidR="00F83C14">
        <w:rPr>
          <w:bCs/>
          <w:sz w:val="16"/>
          <w:szCs w:val="16"/>
        </w:rPr>
        <w:t xml:space="preserve">1 </w:t>
      </w:r>
      <w:r w:rsidR="00415BC8">
        <w:rPr>
          <w:bCs/>
          <w:sz w:val="16"/>
          <w:szCs w:val="16"/>
        </w:rPr>
        <w:t>January 2022</w:t>
      </w:r>
      <w:r w:rsidRPr="0002195A">
        <w:rPr>
          <w:bCs/>
          <w:sz w:val="16"/>
          <w:szCs w:val="16"/>
        </w:rPr>
        <w:t xml:space="preserve"> to </w:t>
      </w:r>
      <w:r w:rsidR="00F83C14">
        <w:rPr>
          <w:bCs/>
          <w:sz w:val="16"/>
          <w:szCs w:val="16"/>
        </w:rPr>
        <w:t>3</w:t>
      </w:r>
      <w:r w:rsidR="006E3C46">
        <w:rPr>
          <w:bCs/>
          <w:sz w:val="16"/>
          <w:szCs w:val="16"/>
        </w:rPr>
        <w:t xml:space="preserve">1 </w:t>
      </w:r>
      <w:r w:rsidR="001A5C4C">
        <w:rPr>
          <w:bCs/>
          <w:sz w:val="16"/>
          <w:szCs w:val="16"/>
        </w:rPr>
        <w:t>March 2022</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BB6750">
        <w:rPr>
          <w:sz w:val="16"/>
          <w:szCs w:val="16"/>
          <w:vertAlign w:val="superscript"/>
        </w:rPr>
        <w:t>5</w:t>
      </w:r>
      <w:r w:rsidR="0002195A" w:rsidRPr="00152D32">
        <w:rPr>
          <w:sz w:val="16"/>
          <w:szCs w:val="16"/>
          <w:vertAlign w:val="superscript"/>
        </w:rPr>
        <w:fldChar w:fldCharType="end"/>
      </w:r>
    </w:p>
    <w:tbl>
      <w:tblPr>
        <w:tblStyle w:val="TableGrid"/>
        <w:tblW w:w="9526" w:type="dxa"/>
        <w:tblInd w:w="108" w:type="dxa"/>
        <w:tblLook w:val="04A0" w:firstRow="1" w:lastRow="0" w:firstColumn="1" w:lastColumn="0" w:noHBand="0" w:noVBand="1"/>
      </w:tblPr>
      <w:tblGrid>
        <w:gridCol w:w="1255"/>
        <w:gridCol w:w="463"/>
        <w:gridCol w:w="1538"/>
        <w:gridCol w:w="1356"/>
        <w:gridCol w:w="688"/>
        <w:gridCol w:w="946"/>
        <w:gridCol w:w="1323"/>
        <w:gridCol w:w="1258"/>
        <w:gridCol w:w="699"/>
      </w:tblGrid>
      <w:tr w:rsidR="00E65E47" w:rsidRPr="004B6F52" w14:paraId="53F08652" w14:textId="77777777" w:rsidTr="00E65E47">
        <w:tc>
          <w:tcPr>
            <w:tcW w:w="9526" w:type="dxa"/>
            <w:gridSpan w:val="9"/>
          </w:tcPr>
          <w:p w14:paraId="11325B98" w14:textId="39464D78" w:rsidR="00E65E47" w:rsidRPr="004B6F52" w:rsidRDefault="00E65E47" w:rsidP="00237AB1">
            <w:pPr>
              <w:ind w:right="-425"/>
              <w:jc w:val="center"/>
              <w:rPr>
                <w:rFonts w:cs="Arial"/>
                <w:b/>
                <w:bCs/>
              </w:rPr>
            </w:pPr>
            <w:r w:rsidRPr="004B6F52">
              <w:rPr>
                <w:rFonts w:cs="Arial"/>
                <w:b/>
                <w:bCs/>
              </w:rPr>
              <w:t>Decisions by Order</w:t>
            </w:r>
          </w:p>
        </w:tc>
      </w:tr>
      <w:tr w:rsidR="00E65E47" w14:paraId="00D64F33" w14:textId="77777777" w:rsidTr="00E65E47">
        <w:tc>
          <w:tcPr>
            <w:tcW w:w="1255" w:type="dxa"/>
          </w:tcPr>
          <w:p w14:paraId="4D5DE928" w14:textId="77777777" w:rsidR="0094728C" w:rsidRPr="00AE6690" w:rsidRDefault="0094728C" w:rsidP="00127D11">
            <w:pPr>
              <w:ind w:right="-425"/>
              <w:jc w:val="both"/>
              <w:rPr>
                <w:rFonts w:cs="Arial"/>
                <w:b/>
                <w:bCs/>
                <w:sz w:val="16"/>
                <w:szCs w:val="16"/>
              </w:rPr>
            </w:pPr>
            <w:r w:rsidRPr="00AE6690">
              <w:rPr>
                <w:rFonts w:cs="Arial"/>
                <w:b/>
                <w:bCs/>
                <w:sz w:val="16"/>
                <w:szCs w:val="16"/>
              </w:rPr>
              <w:t>Community</w:t>
            </w:r>
          </w:p>
        </w:tc>
        <w:tc>
          <w:tcPr>
            <w:tcW w:w="463" w:type="dxa"/>
          </w:tcPr>
          <w:p w14:paraId="26C6768E" w14:textId="2E14333C" w:rsidR="0094728C" w:rsidRPr="00AE6690" w:rsidRDefault="0094728C" w:rsidP="00127D11">
            <w:pPr>
              <w:jc w:val="center"/>
              <w:rPr>
                <w:rFonts w:cs="Arial"/>
                <w:b/>
                <w:bCs/>
                <w:sz w:val="16"/>
                <w:szCs w:val="16"/>
              </w:rPr>
            </w:pPr>
            <w:r w:rsidRPr="00AE6690">
              <w:rPr>
                <w:rFonts w:cs="Arial"/>
                <w:b/>
                <w:bCs/>
                <w:sz w:val="16"/>
                <w:szCs w:val="16"/>
              </w:rPr>
              <w:t>CP</w:t>
            </w:r>
          </w:p>
        </w:tc>
        <w:tc>
          <w:tcPr>
            <w:tcW w:w="1538" w:type="dxa"/>
          </w:tcPr>
          <w:p w14:paraId="26BEE2F4" w14:textId="3559A601" w:rsidR="0094728C" w:rsidRPr="00AE6690" w:rsidRDefault="0094728C" w:rsidP="00127D11">
            <w:pPr>
              <w:jc w:val="center"/>
              <w:rPr>
                <w:rFonts w:cs="Arial"/>
                <w:b/>
                <w:bCs/>
                <w:sz w:val="16"/>
                <w:szCs w:val="16"/>
              </w:rPr>
            </w:pPr>
            <w:r w:rsidRPr="00AE6690">
              <w:rPr>
                <w:rFonts w:cs="Arial"/>
                <w:b/>
                <w:bCs/>
                <w:sz w:val="16"/>
                <w:szCs w:val="16"/>
              </w:rPr>
              <w:t xml:space="preserve">CP &amp; CIM Concurrently </w:t>
            </w:r>
          </w:p>
        </w:tc>
        <w:tc>
          <w:tcPr>
            <w:tcW w:w="1356" w:type="dxa"/>
          </w:tcPr>
          <w:p w14:paraId="258F8267" w14:textId="072D8C59" w:rsidR="0094728C" w:rsidRPr="00AE6690" w:rsidRDefault="0094728C" w:rsidP="00127D11">
            <w:pPr>
              <w:jc w:val="center"/>
              <w:rPr>
                <w:rFonts w:cs="Arial"/>
                <w:b/>
                <w:bCs/>
                <w:sz w:val="16"/>
                <w:szCs w:val="16"/>
              </w:rPr>
            </w:pPr>
            <w:r w:rsidRPr="0094728C">
              <w:rPr>
                <w:rFonts w:cs="Arial"/>
                <w:b/>
                <w:bCs/>
                <w:sz w:val="16"/>
                <w:szCs w:val="16"/>
              </w:rPr>
              <w:t>CCP&amp; Rescheduled</w:t>
            </w:r>
          </w:p>
        </w:tc>
        <w:tc>
          <w:tcPr>
            <w:tcW w:w="688" w:type="dxa"/>
          </w:tcPr>
          <w:p w14:paraId="04157B6B" w14:textId="5B3F46E4" w:rsidR="0094728C" w:rsidRPr="00AE6690" w:rsidRDefault="0094728C" w:rsidP="00127D11">
            <w:pPr>
              <w:jc w:val="center"/>
              <w:rPr>
                <w:rFonts w:cs="Arial"/>
                <w:b/>
                <w:bCs/>
                <w:sz w:val="16"/>
                <w:szCs w:val="16"/>
              </w:rPr>
            </w:pPr>
            <w:r w:rsidRPr="00AE6690">
              <w:rPr>
                <w:rFonts w:cs="Arial"/>
                <w:b/>
                <w:bCs/>
                <w:sz w:val="16"/>
                <w:szCs w:val="16"/>
              </w:rPr>
              <w:t>CIM</w:t>
            </w:r>
          </w:p>
        </w:tc>
        <w:tc>
          <w:tcPr>
            <w:tcW w:w="946" w:type="dxa"/>
          </w:tcPr>
          <w:p w14:paraId="02F458D5" w14:textId="37EC28F9" w:rsidR="0094728C" w:rsidRPr="00AE6690" w:rsidRDefault="0094728C" w:rsidP="00127D11">
            <w:pPr>
              <w:jc w:val="center"/>
              <w:rPr>
                <w:rFonts w:cs="Arial"/>
                <w:b/>
                <w:bCs/>
                <w:sz w:val="16"/>
                <w:szCs w:val="16"/>
              </w:rPr>
            </w:pPr>
            <w:r w:rsidRPr="00AE6690">
              <w:rPr>
                <w:rFonts w:cs="Arial"/>
                <w:b/>
                <w:bCs/>
                <w:sz w:val="16"/>
                <w:szCs w:val="16"/>
              </w:rPr>
              <w:t>No Further Action</w:t>
            </w:r>
          </w:p>
        </w:tc>
        <w:tc>
          <w:tcPr>
            <w:tcW w:w="1323" w:type="dxa"/>
          </w:tcPr>
          <w:p w14:paraId="0D0553AE" w14:textId="0DFB7641" w:rsidR="0094728C" w:rsidRPr="00AE6690" w:rsidRDefault="0094728C" w:rsidP="00127D11">
            <w:pPr>
              <w:jc w:val="center"/>
              <w:rPr>
                <w:rFonts w:cs="Arial"/>
                <w:b/>
                <w:bCs/>
                <w:sz w:val="16"/>
                <w:szCs w:val="16"/>
              </w:rPr>
            </w:pPr>
            <w:r w:rsidRPr="00AE6690">
              <w:rPr>
                <w:rFonts w:cs="Arial"/>
                <w:b/>
                <w:bCs/>
                <w:sz w:val="16"/>
                <w:szCs w:val="16"/>
              </w:rPr>
              <w:t>Recommend Support Service</w:t>
            </w:r>
          </w:p>
        </w:tc>
        <w:tc>
          <w:tcPr>
            <w:tcW w:w="1258" w:type="dxa"/>
          </w:tcPr>
          <w:p w14:paraId="20680178" w14:textId="77777777" w:rsidR="0094728C" w:rsidRPr="00AE6690" w:rsidRDefault="0094728C" w:rsidP="00127D11">
            <w:pPr>
              <w:jc w:val="center"/>
              <w:rPr>
                <w:rFonts w:cs="Arial"/>
                <w:b/>
                <w:bCs/>
                <w:sz w:val="16"/>
                <w:szCs w:val="16"/>
              </w:rPr>
            </w:pPr>
            <w:r w:rsidRPr="00AE6690">
              <w:rPr>
                <w:rFonts w:cs="Arial"/>
                <w:b/>
                <w:bCs/>
                <w:sz w:val="16"/>
                <w:szCs w:val="16"/>
              </w:rPr>
              <w:t>Reprimand</w:t>
            </w:r>
          </w:p>
        </w:tc>
        <w:tc>
          <w:tcPr>
            <w:tcW w:w="699" w:type="dxa"/>
          </w:tcPr>
          <w:p w14:paraId="510D2877" w14:textId="77777777" w:rsidR="0094728C" w:rsidRPr="00AE6690" w:rsidRDefault="0094728C" w:rsidP="00127D11">
            <w:pPr>
              <w:jc w:val="right"/>
              <w:rPr>
                <w:rFonts w:cs="Arial"/>
                <w:b/>
                <w:bCs/>
                <w:sz w:val="16"/>
                <w:szCs w:val="16"/>
              </w:rPr>
            </w:pPr>
            <w:r w:rsidRPr="00AE6690">
              <w:rPr>
                <w:rFonts w:cs="Arial"/>
                <w:b/>
                <w:bCs/>
                <w:sz w:val="16"/>
                <w:szCs w:val="16"/>
              </w:rPr>
              <w:t>Total</w:t>
            </w:r>
          </w:p>
        </w:tc>
      </w:tr>
      <w:tr w:rsidR="00E65E47" w14:paraId="1020AB47" w14:textId="77777777" w:rsidTr="00E65E47">
        <w:tc>
          <w:tcPr>
            <w:tcW w:w="1255" w:type="dxa"/>
          </w:tcPr>
          <w:p w14:paraId="38A91592" w14:textId="77777777" w:rsidR="00E65E47" w:rsidRPr="00AE6690" w:rsidRDefault="00E65E47" w:rsidP="00E65E47">
            <w:pPr>
              <w:ind w:right="-425"/>
              <w:jc w:val="both"/>
              <w:rPr>
                <w:rFonts w:cs="Arial"/>
              </w:rPr>
            </w:pPr>
            <w:r w:rsidRPr="00AE6690">
              <w:rPr>
                <w:rFonts w:cs="Arial"/>
              </w:rPr>
              <w:t>AU</w:t>
            </w:r>
          </w:p>
        </w:tc>
        <w:tc>
          <w:tcPr>
            <w:tcW w:w="463" w:type="dxa"/>
          </w:tcPr>
          <w:p w14:paraId="49AD44CD" w14:textId="38D5F821" w:rsidR="00E65E47" w:rsidRPr="00AE6690" w:rsidRDefault="00E65E47" w:rsidP="00E65E47">
            <w:pPr>
              <w:jc w:val="right"/>
            </w:pPr>
            <w:r>
              <w:rPr>
                <w:rFonts w:ascii="Arial" w:hAnsi="Arial" w:cs="Arial"/>
                <w:color w:val="000000"/>
              </w:rPr>
              <w:t>3</w:t>
            </w:r>
          </w:p>
        </w:tc>
        <w:tc>
          <w:tcPr>
            <w:tcW w:w="1538" w:type="dxa"/>
          </w:tcPr>
          <w:p w14:paraId="17354BB6" w14:textId="07EFDDCA" w:rsidR="00E65E47" w:rsidRPr="00AE6690" w:rsidRDefault="00E65E47" w:rsidP="00E65E47">
            <w:pPr>
              <w:jc w:val="right"/>
            </w:pPr>
            <w:r>
              <w:rPr>
                <w:rFonts w:ascii="Arial" w:hAnsi="Arial" w:cs="Arial"/>
                <w:color w:val="000000"/>
              </w:rPr>
              <w:t>1</w:t>
            </w:r>
          </w:p>
        </w:tc>
        <w:tc>
          <w:tcPr>
            <w:tcW w:w="1356" w:type="dxa"/>
          </w:tcPr>
          <w:p w14:paraId="1575B12D" w14:textId="755AC0BA" w:rsidR="00E65E47" w:rsidRDefault="00E65E47" w:rsidP="00E65E47">
            <w:pPr>
              <w:jc w:val="right"/>
              <w:rPr>
                <w:rFonts w:ascii="Arial" w:hAnsi="Arial" w:cs="Arial"/>
                <w:color w:val="000000"/>
              </w:rPr>
            </w:pPr>
            <w:r>
              <w:rPr>
                <w:rFonts w:ascii="Arial" w:hAnsi="Arial" w:cs="Arial"/>
                <w:color w:val="000000"/>
              </w:rPr>
              <w:t>0</w:t>
            </w:r>
          </w:p>
        </w:tc>
        <w:tc>
          <w:tcPr>
            <w:tcW w:w="688" w:type="dxa"/>
          </w:tcPr>
          <w:p w14:paraId="72A6336C" w14:textId="0D8A80A3" w:rsidR="00E65E47" w:rsidRPr="00AE6690" w:rsidRDefault="00E65E47" w:rsidP="00E65E47">
            <w:pPr>
              <w:jc w:val="right"/>
            </w:pPr>
            <w:r>
              <w:rPr>
                <w:rFonts w:ascii="Arial" w:hAnsi="Arial" w:cs="Arial"/>
                <w:color w:val="000000"/>
              </w:rPr>
              <w:t>1</w:t>
            </w:r>
          </w:p>
        </w:tc>
        <w:tc>
          <w:tcPr>
            <w:tcW w:w="946" w:type="dxa"/>
          </w:tcPr>
          <w:p w14:paraId="7AF566B8" w14:textId="757BB475" w:rsidR="00E65E47" w:rsidRPr="00AE6690" w:rsidRDefault="00E65E47" w:rsidP="00E65E47">
            <w:pPr>
              <w:jc w:val="right"/>
            </w:pPr>
            <w:r>
              <w:rPr>
                <w:rFonts w:ascii="Arial" w:hAnsi="Arial" w:cs="Arial"/>
                <w:color w:val="000000"/>
              </w:rPr>
              <w:t>3</w:t>
            </w:r>
          </w:p>
        </w:tc>
        <w:tc>
          <w:tcPr>
            <w:tcW w:w="1323" w:type="dxa"/>
          </w:tcPr>
          <w:p w14:paraId="0A8CA9D7" w14:textId="25C6D27C" w:rsidR="00E65E47" w:rsidRPr="00AE6690" w:rsidRDefault="00E65E47" w:rsidP="00E65E47">
            <w:pPr>
              <w:jc w:val="right"/>
            </w:pPr>
            <w:r>
              <w:rPr>
                <w:rFonts w:ascii="Arial" w:hAnsi="Arial" w:cs="Arial"/>
                <w:color w:val="000000"/>
              </w:rPr>
              <w:t>1</w:t>
            </w:r>
          </w:p>
        </w:tc>
        <w:tc>
          <w:tcPr>
            <w:tcW w:w="1258" w:type="dxa"/>
          </w:tcPr>
          <w:p w14:paraId="515C5886" w14:textId="57859AC3" w:rsidR="00E65E47" w:rsidRPr="00AE6690" w:rsidRDefault="00E65E47" w:rsidP="00E65E47">
            <w:pPr>
              <w:jc w:val="right"/>
            </w:pPr>
            <w:r>
              <w:rPr>
                <w:rFonts w:ascii="Arial" w:hAnsi="Arial" w:cs="Arial"/>
                <w:color w:val="000000"/>
              </w:rPr>
              <w:t>2</w:t>
            </w:r>
          </w:p>
        </w:tc>
        <w:tc>
          <w:tcPr>
            <w:tcW w:w="699" w:type="dxa"/>
            <w:vAlign w:val="bottom"/>
          </w:tcPr>
          <w:p w14:paraId="5EBCE817" w14:textId="3B8F2220" w:rsidR="00E65E47" w:rsidRPr="00AE6690" w:rsidRDefault="00E65E47" w:rsidP="00E65E47">
            <w:pPr>
              <w:jc w:val="right"/>
              <w:rPr>
                <w:b/>
                <w:bCs/>
              </w:rPr>
            </w:pPr>
            <w:r>
              <w:rPr>
                <w:rFonts w:ascii="Arial" w:hAnsi="Arial" w:cs="Arial"/>
                <w:b/>
                <w:bCs/>
              </w:rPr>
              <w:t>11</w:t>
            </w:r>
          </w:p>
        </w:tc>
      </w:tr>
      <w:tr w:rsidR="00E65E47" w14:paraId="301C6385" w14:textId="77777777" w:rsidTr="00E65E47">
        <w:tc>
          <w:tcPr>
            <w:tcW w:w="1255" w:type="dxa"/>
          </w:tcPr>
          <w:p w14:paraId="50576C01" w14:textId="77777777" w:rsidR="00E65E47" w:rsidRPr="00AE6690" w:rsidRDefault="00E65E47" w:rsidP="00E65E47">
            <w:pPr>
              <w:ind w:right="-425"/>
              <w:jc w:val="both"/>
              <w:rPr>
                <w:rFonts w:cs="Arial"/>
              </w:rPr>
            </w:pPr>
            <w:r w:rsidRPr="00AE6690">
              <w:rPr>
                <w:rFonts w:cs="Arial"/>
              </w:rPr>
              <w:t>CO</w:t>
            </w:r>
          </w:p>
        </w:tc>
        <w:tc>
          <w:tcPr>
            <w:tcW w:w="463" w:type="dxa"/>
          </w:tcPr>
          <w:p w14:paraId="44D73875" w14:textId="039CE747" w:rsidR="00E65E47" w:rsidRPr="00AE6690" w:rsidRDefault="00E65E47" w:rsidP="00E65E47">
            <w:pPr>
              <w:jc w:val="right"/>
            </w:pPr>
            <w:r>
              <w:rPr>
                <w:rFonts w:ascii="Arial" w:hAnsi="Arial" w:cs="Arial"/>
                <w:color w:val="000000"/>
              </w:rPr>
              <w:t>1</w:t>
            </w:r>
          </w:p>
        </w:tc>
        <w:tc>
          <w:tcPr>
            <w:tcW w:w="1538" w:type="dxa"/>
          </w:tcPr>
          <w:p w14:paraId="0F9DAF08" w14:textId="181C3533" w:rsidR="00E65E47" w:rsidRPr="00AE6690" w:rsidRDefault="00E65E47" w:rsidP="00E65E47">
            <w:pPr>
              <w:jc w:val="right"/>
            </w:pPr>
            <w:r>
              <w:rPr>
                <w:rFonts w:ascii="Arial" w:hAnsi="Arial" w:cs="Arial"/>
                <w:color w:val="000000"/>
              </w:rPr>
              <w:t>0</w:t>
            </w:r>
          </w:p>
        </w:tc>
        <w:tc>
          <w:tcPr>
            <w:tcW w:w="1356" w:type="dxa"/>
          </w:tcPr>
          <w:p w14:paraId="246464CB" w14:textId="35A0A76B" w:rsidR="00E65E47" w:rsidRDefault="00E65E47" w:rsidP="00E65E47">
            <w:pPr>
              <w:jc w:val="right"/>
              <w:rPr>
                <w:rFonts w:ascii="Arial" w:hAnsi="Arial" w:cs="Arial"/>
                <w:color w:val="000000"/>
              </w:rPr>
            </w:pPr>
            <w:r>
              <w:rPr>
                <w:rFonts w:ascii="Arial" w:hAnsi="Arial" w:cs="Arial"/>
                <w:color w:val="000000"/>
              </w:rPr>
              <w:t>0</w:t>
            </w:r>
          </w:p>
        </w:tc>
        <w:tc>
          <w:tcPr>
            <w:tcW w:w="688" w:type="dxa"/>
          </w:tcPr>
          <w:p w14:paraId="2F50872C" w14:textId="5F1ADB85" w:rsidR="00E65E47" w:rsidRPr="00AE6690" w:rsidRDefault="00E65E47" w:rsidP="00E65E47">
            <w:pPr>
              <w:jc w:val="right"/>
            </w:pPr>
            <w:r>
              <w:rPr>
                <w:rFonts w:ascii="Arial" w:hAnsi="Arial" w:cs="Arial"/>
                <w:color w:val="000000"/>
              </w:rPr>
              <w:t>1</w:t>
            </w:r>
          </w:p>
        </w:tc>
        <w:tc>
          <w:tcPr>
            <w:tcW w:w="946" w:type="dxa"/>
          </w:tcPr>
          <w:p w14:paraId="4D1AF7D1" w14:textId="7D1D060E" w:rsidR="00E65E47" w:rsidRPr="00AE6690" w:rsidRDefault="00E65E47" w:rsidP="00E65E47">
            <w:pPr>
              <w:jc w:val="right"/>
            </w:pPr>
            <w:r>
              <w:rPr>
                <w:rFonts w:ascii="Arial" w:hAnsi="Arial" w:cs="Arial"/>
                <w:color w:val="000000"/>
              </w:rPr>
              <w:t>0</w:t>
            </w:r>
          </w:p>
        </w:tc>
        <w:tc>
          <w:tcPr>
            <w:tcW w:w="1323" w:type="dxa"/>
          </w:tcPr>
          <w:p w14:paraId="225B50B4" w14:textId="5D7E3E85" w:rsidR="00E65E47" w:rsidRPr="00AE6690" w:rsidRDefault="00E65E47" w:rsidP="00E65E47">
            <w:pPr>
              <w:jc w:val="right"/>
            </w:pPr>
            <w:r>
              <w:rPr>
                <w:rFonts w:ascii="Arial" w:hAnsi="Arial" w:cs="Arial"/>
                <w:color w:val="000000"/>
              </w:rPr>
              <w:t>0</w:t>
            </w:r>
          </w:p>
        </w:tc>
        <w:tc>
          <w:tcPr>
            <w:tcW w:w="1258" w:type="dxa"/>
          </w:tcPr>
          <w:p w14:paraId="2433CFD3" w14:textId="4F3162D6" w:rsidR="00E65E47" w:rsidRPr="00AE6690" w:rsidRDefault="00E65E47" w:rsidP="00E65E47">
            <w:pPr>
              <w:jc w:val="right"/>
            </w:pPr>
            <w:r>
              <w:rPr>
                <w:rFonts w:ascii="Arial" w:hAnsi="Arial" w:cs="Arial"/>
                <w:color w:val="000000"/>
              </w:rPr>
              <w:t>2</w:t>
            </w:r>
          </w:p>
        </w:tc>
        <w:tc>
          <w:tcPr>
            <w:tcW w:w="699" w:type="dxa"/>
            <w:vAlign w:val="bottom"/>
          </w:tcPr>
          <w:p w14:paraId="72B8A199" w14:textId="34A98283" w:rsidR="00E65E47" w:rsidRPr="00AE6690" w:rsidRDefault="00E65E47" w:rsidP="00E65E47">
            <w:pPr>
              <w:jc w:val="right"/>
              <w:rPr>
                <w:b/>
                <w:bCs/>
              </w:rPr>
            </w:pPr>
            <w:r>
              <w:rPr>
                <w:rFonts w:ascii="Arial" w:hAnsi="Arial" w:cs="Arial"/>
                <w:b/>
                <w:bCs/>
              </w:rPr>
              <w:t>4</w:t>
            </w:r>
          </w:p>
        </w:tc>
      </w:tr>
      <w:tr w:rsidR="00E65E47" w14:paraId="1AF88ED4" w14:textId="77777777" w:rsidTr="00E65E47">
        <w:tc>
          <w:tcPr>
            <w:tcW w:w="1255" w:type="dxa"/>
          </w:tcPr>
          <w:p w14:paraId="4C229F63" w14:textId="77777777" w:rsidR="00E65E47" w:rsidRPr="00AE6690" w:rsidRDefault="00E65E47" w:rsidP="00E65E47">
            <w:pPr>
              <w:ind w:right="-425"/>
              <w:jc w:val="both"/>
              <w:rPr>
                <w:rFonts w:cs="Arial"/>
              </w:rPr>
            </w:pPr>
            <w:r w:rsidRPr="00AE6690">
              <w:rPr>
                <w:rFonts w:cs="Arial"/>
              </w:rPr>
              <w:t>DM</w:t>
            </w:r>
          </w:p>
        </w:tc>
        <w:tc>
          <w:tcPr>
            <w:tcW w:w="463" w:type="dxa"/>
          </w:tcPr>
          <w:p w14:paraId="67496A09" w14:textId="356147BD" w:rsidR="00E65E47" w:rsidRPr="00AE6690" w:rsidRDefault="00E65E47" w:rsidP="00E65E47">
            <w:pPr>
              <w:jc w:val="right"/>
            </w:pPr>
            <w:r>
              <w:rPr>
                <w:rFonts w:ascii="Arial" w:hAnsi="Arial" w:cs="Arial"/>
                <w:color w:val="000000"/>
              </w:rPr>
              <w:t>10</w:t>
            </w:r>
          </w:p>
        </w:tc>
        <w:tc>
          <w:tcPr>
            <w:tcW w:w="1538" w:type="dxa"/>
          </w:tcPr>
          <w:p w14:paraId="0675C9A5" w14:textId="0D319C74" w:rsidR="00E65E47" w:rsidRPr="00AE6690" w:rsidRDefault="00E65E47" w:rsidP="00E65E47">
            <w:pPr>
              <w:jc w:val="right"/>
            </w:pPr>
            <w:r>
              <w:rPr>
                <w:rFonts w:ascii="Arial" w:hAnsi="Arial" w:cs="Arial"/>
                <w:color w:val="000000"/>
              </w:rPr>
              <w:t>2</w:t>
            </w:r>
          </w:p>
        </w:tc>
        <w:tc>
          <w:tcPr>
            <w:tcW w:w="1356" w:type="dxa"/>
          </w:tcPr>
          <w:p w14:paraId="31DCCB62" w14:textId="6F438A69" w:rsidR="00E65E47" w:rsidRDefault="00E65E47" w:rsidP="00E65E47">
            <w:pPr>
              <w:jc w:val="right"/>
              <w:rPr>
                <w:rFonts w:ascii="Arial" w:hAnsi="Arial" w:cs="Arial"/>
                <w:color w:val="000000"/>
              </w:rPr>
            </w:pPr>
            <w:r>
              <w:rPr>
                <w:rFonts w:ascii="Arial" w:hAnsi="Arial" w:cs="Arial"/>
                <w:color w:val="000000"/>
              </w:rPr>
              <w:t>1</w:t>
            </w:r>
          </w:p>
        </w:tc>
        <w:tc>
          <w:tcPr>
            <w:tcW w:w="688" w:type="dxa"/>
          </w:tcPr>
          <w:p w14:paraId="6FC56168" w14:textId="3A7B93AB" w:rsidR="00E65E47" w:rsidRPr="00AE6690" w:rsidRDefault="00E65E47" w:rsidP="00E65E47">
            <w:pPr>
              <w:jc w:val="right"/>
            </w:pPr>
            <w:r>
              <w:rPr>
                <w:rFonts w:ascii="Arial" w:hAnsi="Arial" w:cs="Arial"/>
                <w:color w:val="000000"/>
              </w:rPr>
              <w:t>0</w:t>
            </w:r>
          </w:p>
        </w:tc>
        <w:tc>
          <w:tcPr>
            <w:tcW w:w="946" w:type="dxa"/>
          </w:tcPr>
          <w:p w14:paraId="44389DB6" w14:textId="66009C1A" w:rsidR="00E65E47" w:rsidRPr="00AE6690" w:rsidRDefault="00E65E47" w:rsidP="00E65E47">
            <w:pPr>
              <w:jc w:val="right"/>
            </w:pPr>
            <w:r>
              <w:rPr>
                <w:rFonts w:ascii="Arial" w:hAnsi="Arial" w:cs="Arial"/>
                <w:color w:val="000000"/>
              </w:rPr>
              <w:t>5</w:t>
            </w:r>
          </w:p>
        </w:tc>
        <w:tc>
          <w:tcPr>
            <w:tcW w:w="1323" w:type="dxa"/>
          </w:tcPr>
          <w:p w14:paraId="09B97CC9" w14:textId="40717A58" w:rsidR="00E65E47" w:rsidRPr="00AE6690" w:rsidRDefault="00E65E47" w:rsidP="00E65E47">
            <w:pPr>
              <w:jc w:val="right"/>
            </w:pPr>
            <w:r>
              <w:rPr>
                <w:rFonts w:ascii="Arial" w:hAnsi="Arial" w:cs="Arial"/>
                <w:color w:val="000000"/>
              </w:rPr>
              <w:t>1</w:t>
            </w:r>
          </w:p>
        </w:tc>
        <w:tc>
          <w:tcPr>
            <w:tcW w:w="1258" w:type="dxa"/>
          </w:tcPr>
          <w:p w14:paraId="2BF4D189" w14:textId="5C6F6732" w:rsidR="00E65E47" w:rsidRPr="00AE6690" w:rsidRDefault="00E65E47" w:rsidP="00E65E47">
            <w:pPr>
              <w:jc w:val="right"/>
            </w:pPr>
            <w:r>
              <w:rPr>
                <w:rFonts w:ascii="Arial" w:hAnsi="Arial" w:cs="Arial"/>
                <w:color w:val="000000"/>
              </w:rPr>
              <w:t>0</w:t>
            </w:r>
          </w:p>
        </w:tc>
        <w:tc>
          <w:tcPr>
            <w:tcW w:w="699" w:type="dxa"/>
            <w:vAlign w:val="bottom"/>
          </w:tcPr>
          <w:p w14:paraId="6A174D2C" w14:textId="38D6D237" w:rsidR="00E65E47" w:rsidRPr="00AE6690" w:rsidRDefault="00E65E47" w:rsidP="00E65E47">
            <w:pPr>
              <w:jc w:val="right"/>
              <w:rPr>
                <w:b/>
                <w:bCs/>
              </w:rPr>
            </w:pPr>
            <w:r>
              <w:rPr>
                <w:rFonts w:ascii="Arial" w:hAnsi="Arial" w:cs="Arial"/>
                <w:b/>
                <w:bCs/>
              </w:rPr>
              <w:t>19</w:t>
            </w:r>
          </w:p>
        </w:tc>
      </w:tr>
      <w:tr w:rsidR="00E65E47" w14:paraId="0B079D3E" w14:textId="77777777" w:rsidTr="00E65E47">
        <w:tc>
          <w:tcPr>
            <w:tcW w:w="1255" w:type="dxa"/>
          </w:tcPr>
          <w:p w14:paraId="4C8C2425" w14:textId="77777777" w:rsidR="00E65E47" w:rsidRPr="00AE6690" w:rsidRDefault="00E65E47" w:rsidP="00E65E47">
            <w:pPr>
              <w:ind w:right="-425"/>
              <w:jc w:val="both"/>
              <w:rPr>
                <w:rFonts w:cs="Arial"/>
              </w:rPr>
            </w:pPr>
            <w:r w:rsidRPr="00AE6690">
              <w:rPr>
                <w:rFonts w:cs="Arial"/>
              </w:rPr>
              <w:t>HV</w:t>
            </w:r>
          </w:p>
        </w:tc>
        <w:tc>
          <w:tcPr>
            <w:tcW w:w="463" w:type="dxa"/>
          </w:tcPr>
          <w:p w14:paraId="37538412" w14:textId="7009F94B" w:rsidR="00E65E47" w:rsidRPr="00AE6690" w:rsidRDefault="00E65E47" w:rsidP="00E65E47">
            <w:pPr>
              <w:jc w:val="right"/>
            </w:pPr>
            <w:r>
              <w:rPr>
                <w:rFonts w:ascii="Arial" w:hAnsi="Arial" w:cs="Arial"/>
                <w:color w:val="000000"/>
              </w:rPr>
              <w:t>5</w:t>
            </w:r>
          </w:p>
        </w:tc>
        <w:tc>
          <w:tcPr>
            <w:tcW w:w="1538" w:type="dxa"/>
          </w:tcPr>
          <w:p w14:paraId="19FE7E35" w14:textId="434BC716" w:rsidR="00E65E47" w:rsidRPr="00AE6690" w:rsidRDefault="00E65E47" w:rsidP="00E65E47">
            <w:pPr>
              <w:jc w:val="right"/>
            </w:pPr>
            <w:r>
              <w:rPr>
                <w:rFonts w:ascii="Arial" w:hAnsi="Arial" w:cs="Arial"/>
                <w:color w:val="000000"/>
              </w:rPr>
              <w:t>0</w:t>
            </w:r>
          </w:p>
        </w:tc>
        <w:tc>
          <w:tcPr>
            <w:tcW w:w="1356" w:type="dxa"/>
          </w:tcPr>
          <w:p w14:paraId="24A9AB83" w14:textId="0D21D67C" w:rsidR="00E65E47" w:rsidRDefault="00E65E47" w:rsidP="00E65E47">
            <w:pPr>
              <w:jc w:val="right"/>
              <w:rPr>
                <w:rFonts w:ascii="Arial" w:hAnsi="Arial" w:cs="Arial"/>
                <w:color w:val="000000"/>
              </w:rPr>
            </w:pPr>
            <w:r>
              <w:rPr>
                <w:rFonts w:ascii="Arial" w:hAnsi="Arial" w:cs="Arial"/>
                <w:color w:val="000000"/>
              </w:rPr>
              <w:t>0</w:t>
            </w:r>
          </w:p>
        </w:tc>
        <w:tc>
          <w:tcPr>
            <w:tcW w:w="688" w:type="dxa"/>
          </w:tcPr>
          <w:p w14:paraId="533C7EA9" w14:textId="7E733448" w:rsidR="00E65E47" w:rsidRPr="00AE6690" w:rsidRDefault="00E65E47" w:rsidP="00E65E47">
            <w:pPr>
              <w:jc w:val="right"/>
            </w:pPr>
            <w:r>
              <w:rPr>
                <w:rFonts w:ascii="Arial" w:hAnsi="Arial" w:cs="Arial"/>
                <w:color w:val="000000"/>
              </w:rPr>
              <w:t>0</w:t>
            </w:r>
          </w:p>
        </w:tc>
        <w:tc>
          <w:tcPr>
            <w:tcW w:w="946" w:type="dxa"/>
          </w:tcPr>
          <w:p w14:paraId="6CDAAF40" w14:textId="244B54C9" w:rsidR="00E65E47" w:rsidRPr="00AE6690" w:rsidRDefault="00E65E47" w:rsidP="00E65E47">
            <w:pPr>
              <w:jc w:val="right"/>
            </w:pPr>
            <w:r>
              <w:rPr>
                <w:rFonts w:ascii="Arial" w:hAnsi="Arial" w:cs="Arial"/>
                <w:color w:val="000000"/>
              </w:rPr>
              <w:t>8</w:t>
            </w:r>
          </w:p>
        </w:tc>
        <w:tc>
          <w:tcPr>
            <w:tcW w:w="1323" w:type="dxa"/>
          </w:tcPr>
          <w:p w14:paraId="28BF6F9E" w14:textId="79005D76" w:rsidR="00E65E47" w:rsidRPr="00AE6690" w:rsidRDefault="00E65E47" w:rsidP="00E65E47">
            <w:pPr>
              <w:jc w:val="right"/>
            </w:pPr>
            <w:r>
              <w:rPr>
                <w:rFonts w:ascii="Arial" w:hAnsi="Arial" w:cs="Arial"/>
                <w:color w:val="000000"/>
              </w:rPr>
              <w:t>1</w:t>
            </w:r>
          </w:p>
        </w:tc>
        <w:tc>
          <w:tcPr>
            <w:tcW w:w="1258" w:type="dxa"/>
          </w:tcPr>
          <w:p w14:paraId="5329BF30" w14:textId="1E0E6BC9" w:rsidR="00E65E47" w:rsidRPr="00AE6690" w:rsidRDefault="00E65E47" w:rsidP="00E65E47">
            <w:pPr>
              <w:jc w:val="right"/>
            </w:pPr>
            <w:r>
              <w:rPr>
                <w:rFonts w:ascii="Arial" w:hAnsi="Arial" w:cs="Arial"/>
                <w:color w:val="000000"/>
              </w:rPr>
              <w:t>0</w:t>
            </w:r>
          </w:p>
        </w:tc>
        <w:tc>
          <w:tcPr>
            <w:tcW w:w="699" w:type="dxa"/>
            <w:vAlign w:val="bottom"/>
          </w:tcPr>
          <w:p w14:paraId="03987686" w14:textId="2A49B17F" w:rsidR="00E65E47" w:rsidRPr="00AE6690" w:rsidRDefault="00E65E47" w:rsidP="00E65E47">
            <w:pPr>
              <w:jc w:val="right"/>
              <w:rPr>
                <w:b/>
                <w:bCs/>
              </w:rPr>
            </w:pPr>
            <w:r>
              <w:rPr>
                <w:rFonts w:ascii="Arial" w:hAnsi="Arial" w:cs="Arial"/>
                <w:b/>
                <w:bCs/>
              </w:rPr>
              <w:t>14</w:t>
            </w:r>
          </w:p>
        </w:tc>
      </w:tr>
      <w:tr w:rsidR="00E65E47" w14:paraId="1A110982" w14:textId="77777777" w:rsidTr="00E65E47">
        <w:tc>
          <w:tcPr>
            <w:tcW w:w="1255" w:type="dxa"/>
          </w:tcPr>
          <w:p w14:paraId="3E280D98" w14:textId="77777777" w:rsidR="00E65E47" w:rsidRPr="00AE6690" w:rsidRDefault="00E65E47" w:rsidP="00E65E47">
            <w:pPr>
              <w:ind w:right="-425"/>
              <w:jc w:val="both"/>
              <w:rPr>
                <w:rFonts w:cs="Arial"/>
              </w:rPr>
            </w:pPr>
            <w:r w:rsidRPr="00AE6690">
              <w:rPr>
                <w:rFonts w:cs="Arial"/>
              </w:rPr>
              <w:t>MG</w:t>
            </w:r>
          </w:p>
        </w:tc>
        <w:tc>
          <w:tcPr>
            <w:tcW w:w="463" w:type="dxa"/>
          </w:tcPr>
          <w:p w14:paraId="219E514B" w14:textId="49ADB811" w:rsidR="00E65E47" w:rsidRPr="00AE6690" w:rsidRDefault="00E65E47" w:rsidP="00E65E47">
            <w:pPr>
              <w:jc w:val="right"/>
            </w:pPr>
            <w:r>
              <w:rPr>
                <w:rFonts w:ascii="Arial" w:hAnsi="Arial" w:cs="Arial"/>
                <w:color w:val="000000"/>
              </w:rPr>
              <w:t>5</w:t>
            </w:r>
          </w:p>
        </w:tc>
        <w:tc>
          <w:tcPr>
            <w:tcW w:w="1538" w:type="dxa"/>
          </w:tcPr>
          <w:p w14:paraId="51A17240" w14:textId="4D2172A1" w:rsidR="00E65E47" w:rsidRPr="00AE6690" w:rsidRDefault="00E65E47" w:rsidP="00E65E47">
            <w:pPr>
              <w:jc w:val="right"/>
            </w:pPr>
            <w:r>
              <w:rPr>
                <w:rFonts w:ascii="Arial" w:hAnsi="Arial" w:cs="Arial"/>
                <w:color w:val="000000"/>
              </w:rPr>
              <w:t>0</w:t>
            </w:r>
          </w:p>
        </w:tc>
        <w:tc>
          <w:tcPr>
            <w:tcW w:w="1356" w:type="dxa"/>
          </w:tcPr>
          <w:p w14:paraId="68FB8722" w14:textId="662DFBBB" w:rsidR="00E65E47" w:rsidRDefault="00E65E47" w:rsidP="00E65E47">
            <w:pPr>
              <w:jc w:val="right"/>
              <w:rPr>
                <w:rFonts w:ascii="Arial" w:hAnsi="Arial" w:cs="Arial"/>
                <w:color w:val="000000"/>
              </w:rPr>
            </w:pPr>
            <w:r>
              <w:rPr>
                <w:rFonts w:ascii="Arial" w:hAnsi="Arial" w:cs="Arial"/>
                <w:color w:val="000000"/>
              </w:rPr>
              <w:t>0</w:t>
            </w:r>
          </w:p>
        </w:tc>
        <w:tc>
          <w:tcPr>
            <w:tcW w:w="688" w:type="dxa"/>
          </w:tcPr>
          <w:p w14:paraId="39A8F072" w14:textId="1C259616" w:rsidR="00E65E47" w:rsidRPr="00AE6690" w:rsidRDefault="00E65E47" w:rsidP="00E65E47">
            <w:pPr>
              <w:jc w:val="right"/>
            </w:pPr>
            <w:r>
              <w:rPr>
                <w:rFonts w:ascii="Arial" w:hAnsi="Arial" w:cs="Arial"/>
                <w:color w:val="000000"/>
              </w:rPr>
              <w:t>1</w:t>
            </w:r>
          </w:p>
        </w:tc>
        <w:tc>
          <w:tcPr>
            <w:tcW w:w="946" w:type="dxa"/>
          </w:tcPr>
          <w:p w14:paraId="4786E29E" w14:textId="682B26CE" w:rsidR="00E65E47" w:rsidRPr="00AE6690" w:rsidRDefault="00E65E47" w:rsidP="00E65E47">
            <w:pPr>
              <w:jc w:val="right"/>
            </w:pPr>
            <w:r>
              <w:rPr>
                <w:rFonts w:ascii="Arial" w:hAnsi="Arial" w:cs="Arial"/>
                <w:color w:val="000000"/>
              </w:rPr>
              <w:t>0</w:t>
            </w:r>
          </w:p>
        </w:tc>
        <w:tc>
          <w:tcPr>
            <w:tcW w:w="1323" w:type="dxa"/>
          </w:tcPr>
          <w:p w14:paraId="72B56FC5" w14:textId="5A7CAC96" w:rsidR="00E65E47" w:rsidRPr="00AE6690" w:rsidRDefault="00E65E47" w:rsidP="00E65E47">
            <w:pPr>
              <w:jc w:val="right"/>
            </w:pPr>
            <w:r>
              <w:rPr>
                <w:rFonts w:ascii="Arial" w:hAnsi="Arial" w:cs="Arial"/>
                <w:color w:val="000000"/>
              </w:rPr>
              <w:t>0</w:t>
            </w:r>
          </w:p>
        </w:tc>
        <w:tc>
          <w:tcPr>
            <w:tcW w:w="1258" w:type="dxa"/>
          </w:tcPr>
          <w:p w14:paraId="358DC4D7" w14:textId="7BF5EB14" w:rsidR="00E65E47" w:rsidRPr="00AE6690" w:rsidRDefault="00E65E47" w:rsidP="00E65E47">
            <w:pPr>
              <w:jc w:val="right"/>
            </w:pPr>
            <w:r>
              <w:rPr>
                <w:rFonts w:ascii="Arial" w:hAnsi="Arial" w:cs="Arial"/>
                <w:color w:val="000000"/>
              </w:rPr>
              <w:t>0</w:t>
            </w:r>
          </w:p>
        </w:tc>
        <w:tc>
          <w:tcPr>
            <w:tcW w:w="699" w:type="dxa"/>
            <w:vAlign w:val="bottom"/>
          </w:tcPr>
          <w:p w14:paraId="1AC531B7" w14:textId="24485062" w:rsidR="00E65E47" w:rsidRPr="00AE6690" w:rsidRDefault="00E65E47" w:rsidP="00E65E47">
            <w:pPr>
              <w:jc w:val="right"/>
              <w:rPr>
                <w:b/>
                <w:bCs/>
              </w:rPr>
            </w:pPr>
            <w:r>
              <w:rPr>
                <w:rFonts w:ascii="Arial" w:hAnsi="Arial" w:cs="Arial"/>
                <w:b/>
                <w:bCs/>
              </w:rPr>
              <w:t>6</w:t>
            </w:r>
          </w:p>
        </w:tc>
      </w:tr>
      <w:tr w:rsidR="00E65E47" w14:paraId="7D295E1A" w14:textId="77777777" w:rsidTr="00E65E47">
        <w:tc>
          <w:tcPr>
            <w:tcW w:w="1255" w:type="dxa"/>
          </w:tcPr>
          <w:p w14:paraId="1AA67368" w14:textId="77777777" w:rsidR="00E65E47" w:rsidRPr="00AE6690" w:rsidRDefault="00E65E47" w:rsidP="00E65E47">
            <w:pPr>
              <w:ind w:right="-425"/>
              <w:jc w:val="both"/>
              <w:rPr>
                <w:rFonts w:cs="Arial"/>
                <w:b/>
                <w:bCs/>
              </w:rPr>
            </w:pPr>
            <w:r w:rsidRPr="00AE6690">
              <w:rPr>
                <w:rFonts w:cs="Arial"/>
                <w:b/>
                <w:bCs/>
              </w:rPr>
              <w:t>Total</w:t>
            </w:r>
          </w:p>
        </w:tc>
        <w:tc>
          <w:tcPr>
            <w:tcW w:w="463" w:type="dxa"/>
            <w:vAlign w:val="bottom"/>
          </w:tcPr>
          <w:p w14:paraId="7EA61294" w14:textId="287B4DE7" w:rsidR="00E65E47" w:rsidRPr="00AE6690" w:rsidRDefault="00E65E47" w:rsidP="00E65E47">
            <w:pPr>
              <w:jc w:val="right"/>
              <w:rPr>
                <w:b/>
                <w:bCs/>
              </w:rPr>
            </w:pPr>
            <w:r>
              <w:rPr>
                <w:rFonts w:ascii="Arial" w:hAnsi="Arial" w:cs="Arial"/>
                <w:b/>
                <w:bCs/>
              </w:rPr>
              <w:t>24</w:t>
            </w:r>
          </w:p>
        </w:tc>
        <w:tc>
          <w:tcPr>
            <w:tcW w:w="1538" w:type="dxa"/>
            <w:vAlign w:val="bottom"/>
          </w:tcPr>
          <w:p w14:paraId="4423A1A4" w14:textId="173769F3" w:rsidR="00E65E47" w:rsidRPr="00AE6690" w:rsidRDefault="00E65E47" w:rsidP="00E65E47">
            <w:pPr>
              <w:jc w:val="right"/>
              <w:rPr>
                <w:b/>
                <w:bCs/>
              </w:rPr>
            </w:pPr>
            <w:r>
              <w:rPr>
                <w:rFonts w:ascii="Arial" w:hAnsi="Arial" w:cs="Arial"/>
                <w:b/>
                <w:bCs/>
              </w:rPr>
              <w:t>3</w:t>
            </w:r>
          </w:p>
        </w:tc>
        <w:tc>
          <w:tcPr>
            <w:tcW w:w="1356" w:type="dxa"/>
            <w:vAlign w:val="bottom"/>
          </w:tcPr>
          <w:p w14:paraId="74EF03FC" w14:textId="0D1F26FA" w:rsidR="00E65E47" w:rsidRDefault="00E65E47" w:rsidP="00E65E47">
            <w:pPr>
              <w:jc w:val="right"/>
              <w:rPr>
                <w:rFonts w:ascii="Arial" w:hAnsi="Arial" w:cs="Arial"/>
                <w:b/>
                <w:bCs/>
              </w:rPr>
            </w:pPr>
            <w:r>
              <w:rPr>
                <w:rFonts w:ascii="Arial" w:hAnsi="Arial" w:cs="Arial"/>
                <w:b/>
                <w:bCs/>
              </w:rPr>
              <w:t>1</w:t>
            </w:r>
          </w:p>
        </w:tc>
        <w:tc>
          <w:tcPr>
            <w:tcW w:w="688" w:type="dxa"/>
            <w:vAlign w:val="bottom"/>
          </w:tcPr>
          <w:p w14:paraId="25FCDD62" w14:textId="147C0596" w:rsidR="00E65E47" w:rsidRPr="00AE6690" w:rsidRDefault="00E65E47" w:rsidP="00E65E47">
            <w:pPr>
              <w:jc w:val="right"/>
              <w:rPr>
                <w:b/>
                <w:bCs/>
              </w:rPr>
            </w:pPr>
            <w:r>
              <w:rPr>
                <w:rFonts w:ascii="Arial" w:hAnsi="Arial" w:cs="Arial"/>
                <w:b/>
                <w:bCs/>
              </w:rPr>
              <w:t>3</w:t>
            </w:r>
          </w:p>
        </w:tc>
        <w:tc>
          <w:tcPr>
            <w:tcW w:w="946" w:type="dxa"/>
            <w:vAlign w:val="bottom"/>
          </w:tcPr>
          <w:p w14:paraId="3CFBABCB" w14:textId="05408BA8" w:rsidR="00E65E47" w:rsidRPr="00AE6690" w:rsidRDefault="00E65E47" w:rsidP="00E65E47">
            <w:pPr>
              <w:jc w:val="right"/>
              <w:rPr>
                <w:b/>
                <w:bCs/>
              </w:rPr>
            </w:pPr>
            <w:r>
              <w:rPr>
                <w:rFonts w:ascii="Arial" w:hAnsi="Arial" w:cs="Arial"/>
                <w:b/>
                <w:bCs/>
              </w:rPr>
              <w:t>16</w:t>
            </w:r>
          </w:p>
        </w:tc>
        <w:tc>
          <w:tcPr>
            <w:tcW w:w="1323" w:type="dxa"/>
            <w:vAlign w:val="bottom"/>
          </w:tcPr>
          <w:p w14:paraId="6B72A0E8" w14:textId="183A6D85" w:rsidR="00E65E47" w:rsidRPr="00AE6690" w:rsidRDefault="00E65E47" w:rsidP="00E65E47">
            <w:pPr>
              <w:jc w:val="right"/>
              <w:rPr>
                <w:b/>
                <w:bCs/>
              </w:rPr>
            </w:pPr>
            <w:r>
              <w:rPr>
                <w:rFonts w:ascii="Arial" w:hAnsi="Arial" w:cs="Arial"/>
                <w:b/>
                <w:bCs/>
              </w:rPr>
              <w:t>3</w:t>
            </w:r>
          </w:p>
        </w:tc>
        <w:tc>
          <w:tcPr>
            <w:tcW w:w="1258" w:type="dxa"/>
            <w:vAlign w:val="bottom"/>
          </w:tcPr>
          <w:p w14:paraId="2793E47C" w14:textId="148857B8" w:rsidR="00E65E47" w:rsidRPr="00AE6690" w:rsidRDefault="00E65E47" w:rsidP="00E65E47">
            <w:pPr>
              <w:jc w:val="right"/>
              <w:rPr>
                <w:b/>
                <w:bCs/>
              </w:rPr>
            </w:pPr>
            <w:r>
              <w:rPr>
                <w:rFonts w:ascii="Arial" w:hAnsi="Arial" w:cs="Arial"/>
                <w:b/>
                <w:bCs/>
              </w:rPr>
              <w:t>4</w:t>
            </w:r>
          </w:p>
        </w:tc>
        <w:tc>
          <w:tcPr>
            <w:tcW w:w="699" w:type="dxa"/>
            <w:vAlign w:val="bottom"/>
          </w:tcPr>
          <w:p w14:paraId="6FB13ACB" w14:textId="4D99DD7F" w:rsidR="00E65E47" w:rsidRPr="00AE6690" w:rsidRDefault="00E65E47" w:rsidP="00E65E47">
            <w:pPr>
              <w:jc w:val="right"/>
              <w:rPr>
                <w:b/>
                <w:bCs/>
              </w:rPr>
            </w:pPr>
            <w:r>
              <w:rPr>
                <w:rFonts w:ascii="Arial" w:hAnsi="Arial" w:cs="Arial"/>
                <w:b/>
                <w:bCs/>
              </w:rPr>
              <w:t>54</w:t>
            </w:r>
          </w:p>
        </w:tc>
      </w:tr>
    </w:tbl>
    <w:p w14:paraId="370BFC10" w14:textId="6394BA5A" w:rsidR="00D505F2" w:rsidRDefault="00D505F2" w:rsidP="00237AB1">
      <w:pPr>
        <w:ind w:left="-142" w:right="-425"/>
        <w:jc w:val="both"/>
        <w:rPr>
          <w:rFonts w:cs="Arial"/>
        </w:rPr>
      </w:pPr>
    </w:p>
    <w:p w14:paraId="1C006F71" w14:textId="259B1B33" w:rsidR="00270A6D" w:rsidRPr="004B6F52" w:rsidRDefault="00270A6D" w:rsidP="00270A6D">
      <w:pPr>
        <w:spacing w:after="120" w:line="240" w:lineRule="auto"/>
        <w:ind w:left="794" w:hanging="794"/>
      </w:pPr>
      <w:r w:rsidRPr="004B6F52">
        <w:rPr>
          <w:b/>
          <w:sz w:val="16"/>
          <w:szCs w:val="16"/>
        </w:rPr>
        <w:t xml:space="preserve">Table </w:t>
      </w:r>
      <w:r w:rsidR="00DC1BD8">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2"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2"/>
      <w:r w:rsidRPr="004B6F52">
        <w:rPr>
          <w:sz w:val="16"/>
          <w:szCs w:val="16"/>
        </w:rPr>
        <w:t xml:space="preserve">from </w:t>
      </w:r>
      <w:r w:rsidR="00F83C14">
        <w:rPr>
          <w:sz w:val="16"/>
          <w:szCs w:val="16"/>
        </w:rPr>
        <w:t xml:space="preserve">1 </w:t>
      </w:r>
      <w:r w:rsidR="00415BC8">
        <w:rPr>
          <w:sz w:val="16"/>
          <w:szCs w:val="16"/>
        </w:rPr>
        <w:t>January 2022</w:t>
      </w:r>
      <w:r w:rsidRPr="004B6F52">
        <w:rPr>
          <w:sz w:val="16"/>
          <w:szCs w:val="16"/>
        </w:rPr>
        <w:t xml:space="preserve"> to </w:t>
      </w:r>
      <w:r w:rsidR="00F83C14">
        <w:rPr>
          <w:sz w:val="16"/>
          <w:szCs w:val="16"/>
        </w:rPr>
        <w:t>3</w:t>
      </w:r>
      <w:r w:rsidR="006E3C46">
        <w:rPr>
          <w:sz w:val="16"/>
          <w:szCs w:val="16"/>
        </w:rPr>
        <w:t xml:space="preserve">1 </w:t>
      </w:r>
      <w:r w:rsidR="001A5C4C">
        <w:rPr>
          <w:sz w:val="16"/>
          <w:szCs w:val="16"/>
        </w:rPr>
        <w:t>March 2022</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BB6750">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992"/>
        <w:gridCol w:w="992"/>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14:paraId="3B7805EC" w14:textId="77777777" w:rsidTr="0094728C">
        <w:trPr>
          <w:trHeight w:val="458"/>
        </w:trPr>
        <w:tc>
          <w:tcPr>
            <w:tcW w:w="1588" w:type="dxa"/>
          </w:tcPr>
          <w:p w14:paraId="2C3BEFA7" w14:textId="77777777" w:rsidR="002D2253" w:rsidRPr="004B6F52" w:rsidRDefault="002D2253" w:rsidP="00F961A8">
            <w:pPr>
              <w:ind w:right="-425"/>
              <w:jc w:val="both"/>
              <w:rPr>
                <w:rFonts w:cs="Arial"/>
                <w:b/>
                <w:bCs/>
              </w:rPr>
            </w:pPr>
            <w:r w:rsidRPr="004B6F52">
              <w:rPr>
                <w:rFonts w:cs="Arial"/>
                <w:b/>
                <w:bCs/>
              </w:rPr>
              <w:t>Community</w:t>
            </w:r>
          </w:p>
        </w:tc>
        <w:tc>
          <w:tcPr>
            <w:tcW w:w="992" w:type="dxa"/>
            <w:vAlign w:val="bottom"/>
          </w:tcPr>
          <w:p w14:paraId="0EC72F94" w14:textId="5CE669EE" w:rsidR="002D2253" w:rsidRPr="004B6F52" w:rsidRDefault="002D2253" w:rsidP="00F961A8">
            <w:pPr>
              <w:jc w:val="center"/>
              <w:rPr>
                <w:rFonts w:cs="Arial"/>
                <w:b/>
                <w:bCs/>
              </w:rPr>
            </w:pPr>
            <w:r>
              <w:rPr>
                <w:rFonts w:ascii="Arial" w:hAnsi="Arial" w:cs="Arial"/>
                <w:b/>
                <w:bCs/>
              </w:rPr>
              <w:t>CCP End</w:t>
            </w:r>
          </w:p>
        </w:tc>
        <w:tc>
          <w:tcPr>
            <w:tcW w:w="1418" w:type="dxa"/>
            <w:vAlign w:val="bottom"/>
          </w:tcPr>
          <w:p w14:paraId="12659BD5" w14:textId="13C9149F" w:rsidR="002D2253" w:rsidRPr="004B6F52" w:rsidRDefault="002D2253" w:rsidP="00F961A8">
            <w:pPr>
              <w:jc w:val="center"/>
              <w:rPr>
                <w:rFonts w:cs="Arial"/>
                <w:b/>
                <w:bCs/>
              </w:rPr>
            </w:pPr>
            <w:r>
              <w:rPr>
                <w:rFonts w:ascii="Arial" w:hAnsi="Arial" w:cs="Arial"/>
                <w:b/>
                <w:bCs/>
              </w:rPr>
              <w:t>CCP End &amp; CIM End</w:t>
            </w:r>
          </w:p>
        </w:tc>
        <w:tc>
          <w:tcPr>
            <w:tcW w:w="992" w:type="dxa"/>
            <w:vAlign w:val="bottom"/>
          </w:tcPr>
          <w:p w14:paraId="5F17FCC4" w14:textId="4C06D4F6" w:rsidR="002D2253" w:rsidRPr="004B6F52" w:rsidRDefault="002D2253" w:rsidP="00F961A8">
            <w:pPr>
              <w:jc w:val="center"/>
              <w:rPr>
                <w:rFonts w:cs="Arial"/>
                <w:b/>
                <w:bCs/>
              </w:rPr>
            </w:pPr>
            <w:r>
              <w:rPr>
                <w:rFonts w:ascii="Arial" w:hAnsi="Arial" w:cs="Arial"/>
                <w:b/>
                <w:bCs/>
              </w:rPr>
              <w:t>CIM Amend</w:t>
            </w:r>
          </w:p>
        </w:tc>
        <w:tc>
          <w:tcPr>
            <w:tcW w:w="992" w:type="dxa"/>
            <w:vAlign w:val="bottom"/>
          </w:tcPr>
          <w:p w14:paraId="3648C27F" w14:textId="45BB8B97" w:rsidR="002D2253" w:rsidRPr="004B6F52" w:rsidRDefault="002D2253" w:rsidP="00F961A8">
            <w:pPr>
              <w:jc w:val="center"/>
              <w:rPr>
                <w:rFonts w:cs="Arial"/>
                <w:b/>
                <w:bCs/>
              </w:rPr>
            </w:pPr>
            <w:r>
              <w:rPr>
                <w:rFonts w:ascii="Arial" w:hAnsi="Arial" w:cs="Arial"/>
                <w:b/>
                <w:bCs/>
              </w:rPr>
              <w:t>CIM End</w:t>
            </w:r>
          </w:p>
        </w:tc>
        <w:tc>
          <w:tcPr>
            <w:tcW w:w="1276" w:type="dxa"/>
            <w:vAlign w:val="bottom"/>
          </w:tcPr>
          <w:p w14:paraId="7D3258B0" w14:textId="46E6EF21" w:rsidR="002D2253" w:rsidRPr="004B6F52" w:rsidRDefault="002D2253" w:rsidP="00F961A8">
            <w:pPr>
              <w:jc w:val="right"/>
              <w:rPr>
                <w:rFonts w:cs="Arial"/>
                <w:b/>
                <w:bCs/>
              </w:rPr>
            </w:pPr>
            <w:r>
              <w:rPr>
                <w:rFonts w:ascii="Arial" w:hAnsi="Arial" w:cs="Arial"/>
                <w:b/>
                <w:bCs/>
              </w:rPr>
              <w:t>No Further Action</w:t>
            </w:r>
          </w:p>
        </w:tc>
        <w:tc>
          <w:tcPr>
            <w:tcW w:w="851" w:type="dxa"/>
          </w:tcPr>
          <w:p w14:paraId="434B513A" w14:textId="5D54118E" w:rsidR="002D2253" w:rsidRPr="00294D17" w:rsidRDefault="002D2253" w:rsidP="00F961A8">
            <w:pPr>
              <w:jc w:val="right"/>
              <w:rPr>
                <w:rFonts w:cs="Arial"/>
                <w:b/>
                <w:bCs/>
              </w:rPr>
            </w:pPr>
            <w:r w:rsidRPr="004B6F52">
              <w:rPr>
                <w:rFonts w:cs="Arial"/>
                <w:b/>
                <w:bCs/>
              </w:rPr>
              <w:t>Total</w:t>
            </w:r>
          </w:p>
        </w:tc>
      </w:tr>
      <w:tr w:rsidR="0094728C" w14:paraId="5A3BBB23" w14:textId="77777777" w:rsidTr="0094728C">
        <w:trPr>
          <w:trHeight w:val="222"/>
        </w:trPr>
        <w:tc>
          <w:tcPr>
            <w:tcW w:w="1588" w:type="dxa"/>
          </w:tcPr>
          <w:p w14:paraId="0687FF23" w14:textId="77777777" w:rsidR="0094728C" w:rsidRPr="00294D17" w:rsidRDefault="0094728C" w:rsidP="0094728C">
            <w:pPr>
              <w:ind w:right="-425"/>
              <w:jc w:val="both"/>
              <w:rPr>
                <w:rFonts w:cs="Arial"/>
                <w:b/>
                <w:bCs/>
              </w:rPr>
            </w:pPr>
            <w:r w:rsidRPr="00294D17">
              <w:rPr>
                <w:rFonts w:cs="Arial"/>
                <w:b/>
                <w:bCs/>
              </w:rPr>
              <w:t>Total</w:t>
            </w:r>
          </w:p>
        </w:tc>
        <w:tc>
          <w:tcPr>
            <w:tcW w:w="992" w:type="dxa"/>
            <w:vAlign w:val="bottom"/>
          </w:tcPr>
          <w:p w14:paraId="5B6FF504" w14:textId="4C0E4673" w:rsidR="0094728C" w:rsidRPr="008742B2" w:rsidRDefault="0094728C" w:rsidP="0094728C">
            <w:pPr>
              <w:jc w:val="right"/>
              <w:rPr>
                <w:b/>
                <w:bCs/>
              </w:rPr>
            </w:pPr>
            <w:r>
              <w:rPr>
                <w:rFonts w:ascii="Arial" w:hAnsi="Arial" w:cs="Arial"/>
                <w:b/>
                <w:bCs/>
              </w:rPr>
              <w:t>0</w:t>
            </w:r>
          </w:p>
        </w:tc>
        <w:tc>
          <w:tcPr>
            <w:tcW w:w="1418" w:type="dxa"/>
            <w:vAlign w:val="bottom"/>
          </w:tcPr>
          <w:p w14:paraId="2A53915F" w14:textId="5AB17B73" w:rsidR="0094728C" w:rsidRPr="008742B2" w:rsidRDefault="0094728C" w:rsidP="0094728C">
            <w:pPr>
              <w:jc w:val="right"/>
              <w:rPr>
                <w:b/>
                <w:bCs/>
              </w:rPr>
            </w:pPr>
            <w:r>
              <w:rPr>
                <w:rFonts w:ascii="Arial" w:hAnsi="Arial" w:cs="Arial"/>
                <w:b/>
                <w:bCs/>
              </w:rPr>
              <w:t>0</w:t>
            </w:r>
          </w:p>
        </w:tc>
        <w:tc>
          <w:tcPr>
            <w:tcW w:w="992" w:type="dxa"/>
            <w:vAlign w:val="bottom"/>
          </w:tcPr>
          <w:p w14:paraId="62FCB111" w14:textId="65D9C42A" w:rsidR="0094728C" w:rsidRPr="008742B2" w:rsidRDefault="0094728C" w:rsidP="0094728C">
            <w:pPr>
              <w:jc w:val="right"/>
              <w:rPr>
                <w:b/>
                <w:bCs/>
              </w:rPr>
            </w:pPr>
            <w:r>
              <w:rPr>
                <w:rFonts w:ascii="Arial" w:hAnsi="Arial" w:cs="Arial"/>
                <w:b/>
                <w:bCs/>
              </w:rPr>
              <w:t>0</w:t>
            </w:r>
          </w:p>
        </w:tc>
        <w:tc>
          <w:tcPr>
            <w:tcW w:w="992" w:type="dxa"/>
            <w:vAlign w:val="bottom"/>
          </w:tcPr>
          <w:p w14:paraId="1321C4ED" w14:textId="6E4773D8" w:rsidR="0094728C" w:rsidRPr="008742B2" w:rsidRDefault="0094728C" w:rsidP="0094728C">
            <w:pPr>
              <w:jc w:val="right"/>
              <w:rPr>
                <w:b/>
                <w:bCs/>
              </w:rPr>
            </w:pPr>
            <w:r>
              <w:rPr>
                <w:rFonts w:ascii="Arial" w:hAnsi="Arial" w:cs="Arial"/>
                <w:b/>
                <w:bCs/>
              </w:rPr>
              <w:t>2</w:t>
            </w:r>
          </w:p>
        </w:tc>
        <w:tc>
          <w:tcPr>
            <w:tcW w:w="1276" w:type="dxa"/>
            <w:vAlign w:val="bottom"/>
          </w:tcPr>
          <w:p w14:paraId="70642BB8" w14:textId="46341796" w:rsidR="0094728C" w:rsidRPr="008742B2" w:rsidRDefault="0094728C" w:rsidP="0094728C">
            <w:pPr>
              <w:jc w:val="right"/>
              <w:rPr>
                <w:b/>
                <w:bCs/>
              </w:rPr>
            </w:pPr>
            <w:r>
              <w:rPr>
                <w:rFonts w:ascii="Arial" w:hAnsi="Arial" w:cs="Arial"/>
                <w:b/>
                <w:bCs/>
              </w:rPr>
              <w:t>0</w:t>
            </w:r>
          </w:p>
        </w:tc>
        <w:tc>
          <w:tcPr>
            <w:tcW w:w="851" w:type="dxa"/>
            <w:vAlign w:val="bottom"/>
          </w:tcPr>
          <w:p w14:paraId="542CEAE2" w14:textId="5779A18B" w:rsidR="0094728C" w:rsidRPr="008742B2" w:rsidRDefault="0094728C" w:rsidP="0094728C">
            <w:pPr>
              <w:jc w:val="right"/>
              <w:rPr>
                <w:b/>
                <w:bCs/>
              </w:rPr>
            </w:pPr>
            <w:r>
              <w:rPr>
                <w:rFonts w:ascii="Arial" w:hAnsi="Arial" w:cs="Arial"/>
                <w:b/>
                <w:bCs/>
              </w:rPr>
              <w:t>2</w:t>
            </w:r>
          </w:p>
        </w:tc>
      </w:tr>
    </w:tbl>
    <w:p w14:paraId="5681D27B" w14:textId="77777777" w:rsidR="00B23CEA" w:rsidRDefault="00B23CEA" w:rsidP="00CA7C48">
      <w:pPr>
        <w:spacing w:after="120" w:line="240" w:lineRule="auto"/>
        <w:ind w:left="794" w:hanging="794"/>
        <w:rPr>
          <w:b/>
          <w:sz w:val="16"/>
          <w:szCs w:val="16"/>
        </w:rPr>
      </w:pPr>
      <w:bookmarkStart w:id="13" w:name="_Hlk69483860"/>
    </w:p>
    <w:p w14:paraId="1B8999AA" w14:textId="0053FD71" w:rsidR="00CA7C48" w:rsidRPr="004B6F52" w:rsidRDefault="00CA7C48" w:rsidP="00CA7C48">
      <w:pPr>
        <w:spacing w:after="120" w:line="240" w:lineRule="auto"/>
        <w:ind w:left="794" w:hanging="794"/>
      </w:pPr>
      <w:r w:rsidRPr="004B6F52">
        <w:rPr>
          <w:b/>
          <w:sz w:val="16"/>
          <w:szCs w:val="16"/>
        </w:rPr>
        <w:t xml:space="preserve">Table </w:t>
      </w:r>
      <w:r w:rsidR="00DC1BD8">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F83C14">
        <w:rPr>
          <w:sz w:val="16"/>
          <w:szCs w:val="16"/>
        </w:rPr>
        <w:t xml:space="preserve">1 </w:t>
      </w:r>
      <w:r w:rsidR="00415BC8">
        <w:rPr>
          <w:sz w:val="16"/>
          <w:szCs w:val="16"/>
        </w:rPr>
        <w:t>January 2022</w:t>
      </w:r>
      <w:r w:rsidRPr="004B6F52">
        <w:rPr>
          <w:sz w:val="16"/>
          <w:szCs w:val="16"/>
        </w:rPr>
        <w:t xml:space="preserve"> to </w:t>
      </w:r>
      <w:r w:rsidR="00F83C14">
        <w:rPr>
          <w:sz w:val="16"/>
          <w:szCs w:val="16"/>
        </w:rPr>
        <w:t>3</w:t>
      </w:r>
      <w:r w:rsidR="006E3C46">
        <w:rPr>
          <w:sz w:val="16"/>
          <w:szCs w:val="16"/>
        </w:rPr>
        <w:t xml:space="preserve">1 </w:t>
      </w:r>
      <w:r w:rsidR="001A5C4C">
        <w:rPr>
          <w:sz w:val="16"/>
          <w:szCs w:val="16"/>
        </w:rPr>
        <w:t>March 2022</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E65E47" w14:paraId="16A64130" w14:textId="77777777" w:rsidTr="00E65E47">
        <w:tc>
          <w:tcPr>
            <w:tcW w:w="1496" w:type="dxa"/>
          </w:tcPr>
          <w:p w14:paraId="11A0DFEF" w14:textId="77777777" w:rsidR="00E65E47" w:rsidRPr="00294D17" w:rsidRDefault="00E65E47" w:rsidP="00E65E47">
            <w:pPr>
              <w:ind w:right="-425"/>
              <w:jc w:val="both"/>
              <w:rPr>
                <w:rFonts w:cs="Arial"/>
                <w:b/>
                <w:bCs/>
              </w:rPr>
            </w:pPr>
            <w:r w:rsidRPr="00294D17">
              <w:rPr>
                <w:rFonts w:cs="Arial"/>
                <w:b/>
                <w:bCs/>
              </w:rPr>
              <w:t>Total</w:t>
            </w:r>
          </w:p>
        </w:tc>
        <w:tc>
          <w:tcPr>
            <w:tcW w:w="1793" w:type="dxa"/>
            <w:vAlign w:val="bottom"/>
          </w:tcPr>
          <w:p w14:paraId="171714C6" w14:textId="39C13885" w:rsidR="00E65E47" w:rsidRPr="00900EA0" w:rsidRDefault="00E65E47" w:rsidP="00E65E47">
            <w:pPr>
              <w:jc w:val="right"/>
              <w:rPr>
                <w:b/>
                <w:bCs/>
              </w:rPr>
            </w:pPr>
            <w:r>
              <w:rPr>
                <w:rFonts w:ascii="Arial" w:hAnsi="Arial" w:cs="Arial"/>
                <w:b/>
                <w:bCs/>
              </w:rPr>
              <w:t>1</w:t>
            </w:r>
          </w:p>
        </w:tc>
        <w:tc>
          <w:tcPr>
            <w:tcW w:w="1227" w:type="dxa"/>
            <w:vAlign w:val="bottom"/>
          </w:tcPr>
          <w:p w14:paraId="3DCD9CB4" w14:textId="44A21E5B" w:rsidR="00E65E47" w:rsidRPr="00900EA0" w:rsidRDefault="00E65E47" w:rsidP="00E65E47">
            <w:pPr>
              <w:jc w:val="right"/>
              <w:rPr>
                <w:b/>
                <w:bCs/>
              </w:rPr>
            </w:pPr>
            <w:r>
              <w:rPr>
                <w:rFonts w:ascii="Arial" w:hAnsi="Arial" w:cs="Arial"/>
                <w:b/>
                <w:bCs/>
              </w:rPr>
              <w:t>11</w:t>
            </w:r>
          </w:p>
        </w:tc>
        <w:tc>
          <w:tcPr>
            <w:tcW w:w="2742" w:type="dxa"/>
            <w:vAlign w:val="bottom"/>
          </w:tcPr>
          <w:p w14:paraId="1EDA8F9D" w14:textId="1A73734F" w:rsidR="00E65E47" w:rsidRPr="00900EA0" w:rsidRDefault="00E65E47" w:rsidP="00E65E47">
            <w:pPr>
              <w:jc w:val="right"/>
              <w:rPr>
                <w:b/>
                <w:bCs/>
              </w:rPr>
            </w:pPr>
            <w:r>
              <w:rPr>
                <w:rFonts w:ascii="Arial" w:hAnsi="Arial" w:cs="Arial"/>
                <w:b/>
                <w:bCs/>
              </w:rPr>
              <w:t>1</w:t>
            </w:r>
          </w:p>
        </w:tc>
        <w:tc>
          <w:tcPr>
            <w:tcW w:w="851" w:type="dxa"/>
            <w:vAlign w:val="bottom"/>
          </w:tcPr>
          <w:p w14:paraId="14017305" w14:textId="5A1B66E7" w:rsidR="00E65E47" w:rsidRPr="00900EA0" w:rsidRDefault="00E65E47" w:rsidP="00E65E47">
            <w:pPr>
              <w:jc w:val="right"/>
              <w:rPr>
                <w:b/>
                <w:bCs/>
              </w:rPr>
            </w:pPr>
            <w:r>
              <w:rPr>
                <w:rFonts w:ascii="Arial" w:hAnsi="Arial" w:cs="Arial"/>
                <w:b/>
                <w:bCs/>
              </w:rPr>
              <w:t>13</w:t>
            </w:r>
          </w:p>
        </w:tc>
      </w:tr>
    </w:tbl>
    <w:p w14:paraId="24FB8F05" w14:textId="77777777" w:rsidR="001E1BF3" w:rsidRDefault="001E1BF3" w:rsidP="00A42818">
      <w:pPr>
        <w:ind w:left="-142" w:right="-425"/>
        <w:jc w:val="both"/>
        <w:rPr>
          <w:rFonts w:cs="Arial"/>
        </w:rPr>
      </w:pPr>
    </w:p>
    <w:p w14:paraId="5F24C8D0" w14:textId="77777777" w:rsidR="00DC1BD8" w:rsidRDefault="00DC1BD8">
      <w:pPr>
        <w:spacing w:line="240" w:lineRule="auto"/>
        <w:rPr>
          <w:rFonts w:cs="Arial"/>
        </w:rPr>
      </w:pPr>
      <w:r>
        <w:rPr>
          <w:rFonts w:cs="Arial"/>
        </w:rPr>
        <w:br w:type="page"/>
      </w:r>
    </w:p>
    <w:p w14:paraId="27F37C5D" w14:textId="12BBDABB" w:rsidR="00152C1E" w:rsidRDefault="00237AB1" w:rsidP="00A42818">
      <w:pPr>
        <w:ind w:left="-142" w:right="-425"/>
        <w:jc w:val="both"/>
        <w:rPr>
          <w:rFonts w:cs="Arial"/>
        </w:rPr>
      </w:pPr>
      <w:r w:rsidRPr="00CE1294">
        <w:rPr>
          <w:rFonts w:cs="Arial"/>
        </w:rPr>
        <w:lastRenderedPageBreak/>
        <w:t xml:space="preserve">During quarter </w:t>
      </w:r>
      <w:r w:rsidR="005E1684">
        <w:rPr>
          <w:rFonts w:cs="Arial"/>
        </w:rPr>
        <w:t>55</w:t>
      </w:r>
      <w:r w:rsidRPr="00CE1294">
        <w:rPr>
          <w:rFonts w:cs="Arial"/>
        </w:rPr>
        <w:t xml:space="preserve"> the number of interactions highlighted in tables </w:t>
      </w:r>
      <w:r w:rsidR="00FE59DA">
        <w:rPr>
          <w:rFonts w:cs="Arial"/>
        </w:rPr>
        <w:t>4</w:t>
      </w:r>
      <w:r w:rsidR="00A242DD" w:rsidRPr="00CE1294">
        <w:rPr>
          <w:rFonts w:cs="Arial"/>
        </w:rPr>
        <w:t xml:space="preserve">, </w:t>
      </w:r>
      <w:r w:rsidR="00FE59DA">
        <w:rPr>
          <w:rFonts w:cs="Arial"/>
        </w:rPr>
        <w:t>5</w:t>
      </w:r>
      <w:r w:rsidR="00A242DD" w:rsidRPr="00CE1294">
        <w:rPr>
          <w:rFonts w:cs="Arial"/>
        </w:rPr>
        <w:t xml:space="preserve">, </w:t>
      </w:r>
      <w:r w:rsidR="00FE59DA">
        <w:rPr>
          <w:rFonts w:cs="Arial"/>
        </w:rPr>
        <w:t>6</w:t>
      </w:r>
      <w:r w:rsidR="0077183E">
        <w:rPr>
          <w:rFonts w:cs="Arial"/>
        </w:rPr>
        <w:t>,</w:t>
      </w:r>
      <w:r w:rsidR="00A242DD" w:rsidRPr="00CE1294">
        <w:rPr>
          <w:rFonts w:cs="Arial"/>
        </w:rPr>
        <w:t xml:space="preserve"> </w:t>
      </w:r>
      <w:r w:rsidR="00FE59DA">
        <w:rPr>
          <w:rFonts w:cs="Arial"/>
        </w:rPr>
        <w:t>7</w:t>
      </w:r>
      <w:r w:rsidR="00A242DD" w:rsidRPr="00CE1294">
        <w:rPr>
          <w:rFonts w:cs="Arial"/>
        </w:rPr>
        <w:t xml:space="preserve"> </w:t>
      </w:r>
      <w:r w:rsidR="0077183E">
        <w:rPr>
          <w:rFonts w:cs="Arial"/>
        </w:rPr>
        <w:t xml:space="preserve">and </w:t>
      </w:r>
      <w:r w:rsidR="00FE59DA">
        <w:rPr>
          <w:rFonts w:cs="Arial"/>
        </w:rPr>
        <w:t>8</w:t>
      </w:r>
      <w:r w:rsidR="0077183E">
        <w:rPr>
          <w:rFonts w:cs="Arial"/>
        </w:rPr>
        <w:t xml:space="preserve"> </w:t>
      </w:r>
      <w:r w:rsidRPr="00CE1294">
        <w:rPr>
          <w:rFonts w:cs="Arial"/>
        </w:rPr>
        <w:t xml:space="preserve">related to a total </w:t>
      </w:r>
      <w:r w:rsidRPr="00F922F9">
        <w:rPr>
          <w:rFonts w:cs="Arial"/>
        </w:rPr>
        <w:t xml:space="preserve">of </w:t>
      </w:r>
      <w:r w:rsidR="00F922F9" w:rsidRPr="00F922F9">
        <w:rPr>
          <w:rFonts w:cs="Arial"/>
        </w:rPr>
        <w:t xml:space="preserve">119 </w:t>
      </w:r>
      <w:r w:rsidRPr="00F922F9">
        <w:rPr>
          <w:rFonts w:cs="Arial"/>
        </w:rPr>
        <w:t>clients (</w:t>
      </w:r>
      <w:r w:rsidR="00F922F9" w:rsidRPr="00F922F9">
        <w:rPr>
          <w:rFonts w:cs="Arial"/>
        </w:rPr>
        <w:t xml:space="preserve">82 </w:t>
      </w:r>
      <w:r w:rsidRPr="00F922F9">
        <w:rPr>
          <w:rFonts w:cs="Arial"/>
        </w:rPr>
        <w:t xml:space="preserve">female and </w:t>
      </w:r>
      <w:r w:rsidR="00F922F9" w:rsidRPr="00F922F9">
        <w:rPr>
          <w:rFonts w:cs="Arial"/>
        </w:rPr>
        <w:t xml:space="preserve">37 </w:t>
      </w:r>
      <w:r w:rsidRPr="00F922F9">
        <w:rPr>
          <w:rFonts w:cs="Arial"/>
        </w:rPr>
        <w:t>male)</w:t>
      </w:r>
      <w:r w:rsidR="00A42818" w:rsidRPr="00F922F9">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7777777"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r w:rsidRPr="00F71FA9">
        <w:t xml:space="preserve"> </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18F87C86" w:rsidR="00B9722A" w:rsidRPr="00C34899" w:rsidRDefault="00B9722A" w:rsidP="00C34899">
      <w:pPr>
        <w:tabs>
          <w:tab w:val="left" w:pos="1134"/>
        </w:tabs>
        <w:ind w:left="-142" w:right="-425"/>
        <w:jc w:val="both"/>
      </w:pPr>
      <w:r w:rsidRPr="00C34899">
        <w:t xml:space="preserve">The types of client interactions evident during quarter </w:t>
      </w:r>
      <w:r w:rsidR="005E1684">
        <w:t>55</w:t>
      </w:r>
      <w:r w:rsidRPr="00C34899">
        <w:t xml:space="preserve"> reinforce the Commission’s belief that our clients are displaying a willingness to change</w:t>
      </w:r>
      <w:r w:rsidR="005B7F9C">
        <w:t xml:space="preserve"> and taking personal responsibility for their wellbeing and </w:t>
      </w:r>
      <w:r w:rsidR="00B301F1">
        <w:t xml:space="preserve">the wellbeing of their </w:t>
      </w:r>
      <w:r w:rsidR="002872AF">
        <w:t>families</w:t>
      </w:r>
      <w:r w:rsidRPr="00C34899">
        <w:t xml:space="preserve">. The following highlights for the period </w:t>
      </w:r>
      <w:r w:rsidR="00F83C14">
        <w:t xml:space="preserve">1 </w:t>
      </w:r>
      <w:r w:rsidR="00415BC8">
        <w:t>January 2022</w:t>
      </w:r>
      <w:r w:rsidRPr="00C34899">
        <w:t xml:space="preserve"> to </w:t>
      </w:r>
      <w:r w:rsidR="00F83C14">
        <w:t>3</w:t>
      </w:r>
      <w:r w:rsidR="00A91122">
        <w:t xml:space="preserve">1 </w:t>
      </w:r>
      <w:r w:rsidR="001A5C4C">
        <w:t>March 2022</w:t>
      </w:r>
      <w:r w:rsidRPr="00C34899">
        <w:t xml:space="preserve"> support our assertion:</w:t>
      </w:r>
    </w:p>
    <w:p w14:paraId="689B3599" w14:textId="77777777" w:rsidR="00C34899" w:rsidRPr="0099478F" w:rsidRDefault="00C34899" w:rsidP="0099478F">
      <w:pPr>
        <w:ind w:left="-142" w:right="-425"/>
        <w:jc w:val="both"/>
        <w:rPr>
          <w:rFonts w:cs="Arial"/>
        </w:rPr>
      </w:pPr>
    </w:p>
    <w:p w14:paraId="2EAF0566" w14:textId="2FBCF64E" w:rsidR="00B9722A" w:rsidRPr="00D55BB2" w:rsidRDefault="00CD2393" w:rsidP="00D552BE">
      <w:pPr>
        <w:pStyle w:val="ListParagraph"/>
        <w:numPr>
          <w:ilvl w:val="0"/>
          <w:numId w:val="10"/>
        </w:numPr>
        <w:spacing w:after="120"/>
        <w:ind w:left="284" w:right="-425"/>
        <w:jc w:val="both"/>
        <w:rPr>
          <w:rFonts w:ascii="Verdana" w:hAnsi="Verdana" w:cs="Arial"/>
          <w:sz w:val="20"/>
          <w:szCs w:val="20"/>
        </w:rPr>
      </w:pPr>
      <w:r w:rsidRPr="00D55BB2">
        <w:rPr>
          <w:rFonts w:ascii="Verdana" w:hAnsi="Verdana" w:cs="Arial"/>
          <w:sz w:val="20"/>
          <w:szCs w:val="20"/>
        </w:rPr>
        <w:t xml:space="preserve">45 </w:t>
      </w:r>
      <w:r w:rsidR="00B9722A" w:rsidRPr="00D55BB2">
        <w:rPr>
          <w:rFonts w:ascii="Verdana" w:hAnsi="Verdana" w:cs="Arial"/>
          <w:sz w:val="20"/>
          <w:szCs w:val="20"/>
        </w:rPr>
        <w:t xml:space="preserve">percent of clients entered into a Family Responsibilities Agreement </w:t>
      </w:r>
      <w:r w:rsidR="000E0C2F" w:rsidRPr="00D55BB2">
        <w:rPr>
          <w:rFonts w:ascii="Verdana" w:hAnsi="Verdana" w:cs="Arial"/>
          <w:sz w:val="20"/>
          <w:szCs w:val="20"/>
        </w:rPr>
        <w:t>or</w:t>
      </w:r>
      <w:r w:rsidR="005B7F9C" w:rsidRPr="00D55BB2">
        <w:rPr>
          <w:rFonts w:ascii="Verdana" w:hAnsi="Verdana" w:cs="Arial"/>
          <w:sz w:val="20"/>
          <w:szCs w:val="20"/>
        </w:rPr>
        <w:t xml:space="preserve"> self</w:t>
      </w:r>
      <w:r w:rsidR="00B351D8" w:rsidRPr="00D55BB2">
        <w:rPr>
          <w:rFonts w:ascii="Verdana" w:hAnsi="Verdana" w:cs="Arial"/>
          <w:sz w:val="20"/>
          <w:szCs w:val="20"/>
        </w:rPr>
        <w:t>-</w:t>
      </w:r>
      <w:r w:rsidR="005B7F9C" w:rsidRPr="00D55BB2">
        <w:rPr>
          <w:rFonts w:ascii="Verdana" w:hAnsi="Verdana" w:cs="Arial"/>
          <w:sz w:val="20"/>
          <w:szCs w:val="20"/>
        </w:rPr>
        <w:t>referred to the FRC and sought</w:t>
      </w:r>
      <w:r w:rsidR="000E0C2F" w:rsidRPr="00D55BB2">
        <w:rPr>
          <w:rFonts w:ascii="Verdana" w:hAnsi="Verdana" w:cs="Arial"/>
          <w:sz w:val="20"/>
          <w:szCs w:val="20"/>
        </w:rPr>
        <w:t xml:space="preserve"> </w:t>
      </w:r>
      <w:r w:rsidR="00B9722A" w:rsidRPr="00D55BB2">
        <w:rPr>
          <w:rFonts w:ascii="Verdana" w:hAnsi="Verdana" w:cs="Arial"/>
          <w:sz w:val="20"/>
          <w:szCs w:val="20"/>
        </w:rPr>
        <w:t xml:space="preserve">a </w:t>
      </w:r>
      <w:r w:rsidR="00AC48DA" w:rsidRPr="00D55BB2">
        <w:rPr>
          <w:rFonts w:ascii="Verdana" w:hAnsi="Verdana" w:cs="Arial"/>
          <w:sz w:val="20"/>
          <w:szCs w:val="20"/>
        </w:rPr>
        <w:t>v</w:t>
      </w:r>
      <w:r w:rsidR="00B9722A" w:rsidRPr="00D55BB2">
        <w:rPr>
          <w:rFonts w:ascii="Verdana" w:hAnsi="Verdana" w:cs="Arial"/>
          <w:sz w:val="20"/>
          <w:szCs w:val="20"/>
        </w:rPr>
        <w:t xml:space="preserve">oluntary </w:t>
      </w:r>
      <w:r w:rsidR="00AC48DA" w:rsidRPr="00D55BB2">
        <w:rPr>
          <w:rFonts w:ascii="Verdana" w:hAnsi="Verdana" w:cs="Arial"/>
          <w:sz w:val="20"/>
          <w:szCs w:val="20"/>
        </w:rPr>
        <w:t>a</w:t>
      </w:r>
      <w:r w:rsidR="00B9722A" w:rsidRPr="00D55BB2">
        <w:rPr>
          <w:rFonts w:ascii="Verdana" w:hAnsi="Verdana" w:cs="Arial"/>
          <w:sz w:val="20"/>
          <w:szCs w:val="20"/>
        </w:rPr>
        <w:t xml:space="preserve">greement during the </w:t>
      </w:r>
      <w:proofErr w:type="gramStart"/>
      <w:r w:rsidR="0099478F" w:rsidRPr="00D55BB2">
        <w:rPr>
          <w:rFonts w:ascii="Verdana" w:hAnsi="Verdana" w:cs="Arial"/>
          <w:sz w:val="20"/>
          <w:szCs w:val="20"/>
        </w:rPr>
        <w:t>quarter</w:t>
      </w:r>
      <w:r w:rsidR="00C34899" w:rsidRPr="00D55BB2">
        <w:rPr>
          <w:rFonts w:ascii="Verdana" w:hAnsi="Verdana" w:cs="Arial"/>
          <w:sz w:val="20"/>
          <w:szCs w:val="20"/>
        </w:rPr>
        <w:t>;</w:t>
      </w:r>
      <w:proofErr w:type="gramEnd"/>
    </w:p>
    <w:p w14:paraId="0B6EF2B3" w14:textId="0FB44EFB" w:rsidR="00B9722A" w:rsidRPr="00D55BB2" w:rsidRDefault="000E0C2F" w:rsidP="00D552BE">
      <w:pPr>
        <w:pStyle w:val="ListParagraph"/>
        <w:numPr>
          <w:ilvl w:val="1"/>
          <w:numId w:val="10"/>
        </w:numPr>
        <w:spacing w:after="120"/>
        <w:ind w:left="709" w:right="-425"/>
        <w:jc w:val="both"/>
        <w:rPr>
          <w:rFonts w:ascii="Verdana" w:hAnsi="Verdana" w:cs="Arial"/>
          <w:sz w:val="20"/>
          <w:szCs w:val="20"/>
        </w:rPr>
      </w:pPr>
      <w:r w:rsidRPr="00D55BB2">
        <w:rPr>
          <w:rFonts w:ascii="Verdana" w:hAnsi="Verdana" w:cs="Arial"/>
          <w:sz w:val="20"/>
          <w:szCs w:val="20"/>
        </w:rPr>
        <w:t>A</w:t>
      </w:r>
      <w:r w:rsidR="00B9722A" w:rsidRPr="00D55BB2">
        <w:rPr>
          <w:rFonts w:ascii="Verdana" w:hAnsi="Verdana" w:cs="Arial"/>
          <w:sz w:val="20"/>
          <w:szCs w:val="20"/>
        </w:rPr>
        <w:t xml:space="preserve">s a subset of the above, </w:t>
      </w:r>
      <w:r w:rsidR="007B1F5A" w:rsidRPr="00D55BB2">
        <w:rPr>
          <w:rFonts w:ascii="Verdana" w:hAnsi="Verdana" w:cs="Arial"/>
          <w:sz w:val="20"/>
          <w:szCs w:val="20"/>
        </w:rPr>
        <w:t>30</w:t>
      </w:r>
      <w:r w:rsidR="00CD2393" w:rsidRPr="00D55BB2">
        <w:rPr>
          <w:rFonts w:ascii="Verdana" w:hAnsi="Verdana" w:cs="Arial"/>
          <w:sz w:val="20"/>
          <w:szCs w:val="20"/>
        </w:rPr>
        <w:t xml:space="preserve"> </w:t>
      </w:r>
      <w:r w:rsidR="00B9722A" w:rsidRPr="00D55BB2">
        <w:rPr>
          <w:rFonts w:ascii="Verdana" w:hAnsi="Verdana" w:cs="Arial"/>
          <w:sz w:val="20"/>
          <w:szCs w:val="20"/>
        </w:rPr>
        <w:t xml:space="preserve">percent of clients specifically entered into a </w:t>
      </w:r>
      <w:r w:rsidR="00AC48DA" w:rsidRPr="00D55BB2">
        <w:rPr>
          <w:rFonts w:ascii="Verdana" w:hAnsi="Verdana" w:cs="Arial"/>
          <w:sz w:val="20"/>
          <w:szCs w:val="20"/>
        </w:rPr>
        <w:t>v</w:t>
      </w:r>
      <w:r w:rsidR="00B9722A" w:rsidRPr="00D55BB2">
        <w:rPr>
          <w:rFonts w:ascii="Verdana" w:hAnsi="Verdana" w:cs="Arial"/>
          <w:sz w:val="20"/>
          <w:szCs w:val="20"/>
        </w:rPr>
        <w:t xml:space="preserve">oluntary </w:t>
      </w:r>
      <w:r w:rsidR="00AC48DA" w:rsidRPr="00D55BB2">
        <w:rPr>
          <w:rFonts w:ascii="Verdana" w:hAnsi="Verdana" w:cs="Arial"/>
          <w:sz w:val="20"/>
          <w:szCs w:val="20"/>
        </w:rPr>
        <w:t>a</w:t>
      </w:r>
      <w:r w:rsidR="00B9722A" w:rsidRPr="00D55BB2">
        <w:rPr>
          <w:rFonts w:ascii="Verdana" w:hAnsi="Verdana" w:cs="Arial"/>
          <w:sz w:val="20"/>
          <w:szCs w:val="20"/>
        </w:rPr>
        <w:t xml:space="preserve">greement with either no other interactions, or a decision for </w:t>
      </w:r>
      <w:r w:rsidRPr="00D55BB2">
        <w:rPr>
          <w:rFonts w:ascii="Verdana" w:hAnsi="Verdana" w:cs="Arial"/>
          <w:sz w:val="20"/>
          <w:szCs w:val="20"/>
        </w:rPr>
        <w:t>n</w:t>
      </w:r>
      <w:r w:rsidR="00B9722A" w:rsidRPr="00D55BB2">
        <w:rPr>
          <w:rFonts w:ascii="Verdana" w:hAnsi="Verdana" w:cs="Arial"/>
          <w:sz w:val="20"/>
          <w:szCs w:val="20"/>
        </w:rPr>
        <w:t xml:space="preserve">o </w:t>
      </w:r>
      <w:r w:rsidRPr="00D55BB2">
        <w:rPr>
          <w:rFonts w:ascii="Verdana" w:hAnsi="Verdana" w:cs="Arial"/>
          <w:sz w:val="20"/>
          <w:szCs w:val="20"/>
        </w:rPr>
        <w:t>f</w:t>
      </w:r>
      <w:r w:rsidR="00B9722A" w:rsidRPr="00D55BB2">
        <w:rPr>
          <w:rFonts w:ascii="Verdana" w:hAnsi="Verdana" w:cs="Arial"/>
          <w:sz w:val="20"/>
          <w:szCs w:val="20"/>
        </w:rPr>
        <w:t xml:space="preserve">urther </w:t>
      </w:r>
      <w:proofErr w:type="gramStart"/>
      <w:r w:rsidRPr="00D55BB2">
        <w:rPr>
          <w:rFonts w:ascii="Verdana" w:hAnsi="Verdana" w:cs="Arial"/>
          <w:sz w:val="20"/>
          <w:szCs w:val="20"/>
        </w:rPr>
        <w:t>a</w:t>
      </w:r>
      <w:r w:rsidR="00B9722A" w:rsidRPr="00D55BB2">
        <w:rPr>
          <w:rFonts w:ascii="Verdana" w:hAnsi="Verdana" w:cs="Arial"/>
          <w:sz w:val="20"/>
          <w:szCs w:val="20"/>
        </w:rPr>
        <w:t>ction</w:t>
      </w:r>
      <w:r w:rsidR="00C34899" w:rsidRPr="00D55BB2">
        <w:rPr>
          <w:rFonts w:ascii="Verdana" w:hAnsi="Verdana" w:cs="Arial"/>
          <w:sz w:val="20"/>
          <w:szCs w:val="20"/>
        </w:rPr>
        <w:t>;</w:t>
      </w:r>
      <w:proofErr w:type="gramEnd"/>
    </w:p>
    <w:p w14:paraId="3A616BEF" w14:textId="1B5A11B4" w:rsidR="00B9722A" w:rsidRPr="00D55BB2" w:rsidRDefault="00CD2393" w:rsidP="00D552BE">
      <w:pPr>
        <w:pStyle w:val="ListParagraph"/>
        <w:numPr>
          <w:ilvl w:val="0"/>
          <w:numId w:val="10"/>
        </w:numPr>
        <w:spacing w:after="120"/>
        <w:ind w:left="284" w:right="-425"/>
        <w:jc w:val="both"/>
        <w:rPr>
          <w:rFonts w:ascii="Verdana" w:hAnsi="Verdana" w:cs="Arial"/>
          <w:sz w:val="20"/>
          <w:szCs w:val="20"/>
        </w:rPr>
      </w:pPr>
      <w:r w:rsidRPr="00D55BB2">
        <w:rPr>
          <w:rFonts w:ascii="Verdana" w:hAnsi="Verdana" w:cs="Arial"/>
          <w:sz w:val="20"/>
          <w:szCs w:val="20"/>
        </w:rPr>
        <w:t>1</w:t>
      </w:r>
      <w:r w:rsidR="007B1F5A" w:rsidRPr="00D55BB2">
        <w:rPr>
          <w:rFonts w:ascii="Verdana" w:hAnsi="Verdana" w:cs="Arial"/>
          <w:sz w:val="20"/>
          <w:szCs w:val="20"/>
        </w:rPr>
        <w:t>3</w:t>
      </w:r>
      <w:r w:rsidRPr="00D55BB2">
        <w:rPr>
          <w:rFonts w:ascii="Verdana" w:hAnsi="Verdana" w:cs="Arial"/>
          <w:sz w:val="20"/>
          <w:szCs w:val="20"/>
        </w:rPr>
        <w:t xml:space="preserve"> </w:t>
      </w:r>
      <w:r w:rsidR="00B9722A" w:rsidRPr="00D55BB2">
        <w:rPr>
          <w:rFonts w:ascii="Verdana" w:hAnsi="Verdana" w:cs="Arial"/>
          <w:sz w:val="20"/>
          <w:szCs w:val="20"/>
        </w:rPr>
        <w:t xml:space="preserve">percent of clients did not require any further action on their matter/s, where </w:t>
      </w:r>
      <w:r w:rsidR="001E3C39" w:rsidRPr="00D55BB2">
        <w:rPr>
          <w:rFonts w:ascii="Verdana" w:hAnsi="Verdana" w:cs="Arial"/>
          <w:sz w:val="20"/>
          <w:szCs w:val="20"/>
        </w:rPr>
        <w:t>n</w:t>
      </w:r>
      <w:r w:rsidR="00B9722A" w:rsidRPr="00D55BB2">
        <w:rPr>
          <w:rFonts w:ascii="Verdana" w:hAnsi="Verdana" w:cs="Arial"/>
          <w:sz w:val="20"/>
          <w:szCs w:val="20"/>
        </w:rPr>
        <w:t xml:space="preserve">o </w:t>
      </w:r>
      <w:r w:rsidR="001E3C39" w:rsidRPr="00D55BB2">
        <w:rPr>
          <w:rFonts w:ascii="Verdana" w:hAnsi="Verdana" w:cs="Arial"/>
          <w:sz w:val="20"/>
          <w:szCs w:val="20"/>
        </w:rPr>
        <w:t>f</w:t>
      </w:r>
      <w:r w:rsidR="00B9722A" w:rsidRPr="00D55BB2">
        <w:rPr>
          <w:rFonts w:ascii="Verdana" w:hAnsi="Verdana" w:cs="Arial"/>
          <w:sz w:val="20"/>
          <w:szCs w:val="20"/>
        </w:rPr>
        <w:t xml:space="preserve">urther </w:t>
      </w:r>
      <w:r w:rsidR="001E3C39" w:rsidRPr="00D55BB2">
        <w:rPr>
          <w:rFonts w:ascii="Verdana" w:hAnsi="Verdana" w:cs="Arial"/>
          <w:sz w:val="20"/>
          <w:szCs w:val="20"/>
        </w:rPr>
        <w:t>a</w:t>
      </w:r>
      <w:r w:rsidR="00B9722A" w:rsidRPr="00D55BB2">
        <w:rPr>
          <w:rFonts w:ascii="Verdana" w:hAnsi="Verdana" w:cs="Arial"/>
          <w:sz w:val="20"/>
          <w:szCs w:val="20"/>
        </w:rPr>
        <w:t>ction was the only outcome</w:t>
      </w:r>
      <w:r w:rsidR="00C34899" w:rsidRPr="00D55BB2">
        <w:rPr>
          <w:rFonts w:ascii="Verdana" w:hAnsi="Verdana" w:cs="Arial"/>
          <w:sz w:val="20"/>
          <w:szCs w:val="20"/>
        </w:rPr>
        <w:t>;</w:t>
      </w:r>
      <w:r w:rsidR="00826269" w:rsidRPr="00D55BB2">
        <w:rPr>
          <w:rFonts w:ascii="Verdana" w:hAnsi="Verdana" w:cs="Arial"/>
          <w:sz w:val="20"/>
          <w:szCs w:val="20"/>
        </w:rPr>
        <w:t xml:space="preserve"> and</w:t>
      </w:r>
    </w:p>
    <w:p w14:paraId="46767E6D" w14:textId="4B2D8F3B" w:rsidR="00B9722A" w:rsidRPr="00D55BB2" w:rsidRDefault="00CD2393" w:rsidP="00D552BE">
      <w:pPr>
        <w:pStyle w:val="ListParagraph"/>
        <w:numPr>
          <w:ilvl w:val="0"/>
          <w:numId w:val="10"/>
        </w:numPr>
        <w:spacing w:after="120"/>
        <w:ind w:left="284" w:right="-425"/>
        <w:jc w:val="both"/>
        <w:rPr>
          <w:rFonts w:ascii="Verdana" w:hAnsi="Verdana" w:cs="Arial"/>
          <w:sz w:val="20"/>
          <w:szCs w:val="20"/>
        </w:rPr>
      </w:pPr>
      <w:r w:rsidRPr="00D55BB2">
        <w:rPr>
          <w:rFonts w:ascii="Verdana" w:hAnsi="Verdana" w:cs="Arial"/>
          <w:sz w:val="20"/>
          <w:szCs w:val="20"/>
        </w:rPr>
        <w:t xml:space="preserve">3 </w:t>
      </w:r>
      <w:r w:rsidR="00B9722A" w:rsidRPr="00D55BB2">
        <w:rPr>
          <w:rFonts w:ascii="Verdana" w:hAnsi="Verdana" w:cs="Arial"/>
          <w:sz w:val="20"/>
          <w:szCs w:val="20"/>
        </w:rPr>
        <w:t>percent of clients were considered to only require a reprimand for their actions</w:t>
      </w:r>
      <w:r w:rsidR="00C34899" w:rsidRPr="00D55BB2">
        <w:rPr>
          <w:rFonts w:ascii="Verdana" w:hAnsi="Verdana" w:cs="Arial"/>
          <w:sz w:val="20"/>
          <w:szCs w:val="20"/>
        </w:rPr>
        <w:t>.</w:t>
      </w:r>
    </w:p>
    <w:p w14:paraId="52967A18" w14:textId="77777777" w:rsidR="00926217" w:rsidRDefault="00926217" w:rsidP="005D6EF0">
      <w:pPr>
        <w:tabs>
          <w:tab w:val="decimal" w:pos="284"/>
        </w:tabs>
        <w:ind w:left="-142" w:right="-425"/>
        <w:jc w:val="both"/>
        <w:rPr>
          <w:rFonts w:cs="Arial"/>
        </w:rPr>
      </w:pPr>
    </w:p>
    <w:p w14:paraId="1971D6C9" w14:textId="77777777" w:rsidR="00DC1BD8" w:rsidRDefault="00DC1BD8">
      <w:pPr>
        <w:spacing w:line="240" w:lineRule="auto"/>
        <w:rPr>
          <w:rFonts w:cs="Arial"/>
        </w:rPr>
      </w:pPr>
      <w:bookmarkStart w:id="14" w:name="_Hlk97302962"/>
      <w:r>
        <w:rPr>
          <w:rFonts w:cs="Arial"/>
        </w:rPr>
        <w:br w:type="page"/>
      </w:r>
    </w:p>
    <w:p w14:paraId="78EF6562" w14:textId="2138C1DC" w:rsidR="00240AAF" w:rsidRPr="00585AE9" w:rsidRDefault="00106839" w:rsidP="00585AE9">
      <w:pPr>
        <w:tabs>
          <w:tab w:val="decimal" w:pos="284"/>
        </w:tabs>
        <w:ind w:left="-142" w:right="-425"/>
        <w:jc w:val="both"/>
      </w:pPr>
      <w:r>
        <w:rPr>
          <w:rFonts w:cs="Arial"/>
        </w:rPr>
        <w:lastRenderedPageBreak/>
        <w:t xml:space="preserve">There </w:t>
      </w:r>
      <w:r w:rsidR="0032035F">
        <w:rPr>
          <w:rFonts w:cs="Arial"/>
        </w:rPr>
        <w:t>remains</w:t>
      </w:r>
      <w:r>
        <w:rPr>
          <w:rFonts w:cs="Arial"/>
        </w:rPr>
        <w:t xml:space="preserve"> a </w:t>
      </w:r>
      <w:r w:rsidR="005D6EF0">
        <w:rPr>
          <w:rFonts w:cs="Arial"/>
        </w:rPr>
        <w:t xml:space="preserve">small </w:t>
      </w:r>
      <w:r>
        <w:rPr>
          <w:rFonts w:cs="Arial"/>
        </w:rPr>
        <w:t xml:space="preserve">cohort of clients who come before the Commission </w:t>
      </w:r>
      <w:r w:rsidR="005D6EF0">
        <w:rPr>
          <w:rFonts w:cs="Arial"/>
        </w:rPr>
        <w:t xml:space="preserve">who </w:t>
      </w:r>
      <w:r w:rsidR="008A2A64">
        <w:rPr>
          <w:rFonts w:cs="Arial"/>
        </w:rPr>
        <w:t>struggle to</w:t>
      </w:r>
      <w:r w:rsidR="004A6E0F">
        <w:rPr>
          <w:rFonts w:cs="Arial"/>
        </w:rPr>
        <w:t xml:space="preserve"> develop insight into their actions and are less incline</w:t>
      </w:r>
      <w:r w:rsidR="00AC48DA">
        <w:rPr>
          <w:rFonts w:cs="Arial"/>
        </w:rPr>
        <w:t>d</w:t>
      </w:r>
      <w:r>
        <w:rPr>
          <w:rFonts w:cs="Arial"/>
        </w:rPr>
        <w:t xml:space="preserve"> to change their behaviours</w:t>
      </w:r>
      <w:r w:rsidR="00CD0A5A">
        <w:rPr>
          <w:rFonts w:cs="Arial"/>
        </w:rPr>
        <w:t xml:space="preserve">. </w:t>
      </w:r>
      <w:r w:rsidR="00926217">
        <w:rPr>
          <w:rFonts w:cs="Arial"/>
        </w:rPr>
        <w:t>The nuanced decision</w:t>
      </w:r>
      <w:r w:rsidR="005D3FB2">
        <w:rPr>
          <w:rFonts w:cs="Arial"/>
        </w:rPr>
        <w:t>-</w:t>
      </w:r>
      <w:r w:rsidR="00926217">
        <w:rPr>
          <w:rFonts w:cs="Arial"/>
        </w:rPr>
        <w:t xml:space="preserve">making of Commissioners </w:t>
      </w:r>
      <w:r w:rsidR="00B32DC9">
        <w:rPr>
          <w:rFonts w:cs="Arial"/>
        </w:rPr>
        <w:t xml:space="preserve">for these clients may include </w:t>
      </w:r>
      <w:r w:rsidR="00660953">
        <w:rPr>
          <w:rFonts w:cs="Arial"/>
        </w:rPr>
        <w:t>(</w:t>
      </w:r>
      <w:r w:rsidR="00CC5894">
        <w:rPr>
          <w:rFonts w:cs="Arial"/>
        </w:rPr>
        <w:t>as an option of last resort</w:t>
      </w:r>
      <w:r w:rsidR="00660953">
        <w:rPr>
          <w:rFonts w:cs="Arial"/>
        </w:rPr>
        <w:t>)</w:t>
      </w:r>
      <w:r w:rsidR="00CC5894">
        <w:rPr>
          <w:rFonts w:cs="Arial"/>
        </w:rPr>
        <w:t xml:space="preserve"> </w:t>
      </w:r>
      <w:r w:rsidR="00926217">
        <w:t xml:space="preserve">a decision </w:t>
      </w:r>
      <w:r w:rsidR="00B32DC9">
        <w:t>to income manage the client</w:t>
      </w:r>
      <w:r w:rsidR="00660953">
        <w:t>. These orders are issued</w:t>
      </w:r>
      <w:r w:rsidR="00B32DC9">
        <w:t xml:space="preserve"> </w:t>
      </w:r>
      <w:r w:rsidR="00926217">
        <w:t xml:space="preserve">as a </w:t>
      </w:r>
      <w:r w:rsidR="00B32DC9">
        <w:t xml:space="preserve">means of </w:t>
      </w:r>
      <w:r w:rsidR="00926217">
        <w:t>hold</w:t>
      </w:r>
      <w:r w:rsidR="00B32DC9">
        <w:t>ing</w:t>
      </w:r>
      <w:r w:rsidR="00926217">
        <w:t xml:space="preserve"> the clients to account (and </w:t>
      </w:r>
      <w:r w:rsidR="00B32DC9">
        <w:t xml:space="preserve">to create some </w:t>
      </w:r>
      <w:r w:rsidR="00926217">
        <w:t>stabili</w:t>
      </w:r>
      <w:r w:rsidR="00B32DC9">
        <w:t>ty in</w:t>
      </w:r>
      <w:r w:rsidR="00926217">
        <w:t xml:space="preserve"> their lives, </w:t>
      </w:r>
      <w:r w:rsidR="00B32DC9">
        <w:t xml:space="preserve">particularly </w:t>
      </w:r>
      <w:r w:rsidR="00926217">
        <w:t xml:space="preserve">if they are responsible for children). </w:t>
      </w:r>
      <w:bookmarkEnd w:id="14"/>
      <w:r w:rsidR="00CD0A5A">
        <w:rPr>
          <w:rFonts w:cs="Arial"/>
        </w:rPr>
        <w:t>T</w:t>
      </w:r>
      <w:r w:rsidR="005F330D">
        <w:rPr>
          <w:rFonts w:cs="Arial"/>
        </w:rPr>
        <w:t xml:space="preserve">he Commissioners have made the following </w:t>
      </w:r>
      <w:r w:rsidR="001E3C39">
        <w:rPr>
          <w:rFonts w:cs="Arial"/>
        </w:rPr>
        <w:t xml:space="preserve">decisions </w:t>
      </w:r>
      <w:r w:rsidR="005F330D">
        <w:rPr>
          <w:rFonts w:cs="Arial"/>
        </w:rPr>
        <w:t xml:space="preserve">in </w:t>
      </w:r>
      <w:r w:rsidR="004D5CBF">
        <w:rPr>
          <w:rFonts w:cs="Arial"/>
        </w:rPr>
        <w:t xml:space="preserve">conference for </w:t>
      </w:r>
      <w:r w:rsidR="005F330D">
        <w:rPr>
          <w:rFonts w:cs="Arial"/>
        </w:rPr>
        <w:t xml:space="preserve">those </w:t>
      </w:r>
      <w:r w:rsidR="004D5CBF">
        <w:t xml:space="preserve">recalcitrant </w:t>
      </w:r>
      <w:r w:rsidR="004D5CBF">
        <w:rPr>
          <w:rFonts w:cs="Arial"/>
        </w:rPr>
        <w:t>clients who refuse to change their behaviour</w:t>
      </w:r>
      <w:r w:rsidR="005F330D">
        <w:rPr>
          <w:rFonts w:cs="Arial"/>
        </w:rPr>
        <w:t>:</w:t>
      </w:r>
    </w:p>
    <w:p w14:paraId="0D7D4F20" w14:textId="3084A686" w:rsidR="0099478F" w:rsidRDefault="0099478F" w:rsidP="005D6EF0">
      <w:pPr>
        <w:tabs>
          <w:tab w:val="decimal" w:pos="284"/>
        </w:tabs>
        <w:ind w:left="-142" w:right="-425"/>
        <w:jc w:val="both"/>
        <w:rPr>
          <w:rFonts w:cs="Arial"/>
        </w:rPr>
      </w:pPr>
    </w:p>
    <w:p w14:paraId="431EED9F" w14:textId="036D024C" w:rsidR="007B1F5A" w:rsidRDefault="00B43DA5" w:rsidP="007B1F5A">
      <w:pPr>
        <w:tabs>
          <w:tab w:val="decimal" w:pos="720"/>
        </w:tabs>
        <w:ind w:left="-142" w:right="-425"/>
        <w:jc w:val="both"/>
        <w:rPr>
          <w:rFonts w:cs="Arial"/>
        </w:rPr>
      </w:pPr>
      <w:r>
        <w:rPr>
          <w:rFonts w:cs="Arial"/>
        </w:rPr>
        <w:tab/>
      </w:r>
      <w:r w:rsidR="007B1F5A" w:rsidRPr="00CD2393">
        <w:rPr>
          <w:rFonts w:cs="Arial"/>
        </w:rPr>
        <w:t xml:space="preserve">20 percent of clients </w:t>
      </w:r>
      <w:r w:rsidR="007B1F5A" w:rsidRPr="00CD2393">
        <w:rPr>
          <w:lang w:val="en-US"/>
        </w:rPr>
        <w:t xml:space="preserve">were ordered to attend a support service under a case plan </w:t>
      </w:r>
      <w:proofErr w:type="gramStart"/>
      <w:r w:rsidR="007B1F5A" w:rsidRPr="00CD2393">
        <w:rPr>
          <w:lang w:val="en-US"/>
        </w:rPr>
        <w:t>only;</w:t>
      </w:r>
      <w:proofErr w:type="gramEnd"/>
    </w:p>
    <w:p w14:paraId="039AEB9E" w14:textId="76653DCD" w:rsidR="00EB52B2" w:rsidRPr="00CD2393" w:rsidRDefault="007B1F5A" w:rsidP="00EB52B2">
      <w:pPr>
        <w:tabs>
          <w:tab w:val="decimal" w:pos="720"/>
        </w:tabs>
        <w:ind w:left="-142" w:right="-425"/>
        <w:jc w:val="both"/>
        <w:rPr>
          <w:rFonts w:cs="Arial"/>
        </w:rPr>
      </w:pPr>
      <w:r>
        <w:rPr>
          <w:rFonts w:cs="Arial"/>
        </w:rPr>
        <w:tab/>
      </w:r>
      <w:r w:rsidR="00CD2393" w:rsidRPr="00CD2393">
        <w:rPr>
          <w:rFonts w:cs="Arial"/>
        </w:rPr>
        <w:t xml:space="preserve">3 </w:t>
      </w:r>
      <w:r w:rsidR="00EB52B2" w:rsidRPr="00CD2393">
        <w:rPr>
          <w:rFonts w:cs="Arial"/>
        </w:rPr>
        <w:t xml:space="preserve">percent of clients </w:t>
      </w:r>
      <w:r w:rsidR="00EB52B2" w:rsidRPr="00CD2393">
        <w:rPr>
          <w:lang w:val="en-US"/>
        </w:rPr>
        <w:t>were placed on a CIM order</w:t>
      </w:r>
      <w:r w:rsidR="0025091F" w:rsidRPr="00CD2393">
        <w:rPr>
          <w:lang w:val="en-US"/>
        </w:rPr>
        <w:t xml:space="preserve"> onl</w:t>
      </w:r>
      <w:r w:rsidR="00F248B7" w:rsidRPr="00CD2393">
        <w:rPr>
          <w:lang w:val="en-US"/>
        </w:rPr>
        <w:t>y</w:t>
      </w:r>
      <w:r w:rsidR="00EB52B2" w:rsidRPr="00CD2393">
        <w:rPr>
          <w:rFonts w:cs="Arial"/>
        </w:rPr>
        <w:t>;</w:t>
      </w:r>
      <w:r>
        <w:rPr>
          <w:rFonts w:cs="Arial"/>
        </w:rPr>
        <w:t xml:space="preserve"> and</w:t>
      </w:r>
    </w:p>
    <w:p w14:paraId="19F8E19F" w14:textId="1C9AC592" w:rsidR="00334048" w:rsidRPr="005C0A9F" w:rsidRDefault="001B3846" w:rsidP="00334048">
      <w:pPr>
        <w:tabs>
          <w:tab w:val="decimal" w:pos="720"/>
        </w:tabs>
        <w:ind w:left="-142" w:right="-425"/>
        <w:jc w:val="both"/>
        <w:rPr>
          <w:rFonts w:cs="Arial"/>
        </w:rPr>
      </w:pPr>
      <w:r w:rsidRPr="00CD2393">
        <w:rPr>
          <w:rFonts w:cs="Arial"/>
        </w:rPr>
        <w:tab/>
      </w:r>
      <w:r w:rsidR="00CD2393" w:rsidRPr="00CD2393">
        <w:rPr>
          <w:rFonts w:cs="Arial"/>
        </w:rPr>
        <w:t>3</w:t>
      </w:r>
      <w:r w:rsidR="00334048" w:rsidRPr="00CD2393">
        <w:rPr>
          <w:rFonts w:cs="Arial"/>
        </w:rPr>
        <w:t xml:space="preserve"> percent of clients </w:t>
      </w:r>
      <w:r w:rsidR="00334048" w:rsidRPr="00CD2393">
        <w:rPr>
          <w:lang w:val="en-US"/>
        </w:rPr>
        <w:t>were placed on a CIM order and ordered to attend a support service</w:t>
      </w:r>
      <w:r w:rsidR="00B43DA5" w:rsidRPr="00CD2393">
        <w:rPr>
          <w:lang w:val="en-US"/>
        </w:rPr>
        <w:t>.</w:t>
      </w:r>
    </w:p>
    <w:p w14:paraId="218C2B05" w14:textId="50F7BA61" w:rsidR="00334048" w:rsidRDefault="00334048" w:rsidP="001B3846">
      <w:pPr>
        <w:tabs>
          <w:tab w:val="decimal" w:pos="720"/>
        </w:tabs>
        <w:ind w:left="-142" w:right="-425"/>
        <w:jc w:val="both"/>
        <w:rPr>
          <w:rFonts w:cs="Arial"/>
        </w:rPr>
      </w:pPr>
    </w:p>
    <w:bookmarkEnd w:id="13"/>
    <w:p w14:paraId="01840B62" w14:textId="7FC926FA" w:rsidR="00986092" w:rsidRPr="00143FBB" w:rsidRDefault="00986092" w:rsidP="00AE5461">
      <w:pPr>
        <w:pStyle w:val="Heading2"/>
      </w:pPr>
      <w:r w:rsidRPr="00143FBB">
        <w:t>Notices</w:t>
      </w:r>
    </w:p>
    <w:p w14:paraId="41B569DF" w14:textId="720DBBAD"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5E1684">
        <w:rPr>
          <w:rFonts w:cs="Arial"/>
        </w:rPr>
        <w:t>55</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2,0</w:t>
      </w:r>
      <w:r w:rsidR="00D563C8">
        <w:rPr>
          <w:rFonts w:cs="Arial"/>
        </w:rPr>
        <w:t>30</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1,1</w:t>
      </w:r>
      <w:r w:rsidR="00D563C8">
        <w:rPr>
          <w:rFonts w:cs="Arial"/>
        </w:rPr>
        <w:t>85</w:t>
      </w:r>
      <w:r w:rsidR="005174DF" w:rsidRPr="006042AF">
        <w:rPr>
          <w:rFonts w:cs="Arial"/>
        </w:rPr>
        <w:t xml:space="preserve"> </w:t>
      </w:r>
      <w:r w:rsidRPr="006042AF">
        <w:rPr>
          <w:rFonts w:cs="Arial"/>
        </w:rPr>
        <w:t>notices (</w:t>
      </w:r>
      <w:r w:rsidR="00BD5C09">
        <w:rPr>
          <w:rFonts w:cs="Arial"/>
        </w:rPr>
        <w:t>5</w:t>
      </w:r>
      <w:r w:rsidR="00D563C8">
        <w:rPr>
          <w:rFonts w:cs="Arial"/>
        </w:rPr>
        <w:t>8</w:t>
      </w:r>
      <w:r w:rsidR="00BD5C09">
        <w:rPr>
          <w:rFonts w:cs="Arial"/>
        </w:rPr>
        <w:t xml:space="preserve"> </w:t>
      </w:r>
      <w:r w:rsidRPr="006042AF">
        <w:rPr>
          <w:rFonts w:cs="Arial"/>
        </w:rPr>
        <w:t>percent)</w:t>
      </w:r>
      <w:r w:rsidR="00F257B3" w:rsidRPr="006042AF">
        <w:rPr>
          <w:rFonts w:cs="Arial"/>
        </w:rPr>
        <w:t xml:space="preserve"> relating to </w:t>
      </w:r>
      <w:r w:rsidR="00BD5C09">
        <w:rPr>
          <w:rFonts w:cs="Arial"/>
        </w:rPr>
        <w:t>5</w:t>
      </w:r>
      <w:r w:rsidR="00D563C8">
        <w:rPr>
          <w:rFonts w:cs="Arial"/>
        </w:rPr>
        <w:t>88</w:t>
      </w:r>
      <w:r w:rsidR="00BD5C09"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D563C8">
        <w:rPr>
          <w:rFonts w:cs="Arial"/>
        </w:rPr>
        <w:t xml:space="preserve">845 </w:t>
      </w:r>
      <w:r w:rsidRPr="006042AF">
        <w:rPr>
          <w:rFonts w:cs="Arial"/>
        </w:rPr>
        <w:t>notices (</w:t>
      </w:r>
      <w:r w:rsidR="00BD5C09">
        <w:rPr>
          <w:rFonts w:cs="Arial"/>
        </w:rPr>
        <w:t>4</w:t>
      </w:r>
      <w:r w:rsidR="00D563C8">
        <w:rPr>
          <w:rFonts w:cs="Arial"/>
        </w:rPr>
        <w:t>2</w:t>
      </w:r>
      <w:r w:rsidR="00BD5C09">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08079DF9" w:rsidR="005A5B78" w:rsidRDefault="00C7128D" w:rsidP="00C7128D">
      <w:pPr>
        <w:spacing w:after="120" w:line="240" w:lineRule="auto"/>
        <w:ind w:right="-425"/>
        <w:rPr>
          <w:rFonts w:cs="Arial"/>
          <w:b/>
        </w:rPr>
      </w:pPr>
      <w:r>
        <w:rPr>
          <w:b/>
          <w:sz w:val="16"/>
          <w:szCs w:val="16"/>
        </w:rPr>
        <w:t xml:space="preserve">Table </w:t>
      </w:r>
      <w:r w:rsidR="00DC1BD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F83C14">
        <w:rPr>
          <w:sz w:val="16"/>
          <w:szCs w:val="16"/>
        </w:rPr>
        <w:t xml:space="preserve">1 </w:t>
      </w:r>
      <w:r w:rsidR="00415BC8">
        <w:rPr>
          <w:sz w:val="16"/>
          <w:szCs w:val="16"/>
        </w:rPr>
        <w:t>January 2022</w:t>
      </w:r>
      <w:r w:rsidR="00A41820">
        <w:rPr>
          <w:sz w:val="16"/>
          <w:szCs w:val="16"/>
        </w:rPr>
        <w:t xml:space="preserve"> to </w:t>
      </w:r>
      <w:r w:rsidR="00F83C14">
        <w:rPr>
          <w:sz w:val="16"/>
          <w:szCs w:val="16"/>
        </w:rPr>
        <w:t>3</w:t>
      </w:r>
      <w:r w:rsidR="00A40B8D">
        <w:rPr>
          <w:sz w:val="16"/>
          <w:szCs w:val="16"/>
        </w:rPr>
        <w:t xml:space="preserve">1 </w:t>
      </w:r>
      <w:r w:rsidR="001A5C4C">
        <w:rPr>
          <w:sz w:val="16"/>
          <w:szCs w:val="16"/>
        </w:rPr>
        <w:t>March 2022</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D563C8"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D563C8" w:rsidRPr="005E0531" w:rsidRDefault="00D563C8" w:rsidP="00D563C8">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5F75FEFC" w:rsidR="00D563C8" w:rsidRPr="003D78AF" w:rsidRDefault="00D563C8" w:rsidP="00D563C8">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4CC3ED33" w:rsidR="00D563C8" w:rsidRPr="003D78AF" w:rsidRDefault="00D563C8" w:rsidP="00D563C8">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136FADB3" w:rsidR="00D563C8" w:rsidRPr="003D78AF" w:rsidRDefault="00D563C8" w:rsidP="00D563C8">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3E675C48" w:rsidR="00D563C8" w:rsidRPr="003D78AF" w:rsidRDefault="00D563C8" w:rsidP="00D563C8">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1E4C0F19" w:rsidR="00D563C8" w:rsidRPr="003D78AF" w:rsidRDefault="00D563C8" w:rsidP="00D563C8">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66EBFCDC" w:rsidR="00D563C8" w:rsidRPr="003D78AF" w:rsidRDefault="00D563C8" w:rsidP="00D563C8">
            <w:pPr>
              <w:spacing w:line="240" w:lineRule="auto"/>
              <w:jc w:val="right"/>
              <w:rPr>
                <w:rFonts w:cs="Arial"/>
                <w:b/>
                <w:bCs/>
                <w:lang w:eastAsia="en-AU"/>
              </w:rPr>
            </w:pPr>
            <w:r>
              <w:rPr>
                <w:rFonts w:cs="Arial"/>
                <w:b/>
                <w:bCs/>
              </w:rPr>
              <w:t>0</w:t>
            </w:r>
          </w:p>
        </w:tc>
      </w:tr>
      <w:tr w:rsidR="00D563C8"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D563C8" w:rsidRPr="0040594D" w:rsidRDefault="00D563C8" w:rsidP="00D563C8">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06506868" w:rsidR="00D563C8" w:rsidRPr="003D78AF" w:rsidRDefault="00D563C8" w:rsidP="00D563C8">
            <w:pPr>
              <w:spacing w:line="240" w:lineRule="auto"/>
              <w:jc w:val="right"/>
              <w:rPr>
                <w:rFonts w:cs="Arial"/>
                <w:lang w:eastAsia="en-AU"/>
              </w:rPr>
            </w:pPr>
            <w:r>
              <w:rPr>
                <w:rFonts w:cs="Arial"/>
              </w:rPr>
              <w:t>2</w:t>
            </w:r>
          </w:p>
        </w:tc>
        <w:tc>
          <w:tcPr>
            <w:tcW w:w="850" w:type="dxa"/>
            <w:tcBorders>
              <w:top w:val="nil"/>
              <w:left w:val="nil"/>
              <w:bottom w:val="single" w:sz="4" w:space="0" w:color="auto"/>
              <w:right w:val="single" w:sz="4" w:space="0" w:color="auto"/>
            </w:tcBorders>
            <w:shd w:val="clear" w:color="auto" w:fill="auto"/>
            <w:vAlign w:val="center"/>
          </w:tcPr>
          <w:p w14:paraId="2545D481" w14:textId="55C20125" w:rsidR="00D563C8" w:rsidRPr="003D78AF" w:rsidRDefault="00D563C8" w:rsidP="00D563C8">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0EB2DE75" w:rsidR="00D563C8" w:rsidRPr="003D78AF" w:rsidRDefault="00D563C8" w:rsidP="00D563C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7F0CE533" w:rsidR="00D563C8" w:rsidRPr="003D78AF" w:rsidRDefault="00D563C8" w:rsidP="00D563C8">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2CC1C64C" w:rsidR="00D563C8" w:rsidRPr="003D78AF" w:rsidRDefault="00D563C8" w:rsidP="00D563C8">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20E11353" w:rsidR="00D563C8" w:rsidRPr="003D78AF" w:rsidRDefault="00D563C8" w:rsidP="00D563C8">
            <w:pPr>
              <w:spacing w:line="240" w:lineRule="auto"/>
              <w:jc w:val="right"/>
              <w:rPr>
                <w:rFonts w:cs="Arial"/>
                <w:b/>
                <w:lang w:eastAsia="en-AU"/>
              </w:rPr>
            </w:pPr>
            <w:r>
              <w:rPr>
                <w:rFonts w:cs="Arial"/>
                <w:b/>
                <w:bCs/>
              </w:rPr>
              <w:t>2</w:t>
            </w:r>
          </w:p>
        </w:tc>
      </w:tr>
      <w:tr w:rsidR="00D563C8"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D563C8" w:rsidRDefault="00D563C8" w:rsidP="00D563C8">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75AF1617" w:rsidR="00D563C8" w:rsidRPr="003D78AF" w:rsidRDefault="00D563C8" w:rsidP="00D563C8">
            <w:pPr>
              <w:spacing w:line="240" w:lineRule="auto"/>
              <w:jc w:val="right"/>
              <w:rPr>
                <w:rFonts w:cs="Arial"/>
                <w:lang w:eastAsia="en-AU"/>
              </w:rPr>
            </w:pPr>
            <w:r>
              <w:rPr>
                <w:rFonts w:cs="Arial"/>
              </w:rPr>
              <w:t>328</w:t>
            </w:r>
          </w:p>
        </w:tc>
        <w:tc>
          <w:tcPr>
            <w:tcW w:w="850" w:type="dxa"/>
            <w:tcBorders>
              <w:top w:val="nil"/>
              <w:left w:val="nil"/>
              <w:bottom w:val="single" w:sz="4" w:space="0" w:color="auto"/>
              <w:right w:val="single" w:sz="4" w:space="0" w:color="auto"/>
            </w:tcBorders>
            <w:shd w:val="clear" w:color="auto" w:fill="auto"/>
            <w:vAlign w:val="center"/>
          </w:tcPr>
          <w:p w14:paraId="42DE6DE7" w14:textId="58EF605F" w:rsidR="00D563C8" w:rsidRPr="003D78AF" w:rsidRDefault="00D563C8" w:rsidP="00D563C8">
            <w:pPr>
              <w:spacing w:line="240" w:lineRule="auto"/>
              <w:jc w:val="right"/>
              <w:rPr>
                <w:rFonts w:cs="Arial"/>
                <w:lang w:eastAsia="en-AU"/>
              </w:rPr>
            </w:pPr>
            <w:r>
              <w:rPr>
                <w:rFonts w:cs="Arial"/>
              </w:rPr>
              <w:t>12</w:t>
            </w:r>
          </w:p>
        </w:tc>
        <w:tc>
          <w:tcPr>
            <w:tcW w:w="779" w:type="dxa"/>
            <w:tcBorders>
              <w:top w:val="nil"/>
              <w:left w:val="nil"/>
              <w:bottom w:val="single" w:sz="4" w:space="0" w:color="auto"/>
              <w:right w:val="single" w:sz="4" w:space="0" w:color="auto"/>
            </w:tcBorders>
            <w:vAlign w:val="center"/>
          </w:tcPr>
          <w:p w14:paraId="6A2B0F8E" w14:textId="72510BA1" w:rsidR="00D563C8" w:rsidRPr="003D78AF" w:rsidRDefault="00D563C8" w:rsidP="00D563C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2A3807A4" w:rsidR="00D563C8" w:rsidRPr="003D78AF" w:rsidRDefault="00D563C8" w:rsidP="00D563C8">
            <w:pPr>
              <w:spacing w:line="240" w:lineRule="auto"/>
              <w:jc w:val="right"/>
              <w:rPr>
                <w:rFonts w:cs="Arial"/>
                <w:lang w:eastAsia="en-AU"/>
              </w:rPr>
            </w:pPr>
            <w:r>
              <w:rPr>
                <w:rFonts w:cs="Arial"/>
              </w:rPr>
              <w:t>29</w:t>
            </w:r>
          </w:p>
        </w:tc>
        <w:tc>
          <w:tcPr>
            <w:tcW w:w="706" w:type="dxa"/>
            <w:tcBorders>
              <w:top w:val="nil"/>
              <w:left w:val="nil"/>
              <w:bottom w:val="single" w:sz="4" w:space="0" w:color="auto"/>
              <w:right w:val="single" w:sz="4" w:space="0" w:color="auto"/>
            </w:tcBorders>
            <w:vAlign w:val="center"/>
          </w:tcPr>
          <w:p w14:paraId="635B50F1" w14:textId="4289E4A3" w:rsidR="00D563C8" w:rsidRPr="003D78AF" w:rsidRDefault="00D563C8" w:rsidP="00D563C8">
            <w:pPr>
              <w:spacing w:line="240" w:lineRule="auto"/>
              <w:jc w:val="right"/>
              <w:rPr>
                <w:rFonts w:cs="Arial"/>
                <w:lang w:eastAsia="en-AU"/>
              </w:rPr>
            </w:pPr>
            <w:r>
              <w:rPr>
                <w:rFonts w:cs="Arial"/>
              </w:rPr>
              <w:t>19</w:t>
            </w:r>
          </w:p>
        </w:tc>
        <w:tc>
          <w:tcPr>
            <w:tcW w:w="849" w:type="dxa"/>
            <w:tcBorders>
              <w:top w:val="nil"/>
              <w:left w:val="nil"/>
              <w:bottom w:val="single" w:sz="4" w:space="0" w:color="auto"/>
              <w:right w:val="single" w:sz="4" w:space="0" w:color="auto"/>
            </w:tcBorders>
            <w:vAlign w:val="center"/>
          </w:tcPr>
          <w:p w14:paraId="413D1C25" w14:textId="3F1514AF" w:rsidR="00D563C8" w:rsidRPr="003D78AF" w:rsidRDefault="00D563C8" w:rsidP="00D563C8">
            <w:pPr>
              <w:spacing w:line="240" w:lineRule="auto"/>
              <w:jc w:val="right"/>
              <w:rPr>
                <w:rFonts w:cs="Arial"/>
                <w:b/>
                <w:lang w:eastAsia="en-AU"/>
              </w:rPr>
            </w:pPr>
            <w:r>
              <w:rPr>
                <w:rFonts w:cs="Arial"/>
                <w:b/>
                <w:bCs/>
              </w:rPr>
              <w:t>388</w:t>
            </w:r>
          </w:p>
        </w:tc>
      </w:tr>
      <w:tr w:rsidR="00D563C8"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D563C8" w:rsidRDefault="00D563C8" w:rsidP="00D563C8">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26C764C1" w:rsidR="00D563C8" w:rsidRPr="003D78AF" w:rsidRDefault="00D563C8" w:rsidP="00D563C8">
            <w:pPr>
              <w:spacing w:line="240" w:lineRule="auto"/>
              <w:jc w:val="right"/>
              <w:rPr>
                <w:rFonts w:cs="Arial"/>
                <w:lang w:eastAsia="en-AU"/>
              </w:rPr>
            </w:pPr>
            <w:r>
              <w:rPr>
                <w:rFonts w:cs="Arial"/>
              </w:rPr>
              <w:t>29</w:t>
            </w:r>
          </w:p>
        </w:tc>
        <w:tc>
          <w:tcPr>
            <w:tcW w:w="850" w:type="dxa"/>
            <w:tcBorders>
              <w:top w:val="nil"/>
              <w:left w:val="nil"/>
              <w:bottom w:val="single" w:sz="4" w:space="0" w:color="auto"/>
              <w:right w:val="single" w:sz="4" w:space="0" w:color="auto"/>
            </w:tcBorders>
            <w:shd w:val="clear" w:color="auto" w:fill="auto"/>
            <w:vAlign w:val="center"/>
          </w:tcPr>
          <w:p w14:paraId="1BA99C8E" w14:textId="4A70F829" w:rsidR="00D563C8" w:rsidRPr="003D78AF" w:rsidRDefault="00D563C8" w:rsidP="00D563C8">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54E7A1AA" w14:textId="6AED11A3" w:rsidR="00D563C8" w:rsidRPr="003D78AF" w:rsidRDefault="00D563C8" w:rsidP="00D563C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23CA84C4" w:rsidR="00D563C8" w:rsidRPr="003D78AF" w:rsidRDefault="00D563C8" w:rsidP="00D563C8">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center"/>
          </w:tcPr>
          <w:p w14:paraId="772FC04E" w14:textId="2B541212" w:rsidR="00D563C8" w:rsidRPr="003D78AF" w:rsidRDefault="00D563C8" w:rsidP="00D563C8">
            <w:pPr>
              <w:spacing w:line="240" w:lineRule="auto"/>
              <w:jc w:val="right"/>
              <w:rPr>
                <w:rFonts w:cs="Arial"/>
                <w:lang w:eastAsia="en-AU"/>
              </w:rPr>
            </w:pPr>
            <w:r>
              <w:rPr>
                <w:rFonts w:cs="Arial"/>
              </w:rPr>
              <w:t>6</w:t>
            </w:r>
          </w:p>
        </w:tc>
        <w:tc>
          <w:tcPr>
            <w:tcW w:w="849" w:type="dxa"/>
            <w:tcBorders>
              <w:top w:val="nil"/>
              <w:left w:val="nil"/>
              <w:bottom w:val="single" w:sz="4" w:space="0" w:color="auto"/>
              <w:right w:val="single" w:sz="4" w:space="0" w:color="auto"/>
            </w:tcBorders>
            <w:vAlign w:val="center"/>
          </w:tcPr>
          <w:p w14:paraId="7DF1704F" w14:textId="5345FF39" w:rsidR="00D563C8" w:rsidRPr="003D78AF" w:rsidRDefault="00D563C8" w:rsidP="00D563C8">
            <w:pPr>
              <w:spacing w:line="240" w:lineRule="auto"/>
              <w:jc w:val="right"/>
              <w:rPr>
                <w:rFonts w:cs="Arial"/>
                <w:b/>
                <w:lang w:eastAsia="en-AU"/>
              </w:rPr>
            </w:pPr>
            <w:r>
              <w:rPr>
                <w:rFonts w:cs="Arial"/>
                <w:b/>
                <w:bCs/>
              </w:rPr>
              <w:t>39</w:t>
            </w:r>
          </w:p>
        </w:tc>
      </w:tr>
      <w:tr w:rsidR="00D563C8"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D563C8" w:rsidRDefault="00D563C8" w:rsidP="00D563C8">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3F5D20DF" w:rsidR="00D563C8" w:rsidRPr="003D78AF" w:rsidRDefault="00D563C8" w:rsidP="00D563C8">
            <w:pPr>
              <w:spacing w:line="240" w:lineRule="auto"/>
              <w:jc w:val="right"/>
              <w:rPr>
                <w:rFonts w:cs="Arial"/>
                <w:lang w:eastAsia="en-AU"/>
              </w:rPr>
            </w:pPr>
            <w:r>
              <w:rPr>
                <w:rFonts w:cs="Arial"/>
              </w:rPr>
              <w:t>38</w:t>
            </w:r>
          </w:p>
        </w:tc>
        <w:tc>
          <w:tcPr>
            <w:tcW w:w="850" w:type="dxa"/>
            <w:tcBorders>
              <w:top w:val="nil"/>
              <w:left w:val="nil"/>
              <w:bottom w:val="single" w:sz="4" w:space="0" w:color="auto"/>
              <w:right w:val="single" w:sz="4" w:space="0" w:color="auto"/>
            </w:tcBorders>
            <w:shd w:val="clear" w:color="auto" w:fill="auto"/>
            <w:vAlign w:val="center"/>
          </w:tcPr>
          <w:p w14:paraId="375C9925" w14:textId="72C2EBD1" w:rsidR="00D563C8" w:rsidRPr="003D78AF" w:rsidRDefault="00D563C8" w:rsidP="00D563C8">
            <w:pPr>
              <w:spacing w:line="240" w:lineRule="auto"/>
              <w:jc w:val="right"/>
              <w:rPr>
                <w:rFonts w:cs="Arial"/>
                <w:lang w:eastAsia="en-AU"/>
              </w:rPr>
            </w:pPr>
            <w:r>
              <w:rPr>
                <w:rFonts w:cs="Arial"/>
              </w:rPr>
              <w:t>5</w:t>
            </w:r>
          </w:p>
        </w:tc>
        <w:tc>
          <w:tcPr>
            <w:tcW w:w="779" w:type="dxa"/>
            <w:tcBorders>
              <w:top w:val="nil"/>
              <w:left w:val="nil"/>
              <w:bottom w:val="single" w:sz="4" w:space="0" w:color="auto"/>
              <w:right w:val="single" w:sz="4" w:space="0" w:color="auto"/>
            </w:tcBorders>
            <w:vAlign w:val="center"/>
          </w:tcPr>
          <w:p w14:paraId="766C043E" w14:textId="3ADDA4D7" w:rsidR="00D563C8" w:rsidRPr="003D78AF" w:rsidRDefault="00D563C8" w:rsidP="00D563C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6409A5F1" w:rsidR="00D563C8" w:rsidRPr="003D78AF" w:rsidRDefault="00D563C8" w:rsidP="00D563C8">
            <w:pPr>
              <w:spacing w:line="240" w:lineRule="auto"/>
              <w:jc w:val="right"/>
              <w:rPr>
                <w:rFonts w:cs="Arial"/>
                <w:lang w:eastAsia="en-AU"/>
              </w:rPr>
            </w:pPr>
            <w:r>
              <w:rPr>
                <w:rFonts w:cs="Arial"/>
              </w:rPr>
              <w:t>7</w:t>
            </w:r>
          </w:p>
        </w:tc>
        <w:tc>
          <w:tcPr>
            <w:tcW w:w="706" w:type="dxa"/>
            <w:tcBorders>
              <w:top w:val="nil"/>
              <w:left w:val="nil"/>
              <w:bottom w:val="single" w:sz="4" w:space="0" w:color="auto"/>
              <w:right w:val="single" w:sz="4" w:space="0" w:color="auto"/>
            </w:tcBorders>
            <w:vAlign w:val="center"/>
          </w:tcPr>
          <w:p w14:paraId="76B03AEF" w14:textId="61300696" w:rsidR="00D563C8" w:rsidRPr="003D78AF" w:rsidRDefault="00D563C8" w:rsidP="00D563C8">
            <w:pPr>
              <w:spacing w:line="240" w:lineRule="auto"/>
              <w:jc w:val="right"/>
              <w:rPr>
                <w:rFonts w:cs="Arial"/>
                <w:lang w:eastAsia="en-AU"/>
              </w:rPr>
            </w:pPr>
            <w:r>
              <w:rPr>
                <w:rFonts w:cs="Arial"/>
              </w:rPr>
              <w:t>8</w:t>
            </w:r>
          </w:p>
        </w:tc>
        <w:tc>
          <w:tcPr>
            <w:tcW w:w="849" w:type="dxa"/>
            <w:tcBorders>
              <w:top w:val="nil"/>
              <w:left w:val="nil"/>
              <w:bottom w:val="single" w:sz="4" w:space="0" w:color="auto"/>
              <w:right w:val="single" w:sz="4" w:space="0" w:color="auto"/>
            </w:tcBorders>
            <w:vAlign w:val="center"/>
          </w:tcPr>
          <w:p w14:paraId="61D1E9D8" w14:textId="0A7981E3" w:rsidR="00D563C8" w:rsidRPr="003D78AF" w:rsidRDefault="00D563C8" w:rsidP="00D563C8">
            <w:pPr>
              <w:spacing w:line="240" w:lineRule="auto"/>
              <w:jc w:val="right"/>
              <w:rPr>
                <w:rFonts w:cs="Arial"/>
                <w:b/>
                <w:lang w:eastAsia="en-AU"/>
              </w:rPr>
            </w:pPr>
            <w:r>
              <w:rPr>
                <w:rFonts w:cs="Arial"/>
                <w:b/>
                <w:bCs/>
              </w:rPr>
              <w:t>58</w:t>
            </w:r>
          </w:p>
        </w:tc>
      </w:tr>
      <w:tr w:rsidR="00D563C8"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D563C8" w:rsidRPr="0040594D" w:rsidRDefault="00D563C8" w:rsidP="00D563C8">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72788953" w:rsidR="00D563C8" w:rsidRPr="003D78AF" w:rsidRDefault="00D563C8" w:rsidP="00D563C8">
            <w:pPr>
              <w:spacing w:line="240" w:lineRule="auto"/>
              <w:jc w:val="right"/>
              <w:rPr>
                <w:rFonts w:cs="Arial"/>
                <w:lang w:eastAsia="en-AU"/>
              </w:rPr>
            </w:pPr>
            <w:r>
              <w:rPr>
                <w:rFonts w:cs="Arial"/>
              </w:rPr>
              <w:t>188</w:t>
            </w:r>
          </w:p>
        </w:tc>
        <w:tc>
          <w:tcPr>
            <w:tcW w:w="850" w:type="dxa"/>
            <w:tcBorders>
              <w:top w:val="nil"/>
              <w:left w:val="nil"/>
              <w:bottom w:val="single" w:sz="4" w:space="0" w:color="auto"/>
              <w:right w:val="single" w:sz="4" w:space="0" w:color="auto"/>
            </w:tcBorders>
            <w:shd w:val="clear" w:color="auto" w:fill="auto"/>
            <w:vAlign w:val="center"/>
          </w:tcPr>
          <w:p w14:paraId="5D2BA765" w14:textId="15392745" w:rsidR="00D563C8" w:rsidRPr="003D78AF" w:rsidRDefault="00D563C8" w:rsidP="00D563C8">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6EC1BDB5" w14:textId="4CA44E1E" w:rsidR="00D563C8" w:rsidRPr="003D78AF" w:rsidRDefault="00D563C8" w:rsidP="00D563C8">
            <w:pPr>
              <w:spacing w:line="240" w:lineRule="auto"/>
              <w:jc w:val="right"/>
              <w:rPr>
                <w:rFonts w:cs="Arial"/>
                <w:lang w:eastAsia="en-AU"/>
              </w:rPr>
            </w:pPr>
            <w:r>
              <w:rPr>
                <w:rFonts w:cs="Arial"/>
              </w:rPr>
              <w:t>314</w:t>
            </w:r>
          </w:p>
        </w:tc>
        <w:tc>
          <w:tcPr>
            <w:tcW w:w="643" w:type="dxa"/>
            <w:tcBorders>
              <w:top w:val="nil"/>
              <w:left w:val="nil"/>
              <w:bottom w:val="single" w:sz="4" w:space="0" w:color="auto"/>
              <w:right w:val="single" w:sz="4" w:space="0" w:color="auto"/>
            </w:tcBorders>
            <w:vAlign w:val="center"/>
          </w:tcPr>
          <w:p w14:paraId="1997B7CD" w14:textId="5655BCBF" w:rsidR="00D563C8" w:rsidRPr="003D78AF" w:rsidRDefault="00D563C8" w:rsidP="00D563C8">
            <w:pPr>
              <w:spacing w:line="240" w:lineRule="auto"/>
              <w:jc w:val="right"/>
              <w:rPr>
                <w:rFonts w:cs="Arial"/>
                <w:lang w:eastAsia="en-AU"/>
              </w:rPr>
            </w:pPr>
            <w:r>
              <w:rPr>
                <w:rFonts w:cs="Arial"/>
              </w:rPr>
              <w:t>82</w:t>
            </w:r>
          </w:p>
        </w:tc>
        <w:tc>
          <w:tcPr>
            <w:tcW w:w="706" w:type="dxa"/>
            <w:tcBorders>
              <w:top w:val="nil"/>
              <w:left w:val="nil"/>
              <w:bottom w:val="single" w:sz="4" w:space="0" w:color="auto"/>
              <w:right w:val="single" w:sz="4" w:space="0" w:color="auto"/>
            </w:tcBorders>
            <w:vAlign w:val="center"/>
          </w:tcPr>
          <w:p w14:paraId="6C72EE70" w14:textId="3236E226" w:rsidR="00D563C8" w:rsidRPr="003D78AF" w:rsidRDefault="00D563C8" w:rsidP="00D563C8">
            <w:pPr>
              <w:spacing w:line="240" w:lineRule="auto"/>
              <w:jc w:val="right"/>
              <w:rPr>
                <w:rFonts w:cs="Arial"/>
                <w:lang w:eastAsia="en-AU"/>
              </w:rPr>
            </w:pPr>
            <w:r>
              <w:rPr>
                <w:rFonts w:cs="Arial"/>
              </w:rPr>
              <w:t>24</w:t>
            </w:r>
          </w:p>
        </w:tc>
        <w:tc>
          <w:tcPr>
            <w:tcW w:w="849" w:type="dxa"/>
            <w:tcBorders>
              <w:top w:val="nil"/>
              <w:left w:val="nil"/>
              <w:bottom w:val="single" w:sz="4" w:space="0" w:color="auto"/>
              <w:right w:val="single" w:sz="4" w:space="0" w:color="auto"/>
            </w:tcBorders>
            <w:vAlign w:val="center"/>
          </w:tcPr>
          <w:p w14:paraId="10323D05" w14:textId="7E8EA1D2" w:rsidR="00D563C8" w:rsidRPr="003D78AF" w:rsidRDefault="00D563C8" w:rsidP="00D563C8">
            <w:pPr>
              <w:spacing w:line="240" w:lineRule="auto"/>
              <w:jc w:val="right"/>
              <w:rPr>
                <w:rFonts w:cs="Arial"/>
                <w:b/>
                <w:lang w:eastAsia="en-AU"/>
              </w:rPr>
            </w:pPr>
            <w:r>
              <w:rPr>
                <w:rFonts w:cs="Arial"/>
                <w:b/>
                <w:bCs/>
              </w:rPr>
              <w:t>612</w:t>
            </w:r>
          </w:p>
        </w:tc>
      </w:tr>
      <w:tr w:rsidR="00D563C8"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D563C8" w:rsidRPr="0040594D" w:rsidRDefault="00D563C8" w:rsidP="00D563C8">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40E2E336" w:rsidR="00D563C8" w:rsidRPr="003D78AF" w:rsidRDefault="00D563C8" w:rsidP="00D563C8">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5B335413" w:rsidR="00D563C8" w:rsidRPr="003D78AF" w:rsidRDefault="00D563C8" w:rsidP="00D563C8">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5B2D455A" w:rsidR="00D563C8" w:rsidRPr="003D78AF" w:rsidRDefault="00D563C8" w:rsidP="00D563C8">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72CA6F79" w:rsidR="00D563C8" w:rsidRPr="003D78AF" w:rsidRDefault="00D563C8" w:rsidP="00D563C8">
            <w:pPr>
              <w:spacing w:line="240" w:lineRule="auto"/>
              <w:jc w:val="right"/>
              <w:rPr>
                <w:rFonts w:cs="Arial"/>
                <w:lang w:eastAsia="en-AU"/>
              </w:rPr>
            </w:pPr>
            <w:r>
              <w:rPr>
                <w:rFonts w:cs="Arial"/>
              </w:rPr>
              <w:t>2</w:t>
            </w:r>
          </w:p>
        </w:tc>
        <w:tc>
          <w:tcPr>
            <w:tcW w:w="706" w:type="dxa"/>
            <w:tcBorders>
              <w:top w:val="nil"/>
              <w:left w:val="nil"/>
              <w:bottom w:val="single" w:sz="4" w:space="0" w:color="auto"/>
              <w:right w:val="single" w:sz="4" w:space="0" w:color="auto"/>
            </w:tcBorders>
            <w:vAlign w:val="center"/>
          </w:tcPr>
          <w:p w14:paraId="30E7D1DC" w14:textId="5B2376BB" w:rsidR="00D563C8" w:rsidRPr="003D78AF" w:rsidRDefault="00D563C8" w:rsidP="00D563C8">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7A8ED4D9" w:rsidR="00D563C8" w:rsidRPr="003D78AF" w:rsidRDefault="00D563C8" w:rsidP="00D563C8">
            <w:pPr>
              <w:spacing w:line="240" w:lineRule="auto"/>
              <w:jc w:val="right"/>
              <w:rPr>
                <w:rFonts w:cs="Arial"/>
                <w:b/>
                <w:lang w:eastAsia="en-AU"/>
              </w:rPr>
            </w:pPr>
            <w:r>
              <w:rPr>
                <w:rFonts w:cs="Arial"/>
                <w:b/>
                <w:bCs/>
              </w:rPr>
              <w:t>2</w:t>
            </w:r>
          </w:p>
        </w:tc>
      </w:tr>
      <w:tr w:rsidR="003D78AF"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3D78AF" w:rsidRPr="00371BE2" w:rsidRDefault="003D78AF" w:rsidP="003D78AF">
            <w:pPr>
              <w:spacing w:line="240" w:lineRule="auto"/>
              <w:rPr>
                <w:rFonts w:cs="Arial"/>
                <w:lang w:eastAsia="en-AU"/>
              </w:rPr>
            </w:pPr>
            <w:bookmarkStart w:id="15"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27A797AA" w:rsidR="003D78AF" w:rsidRPr="003D78AF" w:rsidRDefault="003D78AF" w:rsidP="003D78AF">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2EA2691F" w:rsidR="003D78AF" w:rsidRPr="003D78AF" w:rsidRDefault="003D78AF" w:rsidP="003D78AF">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4CC4A2B2" w:rsidR="003D78AF" w:rsidRPr="003D78AF" w:rsidRDefault="003D78AF" w:rsidP="003D78AF">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0B7619B3" w:rsidR="003D78AF" w:rsidRPr="003D78AF" w:rsidRDefault="003D78AF" w:rsidP="003D78AF">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EB1AF6" w:rsidR="003D78AF" w:rsidRPr="003D78AF" w:rsidRDefault="003D78AF" w:rsidP="003D78AF">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3C1CDA2F" w:rsidR="003D78AF" w:rsidRPr="003D78AF" w:rsidRDefault="003D78AF" w:rsidP="003D78AF">
            <w:pPr>
              <w:spacing w:line="240" w:lineRule="auto"/>
              <w:jc w:val="right"/>
              <w:rPr>
                <w:rFonts w:cs="Arial"/>
                <w:b/>
                <w:lang w:eastAsia="en-AU"/>
              </w:rPr>
            </w:pPr>
          </w:p>
        </w:tc>
      </w:tr>
      <w:bookmarkEnd w:id="15"/>
      <w:tr w:rsidR="00D563C8"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D563C8" w:rsidRPr="00371BE2" w:rsidRDefault="00D563C8" w:rsidP="00D563C8">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51E0BBC7" w:rsidR="00D563C8" w:rsidRPr="003D78AF" w:rsidRDefault="00D563C8" w:rsidP="00D563C8">
            <w:pPr>
              <w:spacing w:line="240" w:lineRule="auto"/>
              <w:jc w:val="right"/>
              <w:rPr>
                <w:rFonts w:cs="Arial"/>
              </w:rPr>
            </w:pPr>
            <w:r>
              <w:rPr>
                <w:rFonts w:cs="Arial"/>
              </w:rPr>
              <w:t>11</w:t>
            </w:r>
          </w:p>
        </w:tc>
        <w:tc>
          <w:tcPr>
            <w:tcW w:w="850" w:type="dxa"/>
            <w:tcBorders>
              <w:top w:val="nil"/>
              <w:left w:val="nil"/>
              <w:bottom w:val="single" w:sz="4" w:space="0" w:color="auto"/>
              <w:right w:val="single" w:sz="4" w:space="0" w:color="auto"/>
            </w:tcBorders>
            <w:shd w:val="clear" w:color="auto" w:fill="auto"/>
            <w:vAlign w:val="center"/>
          </w:tcPr>
          <w:p w14:paraId="503CD381" w14:textId="35909464" w:rsidR="00D563C8" w:rsidRPr="003D78AF" w:rsidRDefault="00D563C8" w:rsidP="00D563C8">
            <w:pPr>
              <w:spacing w:line="240" w:lineRule="auto"/>
              <w:jc w:val="right"/>
              <w:rPr>
                <w:rFonts w:cs="Arial"/>
              </w:rPr>
            </w:pPr>
            <w:r>
              <w:rPr>
                <w:rFonts w:cs="Arial"/>
              </w:rPr>
              <w:t>2</w:t>
            </w:r>
          </w:p>
        </w:tc>
        <w:tc>
          <w:tcPr>
            <w:tcW w:w="779" w:type="dxa"/>
            <w:tcBorders>
              <w:top w:val="nil"/>
              <w:left w:val="nil"/>
              <w:bottom w:val="single" w:sz="4" w:space="0" w:color="auto"/>
              <w:right w:val="single" w:sz="4" w:space="0" w:color="auto"/>
            </w:tcBorders>
            <w:vAlign w:val="center"/>
          </w:tcPr>
          <w:p w14:paraId="488ACCDC" w14:textId="069984AB" w:rsidR="00D563C8" w:rsidRPr="003D78AF" w:rsidRDefault="00D563C8" w:rsidP="00D563C8">
            <w:pPr>
              <w:spacing w:line="240" w:lineRule="auto"/>
              <w:jc w:val="right"/>
              <w:rPr>
                <w:rFonts w:cs="Arial"/>
              </w:rPr>
            </w:pPr>
            <w:r>
              <w:rPr>
                <w:rFonts w:cs="Arial"/>
              </w:rPr>
              <w:t>27</w:t>
            </w:r>
          </w:p>
        </w:tc>
        <w:tc>
          <w:tcPr>
            <w:tcW w:w="643" w:type="dxa"/>
            <w:tcBorders>
              <w:top w:val="nil"/>
              <w:left w:val="nil"/>
              <w:bottom w:val="single" w:sz="4" w:space="0" w:color="auto"/>
              <w:right w:val="single" w:sz="4" w:space="0" w:color="auto"/>
            </w:tcBorders>
            <w:vAlign w:val="center"/>
          </w:tcPr>
          <w:p w14:paraId="0FE1FB54" w14:textId="4A833A69" w:rsidR="00D563C8" w:rsidRPr="003D78AF" w:rsidRDefault="00D563C8" w:rsidP="00D563C8">
            <w:pPr>
              <w:spacing w:line="240" w:lineRule="auto"/>
              <w:jc w:val="right"/>
              <w:rPr>
                <w:rFonts w:cs="Arial"/>
              </w:rPr>
            </w:pPr>
            <w:r>
              <w:rPr>
                <w:rFonts w:cs="Arial"/>
              </w:rPr>
              <w:t>23</w:t>
            </w:r>
          </w:p>
        </w:tc>
        <w:tc>
          <w:tcPr>
            <w:tcW w:w="706" w:type="dxa"/>
            <w:tcBorders>
              <w:top w:val="nil"/>
              <w:left w:val="nil"/>
              <w:bottom w:val="single" w:sz="4" w:space="0" w:color="auto"/>
              <w:right w:val="single" w:sz="4" w:space="0" w:color="auto"/>
            </w:tcBorders>
            <w:vAlign w:val="center"/>
          </w:tcPr>
          <w:p w14:paraId="6B736C1A" w14:textId="2764A104" w:rsidR="00D563C8" w:rsidRPr="003D78AF" w:rsidRDefault="00D563C8" w:rsidP="00D563C8">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46071030" w14:textId="5A81EC3F" w:rsidR="00D563C8" w:rsidRPr="003D78AF" w:rsidRDefault="00D563C8" w:rsidP="00D563C8">
            <w:pPr>
              <w:spacing w:line="240" w:lineRule="auto"/>
              <w:jc w:val="right"/>
              <w:rPr>
                <w:rFonts w:cs="Arial"/>
                <w:b/>
                <w:bCs/>
              </w:rPr>
            </w:pPr>
            <w:r>
              <w:rPr>
                <w:rFonts w:cs="Arial"/>
                <w:b/>
                <w:bCs/>
              </w:rPr>
              <w:t>63</w:t>
            </w:r>
          </w:p>
        </w:tc>
      </w:tr>
      <w:tr w:rsidR="00D563C8"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D563C8" w:rsidRPr="00371BE2" w:rsidRDefault="00D563C8" w:rsidP="00D563C8">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455105E7" w:rsidR="00D563C8" w:rsidRPr="003D78AF" w:rsidRDefault="00D563C8" w:rsidP="00D563C8">
            <w:pPr>
              <w:spacing w:line="240" w:lineRule="auto"/>
              <w:jc w:val="right"/>
              <w:rPr>
                <w:rFonts w:cs="Arial"/>
              </w:rPr>
            </w:pPr>
            <w:r>
              <w:rPr>
                <w:rFonts w:cs="Arial"/>
              </w:rPr>
              <w:t>3</w:t>
            </w:r>
          </w:p>
        </w:tc>
        <w:tc>
          <w:tcPr>
            <w:tcW w:w="850" w:type="dxa"/>
            <w:tcBorders>
              <w:top w:val="nil"/>
              <w:left w:val="nil"/>
              <w:bottom w:val="single" w:sz="4" w:space="0" w:color="auto"/>
              <w:right w:val="single" w:sz="4" w:space="0" w:color="auto"/>
            </w:tcBorders>
            <w:shd w:val="clear" w:color="auto" w:fill="auto"/>
            <w:vAlign w:val="center"/>
          </w:tcPr>
          <w:p w14:paraId="0611116F" w14:textId="505C40AA" w:rsidR="00D563C8" w:rsidRPr="003D78AF" w:rsidRDefault="00D563C8" w:rsidP="00D563C8">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7E299A1D" w:rsidR="00D563C8" w:rsidRPr="003D78AF" w:rsidRDefault="00D563C8" w:rsidP="00D563C8">
            <w:pPr>
              <w:spacing w:line="240" w:lineRule="auto"/>
              <w:jc w:val="right"/>
              <w:rPr>
                <w:rFonts w:cs="Arial"/>
              </w:rPr>
            </w:pPr>
            <w:r>
              <w:rPr>
                <w:rFonts w:cs="Arial"/>
              </w:rPr>
              <w:t>8</w:t>
            </w:r>
          </w:p>
        </w:tc>
        <w:tc>
          <w:tcPr>
            <w:tcW w:w="643" w:type="dxa"/>
            <w:tcBorders>
              <w:top w:val="nil"/>
              <w:left w:val="nil"/>
              <w:bottom w:val="single" w:sz="4" w:space="0" w:color="auto"/>
              <w:right w:val="single" w:sz="4" w:space="0" w:color="auto"/>
            </w:tcBorders>
            <w:vAlign w:val="center"/>
          </w:tcPr>
          <w:p w14:paraId="5E3C036C" w14:textId="1D0A3B01" w:rsidR="00D563C8" w:rsidRPr="003D78AF" w:rsidRDefault="00D563C8" w:rsidP="00D563C8">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2C866191" w:rsidR="00D563C8" w:rsidRPr="003D78AF" w:rsidRDefault="00D563C8" w:rsidP="00D563C8">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3A59C71A" w:rsidR="00D563C8" w:rsidRPr="003D78AF" w:rsidRDefault="00D563C8" w:rsidP="00D563C8">
            <w:pPr>
              <w:spacing w:line="240" w:lineRule="auto"/>
              <w:jc w:val="right"/>
              <w:rPr>
                <w:rFonts w:cs="Arial"/>
                <w:b/>
                <w:bCs/>
              </w:rPr>
            </w:pPr>
            <w:r>
              <w:rPr>
                <w:rFonts w:cs="Arial"/>
                <w:b/>
                <w:bCs/>
              </w:rPr>
              <w:t>11</w:t>
            </w:r>
          </w:p>
        </w:tc>
      </w:tr>
      <w:tr w:rsidR="00D563C8"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D563C8" w:rsidRPr="00371BE2" w:rsidRDefault="00D563C8" w:rsidP="00D563C8">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2137F89A" w:rsidR="00D563C8" w:rsidRPr="003D78AF" w:rsidRDefault="00D563C8" w:rsidP="00D563C8">
            <w:pPr>
              <w:spacing w:line="240" w:lineRule="auto"/>
              <w:jc w:val="right"/>
              <w:rPr>
                <w:rFonts w:cs="Arial"/>
                <w:lang w:eastAsia="en-AU"/>
              </w:rPr>
            </w:pPr>
            <w:r>
              <w:rPr>
                <w:rFonts w:cs="Arial"/>
              </w:rP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7B4902B5" w:rsidR="00D563C8" w:rsidRPr="003D78AF" w:rsidRDefault="00D563C8" w:rsidP="00D563C8">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3AF9E6FF" w:rsidR="00D563C8" w:rsidRPr="003D78AF" w:rsidRDefault="00D563C8" w:rsidP="00D563C8">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201F8740" w:rsidR="00D563C8" w:rsidRPr="003D78AF" w:rsidRDefault="00D563C8" w:rsidP="00D563C8">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74946815" w:rsidR="00D563C8" w:rsidRPr="003D78AF" w:rsidRDefault="00D563C8" w:rsidP="00D563C8">
            <w:pPr>
              <w:spacing w:line="240" w:lineRule="auto"/>
              <w:jc w:val="right"/>
              <w:rPr>
                <w:rFonts w:cs="Arial"/>
                <w:lang w:eastAsia="en-AU"/>
              </w:rPr>
            </w:pPr>
            <w:r>
              <w:rPr>
                <w:rFonts w:cs="Arial"/>
              </w:rPr>
              <w:t>1</w:t>
            </w:r>
          </w:p>
        </w:tc>
        <w:tc>
          <w:tcPr>
            <w:tcW w:w="849" w:type="dxa"/>
            <w:tcBorders>
              <w:top w:val="single" w:sz="4" w:space="0" w:color="auto"/>
              <w:left w:val="nil"/>
              <w:bottom w:val="single" w:sz="4" w:space="0" w:color="auto"/>
              <w:right w:val="single" w:sz="4" w:space="0" w:color="auto"/>
            </w:tcBorders>
            <w:vAlign w:val="center"/>
          </w:tcPr>
          <w:p w14:paraId="37F1A4A0" w14:textId="7C69D28E" w:rsidR="00D563C8" w:rsidRPr="003D78AF" w:rsidRDefault="00D563C8" w:rsidP="00D563C8">
            <w:pPr>
              <w:spacing w:line="240" w:lineRule="auto"/>
              <w:jc w:val="right"/>
              <w:rPr>
                <w:rFonts w:cs="Arial"/>
                <w:b/>
                <w:lang w:eastAsia="en-AU"/>
              </w:rPr>
            </w:pPr>
            <w:r>
              <w:rPr>
                <w:rFonts w:cs="Arial"/>
                <w:b/>
                <w:bCs/>
              </w:rPr>
              <w:t>10</w:t>
            </w:r>
          </w:p>
        </w:tc>
      </w:tr>
      <w:tr w:rsidR="00D563C8"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D563C8" w:rsidRPr="00371BE2" w:rsidRDefault="00D563C8" w:rsidP="00D563C8">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02BF8534" w:rsidR="00D563C8" w:rsidRPr="003D78AF" w:rsidRDefault="00D563C8" w:rsidP="00D563C8">
            <w:pPr>
              <w:spacing w:line="240" w:lineRule="auto"/>
              <w:jc w:val="right"/>
              <w:rPr>
                <w:rFonts w:cs="Arial"/>
                <w:b/>
                <w:lang w:eastAsia="en-AU"/>
              </w:rPr>
            </w:pPr>
            <w:r>
              <w:rPr>
                <w:rFonts w:cs="Arial"/>
                <w:b/>
                <w:bCs/>
              </w:rPr>
              <w:t>608</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0865D9DC" w:rsidR="00D563C8" w:rsidRPr="003D78AF" w:rsidRDefault="00D563C8" w:rsidP="00D563C8">
            <w:pPr>
              <w:spacing w:line="240" w:lineRule="auto"/>
              <w:jc w:val="right"/>
              <w:rPr>
                <w:rFonts w:cs="Arial"/>
                <w:b/>
                <w:lang w:eastAsia="en-AU"/>
              </w:rPr>
            </w:pPr>
            <w:r>
              <w:rPr>
                <w:rFonts w:cs="Arial"/>
                <w:b/>
                <w:bCs/>
              </w:rPr>
              <w:t>26</w:t>
            </w:r>
          </w:p>
        </w:tc>
        <w:tc>
          <w:tcPr>
            <w:tcW w:w="779" w:type="dxa"/>
            <w:tcBorders>
              <w:top w:val="single" w:sz="4" w:space="0" w:color="auto"/>
              <w:left w:val="nil"/>
              <w:bottom w:val="single" w:sz="4" w:space="0" w:color="auto"/>
              <w:right w:val="single" w:sz="4" w:space="0" w:color="auto"/>
            </w:tcBorders>
            <w:vAlign w:val="center"/>
          </w:tcPr>
          <w:p w14:paraId="4ECA5E82" w14:textId="466388B8" w:rsidR="00D563C8" w:rsidRPr="003D78AF" w:rsidRDefault="00D563C8" w:rsidP="00D563C8">
            <w:pPr>
              <w:spacing w:line="240" w:lineRule="auto"/>
              <w:jc w:val="right"/>
              <w:rPr>
                <w:rFonts w:cs="Arial"/>
                <w:b/>
                <w:lang w:eastAsia="en-AU"/>
              </w:rPr>
            </w:pPr>
            <w:r>
              <w:rPr>
                <w:rFonts w:cs="Arial"/>
                <w:b/>
                <w:bCs/>
              </w:rPr>
              <w:t>349</w:t>
            </w:r>
          </w:p>
        </w:tc>
        <w:tc>
          <w:tcPr>
            <w:tcW w:w="643" w:type="dxa"/>
            <w:tcBorders>
              <w:top w:val="single" w:sz="4" w:space="0" w:color="auto"/>
              <w:left w:val="nil"/>
              <w:bottom w:val="single" w:sz="4" w:space="0" w:color="auto"/>
              <w:right w:val="single" w:sz="4" w:space="0" w:color="auto"/>
            </w:tcBorders>
            <w:vAlign w:val="center"/>
          </w:tcPr>
          <w:p w14:paraId="4498767F" w14:textId="7380C35D" w:rsidR="00D563C8" w:rsidRPr="003D78AF" w:rsidRDefault="00D563C8" w:rsidP="00D563C8">
            <w:pPr>
              <w:spacing w:line="240" w:lineRule="auto"/>
              <w:jc w:val="right"/>
              <w:rPr>
                <w:rFonts w:cs="Arial"/>
                <w:b/>
                <w:lang w:eastAsia="en-AU"/>
              </w:rPr>
            </w:pPr>
            <w:r>
              <w:rPr>
                <w:rFonts w:cs="Arial"/>
                <w:b/>
                <w:bCs/>
              </w:rPr>
              <w:t>144</w:t>
            </w:r>
          </w:p>
        </w:tc>
        <w:tc>
          <w:tcPr>
            <w:tcW w:w="706" w:type="dxa"/>
            <w:tcBorders>
              <w:top w:val="single" w:sz="4" w:space="0" w:color="auto"/>
              <w:left w:val="nil"/>
              <w:bottom w:val="single" w:sz="4" w:space="0" w:color="auto"/>
              <w:right w:val="single" w:sz="4" w:space="0" w:color="auto"/>
            </w:tcBorders>
            <w:vAlign w:val="center"/>
          </w:tcPr>
          <w:p w14:paraId="2806B4BD" w14:textId="2DD3B11C" w:rsidR="00D563C8" w:rsidRPr="003D78AF" w:rsidRDefault="00D563C8" w:rsidP="00D563C8">
            <w:pPr>
              <w:spacing w:line="240" w:lineRule="auto"/>
              <w:jc w:val="right"/>
              <w:rPr>
                <w:rFonts w:cs="Arial"/>
                <w:b/>
                <w:lang w:eastAsia="en-AU"/>
              </w:rPr>
            </w:pPr>
            <w:r>
              <w:rPr>
                <w:rFonts w:cs="Arial"/>
                <w:b/>
                <w:bCs/>
              </w:rPr>
              <w:t>58</w:t>
            </w:r>
          </w:p>
        </w:tc>
        <w:tc>
          <w:tcPr>
            <w:tcW w:w="849" w:type="dxa"/>
            <w:tcBorders>
              <w:top w:val="single" w:sz="4" w:space="0" w:color="auto"/>
              <w:left w:val="nil"/>
              <w:bottom w:val="single" w:sz="4" w:space="0" w:color="auto"/>
              <w:right w:val="single" w:sz="4" w:space="0" w:color="auto"/>
            </w:tcBorders>
            <w:vAlign w:val="center"/>
          </w:tcPr>
          <w:p w14:paraId="24507EE5" w14:textId="2D3E4F6C" w:rsidR="00D563C8" w:rsidRPr="003D78AF" w:rsidRDefault="00D563C8" w:rsidP="00D563C8">
            <w:pPr>
              <w:spacing w:line="240" w:lineRule="auto"/>
              <w:jc w:val="right"/>
              <w:rPr>
                <w:rFonts w:cs="Arial"/>
                <w:b/>
                <w:lang w:eastAsia="en-AU"/>
              </w:rPr>
            </w:pPr>
            <w:r>
              <w:rPr>
                <w:rFonts w:cs="Arial"/>
                <w:b/>
                <w:bCs/>
              </w:rPr>
              <w:t>1185</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6542945D"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D563C8">
        <w:rPr>
          <w:rFonts w:ascii="Verdana" w:hAnsi="Verdana" w:cs="Arial"/>
          <w:sz w:val="20"/>
          <w:szCs w:val="20"/>
        </w:rPr>
        <w:t>608</w:t>
      </w:r>
      <w:r w:rsidR="00D563C8"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D563C8">
        <w:rPr>
          <w:rFonts w:ascii="Verdana" w:hAnsi="Verdana" w:cs="Arial"/>
          <w:sz w:val="20"/>
          <w:szCs w:val="20"/>
        </w:rPr>
        <w:t>240</w:t>
      </w:r>
      <w:r w:rsidR="00D563C8"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563C8">
        <w:rPr>
          <w:rFonts w:ascii="Verdana" w:hAnsi="Verdana" w:cs="Arial"/>
          <w:sz w:val="20"/>
          <w:szCs w:val="20"/>
        </w:rPr>
        <w:t>150</w:t>
      </w:r>
      <w:r w:rsidR="00D563C8"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90</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65443388"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D563C8">
        <w:rPr>
          <w:rFonts w:ascii="Verdana" w:hAnsi="Verdana" w:cs="Arial"/>
          <w:sz w:val="20"/>
          <w:szCs w:val="20"/>
        </w:rPr>
        <w:t>26</w:t>
      </w:r>
      <w:r w:rsidR="00D563C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19</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w:t>
      </w:r>
      <w:r w:rsidR="00D563C8">
        <w:rPr>
          <w:rFonts w:ascii="Verdana" w:hAnsi="Verdana" w:cs="Arial"/>
          <w:sz w:val="20"/>
          <w:szCs w:val="20"/>
        </w:rPr>
        <w:t>0</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9</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520BCF4B"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D563C8">
        <w:rPr>
          <w:rFonts w:ascii="Verdana" w:hAnsi="Verdana" w:cs="Arial"/>
          <w:sz w:val="20"/>
          <w:szCs w:val="20"/>
        </w:rPr>
        <w:t>349</w:t>
      </w:r>
      <w:r w:rsidR="00D563C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209</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563C8">
        <w:rPr>
          <w:rFonts w:ascii="Verdana" w:hAnsi="Verdana" w:cs="Arial"/>
          <w:sz w:val="20"/>
          <w:szCs w:val="20"/>
        </w:rPr>
        <w:t>150</w:t>
      </w:r>
      <w:r w:rsidR="00D563C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59</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1C91E5CD"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D563C8">
        <w:rPr>
          <w:rFonts w:ascii="Verdana" w:hAnsi="Verdana" w:cs="Arial"/>
          <w:sz w:val="20"/>
          <w:szCs w:val="20"/>
        </w:rPr>
        <w:t>144</w:t>
      </w:r>
      <w:r w:rsidR="00D563C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90</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563C8">
        <w:rPr>
          <w:rFonts w:ascii="Verdana" w:hAnsi="Verdana" w:cs="Arial"/>
          <w:sz w:val="20"/>
          <w:szCs w:val="20"/>
        </w:rPr>
        <w:t>56</w:t>
      </w:r>
      <w:r w:rsidR="00D563C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34</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2429B048"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106853">
        <w:rPr>
          <w:rFonts w:ascii="Verdana" w:hAnsi="Verdana" w:cs="Arial"/>
          <w:sz w:val="20"/>
          <w:szCs w:val="20"/>
        </w:rPr>
        <w:t>5</w:t>
      </w:r>
      <w:r w:rsidR="00D563C8">
        <w:rPr>
          <w:rFonts w:ascii="Verdana" w:hAnsi="Verdana" w:cs="Arial"/>
          <w:sz w:val="20"/>
          <w:szCs w:val="20"/>
        </w:rPr>
        <w:t>8</w:t>
      </w:r>
      <w:r w:rsidR="00106853"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30</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w:t>
      </w:r>
      <w:r w:rsidR="00D563C8">
        <w:rPr>
          <w:rFonts w:ascii="Verdana" w:hAnsi="Verdana" w:cs="Arial"/>
          <w:sz w:val="20"/>
          <w:szCs w:val="20"/>
        </w:rPr>
        <w:t>7</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13</w:t>
      </w:r>
      <w:r w:rsidR="00D022E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45AF99AA" w14:textId="2BBA5540" w:rsidR="00FE59DA" w:rsidRDefault="00FE59DA">
      <w:pPr>
        <w:spacing w:line="240" w:lineRule="auto"/>
        <w:rPr>
          <w:rFonts w:cs="Arial"/>
          <w:b/>
          <w:sz w:val="16"/>
          <w:szCs w:val="16"/>
        </w:rPr>
      </w:pPr>
      <w:r>
        <w:rPr>
          <w:rFonts w:cs="Arial"/>
          <w:b/>
          <w:sz w:val="16"/>
          <w:szCs w:val="16"/>
        </w:rPr>
        <w:br w:type="page"/>
      </w:r>
    </w:p>
    <w:p w14:paraId="65446046" w14:textId="7F554665" w:rsidR="00ED6FD3" w:rsidRPr="00D925BE" w:rsidRDefault="00ED6FD3" w:rsidP="00ED6FD3">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January</w:t>
      </w:r>
      <w:r>
        <w:rPr>
          <w:sz w:val="16"/>
          <w:szCs w:val="16"/>
        </w:rPr>
        <w:t xml:space="preserve"> 202</w:t>
      </w:r>
      <w:r>
        <w:rPr>
          <w:sz w:val="16"/>
          <w:szCs w:val="16"/>
        </w:rPr>
        <w:t>1</w:t>
      </w:r>
      <w:r>
        <w:rPr>
          <w:sz w:val="16"/>
          <w:szCs w:val="16"/>
        </w:rPr>
        <w:t xml:space="preserve"> to 31 </w:t>
      </w:r>
      <w:r>
        <w:rPr>
          <w:sz w:val="16"/>
          <w:szCs w:val="16"/>
        </w:rPr>
        <w:t>March</w:t>
      </w:r>
      <w:r>
        <w:rPr>
          <w:sz w:val="16"/>
          <w:szCs w:val="16"/>
        </w:rPr>
        <w:t xml:space="preserve"> 202</w:t>
      </w:r>
      <w:r>
        <w:rPr>
          <w:sz w:val="16"/>
          <w:szCs w:val="16"/>
        </w:rPr>
        <w:t>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FE59DA" w:rsidRPr="0093030B" w14:paraId="1BE1684B" w14:textId="42AFE72C" w:rsidTr="00FE59DA">
        <w:trPr>
          <w:trHeight w:val="480"/>
        </w:trPr>
        <w:tc>
          <w:tcPr>
            <w:tcW w:w="3460" w:type="dxa"/>
            <w:tcBorders>
              <w:top w:val="single" w:sz="4" w:space="0" w:color="auto"/>
              <w:left w:val="single" w:sz="4" w:space="0" w:color="auto"/>
              <w:bottom w:val="single" w:sz="4" w:space="0" w:color="auto"/>
              <w:right w:val="single" w:sz="4" w:space="0" w:color="auto"/>
            </w:tcBorders>
            <w:hideMark/>
          </w:tcPr>
          <w:p w14:paraId="0B2E4D9A" w14:textId="77777777" w:rsidR="00FE59DA" w:rsidRPr="0093030B" w:rsidRDefault="00FE59DA" w:rsidP="006F4E59">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32D09EC4" w14:textId="77777777" w:rsidR="00FE59DA" w:rsidRDefault="00FE59DA" w:rsidP="006F4E59">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086790CF" w14:textId="77777777" w:rsidR="00FE59DA" w:rsidRDefault="00FE59DA" w:rsidP="006F4E59">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082B133E" w14:textId="77777777" w:rsidR="00FE59DA" w:rsidRDefault="00FE59DA" w:rsidP="006F4E59">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778DF448" w14:textId="77777777" w:rsidR="00FE59DA" w:rsidRDefault="00FE59DA" w:rsidP="006F4E59">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71444C69" w14:textId="606FF00F" w:rsidR="00FE59DA" w:rsidRDefault="00FE59DA" w:rsidP="006F4E59">
            <w:pPr>
              <w:pStyle w:val="TableText"/>
              <w:jc w:val="right"/>
              <w:rPr>
                <w:b/>
                <w:lang w:eastAsia="en-AU"/>
              </w:rPr>
            </w:pPr>
            <w:r>
              <w:rPr>
                <w:b/>
                <w:lang w:eastAsia="en-AU"/>
              </w:rPr>
              <w:t>Qtr 55</w:t>
            </w:r>
          </w:p>
        </w:tc>
      </w:tr>
      <w:tr w:rsidR="00FE59DA" w:rsidRPr="0093030B" w14:paraId="54B0687D" w14:textId="643458A5"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316ABBB8" w14:textId="77777777" w:rsidR="00FE59DA" w:rsidRDefault="00FE59DA" w:rsidP="006F4E59">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1707B6C2" w14:textId="77777777" w:rsidR="00FE59DA" w:rsidRDefault="00FE59DA" w:rsidP="006F4E59">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DFAE754" w14:textId="77777777" w:rsidR="00FE59DA" w:rsidRDefault="00FE59DA" w:rsidP="006F4E59">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D89337E" w14:textId="77777777" w:rsidR="00FE59DA" w:rsidRDefault="00FE59DA" w:rsidP="006F4E59">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3894888" w14:textId="77777777" w:rsidR="00FE59DA" w:rsidRDefault="00FE59DA" w:rsidP="006F4E59">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7399F90" w14:textId="0EDC1EAA" w:rsidR="00FE59DA" w:rsidRDefault="00FE59DA" w:rsidP="006F4E59">
            <w:pPr>
              <w:jc w:val="right"/>
              <w:rPr>
                <w:rFonts w:cs="Arial"/>
              </w:rPr>
            </w:pPr>
            <w:r>
              <w:rPr>
                <w:rFonts w:cs="Arial"/>
              </w:rPr>
              <w:t>0</w:t>
            </w:r>
          </w:p>
        </w:tc>
      </w:tr>
      <w:tr w:rsidR="00FE59DA" w:rsidRPr="0093030B" w14:paraId="6CB3F55B" w14:textId="08AB2731"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0EA57082" w14:textId="77777777" w:rsidR="00FE59DA" w:rsidRPr="0093030B" w:rsidRDefault="00FE59DA" w:rsidP="006F4E59">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72F35206" w14:textId="77777777" w:rsidR="00FE59DA" w:rsidRDefault="00FE59DA" w:rsidP="006F4E59">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7B9E921C" w14:textId="77777777" w:rsidR="00FE59DA" w:rsidRDefault="00FE59DA" w:rsidP="006F4E59">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0D582599" w14:textId="77777777" w:rsidR="00FE59DA" w:rsidRDefault="00FE59DA" w:rsidP="006F4E59">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09A727F1" w14:textId="77777777" w:rsidR="00FE59DA" w:rsidRDefault="00FE59DA" w:rsidP="006F4E59">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290B280B" w14:textId="2D9113AF" w:rsidR="00FE59DA" w:rsidRDefault="00FE59DA" w:rsidP="006F4E59">
            <w:pPr>
              <w:jc w:val="right"/>
              <w:rPr>
                <w:rFonts w:cs="Arial"/>
              </w:rPr>
            </w:pPr>
            <w:r>
              <w:rPr>
                <w:rFonts w:cs="Arial"/>
              </w:rPr>
              <w:t>2</w:t>
            </w:r>
          </w:p>
        </w:tc>
      </w:tr>
      <w:tr w:rsidR="00FE59DA" w:rsidRPr="0093030B" w14:paraId="103391A0" w14:textId="2C0BEC0A"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4ED895B9" w14:textId="77777777" w:rsidR="00FE59DA" w:rsidRPr="0093030B" w:rsidRDefault="00FE59DA" w:rsidP="006F4E59">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7AD69D8F" w14:textId="77777777" w:rsidR="00FE59DA" w:rsidRDefault="00FE59DA" w:rsidP="006F4E59">
            <w:pPr>
              <w:jc w:val="right"/>
              <w:rPr>
                <w:rFonts w:cs="Arial"/>
              </w:rPr>
            </w:pPr>
            <w:r>
              <w:rPr>
                <w:rFonts w:cs="Arial"/>
              </w:rPr>
              <w:t>344</w:t>
            </w:r>
          </w:p>
        </w:tc>
        <w:tc>
          <w:tcPr>
            <w:tcW w:w="1012" w:type="dxa"/>
            <w:tcBorders>
              <w:top w:val="nil"/>
              <w:left w:val="nil"/>
              <w:bottom w:val="single" w:sz="4" w:space="0" w:color="auto"/>
              <w:right w:val="single" w:sz="4" w:space="0" w:color="auto"/>
            </w:tcBorders>
            <w:vAlign w:val="bottom"/>
          </w:tcPr>
          <w:p w14:paraId="16676B77" w14:textId="77777777" w:rsidR="00FE59DA" w:rsidRDefault="00FE59DA" w:rsidP="006F4E59">
            <w:pPr>
              <w:jc w:val="right"/>
              <w:rPr>
                <w:rFonts w:cs="Arial"/>
              </w:rPr>
            </w:pPr>
            <w:r w:rsidRPr="001F4FDB">
              <w:rPr>
                <w:rFonts w:cs="Arial"/>
              </w:rPr>
              <w:t>378</w:t>
            </w:r>
          </w:p>
        </w:tc>
        <w:tc>
          <w:tcPr>
            <w:tcW w:w="1012" w:type="dxa"/>
            <w:tcBorders>
              <w:top w:val="nil"/>
              <w:left w:val="nil"/>
              <w:bottom w:val="single" w:sz="4" w:space="0" w:color="auto"/>
              <w:right w:val="single" w:sz="4" w:space="0" w:color="auto"/>
            </w:tcBorders>
          </w:tcPr>
          <w:p w14:paraId="18927918" w14:textId="77777777" w:rsidR="00FE59DA" w:rsidRPr="001F4FDB" w:rsidRDefault="00FE59DA" w:rsidP="006F4E59">
            <w:pPr>
              <w:jc w:val="right"/>
              <w:rPr>
                <w:rFonts w:cs="Arial"/>
              </w:rPr>
            </w:pPr>
            <w:r>
              <w:rPr>
                <w:rFonts w:cs="Arial"/>
              </w:rPr>
              <w:t>276</w:t>
            </w:r>
          </w:p>
        </w:tc>
        <w:tc>
          <w:tcPr>
            <w:tcW w:w="1012" w:type="dxa"/>
            <w:tcBorders>
              <w:top w:val="nil"/>
              <w:left w:val="nil"/>
              <w:bottom w:val="single" w:sz="4" w:space="0" w:color="auto"/>
              <w:right w:val="single" w:sz="4" w:space="0" w:color="auto"/>
            </w:tcBorders>
          </w:tcPr>
          <w:p w14:paraId="463C3E6C" w14:textId="77777777" w:rsidR="00FE59DA" w:rsidRDefault="00FE59DA" w:rsidP="006F4E59">
            <w:pPr>
              <w:jc w:val="right"/>
              <w:rPr>
                <w:rFonts w:cs="Arial"/>
              </w:rPr>
            </w:pPr>
            <w:r>
              <w:rPr>
                <w:rFonts w:cs="Arial"/>
              </w:rPr>
              <w:t>326</w:t>
            </w:r>
          </w:p>
        </w:tc>
        <w:tc>
          <w:tcPr>
            <w:tcW w:w="1012" w:type="dxa"/>
            <w:tcBorders>
              <w:top w:val="nil"/>
              <w:left w:val="nil"/>
              <w:bottom w:val="single" w:sz="4" w:space="0" w:color="auto"/>
              <w:right w:val="single" w:sz="4" w:space="0" w:color="auto"/>
            </w:tcBorders>
          </w:tcPr>
          <w:p w14:paraId="606AFE64" w14:textId="4F475CFD" w:rsidR="00FE59DA" w:rsidRDefault="00FE59DA" w:rsidP="006F4E59">
            <w:pPr>
              <w:jc w:val="right"/>
              <w:rPr>
                <w:rFonts w:cs="Arial"/>
              </w:rPr>
            </w:pPr>
            <w:r>
              <w:rPr>
                <w:rFonts w:cs="Arial"/>
              </w:rPr>
              <w:t>388</w:t>
            </w:r>
          </w:p>
        </w:tc>
      </w:tr>
      <w:tr w:rsidR="00FE59DA" w:rsidRPr="0093030B" w14:paraId="23E6BE5A" w14:textId="03AE3C77"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2566592E" w14:textId="77777777" w:rsidR="00FE59DA" w:rsidRPr="0093030B" w:rsidRDefault="00FE59DA" w:rsidP="006F4E59">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FC185DE" w14:textId="77777777" w:rsidR="00FE59DA" w:rsidRDefault="00FE59DA" w:rsidP="006F4E59">
            <w:pPr>
              <w:jc w:val="right"/>
              <w:rPr>
                <w:rFonts w:cs="Arial"/>
              </w:rPr>
            </w:pPr>
            <w:r>
              <w:rPr>
                <w:rFonts w:cs="Arial"/>
              </w:rPr>
              <w:t>31</w:t>
            </w:r>
          </w:p>
        </w:tc>
        <w:tc>
          <w:tcPr>
            <w:tcW w:w="1012" w:type="dxa"/>
            <w:tcBorders>
              <w:top w:val="nil"/>
              <w:left w:val="nil"/>
              <w:bottom w:val="single" w:sz="4" w:space="0" w:color="auto"/>
              <w:right w:val="single" w:sz="4" w:space="0" w:color="auto"/>
            </w:tcBorders>
            <w:vAlign w:val="bottom"/>
          </w:tcPr>
          <w:p w14:paraId="2E395CC2" w14:textId="77777777" w:rsidR="00FE59DA" w:rsidRDefault="00FE59DA" w:rsidP="006F4E59">
            <w:pPr>
              <w:jc w:val="right"/>
              <w:rPr>
                <w:rFonts w:cs="Arial"/>
              </w:rPr>
            </w:pPr>
            <w:r w:rsidRPr="001F4FDB">
              <w:rPr>
                <w:rFonts w:cs="Arial"/>
              </w:rPr>
              <w:t>45</w:t>
            </w:r>
          </w:p>
        </w:tc>
        <w:tc>
          <w:tcPr>
            <w:tcW w:w="1012" w:type="dxa"/>
            <w:tcBorders>
              <w:top w:val="nil"/>
              <w:left w:val="nil"/>
              <w:bottom w:val="single" w:sz="4" w:space="0" w:color="auto"/>
              <w:right w:val="single" w:sz="4" w:space="0" w:color="auto"/>
            </w:tcBorders>
          </w:tcPr>
          <w:p w14:paraId="69A84069" w14:textId="77777777" w:rsidR="00FE59DA" w:rsidRPr="001F4FDB" w:rsidRDefault="00FE59DA" w:rsidP="006F4E59">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76BBF659" w14:textId="77777777" w:rsidR="00FE59DA" w:rsidRDefault="00FE59DA" w:rsidP="006F4E59">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4E52578E" w14:textId="17F864FE" w:rsidR="00FE59DA" w:rsidRDefault="00FE59DA" w:rsidP="006F4E59">
            <w:pPr>
              <w:jc w:val="right"/>
              <w:rPr>
                <w:rFonts w:cs="Arial"/>
              </w:rPr>
            </w:pPr>
            <w:r>
              <w:rPr>
                <w:rFonts w:cs="Arial"/>
              </w:rPr>
              <w:t>39</w:t>
            </w:r>
          </w:p>
        </w:tc>
      </w:tr>
      <w:tr w:rsidR="00FE59DA" w:rsidRPr="0093030B" w14:paraId="124240E2" w14:textId="47F5B083"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66214CA6" w14:textId="77777777" w:rsidR="00FE59DA" w:rsidRPr="0093030B" w:rsidRDefault="00FE59DA" w:rsidP="006F4E59">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0C3EA8A0" w14:textId="77777777" w:rsidR="00FE59DA" w:rsidRDefault="00FE59DA" w:rsidP="006F4E59">
            <w:pPr>
              <w:jc w:val="right"/>
              <w:rPr>
                <w:rFonts w:cs="Arial"/>
              </w:rPr>
            </w:pPr>
            <w:r>
              <w:rPr>
                <w:rFonts w:cs="Arial"/>
              </w:rPr>
              <w:t>72</w:t>
            </w:r>
          </w:p>
        </w:tc>
        <w:tc>
          <w:tcPr>
            <w:tcW w:w="1012" w:type="dxa"/>
            <w:tcBorders>
              <w:top w:val="nil"/>
              <w:left w:val="nil"/>
              <w:bottom w:val="single" w:sz="4" w:space="0" w:color="auto"/>
              <w:right w:val="single" w:sz="4" w:space="0" w:color="auto"/>
            </w:tcBorders>
            <w:vAlign w:val="bottom"/>
          </w:tcPr>
          <w:p w14:paraId="5AD7A74A" w14:textId="77777777" w:rsidR="00FE59DA" w:rsidRDefault="00FE59DA" w:rsidP="006F4E59">
            <w:pPr>
              <w:jc w:val="right"/>
              <w:rPr>
                <w:rFonts w:cs="Arial"/>
              </w:rPr>
            </w:pPr>
            <w:r w:rsidRPr="001F4FDB">
              <w:rPr>
                <w:rFonts w:cs="Arial"/>
              </w:rPr>
              <w:t>50</w:t>
            </w:r>
          </w:p>
        </w:tc>
        <w:tc>
          <w:tcPr>
            <w:tcW w:w="1012" w:type="dxa"/>
            <w:tcBorders>
              <w:top w:val="nil"/>
              <w:left w:val="nil"/>
              <w:bottom w:val="single" w:sz="4" w:space="0" w:color="auto"/>
              <w:right w:val="single" w:sz="4" w:space="0" w:color="auto"/>
            </w:tcBorders>
          </w:tcPr>
          <w:p w14:paraId="1E399F52" w14:textId="77777777" w:rsidR="00FE59DA" w:rsidRPr="001F4FDB" w:rsidRDefault="00FE59DA" w:rsidP="006F4E59">
            <w:pPr>
              <w:jc w:val="right"/>
              <w:rPr>
                <w:rFonts w:cs="Arial"/>
              </w:rPr>
            </w:pPr>
            <w:r>
              <w:rPr>
                <w:rFonts w:cs="Arial"/>
              </w:rPr>
              <w:t>56</w:t>
            </w:r>
          </w:p>
        </w:tc>
        <w:tc>
          <w:tcPr>
            <w:tcW w:w="1012" w:type="dxa"/>
            <w:tcBorders>
              <w:top w:val="nil"/>
              <w:left w:val="nil"/>
              <w:bottom w:val="single" w:sz="4" w:space="0" w:color="auto"/>
              <w:right w:val="single" w:sz="4" w:space="0" w:color="auto"/>
            </w:tcBorders>
          </w:tcPr>
          <w:p w14:paraId="23A1D3AC" w14:textId="77777777" w:rsidR="00FE59DA" w:rsidRDefault="00FE59DA" w:rsidP="006F4E59">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378167D5" w14:textId="582452DD" w:rsidR="00FE59DA" w:rsidRDefault="00FE59DA" w:rsidP="006F4E59">
            <w:pPr>
              <w:jc w:val="right"/>
              <w:rPr>
                <w:rFonts w:cs="Arial"/>
              </w:rPr>
            </w:pPr>
            <w:r>
              <w:rPr>
                <w:rFonts w:cs="Arial"/>
              </w:rPr>
              <w:t>58</w:t>
            </w:r>
          </w:p>
        </w:tc>
      </w:tr>
      <w:tr w:rsidR="00FE59DA" w:rsidRPr="0093030B" w14:paraId="0A9E8CD5" w14:textId="7A7932D6"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12BFD7F3" w14:textId="77777777" w:rsidR="00FE59DA" w:rsidRPr="0093030B" w:rsidRDefault="00FE59DA" w:rsidP="006F4E59">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0AF786C9" w14:textId="77777777" w:rsidR="00FE59DA" w:rsidRDefault="00FE59DA" w:rsidP="006F4E59">
            <w:pPr>
              <w:jc w:val="right"/>
              <w:rPr>
                <w:rFonts w:cs="Arial"/>
              </w:rPr>
            </w:pPr>
            <w:r>
              <w:rPr>
                <w:rFonts w:cs="Arial"/>
              </w:rPr>
              <w:t>553</w:t>
            </w:r>
          </w:p>
        </w:tc>
        <w:tc>
          <w:tcPr>
            <w:tcW w:w="1012" w:type="dxa"/>
            <w:tcBorders>
              <w:top w:val="nil"/>
              <w:left w:val="nil"/>
              <w:bottom w:val="single" w:sz="4" w:space="0" w:color="auto"/>
              <w:right w:val="single" w:sz="4" w:space="0" w:color="auto"/>
            </w:tcBorders>
            <w:vAlign w:val="bottom"/>
          </w:tcPr>
          <w:p w14:paraId="54FA94BA" w14:textId="77777777" w:rsidR="00FE59DA" w:rsidRDefault="00FE59DA" w:rsidP="006F4E59">
            <w:pPr>
              <w:jc w:val="right"/>
              <w:rPr>
                <w:rFonts w:cs="Arial"/>
              </w:rPr>
            </w:pPr>
            <w:r w:rsidRPr="001F4FDB">
              <w:rPr>
                <w:rFonts w:cs="Arial"/>
              </w:rPr>
              <w:t>581</w:t>
            </w:r>
          </w:p>
        </w:tc>
        <w:tc>
          <w:tcPr>
            <w:tcW w:w="1012" w:type="dxa"/>
            <w:tcBorders>
              <w:top w:val="nil"/>
              <w:left w:val="nil"/>
              <w:bottom w:val="single" w:sz="4" w:space="0" w:color="auto"/>
              <w:right w:val="single" w:sz="4" w:space="0" w:color="auto"/>
            </w:tcBorders>
          </w:tcPr>
          <w:p w14:paraId="2C2876E4" w14:textId="77777777" w:rsidR="00FE59DA" w:rsidRPr="001F4FDB" w:rsidRDefault="00FE59DA" w:rsidP="006F4E59">
            <w:pPr>
              <w:jc w:val="right"/>
              <w:rPr>
                <w:rFonts w:cs="Arial"/>
              </w:rPr>
            </w:pPr>
            <w:r>
              <w:rPr>
                <w:rFonts w:cs="Arial"/>
              </w:rPr>
              <w:t>637</w:t>
            </w:r>
          </w:p>
        </w:tc>
        <w:tc>
          <w:tcPr>
            <w:tcW w:w="1012" w:type="dxa"/>
            <w:tcBorders>
              <w:top w:val="nil"/>
              <w:left w:val="nil"/>
              <w:bottom w:val="single" w:sz="4" w:space="0" w:color="auto"/>
              <w:right w:val="single" w:sz="4" w:space="0" w:color="auto"/>
            </w:tcBorders>
          </w:tcPr>
          <w:p w14:paraId="2765E212" w14:textId="77777777" w:rsidR="00FE59DA" w:rsidRDefault="00FE59DA" w:rsidP="006F4E59">
            <w:pPr>
              <w:jc w:val="right"/>
              <w:rPr>
                <w:rFonts w:cs="Arial"/>
              </w:rPr>
            </w:pPr>
            <w:r>
              <w:rPr>
                <w:rFonts w:cs="Arial"/>
              </w:rPr>
              <w:t>604</w:t>
            </w:r>
          </w:p>
        </w:tc>
        <w:tc>
          <w:tcPr>
            <w:tcW w:w="1012" w:type="dxa"/>
            <w:tcBorders>
              <w:top w:val="nil"/>
              <w:left w:val="nil"/>
              <w:bottom w:val="single" w:sz="4" w:space="0" w:color="auto"/>
              <w:right w:val="single" w:sz="4" w:space="0" w:color="auto"/>
            </w:tcBorders>
          </w:tcPr>
          <w:p w14:paraId="16A0417E" w14:textId="7D3A387B" w:rsidR="00FE59DA" w:rsidRDefault="00FE59DA" w:rsidP="006F4E59">
            <w:pPr>
              <w:jc w:val="right"/>
              <w:rPr>
                <w:rFonts w:cs="Arial"/>
              </w:rPr>
            </w:pPr>
            <w:r>
              <w:rPr>
                <w:rFonts w:cs="Arial"/>
              </w:rPr>
              <w:t>612</w:t>
            </w:r>
          </w:p>
        </w:tc>
      </w:tr>
      <w:tr w:rsidR="00FE59DA" w:rsidRPr="0093030B" w14:paraId="6F36BBDC" w14:textId="1CFD3B18"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7F8D7502" w14:textId="77777777" w:rsidR="00FE59DA" w:rsidRPr="0093030B" w:rsidRDefault="00FE59DA" w:rsidP="006F4E59">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468E6E5A" w14:textId="77777777" w:rsidR="00FE59DA" w:rsidRDefault="00FE59DA" w:rsidP="006F4E59">
            <w:pPr>
              <w:jc w:val="right"/>
              <w:rPr>
                <w:rFonts w:cs="Arial"/>
              </w:rPr>
            </w:pPr>
            <w:r>
              <w:rPr>
                <w:rFonts w:cs="Arial"/>
              </w:rPr>
              <w:t>4</w:t>
            </w:r>
          </w:p>
        </w:tc>
        <w:tc>
          <w:tcPr>
            <w:tcW w:w="1012" w:type="dxa"/>
            <w:tcBorders>
              <w:top w:val="nil"/>
              <w:left w:val="nil"/>
              <w:bottom w:val="single" w:sz="4" w:space="0" w:color="auto"/>
              <w:right w:val="single" w:sz="4" w:space="0" w:color="auto"/>
            </w:tcBorders>
            <w:vAlign w:val="bottom"/>
          </w:tcPr>
          <w:p w14:paraId="612C4A23" w14:textId="77777777" w:rsidR="00FE59DA" w:rsidRDefault="00FE59DA" w:rsidP="006F4E59">
            <w:pPr>
              <w:jc w:val="right"/>
              <w:rPr>
                <w:rFonts w:cs="Arial"/>
              </w:rPr>
            </w:pPr>
            <w:r w:rsidRPr="001F4FDB">
              <w:rPr>
                <w:rFonts w:cs="Arial"/>
              </w:rPr>
              <w:t>4</w:t>
            </w:r>
          </w:p>
        </w:tc>
        <w:tc>
          <w:tcPr>
            <w:tcW w:w="1012" w:type="dxa"/>
            <w:tcBorders>
              <w:top w:val="nil"/>
              <w:left w:val="nil"/>
              <w:bottom w:val="single" w:sz="4" w:space="0" w:color="auto"/>
              <w:right w:val="single" w:sz="4" w:space="0" w:color="auto"/>
            </w:tcBorders>
          </w:tcPr>
          <w:p w14:paraId="7B24F994" w14:textId="77777777" w:rsidR="00FE59DA" w:rsidRPr="001F4FDB" w:rsidRDefault="00FE59DA" w:rsidP="006F4E59">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4878CF0" w14:textId="77777777" w:rsidR="00FE59DA" w:rsidRDefault="00FE59DA" w:rsidP="006F4E59">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39D0C3A9" w14:textId="3D95B6ED" w:rsidR="00FE59DA" w:rsidRDefault="00FE59DA" w:rsidP="006F4E59">
            <w:pPr>
              <w:jc w:val="right"/>
              <w:rPr>
                <w:rFonts w:cs="Arial"/>
              </w:rPr>
            </w:pPr>
            <w:r>
              <w:rPr>
                <w:rFonts w:cs="Arial"/>
              </w:rPr>
              <w:t>2</w:t>
            </w:r>
          </w:p>
        </w:tc>
      </w:tr>
      <w:tr w:rsidR="00FE59DA" w:rsidRPr="0093030B" w14:paraId="097146C2" w14:textId="18EF103A"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21D1DD9C" w14:textId="77777777" w:rsidR="00FE59DA" w:rsidRPr="0093030B" w:rsidRDefault="00FE59DA" w:rsidP="006F4E59">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37371CE3" w14:textId="77777777" w:rsidR="00FE59DA" w:rsidRDefault="00FE59DA" w:rsidP="006F4E59">
            <w:pPr>
              <w:jc w:val="right"/>
              <w:rPr>
                <w:rFonts w:cs="Arial"/>
              </w:rPr>
            </w:pPr>
            <w:r>
              <w:rPr>
                <w:rFonts w:cs="Arial"/>
              </w:rPr>
              <w:t>49</w:t>
            </w:r>
          </w:p>
        </w:tc>
        <w:tc>
          <w:tcPr>
            <w:tcW w:w="1012" w:type="dxa"/>
            <w:tcBorders>
              <w:top w:val="nil"/>
              <w:left w:val="nil"/>
              <w:bottom w:val="single" w:sz="4" w:space="0" w:color="auto"/>
              <w:right w:val="single" w:sz="4" w:space="0" w:color="auto"/>
            </w:tcBorders>
            <w:vAlign w:val="bottom"/>
          </w:tcPr>
          <w:p w14:paraId="585BF579" w14:textId="77777777" w:rsidR="00FE59DA" w:rsidRDefault="00FE59DA" w:rsidP="006F4E59">
            <w:pPr>
              <w:jc w:val="right"/>
              <w:rPr>
                <w:rFonts w:cs="Arial"/>
              </w:rPr>
            </w:pPr>
            <w:r w:rsidRPr="001F4FDB">
              <w:rPr>
                <w:rFonts w:cs="Arial"/>
              </w:rPr>
              <w:t>48</w:t>
            </w:r>
          </w:p>
        </w:tc>
        <w:tc>
          <w:tcPr>
            <w:tcW w:w="1012" w:type="dxa"/>
            <w:tcBorders>
              <w:top w:val="nil"/>
              <w:left w:val="nil"/>
              <w:bottom w:val="single" w:sz="4" w:space="0" w:color="auto"/>
              <w:right w:val="single" w:sz="4" w:space="0" w:color="auto"/>
            </w:tcBorders>
          </w:tcPr>
          <w:p w14:paraId="5AE507F6" w14:textId="77777777" w:rsidR="00FE59DA" w:rsidRPr="001F4FDB" w:rsidRDefault="00FE59DA" w:rsidP="006F4E59">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1F6F3C84" w14:textId="77777777" w:rsidR="00FE59DA" w:rsidRDefault="00FE59DA" w:rsidP="006F4E59">
            <w:pPr>
              <w:jc w:val="right"/>
              <w:rPr>
                <w:rFonts w:cs="Arial"/>
              </w:rPr>
            </w:pPr>
            <w:r>
              <w:rPr>
                <w:rFonts w:cs="Arial"/>
              </w:rPr>
              <w:t>73</w:t>
            </w:r>
          </w:p>
        </w:tc>
        <w:tc>
          <w:tcPr>
            <w:tcW w:w="1012" w:type="dxa"/>
            <w:tcBorders>
              <w:top w:val="nil"/>
              <w:left w:val="nil"/>
              <w:bottom w:val="single" w:sz="4" w:space="0" w:color="auto"/>
              <w:right w:val="single" w:sz="4" w:space="0" w:color="auto"/>
            </w:tcBorders>
          </w:tcPr>
          <w:p w14:paraId="264E2EC7" w14:textId="560FF122" w:rsidR="00FE59DA" w:rsidRDefault="00FE59DA" w:rsidP="006F4E59">
            <w:pPr>
              <w:jc w:val="right"/>
              <w:rPr>
                <w:rFonts w:cs="Arial"/>
              </w:rPr>
            </w:pPr>
            <w:r>
              <w:rPr>
                <w:rFonts w:cs="Arial"/>
              </w:rPr>
              <w:t>74</w:t>
            </w:r>
          </w:p>
        </w:tc>
      </w:tr>
      <w:tr w:rsidR="00FE59DA" w:rsidRPr="0093030B" w14:paraId="384BA137" w14:textId="20655A7E"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59B439CC" w14:textId="77777777" w:rsidR="00FE59DA" w:rsidRPr="0093030B" w:rsidRDefault="00FE59DA" w:rsidP="006F4E59">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6F2CBEEC" w14:textId="77777777" w:rsidR="00FE59DA" w:rsidRDefault="00FE59DA" w:rsidP="006F4E59">
            <w:pPr>
              <w:jc w:val="right"/>
              <w:rPr>
                <w:rFonts w:cs="Arial"/>
              </w:rPr>
            </w:pPr>
            <w:r>
              <w:rPr>
                <w:rFonts w:cs="Arial"/>
              </w:rPr>
              <w:t>2</w:t>
            </w:r>
          </w:p>
        </w:tc>
        <w:tc>
          <w:tcPr>
            <w:tcW w:w="1012" w:type="dxa"/>
            <w:tcBorders>
              <w:top w:val="nil"/>
              <w:left w:val="nil"/>
              <w:bottom w:val="single" w:sz="4" w:space="0" w:color="auto"/>
              <w:right w:val="single" w:sz="4" w:space="0" w:color="auto"/>
            </w:tcBorders>
            <w:vAlign w:val="bottom"/>
          </w:tcPr>
          <w:p w14:paraId="22A54F42" w14:textId="77777777" w:rsidR="00FE59DA" w:rsidRDefault="00FE59DA" w:rsidP="006F4E59">
            <w:pPr>
              <w:jc w:val="right"/>
              <w:rPr>
                <w:rFonts w:cs="Arial"/>
              </w:rPr>
            </w:pPr>
            <w:r w:rsidRPr="001F4FDB">
              <w:rPr>
                <w:rFonts w:cs="Arial"/>
              </w:rPr>
              <w:t>27</w:t>
            </w:r>
          </w:p>
        </w:tc>
        <w:tc>
          <w:tcPr>
            <w:tcW w:w="1012" w:type="dxa"/>
            <w:tcBorders>
              <w:top w:val="nil"/>
              <w:left w:val="nil"/>
              <w:bottom w:val="single" w:sz="4" w:space="0" w:color="auto"/>
              <w:right w:val="single" w:sz="4" w:space="0" w:color="auto"/>
            </w:tcBorders>
          </w:tcPr>
          <w:p w14:paraId="3ADE63A1" w14:textId="77777777" w:rsidR="00FE59DA" w:rsidRPr="001F4FDB" w:rsidRDefault="00FE59DA" w:rsidP="006F4E59">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00A0EA5D" w14:textId="77777777" w:rsidR="00FE59DA" w:rsidRDefault="00FE59DA" w:rsidP="006F4E59">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6B4D5136" w14:textId="434671D5" w:rsidR="00FE59DA" w:rsidRDefault="00FE59DA" w:rsidP="006F4E59">
            <w:pPr>
              <w:jc w:val="right"/>
              <w:rPr>
                <w:rFonts w:cs="Arial"/>
              </w:rPr>
            </w:pPr>
            <w:r>
              <w:rPr>
                <w:rFonts w:cs="Arial"/>
              </w:rPr>
              <w:t>10</w:t>
            </w:r>
          </w:p>
        </w:tc>
      </w:tr>
      <w:tr w:rsidR="00FE59DA" w:rsidRPr="0093030B" w14:paraId="1C73EBBE" w14:textId="103182BA" w:rsidTr="00FE59DA">
        <w:trPr>
          <w:trHeight w:val="255"/>
        </w:trPr>
        <w:tc>
          <w:tcPr>
            <w:tcW w:w="3460" w:type="dxa"/>
            <w:tcBorders>
              <w:top w:val="nil"/>
              <w:left w:val="single" w:sz="4" w:space="0" w:color="auto"/>
              <w:bottom w:val="single" w:sz="4" w:space="0" w:color="auto"/>
              <w:right w:val="single" w:sz="4" w:space="0" w:color="auto"/>
            </w:tcBorders>
            <w:noWrap/>
            <w:hideMark/>
          </w:tcPr>
          <w:p w14:paraId="487493FF" w14:textId="77777777" w:rsidR="00FE59DA" w:rsidRPr="0093030B" w:rsidRDefault="00FE59DA" w:rsidP="006F4E59">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29BAF2C" w14:textId="77777777" w:rsidR="00FE59DA" w:rsidRDefault="00FE59DA" w:rsidP="006F4E59">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tcPr>
          <w:p w14:paraId="199C0ABF" w14:textId="77777777" w:rsidR="00FE59DA" w:rsidRDefault="00FE59DA" w:rsidP="006F4E59">
            <w:pPr>
              <w:jc w:val="right"/>
              <w:rPr>
                <w:rFonts w:cs="Arial"/>
                <w:b/>
                <w:bCs/>
              </w:rPr>
            </w:pPr>
            <w:r>
              <w:rPr>
                <w:rFonts w:cs="Arial"/>
                <w:b/>
                <w:bCs/>
              </w:rPr>
              <w:t>1144</w:t>
            </w:r>
          </w:p>
        </w:tc>
        <w:tc>
          <w:tcPr>
            <w:tcW w:w="1012" w:type="dxa"/>
            <w:tcBorders>
              <w:top w:val="nil"/>
              <w:left w:val="nil"/>
              <w:bottom w:val="single" w:sz="4" w:space="0" w:color="auto"/>
              <w:right w:val="single" w:sz="4" w:space="0" w:color="auto"/>
            </w:tcBorders>
          </w:tcPr>
          <w:p w14:paraId="1254FA1C" w14:textId="77777777" w:rsidR="00FE59DA" w:rsidRDefault="00FE59DA" w:rsidP="006F4E59">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610BCAE7" w14:textId="77777777" w:rsidR="00FE59DA" w:rsidRDefault="00FE59DA" w:rsidP="006F4E59">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5670C1A8" w14:textId="492AC178" w:rsidR="00FE59DA" w:rsidRDefault="00FE59DA" w:rsidP="006F4E59">
            <w:pPr>
              <w:jc w:val="right"/>
              <w:rPr>
                <w:rFonts w:cs="Arial"/>
                <w:b/>
                <w:bCs/>
              </w:rPr>
            </w:pPr>
            <w:r>
              <w:rPr>
                <w:rFonts w:cs="Arial"/>
                <w:b/>
                <w:bCs/>
              </w:rPr>
              <w:t>1185</w:t>
            </w:r>
          </w:p>
        </w:tc>
      </w:tr>
    </w:tbl>
    <w:p w14:paraId="26279A1D" w14:textId="77777777" w:rsidR="00ED6FD3" w:rsidRDefault="00ED6FD3" w:rsidP="00ED6FD3">
      <w:pPr>
        <w:spacing w:line="240" w:lineRule="auto"/>
        <w:ind w:left="-142" w:right="-425"/>
        <w:jc w:val="both"/>
        <w:rPr>
          <w:rFonts w:cs="Arial"/>
        </w:rPr>
      </w:pPr>
    </w:p>
    <w:p w14:paraId="585005F4" w14:textId="58F1983F" w:rsidR="00ED6FD3" w:rsidRDefault="00ED6FD3" w:rsidP="00ED6FD3">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Pr>
          <w:sz w:val="16"/>
          <w:szCs w:val="16"/>
        </w:rPr>
        <w:t>January</w:t>
      </w:r>
      <w:r>
        <w:rPr>
          <w:sz w:val="16"/>
          <w:szCs w:val="16"/>
        </w:rPr>
        <w:t xml:space="preserve"> 202</w:t>
      </w:r>
      <w:r w:rsidR="00FE59DA">
        <w:rPr>
          <w:sz w:val="16"/>
          <w:szCs w:val="16"/>
        </w:rPr>
        <w:t>1</w:t>
      </w:r>
      <w:r>
        <w:rPr>
          <w:sz w:val="16"/>
          <w:szCs w:val="16"/>
        </w:rPr>
        <w:t xml:space="preserve"> to 31 </w:t>
      </w:r>
      <w:r w:rsidR="00FE59DA">
        <w:rPr>
          <w:sz w:val="16"/>
          <w:szCs w:val="16"/>
        </w:rPr>
        <w:t>March</w:t>
      </w:r>
      <w:r>
        <w:rPr>
          <w:sz w:val="16"/>
          <w:szCs w:val="16"/>
        </w:rPr>
        <w:t xml:space="preserve"> 202</w:t>
      </w:r>
      <w:r w:rsidR="00FE59DA">
        <w:rPr>
          <w:sz w:val="16"/>
          <w:szCs w:val="16"/>
        </w:rPr>
        <w:t>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FE59DA" w:rsidRPr="0093030B" w14:paraId="4DBF94CC" w14:textId="5D8CCBAD" w:rsidTr="00FE59DA">
        <w:trPr>
          <w:trHeight w:val="480"/>
        </w:trPr>
        <w:tc>
          <w:tcPr>
            <w:tcW w:w="3460" w:type="dxa"/>
            <w:tcBorders>
              <w:top w:val="single" w:sz="4" w:space="0" w:color="auto"/>
              <w:left w:val="single" w:sz="4" w:space="0" w:color="auto"/>
              <w:bottom w:val="single" w:sz="4" w:space="0" w:color="auto"/>
              <w:right w:val="single" w:sz="4" w:space="0" w:color="auto"/>
            </w:tcBorders>
            <w:hideMark/>
          </w:tcPr>
          <w:p w14:paraId="11013D0E" w14:textId="77777777" w:rsidR="00FE59DA" w:rsidRPr="0093030B" w:rsidRDefault="00FE59DA" w:rsidP="006F4E59">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6C41BF26" w14:textId="77777777" w:rsidR="00FE59DA" w:rsidRDefault="00FE59DA" w:rsidP="006F4E59">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314F1169" w14:textId="77777777" w:rsidR="00FE59DA" w:rsidRDefault="00FE59DA" w:rsidP="006F4E59">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415BC5AE" w14:textId="77777777" w:rsidR="00FE59DA" w:rsidRDefault="00FE59DA" w:rsidP="006F4E59">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78BB8A8F" w14:textId="77777777" w:rsidR="00FE59DA" w:rsidRDefault="00FE59DA" w:rsidP="006F4E59">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7D6E9E8F" w14:textId="7F057165" w:rsidR="00FE59DA" w:rsidRDefault="00FE59DA" w:rsidP="006F4E59">
            <w:pPr>
              <w:pStyle w:val="TableText"/>
              <w:jc w:val="right"/>
              <w:rPr>
                <w:b/>
                <w:lang w:eastAsia="en-AU"/>
              </w:rPr>
            </w:pPr>
            <w:r>
              <w:rPr>
                <w:b/>
                <w:lang w:eastAsia="en-AU"/>
              </w:rPr>
              <w:t>Qtr 55</w:t>
            </w:r>
          </w:p>
        </w:tc>
      </w:tr>
      <w:tr w:rsidR="00FE59DA" w:rsidRPr="0093030B" w14:paraId="5383AAFE" w14:textId="17C5D7AD"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49BC31E5" w14:textId="77777777" w:rsidR="00FE59DA" w:rsidRPr="0093030B" w:rsidRDefault="00FE59DA" w:rsidP="006F4E59">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62705AD2" w14:textId="77777777" w:rsidR="00FE59DA" w:rsidRDefault="00FE59DA" w:rsidP="006F4E59">
            <w:pPr>
              <w:jc w:val="right"/>
              <w:rPr>
                <w:rFonts w:cs="Arial"/>
              </w:rPr>
            </w:pPr>
            <w:r>
              <w:rPr>
                <w:rFonts w:cs="Arial"/>
              </w:rPr>
              <w:t>502</w:t>
            </w:r>
          </w:p>
        </w:tc>
        <w:tc>
          <w:tcPr>
            <w:tcW w:w="1012" w:type="dxa"/>
            <w:tcBorders>
              <w:top w:val="nil"/>
              <w:left w:val="nil"/>
              <w:bottom w:val="single" w:sz="4" w:space="0" w:color="auto"/>
              <w:right w:val="single" w:sz="4" w:space="0" w:color="auto"/>
            </w:tcBorders>
            <w:vAlign w:val="bottom"/>
          </w:tcPr>
          <w:p w14:paraId="0B59289F" w14:textId="77777777" w:rsidR="00FE59DA" w:rsidRDefault="00FE59DA" w:rsidP="006F4E59">
            <w:pPr>
              <w:jc w:val="right"/>
              <w:rPr>
                <w:rFonts w:cs="Arial"/>
              </w:rPr>
            </w:pPr>
            <w:r w:rsidRPr="001F4FDB">
              <w:rPr>
                <w:rFonts w:cs="Arial"/>
              </w:rPr>
              <w:t>513</w:t>
            </w:r>
          </w:p>
        </w:tc>
        <w:tc>
          <w:tcPr>
            <w:tcW w:w="1012" w:type="dxa"/>
            <w:tcBorders>
              <w:top w:val="nil"/>
              <w:left w:val="nil"/>
              <w:bottom w:val="single" w:sz="4" w:space="0" w:color="auto"/>
              <w:right w:val="single" w:sz="4" w:space="0" w:color="auto"/>
            </w:tcBorders>
          </w:tcPr>
          <w:p w14:paraId="767818AD" w14:textId="77777777" w:rsidR="00FE59DA" w:rsidRPr="001F4FDB" w:rsidRDefault="00FE59DA" w:rsidP="006F4E59">
            <w:pPr>
              <w:jc w:val="right"/>
              <w:rPr>
                <w:rFonts w:cs="Arial"/>
              </w:rPr>
            </w:pPr>
            <w:r>
              <w:rPr>
                <w:rFonts w:cs="Arial"/>
              </w:rPr>
              <w:t>439</w:t>
            </w:r>
          </w:p>
        </w:tc>
        <w:tc>
          <w:tcPr>
            <w:tcW w:w="1012" w:type="dxa"/>
            <w:tcBorders>
              <w:top w:val="nil"/>
              <w:left w:val="nil"/>
              <w:bottom w:val="single" w:sz="4" w:space="0" w:color="auto"/>
              <w:right w:val="single" w:sz="4" w:space="0" w:color="auto"/>
            </w:tcBorders>
          </w:tcPr>
          <w:p w14:paraId="78579889" w14:textId="77777777" w:rsidR="00FE59DA" w:rsidRDefault="00FE59DA" w:rsidP="006F4E59">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1BEFC7EA" w14:textId="6E382AB7" w:rsidR="00FE59DA" w:rsidRDefault="00FE59DA" w:rsidP="006F4E59">
            <w:pPr>
              <w:jc w:val="right"/>
              <w:rPr>
                <w:rFonts w:cs="Arial"/>
              </w:rPr>
            </w:pPr>
            <w:r>
              <w:rPr>
                <w:rFonts w:cs="Arial"/>
              </w:rPr>
              <w:t>608</w:t>
            </w:r>
          </w:p>
        </w:tc>
      </w:tr>
      <w:tr w:rsidR="00FE59DA" w:rsidRPr="0093030B" w14:paraId="28AE1042" w14:textId="58D51B19"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7D43A969" w14:textId="77777777" w:rsidR="00FE59DA" w:rsidRPr="0093030B" w:rsidRDefault="00FE59DA" w:rsidP="006F4E59">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1EC434BB" w14:textId="77777777" w:rsidR="00FE59DA" w:rsidRDefault="00FE59DA" w:rsidP="006F4E59">
            <w:pPr>
              <w:jc w:val="right"/>
              <w:rPr>
                <w:rFonts w:cs="Arial"/>
              </w:rPr>
            </w:pPr>
            <w:r>
              <w:rPr>
                <w:rFonts w:cs="Arial"/>
              </w:rPr>
              <w:t>48</w:t>
            </w:r>
          </w:p>
        </w:tc>
        <w:tc>
          <w:tcPr>
            <w:tcW w:w="1012" w:type="dxa"/>
            <w:tcBorders>
              <w:top w:val="nil"/>
              <w:left w:val="nil"/>
              <w:bottom w:val="single" w:sz="4" w:space="0" w:color="auto"/>
              <w:right w:val="single" w:sz="4" w:space="0" w:color="auto"/>
            </w:tcBorders>
            <w:vAlign w:val="bottom"/>
          </w:tcPr>
          <w:p w14:paraId="6827B89B" w14:textId="77777777" w:rsidR="00FE59DA" w:rsidRDefault="00FE59DA" w:rsidP="006F4E59">
            <w:pPr>
              <w:jc w:val="right"/>
              <w:rPr>
                <w:rFonts w:cs="Arial"/>
              </w:rPr>
            </w:pPr>
            <w:r w:rsidRPr="001F4FDB">
              <w:rPr>
                <w:rFonts w:cs="Arial"/>
              </w:rPr>
              <w:t>37</w:t>
            </w:r>
          </w:p>
        </w:tc>
        <w:tc>
          <w:tcPr>
            <w:tcW w:w="1012" w:type="dxa"/>
            <w:tcBorders>
              <w:top w:val="nil"/>
              <w:left w:val="nil"/>
              <w:bottom w:val="single" w:sz="4" w:space="0" w:color="auto"/>
              <w:right w:val="single" w:sz="4" w:space="0" w:color="auto"/>
            </w:tcBorders>
          </w:tcPr>
          <w:p w14:paraId="56E207DF" w14:textId="77777777" w:rsidR="00FE59DA" w:rsidRPr="001F4FDB" w:rsidRDefault="00FE59DA" w:rsidP="006F4E59">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3854CFA0" w14:textId="77777777" w:rsidR="00FE59DA" w:rsidRDefault="00FE59DA" w:rsidP="006F4E59">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027D65AD" w14:textId="4BE8B023" w:rsidR="00FE59DA" w:rsidRDefault="00FE59DA" w:rsidP="006F4E59">
            <w:pPr>
              <w:jc w:val="right"/>
              <w:rPr>
                <w:rFonts w:cs="Arial"/>
              </w:rPr>
            </w:pPr>
            <w:r>
              <w:rPr>
                <w:rFonts w:cs="Arial"/>
              </w:rPr>
              <w:t>26</w:t>
            </w:r>
          </w:p>
        </w:tc>
      </w:tr>
      <w:tr w:rsidR="00FE59DA" w:rsidRPr="0093030B" w14:paraId="4C2DF751" w14:textId="1FB25E4A"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38B2735E" w14:textId="77777777" w:rsidR="00FE59DA" w:rsidRPr="0093030B" w:rsidRDefault="00FE59DA" w:rsidP="006F4E59">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01902F92" w14:textId="77777777" w:rsidR="00FE59DA" w:rsidRDefault="00FE59DA" w:rsidP="006F4E59">
            <w:pPr>
              <w:jc w:val="right"/>
              <w:rPr>
                <w:rFonts w:cs="Arial"/>
              </w:rPr>
            </w:pPr>
            <w:r>
              <w:rPr>
                <w:rFonts w:cs="Arial"/>
              </w:rPr>
              <w:t>278</w:t>
            </w:r>
          </w:p>
        </w:tc>
        <w:tc>
          <w:tcPr>
            <w:tcW w:w="1012" w:type="dxa"/>
            <w:tcBorders>
              <w:top w:val="nil"/>
              <w:left w:val="nil"/>
              <w:bottom w:val="single" w:sz="4" w:space="0" w:color="auto"/>
              <w:right w:val="single" w:sz="4" w:space="0" w:color="auto"/>
            </w:tcBorders>
            <w:vAlign w:val="bottom"/>
          </w:tcPr>
          <w:p w14:paraId="137DB11C" w14:textId="77777777" w:rsidR="00FE59DA" w:rsidRDefault="00FE59DA" w:rsidP="006F4E59">
            <w:pPr>
              <w:jc w:val="right"/>
              <w:rPr>
                <w:rFonts w:cs="Arial"/>
              </w:rPr>
            </w:pPr>
            <w:r w:rsidRPr="001F4FDB">
              <w:rPr>
                <w:rFonts w:cs="Arial"/>
              </w:rPr>
              <w:t>297</w:t>
            </w:r>
          </w:p>
        </w:tc>
        <w:tc>
          <w:tcPr>
            <w:tcW w:w="1012" w:type="dxa"/>
            <w:tcBorders>
              <w:top w:val="nil"/>
              <w:left w:val="nil"/>
              <w:bottom w:val="single" w:sz="4" w:space="0" w:color="auto"/>
              <w:right w:val="single" w:sz="4" w:space="0" w:color="auto"/>
            </w:tcBorders>
          </w:tcPr>
          <w:p w14:paraId="58003412" w14:textId="77777777" w:rsidR="00FE59DA" w:rsidRPr="001F4FDB" w:rsidRDefault="00FE59DA" w:rsidP="006F4E59">
            <w:pPr>
              <w:jc w:val="right"/>
              <w:rPr>
                <w:rFonts w:cs="Arial"/>
              </w:rPr>
            </w:pPr>
            <w:r>
              <w:rPr>
                <w:rFonts w:cs="Arial"/>
              </w:rPr>
              <w:t>307</w:t>
            </w:r>
          </w:p>
        </w:tc>
        <w:tc>
          <w:tcPr>
            <w:tcW w:w="1012" w:type="dxa"/>
            <w:tcBorders>
              <w:top w:val="nil"/>
              <w:left w:val="nil"/>
              <w:bottom w:val="single" w:sz="4" w:space="0" w:color="auto"/>
              <w:right w:val="single" w:sz="4" w:space="0" w:color="auto"/>
            </w:tcBorders>
          </w:tcPr>
          <w:p w14:paraId="1ADA8506" w14:textId="77777777" w:rsidR="00FE59DA" w:rsidRDefault="00FE59DA" w:rsidP="006F4E59">
            <w:pPr>
              <w:jc w:val="right"/>
              <w:rPr>
                <w:rFonts w:cs="Arial"/>
              </w:rPr>
            </w:pPr>
            <w:r>
              <w:rPr>
                <w:rFonts w:cs="Arial"/>
              </w:rPr>
              <w:t>297</w:t>
            </w:r>
          </w:p>
        </w:tc>
        <w:tc>
          <w:tcPr>
            <w:tcW w:w="1012" w:type="dxa"/>
            <w:tcBorders>
              <w:top w:val="nil"/>
              <w:left w:val="nil"/>
              <w:bottom w:val="single" w:sz="4" w:space="0" w:color="auto"/>
              <w:right w:val="single" w:sz="4" w:space="0" w:color="auto"/>
            </w:tcBorders>
          </w:tcPr>
          <w:p w14:paraId="18D7F875" w14:textId="4C688316" w:rsidR="00FE59DA" w:rsidRDefault="00FE59DA" w:rsidP="006F4E59">
            <w:pPr>
              <w:jc w:val="right"/>
              <w:rPr>
                <w:rFonts w:cs="Arial"/>
              </w:rPr>
            </w:pPr>
            <w:r>
              <w:rPr>
                <w:rFonts w:cs="Arial"/>
              </w:rPr>
              <w:t>349</w:t>
            </w:r>
          </w:p>
        </w:tc>
      </w:tr>
      <w:tr w:rsidR="00FE59DA" w:rsidRPr="0093030B" w14:paraId="0E776D32" w14:textId="30635421" w:rsidTr="00FE59DA">
        <w:trPr>
          <w:trHeight w:val="255"/>
        </w:trPr>
        <w:tc>
          <w:tcPr>
            <w:tcW w:w="3460" w:type="dxa"/>
            <w:tcBorders>
              <w:top w:val="nil"/>
              <w:left w:val="single" w:sz="4" w:space="0" w:color="auto"/>
              <w:bottom w:val="single" w:sz="4" w:space="0" w:color="auto"/>
              <w:right w:val="single" w:sz="4" w:space="0" w:color="auto"/>
            </w:tcBorders>
            <w:noWrap/>
            <w:vAlign w:val="bottom"/>
          </w:tcPr>
          <w:p w14:paraId="1A75CADA" w14:textId="77777777" w:rsidR="00FE59DA" w:rsidRPr="0093030B" w:rsidRDefault="00FE59DA" w:rsidP="006F4E59">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283F0327" w14:textId="77777777" w:rsidR="00FE59DA" w:rsidRDefault="00FE59DA" w:rsidP="006F4E59">
            <w:pPr>
              <w:jc w:val="right"/>
              <w:rPr>
                <w:rFonts w:cs="Arial"/>
              </w:rPr>
            </w:pPr>
            <w:r>
              <w:rPr>
                <w:rFonts w:cs="Arial"/>
              </w:rPr>
              <w:t>188</w:t>
            </w:r>
          </w:p>
        </w:tc>
        <w:tc>
          <w:tcPr>
            <w:tcW w:w="1012" w:type="dxa"/>
            <w:tcBorders>
              <w:top w:val="nil"/>
              <w:left w:val="nil"/>
              <w:bottom w:val="single" w:sz="4" w:space="0" w:color="auto"/>
              <w:right w:val="single" w:sz="4" w:space="0" w:color="auto"/>
            </w:tcBorders>
            <w:vAlign w:val="bottom"/>
          </w:tcPr>
          <w:p w14:paraId="1468A738" w14:textId="77777777" w:rsidR="00FE59DA" w:rsidRDefault="00FE59DA" w:rsidP="006F4E59">
            <w:pPr>
              <w:jc w:val="right"/>
              <w:rPr>
                <w:rFonts w:cs="Arial"/>
              </w:rPr>
            </w:pPr>
            <w:r w:rsidRPr="001F4FDB">
              <w:rPr>
                <w:rFonts w:cs="Arial"/>
              </w:rPr>
              <w:t>234</w:t>
            </w:r>
          </w:p>
        </w:tc>
        <w:tc>
          <w:tcPr>
            <w:tcW w:w="1012" w:type="dxa"/>
            <w:tcBorders>
              <w:top w:val="nil"/>
              <w:left w:val="nil"/>
              <w:bottom w:val="single" w:sz="4" w:space="0" w:color="auto"/>
              <w:right w:val="single" w:sz="4" w:space="0" w:color="auto"/>
            </w:tcBorders>
          </w:tcPr>
          <w:p w14:paraId="0DE3BDBA" w14:textId="77777777" w:rsidR="00FE59DA" w:rsidRPr="001F4FDB" w:rsidRDefault="00FE59DA" w:rsidP="006F4E59">
            <w:pPr>
              <w:jc w:val="right"/>
              <w:rPr>
                <w:rFonts w:cs="Arial"/>
              </w:rPr>
            </w:pPr>
            <w:r>
              <w:rPr>
                <w:rFonts w:cs="Arial"/>
              </w:rPr>
              <w:t>260</w:t>
            </w:r>
          </w:p>
        </w:tc>
        <w:tc>
          <w:tcPr>
            <w:tcW w:w="1012" w:type="dxa"/>
            <w:tcBorders>
              <w:top w:val="nil"/>
              <w:left w:val="nil"/>
              <w:bottom w:val="single" w:sz="4" w:space="0" w:color="auto"/>
              <w:right w:val="single" w:sz="4" w:space="0" w:color="auto"/>
            </w:tcBorders>
          </w:tcPr>
          <w:p w14:paraId="74F24CC1" w14:textId="77777777" w:rsidR="00FE59DA" w:rsidRDefault="00FE59DA" w:rsidP="006F4E59">
            <w:pPr>
              <w:jc w:val="right"/>
              <w:rPr>
                <w:rFonts w:cs="Arial"/>
              </w:rPr>
            </w:pPr>
            <w:r>
              <w:rPr>
                <w:rFonts w:cs="Arial"/>
              </w:rPr>
              <w:t>207</w:t>
            </w:r>
          </w:p>
        </w:tc>
        <w:tc>
          <w:tcPr>
            <w:tcW w:w="1012" w:type="dxa"/>
            <w:tcBorders>
              <w:top w:val="nil"/>
              <w:left w:val="nil"/>
              <w:bottom w:val="single" w:sz="4" w:space="0" w:color="auto"/>
              <w:right w:val="single" w:sz="4" w:space="0" w:color="auto"/>
            </w:tcBorders>
          </w:tcPr>
          <w:p w14:paraId="6D9F5598" w14:textId="5A5DFFA8" w:rsidR="00FE59DA" w:rsidRDefault="00FE59DA" w:rsidP="006F4E59">
            <w:pPr>
              <w:jc w:val="right"/>
              <w:rPr>
                <w:rFonts w:cs="Arial"/>
              </w:rPr>
            </w:pPr>
            <w:r>
              <w:rPr>
                <w:rFonts w:cs="Arial"/>
              </w:rPr>
              <w:t>144</w:t>
            </w:r>
          </w:p>
        </w:tc>
      </w:tr>
      <w:tr w:rsidR="00FE59DA" w:rsidRPr="0093030B" w14:paraId="41C948B2" w14:textId="14A39FBB" w:rsidTr="00FE59DA">
        <w:trPr>
          <w:trHeight w:val="255"/>
        </w:trPr>
        <w:tc>
          <w:tcPr>
            <w:tcW w:w="3460" w:type="dxa"/>
            <w:tcBorders>
              <w:top w:val="nil"/>
              <w:left w:val="single" w:sz="4" w:space="0" w:color="auto"/>
              <w:bottom w:val="single" w:sz="4" w:space="0" w:color="auto"/>
              <w:right w:val="single" w:sz="4" w:space="0" w:color="auto"/>
            </w:tcBorders>
            <w:noWrap/>
            <w:vAlign w:val="bottom"/>
            <w:hideMark/>
          </w:tcPr>
          <w:p w14:paraId="16A4CBFE" w14:textId="77777777" w:rsidR="00FE59DA" w:rsidRPr="0093030B" w:rsidRDefault="00FE59DA" w:rsidP="006F4E59">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6C222DAB" w14:textId="77777777" w:rsidR="00FE59DA" w:rsidRDefault="00FE59DA" w:rsidP="006F4E59">
            <w:pPr>
              <w:jc w:val="right"/>
              <w:rPr>
                <w:rFonts w:cs="Arial"/>
              </w:rPr>
            </w:pPr>
            <w:r>
              <w:rPr>
                <w:rFonts w:cs="Arial"/>
              </w:rPr>
              <w:t>43</w:t>
            </w:r>
          </w:p>
        </w:tc>
        <w:tc>
          <w:tcPr>
            <w:tcW w:w="1012" w:type="dxa"/>
            <w:tcBorders>
              <w:top w:val="nil"/>
              <w:left w:val="nil"/>
              <w:bottom w:val="single" w:sz="4" w:space="0" w:color="auto"/>
              <w:right w:val="single" w:sz="4" w:space="0" w:color="auto"/>
            </w:tcBorders>
            <w:vAlign w:val="bottom"/>
          </w:tcPr>
          <w:p w14:paraId="763EF473" w14:textId="77777777" w:rsidR="00FE59DA" w:rsidRDefault="00FE59DA" w:rsidP="006F4E59">
            <w:pPr>
              <w:jc w:val="right"/>
              <w:rPr>
                <w:rFonts w:cs="Arial"/>
              </w:rPr>
            </w:pPr>
            <w:r w:rsidRPr="001F4FDB">
              <w:rPr>
                <w:rFonts w:cs="Arial"/>
              </w:rPr>
              <w:t>63</w:t>
            </w:r>
          </w:p>
        </w:tc>
        <w:tc>
          <w:tcPr>
            <w:tcW w:w="1012" w:type="dxa"/>
            <w:tcBorders>
              <w:top w:val="nil"/>
              <w:left w:val="nil"/>
              <w:bottom w:val="single" w:sz="4" w:space="0" w:color="auto"/>
              <w:right w:val="single" w:sz="4" w:space="0" w:color="auto"/>
            </w:tcBorders>
          </w:tcPr>
          <w:p w14:paraId="6834DF61" w14:textId="77777777" w:rsidR="00FE59DA" w:rsidRPr="001F4FDB" w:rsidRDefault="00FE59DA" w:rsidP="006F4E59">
            <w:pPr>
              <w:jc w:val="right"/>
              <w:rPr>
                <w:rFonts w:cs="Arial"/>
              </w:rPr>
            </w:pPr>
            <w:r>
              <w:rPr>
                <w:rFonts w:cs="Arial"/>
              </w:rPr>
              <w:t>30</w:t>
            </w:r>
          </w:p>
        </w:tc>
        <w:tc>
          <w:tcPr>
            <w:tcW w:w="1012" w:type="dxa"/>
            <w:tcBorders>
              <w:top w:val="nil"/>
              <w:left w:val="nil"/>
              <w:bottom w:val="single" w:sz="4" w:space="0" w:color="auto"/>
              <w:right w:val="single" w:sz="4" w:space="0" w:color="auto"/>
            </w:tcBorders>
          </w:tcPr>
          <w:p w14:paraId="4F6A72F7" w14:textId="77777777" w:rsidR="00FE59DA" w:rsidRDefault="00FE59DA" w:rsidP="006F4E59">
            <w:pPr>
              <w:jc w:val="right"/>
              <w:rPr>
                <w:rFonts w:cs="Arial"/>
              </w:rPr>
            </w:pPr>
            <w:r>
              <w:rPr>
                <w:rFonts w:cs="Arial"/>
              </w:rPr>
              <w:t>52</w:t>
            </w:r>
          </w:p>
        </w:tc>
        <w:tc>
          <w:tcPr>
            <w:tcW w:w="1012" w:type="dxa"/>
            <w:tcBorders>
              <w:top w:val="nil"/>
              <w:left w:val="nil"/>
              <w:bottom w:val="single" w:sz="4" w:space="0" w:color="auto"/>
              <w:right w:val="single" w:sz="4" w:space="0" w:color="auto"/>
            </w:tcBorders>
          </w:tcPr>
          <w:p w14:paraId="643397FB" w14:textId="3AACF6BF" w:rsidR="00FE59DA" w:rsidRDefault="00FE59DA" w:rsidP="006F4E59">
            <w:pPr>
              <w:jc w:val="right"/>
              <w:rPr>
                <w:rFonts w:cs="Arial"/>
              </w:rPr>
            </w:pPr>
            <w:r>
              <w:rPr>
                <w:rFonts w:cs="Arial"/>
              </w:rPr>
              <w:t>58</w:t>
            </w:r>
          </w:p>
        </w:tc>
      </w:tr>
      <w:tr w:rsidR="00FE59DA" w:rsidRPr="0093030B" w14:paraId="6D743C3A" w14:textId="2A5A6A3A" w:rsidTr="00FE59DA">
        <w:trPr>
          <w:trHeight w:val="255"/>
        </w:trPr>
        <w:tc>
          <w:tcPr>
            <w:tcW w:w="3460" w:type="dxa"/>
            <w:tcBorders>
              <w:top w:val="nil"/>
              <w:left w:val="single" w:sz="4" w:space="0" w:color="auto"/>
              <w:bottom w:val="single" w:sz="4" w:space="0" w:color="auto"/>
              <w:right w:val="single" w:sz="4" w:space="0" w:color="auto"/>
            </w:tcBorders>
            <w:noWrap/>
            <w:hideMark/>
          </w:tcPr>
          <w:p w14:paraId="61F69BC5" w14:textId="77777777" w:rsidR="00FE59DA" w:rsidRPr="0093030B" w:rsidRDefault="00FE59DA" w:rsidP="006F4E59">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65D4647E" w14:textId="77777777" w:rsidR="00FE59DA" w:rsidRDefault="00FE59DA" w:rsidP="006F4E59">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vAlign w:val="bottom"/>
          </w:tcPr>
          <w:p w14:paraId="2020196E" w14:textId="77777777" w:rsidR="00FE59DA" w:rsidRDefault="00FE59DA" w:rsidP="006F4E59">
            <w:pPr>
              <w:jc w:val="right"/>
              <w:rPr>
                <w:rFonts w:cs="Arial"/>
                <w:b/>
                <w:bCs/>
              </w:rPr>
            </w:pPr>
            <w:r w:rsidRPr="001F4FDB">
              <w:rPr>
                <w:rFonts w:cs="Arial"/>
                <w:b/>
                <w:bCs/>
              </w:rPr>
              <w:t>1144</w:t>
            </w:r>
          </w:p>
        </w:tc>
        <w:tc>
          <w:tcPr>
            <w:tcW w:w="1012" w:type="dxa"/>
            <w:tcBorders>
              <w:top w:val="nil"/>
              <w:left w:val="nil"/>
              <w:bottom w:val="single" w:sz="4" w:space="0" w:color="auto"/>
              <w:right w:val="single" w:sz="4" w:space="0" w:color="auto"/>
            </w:tcBorders>
          </w:tcPr>
          <w:p w14:paraId="0A7C5AC5" w14:textId="77777777" w:rsidR="00FE59DA" w:rsidRPr="001F4FDB" w:rsidRDefault="00FE59DA" w:rsidP="006F4E59">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5FB2E7D2" w14:textId="77777777" w:rsidR="00FE59DA" w:rsidRDefault="00FE59DA" w:rsidP="006F4E59">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69A9F814" w14:textId="56E1B3C4" w:rsidR="00FE59DA" w:rsidRDefault="00FE59DA" w:rsidP="006F4E59">
            <w:pPr>
              <w:jc w:val="right"/>
              <w:rPr>
                <w:rFonts w:cs="Arial"/>
                <w:b/>
                <w:bCs/>
              </w:rPr>
            </w:pPr>
            <w:r>
              <w:rPr>
                <w:rFonts w:cs="Arial"/>
                <w:b/>
                <w:bCs/>
              </w:rPr>
              <w:t>1185</w:t>
            </w:r>
          </w:p>
        </w:tc>
      </w:tr>
    </w:tbl>
    <w:p w14:paraId="6BA31C39" w14:textId="1F669103" w:rsidR="005A5B78" w:rsidRDefault="005A5B78" w:rsidP="005A5B78">
      <w:pPr>
        <w:ind w:left="-142" w:right="-425"/>
        <w:jc w:val="both"/>
        <w:rPr>
          <w:rFonts w:cs="Arial"/>
        </w:rPr>
      </w:pPr>
    </w:p>
    <w:p w14:paraId="6B7E9BDC" w14:textId="24999134" w:rsidR="005A5B78" w:rsidRDefault="007E65A1" w:rsidP="005A5B78">
      <w:pPr>
        <w:ind w:left="-142" w:right="-425"/>
        <w:jc w:val="both"/>
        <w:rPr>
          <w:rFonts w:cs="Arial"/>
        </w:rPr>
      </w:pPr>
      <w:r>
        <w:rPr>
          <w:rFonts w:cs="Arial"/>
        </w:rPr>
        <w:t xml:space="preserve">For quarter </w:t>
      </w:r>
      <w:r w:rsidR="005E1684">
        <w:rPr>
          <w:rFonts w:cs="Arial"/>
        </w:rPr>
        <w:t>55</w:t>
      </w:r>
      <w:r w:rsidR="00D4333F">
        <w:rPr>
          <w:rFonts w:cs="Arial"/>
        </w:rPr>
        <w:t>,</w:t>
      </w:r>
      <w:r>
        <w:rPr>
          <w:rFonts w:cs="Arial"/>
        </w:rPr>
        <w:t xml:space="preserve"> </w:t>
      </w:r>
      <w:r w:rsidR="00D04D5B">
        <w:rPr>
          <w:rFonts w:cs="Arial"/>
        </w:rPr>
        <w:t>44</w:t>
      </w:r>
      <w:r w:rsidR="00D04D5B" w:rsidRPr="004A208F">
        <w:rPr>
          <w:rFonts w:cs="Arial"/>
        </w:rPr>
        <w:t xml:space="preserve"> </w:t>
      </w:r>
      <w:r w:rsidR="005A5B78" w:rsidRPr="004A208F">
        <w:rPr>
          <w:rFonts w:cs="Arial"/>
        </w:rPr>
        <w:t>percent</w:t>
      </w:r>
      <w:r w:rsidR="00AF4062">
        <w:rPr>
          <w:rFonts w:cs="Arial"/>
        </w:rPr>
        <w:t xml:space="preserve"> </w:t>
      </w:r>
      <w:r w:rsidR="005A5B78" w:rsidRPr="004A208F">
        <w:rPr>
          <w:rFonts w:cs="Arial"/>
        </w:rPr>
        <w:t>of clients received more than one notice</w:t>
      </w:r>
      <w:r w:rsidR="008D6624" w:rsidRPr="004A208F">
        <w:rPr>
          <w:rFonts w:cs="Arial"/>
        </w:rPr>
        <w:t xml:space="preserve">.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D04D5B">
        <w:rPr>
          <w:rFonts w:cs="Arial"/>
        </w:rPr>
        <w:t>56</w:t>
      </w:r>
      <w:r w:rsidR="00D04D5B"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w:t>
      </w:r>
      <w:r w:rsidR="00D04D5B">
        <w:rPr>
          <w:rFonts w:cs="Arial"/>
        </w:rPr>
        <w:t xml:space="preserve">Thirty-two </w:t>
      </w:r>
      <w:r w:rsidR="00CA73A5" w:rsidRPr="00626560">
        <w:rPr>
          <w:rFonts w:cs="Arial"/>
        </w:rPr>
        <w:t>new</w:t>
      </w:r>
      <w:r w:rsidR="00CA73A5">
        <w:rPr>
          <w:rFonts w:cs="Arial"/>
        </w:rPr>
        <w:t xml:space="preserve"> clients were added to the Commission’s database during the quarter.</w:t>
      </w:r>
    </w:p>
    <w:p w14:paraId="326438C8" w14:textId="49E30FAC" w:rsidR="0080001D" w:rsidRDefault="0080001D" w:rsidP="005A5B78">
      <w:pPr>
        <w:ind w:left="-142" w:right="-425"/>
        <w:jc w:val="both"/>
        <w:rPr>
          <w:rFonts w:cs="Arial"/>
        </w:rPr>
      </w:pPr>
    </w:p>
    <w:p w14:paraId="08D998BC" w14:textId="6C3312C2" w:rsidR="0080001D" w:rsidRPr="00D925BE" w:rsidRDefault="0080001D" w:rsidP="0080001D">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 xml:space="preserve">er of notices 1 </w:t>
      </w:r>
      <w:r>
        <w:rPr>
          <w:sz w:val="16"/>
          <w:szCs w:val="16"/>
        </w:rPr>
        <w:t>January</w:t>
      </w:r>
      <w:r>
        <w:rPr>
          <w:sz w:val="16"/>
          <w:szCs w:val="16"/>
        </w:rPr>
        <w:t xml:space="preserve"> 202</w:t>
      </w:r>
      <w:r>
        <w:rPr>
          <w:sz w:val="16"/>
          <w:szCs w:val="16"/>
        </w:rPr>
        <w:t>2</w:t>
      </w:r>
      <w:r>
        <w:rPr>
          <w:sz w:val="16"/>
          <w:szCs w:val="16"/>
        </w:rPr>
        <w:t xml:space="preserve"> to 31 </w:t>
      </w:r>
      <w:r>
        <w:rPr>
          <w:sz w:val="16"/>
          <w:szCs w:val="16"/>
        </w:rPr>
        <w:t>March</w:t>
      </w:r>
      <w:r>
        <w:rPr>
          <w:sz w:val="16"/>
          <w:szCs w:val="16"/>
        </w:rPr>
        <w:t xml:space="preserve"> 202</w:t>
      </w:r>
      <w:r>
        <w:rPr>
          <w:sz w:val="16"/>
          <w:szCs w:val="16"/>
        </w:rPr>
        <w:t>2</w:t>
      </w:r>
    </w:p>
    <w:tbl>
      <w:tblPr>
        <w:tblW w:w="4693" w:type="dxa"/>
        <w:tblInd w:w="93" w:type="dxa"/>
        <w:tblLook w:val="04A0" w:firstRow="1" w:lastRow="0" w:firstColumn="1" w:lastColumn="0" w:noHBand="0" w:noVBand="1"/>
      </w:tblPr>
      <w:tblGrid>
        <w:gridCol w:w="3220"/>
        <w:gridCol w:w="1473"/>
      </w:tblGrid>
      <w:tr w:rsidR="0080001D" w:rsidRPr="006E764C" w14:paraId="7A300012" w14:textId="77777777" w:rsidTr="006F4E59">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1EC51F7E" w14:textId="77777777" w:rsidR="0080001D" w:rsidRPr="0093030B" w:rsidRDefault="0080001D" w:rsidP="006F4E59">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0B55EB49" w14:textId="77777777" w:rsidR="0080001D" w:rsidRPr="0093030B" w:rsidRDefault="0080001D" w:rsidP="006F4E59">
            <w:pPr>
              <w:pStyle w:val="TableText"/>
              <w:rPr>
                <w:b/>
                <w:lang w:eastAsia="en-AU"/>
              </w:rPr>
            </w:pPr>
            <w:r w:rsidRPr="0093030B">
              <w:rPr>
                <w:b/>
                <w:lang w:eastAsia="en-AU"/>
              </w:rPr>
              <w:t>Number of Clients</w:t>
            </w:r>
          </w:p>
        </w:tc>
      </w:tr>
      <w:tr w:rsidR="0080001D" w:rsidRPr="006E764C" w14:paraId="27042A8C"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1E7FA75B" w14:textId="77777777" w:rsidR="0080001D" w:rsidRPr="006E764C" w:rsidRDefault="0080001D" w:rsidP="006F4E59">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2244086E" w14:textId="4DAF9A45" w:rsidR="0080001D" w:rsidRPr="00D609C2" w:rsidRDefault="0080001D" w:rsidP="006F4E59">
            <w:pPr>
              <w:jc w:val="right"/>
              <w:rPr>
                <w:rFonts w:cs="Arial"/>
              </w:rPr>
            </w:pPr>
            <w:r>
              <w:rPr>
                <w:rFonts w:cs="Arial"/>
              </w:rPr>
              <w:t>32</w:t>
            </w:r>
            <w:r>
              <w:rPr>
                <w:rFonts w:cs="Arial"/>
              </w:rPr>
              <w:t>9</w:t>
            </w:r>
          </w:p>
        </w:tc>
      </w:tr>
      <w:tr w:rsidR="0080001D" w:rsidRPr="006E764C" w14:paraId="25E5147F"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65E0F461" w14:textId="77777777" w:rsidR="0080001D" w:rsidRPr="006E764C" w:rsidRDefault="0080001D" w:rsidP="006F4E59">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020C1DEF" w14:textId="6CC3F629" w:rsidR="0080001D" w:rsidRPr="00D609C2" w:rsidRDefault="0080001D" w:rsidP="006F4E59">
            <w:pPr>
              <w:jc w:val="right"/>
              <w:rPr>
                <w:rFonts w:cs="Arial"/>
              </w:rPr>
            </w:pPr>
            <w:r>
              <w:rPr>
                <w:rFonts w:cs="Arial"/>
              </w:rPr>
              <w:t>13</w:t>
            </w:r>
            <w:r>
              <w:rPr>
                <w:rFonts w:cs="Arial"/>
              </w:rPr>
              <w:t>4</w:t>
            </w:r>
          </w:p>
        </w:tc>
      </w:tr>
      <w:tr w:rsidR="0080001D" w:rsidRPr="006E764C" w14:paraId="589231DE"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6050083B" w14:textId="77777777" w:rsidR="0080001D" w:rsidRPr="006E764C" w:rsidRDefault="0080001D" w:rsidP="006F4E59">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7958A3D6" w14:textId="3FCE842B" w:rsidR="0080001D" w:rsidRPr="00D609C2" w:rsidRDefault="0080001D" w:rsidP="006F4E59">
            <w:pPr>
              <w:jc w:val="right"/>
              <w:rPr>
                <w:rFonts w:cs="Arial"/>
              </w:rPr>
            </w:pPr>
            <w:r>
              <w:rPr>
                <w:rFonts w:cs="Arial"/>
              </w:rPr>
              <w:t>75</w:t>
            </w:r>
          </w:p>
        </w:tc>
      </w:tr>
      <w:tr w:rsidR="0080001D" w:rsidRPr="006E764C" w14:paraId="47F1A3EA"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7B8FE57D" w14:textId="77777777" w:rsidR="0080001D" w:rsidRPr="006E764C" w:rsidRDefault="0080001D" w:rsidP="006F4E59">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5A63F66D" w14:textId="59FF0D7F" w:rsidR="0080001D" w:rsidRPr="00D609C2" w:rsidRDefault="0080001D" w:rsidP="006F4E59">
            <w:pPr>
              <w:jc w:val="right"/>
              <w:rPr>
                <w:rFonts w:cs="Arial"/>
              </w:rPr>
            </w:pPr>
            <w:r>
              <w:rPr>
                <w:rFonts w:cs="Arial"/>
              </w:rPr>
              <w:t>2</w:t>
            </w:r>
            <w:r>
              <w:rPr>
                <w:rFonts w:cs="Arial"/>
              </w:rPr>
              <w:t>1</w:t>
            </w:r>
          </w:p>
        </w:tc>
      </w:tr>
      <w:tr w:rsidR="0080001D" w:rsidRPr="006E764C" w14:paraId="25227B9F"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1C2A2C90" w14:textId="77777777" w:rsidR="0080001D" w:rsidRPr="006E764C" w:rsidRDefault="0080001D" w:rsidP="006F4E59">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18FC6103" w14:textId="1B373A84" w:rsidR="0080001D" w:rsidRPr="00D609C2" w:rsidRDefault="0080001D" w:rsidP="006F4E59">
            <w:pPr>
              <w:jc w:val="right"/>
              <w:rPr>
                <w:rFonts w:cs="Arial"/>
              </w:rPr>
            </w:pPr>
            <w:r>
              <w:rPr>
                <w:rFonts w:cs="Arial"/>
              </w:rPr>
              <w:t>7</w:t>
            </w:r>
          </w:p>
        </w:tc>
      </w:tr>
      <w:tr w:rsidR="0080001D" w:rsidRPr="006E764C" w14:paraId="6CD60685"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36ED39D6" w14:textId="77777777" w:rsidR="0080001D" w:rsidRPr="006E764C" w:rsidRDefault="0080001D" w:rsidP="006F4E59">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45D08DA0" w14:textId="5C38DF5B" w:rsidR="0080001D" w:rsidRPr="00D609C2" w:rsidRDefault="0080001D" w:rsidP="006F4E59">
            <w:pPr>
              <w:jc w:val="right"/>
              <w:rPr>
                <w:rFonts w:cs="Arial"/>
              </w:rPr>
            </w:pPr>
            <w:r>
              <w:rPr>
                <w:rFonts w:cs="Arial"/>
              </w:rPr>
              <w:t>22</w:t>
            </w:r>
          </w:p>
        </w:tc>
      </w:tr>
      <w:tr w:rsidR="0080001D" w:rsidRPr="006E764C" w14:paraId="586E82FC" w14:textId="77777777" w:rsidTr="006F4E59">
        <w:trPr>
          <w:trHeight w:val="255"/>
        </w:trPr>
        <w:tc>
          <w:tcPr>
            <w:tcW w:w="3220" w:type="dxa"/>
            <w:tcBorders>
              <w:top w:val="nil"/>
              <w:left w:val="single" w:sz="4" w:space="0" w:color="auto"/>
              <w:bottom w:val="single" w:sz="4" w:space="0" w:color="auto"/>
              <w:right w:val="single" w:sz="4" w:space="0" w:color="auto"/>
            </w:tcBorders>
            <w:noWrap/>
            <w:hideMark/>
          </w:tcPr>
          <w:p w14:paraId="69C4FC86" w14:textId="77777777" w:rsidR="0080001D" w:rsidRPr="00645916" w:rsidRDefault="0080001D" w:rsidP="006F4E59">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45188336" w14:textId="308BC033" w:rsidR="0080001D" w:rsidRPr="00D609C2" w:rsidRDefault="0080001D" w:rsidP="006F4E59">
            <w:pPr>
              <w:jc w:val="right"/>
              <w:rPr>
                <w:rFonts w:cs="Arial"/>
                <w:b/>
                <w:bCs/>
              </w:rPr>
            </w:pPr>
            <w:r w:rsidRPr="00D609C2">
              <w:rPr>
                <w:rFonts w:cs="Arial"/>
                <w:b/>
                <w:bCs/>
              </w:rPr>
              <w:t>5</w:t>
            </w:r>
            <w:r>
              <w:rPr>
                <w:rFonts w:cs="Arial"/>
                <w:b/>
                <w:bCs/>
              </w:rPr>
              <w:t>88</w:t>
            </w:r>
          </w:p>
        </w:tc>
      </w:tr>
    </w:tbl>
    <w:p w14:paraId="22A3EB9E" w14:textId="77777777" w:rsidR="0080001D" w:rsidRDefault="0080001D" w:rsidP="0080001D">
      <w:pPr>
        <w:ind w:left="-142" w:right="-425"/>
        <w:jc w:val="both"/>
        <w:rPr>
          <w:rFonts w:cs="Arial"/>
        </w:rPr>
      </w:pPr>
    </w:p>
    <w:p w14:paraId="5D53EAA0" w14:textId="77777777" w:rsidR="005A5B78" w:rsidRPr="00143FBB" w:rsidRDefault="005A5B78" w:rsidP="00AE5461">
      <w:pPr>
        <w:pStyle w:val="Heading2"/>
      </w:pPr>
      <w:r w:rsidRPr="00143FBB">
        <w:t>Conferences</w:t>
      </w:r>
    </w:p>
    <w:p w14:paraId="3E20F69A" w14:textId="3C78DB5F" w:rsidR="00F81024" w:rsidRDefault="00914960" w:rsidP="00233EAC">
      <w:pPr>
        <w:ind w:left="-142" w:right="-425"/>
        <w:jc w:val="both"/>
        <w:rPr>
          <w:rFonts w:cs="Arial"/>
        </w:rPr>
      </w:pPr>
      <w:r>
        <w:rPr>
          <w:rFonts w:cs="Arial"/>
        </w:rPr>
        <w:t xml:space="preserve">The Commission’s operations were severely impacted by the widespread community transmission of the Omicron variant of COVID-19 </w:t>
      </w:r>
      <w:r w:rsidR="009E4B62">
        <w:rPr>
          <w:rFonts w:cs="Arial"/>
        </w:rPr>
        <w:t>during</w:t>
      </w:r>
      <w:r>
        <w:rPr>
          <w:rFonts w:cs="Arial"/>
        </w:rPr>
        <w:t xml:space="preserve"> the January to March 2022 quarter. For health and safety reasons conferences in general were suspended and did not resume until the </w:t>
      </w:r>
      <w:r w:rsidR="00143FBB">
        <w:rPr>
          <w:rFonts w:cs="Arial"/>
        </w:rPr>
        <w:t xml:space="preserve">last month </w:t>
      </w:r>
      <w:r>
        <w:rPr>
          <w:rFonts w:cs="Arial"/>
        </w:rPr>
        <w:t>of the reporting period. This is reflected in the data.</w:t>
      </w:r>
      <w:r w:rsidR="009E4B62">
        <w:rPr>
          <w:rFonts w:cs="Arial"/>
        </w:rPr>
        <w:t xml:space="preserve"> </w:t>
      </w:r>
      <w:r w:rsidR="00477E0E">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w:t>
      </w:r>
      <w:r w:rsidR="005E1684">
        <w:rPr>
          <w:rFonts w:cs="Arial"/>
        </w:rPr>
        <w:t>55</w:t>
      </w:r>
      <w:r w:rsidR="00A46793">
        <w:rPr>
          <w:rFonts w:cs="Arial"/>
        </w:rPr>
        <w:t xml:space="preserve"> </w:t>
      </w:r>
      <w:r w:rsidR="00CC41F3">
        <w:rPr>
          <w:rFonts w:cs="Arial"/>
        </w:rPr>
        <w:t xml:space="preserve">decreased </w:t>
      </w:r>
      <w:r w:rsidR="00562176">
        <w:rPr>
          <w:rFonts w:cs="Arial"/>
        </w:rPr>
        <w:t xml:space="preserve">from </w:t>
      </w:r>
      <w:r w:rsidR="00671B7B">
        <w:rPr>
          <w:rFonts w:cs="Arial"/>
        </w:rPr>
        <w:t xml:space="preserve">335 </w:t>
      </w:r>
      <w:r w:rsidR="00562176">
        <w:rPr>
          <w:rFonts w:cs="Arial"/>
        </w:rPr>
        <w:t xml:space="preserve">in quarter </w:t>
      </w:r>
      <w:r w:rsidR="000C0A83">
        <w:rPr>
          <w:rFonts w:cs="Arial"/>
        </w:rPr>
        <w:t>5</w:t>
      </w:r>
      <w:r w:rsidR="00671B7B">
        <w:rPr>
          <w:rFonts w:cs="Arial"/>
        </w:rPr>
        <w:t>4</w:t>
      </w:r>
      <w:r w:rsidR="00562176">
        <w:rPr>
          <w:rFonts w:cs="Arial"/>
        </w:rPr>
        <w:t xml:space="preserve"> to</w:t>
      </w:r>
      <w:r w:rsidR="00AE1804">
        <w:rPr>
          <w:rFonts w:cs="Arial"/>
        </w:rPr>
        <w:t xml:space="preserve"> </w:t>
      </w:r>
      <w:r w:rsidR="00671B7B">
        <w:rPr>
          <w:rFonts w:cs="Arial"/>
        </w:rPr>
        <w:t xml:space="preserve">118 </w:t>
      </w:r>
      <w:r w:rsidR="005A5B78" w:rsidRPr="00213E4C">
        <w:rPr>
          <w:rFonts w:cs="Arial"/>
        </w:rPr>
        <w:t>conferences</w:t>
      </w:r>
      <w:r w:rsidR="005A5B78" w:rsidRPr="0081647B">
        <w:rPr>
          <w:rStyle w:val="FootnoteReference"/>
        </w:rPr>
        <w:footnoteReference w:id="10"/>
      </w:r>
      <w:r w:rsidR="0051235F">
        <w:rPr>
          <w:rFonts w:cs="Arial"/>
        </w:rPr>
        <w:t xml:space="preserve"> </w:t>
      </w:r>
      <w:r w:rsidR="00E44EBF">
        <w:rPr>
          <w:rFonts w:cs="Arial"/>
        </w:rPr>
        <w:t>(</w:t>
      </w:r>
      <w:r w:rsidR="0051235F">
        <w:rPr>
          <w:rFonts w:cs="Arial"/>
        </w:rPr>
        <w:t xml:space="preserve">relating to </w:t>
      </w:r>
      <w:r w:rsidR="00671B7B">
        <w:rPr>
          <w:rFonts w:cs="Arial"/>
        </w:rPr>
        <w:t xml:space="preserve">115 </w:t>
      </w:r>
      <w:r w:rsidR="0051235F">
        <w:rPr>
          <w:rFonts w:cs="Arial"/>
        </w:rPr>
        <w:lastRenderedPageBreak/>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671B7B">
        <w:rPr>
          <w:rFonts w:cs="Arial"/>
        </w:rPr>
        <w:t>3</w:t>
      </w:r>
      <w:r w:rsidR="0022147C">
        <w:rPr>
          <w:rFonts w:cs="Arial"/>
        </w:rPr>
        <w:t>7</w:t>
      </w:r>
      <w:r w:rsidR="00671B7B"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671B7B">
        <w:rPr>
          <w:rFonts w:cs="Arial"/>
        </w:rPr>
        <w:t>, 28</w:t>
      </w:r>
      <w:r w:rsidR="00671B7B" w:rsidRPr="006220E1">
        <w:rPr>
          <w:rFonts w:cs="Arial"/>
        </w:rPr>
        <w:t xml:space="preserve"> </w:t>
      </w:r>
      <w:r w:rsidR="005A5B78" w:rsidRPr="006220E1">
        <w:rPr>
          <w:rFonts w:cs="Arial"/>
        </w:rPr>
        <w:t>orders to attend community support services</w:t>
      </w:r>
      <w:r w:rsidR="00CC41F3">
        <w:rPr>
          <w:rFonts w:cs="Arial"/>
        </w:rPr>
        <w:t xml:space="preserve"> </w:t>
      </w:r>
      <w:r w:rsidR="005A5B78" w:rsidRPr="006220E1">
        <w:rPr>
          <w:rFonts w:cs="Arial"/>
        </w:rPr>
        <w:t xml:space="preserve">and </w:t>
      </w:r>
      <w:r w:rsidR="00671B7B">
        <w:rPr>
          <w:rFonts w:cs="Arial"/>
        </w:rPr>
        <w:t>6</w:t>
      </w:r>
      <w:r w:rsidR="00671B7B"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w:t>
      </w:r>
      <w:r w:rsidR="00143FBB">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w:t>
      </w:r>
      <w:r w:rsidR="004A25CE">
        <w:rPr>
          <w:rFonts w:cs="Arial"/>
        </w:rPr>
        <w:t xml:space="preserve"> </w:t>
      </w:r>
      <w:r w:rsidR="00CC41F3">
        <w:rPr>
          <w:rFonts w:cs="Arial"/>
        </w:rPr>
        <w:t xml:space="preserve">decrease </w:t>
      </w:r>
      <w:r w:rsidR="00E53D2A" w:rsidRPr="006220E1">
        <w:rPr>
          <w:rFonts w:cs="Arial"/>
        </w:rPr>
        <w:t xml:space="preserve">of </w:t>
      </w:r>
      <w:r w:rsidR="00671B7B">
        <w:rPr>
          <w:rFonts w:cs="Arial"/>
        </w:rPr>
        <w:t>3</w:t>
      </w:r>
      <w:r w:rsidR="000B76A2">
        <w:rPr>
          <w:rFonts w:cs="Arial"/>
        </w:rPr>
        <w:t>6</w:t>
      </w:r>
      <w:r w:rsidR="00671B7B">
        <w:rPr>
          <w:rFonts w:cs="Arial"/>
        </w:rPr>
        <w:t xml:space="preserve"> </w:t>
      </w:r>
      <w:r w:rsidR="007727B0" w:rsidRPr="006220E1">
        <w:rPr>
          <w:rFonts w:cs="Arial"/>
        </w:rPr>
        <w:t>agreements to attend community support services</w:t>
      </w:r>
      <w:r w:rsidR="00F172D6">
        <w:rPr>
          <w:rFonts w:cs="Arial"/>
        </w:rPr>
        <w:t xml:space="preserve">, </w:t>
      </w:r>
      <w:r w:rsidR="00CC41F3">
        <w:rPr>
          <w:rFonts w:cs="Arial"/>
        </w:rPr>
        <w:t>a</w:t>
      </w:r>
      <w:r w:rsidR="00671B7B">
        <w:rPr>
          <w:rFonts w:cs="Arial"/>
        </w:rPr>
        <w:t xml:space="preserve"> decrease </w:t>
      </w:r>
      <w:r w:rsidR="00CC41F3">
        <w:rPr>
          <w:rFonts w:cs="Arial"/>
        </w:rPr>
        <w:t xml:space="preserve">of 1 agreement for CIM, </w:t>
      </w:r>
      <w:r w:rsidR="00F172D6">
        <w:rPr>
          <w:rFonts w:cs="Arial"/>
        </w:rPr>
        <w:t>a</w:t>
      </w:r>
      <w:r w:rsidR="00671B7B">
        <w:rPr>
          <w:rFonts w:cs="Arial"/>
        </w:rPr>
        <w:t xml:space="preserve">n increase </w:t>
      </w:r>
      <w:r w:rsidR="006D359E" w:rsidRPr="006220E1">
        <w:rPr>
          <w:rFonts w:cs="Arial"/>
        </w:rPr>
        <w:t xml:space="preserve">of </w:t>
      </w:r>
      <w:r w:rsidR="00B36790">
        <w:rPr>
          <w:rFonts w:cs="Arial"/>
        </w:rPr>
        <w:t>9</w:t>
      </w:r>
      <w:r w:rsidR="00B36790"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CC41F3">
        <w:rPr>
          <w:rFonts w:cs="Arial"/>
        </w:rPr>
        <w:t xml:space="preserve"> decrease</w:t>
      </w:r>
      <w:r w:rsidR="004A25CE">
        <w:rPr>
          <w:rFonts w:cs="Arial"/>
        </w:rPr>
        <w:t xml:space="preserve"> </w:t>
      </w:r>
      <w:r w:rsidR="006D359E" w:rsidRPr="006220E1">
        <w:rPr>
          <w:rFonts w:cs="Arial"/>
        </w:rPr>
        <w:t xml:space="preserve">of </w:t>
      </w:r>
      <w:r w:rsidR="00B36790">
        <w:rPr>
          <w:rFonts w:cs="Arial"/>
        </w:rPr>
        <w:t>22</w:t>
      </w:r>
      <w:r w:rsidR="00CC41F3"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proofErr w:type="gramStart"/>
      <w:r w:rsidR="00352196">
        <w:rPr>
          <w:rFonts w:cs="Arial"/>
        </w:rPr>
        <w:t>a number of</w:t>
      </w:r>
      <w:proofErr w:type="gramEnd"/>
      <w:r w:rsidR="00352196">
        <w:rPr>
          <w:rFonts w:cs="Arial"/>
        </w:rPr>
        <w:t xml:space="preserve">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33F8AF02" w:rsidR="00DD1B0A" w:rsidRDefault="005645FD" w:rsidP="00233EAC">
      <w:pPr>
        <w:ind w:left="-142" w:right="-425"/>
        <w:jc w:val="both"/>
        <w:rPr>
          <w:rFonts w:cs="Arial"/>
        </w:rPr>
      </w:pPr>
      <w:r>
        <w:rPr>
          <w:rFonts w:cs="Arial"/>
        </w:rPr>
        <w:t xml:space="preserve">Other outcomes </w:t>
      </w:r>
      <w:proofErr w:type="gramStart"/>
      <w:r>
        <w:rPr>
          <w:rFonts w:cs="Arial"/>
        </w:rPr>
        <w:t>as a result of</w:t>
      </w:r>
      <w:proofErr w:type="gramEnd"/>
      <w:r>
        <w:rPr>
          <w:rFonts w:cs="Arial"/>
        </w:rPr>
        <w:t xml:space="preserve">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803D0A">
        <w:t xml:space="preserve">Attendance at conference </w:t>
      </w:r>
      <w:r w:rsidR="0087228F">
        <w:t xml:space="preserve">increased </w:t>
      </w:r>
      <w:r w:rsidR="00803D0A">
        <w:t xml:space="preserve">from </w:t>
      </w:r>
      <w:r w:rsidR="0052714C">
        <w:t>60.6</w:t>
      </w:r>
      <w:r w:rsidR="00E720CE">
        <w:t xml:space="preserve"> </w:t>
      </w:r>
      <w:r w:rsidR="00FC7C1D">
        <w:rPr>
          <w:rFonts w:cs="Arial"/>
        </w:rPr>
        <w:t xml:space="preserve">percent </w:t>
      </w:r>
      <w:r w:rsidR="00803D0A">
        <w:t xml:space="preserve">in quarter </w:t>
      </w:r>
      <w:r w:rsidR="000C0A83">
        <w:t>5</w:t>
      </w:r>
      <w:r w:rsidR="0052714C">
        <w:t>4</w:t>
      </w:r>
      <w:r w:rsidR="00803D0A">
        <w:t xml:space="preserve"> to </w:t>
      </w:r>
      <w:r w:rsidR="0052714C">
        <w:t>70.3</w:t>
      </w:r>
      <w:r w:rsidR="00E720CE">
        <w:t xml:space="preserve"> </w:t>
      </w:r>
      <w:r w:rsidR="00FC7C1D">
        <w:rPr>
          <w:rFonts w:cs="Arial"/>
        </w:rPr>
        <w:t xml:space="preserve">percent </w:t>
      </w:r>
      <w:r w:rsidR="00803D0A">
        <w:t xml:space="preserve">in quarter </w:t>
      </w:r>
      <w:r w:rsidR="005E1684">
        <w:t>55</w:t>
      </w:r>
      <w:r w:rsidR="00803D0A">
        <w:t xml:space="preserve">, and non-attendance with what the Commissioners considered a reasonable justification </w:t>
      </w:r>
      <w:r w:rsidR="0052714C">
        <w:t xml:space="preserve">increased </w:t>
      </w:r>
      <w:r w:rsidR="00803D0A">
        <w:t xml:space="preserve">from </w:t>
      </w:r>
      <w:r w:rsidR="00D920E1">
        <w:t>2</w:t>
      </w:r>
      <w:r w:rsidR="0052714C">
        <w:t>2.7</w:t>
      </w:r>
      <w:r w:rsidR="00E720CE">
        <w:t xml:space="preserve"> </w:t>
      </w:r>
      <w:r w:rsidR="00FC7C1D">
        <w:rPr>
          <w:rFonts w:cs="Arial"/>
        </w:rPr>
        <w:t xml:space="preserve">percent </w:t>
      </w:r>
      <w:r w:rsidR="00803D0A">
        <w:t xml:space="preserve">in the previous quarter to </w:t>
      </w:r>
      <w:r w:rsidR="0052714C">
        <w:t>40.0</w:t>
      </w:r>
      <w:r w:rsidR="00E720CE">
        <w:t xml:space="preserve"> </w:t>
      </w:r>
      <w:r w:rsidR="00FC7C1D">
        <w:rPr>
          <w:rFonts w:cs="Arial"/>
        </w:rPr>
        <w:t xml:space="preserve">percent </w:t>
      </w:r>
      <w:r w:rsidR="00803D0A">
        <w:t>during this reporting period.</w:t>
      </w:r>
      <w:r w:rsidR="002534A2">
        <w:t xml:space="preserve"> </w:t>
      </w:r>
      <w:r w:rsidR="002534A2" w:rsidRPr="001F0A2E">
        <w:t xml:space="preserve">Reasons for </w:t>
      </w:r>
      <w:r w:rsidR="007D4490">
        <w:t xml:space="preserve">non-attendance </w:t>
      </w:r>
      <w:r w:rsidR="002534A2" w:rsidRPr="001F0A2E">
        <w:t xml:space="preserve">at conference </w:t>
      </w:r>
      <w:r w:rsidR="007D4490">
        <w:t xml:space="preserve">generally </w:t>
      </w:r>
      <w:r w:rsidR="002534A2" w:rsidRPr="001F0A2E">
        <w:t xml:space="preserve">include </w:t>
      </w:r>
      <w:r w:rsidR="007D4490">
        <w:t xml:space="preserve">the effects of </w:t>
      </w:r>
      <w:r w:rsidR="002534A2" w:rsidRPr="001F0A2E">
        <w:t>community unrest</w:t>
      </w:r>
      <w:r w:rsidR="007D4490">
        <w:t xml:space="preserve">, the occurrence of </w:t>
      </w:r>
      <w:r w:rsidR="002534A2" w:rsidRPr="001F0A2E">
        <w:t>funerals</w:t>
      </w:r>
      <w:r w:rsidR="00D85A77" w:rsidRPr="001F0A2E">
        <w:t xml:space="preserve"> and associated Sorry Business</w:t>
      </w:r>
      <w:r w:rsidR="007978B1">
        <w:t xml:space="preserve">, illness, </w:t>
      </w:r>
      <w:r w:rsidR="00FB4B1F">
        <w:t>carer</w:t>
      </w:r>
      <w:r w:rsidR="007978B1">
        <w:t xml:space="preserve"> responsibilities and absence from community.</w:t>
      </w:r>
      <w:r w:rsidR="00114AA4">
        <w:rPr>
          <w:rFonts w:cs="Arial"/>
        </w:rPr>
        <w:t xml:space="preserve"> Refer to the application outcomes section of this report for matters heard under an amend/end application hearing process.</w:t>
      </w:r>
    </w:p>
    <w:p w14:paraId="6C2986ED" w14:textId="00D9BFA1" w:rsidR="0051235F" w:rsidRDefault="0051235F" w:rsidP="00233EAC">
      <w:pPr>
        <w:ind w:left="-142" w:right="-425"/>
        <w:jc w:val="both"/>
        <w:rPr>
          <w:rFonts w:cs="Arial"/>
        </w:rPr>
      </w:pPr>
    </w:p>
    <w:p w14:paraId="5C9C5660" w14:textId="425D5062" w:rsidR="0080001D" w:rsidRPr="00D925BE" w:rsidRDefault="0080001D" w:rsidP="0080001D">
      <w:pPr>
        <w:spacing w:after="120" w:line="240" w:lineRule="auto"/>
        <w:ind w:right="-425"/>
        <w:jc w:val="both"/>
        <w:rPr>
          <w:b/>
          <w:sz w:val="16"/>
          <w:szCs w:val="16"/>
        </w:rPr>
      </w:pPr>
      <w:r w:rsidRPr="00D93672">
        <w:rPr>
          <w:b/>
          <w:sz w:val="16"/>
          <w:szCs w:val="16"/>
        </w:rPr>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Pr>
          <w:sz w:val="16"/>
          <w:szCs w:val="16"/>
        </w:rPr>
        <w:t>January</w:t>
      </w:r>
      <w:r>
        <w:rPr>
          <w:sz w:val="16"/>
          <w:szCs w:val="16"/>
        </w:rPr>
        <w:t xml:space="preserve"> 202</w:t>
      </w:r>
      <w:r>
        <w:rPr>
          <w:sz w:val="16"/>
          <w:szCs w:val="16"/>
        </w:rPr>
        <w:t>1</w:t>
      </w:r>
      <w:r>
        <w:rPr>
          <w:sz w:val="16"/>
          <w:szCs w:val="16"/>
        </w:rPr>
        <w:t xml:space="preserve"> to 31 </w:t>
      </w:r>
      <w:r>
        <w:rPr>
          <w:sz w:val="16"/>
          <w:szCs w:val="16"/>
        </w:rPr>
        <w:t>March</w:t>
      </w:r>
      <w:r>
        <w:rPr>
          <w:sz w:val="16"/>
          <w:szCs w:val="16"/>
        </w:rPr>
        <w:t xml:space="preserve"> 202</w:t>
      </w:r>
      <w:r>
        <w:rPr>
          <w:sz w:val="16"/>
          <w:szCs w:val="16"/>
        </w:rPr>
        <w:t>2</w:t>
      </w:r>
    </w:p>
    <w:tbl>
      <w:tblPr>
        <w:tblW w:w="6880" w:type="dxa"/>
        <w:tblInd w:w="93" w:type="dxa"/>
        <w:tblLook w:val="04A0" w:firstRow="1" w:lastRow="0" w:firstColumn="1" w:lastColumn="0" w:noHBand="0" w:noVBand="1"/>
      </w:tblPr>
      <w:tblGrid>
        <w:gridCol w:w="2080"/>
        <w:gridCol w:w="960"/>
        <w:gridCol w:w="960"/>
        <w:gridCol w:w="960"/>
        <w:gridCol w:w="960"/>
        <w:gridCol w:w="960"/>
      </w:tblGrid>
      <w:tr w:rsidR="0080001D" w:rsidRPr="00C5395B" w14:paraId="41F59EC9" w14:textId="06E9EE94" w:rsidTr="0080001D">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74AA97C9" w14:textId="77777777" w:rsidR="0080001D" w:rsidRPr="00C5395B" w:rsidRDefault="0080001D" w:rsidP="006F4E59">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0897F4A" w14:textId="77777777" w:rsidR="0080001D" w:rsidRDefault="0080001D" w:rsidP="006F4E59">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05E4E798" w14:textId="77777777" w:rsidR="0080001D" w:rsidRDefault="0080001D" w:rsidP="006F4E59">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39955E0D" w14:textId="77777777" w:rsidR="0080001D" w:rsidRDefault="0080001D" w:rsidP="006F4E59">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3245FC87" w14:textId="77777777" w:rsidR="0080001D" w:rsidRDefault="0080001D" w:rsidP="006F4E59">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57725392" w14:textId="69D77BBE" w:rsidR="0080001D" w:rsidRDefault="0080001D" w:rsidP="006F4E59">
            <w:pPr>
              <w:pStyle w:val="TableText"/>
              <w:jc w:val="right"/>
              <w:rPr>
                <w:b/>
                <w:lang w:eastAsia="en-AU"/>
              </w:rPr>
            </w:pPr>
            <w:r>
              <w:rPr>
                <w:b/>
                <w:lang w:eastAsia="en-AU"/>
              </w:rPr>
              <w:t>Qtr 55</w:t>
            </w:r>
          </w:p>
        </w:tc>
      </w:tr>
      <w:tr w:rsidR="0080001D" w:rsidRPr="00C5395B" w14:paraId="7D053418" w14:textId="57FCE908" w:rsidTr="0080001D">
        <w:trPr>
          <w:trHeight w:val="255"/>
        </w:trPr>
        <w:tc>
          <w:tcPr>
            <w:tcW w:w="2080" w:type="dxa"/>
            <w:tcBorders>
              <w:top w:val="nil"/>
              <w:left w:val="single" w:sz="4" w:space="0" w:color="auto"/>
              <w:bottom w:val="single" w:sz="4" w:space="0" w:color="auto"/>
              <w:right w:val="single" w:sz="4" w:space="0" w:color="auto"/>
            </w:tcBorders>
            <w:noWrap/>
            <w:hideMark/>
          </w:tcPr>
          <w:p w14:paraId="06D95366" w14:textId="77777777" w:rsidR="0080001D" w:rsidRPr="00C5395B" w:rsidRDefault="0080001D" w:rsidP="006F4E59">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vAlign w:val="bottom"/>
          </w:tcPr>
          <w:p w14:paraId="5B972A56" w14:textId="77777777" w:rsidR="0080001D" w:rsidRDefault="0080001D" w:rsidP="006F4E59">
            <w:pPr>
              <w:jc w:val="right"/>
              <w:rPr>
                <w:rFonts w:cs="Arial"/>
              </w:rPr>
            </w:pPr>
            <w:r w:rsidRPr="00F832E3">
              <w:rPr>
                <w:rFonts w:cs="Arial"/>
              </w:rPr>
              <w:t>145</w:t>
            </w:r>
          </w:p>
        </w:tc>
        <w:tc>
          <w:tcPr>
            <w:tcW w:w="960" w:type="dxa"/>
            <w:tcBorders>
              <w:top w:val="nil"/>
              <w:left w:val="nil"/>
              <w:bottom w:val="single" w:sz="4" w:space="0" w:color="auto"/>
              <w:right w:val="single" w:sz="4" w:space="0" w:color="auto"/>
            </w:tcBorders>
          </w:tcPr>
          <w:p w14:paraId="514006DF" w14:textId="77777777" w:rsidR="0080001D" w:rsidRPr="00B8398E" w:rsidRDefault="0080001D" w:rsidP="006F4E59">
            <w:pPr>
              <w:jc w:val="right"/>
              <w:rPr>
                <w:rFonts w:cs="Arial"/>
              </w:rPr>
            </w:pPr>
            <w:r w:rsidRPr="0078302F">
              <w:rPr>
                <w:rFonts w:cs="Arial"/>
              </w:rPr>
              <w:t>145</w:t>
            </w:r>
          </w:p>
        </w:tc>
        <w:tc>
          <w:tcPr>
            <w:tcW w:w="960" w:type="dxa"/>
            <w:tcBorders>
              <w:top w:val="nil"/>
              <w:left w:val="nil"/>
              <w:bottom w:val="single" w:sz="4" w:space="0" w:color="auto"/>
              <w:right w:val="single" w:sz="4" w:space="0" w:color="auto"/>
            </w:tcBorders>
          </w:tcPr>
          <w:p w14:paraId="20548CDA" w14:textId="77777777" w:rsidR="0080001D" w:rsidRPr="0078302F" w:rsidRDefault="0080001D" w:rsidP="006F4E59">
            <w:pPr>
              <w:jc w:val="right"/>
              <w:rPr>
                <w:rFonts w:cs="Arial"/>
              </w:rPr>
            </w:pPr>
            <w:r w:rsidRPr="003A524F">
              <w:rPr>
                <w:rFonts w:cs="Arial"/>
              </w:rPr>
              <w:t>162</w:t>
            </w:r>
          </w:p>
        </w:tc>
        <w:tc>
          <w:tcPr>
            <w:tcW w:w="960" w:type="dxa"/>
            <w:tcBorders>
              <w:top w:val="nil"/>
              <w:left w:val="nil"/>
              <w:bottom w:val="single" w:sz="4" w:space="0" w:color="auto"/>
              <w:right w:val="single" w:sz="4" w:space="0" w:color="auto"/>
            </w:tcBorders>
          </w:tcPr>
          <w:p w14:paraId="66AC59FD" w14:textId="77777777" w:rsidR="0080001D" w:rsidRPr="003A524F" w:rsidRDefault="0080001D" w:rsidP="006F4E59">
            <w:pPr>
              <w:jc w:val="right"/>
              <w:rPr>
                <w:rFonts w:cs="Arial"/>
              </w:rPr>
            </w:pPr>
            <w:r>
              <w:rPr>
                <w:rFonts w:cs="Arial"/>
              </w:rPr>
              <w:t>128</w:t>
            </w:r>
          </w:p>
        </w:tc>
        <w:tc>
          <w:tcPr>
            <w:tcW w:w="960" w:type="dxa"/>
            <w:tcBorders>
              <w:top w:val="nil"/>
              <w:left w:val="nil"/>
              <w:bottom w:val="single" w:sz="4" w:space="0" w:color="auto"/>
              <w:right w:val="single" w:sz="4" w:space="0" w:color="auto"/>
            </w:tcBorders>
          </w:tcPr>
          <w:p w14:paraId="1C84CA19" w14:textId="3A245196" w:rsidR="0080001D" w:rsidRDefault="0080001D" w:rsidP="006F4E59">
            <w:pPr>
              <w:jc w:val="right"/>
              <w:rPr>
                <w:rFonts w:cs="Arial"/>
              </w:rPr>
            </w:pPr>
            <w:r>
              <w:rPr>
                <w:rFonts w:cs="Arial"/>
              </w:rPr>
              <w:t>39</w:t>
            </w:r>
          </w:p>
        </w:tc>
      </w:tr>
      <w:tr w:rsidR="0080001D" w:rsidRPr="00C5395B" w14:paraId="1BBE44FF" w14:textId="2D49F407" w:rsidTr="0080001D">
        <w:trPr>
          <w:trHeight w:val="255"/>
        </w:trPr>
        <w:tc>
          <w:tcPr>
            <w:tcW w:w="2080" w:type="dxa"/>
            <w:tcBorders>
              <w:top w:val="nil"/>
              <w:left w:val="single" w:sz="4" w:space="0" w:color="auto"/>
              <w:bottom w:val="single" w:sz="4" w:space="0" w:color="auto"/>
              <w:right w:val="single" w:sz="4" w:space="0" w:color="auto"/>
            </w:tcBorders>
            <w:noWrap/>
            <w:hideMark/>
          </w:tcPr>
          <w:p w14:paraId="4BAC8038" w14:textId="77777777" w:rsidR="0080001D" w:rsidRPr="00C5395B" w:rsidRDefault="0080001D" w:rsidP="006F4E59">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vAlign w:val="bottom"/>
          </w:tcPr>
          <w:p w14:paraId="5CADF13B" w14:textId="77777777" w:rsidR="0080001D" w:rsidRDefault="0080001D" w:rsidP="006F4E59">
            <w:pPr>
              <w:jc w:val="right"/>
              <w:rPr>
                <w:rFonts w:cs="Arial"/>
              </w:rPr>
            </w:pPr>
            <w:r w:rsidRPr="00F832E3">
              <w:rPr>
                <w:rFonts w:cs="Arial"/>
              </w:rPr>
              <w:t>9</w:t>
            </w:r>
          </w:p>
        </w:tc>
        <w:tc>
          <w:tcPr>
            <w:tcW w:w="960" w:type="dxa"/>
            <w:tcBorders>
              <w:top w:val="nil"/>
              <w:left w:val="nil"/>
              <w:bottom w:val="single" w:sz="4" w:space="0" w:color="auto"/>
              <w:right w:val="single" w:sz="4" w:space="0" w:color="auto"/>
            </w:tcBorders>
          </w:tcPr>
          <w:p w14:paraId="180C3F06" w14:textId="77777777" w:rsidR="0080001D" w:rsidRPr="00B8398E" w:rsidRDefault="0080001D" w:rsidP="006F4E59">
            <w:pPr>
              <w:jc w:val="right"/>
              <w:rPr>
                <w:rFonts w:cs="Arial"/>
              </w:rPr>
            </w:pPr>
            <w:r w:rsidRPr="0078302F">
              <w:rPr>
                <w:rFonts w:cs="Arial"/>
              </w:rPr>
              <w:t>26</w:t>
            </w:r>
          </w:p>
        </w:tc>
        <w:tc>
          <w:tcPr>
            <w:tcW w:w="960" w:type="dxa"/>
            <w:tcBorders>
              <w:top w:val="nil"/>
              <w:left w:val="nil"/>
              <w:bottom w:val="single" w:sz="4" w:space="0" w:color="auto"/>
              <w:right w:val="single" w:sz="4" w:space="0" w:color="auto"/>
            </w:tcBorders>
          </w:tcPr>
          <w:p w14:paraId="28DA93CF" w14:textId="77777777" w:rsidR="0080001D" w:rsidRPr="0078302F" w:rsidRDefault="0080001D" w:rsidP="006F4E59">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646542BD" w14:textId="77777777" w:rsidR="0080001D" w:rsidRPr="003A524F" w:rsidRDefault="0080001D" w:rsidP="006F4E59">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09238D4F" w14:textId="1E5AB01A" w:rsidR="0080001D" w:rsidRDefault="0080001D" w:rsidP="006F4E59">
            <w:pPr>
              <w:jc w:val="right"/>
              <w:rPr>
                <w:rFonts w:cs="Arial"/>
              </w:rPr>
            </w:pPr>
            <w:r>
              <w:rPr>
                <w:rFonts w:cs="Arial"/>
              </w:rPr>
              <w:t>7</w:t>
            </w:r>
          </w:p>
        </w:tc>
      </w:tr>
      <w:tr w:rsidR="0080001D" w:rsidRPr="00C5395B" w14:paraId="6456C19B" w14:textId="33F0BE3B" w:rsidTr="0080001D">
        <w:trPr>
          <w:trHeight w:val="255"/>
        </w:trPr>
        <w:tc>
          <w:tcPr>
            <w:tcW w:w="2080" w:type="dxa"/>
            <w:tcBorders>
              <w:top w:val="nil"/>
              <w:left w:val="single" w:sz="4" w:space="0" w:color="auto"/>
              <w:bottom w:val="single" w:sz="4" w:space="0" w:color="auto"/>
              <w:right w:val="single" w:sz="4" w:space="0" w:color="auto"/>
            </w:tcBorders>
            <w:noWrap/>
          </w:tcPr>
          <w:p w14:paraId="6D69B989" w14:textId="77777777" w:rsidR="0080001D" w:rsidRPr="00C5395B" w:rsidRDefault="0080001D" w:rsidP="006F4E59">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vAlign w:val="bottom"/>
          </w:tcPr>
          <w:p w14:paraId="68CB7EA0" w14:textId="77777777" w:rsidR="0080001D" w:rsidRDefault="0080001D" w:rsidP="006F4E59">
            <w:pPr>
              <w:jc w:val="right"/>
              <w:rPr>
                <w:rFonts w:cs="Arial"/>
              </w:rPr>
            </w:pPr>
            <w:r w:rsidRPr="00F832E3">
              <w:rPr>
                <w:rFonts w:cs="Arial"/>
              </w:rPr>
              <w:t>117</w:t>
            </w:r>
          </w:p>
        </w:tc>
        <w:tc>
          <w:tcPr>
            <w:tcW w:w="960" w:type="dxa"/>
            <w:tcBorders>
              <w:top w:val="nil"/>
              <w:left w:val="nil"/>
              <w:bottom w:val="single" w:sz="4" w:space="0" w:color="auto"/>
              <w:right w:val="single" w:sz="4" w:space="0" w:color="auto"/>
            </w:tcBorders>
          </w:tcPr>
          <w:p w14:paraId="61C5A461" w14:textId="77777777" w:rsidR="0080001D" w:rsidRPr="00B8398E" w:rsidRDefault="0080001D" w:rsidP="006F4E59">
            <w:pPr>
              <w:jc w:val="right"/>
              <w:rPr>
                <w:rFonts w:cs="Arial"/>
              </w:rPr>
            </w:pPr>
            <w:r w:rsidRPr="0078302F">
              <w:rPr>
                <w:rFonts w:cs="Arial"/>
              </w:rPr>
              <w:t>93</w:t>
            </w:r>
          </w:p>
        </w:tc>
        <w:tc>
          <w:tcPr>
            <w:tcW w:w="960" w:type="dxa"/>
            <w:tcBorders>
              <w:top w:val="nil"/>
              <w:left w:val="nil"/>
              <w:bottom w:val="single" w:sz="4" w:space="0" w:color="auto"/>
              <w:right w:val="single" w:sz="4" w:space="0" w:color="auto"/>
            </w:tcBorders>
          </w:tcPr>
          <w:p w14:paraId="763FF86C" w14:textId="77777777" w:rsidR="0080001D" w:rsidRPr="0078302F" w:rsidRDefault="0080001D" w:rsidP="006F4E59">
            <w:pPr>
              <w:jc w:val="right"/>
              <w:rPr>
                <w:rFonts w:cs="Arial"/>
              </w:rPr>
            </w:pPr>
            <w:r w:rsidRPr="003A524F">
              <w:rPr>
                <w:rFonts w:cs="Arial"/>
              </w:rPr>
              <w:t>140</w:t>
            </w:r>
          </w:p>
        </w:tc>
        <w:tc>
          <w:tcPr>
            <w:tcW w:w="960" w:type="dxa"/>
            <w:tcBorders>
              <w:top w:val="nil"/>
              <w:left w:val="nil"/>
              <w:bottom w:val="single" w:sz="4" w:space="0" w:color="auto"/>
              <w:right w:val="single" w:sz="4" w:space="0" w:color="auto"/>
            </w:tcBorders>
          </w:tcPr>
          <w:p w14:paraId="0F2A499D" w14:textId="77777777" w:rsidR="0080001D" w:rsidRPr="003A524F" w:rsidRDefault="0080001D" w:rsidP="006F4E59">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35BEAF8E" w14:textId="7FF9F6C2" w:rsidR="0080001D" w:rsidRDefault="0080001D" w:rsidP="006F4E59">
            <w:pPr>
              <w:jc w:val="right"/>
              <w:rPr>
                <w:rFonts w:cs="Arial"/>
              </w:rPr>
            </w:pPr>
            <w:r>
              <w:rPr>
                <w:rFonts w:cs="Arial"/>
              </w:rPr>
              <w:t>40</w:t>
            </w:r>
          </w:p>
        </w:tc>
      </w:tr>
      <w:tr w:rsidR="0080001D" w:rsidRPr="00C5395B" w14:paraId="52FF115E" w14:textId="6F61B76B" w:rsidTr="0080001D">
        <w:trPr>
          <w:trHeight w:val="255"/>
        </w:trPr>
        <w:tc>
          <w:tcPr>
            <w:tcW w:w="2080" w:type="dxa"/>
            <w:tcBorders>
              <w:top w:val="nil"/>
              <w:left w:val="single" w:sz="4" w:space="0" w:color="auto"/>
              <w:bottom w:val="single" w:sz="4" w:space="0" w:color="auto"/>
              <w:right w:val="single" w:sz="4" w:space="0" w:color="auto"/>
            </w:tcBorders>
            <w:noWrap/>
            <w:hideMark/>
          </w:tcPr>
          <w:p w14:paraId="6F4E52A3" w14:textId="77777777" w:rsidR="0080001D" w:rsidRPr="00C5395B" w:rsidRDefault="0080001D" w:rsidP="006F4E59">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vAlign w:val="bottom"/>
          </w:tcPr>
          <w:p w14:paraId="6ACF16E9" w14:textId="77777777" w:rsidR="0080001D" w:rsidRDefault="0080001D" w:rsidP="006F4E59">
            <w:pPr>
              <w:jc w:val="right"/>
              <w:rPr>
                <w:rFonts w:cs="Arial"/>
              </w:rPr>
            </w:pPr>
            <w:r w:rsidRPr="00F832E3">
              <w:rPr>
                <w:rFonts w:cs="Arial"/>
              </w:rPr>
              <w:t>74</w:t>
            </w:r>
          </w:p>
        </w:tc>
        <w:tc>
          <w:tcPr>
            <w:tcW w:w="960" w:type="dxa"/>
            <w:tcBorders>
              <w:top w:val="nil"/>
              <w:left w:val="nil"/>
              <w:bottom w:val="single" w:sz="4" w:space="0" w:color="auto"/>
              <w:right w:val="single" w:sz="4" w:space="0" w:color="auto"/>
            </w:tcBorders>
          </w:tcPr>
          <w:p w14:paraId="25AECBDA" w14:textId="77777777" w:rsidR="0080001D" w:rsidRPr="00B8398E" w:rsidRDefault="0080001D" w:rsidP="006F4E59">
            <w:pPr>
              <w:jc w:val="right"/>
              <w:rPr>
                <w:rFonts w:cs="Arial"/>
              </w:rPr>
            </w:pPr>
            <w:r w:rsidRPr="0078302F">
              <w:rPr>
                <w:rFonts w:cs="Arial"/>
              </w:rPr>
              <w:t>60</w:t>
            </w:r>
          </w:p>
        </w:tc>
        <w:tc>
          <w:tcPr>
            <w:tcW w:w="960" w:type="dxa"/>
            <w:tcBorders>
              <w:top w:val="nil"/>
              <w:left w:val="nil"/>
              <w:bottom w:val="single" w:sz="4" w:space="0" w:color="auto"/>
              <w:right w:val="single" w:sz="4" w:space="0" w:color="auto"/>
            </w:tcBorders>
          </w:tcPr>
          <w:p w14:paraId="3DCF308E" w14:textId="77777777" w:rsidR="0080001D" w:rsidRPr="0078302F" w:rsidRDefault="0080001D" w:rsidP="006F4E59">
            <w:pPr>
              <w:jc w:val="right"/>
              <w:rPr>
                <w:rFonts w:cs="Arial"/>
              </w:rPr>
            </w:pPr>
            <w:r w:rsidRPr="003A524F">
              <w:rPr>
                <w:rFonts w:cs="Arial"/>
              </w:rPr>
              <w:t>50</w:t>
            </w:r>
          </w:p>
        </w:tc>
        <w:tc>
          <w:tcPr>
            <w:tcW w:w="960" w:type="dxa"/>
            <w:tcBorders>
              <w:top w:val="nil"/>
              <w:left w:val="nil"/>
              <w:bottom w:val="single" w:sz="4" w:space="0" w:color="auto"/>
              <w:right w:val="single" w:sz="4" w:space="0" w:color="auto"/>
            </w:tcBorders>
          </w:tcPr>
          <w:p w14:paraId="50868091" w14:textId="77777777" w:rsidR="0080001D" w:rsidRPr="003A524F" w:rsidRDefault="0080001D" w:rsidP="006F4E59">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12C68619" w14:textId="44D3D960" w:rsidR="0080001D" w:rsidRDefault="0080001D" w:rsidP="006F4E59">
            <w:pPr>
              <w:jc w:val="right"/>
              <w:rPr>
                <w:rFonts w:cs="Arial"/>
              </w:rPr>
            </w:pPr>
            <w:r>
              <w:rPr>
                <w:rFonts w:cs="Arial"/>
              </w:rPr>
              <w:t>21</w:t>
            </w:r>
          </w:p>
        </w:tc>
      </w:tr>
      <w:tr w:rsidR="0080001D" w:rsidRPr="00C5395B" w14:paraId="759F3976" w14:textId="65133B3B" w:rsidTr="0080001D">
        <w:trPr>
          <w:trHeight w:val="255"/>
        </w:trPr>
        <w:tc>
          <w:tcPr>
            <w:tcW w:w="2080" w:type="dxa"/>
            <w:tcBorders>
              <w:top w:val="nil"/>
              <w:left w:val="single" w:sz="4" w:space="0" w:color="auto"/>
              <w:bottom w:val="single" w:sz="4" w:space="0" w:color="auto"/>
              <w:right w:val="single" w:sz="4" w:space="0" w:color="auto"/>
            </w:tcBorders>
            <w:noWrap/>
            <w:hideMark/>
          </w:tcPr>
          <w:p w14:paraId="1E4A230F" w14:textId="77777777" w:rsidR="0080001D" w:rsidRPr="00C5395B" w:rsidRDefault="0080001D" w:rsidP="006F4E59">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vAlign w:val="bottom"/>
          </w:tcPr>
          <w:p w14:paraId="4B7699A9" w14:textId="77777777" w:rsidR="0080001D" w:rsidRDefault="0080001D" w:rsidP="006F4E59">
            <w:pPr>
              <w:jc w:val="right"/>
              <w:rPr>
                <w:rFonts w:cs="Arial"/>
              </w:rPr>
            </w:pPr>
            <w:r w:rsidRPr="00F832E3">
              <w:rPr>
                <w:rFonts w:cs="Arial"/>
              </w:rPr>
              <w:t>26</w:t>
            </w:r>
          </w:p>
        </w:tc>
        <w:tc>
          <w:tcPr>
            <w:tcW w:w="960" w:type="dxa"/>
            <w:tcBorders>
              <w:top w:val="nil"/>
              <w:left w:val="nil"/>
              <w:bottom w:val="single" w:sz="4" w:space="0" w:color="auto"/>
              <w:right w:val="single" w:sz="4" w:space="0" w:color="auto"/>
            </w:tcBorders>
          </w:tcPr>
          <w:p w14:paraId="1FF1D4F8" w14:textId="77777777" w:rsidR="0080001D" w:rsidRPr="00B8398E" w:rsidRDefault="0080001D" w:rsidP="006F4E59">
            <w:pPr>
              <w:jc w:val="right"/>
              <w:rPr>
                <w:rFonts w:cs="Arial"/>
              </w:rPr>
            </w:pPr>
            <w:r w:rsidRPr="0078302F">
              <w:rPr>
                <w:rFonts w:cs="Arial"/>
              </w:rPr>
              <w:t>41</w:t>
            </w:r>
          </w:p>
        </w:tc>
        <w:tc>
          <w:tcPr>
            <w:tcW w:w="960" w:type="dxa"/>
            <w:tcBorders>
              <w:top w:val="nil"/>
              <w:left w:val="nil"/>
              <w:bottom w:val="single" w:sz="4" w:space="0" w:color="auto"/>
              <w:right w:val="single" w:sz="4" w:space="0" w:color="auto"/>
            </w:tcBorders>
          </w:tcPr>
          <w:p w14:paraId="1B83E924" w14:textId="77777777" w:rsidR="0080001D" w:rsidRPr="0078302F" w:rsidRDefault="0080001D" w:rsidP="006F4E59">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2E93C2A6" w14:textId="77777777" w:rsidR="0080001D" w:rsidRPr="003A524F" w:rsidRDefault="0080001D" w:rsidP="006F4E59">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2DD43195" w14:textId="54D629CD" w:rsidR="0080001D" w:rsidRDefault="0080001D" w:rsidP="006F4E59">
            <w:pPr>
              <w:jc w:val="right"/>
              <w:rPr>
                <w:rFonts w:cs="Arial"/>
              </w:rPr>
            </w:pPr>
            <w:r>
              <w:rPr>
                <w:rFonts w:cs="Arial"/>
              </w:rPr>
              <w:t>11</w:t>
            </w:r>
          </w:p>
        </w:tc>
      </w:tr>
      <w:tr w:rsidR="0080001D" w:rsidRPr="00C5395B" w14:paraId="44433F76" w14:textId="407EF13A" w:rsidTr="0080001D">
        <w:trPr>
          <w:trHeight w:val="255"/>
        </w:trPr>
        <w:tc>
          <w:tcPr>
            <w:tcW w:w="2080" w:type="dxa"/>
            <w:tcBorders>
              <w:top w:val="nil"/>
              <w:left w:val="single" w:sz="4" w:space="0" w:color="auto"/>
              <w:bottom w:val="single" w:sz="4" w:space="0" w:color="auto"/>
              <w:right w:val="single" w:sz="4" w:space="0" w:color="auto"/>
            </w:tcBorders>
            <w:noWrap/>
            <w:hideMark/>
          </w:tcPr>
          <w:p w14:paraId="786C57EE" w14:textId="77777777" w:rsidR="0080001D" w:rsidRPr="00C5395B" w:rsidRDefault="0080001D" w:rsidP="006F4E59">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vAlign w:val="bottom"/>
          </w:tcPr>
          <w:p w14:paraId="23B246AB" w14:textId="77777777" w:rsidR="0080001D" w:rsidRDefault="0080001D" w:rsidP="006F4E59">
            <w:pPr>
              <w:jc w:val="right"/>
              <w:rPr>
                <w:rFonts w:cs="Arial"/>
                <w:b/>
                <w:bCs/>
              </w:rPr>
            </w:pPr>
            <w:r w:rsidRPr="00F832E3">
              <w:rPr>
                <w:rFonts w:cs="Arial"/>
                <w:b/>
                <w:bCs/>
              </w:rPr>
              <w:t>371</w:t>
            </w:r>
          </w:p>
        </w:tc>
        <w:tc>
          <w:tcPr>
            <w:tcW w:w="960" w:type="dxa"/>
            <w:tcBorders>
              <w:top w:val="nil"/>
              <w:left w:val="nil"/>
              <w:bottom w:val="single" w:sz="4" w:space="0" w:color="auto"/>
              <w:right w:val="single" w:sz="4" w:space="0" w:color="auto"/>
            </w:tcBorders>
          </w:tcPr>
          <w:p w14:paraId="094DC8F2" w14:textId="77777777" w:rsidR="0080001D" w:rsidRPr="00B8398E" w:rsidRDefault="0080001D" w:rsidP="006F4E59">
            <w:pPr>
              <w:jc w:val="right"/>
              <w:rPr>
                <w:rFonts w:cs="Arial"/>
                <w:b/>
                <w:bCs/>
              </w:rPr>
            </w:pPr>
            <w:r w:rsidRPr="0078302F">
              <w:rPr>
                <w:rFonts w:cs="Arial"/>
                <w:b/>
                <w:bCs/>
              </w:rPr>
              <w:t>365</w:t>
            </w:r>
          </w:p>
        </w:tc>
        <w:tc>
          <w:tcPr>
            <w:tcW w:w="960" w:type="dxa"/>
            <w:tcBorders>
              <w:top w:val="nil"/>
              <w:left w:val="nil"/>
              <w:bottom w:val="single" w:sz="4" w:space="0" w:color="auto"/>
              <w:right w:val="single" w:sz="4" w:space="0" w:color="auto"/>
            </w:tcBorders>
          </w:tcPr>
          <w:p w14:paraId="08228F95" w14:textId="77777777" w:rsidR="0080001D" w:rsidRPr="003A524F" w:rsidRDefault="0080001D" w:rsidP="006F4E59">
            <w:pPr>
              <w:jc w:val="right"/>
              <w:rPr>
                <w:rFonts w:cs="Arial"/>
                <w:b/>
                <w:bCs/>
              </w:rPr>
            </w:pPr>
            <w:r w:rsidRPr="003A524F">
              <w:rPr>
                <w:rFonts w:cs="Arial"/>
                <w:b/>
                <w:bCs/>
              </w:rPr>
              <w:t>396</w:t>
            </w:r>
          </w:p>
        </w:tc>
        <w:tc>
          <w:tcPr>
            <w:tcW w:w="960" w:type="dxa"/>
            <w:tcBorders>
              <w:top w:val="nil"/>
              <w:left w:val="nil"/>
              <w:bottom w:val="single" w:sz="4" w:space="0" w:color="auto"/>
              <w:right w:val="single" w:sz="4" w:space="0" w:color="auto"/>
            </w:tcBorders>
          </w:tcPr>
          <w:p w14:paraId="30EB0C4A" w14:textId="77777777" w:rsidR="0080001D" w:rsidRPr="003A524F" w:rsidRDefault="0080001D" w:rsidP="006F4E59">
            <w:pPr>
              <w:jc w:val="right"/>
              <w:rPr>
                <w:rFonts w:cs="Arial"/>
                <w:b/>
                <w:bCs/>
              </w:rPr>
            </w:pPr>
            <w:r>
              <w:rPr>
                <w:rFonts w:cs="Arial"/>
                <w:b/>
                <w:bCs/>
              </w:rPr>
              <w:t>335</w:t>
            </w:r>
          </w:p>
        </w:tc>
        <w:tc>
          <w:tcPr>
            <w:tcW w:w="960" w:type="dxa"/>
            <w:tcBorders>
              <w:top w:val="nil"/>
              <w:left w:val="nil"/>
              <w:bottom w:val="single" w:sz="4" w:space="0" w:color="auto"/>
              <w:right w:val="single" w:sz="4" w:space="0" w:color="auto"/>
            </w:tcBorders>
          </w:tcPr>
          <w:p w14:paraId="60F91E94" w14:textId="77F303A5" w:rsidR="0080001D" w:rsidRDefault="0080001D" w:rsidP="006F4E59">
            <w:pPr>
              <w:jc w:val="right"/>
              <w:rPr>
                <w:rFonts w:cs="Arial"/>
                <w:b/>
                <w:bCs/>
              </w:rPr>
            </w:pPr>
            <w:r>
              <w:rPr>
                <w:rFonts w:cs="Arial"/>
                <w:b/>
                <w:bCs/>
              </w:rPr>
              <w:t>118</w:t>
            </w:r>
          </w:p>
        </w:tc>
      </w:tr>
    </w:tbl>
    <w:p w14:paraId="62E65DC5" w14:textId="77777777" w:rsidR="0080001D" w:rsidRPr="001B31E3" w:rsidRDefault="0080001D" w:rsidP="0080001D">
      <w:pPr>
        <w:ind w:left="-142" w:right="-425"/>
        <w:jc w:val="both"/>
        <w:rPr>
          <w:rFonts w:cs="Arial"/>
        </w:rPr>
      </w:pPr>
    </w:p>
    <w:p w14:paraId="1BB531F5" w14:textId="77777777" w:rsidR="00DD1B0A" w:rsidRPr="006524B7" w:rsidRDefault="00DD1B0A" w:rsidP="00AE5461">
      <w:pPr>
        <w:pStyle w:val="Heading2"/>
      </w:pPr>
      <w:r w:rsidRPr="006524B7">
        <w:t>Conferences for Domestic Violence</w:t>
      </w:r>
      <w:r w:rsidR="00970A79" w:rsidRPr="006524B7">
        <w:t xml:space="preserve"> related matters</w:t>
      </w:r>
    </w:p>
    <w:p w14:paraId="114A4DF6" w14:textId="49102877" w:rsidR="00DD1B0A" w:rsidRDefault="00AE1804" w:rsidP="006524B7">
      <w:pPr>
        <w:ind w:left="-142" w:right="-425"/>
        <w:jc w:val="both"/>
        <w:rPr>
          <w:rFonts w:cs="Arial"/>
        </w:rPr>
      </w:pPr>
      <w:r>
        <w:rPr>
          <w:rFonts w:cs="Arial"/>
        </w:rPr>
        <w:t xml:space="preserve">As a subset of the total number of conferences conducted for the quarter, </w:t>
      </w:r>
      <w:r w:rsidR="00A5534C">
        <w:rPr>
          <w:rFonts w:cs="Arial"/>
        </w:rPr>
        <w:t>26</w:t>
      </w:r>
      <w:r w:rsidR="00A5534C"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87228F">
        <w:rPr>
          <w:rFonts w:cs="Arial"/>
        </w:rPr>
        <w:t xml:space="preserve"> decrease </w:t>
      </w:r>
      <w:r w:rsidR="007A156D" w:rsidRPr="006524B7">
        <w:rPr>
          <w:rFonts w:cs="Arial"/>
        </w:rPr>
        <w:t xml:space="preserve">of </w:t>
      </w:r>
      <w:r w:rsidR="0087228F">
        <w:rPr>
          <w:rFonts w:cs="Arial"/>
        </w:rPr>
        <w:t>2</w:t>
      </w:r>
      <w:r w:rsidR="0021306E">
        <w:rPr>
          <w:rFonts w:cs="Arial"/>
        </w:rPr>
        <w:t>6</w:t>
      </w:r>
      <w:r w:rsidR="0087228F"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87228F">
        <w:rPr>
          <w:rFonts w:cs="Arial"/>
        </w:rPr>
        <w:t>decreased</w:t>
      </w:r>
      <w:r w:rsidR="0087228F" w:rsidRPr="006524B7">
        <w:rPr>
          <w:rFonts w:cs="Arial"/>
        </w:rPr>
        <w:t xml:space="preserve"> </w:t>
      </w:r>
      <w:r w:rsidR="00AA43DD" w:rsidRPr="006524B7">
        <w:rPr>
          <w:rFonts w:cs="Arial"/>
        </w:rPr>
        <w:t xml:space="preserve">by </w:t>
      </w:r>
      <w:r w:rsidR="0021306E">
        <w:rPr>
          <w:rFonts w:cs="Arial"/>
        </w:rPr>
        <w:t>17</w:t>
      </w:r>
      <w:r w:rsidR="00AA43DD" w:rsidRPr="006524B7">
        <w:rPr>
          <w:rFonts w:cs="Arial"/>
        </w:rPr>
        <w:t xml:space="preserve">, Coen </w:t>
      </w:r>
      <w:r w:rsidR="0021306E">
        <w:rPr>
          <w:rFonts w:cs="Arial"/>
        </w:rPr>
        <w:t>decreased</w:t>
      </w:r>
      <w:r w:rsidR="0021306E" w:rsidRPr="006524B7">
        <w:rPr>
          <w:rFonts w:cs="Arial"/>
        </w:rPr>
        <w:t xml:space="preserve"> </w:t>
      </w:r>
      <w:r w:rsidR="00AA43DD" w:rsidRPr="006524B7">
        <w:rPr>
          <w:rFonts w:cs="Arial"/>
        </w:rPr>
        <w:t xml:space="preserve">by </w:t>
      </w:r>
      <w:r w:rsidR="0021306E">
        <w:rPr>
          <w:rFonts w:cs="Arial"/>
        </w:rPr>
        <w:t>8</w:t>
      </w:r>
      <w:r w:rsidR="001E2D68">
        <w:rPr>
          <w:rFonts w:cs="Arial"/>
        </w:rPr>
        <w:t>,</w:t>
      </w:r>
      <w:r w:rsidR="00F7181C">
        <w:rPr>
          <w:rFonts w:cs="Arial"/>
        </w:rPr>
        <w:t xml:space="preserve"> </w:t>
      </w:r>
      <w:r w:rsidR="00A524DA">
        <w:rPr>
          <w:rFonts w:cs="Arial"/>
        </w:rPr>
        <w:t>Hope Vale</w:t>
      </w:r>
      <w:r w:rsidR="001E2D68">
        <w:rPr>
          <w:rFonts w:cs="Arial"/>
        </w:rPr>
        <w:t xml:space="preserve"> </w:t>
      </w:r>
      <w:r w:rsidR="0021306E">
        <w:rPr>
          <w:rFonts w:cs="Arial"/>
        </w:rPr>
        <w:t xml:space="preserve">decreased by 5 </w:t>
      </w:r>
      <w:r w:rsidR="0043313C">
        <w:rPr>
          <w:rFonts w:cs="Arial"/>
        </w:rPr>
        <w:t xml:space="preserve">and Mossman Gorge </w:t>
      </w:r>
      <w:r w:rsidR="0021306E">
        <w:rPr>
          <w:rFonts w:cs="Arial"/>
        </w:rPr>
        <w:t xml:space="preserve">increased </w:t>
      </w:r>
      <w:r w:rsidR="001E2D68">
        <w:rPr>
          <w:rFonts w:cs="Arial"/>
        </w:rPr>
        <w:t xml:space="preserve">by </w:t>
      </w:r>
      <w:r w:rsidR="0021306E">
        <w:rPr>
          <w:rFonts w:cs="Arial"/>
        </w:rPr>
        <w:t>4</w:t>
      </w:r>
      <w:r w:rsidR="0043313C">
        <w:rPr>
          <w:rFonts w:cs="Arial"/>
        </w:rPr>
        <w:t xml:space="preserve"> </w:t>
      </w:r>
      <w:r w:rsidR="00995105">
        <w:rPr>
          <w:rFonts w:cs="Arial"/>
        </w:rPr>
        <w:t>conferences for DV related matters</w:t>
      </w:r>
      <w:r w:rsidR="007A156D" w:rsidRPr="006524B7">
        <w:rPr>
          <w:rFonts w:cs="Arial"/>
        </w:rPr>
        <w:t>.</w:t>
      </w:r>
      <w:r w:rsidR="00966C16">
        <w:rPr>
          <w:rFonts w:cs="Arial"/>
        </w:rPr>
        <w:t xml:space="preserve"> The decrease in conferences for domestic violence related matters compared to previous quarters is again reflective of </w:t>
      </w:r>
      <w:r w:rsidR="000B4667">
        <w:rPr>
          <w:rFonts w:cs="Arial"/>
        </w:rPr>
        <w:t>the operational impacts</w:t>
      </w:r>
      <w:r w:rsidR="00100EC3">
        <w:rPr>
          <w:rFonts w:cs="Arial"/>
        </w:rPr>
        <w:t xml:space="preserve"> on the Commission</w:t>
      </w:r>
      <w:r w:rsidR="000B4667">
        <w:rPr>
          <w:rFonts w:cs="Arial"/>
        </w:rPr>
        <w:t xml:space="preserve"> </w:t>
      </w:r>
      <w:r w:rsidR="00C55A38">
        <w:rPr>
          <w:rFonts w:cs="Arial"/>
        </w:rPr>
        <w:t>caused by the</w:t>
      </w:r>
      <w:r w:rsidR="000B4667">
        <w:rPr>
          <w:rFonts w:cs="Arial"/>
        </w:rPr>
        <w:t xml:space="preserve"> Omicron variant of </w:t>
      </w:r>
      <w:r w:rsidR="00C55A38">
        <w:rPr>
          <w:rFonts w:cs="Arial"/>
        </w:rPr>
        <w:t>COVID-19.</w:t>
      </w:r>
    </w:p>
    <w:p w14:paraId="0BED3487" w14:textId="2604C39C" w:rsidR="0080001D" w:rsidRDefault="0080001D" w:rsidP="006524B7">
      <w:pPr>
        <w:ind w:left="-142" w:right="-425"/>
        <w:jc w:val="both"/>
        <w:rPr>
          <w:rFonts w:cs="Arial"/>
        </w:rPr>
      </w:pPr>
    </w:p>
    <w:p w14:paraId="3088B80F" w14:textId="1002D3AE" w:rsidR="0080001D" w:rsidRPr="00D925BE" w:rsidRDefault="0080001D" w:rsidP="0080001D">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Pr>
          <w:i w:val="0"/>
          <w:sz w:val="16"/>
        </w:rPr>
        <w:t>January</w:t>
      </w:r>
      <w:r>
        <w:rPr>
          <w:i w:val="0"/>
          <w:sz w:val="16"/>
        </w:rPr>
        <w:t xml:space="preserve"> 202</w:t>
      </w:r>
      <w:r>
        <w:rPr>
          <w:i w:val="0"/>
          <w:sz w:val="16"/>
        </w:rPr>
        <w:t>1</w:t>
      </w:r>
      <w:r>
        <w:rPr>
          <w:i w:val="0"/>
          <w:sz w:val="16"/>
        </w:rPr>
        <w:t xml:space="preserve"> to 31 </w:t>
      </w:r>
      <w:r>
        <w:rPr>
          <w:i w:val="0"/>
          <w:sz w:val="16"/>
        </w:rPr>
        <w:t>March</w:t>
      </w:r>
      <w:r>
        <w:rPr>
          <w:i w:val="0"/>
          <w:sz w:val="16"/>
        </w:rPr>
        <w:t xml:space="preserve"> 202</w:t>
      </w:r>
      <w:r>
        <w:rPr>
          <w:i w:val="0"/>
          <w:sz w:val="16"/>
        </w:rPr>
        <w:t>2</w:t>
      </w:r>
    </w:p>
    <w:tbl>
      <w:tblPr>
        <w:tblW w:w="6992" w:type="dxa"/>
        <w:tblInd w:w="93" w:type="dxa"/>
        <w:tblLook w:val="04A0" w:firstRow="1" w:lastRow="0" w:firstColumn="1" w:lastColumn="0" w:noHBand="0" w:noVBand="1"/>
      </w:tblPr>
      <w:tblGrid>
        <w:gridCol w:w="2029"/>
        <w:gridCol w:w="992"/>
        <w:gridCol w:w="992"/>
        <w:gridCol w:w="993"/>
        <w:gridCol w:w="993"/>
        <w:gridCol w:w="993"/>
      </w:tblGrid>
      <w:tr w:rsidR="0080001D" w:rsidRPr="00C5395B" w14:paraId="4B6534F4" w14:textId="5B67DA2C" w:rsidTr="0080001D">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809E7DA" w14:textId="77777777" w:rsidR="0080001D" w:rsidRPr="00C5395B" w:rsidRDefault="0080001D" w:rsidP="006F4E59">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2E5483C1" w14:textId="77777777" w:rsidR="0080001D" w:rsidRDefault="0080001D" w:rsidP="006F4E59">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7B4F4892" w14:textId="77777777" w:rsidR="0080001D" w:rsidRDefault="0080001D" w:rsidP="006F4E59">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2B9FF17E" w14:textId="77777777" w:rsidR="0080001D" w:rsidRDefault="0080001D" w:rsidP="006F4E59">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32002A58" w14:textId="77777777" w:rsidR="0080001D" w:rsidRDefault="0080001D" w:rsidP="006F4E59">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3A29BB34" w14:textId="6BE9B291" w:rsidR="0080001D" w:rsidRDefault="0080001D" w:rsidP="006F4E59">
            <w:pPr>
              <w:pStyle w:val="TableText"/>
              <w:jc w:val="right"/>
              <w:rPr>
                <w:b/>
                <w:lang w:eastAsia="en-AU"/>
              </w:rPr>
            </w:pPr>
            <w:r>
              <w:rPr>
                <w:b/>
                <w:lang w:eastAsia="en-AU"/>
              </w:rPr>
              <w:t>Qtr 55</w:t>
            </w:r>
          </w:p>
        </w:tc>
      </w:tr>
      <w:tr w:rsidR="0080001D" w:rsidRPr="00C5395B" w14:paraId="6C7740D6" w14:textId="6DFF7EF9" w:rsidTr="0080001D">
        <w:trPr>
          <w:trHeight w:val="255"/>
        </w:trPr>
        <w:tc>
          <w:tcPr>
            <w:tcW w:w="2029" w:type="dxa"/>
            <w:tcBorders>
              <w:top w:val="nil"/>
              <w:left w:val="single" w:sz="4" w:space="0" w:color="auto"/>
              <w:bottom w:val="single" w:sz="4" w:space="0" w:color="auto"/>
              <w:right w:val="single" w:sz="4" w:space="0" w:color="auto"/>
            </w:tcBorders>
            <w:noWrap/>
            <w:hideMark/>
          </w:tcPr>
          <w:p w14:paraId="04AD5D52" w14:textId="77777777" w:rsidR="0080001D" w:rsidRPr="00C5395B" w:rsidRDefault="0080001D" w:rsidP="006F4E59">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3412E0CD" w14:textId="77777777" w:rsidR="0080001D" w:rsidRDefault="0080001D" w:rsidP="006F4E59">
            <w:pPr>
              <w:jc w:val="right"/>
              <w:rPr>
                <w:rFonts w:cs="Arial"/>
              </w:rPr>
            </w:pPr>
            <w:r w:rsidRPr="00D35167">
              <w:rPr>
                <w:rFonts w:cs="Arial"/>
              </w:rPr>
              <w:t>46</w:t>
            </w:r>
          </w:p>
        </w:tc>
        <w:tc>
          <w:tcPr>
            <w:tcW w:w="992" w:type="dxa"/>
            <w:tcBorders>
              <w:top w:val="nil"/>
              <w:left w:val="nil"/>
              <w:bottom w:val="single" w:sz="4" w:space="0" w:color="auto"/>
              <w:right w:val="single" w:sz="4" w:space="0" w:color="auto"/>
            </w:tcBorders>
            <w:vAlign w:val="bottom"/>
          </w:tcPr>
          <w:p w14:paraId="5346E426" w14:textId="77777777" w:rsidR="0080001D" w:rsidRPr="00B8398E" w:rsidRDefault="0080001D" w:rsidP="006F4E59">
            <w:pPr>
              <w:jc w:val="right"/>
              <w:rPr>
                <w:rFonts w:cs="Arial"/>
              </w:rPr>
            </w:pPr>
            <w:r w:rsidRPr="0078302F">
              <w:rPr>
                <w:rFonts w:cs="Arial"/>
              </w:rPr>
              <w:t>27</w:t>
            </w:r>
          </w:p>
        </w:tc>
        <w:tc>
          <w:tcPr>
            <w:tcW w:w="993" w:type="dxa"/>
            <w:tcBorders>
              <w:top w:val="nil"/>
              <w:left w:val="nil"/>
              <w:bottom w:val="single" w:sz="4" w:space="0" w:color="auto"/>
              <w:right w:val="single" w:sz="4" w:space="0" w:color="auto"/>
            </w:tcBorders>
            <w:vAlign w:val="bottom"/>
          </w:tcPr>
          <w:p w14:paraId="61AB712D" w14:textId="77777777" w:rsidR="0080001D" w:rsidRPr="0078302F" w:rsidRDefault="0080001D" w:rsidP="006F4E59">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0921B05B" w14:textId="77777777" w:rsidR="0080001D" w:rsidRDefault="0080001D" w:rsidP="006F4E59">
            <w:pPr>
              <w:jc w:val="right"/>
              <w:rPr>
                <w:rFonts w:cs="Arial"/>
              </w:rPr>
            </w:pPr>
            <w:r>
              <w:rPr>
                <w:rFonts w:cs="Arial"/>
              </w:rPr>
              <w:t>30</w:t>
            </w:r>
          </w:p>
        </w:tc>
        <w:tc>
          <w:tcPr>
            <w:tcW w:w="993" w:type="dxa"/>
            <w:tcBorders>
              <w:top w:val="nil"/>
              <w:left w:val="nil"/>
              <w:bottom w:val="single" w:sz="4" w:space="0" w:color="auto"/>
              <w:right w:val="single" w:sz="4" w:space="0" w:color="auto"/>
            </w:tcBorders>
          </w:tcPr>
          <w:p w14:paraId="7DB7026D" w14:textId="2F885AE6" w:rsidR="0080001D" w:rsidRDefault="0080001D" w:rsidP="006F4E59">
            <w:pPr>
              <w:jc w:val="right"/>
              <w:rPr>
                <w:rFonts w:cs="Arial"/>
              </w:rPr>
            </w:pPr>
            <w:r>
              <w:rPr>
                <w:rFonts w:cs="Arial"/>
              </w:rPr>
              <w:t>13</w:t>
            </w:r>
          </w:p>
        </w:tc>
      </w:tr>
      <w:tr w:rsidR="0080001D" w:rsidRPr="00C5395B" w14:paraId="0C226D4E" w14:textId="70E5060E" w:rsidTr="0080001D">
        <w:trPr>
          <w:trHeight w:val="255"/>
        </w:trPr>
        <w:tc>
          <w:tcPr>
            <w:tcW w:w="2029" w:type="dxa"/>
            <w:tcBorders>
              <w:top w:val="nil"/>
              <w:left w:val="single" w:sz="4" w:space="0" w:color="auto"/>
              <w:bottom w:val="single" w:sz="4" w:space="0" w:color="auto"/>
              <w:right w:val="single" w:sz="4" w:space="0" w:color="auto"/>
            </w:tcBorders>
            <w:noWrap/>
            <w:hideMark/>
          </w:tcPr>
          <w:p w14:paraId="35FF5145" w14:textId="77777777" w:rsidR="0080001D" w:rsidRPr="00C5395B" w:rsidRDefault="0080001D" w:rsidP="006F4E59">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37E5949C" w14:textId="77777777" w:rsidR="0080001D" w:rsidRDefault="0080001D" w:rsidP="006F4E59">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7D82E748" w14:textId="77777777" w:rsidR="0080001D" w:rsidRPr="00B8398E" w:rsidRDefault="0080001D" w:rsidP="006F4E59">
            <w:pPr>
              <w:jc w:val="right"/>
              <w:rPr>
                <w:rFonts w:cs="Arial"/>
              </w:rPr>
            </w:pPr>
            <w:r w:rsidRPr="0078302F">
              <w:rPr>
                <w:rFonts w:cs="Arial"/>
              </w:rPr>
              <w:t>13</w:t>
            </w:r>
          </w:p>
        </w:tc>
        <w:tc>
          <w:tcPr>
            <w:tcW w:w="993" w:type="dxa"/>
            <w:tcBorders>
              <w:top w:val="nil"/>
              <w:left w:val="nil"/>
              <w:bottom w:val="single" w:sz="4" w:space="0" w:color="auto"/>
              <w:right w:val="single" w:sz="4" w:space="0" w:color="auto"/>
            </w:tcBorders>
            <w:vAlign w:val="bottom"/>
          </w:tcPr>
          <w:p w14:paraId="21EFA15B" w14:textId="77777777" w:rsidR="0080001D" w:rsidRPr="0078302F" w:rsidRDefault="0080001D" w:rsidP="006F4E59">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010DDEA1" w14:textId="77777777" w:rsidR="0080001D" w:rsidRDefault="0080001D" w:rsidP="006F4E59">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1D264E09" w14:textId="1D14044C" w:rsidR="0080001D" w:rsidRDefault="0080001D" w:rsidP="006F4E59">
            <w:pPr>
              <w:jc w:val="right"/>
              <w:rPr>
                <w:rFonts w:cs="Arial"/>
              </w:rPr>
            </w:pPr>
            <w:r>
              <w:rPr>
                <w:rFonts w:cs="Arial"/>
              </w:rPr>
              <w:t>4</w:t>
            </w:r>
          </w:p>
        </w:tc>
      </w:tr>
      <w:tr w:rsidR="0080001D" w:rsidRPr="00C5395B" w14:paraId="2485860E" w14:textId="618C67FD" w:rsidTr="0080001D">
        <w:trPr>
          <w:trHeight w:val="255"/>
        </w:trPr>
        <w:tc>
          <w:tcPr>
            <w:tcW w:w="2029" w:type="dxa"/>
            <w:tcBorders>
              <w:top w:val="nil"/>
              <w:left w:val="single" w:sz="4" w:space="0" w:color="auto"/>
              <w:bottom w:val="single" w:sz="4" w:space="0" w:color="auto"/>
              <w:right w:val="single" w:sz="4" w:space="0" w:color="auto"/>
            </w:tcBorders>
            <w:noWrap/>
          </w:tcPr>
          <w:p w14:paraId="1FC80043" w14:textId="77777777" w:rsidR="0080001D" w:rsidRPr="00C5395B" w:rsidRDefault="0080001D" w:rsidP="006F4E59">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710FDF4D" w14:textId="77777777" w:rsidR="0080001D" w:rsidRDefault="0080001D" w:rsidP="006F4E59">
            <w:pPr>
              <w:jc w:val="right"/>
              <w:rPr>
                <w:rFonts w:cs="Arial"/>
              </w:rPr>
            </w:pPr>
            <w:r w:rsidRPr="00D35167">
              <w:rPr>
                <w:rFonts w:cs="Arial"/>
              </w:rPr>
              <w:t>10</w:t>
            </w:r>
          </w:p>
        </w:tc>
        <w:tc>
          <w:tcPr>
            <w:tcW w:w="992" w:type="dxa"/>
            <w:tcBorders>
              <w:top w:val="nil"/>
              <w:left w:val="nil"/>
              <w:bottom w:val="single" w:sz="4" w:space="0" w:color="auto"/>
              <w:right w:val="single" w:sz="4" w:space="0" w:color="auto"/>
            </w:tcBorders>
            <w:vAlign w:val="bottom"/>
          </w:tcPr>
          <w:p w14:paraId="08F6933F" w14:textId="77777777" w:rsidR="0080001D" w:rsidRPr="00B8398E" w:rsidRDefault="0080001D" w:rsidP="006F4E59">
            <w:pPr>
              <w:jc w:val="right"/>
              <w:rPr>
                <w:rFonts w:cs="Arial"/>
              </w:rPr>
            </w:pPr>
            <w:r w:rsidRPr="0078302F">
              <w:rPr>
                <w:rFonts w:cs="Arial"/>
              </w:rPr>
              <w:t>5</w:t>
            </w:r>
          </w:p>
        </w:tc>
        <w:tc>
          <w:tcPr>
            <w:tcW w:w="993" w:type="dxa"/>
            <w:tcBorders>
              <w:top w:val="nil"/>
              <w:left w:val="nil"/>
              <w:bottom w:val="single" w:sz="4" w:space="0" w:color="auto"/>
              <w:right w:val="single" w:sz="4" w:space="0" w:color="auto"/>
            </w:tcBorders>
            <w:vAlign w:val="bottom"/>
          </w:tcPr>
          <w:p w14:paraId="767B9E8B" w14:textId="77777777" w:rsidR="0080001D" w:rsidRPr="0078302F" w:rsidRDefault="0080001D" w:rsidP="006F4E59">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7F7E1F59" w14:textId="77777777" w:rsidR="0080001D" w:rsidRDefault="0080001D" w:rsidP="006F4E59">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627E4201" w14:textId="23F589D0" w:rsidR="0080001D" w:rsidRDefault="0080001D" w:rsidP="006F4E59">
            <w:pPr>
              <w:jc w:val="right"/>
              <w:rPr>
                <w:rFonts w:cs="Arial"/>
              </w:rPr>
            </w:pPr>
            <w:r>
              <w:rPr>
                <w:rFonts w:cs="Arial"/>
              </w:rPr>
              <w:t>4</w:t>
            </w:r>
          </w:p>
        </w:tc>
      </w:tr>
      <w:tr w:rsidR="0080001D" w:rsidRPr="00C5395B" w14:paraId="07F02CF2" w14:textId="20B70C30" w:rsidTr="0080001D">
        <w:trPr>
          <w:trHeight w:val="255"/>
        </w:trPr>
        <w:tc>
          <w:tcPr>
            <w:tcW w:w="2029" w:type="dxa"/>
            <w:tcBorders>
              <w:top w:val="nil"/>
              <w:left w:val="single" w:sz="4" w:space="0" w:color="auto"/>
              <w:bottom w:val="single" w:sz="4" w:space="0" w:color="auto"/>
              <w:right w:val="single" w:sz="4" w:space="0" w:color="auto"/>
            </w:tcBorders>
            <w:noWrap/>
            <w:hideMark/>
          </w:tcPr>
          <w:p w14:paraId="31749024" w14:textId="77777777" w:rsidR="0080001D" w:rsidRPr="00C5395B" w:rsidRDefault="0080001D" w:rsidP="006F4E59">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796C3872" w14:textId="77777777" w:rsidR="0080001D" w:rsidRDefault="0080001D" w:rsidP="006F4E59">
            <w:pPr>
              <w:jc w:val="right"/>
              <w:rPr>
                <w:rFonts w:cs="Arial"/>
              </w:rPr>
            </w:pPr>
            <w:r w:rsidRPr="00D35167">
              <w:rPr>
                <w:rFonts w:cs="Arial"/>
              </w:rPr>
              <w:t>8</w:t>
            </w:r>
          </w:p>
        </w:tc>
        <w:tc>
          <w:tcPr>
            <w:tcW w:w="992" w:type="dxa"/>
            <w:tcBorders>
              <w:top w:val="nil"/>
              <w:left w:val="nil"/>
              <w:bottom w:val="single" w:sz="4" w:space="0" w:color="auto"/>
              <w:right w:val="single" w:sz="4" w:space="0" w:color="auto"/>
            </w:tcBorders>
            <w:vAlign w:val="bottom"/>
          </w:tcPr>
          <w:p w14:paraId="47BE5ACF" w14:textId="77777777" w:rsidR="0080001D" w:rsidRPr="00B8398E" w:rsidRDefault="0080001D" w:rsidP="006F4E59">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vAlign w:val="bottom"/>
          </w:tcPr>
          <w:p w14:paraId="6CAE9887" w14:textId="77777777" w:rsidR="0080001D" w:rsidRPr="0078302F" w:rsidRDefault="0080001D" w:rsidP="006F4E59">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tcPr>
          <w:p w14:paraId="011E7160" w14:textId="77777777" w:rsidR="0080001D" w:rsidRPr="0078302F" w:rsidRDefault="0080001D" w:rsidP="006F4E59">
            <w:pPr>
              <w:jc w:val="right"/>
              <w:rPr>
                <w:rFonts w:cs="Arial"/>
              </w:rPr>
            </w:pPr>
            <w:r>
              <w:rPr>
                <w:rFonts w:cs="Arial"/>
              </w:rPr>
              <w:t>1</w:t>
            </w:r>
          </w:p>
        </w:tc>
        <w:tc>
          <w:tcPr>
            <w:tcW w:w="993" w:type="dxa"/>
            <w:tcBorders>
              <w:top w:val="nil"/>
              <w:left w:val="nil"/>
              <w:bottom w:val="single" w:sz="4" w:space="0" w:color="auto"/>
              <w:right w:val="single" w:sz="4" w:space="0" w:color="auto"/>
            </w:tcBorders>
          </w:tcPr>
          <w:p w14:paraId="295B4F87" w14:textId="1DB4BEDD" w:rsidR="0080001D" w:rsidRDefault="0080001D" w:rsidP="006F4E59">
            <w:pPr>
              <w:jc w:val="right"/>
              <w:rPr>
                <w:rFonts w:cs="Arial"/>
              </w:rPr>
            </w:pPr>
            <w:r>
              <w:rPr>
                <w:rFonts w:cs="Arial"/>
              </w:rPr>
              <w:t>5</w:t>
            </w:r>
          </w:p>
        </w:tc>
      </w:tr>
      <w:tr w:rsidR="0080001D" w:rsidRPr="00C5395B" w14:paraId="23B36E20" w14:textId="2F06A976" w:rsidTr="0080001D">
        <w:trPr>
          <w:trHeight w:val="255"/>
        </w:trPr>
        <w:tc>
          <w:tcPr>
            <w:tcW w:w="2029" w:type="dxa"/>
            <w:tcBorders>
              <w:top w:val="nil"/>
              <w:left w:val="single" w:sz="4" w:space="0" w:color="auto"/>
              <w:bottom w:val="single" w:sz="4" w:space="0" w:color="auto"/>
              <w:right w:val="single" w:sz="4" w:space="0" w:color="auto"/>
            </w:tcBorders>
            <w:noWrap/>
            <w:hideMark/>
          </w:tcPr>
          <w:p w14:paraId="23F8F4D1" w14:textId="77777777" w:rsidR="0080001D" w:rsidRPr="00C5395B" w:rsidRDefault="0080001D" w:rsidP="006F4E59">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1C8B9277" w14:textId="77777777" w:rsidR="0080001D" w:rsidRDefault="0080001D" w:rsidP="006F4E59">
            <w:pPr>
              <w:pStyle w:val="TableText"/>
              <w:jc w:val="right"/>
              <w:rPr>
                <w:b/>
                <w:lang w:eastAsia="en-AU"/>
              </w:rPr>
            </w:pPr>
            <w:r w:rsidRPr="00D35167">
              <w:rPr>
                <w:rFonts w:cs="Arial"/>
                <w:b/>
                <w:bCs/>
              </w:rPr>
              <w:t>68</w:t>
            </w:r>
          </w:p>
        </w:tc>
        <w:tc>
          <w:tcPr>
            <w:tcW w:w="992" w:type="dxa"/>
            <w:tcBorders>
              <w:top w:val="nil"/>
              <w:left w:val="nil"/>
              <w:bottom w:val="single" w:sz="4" w:space="0" w:color="auto"/>
              <w:right w:val="single" w:sz="4" w:space="0" w:color="auto"/>
            </w:tcBorders>
            <w:vAlign w:val="bottom"/>
          </w:tcPr>
          <w:p w14:paraId="317E8EA0" w14:textId="77777777" w:rsidR="0080001D" w:rsidRPr="00B8398E" w:rsidRDefault="0080001D" w:rsidP="006F4E59">
            <w:pPr>
              <w:pStyle w:val="TableText"/>
              <w:jc w:val="right"/>
              <w:rPr>
                <w:rFonts w:cs="Arial"/>
                <w:b/>
                <w:bCs/>
              </w:rPr>
            </w:pPr>
            <w:r w:rsidRPr="0078302F">
              <w:rPr>
                <w:rFonts w:cs="Arial"/>
                <w:b/>
                <w:bCs/>
              </w:rPr>
              <w:t>54</w:t>
            </w:r>
          </w:p>
        </w:tc>
        <w:tc>
          <w:tcPr>
            <w:tcW w:w="993" w:type="dxa"/>
            <w:tcBorders>
              <w:top w:val="nil"/>
              <w:left w:val="nil"/>
              <w:bottom w:val="single" w:sz="4" w:space="0" w:color="auto"/>
              <w:right w:val="single" w:sz="4" w:space="0" w:color="auto"/>
            </w:tcBorders>
            <w:vAlign w:val="bottom"/>
          </w:tcPr>
          <w:p w14:paraId="5F325279" w14:textId="77777777" w:rsidR="0080001D" w:rsidRPr="0078302F" w:rsidRDefault="0080001D" w:rsidP="006F4E59">
            <w:pPr>
              <w:pStyle w:val="TableText"/>
              <w:jc w:val="right"/>
              <w:rPr>
                <w:rFonts w:cs="Arial"/>
                <w:b/>
                <w:bCs/>
              </w:rPr>
            </w:pPr>
            <w:r>
              <w:rPr>
                <w:rFonts w:cs="Arial"/>
                <w:b/>
                <w:bCs/>
              </w:rPr>
              <w:t>72</w:t>
            </w:r>
          </w:p>
        </w:tc>
        <w:tc>
          <w:tcPr>
            <w:tcW w:w="993" w:type="dxa"/>
            <w:tcBorders>
              <w:top w:val="nil"/>
              <w:left w:val="nil"/>
              <w:bottom w:val="single" w:sz="4" w:space="0" w:color="auto"/>
              <w:right w:val="single" w:sz="4" w:space="0" w:color="auto"/>
            </w:tcBorders>
          </w:tcPr>
          <w:p w14:paraId="2892D2F3" w14:textId="77777777" w:rsidR="0080001D" w:rsidRDefault="0080001D" w:rsidP="006F4E59">
            <w:pPr>
              <w:pStyle w:val="TableText"/>
              <w:jc w:val="right"/>
              <w:rPr>
                <w:rFonts w:cs="Arial"/>
                <w:b/>
                <w:bCs/>
              </w:rPr>
            </w:pPr>
            <w:r>
              <w:rPr>
                <w:rFonts w:cs="Arial"/>
                <w:b/>
                <w:bCs/>
              </w:rPr>
              <w:t>52</w:t>
            </w:r>
          </w:p>
        </w:tc>
        <w:tc>
          <w:tcPr>
            <w:tcW w:w="993" w:type="dxa"/>
            <w:tcBorders>
              <w:top w:val="nil"/>
              <w:left w:val="nil"/>
              <w:bottom w:val="single" w:sz="4" w:space="0" w:color="auto"/>
              <w:right w:val="single" w:sz="4" w:space="0" w:color="auto"/>
            </w:tcBorders>
          </w:tcPr>
          <w:p w14:paraId="2D9FEF48" w14:textId="51B2CF95" w:rsidR="0080001D" w:rsidRDefault="0080001D" w:rsidP="006F4E59">
            <w:pPr>
              <w:pStyle w:val="TableText"/>
              <w:jc w:val="right"/>
              <w:rPr>
                <w:rFonts w:cs="Arial"/>
                <w:b/>
                <w:bCs/>
              </w:rPr>
            </w:pPr>
            <w:r>
              <w:rPr>
                <w:rFonts w:cs="Arial"/>
                <w:b/>
                <w:bCs/>
              </w:rPr>
              <w:t>26</w:t>
            </w:r>
          </w:p>
        </w:tc>
      </w:tr>
    </w:tbl>
    <w:p w14:paraId="35947DCB" w14:textId="77777777" w:rsidR="0080001D" w:rsidRDefault="0080001D" w:rsidP="0080001D">
      <w:pPr>
        <w:spacing w:after="120" w:line="240" w:lineRule="auto"/>
        <w:ind w:left="794" w:hanging="794"/>
        <w:rPr>
          <w:b/>
          <w:sz w:val="16"/>
          <w:szCs w:val="16"/>
        </w:rPr>
      </w:pPr>
    </w:p>
    <w:p w14:paraId="758ABF07" w14:textId="77777777" w:rsidR="00123A24" w:rsidRDefault="00123A24">
      <w:pPr>
        <w:spacing w:line="240" w:lineRule="auto"/>
        <w:rPr>
          <w:b/>
          <w:sz w:val="16"/>
          <w:szCs w:val="16"/>
        </w:rPr>
      </w:pPr>
      <w:r>
        <w:rPr>
          <w:b/>
          <w:sz w:val="16"/>
          <w:szCs w:val="16"/>
        </w:rPr>
        <w:br w:type="page"/>
      </w:r>
    </w:p>
    <w:p w14:paraId="3A5902A6" w14:textId="4515EF51" w:rsidR="001748A5" w:rsidRDefault="001748A5" w:rsidP="001748A5">
      <w:pPr>
        <w:spacing w:after="120" w:line="240" w:lineRule="auto"/>
        <w:ind w:left="794" w:hanging="794"/>
        <w:rPr>
          <w:sz w:val="16"/>
          <w:szCs w:val="16"/>
        </w:rPr>
      </w:pPr>
      <w:r w:rsidRPr="006C6A65">
        <w:rPr>
          <w:b/>
          <w:sz w:val="16"/>
          <w:szCs w:val="16"/>
        </w:rPr>
        <w:lastRenderedPageBreak/>
        <w:t xml:space="preserve">Table </w:t>
      </w:r>
      <w:r w:rsidR="00123A24">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00F83C14">
        <w:rPr>
          <w:sz w:val="16"/>
          <w:szCs w:val="16"/>
        </w:rPr>
        <w:t xml:space="preserve">1 </w:t>
      </w:r>
      <w:r w:rsidR="00415BC8">
        <w:rPr>
          <w:sz w:val="16"/>
          <w:szCs w:val="16"/>
        </w:rPr>
        <w:t>January 2022</w:t>
      </w:r>
      <w:r w:rsidR="00A41820">
        <w:rPr>
          <w:sz w:val="16"/>
          <w:szCs w:val="16"/>
        </w:rPr>
        <w:t xml:space="preserve"> to </w:t>
      </w:r>
      <w:r w:rsidR="00F83C14">
        <w:rPr>
          <w:sz w:val="16"/>
          <w:szCs w:val="16"/>
        </w:rPr>
        <w:t>3</w:t>
      </w:r>
      <w:r w:rsidR="00A40B8D">
        <w:rPr>
          <w:sz w:val="16"/>
          <w:szCs w:val="16"/>
        </w:rPr>
        <w:t xml:space="preserve">1 </w:t>
      </w:r>
      <w:r w:rsidR="001A5C4C">
        <w:rPr>
          <w:sz w:val="16"/>
          <w:szCs w:val="16"/>
        </w:rPr>
        <w:t>March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CC1430" w:rsidRPr="0094558B" w14:paraId="2A713E69"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CC1430" w:rsidRPr="00640E37" w:rsidRDefault="00CC1430" w:rsidP="00CC143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68DC3003" w:rsidR="00CC1430" w:rsidRPr="0094558B" w:rsidRDefault="00CC1430" w:rsidP="00CC1430">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622ADC3F" w:rsidR="00CC1430" w:rsidRPr="0094558B" w:rsidRDefault="00CC1430" w:rsidP="00CC1430">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6659A4D6" w14:textId="21505214" w:rsidR="00CC1430" w:rsidRPr="0094558B" w:rsidRDefault="00CC1430" w:rsidP="00CC1430">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815A01A" w14:textId="2169800A" w:rsidR="00CC1430" w:rsidRPr="0094558B" w:rsidRDefault="00CC1430" w:rsidP="00CC1430">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10ABD0AD" w14:textId="6761D101" w:rsidR="00CC1430" w:rsidRPr="0094558B" w:rsidRDefault="00CC1430" w:rsidP="00CC1430">
            <w:pPr>
              <w:spacing w:line="240" w:lineRule="auto"/>
              <w:jc w:val="right"/>
              <w:rPr>
                <w:rFonts w:cs="Arial"/>
                <w:b/>
                <w:bCs/>
                <w:lang w:eastAsia="en-AU"/>
              </w:rPr>
            </w:pPr>
            <w:r>
              <w:rPr>
                <w:rFonts w:cs="Arial"/>
                <w:b/>
                <w:bCs/>
              </w:rPr>
              <w:t>2</w:t>
            </w:r>
          </w:p>
        </w:tc>
      </w:tr>
      <w:tr w:rsidR="00CC1430" w:rsidRPr="00650B45" w14:paraId="5725BEC2"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CC1430" w:rsidRPr="00640E37" w:rsidRDefault="00CC1430" w:rsidP="00CC143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2E9BF73E" w:rsidR="00CC1430" w:rsidRPr="0040594D" w:rsidRDefault="00CC1430" w:rsidP="00CC1430">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shd w:val="clear" w:color="auto" w:fill="auto"/>
            <w:vAlign w:val="center"/>
          </w:tcPr>
          <w:p w14:paraId="3C97EB58" w14:textId="3068E43C" w:rsidR="00CC1430" w:rsidRPr="0040594D" w:rsidRDefault="00CC1430" w:rsidP="00CC1430">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vAlign w:val="center"/>
          </w:tcPr>
          <w:p w14:paraId="2B2C50D5" w14:textId="43089C0D" w:rsidR="00CC1430" w:rsidRDefault="00CC1430" w:rsidP="00CC1430">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vAlign w:val="center"/>
          </w:tcPr>
          <w:p w14:paraId="5E25C841" w14:textId="3C5778C9" w:rsidR="00CC1430" w:rsidRDefault="00CC1430" w:rsidP="00CC1430">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6A804D63" w14:textId="02C19D9A" w:rsidR="00CC1430" w:rsidRPr="0094558B" w:rsidRDefault="00CC1430" w:rsidP="00CC1430">
            <w:pPr>
              <w:spacing w:line="240" w:lineRule="auto"/>
              <w:jc w:val="right"/>
              <w:rPr>
                <w:rFonts w:cs="Arial"/>
                <w:b/>
                <w:lang w:eastAsia="en-AU"/>
              </w:rPr>
            </w:pPr>
            <w:r>
              <w:rPr>
                <w:rFonts w:cs="Arial"/>
                <w:b/>
                <w:bCs/>
              </w:rPr>
              <w:t>7</w:t>
            </w:r>
          </w:p>
        </w:tc>
      </w:tr>
      <w:tr w:rsidR="00CC1430" w:rsidRPr="00650B45" w14:paraId="6D0F82C5"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CC1430" w:rsidRPr="00640E37" w:rsidRDefault="00CC1430" w:rsidP="00CC143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58C7C39B" w:rsidR="00CC1430" w:rsidRPr="0040594D" w:rsidRDefault="00CC1430" w:rsidP="00CC1430">
            <w:pPr>
              <w:spacing w:line="240" w:lineRule="auto"/>
              <w:jc w:val="right"/>
              <w:rPr>
                <w:rFonts w:cs="Arial"/>
                <w:lang w:eastAsia="en-AU"/>
              </w:rPr>
            </w:pPr>
            <w:r>
              <w:rPr>
                <w:rFonts w:cs="Arial"/>
              </w:rPr>
              <w:t>11</w:t>
            </w:r>
          </w:p>
        </w:tc>
        <w:tc>
          <w:tcPr>
            <w:tcW w:w="784" w:type="dxa"/>
            <w:tcBorders>
              <w:top w:val="nil"/>
              <w:left w:val="nil"/>
              <w:bottom w:val="single" w:sz="4" w:space="0" w:color="auto"/>
              <w:right w:val="single" w:sz="4" w:space="0" w:color="auto"/>
            </w:tcBorders>
            <w:shd w:val="clear" w:color="auto" w:fill="auto"/>
            <w:vAlign w:val="center"/>
          </w:tcPr>
          <w:p w14:paraId="05EC430A" w14:textId="02A80707" w:rsidR="00CC1430" w:rsidRDefault="00CC1430" w:rsidP="00CC1430">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53D47FFE" w14:textId="03224960" w:rsidR="00CC1430" w:rsidRDefault="00CC1430" w:rsidP="00CC1430">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vAlign w:val="center"/>
          </w:tcPr>
          <w:p w14:paraId="1A3F174E" w14:textId="55659356" w:rsidR="00CC1430" w:rsidRDefault="00CC1430" w:rsidP="00CC1430">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016DD19F" w14:textId="34D22234" w:rsidR="00CC1430" w:rsidRPr="0094558B" w:rsidRDefault="00CC1430" w:rsidP="00CC1430">
            <w:pPr>
              <w:spacing w:line="240" w:lineRule="auto"/>
              <w:jc w:val="right"/>
              <w:rPr>
                <w:rFonts w:cs="Arial"/>
                <w:b/>
                <w:lang w:eastAsia="en-AU"/>
              </w:rPr>
            </w:pPr>
            <w:r>
              <w:rPr>
                <w:rFonts w:cs="Arial"/>
                <w:b/>
                <w:bCs/>
              </w:rPr>
              <w:t>17</w:t>
            </w:r>
          </w:p>
        </w:tc>
      </w:tr>
      <w:tr w:rsidR="00CC1430" w:rsidRPr="00557E24" w14:paraId="63F8D415"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CC1430" w:rsidRPr="00557E24" w:rsidRDefault="00CC1430" w:rsidP="00CC143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7C770086" w:rsidR="00CC1430" w:rsidRPr="00557E24" w:rsidRDefault="00CC1430" w:rsidP="00CC1430">
            <w:pPr>
              <w:spacing w:line="240" w:lineRule="auto"/>
              <w:jc w:val="right"/>
              <w:rPr>
                <w:rFonts w:cs="Arial"/>
                <w:b/>
                <w:lang w:eastAsia="en-AU"/>
              </w:rPr>
            </w:pPr>
            <w:r>
              <w:rPr>
                <w:rFonts w:cs="Arial"/>
                <w:b/>
                <w:bCs/>
              </w:rPr>
              <w:t>13</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7C5C1A80" w:rsidR="00CC1430" w:rsidRPr="00557E24" w:rsidRDefault="00CC1430" w:rsidP="00CC1430">
            <w:pPr>
              <w:spacing w:line="240" w:lineRule="auto"/>
              <w:jc w:val="right"/>
              <w:rPr>
                <w:rFonts w:cs="Arial"/>
                <w:b/>
                <w:lang w:eastAsia="en-AU"/>
              </w:rPr>
            </w:pPr>
            <w:r>
              <w:rPr>
                <w:rFonts w:cs="Arial"/>
                <w:b/>
                <w:bCs/>
              </w:rPr>
              <w:t>4</w:t>
            </w:r>
          </w:p>
        </w:tc>
        <w:tc>
          <w:tcPr>
            <w:tcW w:w="784" w:type="dxa"/>
            <w:tcBorders>
              <w:top w:val="single" w:sz="4" w:space="0" w:color="auto"/>
              <w:left w:val="nil"/>
              <w:bottom w:val="single" w:sz="4" w:space="0" w:color="auto"/>
              <w:right w:val="single" w:sz="4" w:space="0" w:color="auto"/>
            </w:tcBorders>
            <w:vAlign w:val="center"/>
          </w:tcPr>
          <w:p w14:paraId="1C15A840" w14:textId="74718A39" w:rsidR="00CC1430" w:rsidRPr="00557E24" w:rsidRDefault="00CC1430" w:rsidP="00CC1430">
            <w:pPr>
              <w:spacing w:line="240" w:lineRule="auto"/>
              <w:jc w:val="right"/>
              <w:rPr>
                <w:rFonts w:cs="Arial"/>
                <w:b/>
                <w:lang w:eastAsia="en-AU"/>
              </w:rPr>
            </w:pPr>
            <w:r>
              <w:rPr>
                <w:rFonts w:cs="Arial"/>
                <w:b/>
                <w:bCs/>
              </w:rPr>
              <w:t>4</w:t>
            </w:r>
          </w:p>
        </w:tc>
        <w:tc>
          <w:tcPr>
            <w:tcW w:w="784" w:type="dxa"/>
            <w:tcBorders>
              <w:top w:val="single" w:sz="4" w:space="0" w:color="auto"/>
              <w:left w:val="nil"/>
              <w:bottom w:val="single" w:sz="4" w:space="0" w:color="auto"/>
              <w:right w:val="single" w:sz="4" w:space="0" w:color="auto"/>
            </w:tcBorders>
            <w:vAlign w:val="center"/>
          </w:tcPr>
          <w:p w14:paraId="05E4508F" w14:textId="42D091EF" w:rsidR="00CC1430" w:rsidRPr="00557E24" w:rsidRDefault="00CC1430" w:rsidP="00CC1430">
            <w:pPr>
              <w:spacing w:line="240" w:lineRule="auto"/>
              <w:jc w:val="right"/>
              <w:rPr>
                <w:rFonts w:cs="Arial"/>
                <w:b/>
                <w:lang w:eastAsia="en-AU"/>
              </w:rPr>
            </w:pPr>
            <w:r>
              <w:rPr>
                <w:rFonts w:cs="Arial"/>
                <w:b/>
                <w:bCs/>
              </w:rPr>
              <w:t>5</w:t>
            </w:r>
          </w:p>
        </w:tc>
        <w:tc>
          <w:tcPr>
            <w:tcW w:w="784" w:type="dxa"/>
            <w:tcBorders>
              <w:top w:val="single" w:sz="4" w:space="0" w:color="auto"/>
              <w:left w:val="nil"/>
              <w:bottom w:val="single" w:sz="4" w:space="0" w:color="auto"/>
              <w:right w:val="single" w:sz="4" w:space="0" w:color="auto"/>
            </w:tcBorders>
            <w:vAlign w:val="center"/>
          </w:tcPr>
          <w:p w14:paraId="22F31EFF" w14:textId="567B66F3" w:rsidR="00CC1430" w:rsidRPr="0094558B" w:rsidRDefault="00CC1430" w:rsidP="00CC1430">
            <w:pPr>
              <w:spacing w:line="240" w:lineRule="auto"/>
              <w:jc w:val="right"/>
              <w:rPr>
                <w:rFonts w:cs="Arial"/>
                <w:b/>
                <w:lang w:eastAsia="en-AU"/>
              </w:rPr>
            </w:pPr>
            <w:r>
              <w:rPr>
                <w:rFonts w:cs="Arial"/>
                <w:b/>
                <w:bCs/>
              </w:rPr>
              <w:t>26</w:t>
            </w:r>
          </w:p>
        </w:tc>
      </w:tr>
    </w:tbl>
    <w:p w14:paraId="5BED135A" w14:textId="0E7B4F66" w:rsidR="001748A5" w:rsidRDefault="001748A5" w:rsidP="001748A5">
      <w:pPr>
        <w:ind w:left="-142" w:right="-425"/>
        <w:jc w:val="both"/>
        <w:rPr>
          <w:rFonts w:cs="Arial"/>
          <w:noProof/>
          <w:lang w:eastAsia="en-AU"/>
        </w:rPr>
      </w:pPr>
    </w:p>
    <w:p w14:paraId="17CBBA45" w14:textId="0CDD44D4" w:rsidR="00BA361D" w:rsidRPr="00BA361D" w:rsidRDefault="00BA361D" w:rsidP="00BA361D">
      <w:pPr>
        <w:spacing w:after="120" w:line="240" w:lineRule="auto"/>
        <w:ind w:left="794" w:hanging="794"/>
        <w:rPr>
          <w:sz w:val="16"/>
          <w:szCs w:val="16"/>
        </w:rPr>
      </w:pPr>
      <w:r w:rsidRPr="006C6A65">
        <w:rPr>
          <w:b/>
          <w:sz w:val="16"/>
          <w:szCs w:val="16"/>
        </w:rPr>
        <w:t xml:space="preserve">Table </w:t>
      </w:r>
      <w:r w:rsidR="00B03744">
        <w:rPr>
          <w:b/>
          <w:sz w:val="16"/>
          <w:szCs w:val="16"/>
        </w:rPr>
        <w:t>1</w:t>
      </w:r>
      <w:r w:rsidR="005B2C52">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sidR="00F83C14">
        <w:rPr>
          <w:rFonts w:cs="Arial"/>
          <w:sz w:val="16"/>
          <w:szCs w:val="16"/>
        </w:rPr>
        <w:t xml:space="preserve">1 </w:t>
      </w:r>
      <w:r w:rsidR="00DF103B">
        <w:rPr>
          <w:rFonts w:cs="Arial"/>
          <w:sz w:val="16"/>
          <w:szCs w:val="16"/>
        </w:rPr>
        <w:t>January 2021</w:t>
      </w:r>
      <w:r>
        <w:rPr>
          <w:rFonts w:cs="Arial"/>
          <w:sz w:val="16"/>
          <w:szCs w:val="16"/>
        </w:rPr>
        <w:t xml:space="preserve"> to </w:t>
      </w:r>
      <w:r w:rsidR="00F83C14">
        <w:rPr>
          <w:rFonts w:cs="Arial"/>
          <w:sz w:val="16"/>
          <w:szCs w:val="16"/>
        </w:rPr>
        <w:t>3</w:t>
      </w:r>
      <w:r w:rsidR="00A40B8D">
        <w:rPr>
          <w:rFonts w:cs="Arial"/>
          <w:sz w:val="16"/>
          <w:szCs w:val="16"/>
        </w:rPr>
        <w:t xml:space="preserve">1 </w:t>
      </w:r>
      <w:r w:rsidR="001A5C4C">
        <w:rPr>
          <w:rFonts w:cs="Arial"/>
          <w:sz w:val="16"/>
          <w:szCs w:val="16"/>
        </w:rPr>
        <w:t>March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9A6570"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9A6570" w:rsidRPr="0040594D" w:rsidRDefault="009A6570" w:rsidP="009A6570">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045A4E79" w:rsidR="009A6570" w:rsidRPr="0040594D" w:rsidRDefault="009A6570" w:rsidP="009A6570">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5149948C" w:rsidR="009A6570" w:rsidRPr="0040594D" w:rsidRDefault="009A6570" w:rsidP="009A6570">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1054C6DC" w14:textId="0E8B0A57" w:rsidR="009A6570" w:rsidRPr="0040594D" w:rsidRDefault="009A6570" w:rsidP="009A6570">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tcPr>
          <w:p w14:paraId="1F5DA131" w14:textId="4B7D8BE4" w:rsidR="009A6570" w:rsidRPr="0040594D" w:rsidRDefault="009A6570" w:rsidP="009A6570">
            <w:pPr>
              <w:spacing w:line="240" w:lineRule="auto"/>
              <w:jc w:val="right"/>
              <w:rPr>
                <w:rFonts w:cs="Arial"/>
                <w:b/>
                <w:bCs/>
                <w:lang w:eastAsia="en-AU"/>
              </w:rPr>
            </w:pPr>
            <w:r>
              <w:rPr>
                <w:b/>
                <w:lang w:eastAsia="en-AU"/>
              </w:rPr>
              <w:t>Qtr 54</w:t>
            </w:r>
          </w:p>
        </w:tc>
        <w:tc>
          <w:tcPr>
            <w:tcW w:w="784" w:type="dxa"/>
            <w:tcBorders>
              <w:top w:val="single" w:sz="4" w:space="0" w:color="auto"/>
              <w:left w:val="nil"/>
              <w:bottom w:val="single" w:sz="4" w:space="0" w:color="auto"/>
              <w:right w:val="single" w:sz="4" w:space="0" w:color="auto"/>
            </w:tcBorders>
          </w:tcPr>
          <w:p w14:paraId="65FDA246" w14:textId="4A5B990F" w:rsidR="009A6570" w:rsidRPr="0040594D" w:rsidRDefault="009A6570" w:rsidP="009A6570">
            <w:pPr>
              <w:spacing w:line="240" w:lineRule="auto"/>
              <w:jc w:val="right"/>
              <w:rPr>
                <w:rFonts w:cs="Arial"/>
                <w:b/>
                <w:bCs/>
                <w:lang w:eastAsia="en-AU"/>
              </w:rPr>
            </w:pPr>
            <w:r>
              <w:rPr>
                <w:b/>
                <w:lang w:eastAsia="en-AU"/>
              </w:rPr>
              <w:t>Qtr 55</w:t>
            </w:r>
          </w:p>
        </w:tc>
      </w:tr>
      <w:tr w:rsidR="00CC1430" w:rsidRPr="0094558B" w14:paraId="7D13DCEB"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CC1430" w:rsidRPr="00640E37" w:rsidRDefault="00CC1430" w:rsidP="00CC143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1DB3E370" w:rsidR="00CC1430" w:rsidRPr="00BF08AE" w:rsidRDefault="00CC1430" w:rsidP="00CC1430">
            <w:pPr>
              <w:spacing w:line="240" w:lineRule="auto"/>
              <w:jc w:val="right"/>
              <w:rPr>
                <w:rFonts w:cs="Arial"/>
                <w:bCs/>
                <w:lang w:eastAsia="en-AU"/>
              </w:rPr>
            </w:pPr>
            <w:r w:rsidRPr="00BF08AE">
              <w:rPr>
                <w:rFonts w:cs="Arial"/>
              </w:rPr>
              <w:t>3</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53B1DC2B" w:rsidR="00CC1430" w:rsidRPr="00BF08AE" w:rsidRDefault="00CC1430" w:rsidP="00CC1430">
            <w:pPr>
              <w:spacing w:line="240" w:lineRule="auto"/>
              <w:jc w:val="right"/>
              <w:rPr>
                <w:rFonts w:cs="Arial"/>
                <w:bCs/>
                <w:lang w:eastAsia="en-AU"/>
              </w:rPr>
            </w:pPr>
            <w:r w:rsidRPr="008B37CC">
              <w:rPr>
                <w:rFonts w:cs="Arial"/>
              </w:rPr>
              <w:t>2</w:t>
            </w:r>
          </w:p>
        </w:tc>
        <w:tc>
          <w:tcPr>
            <w:tcW w:w="784" w:type="dxa"/>
            <w:tcBorders>
              <w:top w:val="single" w:sz="4" w:space="0" w:color="auto"/>
              <w:left w:val="nil"/>
              <w:bottom w:val="single" w:sz="4" w:space="0" w:color="auto"/>
              <w:right w:val="single" w:sz="4" w:space="0" w:color="auto"/>
            </w:tcBorders>
            <w:vAlign w:val="bottom"/>
          </w:tcPr>
          <w:p w14:paraId="4305F345" w14:textId="7B739795" w:rsidR="00CC1430" w:rsidRPr="00BF08AE" w:rsidRDefault="00CC1430" w:rsidP="00CC1430">
            <w:pPr>
              <w:spacing w:line="240" w:lineRule="auto"/>
              <w:jc w:val="right"/>
              <w:rPr>
                <w:rFonts w:cs="Arial"/>
                <w:bCs/>
                <w:lang w:eastAsia="en-AU"/>
              </w:rPr>
            </w:pPr>
            <w:r w:rsidRPr="00A5580C">
              <w:rPr>
                <w:rFonts w:cs="Arial"/>
              </w:rPr>
              <w:t>9</w:t>
            </w:r>
          </w:p>
        </w:tc>
        <w:tc>
          <w:tcPr>
            <w:tcW w:w="784" w:type="dxa"/>
            <w:tcBorders>
              <w:top w:val="single" w:sz="4" w:space="0" w:color="auto"/>
              <w:left w:val="nil"/>
              <w:bottom w:val="single" w:sz="4" w:space="0" w:color="auto"/>
              <w:right w:val="single" w:sz="4" w:space="0" w:color="auto"/>
            </w:tcBorders>
            <w:vAlign w:val="bottom"/>
          </w:tcPr>
          <w:p w14:paraId="56527CC6" w14:textId="235B995A" w:rsidR="00CC1430" w:rsidRPr="00BF08AE" w:rsidRDefault="00CC1430" w:rsidP="00CC1430">
            <w:pPr>
              <w:spacing w:line="240" w:lineRule="auto"/>
              <w:jc w:val="right"/>
              <w:rPr>
                <w:rFonts w:cs="Arial"/>
                <w:bCs/>
                <w:lang w:eastAsia="en-AU"/>
              </w:rPr>
            </w:pPr>
            <w:r w:rsidRPr="00127A30">
              <w:rPr>
                <w:rFonts w:cs="Arial"/>
              </w:rPr>
              <w:t>3</w:t>
            </w:r>
          </w:p>
        </w:tc>
        <w:tc>
          <w:tcPr>
            <w:tcW w:w="784" w:type="dxa"/>
            <w:tcBorders>
              <w:top w:val="single" w:sz="4" w:space="0" w:color="auto"/>
              <w:left w:val="nil"/>
              <w:bottom w:val="single" w:sz="4" w:space="0" w:color="auto"/>
              <w:right w:val="single" w:sz="4" w:space="0" w:color="auto"/>
            </w:tcBorders>
            <w:vAlign w:val="bottom"/>
          </w:tcPr>
          <w:p w14:paraId="3589A88C" w14:textId="511A19FD" w:rsidR="00CC1430" w:rsidRPr="00C02800" w:rsidRDefault="00CC1430" w:rsidP="00CC1430">
            <w:pPr>
              <w:spacing w:line="240" w:lineRule="auto"/>
              <w:jc w:val="right"/>
              <w:rPr>
                <w:rFonts w:cs="Arial"/>
              </w:rPr>
            </w:pPr>
            <w:r w:rsidRPr="00C02800">
              <w:rPr>
                <w:rFonts w:cs="Arial"/>
              </w:rPr>
              <w:t>2</w:t>
            </w:r>
          </w:p>
        </w:tc>
      </w:tr>
      <w:tr w:rsidR="00CC1430" w:rsidRPr="00650B45" w14:paraId="72658614"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CC1430" w:rsidRPr="00640E37" w:rsidRDefault="00CC1430" w:rsidP="00CC143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62490720" w:rsidR="00CC1430" w:rsidRPr="00BF08AE" w:rsidRDefault="00CC1430" w:rsidP="00CC1430">
            <w:pPr>
              <w:spacing w:line="240" w:lineRule="auto"/>
              <w:jc w:val="right"/>
              <w:rPr>
                <w:rFonts w:cs="Arial"/>
                <w:lang w:eastAsia="en-AU"/>
              </w:rPr>
            </w:pPr>
            <w:r w:rsidRPr="00BF08AE">
              <w:rPr>
                <w:rFonts w:cs="Arial"/>
              </w:rPr>
              <w:t>7</w:t>
            </w:r>
          </w:p>
        </w:tc>
        <w:tc>
          <w:tcPr>
            <w:tcW w:w="784" w:type="dxa"/>
            <w:tcBorders>
              <w:top w:val="nil"/>
              <w:left w:val="nil"/>
              <w:bottom w:val="single" w:sz="4" w:space="0" w:color="auto"/>
              <w:right w:val="single" w:sz="4" w:space="0" w:color="auto"/>
            </w:tcBorders>
            <w:shd w:val="clear" w:color="auto" w:fill="auto"/>
            <w:vAlign w:val="bottom"/>
          </w:tcPr>
          <w:p w14:paraId="216D33A7" w14:textId="61F0C413" w:rsidR="00CC1430" w:rsidRPr="00BF08AE" w:rsidRDefault="00CC1430" w:rsidP="00CC1430">
            <w:pPr>
              <w:spacing w:line="240" w:lineRule="auto"/>
              <w:jc w:val="right"/>
              <w:rPr>
                <w:rFonts w:cs="Arial"/>
                <w:lang w:eastAsia="en-AU"/>
              </w:rPr>
            </w:pPr>
            <w:r w:rsidRPr="008B37CC">
              <w:rPr>
                <w:rFonts w:cs="Arial"/>
              </w:rPr>
              <w:t>18</w:t>
            </w:r>
          </w:p>
        </w:tc>
        <w:tc>
          <w:tcPr>
            <w:tcW w:w="784" w:type="dxa"/>
            <w:tcBorders>
              <w:top w:val="nil"/>
              <w:left w:val="nil"/>
              <w:bottom w:val="single" w:sz="4" w:space="0" w:color="auto"/>
              <w:right w:val="single" w:sz="4" w:space="0" w:color="auto"/>
            </w:tcBorders>
            <w:vAlign w:val="bottom"/>
          </w:tcPr>
          <w:p w14:paraId="756351B3" w14:textId="2B76459D" w:rsidR="00CC1430" w:rsidRPr="00BF08AE" w:rsidRDefault="00CC1430" w:rsidP="00CC1430">
            <w:pPr>
              <w:spacing w:line="240" w:lineRule="auto"/>
              <w:jc w:val="right"/>
              <w:rPr>
                <w:rFonts w:cs="Arial"/>
                <w:lang w:eastAsia="en-AU"/>
              </w:rPr>
            </w:pPr>
            <w:r w:rsidRPr="00A5580C">
              <w:rPr>
                <w:rFonts w:cs="Arial"/>
              </w:rPr>
              <w:t>21</w:t>
            </w:r>
          </w:p>
        </w:tc>
        <w:tc>
          <w:tcPr>
            <w:tcW w:w="784" w:type="dxa"/>
            <w:tcBorders>
              <w:top w:val="nil"/>
              <w:left w:val="nil"/>
              <w:bottom w:val="single" w:sz="4" w:space="0" w:color="auto"/>
              <w:right w:val="single" w:sz="4" w:space="0" w:color="auto"/>
            </w:tcBorders>
            <w:vAlign w:val="bottom"/>
          </w:tcPr>
          <w:p w14:paraId="7E423D87" w14:textId="46E8CD46" w:rsidR="00CC1430" w:rsidRPr="00BF08AE" w:rsidRDefault="00CC1430" w:rsidP="00CC1430">
            <w:pPr>
              <w:spacing w:line="240" w:lineRule="auto"/>
              <w:jc w:val="right"/>
              <w:rPr>
                <w:rFonts w:cs="Arial"/>
                <w:lang w:eastAsia="en-AU"/>
              </w:rPr>
            </w:pPr>
            <w:r w:rsidRPr="00127A30">
              <w:rPr>
                <w:rFonts w:cs="Arial"/>
              </w:rPr>
              <w:t>1</w:t>
            </w:r>
            <w:r>
              <w:rPr>
                <w:rFonts w:cs="Arial"/>
              </w:rPr>
              <w:t>9</w:t>
            </w:r>
          </w:p>
        </w:tc>
        <w:tc>
          <w:tcPr>
            <w:tcW w:w="784" w:type="dxa"/>
            <w:tcBorders>
              <w:top w:val="nil"/>
              <w:left w:val="nil"/>
              <w:bottom w:val="single" w:sz="4" w:space="0" w:color="auto"/>
              <w:right w:val="single" w:sz="4" w:space="0" w:color="auto"/>
            </w:tcBorders>
            <w:vAlign w:val="bottom"/>
          </w:tcPr>
          <w:p w14:paraId="4E3F6DD6" w14:textId="7163F1B3" w:rsidR="00CC1430" w:rsidRPr="00C02800" w:rsidRDefault="00CC1430" w:rsidP="00CC1430">
            <w:pPr>
              <w:spacing w:line="240" w:lineRule="auto"/>
              <w:jc w:val="right"/>
              <w:rPr>
                <w:rFonts w:cs="Arial"/>
              </w:rPr>
            </w:pPr>
            <w:r w:rsidRPr="00C02800">
              <w:rPr>
                <w:rFonts w:cs="Arial"/>
              </w:rPr>
              <w:t>7</w:t>
            </w:r>
          </w:p>
        </w:tc>
      </w:tr>
      <w:tr w:rsidR="00CC1430" w:rsidRPr="00650B45" w14:paraId="25B410FB"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CC1430" w:rsidRPr="00640E37" w:rsidRDefault="00CC1430" w:rsidP="00CC143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6A24A726" w:rsidR="00CC1430" w:rsidRPr="00BF08AE" w:rsidRDefault="00CC1430" w:rsidP="00CC1430">
            <w:pPr>
              <w:spacing w:line="240" w:lineRule="auto"/>
              <w:jc w:val="right"/>
              <w:rPr>
                <w:rFonts w:cs="Arial"/>
                <w:lang w:eastAsia="en-AU"/>
              </w:rPr>
            </w:pPr>
            <w:r w:rsidRPr="00BF08AE">
              <w:rPr>
                <w:rFonts w:cs="Arial"/>
              </w:rPr>
              <w:t>58</w:t>
            </w:r>
          </w:p>
        </w:tc>
        <w:tc>
          <w:tcPr>
            <w:tcW w:w="784" w:type="dxa"/>
            <w:tcBorders>
              <w:top w:val="nil"/>
              <w:left w:val="nil"/>
              <w:bottom w:val="single" w:sz="4" w:space="0" w:color="auto"/>
              <w:right w:val="single" w:sz="4" w:space="0" w:color="auto"/>
            </w:tcBorders>
            <w:shd w:val="clear" w:color="auto" w:fill="auto"/>
            <w:vAlign w:val="bottom"/>
          </w:tcPr>
          <w:p w14:paraId="66883E4E" w14:textId="32C99044" w:rsidR="00CC1430" w:rsidRPr="00BF08AE" w:rsidRDefault="00CC1430" w:rsidP="00CC1430">
            <w:pPr>
              <w:spacing w:line="240" w:lineRule="auto"/>
              <w:jc w:val="right"/>
              <w:rPr>
                <w:rFonts w:cs="Arial"/>
                <w:lang w:eastAsia="en-AU"/>
              </w:rPr>
            </w:pPr>
            <w:r w:rsidRPr="008B37CC">
              <w:rPr>
                <w:rFonts w:cs="Arial"/>
              </w:rPr>
              <w:t>34</w:t>
            </w:r>
          </w:p>
        </w:tc>
        <w:tc>
          <w:tcPr>
            <w:tcW w:w="784" w:type="dxa"/>
            <w:tcBorders>
              <w:top w:val="nil"/>
              <w:left w:val="nil"/>
              <w:bottom w:val="single" w:sz="4" w:space="0" w:color="auto"/>
              <w:right w:val="single" w:sz="4" w:space="0" w:color="auto"/>
            </w:tcBorders>
            <w:vAlign w:val="bottom"/>
          </w:tcPr>
          <w:p w14:paraId="13CB2682" w14:textId="7D2C9C90" w:rsidR="00CC1430" w:rsidRPr="00BF08AE" w:rsidRDefault="00CC1430" w:rsidP="00CC1430">
            <w:pPr>
              <w:spacing w:line="240" w:lineRule="auto"/>
              <w:jc w:val="right"/>
              <w:rPr>
                <w:rFonts w:cs="Arial"/>
                <w:lang w:eastAsia="en-AU"/>
              </w:rPr>
            </w:pPr>
            <w:r w:rsidRPr="00A5580C">
              <w:rPr>
                <w:rFonts w:cs="Arial"/>
              </w:rPr>
              <w:t>42</w:t>
            </w:r>
          </w:p>
        </w:tc>
        <w:tc>
          <w:tcPr>
            <w:tcW w:w="784" w:type="dxa"/>
            <w:tcBorders>
              <w:top w:val="nil"/>
              <w:left w:val="nil"/>
              <w:bottom w:val="single" w:sz="4" w:space="0" w:color="auto"/>
              <w:right w:val="single" w:sz="4" w:space="0" w:color="auto"/>
            </w:tcBorders>
            <w:vAlign w:val="bottom"/>
          </w:tcPr>
          <w:p w14:paraId="7390F97A" w14:textId="31C9F17F" w:rsidR="00CC1430" w:rsidRPr="00BF08AE" w:rsidRDefault="00CC1430" w:rsidP="00CC1430">
            <w:pPr>
              <w:spacing w:line="240" w:lineRule="auto"/>
              <w:jc w:val="right"/>
              <w:rPr>
                <w:rFonts w:cs="Arial"/>
                <w:lang w:eastAsia="en-AU"/>
              </w:rPr>
            </w:pPr>
            <w:r w:rsidRPr="00127A30">
              <w:rPr>
                <w:rFonts w:cs="Arial"/>
              </w:rPr>
              <w:t>30</w:t>
            </w:r>
          </w:p>
        </w:tc>
        <w:tc>
          <w:tcPr>
            <w:tcW w:w="784" w:type="dxa"/>
            <w:tcBorders>
              <w:top w:val="nil"/>
              <w:left w:val="nil"/>
              <w:bottom w:val="single" w:sz="4" w:space="0" w:color="auto"/>
              <w:right w:val="single" w:sz="4" w:space="0" w:color="auto"/>
            </w:tcBorders>
            <w:vAlign w:val="bottom"/>
          </w:tcPr>
          <w:p w14:paraId="1BBFBCA0" w14:textId="223C445C" w:rsidR="00CC1430" w:rsidRPr="00C02800" w:rsidRDefault="00CC1430" w:rsidP="00CC1430">
            <w:pPr>
              <w:spacing w:line="240" w:lineRule="auto"/>
              <w:jc w:val="right"/>
              <w:rPr>
                <w:rFonts w:cs="Arial"/>
              </w:rPr>
            </w:pPr>
            <w:r w:rsidRPr="00C02800">
              <w:rPr>
                <w:rFonts w:cs="Arial"/>
              </w:rPr>
              <w:t>17</w:t>
            </w:r>
          </w:p>
        </w:tc>
      </w:tr>
      <w:tr w:rsidR="00CC1430" w:rsidRPr="00557E24" w14:paraId="6DD4ED1F"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CC1430" w:rsidRPr="00557E24" w:rsidRDefault="00CC1430" w:rsidP="00CC143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2E4962C3" w:rsidR="00CC1430" w:rsidRPr="00BF08AE" w:rsidRDefault="00CC1430" w:rsidP="00CC1430">
            <w:pPr>
              <w:spacing w:line="240" w:lineRule="auto"/>
              <w:jc w:val="right"/>
              <w:rPr>
                <w:rFonts w:cs="Arial"/>
                <w:b/>
                <w:lang w:eastAsia="en-AU"/>
              </w:rPr>
            </w:pPr>
            <w:r w:rsidRPr="00BF08AE">
              <w:rPr>
                <w:rFonts w:cs="Arial"/>
                <w:b/>
                <w:bCs/>
              </w:rPr>
              <w:t>68</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58645FCA" w:rsidR="00CC1430" w:rsidRPr="00BF08AE" w:rsidRDefault="00CC1430" w:rsidP="00CC1430">
            <w:pPr>
              <w:spacing w:line="240" w:lineRule="auto"/>
              <w:jc w:val="right"/>
              <w:rPr>
                <w:rFonts w:cs="Arial"/>
                <w:b/>
                <w:lang w:eastAsia="en-AU"/>
              </w:rPr>
            </w:pPr>
            <w:r w:rsidRPr="008B37CC">
              <w:rPr>
                <w:rFonts w:cs="Arial"/>
                <w:b/>
                <w:bCs/>
              </w:rPr>
              <w:t>54</w:t>
            </w:r>
          </w:p>
        </w:tc>
        <w:tc>
          <w:tcPr>
            <w:tcW w:w="784" w:type="dxa"/>
            <w:tcBorders>
              <w:top w:val="single" w:sz="4" w:space="0" w:color="auto"/>
              <w:left w:val="nil"/>
              <w:bottom w:val="single" w:sz="4" w:space="0" w:color="auto"/>
              <w:right w:val="single" w:sz="4" w:space="0" w:color="auto"/>
            </w:tcBorders>
            <w:vAlign w:val="bottom"/>
          </w:tcPr>
          <w:p w14:paraId="55F6868D" w14:textId="4619AA8A" w:rsidR="00CC1430" w:rsidRPr="00BF08AE" w:rsidRDefault="00CC1430" w:rsidP="00CC1430">
            <w:pPr>
              <w:spacing w:line="240" w:lineRule="auto"/>
              <w:jc w:val="right"/>
              <w:rPr>
                <w:rFonts w:cs="Arial"/>
                <w:b/>
                <w:lang w:eastAsia="en-AU"/>
              </w:rPr>
            </w:pPr>
            <w:r w:rsidRPr="00A5580C">
              <w:rPr>
                <w:rFonts w:cs="Arial"/>
                <w:b/>
                <w:bCs/>
              </w:rPr>
              <w:t>72</w:t>
            </w:r>
          </w:p>
        </w:tc>
        <w:tc>
          <w:tcPr>
            <w:tcW w:w="784" w:type="dxa"/>
            <w:tcBorders>
              <w:top w:val="single" w:sz="4" w:space="0" w:color="auto"/>
              <w:left w:val="nil"/>
              <w:bottom w:val="single" w:sz="4" w:space="0" w:color="auto"/>
              <w:right w:val="single" w:sz="4" w:space="0" w:color="auto"/>
            </w:tcBorders>
            <w:vAlign w:val="bottom"/>
          </w:tcPr>
          <w:p w14:paraId="6D94AB62" w14:textId="409D2374" w:rsidR="00CC1430" w:rsidRPr="00BF08AE" w:rsidRDefault="00CC1430" w:rsidP="00CC1430">
            <w:pPr>
              <w:spacing w:line="240" w:lineRule="auto"/>
              <w:jc w:val="right"/>
              <w:rPr>
                <w:rFonts w:cs="Arial"/>
                <w:b/>
                <w:lang w:eastAsia="en-AU"/>
              </w:rPr>
            </w:pPr>
            <w:r w:rsidRPr="00127A30">
              <w:rPr>
                <w:rFonts w:cs="Arial"/>
                <w:b/>
                <w:bCs/>
              </w:rPr>
              <w:t>5</w:t>
            </w:r>
            <w:r>
              <w:rPr>
                <w:rFonts w:cs="Arial"/>
                <w:b/>
                <w:bCs/>
              </w:rPr>
              <w:t>2</w:t>
            </w:r>
          </w:p>
        </w:tc>
        <w:tc>
          <w:tcPr>
            <w:tcW w:w="784" w:type="dxa"/>
            <w:tcBorders>
              <w:top w:val="single" w:sz="4" w:space="0" w:color="auto"/>
              <w:left w:val="nil"/>
              <w:bottom w:val="single" w:sz="4" w:space="0" w:color="auto"/>
              <w:right w:val="single" w:sz="4" w:space="0" w:color="auto"/>
            </w:tcBorders>
            <w:vAlign w:val="bottom"/>
          </w:tcPr>
          <w:p w14:paraId="7B7FB879" w14:textId="7D173949" w:rsidR="00CC1430" w:rsidRPr="00C02800" w:rsidRDefault="00CC1430" w:rsidP="00CC1430">
            <w:pPr>
              <w:spacing w:line="240" w:lineRule="auto"/>
              <w:jc w:val="right"/>
              <w:rPr>
                <w:rFonts w:cs="Arial"/>
                <w:b/>
                <w:bCs/>
              </w:rPr>
            </w:pPr>
            <w:r w:rsidRPr="00C02800">
              <w:rPr>
                <w:rFonts w:cs="Arial"/>
                <w:b/>
                <w:bCs/>
              </w:rPr>
              <w:t>26</w:t>
            </w:r>
          </w:p>
        </w:tc>
      </w:tr>
    </w:tbl>
    <w:p w14:paraId="19D7B370" w14:textId="18EEF851" w:rsidR="006F3C25" w:rsidRDefault="006F3C25" w:rsidP="00DD1B0A">
      <w:pPr>
        <w:ind w:left="-142" w:right="-425"/>
        <w:jc w:val="both"/>
        <w:rPr>
          <w:rFonts w:cs="Arial"/>
        </w:rPr>
      </w:pPr>
    </w:p>
    <w:p w14:paraId="7BAE3B75" w14:textId="0EC2B52B" w:rsidR="005A5B78" w:rsidRPr="002D4651" w:rsidRDefault="005A5B78" w:rsidP="00AE5461">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56880604" w:rsidR="00C872F0" w:rsidRDefault="006F3F88" w:rsidP="00964A63">
      <w:pPr>
        <w:ind w:left="-142" w:right="-425"/>
        <w:jc w:val="both"/>
        <w:rPr>
          <w:rFonts w:cs="Arial"/>
        </w:rPr>
      </w:pPr>
      <w:r>
        <w:rPr>
          <w:rFonts w:cs="Arial"/>
        </w:rPr>
        <w:t xml:space="preserve">A total of </w:t>
      </w:r>
      <w:r w:rsidR="00CC1430">
        <w:rPr>
          <w:rFonts w:cs="Arial"/>
        </w:rPr>
        <w:t xml:space="preserve">74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CC1430">
        <w:rPr>
          <w:rFonts w:cs="Arial"/>
        </w:rPr>
        <w:t>65</w:t>
      </w:r>
      <w:r w:rsidR="00CC1430" w:rsidRPr="003573E3">
        <w:rPr>
          <w:rFonts w:cs="Arial"/>
        </w:rPr>
        <w:t xml:space="preserve"> </w:t>
      </w:r>
      <w:r w:rsidR="001E5AFF" w:rsidRPr="003573E3">
        <w:rPr>
          <w:rFonts w:cs="Arial"/>
        </w:rPr>
        <w:t xml:space="preserve">clients </w:t>
      </w:r>
      <w:r>
        <w:rPr>
          <w:rFonts w:cs="Arial"/>
        </w:rPr>
        <w:t xml:space="preserve">were made in quarter </w:t>
      </w:r>
      <w:r w:rsidR="005E1684">
        <w:rPr>
          <w:rFonts w:cs="Arial"/>
        </w:rPr>
        <w:t>55</w:t>
      </w:r>
      <w:r>
        <w:rPr>
          <w:rFonts w:cs="Arial"/>
        </w:rPr>
        <w:t>, a</w:t>
      </w:r>
      <w:r w:rsidR="005B235C">
        <w:rPr>
          <w:rFonts w:cs="Arial"/>
        </w:rPr>
        <w:t xml:space="preserve"> decrease </w:t>
      </w:r>
      <w:r w:rsidR="00FE0076" w:rsidRPr="003573E3">
        <w:rPr>
          <w:rFonts w:cs="Arial"/>
        </w:rPr>
        <w:t xml:space="preserve">from </w:t>
      </w:r>
      <w:r w:rsidR="00CC1430">
        <w:rPr>
          <w:rFonts w:cs="Arial"/>
        </w:rPr>
        <w:t>105</w:t>
      </w:r>
      <w:r w:rsidR="00CC1430" w:rsidRPr="003573E3">
        <w:rPr>
          <w:rFonts w:cs="Arial"/>
        </w:rPr>
        <w:t xml:space="preserve"> </w:t>
      </w:r>
      <w:r>
        <w:rPr>
          <w:rFonts w:cs="Arial"/>
        </w:rPr>
        <w:t xml:space="preserve">referrals </w:t>
      </w:r>
      <w:r w:rsidR="00FE0076" w:rsidRPr="003573E3">
        <w:rPr>
          <w:rFonts w:cs="Arial"/>
        </w:rPr>
        <w:t xml:space="preserve">in </w:t>
      </w:r>
      <w:r w:rsidR="000257CF" w:rsidRPr="003573E3">
        <w:rPr>
          <w:rFonts w:cs="Arial"/>
        </w:rPr>
        <w:t xml:space="preserve">quarter </w:t>
      </w:r>
      <w:r w:rsidR="000C0A83">
        <w:rPr>
          <w:rFonts w:cs="Arial"/>
        </w:rPr>
        <w:t>5</w:t>
      </w:r>
      <w:r w:rsidR="00CC1430">
        <w:rPr>
          <w:rFonts w:cs="Arial"/>
        </w:rPr>
        <w:t>4</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B166A2">
        <w:rPr>
          <w:rFonts w:cs="Arial"/>
        </w:rPr>
        <w:t>344</w:t>
      </w:r>
      <w:r w:rsidR="00B166A2" w:rsidRPr="003573E3">
        <w:rPr>
          <w:rFonts w:cs="Arial"/>
        </w:rPr>
        <w:t xml:space="preserve"> </w:t>
      </w:r>
      <w:r w:rsidR="00633907" w:rsidRPr="003573E3">
        <w:rPr>
          <w:rFonts w:cs="Arial"/>
        </w:rPr>
        <w:t>clients</w:t>
      </w:r>
      <w:r w:rsidR="007E6EC6" w:rsidRPr="003573E3">
        <w:rPr>
          <w:rFonts w:cs="Arial"/>
        </w:rPr>
        <w:t xml:space="preserve"> </w:t>
      </w:r>
      <w:r w:rsidR="00EE3BD8" w:rsidRPr="003573E3">
        <w:rPr>
          <w:rFonts w:cs="Arial"/>
        </w:rPr>
        <w:t>(</w:t>
      </w:r>
      <w:r w:rsidR="00B166A2">
        <w:rPr>
          <w:rFonts w:cs="Arial"/>
        </w:rPr>
        <w:t>704</w:t>
      </w:r>
      <w:r w:rsidR="00B166A2" w:rsidRPr="003573E3">
        <w:rPr>
          <w:rFonts w:cs="Arial"/>
        </w:rPr>
        <w:t xml:space="preserve"> </w:t>
      </w:r>
      <w:r w:rsidR="00EE3BD8" w:rsidRPr="003573E3">
        <w:rPr>
          <w:rFonts w:cs="Arial"/>
        </w:rPr>
        <w:t xml:space="preserve">female and </w:t>
      </w:r>
      <w:r w:rsidR="00111D8A">
        <w:rPr>
          <w:rFonts w:cs="Arial"/>
        </w:rPr>
        <w:t>6</w:t>
      </w:r>
      <w:r w:rsidR="00B166A2">
        <w:rPr>
          <w:rFonts w:cs="Arial"/>
        </w:rPr>
        <w:t>4</w:t>
      </w:r>
      <w:r w:rsidR="005B235C">
        <w:rPr>
          <w:rFonts w:cs="Arial"/>
        </w:rPr>
        <w:t>0</w:t>
      </w:r>
      <w:r w:rsidR="00111D8A"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6E0855">
        <w:rPr>
          <w:rFonts w:cs="Arial"/>
        </w:rPr>
        <w:t>decreased</w:t>
      </w:r>
      <w:r w:rsidR="006E0855" w:rsidRPr="0040025B">
        <w:rPr>
          <w:rFonts w:cs="Arial"/>
        </w:rPr>
        <w:t xml:space="preserve"> </w:t>
      </w:r>
      <w:r w:rsidR="00A27155" w:rsidRPr="0040025B">
        <w:rPr>
          <w:rFonts w:cs="Arial"/>
        </w:rPr>
        <w:t xml:space="preserve">by </w:t>
      </w:r>
      <w:r w:rsidR="00B166A2">
        <w:rPr>
          <w:rFonts w:cs="Arial"/>
        </w:rPr>
        <w:t>16</w:t>
      </w:r>
      <w:r w:rsidR="001E5AFF">
        <w:rPr>
          <w:rFonts w:cs="Arial"/>
        </w:rPr>
        <w:t>,</w:t>
      </w:r>
      <w:r w:rsidR="005A5B78" w:rsidRPr="0040025B">
        <w:rPr>
          <w:rFonts w:cs="Arial"/>
        </w:rPr>
        <w:t xml:space="preserve"> Coen </w:t>
      </w:r>
      <w:r w:rsidR="00B166A2">
        <w:rPr>
          <w:rFonts w:cs="Arial"/>
        </w:rPr>
        <w:t xml:space="preserve">decreased </w:t>
      </w:r>
      <w:r w:rsidR="00F751CA">
        <w:rPr>
          <w:rFonts w:cs="Arial"/>
        </w:rPr>
        <w:t xml:space="preserve">by </w:t>
      </w:r>
      <w:r w:rsidR="00B166A2">
        <w:rPr>
          <w:rFonts w:cs="Arial"/>
        </w:rPr>
        <w:t>10</w:t>
      </w:r>
      <w:r w:rsidR="001E5AFF">
        <w:rPr>
          <w:rFonts w:cs="Arial"/>
        </w:rPr>
        <w:t>,</w:t>
      </w:r>
      <w:r w:rsidR="005A5B78" w:rsidRPr="0040025B">
        <w:rPr>
          <w:rFonts w:cs="Arial"/>
        </w:rPr>
        <w:t xml:space="preserve"> </w:t>
      </w:r>
      <w:r w:rsidR="00CB55CE" w:rsidRPr="0040025B">
        <w:rPr>
          <w:rFonts w:cs="Arial"/>
        </w:rPr>
        <w:t xml:space="preserve">Doomadgee </w:t>
      </w:r>
      <w:r w:rsidR="006E0855">
        <w:rPr>
          <w:rFonts w:cs="Arial"/>
        </w:rPr>
        <w:t xml:space="preserve">decreased </w:t>
      </w:r>
      <w:r w:rsidR="00533727">
        <w:rPr>
          <w:rFonts w:cs="Arial"/>
        </w:rPr>
        <w:t xml:space="preserve">by </w:t>
      </w:r>
      <w:r w:rsidR="00B166A2">
        <w:rPr>
          <w:rFonts w:cs="Arial"/>
        </w:rPr>
        <w:t>4</w:t>
      </w:r>
      <w:r w:rsidR="001E5AFF">
        <w:rPr>
          <w:rFonts w:cs="Arial"/>
        </w:rPr>
        <w:t>,</w:t>
      </w:r>
      <w:r w:rsidR="00533727">
        <w:rPr>
          <w:rFonts w:cs="Arial"/>
        </w:rPr>
        <w:t xml:space="preserve"> </w:t>
      </w:r>
      <w:r w:rsidR="003C0891">
        <w:rPr>
          <w:rFonts w:cs="Arial"/>
        </w:rPr>
        <w:t xml:space="preserve">Hope Vale </w:t>
      </w:r>
      <w:r w:rsidR="009E1EDC">
        <w:rPr>
          <w:rFonts w:cs="Arial"/>
        </w:rPr>
        <w:t xml:space="preserve">decreased </w:t>
      </w:r>
      <w:r w:rsidR="00F45AA8">
        <w:rPr>
          <w:rFonts w:cs="Arial"/>
        </w:rPr>
        <w:t xml:space="preserve">by </w:t>
      </w:r>
      <w:r w:rsidR="00B166A2">
        <w:rPr>
          <w:rFonts w:cs="Arial"/>
        </w:rPr>
        <w:t>1</w:t>
      </w:r>
      <w:r w:rsidR="00B0165E">
        <w:rPr>
          <w:rFonts w:cs="Arial"/>
        </w:rPr>
        <w:t xml:space="preserve"> </w:t>
      </w:r>
      <w:r w:rsidR="00604D65">
        <w:rPr>
          <w:rFonts w:cs="Arial"/>
        </w:rPr>
        <w:t xml:space="preserve">and Mossman Gorge </w:t>
      </w:r>
      <w:r w:rsidR="00B166A2">
        <w:rPr>
          <w:rFonts w:cs="Arial"/>
        </w:rPr>
        <w:t>remained unchanged with 9 referrals for the quarter</w:t>
      </w:r>
      <w:r w:rsidR="00604D65">
        <w:rPr>
          <w:rFonts w:cs="Arial"/>
        </w:rPr>
        <w:t>.</w:t>
      </w:r>
    </w:p>
    <w:p w14:paraId="57176A3D" w14:textId="79FAE95A" w:rsidR="00683630" w:rsidRDefault="00683630" w:rsidP="00695B67">
      <w:pPr>
        <w:tabs>
          <w:tab w:val="left" w:pos="0"/>
        </w:tabs>
        <w:ind w:left="426" w:right="-425" w:hanging="568"/>
        <w:jc w:val="both"/>
        <w:rPr>
          <w:rFonts w:cs="Arial"/>
          <w:b/>
          <w:sz w:val="16"/>
          <w:szCs w:val="16"/>
        </w:rPr>
      </w:pPr>
    </w:p>
    <w:p w14:paraId="2416EB85" w14:textId="31950FAA" w:rsidR="005B2C52" w:rsidRPr="00D925BE" w:rsidRDefault="005B2C52" w:rsidP="005B2C52">
      <w:pPr>
        <w:pStyle w:val="TableCaption"/>
        <w:spacing w:before="0"/>
        <w:ind w:left="0" w:right="-425"/>
        <w:rPr>
          <w:b/>
          <w:i w:val="0"/>
          <w:sz w:val="16"/>
        </w:rPr>
      </w:pPr>
      <w:r>
        <w:rPr>
          <w:b/>
          <w:i w:val="0"/>
          <w:sz w:val="16"/>
        </w:rPr>
        <w:t>Table 17</w:t>
      </w:r>
      <w:r w:rsidRPr="00F85AA1">
        <w:rPr>
          <w:b/>
          <w:i w:val="0"/>
          <w:sz w:val="16"/>
        </w:rPr>
        <w:t xml:space="preserve">: </w:t>
      </w:r>
      <w:r w:rsidRPr="00F85AA1">
        <w:rPr>
          <w:i w:val="0"/>
          <w:sz w:val="16"/>
        </w:rPr>
        <w:t xml:space="preserve">Referral pathways by referral type and quarter 1 </w:t>
      </w:r>
      <w:r w:rsidR="00B93D37">
        <w:rPr>
          <w:i w:val="0"/>
          <w:sz w:val="16"/>
        </w:rPr>
        <w:t>January</w:t>
      </w:r>
      <w:r>
        <w:rPr>
          <w:i w:val="0"/>
          <w:sz w:val="16"/>
        </w:rPr>
        <w:t xml:space="preserve"> 202</w:t>
      </w:r>
      <w:r w:rsidR="00B93D37">
        <w:rPr>
          <w:i w:val="0"/>
          <w:sz w:val="16"/>
        </w:rPr>
        <w:t>1</w:t>
      </w:r>
      <w:r>
        <w:rPr>
          <w:i w:val="0"/>
          <w:sz w:val="16"/>
        </w:rPr>
        <w:t xml:space="preserve"> to 31 </w:t>
      </w:r>
      <w:r w:rsidR="00B93D37">
        <w:rPr>
          <w:i w:val="0"/>
          <w:sz w:val="16"/>
        </w:rPr>
        <w:t>March</w:t>
      </w:r>
      <w:r>
        <w:rPr>
          <w:i w:val="0"/>
          <w:sz w:val="16"/>
        </w:rPr>
        <w:t xml:space="preserve"> 202</w:t>
      </w:r>
      <w:r w:rsidR="00B93D37">
        <w:rPr>
          <w:i w:val="0"/>
          <w:sz w:val="16"/>
        </w:rPr>
        <w:t>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B93D37" w:rsidRPr="00C5395B" w14:paraId="33047C6D" w14:textId="76C543A1" w:rsidTr="00B93D37">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1E561254" w14:textId="77777777" w:rsidR="00B93D37" w:rsidRPr="00C5395B" w:rsidRDefault="00B93D37" w:rsidP="006F4E59">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00C2D5AE" w14:textId="77777777" w:rsidR="00B93D37" w:rsidRDefault="00B93D37" w:rsidP="006F4E59">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4D8C2703" w14:textId="77777777" w:rsidR="00B93D37" w:rsidRDefault="00B93D37" w:rsidP="006F4E59">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14C17DC7" w14:textId="77777777" w:rsidR="00B93D37" w:rsidRDefault="00B93D37" w:rsidP="006F4E59">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5E02F882" w14:textId="77777777" w:rsidR="00B93D37" w:rsidRDefault="00B93D37" w:rsidP="006F4E59">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08C060FE" w14:textId="6155922F" w:rsidR="00B93D37" w:rsidRDefault="00B93D37" w:rsidP="006F4E59">
            <w:pPr>
              <w:pStyle w:val="TableText"/>
              <w:jc w:val="right"/>
              <w:rPr>
                <w:b/>
                <w:lang w:eastAsia="en-AU"/>
              </w:rPr>
            </w:pPr>
            <w:r>
              <w:rPr>
                <w:b/>
                <w:lang w:eastAsia="en-AU"/>
              </w:rPr>
              <w:t>Qtr 55</w:t>
            </w:r>
          </w:p>
        </w:tc>
      </w:tr>
      <w:tr w:rsidR="00B93D37" w:rsidRPr="00C5395B" w14:paraId="4402D809" w14:textId="57559A28" w:rsidTr="00B93D37">
        <w:trPr>
          <w:trHeight w:val="255"/>
        </w:trPr>
        <w:tc>
          <w:tcPr>
            <w:tcW w:w="2029" w:type="dxa"/>
            <w:tcBorders>
              <w:top w:val="nil"/>
              <w:left w:val="single" w:sz="4" w:space="0" w:color="auto"/>
              <w:bottom w:val="single" w:sz="4" w:space="0" w:color="auto"/>
              <w:right w:val="single" w:sz="4" w:space="0" w:color="auto"/>
            </w:tcBorders>
            <w:noWrap/>
            <w:hideMark/>
          </w:tcPr>
          <w:p w14:paraId="4E263C56" w14:textId="77777777" w:rsidR="00B93D37" w:rsidRPr="00C5395B" w:rsidRDefault="00B93D37" w:rsidP="006F4E59">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vAlign w:val="bottom"/>
          </w:tcPr>
          <w:p w14:paraId="1F97DE80" w14:textId="77777777" w:rsidR="00B93D37" w:rsidRPr="00AA5933" w:rsidRDefault="00B93D37" w:rsidP="006F4E59">
            <w:pPr>
              <w:jc w:val="right"/>
              <w:rPr>
                <w:rFonts w:cs="Arial"/>
              </w:rPr>
            </w:pPr>
            <w:r w:rsidRPr="00D35167">
              <w:rPr>
                <w:rFonts w:cs="Arial"/>
              </w:rPr>
              <w:t>99</w:t>
            </w:r>
          </w:p>
        </w:tc>
        <w:tc>
          <w:tcPr>
            <w:tcW w:w="992" w:type="dxa"/>
            <w:tcBorders>
              <w:top w:val="nil"/>
              <w:left w:val="nil"/>
              <w:bottom w:val="single" w:sz="4" w:space="0" w:color="auto"/>
              <w:right w:val="single" w:sz="4" w:space="0" w:color="auto"/>
            </w:tcBorders>
            <w:vAlign w:val="bottom"/>
          </w:tcPr>
          <w:p w14:paraId="203FA739" w14:textId="77777777" w:rsidR="00B93D37" w:rsidRPr="00DF7212" w:rsidRDefault="00B93D37" w:rsidP="006F4E59">
            <w:pPr>
              <w:jc w:val="right"/>
              <w:rPr>
                <w:rFonts w:cs="Arial"/>
              </w:rPr>
            </w:pPr>
            <w:r w:rsidRPr="007E5A38">
              <w:rPr>
                <w:rFonts w:cs="Arial"/>
              </w:rPr>
              <w:t>56</w:t>
            </w:r>
          </w:p>
        </w:tc>
        <w:tc>
          <w:tcPr>
            <w:tcW w:w="993" w:type="dxa"/>
            <w:tcBorders>
              <w:top w:val="nil"/>
              <w:left w:val="nil"/>
              <w:bottom w:val="single" w:sz="4" w:space="0" w:color="auto"/>
              <w:right w:val="single" w:sz="4" w:space="0" w:color="auto"/>
            </w:tcBorders>
          </w:tcPr>
          <w:p w14:paraId="44FEFD90" w14:textId="77777777" w:rsidR="00B93D37" w:rsidRPr="007E5A38" w:rsidRDefault="00B93D37" w:rsidP="006F4E59">
            <w:pPr>
              <w:jc w:val="right"/>
              <w:rPr>
                <w:rFonts w:cs="Arial"/>
              </w:rPr>
            </w:pPr>
            <w:r w:rsidRPr="003069C4">
              <w:rPr>
                <w:rFonts w:cs="Arial"/>
              </w:rPr>
              <w:t>75</w:t>
            </w:r>
          </w:p>
        </w:tc>
        <w:tc>
          <w:tcPr>
            <w:tcW w:w="993" w:type="dxa"/>
            <w:tcBorders>
              <w:top w:val="nil"/>
              <w:left w:val="nil"/>
              <w:bottom w:val="single" w:sz="4" w:space="0" w:color="auto"/>
              <w:right w:val="single" w:sz="4" w:space="0" w:color="auto"/>
            </w:tcBorders>
          </w:tcPr>
          <w:p w14:paraId="05525E93" w14:textId="77777777" w:rsidR="00B93D37" w:rsidRPr="003069C4" w:rsidRDefault="00B93D37" w:rsidP="006F4E59">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0A07DEFB" w14:textId="711240F0" w:rsidR="00B93D37" w:rsidRDefault="00B93D37" w:rsidP="006F4E59">
            <w:pPr>
              <w:jc w:val="right"/>
              <w:rPr>
                <w:rFonts w:cs="Arial"/>
              </w:rPr>
            </w:pPr>
            <w:r>
              <w:rPr>
                <w:rFonts w:cs="Arial"/>
              </w:rPr>
              <w:t>22</w:t>
            </w:r>
          </w:p>
        </w:tc>
      </w:tr>
      <w:tr w:rsidR="00B93D37" w:rsidRPr="00C5395B" w14:paraId="31D859F0" w14:textId="6B01EC9E" w:rsidTr="00B93D37">
        <w:trPr>
          <w:trHeight w:val="255"/>
        </w:trPr>
        <w:tc>
          <w:tcPr>
            <w:tcW w:w="2029" w:type="dxa"/>
            <w:tcBorders>
              <w:top w:val="nil"/>
              <w:left w:val="single" w:sz="4" w:space="0" w:color="auto"/>
              <w:bottom w:val="single" w:sz="4" w:space="0" w:color="auto"/>
              <w:right w:val="single" w:sz="4" w:space="0" w:color="auto"/>
            </w:tcBorders>
            <w:noWrap/>
            <w:hideMark/>
          </w:tcPr>
          <w:p w14:paraId="3C26B8AC" w14:textId="77777777" w:rsidR="00B93D37" w:rsidRPr="00C5395B" w:rsidRDefault="00B93D37" w:rsidP="006F4E59">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vAlign w:val="bottom"/>
          </w:tcPr>
          <w:p w14:paraId="4A317011" w14:textId="77777777" w:rsidR="00B93D37" w:rsidRPr="00AA5933" w:rsidRDefault="00B93D37" w:rsidP="006F4E59">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65A527D9" w14:textId="77777777" w:rsidR="00B93D37" w:rsidRPr="00DF7212" w:rsidRDefault="00B93D37" w:rsidP="006F4E59">
            <w:pPr>
              <w:jc w:val="right"/>
              <w:rPr>
                <w:rFonts w:cs="Arial"/>
              </w:rPr>
            </w:pPr>
            <w:r w:rsidRPr="007E5A38">
              <w:rPr>
                <w:rFonts w:cs="Arial"/>
              </w:rPr>
              <w:t>13</w:t>
            </w:r>
          </w:p>
        </w:tc>
        <w:tc>
          <w:tcPr>
            <w:tcW w:w="993" w:type="dxa"/>
            <w:tcBorders>
              <w:top w:val="nil"/>
              <w:left w:val="nil"/>
              <w:bottom w:val="single" w:sz="4" w:space="0" w:color="auto"/>
              <w:right w:val="single" w:sz="4" w:space="0" w:color="auto"/>
            </w:tcBorders>
          </w:tcPr>
          <w:p w14:paraId="0BF68A59" w14:textId="77777777" w:rsidR="00B93D37" w:rsidRPr="007E5A38" w:rsidRDefault="00B93D37" w:rsidP="006F4E59">
            <w:pPr>
              <w:jc w:val="right"/>
              <w:rPr>
                <w:rFonts w:cs="Arial"/>
              </w:rPr>
            </w:pPr>
            <w:r w:rsidRPr="003069C4">
              <w:rPr>
                <w:rFonts w:cs="Arial"/>
              </w:rPr>
              <w:t>11</w:t>
            </w:r>
          </w:p>
        </w:tc>
        <w:tc>
          <w:tcPr>
            <w:tcW w:w="993" w:type="dxa"/>
            <w:tcBorders>
              <w:top w:val="nil"/>
              <w:left w:val="nil"/>
              <w:bottom w:val="single" w:sz="4" w:space="0" w:color="auto"/>
              <w:right w:val="single" w:sz="4" w:space="0" w:color="auto"/>
            </w:tcBorders>
          </w:tcPr>
          <w:p w14:paraId="0C263BFF" w14:textId="77777777" w:rsidR="00B93D37" w:rsidRPr="003069C4" w:rsidRDefault="00B93D37" w:rsidP="006F4E59">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43DF5465" w14:textId="1A0C7E3F" w:rsidR="00B93D37" w:rsidRDefault="00B93D37" w:rsidP="006F4E59">
            <w:pPr>
              <w:jc w:val="right"/>
              <w:rPr>
                <w:rFonts w:cs="Arial"/>
              </w:rPr>
            </w:pPr>
            <w:r>
              <w:rPr>
                <w:rFonts w:cs="Arial"/>
              </w:rPr>
              <w:t>5</w:t>
            </w:r>
          </w:p>
        </w:tc>
      </w:tr>
      <w:tr w:rsidR="00B93D37" w:rsidRPr="00C5395B" w14:paraId="24A82E38" w14:textId="69B58F37" w:rsidTr="00B93D37">
        <w:trPr>
          <w:trHeight w:val="255"/>
        </w:trPr>
        <w:tc>
          <w:tcPr>
            <w:tcW w:w="2029" w:type="dxa"/>
            <w:tcBorders>
              <w:top w:val="nil"/>
              <w:left w:val="single" w:sz="4" w:space="0" w:color="auto"/>
              <w:bottom w:val="single" w:sz="4" w:space="0" w:color="auto"/>
              <w:right w:val="single" w:sz="4" w:space="0" w:color="auto"/>
            </w:tcBorders>
            <w:noWrap/>
          </w:tcPr>
          <w:p w14:paraId="53FF1DC9" w14:textId="77777777" w:rsidR="00B93D37" w:rsidRPr="00C5395B" w:rsidRDefault="00B93D37" w:rsidP="006F4E59">
            <w:pPr>
              <w:pStyle w:val="TableText"/>
              <w:rPr>
                <w:lang w:eastAsia="en-AU"/>
              </w:rPr>
            </w:pPr>
            <w:r>
              <w:rPr>
                <w:lang w:eastAsia="en-AU"/>
              </w:rPr>
              <w:t>Doomadgee</w:t>
            </w:r>
          </w:p>
        </w:tc>
        <w:tc>
          <w:tcPr>
            <w:tcW w:w="1134" w:type="dxa"/>
            <w:tcBorders>
              <w:top w:val="nil"/>
              <w:left w:val="nil"/>
              <w:bottom w:val="single" w:sz="4" w:space="0" w:color="auto"/>
              <w:right w:val="single" w:sz="4" w:space="0" w:color="auto"/>
            </w:tcBorders>
            <w:vAlign w:val="bottom"/>
          </w:tcPr>
          <w:p w14:paraId="48341366" w14:textId="77777777" w:rsidR="00B93D37" w:rsidRPr="00AA5933" w:rsidRDefault="00B93D37" w:rsidP="006F4E59">
            <w:pPr>
              <w:jc w:val="right"/>
              <w:rPr>
                <w:rFonts w:cs="Arial"/>
              </w:rPr>
            </w:pPr>
            <w:r w:rsidRPr="00D35167">
              <w:rPr>
                <w:rFonts w:cs="Arial"/>
              </w:rPr>
              <w:t>26</w:t>
            </w:r>
          </w:p>
        </w:tc>
        <w:tc>
          <w:tcPr>
            <w:tcW w:w="992" w:type="dxa"/>
            <w:tcBorders>
              <w:top w:val="nil"/>
              <w:left w:val="nil"/>
              <w:bottom w:val="single" w:sz="4" w:space="0" w:color="auto"/>
              <w:right w:val="single" w:sz="4" w:space="0" w:color="auto"/>
            </w:tcBorders>
            <w:vAlign w:val="bottom"/>
          </w:tcPr>
          <w:p w14:paraId="10D8FB83" w14:textId="77777777" w:rsidR="00B93D37" w:rsidRPr="00DF7212" w:rsidRDefault="00B93D37" w:rsidP="006F4E59">
            <w:pPr>
              <w:jc w:val="right"/>
              <w:rPr>
                <w:rFonts w:cs="Arial"/>
              </w:rPr>
            </w:pPr>
            <w:r w:rsidRPr="007E5A38">
              <w:rPr>
                <w:rFonts w:cs="Arial"/>
              </w:rPr>
              <w:t>30</w:t>
            </w:r>
          </w:p>
        </w:tc>
        <w:tc>
          <w:tcPr>
            <w:tcW w:w="993" w:type="dxa"/>
            <w:tcBorders>
              <w:top w:val="nil"/>
              <w:left w:val="nil"/>
              <w:bottom w:val="single" w:sz="4" w:space="0" w:color="auto"/>
              <w:right w:val="single" w:sz="4" w:space="0" w:color="auto"/>
            </w:tcBorders>
          </w:tcPr>
          <w:p w14:paraId="6F3580B1" w14:textId="77777777" w:rsidR="00B93D37" w:rsidRPr="007E5A38" w:rsidRDefault="00B93D37" w:rsidP="006F4E59">
            <w:pPr>
              <w:jc w:val="right"/>
              <w:rPr>
                <w:rFonts w:cs="Arial"/>
              </w:rPr>
            </w:pPr>
            <w:r w:rsidRPr="003069C4">
              <w:rPr>
                <w:rFonts w:cs="Arial"/>
              </w:rPr>
              <w:t>44</w:t>
            </w:r>
          </w:p>
        </w:tc>
        <w:tc>
          <w:tcPr>
            <w:tcW w:w="993" w:type="dxa"/>
            <w:tcBorders>
              <w:top w:val="nil"/>
              <w:left w:val="nil"/>
              <w:bottom w:val="single" w:sz="4" w:space="0" w:color="auto"/>
              <w:right w:val="single" w:sz="4" w:space="0" w:color="auto"/>
            </w:tcBorders>
          </w:tcPr>
          <w:p w14:paraId="7296F7AA" w14:textId="77777777" w:rsidR="00B93D37" w:rsidRPr="003069C4" w:rsidRDefault="00B93D37" w:rsidP="006F4E59">
            <w:pPr>
              <w:jc w:val="right"/>
              <w:rPr>
                <w:rFonts w:cs="Arial"/>
              </w:rPr>
            </w:pPr>
            <w:r>
              <w:rPr>
                <w:rFonts w:cs="Arial"/>
              </w:rPr>
              <w:t>31</w:t>
            </w:r>
          </w:p>
        </w:tc>
        <w:tc>
          <w:tcPr>
            <w:tcW w:w="993" w:type="dxa"/>
            <w:tcBorders>
              <w:top w:val="nil"/>
              <w:left w:val="nil"/>
              <w:bottom w:val="single" w:sz="4" w:space="0" w:color="auto"/>
              <w:right w:val="single" w:sz="4" w:space="0" w:color="auto"/>
            </w:tcBorders>
          </w:tcPr>
          <w:p w14:paraId="754419BA" w14:textId="6DE7BA33" w:rsidR="00B93D37" w:rsidRDefault="00B93D37" w:rsidP="006F4E59">
            <w:pPr>
              <w:jc w:val="right"/>
              <w:rPr>
                <w:rFonts w:cs="Arial"/>
              </w:rPr>
            </w:pPr>
            <w:r>
              <w:rPr>
                <w:rFonts w:cs="Arial"/>
              </w:rPr>
              <w:t>27</w:t>
            </w:r>
          </w:p>
        </w:tc>
      </w:tr>
      <w:tr w:rsidR="00B93D37" w:rsidRPr="00C5395B" w14:paraId="19333872" w14:textId="509BF239" w:rsidTr="00B93D37">
        <w:trPr>
          <w:trHeight w:val="255"/>
        </w:trPr>
        <w:tc>
          <w:tcPr>
            <w:tcW w:w="2029" w:type="dxa"/>
            <w:tcBorders>
              <w:top w:val="nil"/>
              <w:left w:val="single" w:sz="4" w:space="0" w:color="auto"/>
              <w:bottom w:val="single" w:sz="4" w:space="0" w:color="auto"/>
              <w:right w:val="single" w:sz="4" w:space="0" w:color="auto"/>
            </w:tcBorders>
            <w:noWrap/>
          </w:tcPr>
          <w:p w14:paraId="6301DEC0" w14:textId="77777777" w:rsidR="00B93D37" w:rsidRPr="00C5395B" w:rsidRDefault="00B93D37" w:rsidP="006F4E59">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vAlign w:val="bottom"/>
          </w:tcPr>
          <w:p w14:paraId="6B0AAC0B" w14:textId="77777777" w:rsidR="00B93D37" w:rsidRPr="00AA5933" w:rsidRDefault="00B93D37" w:rsidP="006F4E59">
            <w:pPr>
              <w:jc w:val="right"/>
              <w:rPr>
                <w:rFonts w:cs="Arial"/>
              </w:rPr>
            </w:pPr>
            <w:r w:rsidRPr="00D35167">
              <w:rPr>
                <w:rFonts w:cs="Arial"/>
              </w:rPr>
              <w:t>18</w:t>
            </w:r>
          </w:p>
        </w:tc>
        <w:tc>
          <w:tcPr>
            <w:tcW w:w="992" w:type="dxa"/>
            <w:tcBorders>
              <w:top w:val="nil"/>
              <w:left w:val="nil"/>
              <w:bottom w:val="single" w:sz="4" w:space="0" w:color="auto"/>
              <w:right w:val="single" w:sz="4" w:space="0" w:color="auto"/>
            </w:tcBorders>
            <w:vAlign w:val="bottom"/>
          </w:tcPr>
          <w:p w14:paraId="13771E88" w14:textId="77777777" w:rsidR="00B93D37" w:rsidRPr="00DF7212" w:rsidRDefault="00B93D37" w:rsidP="006F4E59">
            <w:pPr>
              <w:jc w:val="right"/>
              <w:rPr>
                <w:rFonts w:cs="Arial"/>
              </w:rPr>
            </w:pPr>
            <w:r w:rsidRPr="007E5A38">
              <w:rPr>
                <w:rFonts w:cs="Arial"/>
              </w:rPr>
              <w:t>23</w:t>
            </w:r>
          </w:p>
        </w:tc>
        <w:tc>
          <w:tcPr>
            <w:tcW w:w="993" w:type="dxa"/>
            <w:tcBorders>
              <w:top w:val="nil"/>
              <w:left w:val="nil"/>
              <w:bottom w:val="single" w:sz="4" w:space="0" w:color="auto"/>
              <w:right w:val="single" w:sz="4" w:space="0" w:color="auto"/>
            </w:tcBorders>
          </w:tcPr>
          <w:p w14:paraId="5BDAF6AF" w14:textId="77777777" w:rsidR="00B93D37" w:rsidRPr="007E5A38" w:rsidRDefault="00B93D37" w:rsidP="006F4E59">
            <w:pPr>
              <w:jc w:val="right"/>
              <w:rPr>
                <w:rFonts w:cs="Arial"/>
              </w:rPr>
            </w:pPr>
            <w:r w:rsidRPr="003069C4">
              <w:rPr>
                <w:rFonts w:cs="Arial"/>
              </w:rPr>
              <w:t>14</w:t>
            </w:r>
          </w:p>
        </w:tc>
        <w:tc>
          <w:tcPr>
            <w:tcW w:w="993" w:type="dxa"/>
            <w:tcBorders>
              <w:top w:val="nil"/>
              <w:left w:val="nil"/>
              <w:bottom w:val="single" w:sz="4" w:space="0" w:color="auto"/>
              <w:right w:val="single" w:sz="4" w:space="0" w:color="auto"/>
            </w:tcBorders>
          </w:tcPr>
          <w:p w14:paraId="7A368903" w14:textId="77777777" w:rsidR="00B93D37" w:rsidRPr="003069C4" w:rsidRDefault="00B93D37" w:rsidP="006F4E59">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09A86614" w14:textId="25AB480C" w:rsidR="00B93D37" w:rsidRDefault="00B93D37" w:rsidP="006F4E59">
            <w:pPr>
              <w:jc w:val="right"/>
              <w:rPr>
                <w:rFonts w:cs="Arial"/>
              </w:rPr>
            </w:pPr>
            <w:r>
              <w:rPr>
                <w:rFonts w:cs="Arial"/>
              </w:rPr>
              <w:t>11</w:t>
            </w:r>
          </w:p>
        </w:tc>
      </w:tr>
      <w:tr w:rsidR="00B93D37" w:rsidRPr="00C5395B" w14:paraId="73370A8E" w14:textId="1C60B9ED" w:rsidTr="00B93D37">
        <w:trPr>
          <w:trHeight w:val="255"/>
        </w:trPr>
        <w:tc>
          <w:tcPr>
            <w:tcW w:w="2029" w:type="dxa"/>
            <w:tcBorders>
              <w:top w:val="nil"/>
              <w:left w:val="single" w:sz="4" w:space="0" w:color="auto"/>
              <w:bottom w:val="single" w:sz="4" w:space="0" w:color="auto"/>
              <w:right w:val="single" w:sz="4" w:space="0" w:color="auto"/>
            </w:tcBorders>
            <w:noWrap/>
            <w:hideMark/>
          </w:tcPr>
          <w:p w14:paraId="5D0926BC" w14:textId="77777777" w:rsidR="00B93D37" w:rsidRPr="00C5395B" w:rsidRDefault="00B93D37" w:rsidP="006F4E59">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vAlign w:val="bottom"/>
          </w:tcPr>
          <w:p w14:paraId="36D7F75D" w14:textId="77777777" w:rsidR="00B93D37" w:rsidRPr="00AA5933" w:rsidRDefault="00B93D37" w:rsidP="006F4E59">
            <w:pPr>
              <w:jc w:val="right"/>
              <w:rPr>
                <w:rFonts w:cs="Arial"/>
              </w:rPr>
            </w:pPr>
            <w:r w:rsidRPr="00D35167">
              <w:rPr>
                <w:rFonts w:cs="Arial"/>
              </w:rPr>
              <w:t>7</w:t>
            </w:r>
          </w:p>
        </w:tc>
        <w:tc>
          <w:tcPr>
            <w:tcW w:w="992" w:type="dxa"/>
            <w:tcBorders>
              <w:top w:val="nil"/>
              <w:left w:val="nil"/>
              <w:bottom w:val="single" w:sz="4" w:space="0" w:color="auto"/>
              <w:right w:val="single" w:sz="4" w:space="0" w:color="auto"/>
            </w:tcBorders>
            <w:vAlign w:val="bottom"/>
          </w:tcPr>
          <w:p w14:paraId="16396FDF" w14:textId="77777777" w:rsidR="00B93D37" w:rsidRPr="00DF7212" w:rsidRDefault="00B93D37" w:rsidP="006F4E59">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tcPr>
          <w:p w14:paraId="3485839F" w14:textId="77777777" w:rsidR="00B93D37" w:rsidRPr="007E5A38" w:rsidRDefault="00B93D37" w:rsidP="006F4E59">
            <w:pPr>
              <w:jc w:val="right"/>
              <w:rPr>
                <w:rFonts w:cs="Arial"/>
              </w:rPr>
            </w:pPr>
            <w:r w:rsidRPr="003069C4">
              <w:rPr>
                <w:rFonts w:cs="Arial"/>
              </w:rPr>
              <w:t>13</w:t>
            </w:r>
          </w:p>
        </w:tc>
        <w:tc>
          <w:tcPr>
            <w:tcW w:w="993" w:type="dxa"/>
            <w:tcBorders>
              <w:top w:val="nil"/>
              <w:left w:val="nil"/>
              <w:bottom w:val="single" w:sz="4" w:space="0" w:color="auto"/>
              <w:right w:val="single" w:sz="4" w:space="0" w:color="auto"/>
            </w:tcBorders>
          </w:tcPr>
          <w:p w14:paraId="01173ACA" w14:textId="77777777" w:rsidR="00B93D37" w:rsidRPr="003069C4" w:rsidRDefault="00B93D37" w:rsidP="006F4E59">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45C97677" w14:textId="36F7B82C" w:rsidR="00B93D37" w:rsidRDefault="00B93D37" w:rsidP="006F4E59">
            <w:pPr>
              <w:jc w:val="right"/>
              <w:rPr>
                <w:rFonts w:cs="Arial"/>
              </w:rPr>
            </w:pPr>
            <w:r>
              <w:rPr>
                <w:rFonts w:cs="Arial"/>
              </w:rPr>
              <w:t>9</w:t>
            </w:r>
          </w:p>
        </w:tc>
      </w:tr>
      <w:tr w:rsidR="00B93D37" w:rsidRPr="00C5395B" w14:paraId="5513815A" w14:textId="5CD28400" w:rsidTr="00B93D37">
        <w:trPr>
          <w:trHeight w:val="255"/>
        </w:trPr>
        <w:tc>
          <w:tcPr>
            <w:tcW w:w="2029" w:type="dxa"/>
            <w:tcBorders>
              <w:top w:val="nil"/>
              <w:left w:val="single" w:sz="4" w:space="0" w:color="auto"/>
              <w:bottom w:val="single" w:sz="4" w:space="0" w:color="auto"/>
              <w:right w:val="single" w:sz="4" w:space="0" w:color="auto"/>
            </w:tcBorders>
            <w:noWrap/>
            <w:hideMark/>
          </w:tcPr>
          <w:p w14:paraId="219CEC1D" w14:textId="77777777" w:rsidR="00B93D37" w:rsidRPr="00C5395B" w:rsidRDefault="00B93D37" w:rsidP="006F4E59">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vAlign w:val="bottom"/>
          </w:tcPr>
          <w:p w14:paraId="4E99BD2B" w14:textId="77777777" w:rsidR="00B93D37" w:rsidRPr="00AA5933" w:rsidRDefault="00B93D37" w:rsidP="006F4E59">
            <w:pPr>
              <w:pStyle w:val="TableText"/>
              <w:jc w:val="right"/>
              <w:rPr>
                <w:b/>
                <w:lang w:eastAsia="en-AU"/>
              </w:rPr>
            </w:pPr>
            <w:r w:rsidRPr="00D35167">
              <w:rPr>
                <w:rFonts w:cs="Arial"/>
                <w:b/>
                <w:bCs/>
              </w:rPr>
              <w:t>154</w:t>
            </w:r>
          </w:p>
        </w:tc>
        <w:tc>
          <w:tcPr>
            <w:tcW w:w="992" w:type="dxa"/>
            <w:tcBorders>
              <w:top w:val="nil"/>
              <w:left w:val="nil"/>
              <w:bottom w:val="single" w:sz="4" w:space="0" w:color="auto"/>
              <w:right w:val="single" w:sz="4" w:space="0" w:color="auto"/>
            </w:tcBorders>
            <w:vAlign w:val="bottom"/>
          </w:tcPr>
          <w:p w14:paraId="7AFB05FD" w14:textId="77777777" w:rsidR="00B93D37" w:rsidRPr="00DF7212" w:rsidRDefault="00B93D37" w:rsidP="006F4E59">
            <w:pPr>
              <w:pStyle w:val="TableText"/>
              <w:jc w:val="right"/>
              <w:rPr>
                <w:rFonts w:cs="Arial"/>
                <w:b/>
                <w:bCs/>
              </w:rPr>
            </w:pPr>
            <w:r w:rsidRPr="007E5A38">
              <w:rPr>
                <w:rFonts w:cs="Arial"/>
                <w:b/>
                <w:bCs/>
              </w:rPr>
              <w:t>136</w:t>
            </w:r>
          </w:p>
        </w:tc>
        <w:tc>
          <w:tcPr>
            <w:tcW w:w="993" w:type="dxa"/>
            <w:tcBorders>
              <w:top w:val="nil"/>
              <w:left w:val="nil"/>
              <w:bottom w:val="single" w:sz="4" w:space="0" w:color="auto"/>
              <w:right w:val="single" w:sz="4" w:space="0" w:color="auto"/>
            </w:tcBorders>
          </w:tcPr>
          <w:p w14:paraId="0B21C648" w14:textId="77777777" w:rsidR="00B93D37" w:rsidRPr="003069C4" w:rsidRDefault="00B93D37" w:rsidP="006F4E59">
            <w:pPr>
              <w:jc w:val="right"/>
              <w:rPr>
                <w:rFonts w:cs="Arial"/>
                <w:b/>
                <w:bCs/>
              </w:rPr>
            </w:pPr>
            <w:r w:rsidRPr="003069C4">
              <w:rPr>
                <w:rFonts w:cs="Arial"/>
                <w:b/>
                <w:bCs/>
              </w:rPr>
              <w:t>157</w:t>
            </w:r>
          </w:p>
        </w:tc>
        <w:tc>
          <w:tcPr>
            <w:tcW w:w="993" w:type="dxa"/>
            <w:tcBorders>
              <w:top w:val="nil"/>
              <w:left w:val="nil"/>
              <w:bottom w:val="single" w:sz="4" w:space="0" w:color="auto"/>
              <w:right w:val="single" w:sz="4" w:space="0" w:color="auto"/>
            </w:tcBorders>
          </w:tcPr>
          <w:p w14:paraId="29C065F0" w14:textId="77777777" w:rsidR="00B93D37" w:rsidRPr="003069C4" w:rsidRDefault="00B93D37" w:rsidP="006F4E59">
            <w:pPr>
              <w:jc w:val="right"/>
              <w:rPr>
                <w:rFonts w:cs="Arial"/>
                <w:b/>
                <w:bCs/>
              </w:rPr>
            </w:pPr>
            <w:r>
              <w:rPr>
                <w:rFonts w:cs="Arial"/>
                <w:b/>
                <w:bCs/>
              </w:rPr>
              <w:t>105</w:t>
            </w:r>
          </w:p>
        </w:tc>
        <w:tc>
          <w:tcPr>
            <w:tcW w:w="993" w:type="dxa"/>
            <w:tcBorders>
              <w:top w:val="nil"/>
              <w:left w:val="nil"/>
              <w:bottom w:val="single" w:sz="4" w:space="0" w:color="auto"/>
              <w:right w:val="single" w:sz="4" w:space="0" w:color="auto"/>
            </w:tcBorders>
          </w:tcPr>
          <w:p w14:paraId="131EECDD" w14:textId="23D07E10" w:rsidR="00B93D37" w:rsidRDefault="00B93D37" w:rsidP="006F4E59">
            <w:pPr>
              <w:jc w:val="right"/>
              <w:rPr>
                <w:rFonts w:cs="Arial"/>
                <w:b/>
                <w:bCs/>
              </w:rPr>
            </w:pPr>
            <w:r>
              <w:rPr>
                <w:rFonts w:cs="Arial"/>
                <w:b/>
                <w:bCs/>
              </w:rPr>
              <w:t>74</w:t>
            </w:r>
          </w:p>
        </w:tc>
      </w:tr>
    </w:tbl>
    <w:p w14:paraId="282C422C" w14:textId="63CB98E2" w:rsidR="007460C6" w:rsidRPr="00B93D37" w:rsidRDefault="007460C6" w:rsidP="00B93D37">
      <w:pPr>
        <w:ind w:left="-142" w:right="-425"/>
        <w:jc w:val="both"/>
        <w:rPr>
          <w:rFonts w:cs="Arial"/>
        </w:rPr>
      </w:pPr>
    </w:p>
    <w:p w14:paraId="1357C4B9" w14:textId="77777777" w:rsidR="002F3FD3" w:rsidRPr="006524B7" w:rsidRDefault="002F3FD3" w:rsidP="00AE5461">
      <w:pPr>
        <w:pStyle w:val="Heading2"/>
      </w:pPr>
      <w:r>
        <w:t>Referrals</w:t>
      </w:r>
      <w:r w:rsidRPr="006524B7">
        <w:t xml:space="preserve"> for Domestic Violence related matters</w:t>
      </w:r>
    </w:p>
    <w:p w14:paraId="70D27E82" w14:textId="138B8DE3"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7B38F5">
        <w:rPr>
          <w:rFonts w:cs="Arial"/>
        </w:rPr>
        <w:t xml:space="preserve">19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37671E">
        <w:rPr>
          <w:rFonts w:cs="Arial"/>
        </w:rPr>
        <w:t xml:space="preserve"> decrease </w:t>
      </w:r>
      <w:r w:rsidR="000C098B">
        <w:rPr>
          <w:rFonts w:cs="Arial"/>
        </w:rPr>
        <w:t xml:space="preserve">of </w:t>
      </w:r>
      <w:r w:rsidR="007B38F5">
        <w:rPr>
          <w:rFonts w:cs="Arial"/>
        </w:rPr>
        <w:t>13</w:t>
      </w:r>
      <w:r w:rsidR="0037671E">
        <w:rPr>
          <w:rFonts w:cs="Arial"/>
        </w:rPr>
        <w:t xml:space="preserve"> </w:t>
      </w:r>
      <w:r w:rsidR="009D0578">
        <w:rPr>
          <w:rFonts w:cs="Arial"/>
        </w:rPr>
        <w:t>from</w:t>
      </w:r>
      <w:r w:rsidR="002F3FD3" w:rsidRPr="006524B7">
        <w:rPr>
          <w:rFonts w:cs="Arial"/>
        </w:rPr>
        <w:t xml:space="preserve"> quarter</w:t>
      </w:r>
      <w:r w:rsidR="000013AA">
        <w:rPr>
          <w:rFonts w:cs="Arial"/>
        </w:rPr>
        <w:t xml:space="preserve"> </w:t>
      </w:r>
      <w:r w:rsidR="006A4FDF">
        <w:rPr>
          <w:rFonts w:cs="Arial"/>
        </w:rPr>
        <w:t>54</w:t>
      </w:r>
      <w:r w:rsidR="002F3FD3" w:rsidRPr="006524B7">
        <w:rPr>
          <w:rFonts w:cs="Arial"/>
        </w:rPr>
        <w:t>.</w:t>
      </w:r>
      <w:r w:rsidR="00A66AAA">
        <w:rPr>
          <w:rFonts w:cs="Arial"/>
        </w:rPr>
        <w:t xml:space="preserve"> </w:t>
      </w:r>
      <w:r w:rsidR="00993A9C" w:rsidRPr="006524B7">
        <w:rPr>
          <w:rFonts w:cs="Arial"/>
        </w:rPr>
        <w:t xml:space="preserve">Domestic violence </w:t>
      </w:r>
      <w:r w:rsidR="00993A9C">
        <w:rPr>
          <w:rFonts w:cs="Arial"/>
        </w:rPr>
        <w:t>referrals</w:t>
      </w:r>
      <w:r w:rsidR="00993A9C" w:rsidRPr="006524B7">
        <w:rPr>
          <w:rFonts w:cs="Arial"/>
        </w:rPr>
        <w:t xml:space="preserve"> in the communities during the quarter were as follows: Aurukun</w:t>
      </w:r>
      <w:r w:rsidR="00AE52D3">
        <w:rPr>
          <w:rFonts w:cs="Arial"/>
        </w:rPr>
        <w:t xml:space="preserve">, </w:t>
      </w:r>
      <w:r w:rsidR="007B38F5">
        <w:rPr>
          <w:rFonts w:cs="Arial"/>
        </w:rPr>
        <w:t xml:space="preserve">Coen and </w:t>
      </w:r>
      <w:r w:rsidR="00AE52D3">
        <w:rPr>
          <w:rFonts w:cs="Arial"/>
        </w:rPr>
        <w:t xml:space="preserve">Hope Vale </w:t>
      </w:r>
      <w:r w:rsidR="00993A9C">
        <w:rPr>
          <w:rFonts w:cs="Arial"/>
        </w:rPr>
        <w:t>decreased</w:t>
      </w:r>
      <w:r w:rsidR="00993A9C" w:rsidRPr="006524B7">
        <w:rPr>
          <w:rFonts w:cs="Arial"/>
        </w:rPr>
        <w:t xml:space="preserve"> by </w:t>
      </w:r>
      <w:r w:rsidR="007B38F5">
        <w:rPr>
          <w:rFonts w:cs="Arial"/>
        </w:rPr>
        <w:t>11</w:t>
      </w:r>
      <w:r w:rsidR="00993A9C" w:rsidRPr="006524B7">
        <w:rPr>
          <w:rFonts w:cs="Arial"/>
        </w:rPr>
        <w:t xml:space="preserve">, </w:t>
      </w:r>
      <w:r w:rsidR="007B38F5">
        <w:rPr>
          <w:rFonts w:cs="Arial"/>
        </w:rPr>
        <w:t xml:space="preserve">6 </w:t>
      </w:r>
      <w:r w:rsidR="00AE52D3">
        <w:rPr>
          <w:rFonts w:cs="Arial"/>
        </w:rPr>
        <w:t xml:space="preserve">and </w:t>
      </w:r>
      <w:r w:rsidR="007B38F5">
        <w:rPr>
          <w:rFonts w:cs="Arial"/>
        </w:rPr>
        <w:t xml:space="preserve">1 </w:t>
      </w:r>
      <w:r w:rsidR="00AE52D3">
        <w:rPr>
          <w:rFonts w:cs="Arial"/>
        </w:rPr>
        <w:t xml:space="preserve">respectively, whilst </w:t>
      </w:r>
      <w:r w:rsidR="007B38F5">
        <w:rPr>
          <w:rFonts w:cs="Arial"/>
        </w:rPr>
        <w:t>Mossman Gorge</w:t>
      </w:r>
      <w:r w:rsidR="007B38F5" w:rsidRPr="006524B7">
        <w:rPr>
          <w:rFonts w:cs="Arial"/>
        </w:rPr>
        <w:t xml:space="preserve"> </w:t>
      </w:r>
      <w:r w:rsidR="00993A9C">
        <w:rPr>
          <w:rFonts w:cs="Arial"/>
        </w:rPr>
        <w:t>increased</w:t>
      </w:r>
      <w:r w:rsidR="00993A9C" w:rsidRPr="006524B7">
        <w:rPr>
          <w:rFonts w:cs="Arial"/>
        </w:rPr>
        <w:t xml:space="preserve"> by </w:t>
      </w:r>
      <w:r w:rsidR="007B38F5">
        <w:rPr>
          <w:rFonts w:cs="Arial"/>
        </w:rPr>
        <w:t>5</w:t>
      </w:r>
      <w:r w:rsidR="00993A9C" w:rsidRPr="006524B7">
        <w:rPr>
          <w:rFonts w:cs="Arial"/>
        </w:rPr>
        <w:t>.</w:t>
      </w:r>
      <w:r w:rsidR="00993A9C">
        <w:rPr>
          <w:rFonts w:cs="Arial"/>
        </w:rPr>
        <w:t xml:space="preserve"> </w:t>
      </w:r>
      <w:r w:rsidR="00A66AAA">
        <w:rPr>
          <w:rFonts w:cs="Arial"/>
        </w:rPr>
        <w:t xml:space="preserve">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to address these behaviours. </w:t>
      </w:r>
      <w:r w:rsidR="00B307C5" w:rsidRPr="000811C7">
        <w:rPr>
          <w:rFonts w:cs="Arial"/>
        </w:rPr>
        <w:t xml:space="preserve">The broader social impacts of domestic and family violence </w:t>
      </w:r>
      <w:r w:rsidR="00AE52D3">
        <w:rPr>
          <w:rFonts w:cs="Arial"/>
        </w:rPr>
        <w:t>are</w:t>
      </w:r>
      <w:r w:rsidR="00B307C5" w:rsidRPr="000811C7">
        <w:rPr>
          <w:rFonts w:cs="Arial"/>
        </w:rPr>
        <w:t xml:space="preserve"> set out in</w:t>
      </w:r>
      <w:r w:rsidR="00D85A77" w:rsidRPr="000811C7">
        <w:rPr>
          <w:rFonts w:cs="Arial"/>
        </w:rPr>
        <w:t xml:space="preserve"> </w:t>
      </w:r>
      <w:r w:rsidR="00D85A77" w:rsidRPr="000811C7">
        <w:t xml:space="preserve">Table </w:t>
      </w:r>
      <w:r w:rsidR="001C1B82">
        <w:t>3</w:t>
      </w:r>
      <w:r w:rsidR="00B307C5" w:rsidRPr="000811C7">
        <w:t xml:space="preserve"> with analysis on page </w:t>
      </w:r>
      <w:r w:rsidR="00A4427E">
        <w:t>8</w:t>
      </w:r>
      <w:r w:rsidR="000013AA" w:rsidRPr="000811C7">
        <w:t>, i</w:t>
      </w:r>
      <w:r w:rsidR="00B307C5" w:rsidRPr="000811C7">
        <w:t>llustrat</w:t>
      </w:r>
      <w:r w:rsidR="000013AA" w:rsidRPr="000811C7">
        <w:t>ing</w:t>
      </w:r>
      <w:r w:rsidR="00B307C5" w:rsidRPr="000811C7">
        <w:t xml:space="preserve"> the nexus between </w:t>
      </w:r>
      <w:r w:rsidR="00D85A77" w:rsidRPr="000811C7">
        <w:t xml:space="preserve">Court convictions and domestic violence orders/breaches </w:t>
      </w:r>
      <w:r w:rsidR="00B307C5" w:rsidRPr="000811C7">
        <w:t>with</w:t>
      </w:r>
      <w:r w:rsidR="00D85A77" w:rsidRPr="000811C7">
        <w:t xml:space="preserve"> education and child safety issues</w:t>
      </w:r>
      <w:r w:rsidR="00B307C5" w:rsidRPr="000811C7">
        <w:t>.</w:t>
      </w:r>
    </w:p>
    <w:p w14:paraId="11BFC9AE" w14:textId="5C0B49B1" w:rsidR="00D40971" w:rsidRDefault="00D40971" w:rsidP="002F3FD3">
      <w:pPr>
        <w:ind w:left="-142" w:right="-425"/>
        <w:jc w:val="both"/>
        <w:rPr>
          <w:rFonts w:cs="Arial"/>
        </w:rPr>
      </w:pPr>
    </w:p>
    <w:p w14:paraId="00A9FE18" w14:textId="77777777" w:rsidR="00AE5461" w:rsidRDefault="00AE5461">
      <w:pPr>
        <w:spacing w:line="240" w:lineRule="auto"/>
        <w:rPr>
          <w:b/>
          <w:sz w:val="16"/>
        </w:rPr>
      </w:pPr>
      <w:r>
        <w:rPr>
          <w:b/>
          <w:i/>
          <w:sz w:val="16"/>
        </w:rPr>
        <w:br w:type="page"/>
      </w:r>
    </w:p>
    <w:p w14:paraId="63445205" w14:textId="6208A4E0" w:rsidR="00B93D37" w:rsidRPr="00D925BE" w:rsidRDefault="00B93D37" w:rsidP="00B93D37">
      <w:pPr>
        <w:pStyle w:val="TableCaption"/>
        <w:spacing w:before="0"/>
        <w:ind w:left="0" w:right="-425"/>
        <w:rPr>
          <w:b/>
          <w:i w:val="0"/>
          <w:sz w:val="16"/>
        </w:rPr>
      </w:pPr>
      <w:r>
        <w:rPr>
          <w:b/>
          <w:i w:val="0"/>
          <w:sz w:val="16"/>
        </w:rPr>
        <w:lastRenderedPageBreak/>
        <w:t>Table 18</w:t>
      </w:r>
      <w:r w:rsidRPr="00F85AA1">
        <w:rPr>
          <w:b/>
          <w:i w:val="0"/>
          <w:sz w:val="16"/>
        </w:rPr>
        <w:t xml:space="preserve">: </w:t>
      </w:r>
      <w:r w:rsidRPr="00DF7212">
        <w:rPr>
          <w:rFonts w:cs="Arial"/>
          <w:i w:val="0"/>
          <w:iCs/>
          <w:sz w:val="16"/>
          <w:szCs w:val="16"/>
        </w:rPr>
        <w:t xml:space="preserve">Domestic violence referrals by community and quarter 1 </w:t>
      </w:r>
      <w:r w:rsidR="00AE5461">
        <w:rPr>
          <w:rFonts w:cs="Arial"/>
          <w:i w:val="0"/>
          <w:iCs/>
          <w:sz w:val="16"/>
          <w:szCs w:val="16"/>
        </w:rPr>
        <w:t>January</w:t>
      </w:r>
      <w:r w:rsidRPr="00DF7212">
        <w:rPr>
          <w:rFonts w:cs="Arial"/>
          <w:i w:val="0"/>
          <w:iCs/>
          <w:sz w:val="16"/>
          <w:szCs w:val="16"/>
        </w:rPr>
        <w:t xml:space="preserve"> 20</w:t>
      </w:r>
      <w:r>
        <w:rPr>
          <w:rFonts w:cs="Arial"/>
          <w:i w:val="0"/>
          <w:iCs/>
          <w:sz w:val="16"/>
          <w:szCs w:val="16"/>
        </w:rPr>
        <w:t>2</w:t>
      </w:r>
      <w:r w:rsidR="00AE5461">
        <w:rPr>
          <w:rFonts w:cs="Arial"/>
          <w:i w:val="0"/>
          <w:iCs/>
          <w:sz w:val="16"/>
          <w:szCs w:val="16"/>
        </w:rPr>
        <w:t>1</w:t>
      </w:r>
      <w:r w:rsidRPr="00DF7212">
        <w:rPr>
          <w:rFonts w:cs="Arial"/>
          <w:i w:val="0"/>
          <w:iCs/>
          <w:sz w:val="16"/>
          <w:szCs w:val="16"/>
        </w:rPr>
        <w:t xml:space="preserve"> to 3</w:t>
      </w:r>
      <w:r>
        <w:rPr>
          <w:rFonts w:cs="Arial"/>
          <w:i w:val="0"/>
          <w:iCs/>
          <w:sz w:val="16"/>
          <w:szCs w:val="16"/>
        </w:rPr>
        <w:t xml:space="preserve">1 </w:t>
      </w:r>
      <w:r w:rsidR="00AE5461">
        <w:rPr>
          <w:rFonts w:cs="Arial"/>
          <w:i w:val="0"/>
          <w:iCs/>
          <w:sz w:val="16"/>
          <w:szCs w:val="16"/>
        </w:rPr>
        <w:t>March</w:t>
      </w:r>
      <w:r>
        <w:rPr>
          <w:rFonts w:cs="Arial"/>
          <w:i w:val="0"/>
          <w:iCs/>
          <w:sz w:val="16"/>
          <w:szCs w:val="16"/>
        </w:rPr>
        <w:t xml:space="preserve"> </w:t>
      </w:r>
      <w:r w:rsidRPr="00DF7212">
        <w:rPr>
          <w:rFonts w:cs="Arial"/>
          <w:i w:val="0"/>
          <w:iCs/>
          <w:sz w:val="16"/>
          <w:szCs w:val="16"/>
        </w:rPr>
        <w:t>202</w:t>
      </w:r>
      <w:r w:rsidR="00AE5461">
        <w:rPr>
          <w:rFonts w:cs="Arial"/>
          <w:i w:val="0"/>
          <w:iCs/>
          <w:sz w:val="16"/>
          <w:szCs w:val="16"/>
        </w:rPr>
        <w:t>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AE5461" w:rsidRPr="00C5395B" w14:paraId="08421C7D" w14:textId="67890F90" w:rsidTr="00AE5461">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F0B87C5" w14:textId="77777777" w:rsidR="00AE5461" w:rsidRPr="00C5395B" w:rsidRDefault="00AE5461" w:rsidP="006F4E59">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11443315" w14:textId="77777777" w:rsidR="00AE5461" w:rsidRDefault="00AE5461" w:rsidP="006F4E59">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00686F9E" w14:textId="77777777" w:rsidR="00AE5461" w:rsidRDefault="00AE5461" w:rsidP="006F4E59">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418EC2B6" w14:textId="77777777" w:rsidR="00AE5461" w:rsidRDefault="00AE5461" w:rsidP="006F4E59">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1CD09072" w14:textId="77777777" w:rsidR="00AE5461" w:rsidRDefault="00AE5461" w:rsidP="006F4E59">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1026FE60" w14:textId="570F2D98" w:rsidR="00AE5461" w:rsidRDefault="00AE5461" w:rsidP="006F4E59">
            <w:pPr>
              <w:pStyle w:val="TableText"/>
              <w:jc w:val="right"/>
              <w:rPr>
                <w:b/>
                <w:lang w:eastAsia="en-AU"/>
              </w:rPr>
            </w:pPr>
            <w:r>
              <w:rPr>
                <w:b/>
                <w:lang w:eastAsia="en-AU"/>
              </w:rPr>
              <w:t>Qtr 55</w:t>
            </w:r>
          </w:p>
        </w:tc>
      </w:tr>
      <w:tr w:rsidR="00AE5461" w:rsidRPr="00C5395B" w14:paraId="7C9BD7C9" w14:textId="42F97467" w:rsidTr="00AE5461">
        <w:trPr>
          <w:trHeight w:val="255"/>
        </w:trPr>
        <w:tc>
          <w:tcPr>
            <w:tcW w:w="2029" w:type="dxa"/>
            <w:tcBorders>
              <w:top w:val="nil"/>
              <w:left w:val="single" w:sz="4" w:space="0" w:color="auto"/>
              <w:bottom w:val="single" w:sz="4" w:space="0" w:color="auto"/>
              <w:right w:val="single" w:sz="4" w:space="0" w:color="auto"/>
            </w:tcBorders>
            <w:noWrap/>
            <w:hideMark/>
          </w:tcPr>
          <w:p w14:paraId="6B4BAE4A" w14:textId="77777777" w:rsidR="00AE5461" w:rsidRPr="00C5395B" w:rsidRDefault="00AE5461" w:rsidP="006F4E59">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tcPr>
          <w:p w14:paraId="7524E1DC" w14:textId="77777777" w:rsidR="00AE5461" w:rsidRPr="002F43C8" w:rsidRDefault="00AE5461" w:rsidP="006F4E59">
            <w:pPr>
              <w:jc w:val="right"/>
              <w:rPr>
                <w:rFonts w:cs="Arial"/>
              </w:rPr>
            </w:pPr>
            <w:r w:rsidRPr="00073A0B">
              <w:rPr>
                <w:rFonts w:cs="Arial"/>
              </w:rPr>
              <w:t>43</w:t>
            </w:r>
          </w:p>
        </w:tc>
        <w:tc>
          <w:tcPr>
            <w:tcW w:w="992" w:type="dxa"/>
            <w:tcBorders>
              <w:top w:val="nil"/>
              <w:left w:val="nil"/>
              <w:bottom w:val="single" w:sz="4" w:space="0" w:color="auto"/>
              <w:right w:val="single" w:sz="4" w:space="0" w:color="auto"/>
            </w:tcBorders>
            <w:vAlign w:val="bottom"/>
          </w:tcPr>
          <w:p w14:paraId="22F99E6C" w14:textId="77777777" w:rsidR="00AE5461" w:rsidRPr="002F43C8" w:rsidRDefault="00AE5461" w:rsidP="006F4E59">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vAlign w:val="bottom"/>
          </w:tcPr>
          <w:p w14:paraId="5D3F657B" w14:textId="77777777" w:rsidR="00AE5461" w:rsidRPr="007E5A38" w:rsidRDefault="00AE5461" w:rsidP="006F4E59">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64250E20" w14:textId="77777777" w:rsidR="00AE5461" w:rsidRDefault="00AE5461" w:rsidP="006F4E59">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76F370DA" w14:textId="7C55140E" w:rsidR="00AE5461" w:rsidRDefault="00AE5461" w:rsidP="006F4E59">
            <w:pPr>
              <w:jc w:val="right"/>
              <w:rPr>
                <w:rFonts w:cs="Arial"/>
              </w:rPr>
            </w:pPr>
            <w:r>
              <w:rPr>
                <w:rFonts w:cs="Arial"/>
              </w:rPr>
              <w:t>5</w:t>
            </w:r>
          </w:p>
        </w:tc>
      </w:tr>
      <w:tr w:rsidR="00AE5461" w:rsidRPr="00C5395B" w14:paraId="35B9CA5A" w14:textId="743D4870" w:rsidTr="00AE5461">
        <w:trPr>
          <w:trHeight w:val="255"/>
        </w:trPr>
        <w:tc>
          <w:tcPr>
            <w:tcW w:w="2029" w:type="dxa"/>
            <w:tcBorders>
              <w:top w:val="nil"/>
              <w:left w:val="single" w:sz="4" w:space="0" w:color="auto"/>
              <w:bottom w:val="single" w:sz="4" w:space="0" w:color="auto"/>
              <w:right w:val="single" w:sz="4" w:space="0" w:color="auto"/>
            </w:tcBorders>
            <w:noWrap/>
            <w:hideMark/>
          </w:tcPr>
          <w:p w14:paraId="01B22505" w14:textId="77777777" w:rsidR="00AE5461" w:rsidRPr="00C5395B" w:rsidRDefault="00AE5461" w:rsidP="006F4E59">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tcPr>
          <w:p w14:paraId="65704992" w14:textId="77777777" w:rsidR="00AE5461" w:rsidRPr="002F43C8" w:rsidRDefault="00AE5461" w:rsidP="006F4E59">
            <w:pPr>
              <w:jc w:val="right"/>
              <w:rPr>
                <w:rFonts w:cs="Arial"/>
              </w:rPr>
            </w:pPr>
            <w:r w:rsidRPr="00073A0B">
              <w:rPr>
                <w:rFonts w:cs="Arial"/>
              </w:rPr>
              <w:t>1</w:t>
            </w:r>
          </w:p>
        </w:tc>
        <w:tc>
          <w:tcPr>
            <w:tcW w:w="992" w:type="dxa"/>
            <w:tcBorders>
              <w:top w:val="nil"/>
              <w:left w:val="nil"/>
              <w:bottom w:val="single" w:sz="4" w:space="0" w:color="auto"/>
              <w:right w:val="single" w:sz="4" w:space="0" w:color="auto"/>
            </w:tcBorders>
            <w:vAlign w:val="bottom"/>
          </w:tcPr>
          <w:p w14:paraId="1FC35456" w14:textId="77777777" w:rsidR="00AE5461" w:rsidRPr="002F43C8" w:rsidRDefault="00AE5461" w:rsidP="006F4E59">
            <w:pPr>
              <w:jc w:val="right"/>
              <w:rPr>
                <w:rFonts w:cs="Arial"/>
              </w:rPr>
            </w:pPr>
            <w:r w:rsidRPr="007E5A38">
              <w:rPr>
                <w:rFonts w:cs="Arial"/>
              </w:rPr>
              <w:t>11</w:t>
            </w:r>
          </w:p>
        </w:tc>
        <w:tc>
          <w:tcPr>
            <w:tcW w:w="993" w:type="dxa"/>
            <w:tcBorders>
              <w:top w:val="nil"/>
              <w:left w:val="nil"/>
              <w:bottom w:val="single" w:sz="4" w:space="0" w:color="auto"/>
              <w:right w:val="single" w:sz="4" w:space="0" w:color="auto"/>
            </w:tcBorders>
            <w:vAlign w:val="bottom"/>
          </w:tcPr>
          <w:p w14:paraId="2387291B" w14:textId="77777777" w:rsidR="00AE5461" w:rsidRPr="007E5A38" w:rsidRDefault="00AE5461" w:rsidP="006F4E59">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1340BDB0" w14:textId="77777777" w:rsidR="00AE5461" w:rsidRDefault="00AE5461" w:rsidP="006F4E59">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6E10EA98" w14:textId="66EF563E" w:rsidR="00AE5461" w:rsidRDefault="00AE5461" w:rsidP="006F4E59">
            <w:pPr>
              <w:jc w:val="right"/>
              <w:rPr>
                <w:rFonts w:cs="Arial"/>
              </w:rPr>
            </w:pPr>
            <w:r>
              <w:rPr>
                <w:rFonts w:cs="Arial"/>
              </w:rPr>
              <w:t>4</w:t>
            </w:r>
          </w:p>
        </w:tc>
      </w:tr>
      <w:tr w:rsidR="00AE5461" w:rsidRPr="00C5395B" w14:paraId="4BB4FBCC" w14:textId="1A04B771" w:rsidTr="00AE5461">
        <w:trPr>
          <w:trHeight w:val="255"/>
        </w:trPr>
        <w:tc>
          <w:tcPr>
            <w:tcW w:w="2029" w:type="dxa"/>
            <w:tcBorders>
              <w:top w:val="nil"/>
              <w:left w:val="single" w:sz="4" w:space="0" w:color="auto"/>
              <w:bottom w:val="single" w:sz="4" w:space="0" w:color="auto"/>
              <w:right w:val="single" w:sz="4" w:space="0" w:color="auto"/>
            </w:tcBorders>
            <w:noWrap/>
          </w:tcPr>
          <w:p w14:paraId="3394A820" w14:textId="77777777" w:rsidR="00AE5461" w:rsidRPr="00C5395B" w:rsidRDefault="00AE5461" w:rsidP="006F4E59">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tcPr>
          <w:p w14:paraId="26D0FF63" w14:textId="77777777" w:rsidR="00AE5461" w:rsidRPr="002F43C8" w:rsidRDefault="00AE5461" w:rsidP="006F4E59">
            <w:pPr>
              <w:jc w:val="right"/>
              <w:rPr>
                <w:rFonts w:cs="Arial"/>
              </w:rPr>
            </w:pPr>
            <w:r w:rsidRPr="00073A0B">
              <w:rPr>
                <w:rFonts w:cs="Arial"/>
              </w:rPr>
              <w:t>4</w:t>
            </w:r>
          </w:p>
        </w:tc>
        <w:tc>
          <w:tcPr>
            <w:tcW w:w="992" w:type="dxa"/>
            <w:tcBorders>
              <w:top w:val="nil"/>
              <w:left w:val="nil"/>
              <w:bottom w:val="single" w:sz="4" w:space="0" w:color="auto"/>
              <w:right w:val="single" w:sz="4" w:space="0" w:color="auto"/>
            </w:tcBorders>
            <w:vAlign w:val="bottom"/>
          </w:tcPr>
          <w:p w14:paraId="3AE241DF" w14:textId="77777777" w:rsidR="00AE5461" w:rsidRPr="002F43C8" w:rsidRDefault="00AE5461" w:rsidP="006F4E59">
            <w:pPr>
              <w:jc w:val="right"/>
              <w:rPr>
                <w:rFonts w:cs="Arial"/>
              </w:rPr>
            </w:pPr>
            <w:r w:rsidRPr="007E5A38">
              <w:rPr>
                <w:rFonts w:cs="Arial"/>
              </w:rPr>
              <w:t>0</w:t>
            </w:r>
          </w:p>
        </w:tc>
        <w:tc>
          <w:tcPr>
            <w:tcW w:w="993" w:type="dxa"/>
            <w:tcBorders>
              <w:top w:val="nil"/>
              <w:left w:val="nil"/>
              <w:bottom w:val="single" w:sz="4" w:space="0" w:color="auto"/>
              <w:right w:val="single" w:sz="4" w:space="0" w:color="auto"/>
            </w:tcBorders>
            <w:vAlign w:val="bottom"/>
          </w:tcPr>
          <w:p w14:paraId="1505D7BD" w14:textId="77777777" w:rsidR="00AE5461" w:rsidRPr="007E5A38" w:rsidRDefault="00AE5461" w:rsidP="006F4E59">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1C322B54" w14:textId="77777777" w:rsidR="00AE5461" w:rsidRDefault="00AE5461" w:rsidP="006F4E59">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41FE2505" w14:textId="06CC7DCA" w:rsidR="00AE5461" w:rsidRDefault="00AE5461" w:rsidP="006F4E59">
            <w:pPr>
              <w:jc w:val="right"/>
              <w:rPr>
                <w:rFonts w:cs="Arial"/>
              </w:rPr>
            </w:pPr>
            <w:r>
              <w:rPr>
                <w:rFonts w:cs="Arial"/>
              </w:rPr>
              <w:t>5</w:t>
            </w:r>
          </w:p>
        </w:tc>
      </w:tr>
      <w:tr w:rsidR="00AE5461" w:rsidRPr="00C5395B" w14:paraId="290C37F1" w14:textId="4DDF08C8" w:rsidTr="00AE5461">
        <w:trPr>
          <w:trHeight w:val="255"/>
        </w:trPr>
        <w:tc>
          <w:tcPr>
            <w:tcW w:w="2029" w:type="dxa"/>
            <w:tcBorders>
              <w:top w:val="nil"/>
              <w:left w:val="single" w:sz="4" w:space="0" w:color="auto"/>
              <w:bottom w:val="single" w:sz="4" w:space="0" w:color="auto"/>
              <w:right w:val="single" w:sz="4" w:space="0" w:color="auto"/>
            </w:tcBorders>
            <w:noWrap/>
            <w:hideMark/>
          </w:tcPr>
          <w:p w14:paraId="792CA97B" w14:textId="77777777" w:rsidR="00AE5461" w:rsidRPr="00C5395B" w:rsidRDefault="00AE5461" w:rsidP="006F4E59">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tcPr>
          <w:p w14:paraId="53E8DB74" w14:textId="77777777" w:rsidR="00AE5461" w:rsidRPr="002F43C8" w:rsidRDefault="00AE5461" w:rsidP="006F4E59">
            <w:pPr>
              <w:jc w:val="right"/>
              <w:rPr>
                <w:rFonts w:cs="Arial"/>
              </w:rPr>
            </w:pPr>
            <w:r w:rsidRPr="00073A0B">
              <w:rPr>
                <w:rFonts w:cs="Arial"/>
              </w:rPr>
              <w:t>2</w:t>
            </w:r>
          </w:p>
        </w:tc>
        <w:tc>
          <w:tcPr>
            <w:tcW w:w="992" w:type="dxa"/>
            <w:tcBorders>
              <w:top w:val="nil"/>
              <w:left w:val="nil"/>
              <w:bottom w:val="single" w:sz="4" w:space="0" w:color="auto"/>
              <w:right w:val="single" w:sz="4" w:space="0" w:color="auto"/>
            </w:tcBorders>
            <w:vAlign w:val="bottom"/>
          </w:tcPr>
          <w:p w14:paraId="2737E1AF" w14:textId="77777777" w:rsidR="00AE5461" w:rsidRPr="002F43C8" w:rsidRDefault="00AE5461" w:rsidP="006F4E59">
            <w:pPr>
              <w:jc w:val="right"/>
              <w:rPr>
                <w:rFonts w:cs="Arial"/>
              </w:rPr>
            </w:pPr>
            <w:r w:rsidRPr="007E5A38">
              <w:rPr>
                <w:rFonts w:cs="Arial"/>
              </w:rPr>
              <w:t>1</w:t>
            </w:r>
          </w:p>
        </w:tc>
        <w:tc>
          <w:tcPr>
            <w:tcW w:w="993" w:type="dxa"/>
            <w:tcBorders>
              <w:top w:val="nil"/>
              <w:left w:val="nil"/>
              <w:bottom w:val="single" w:sz="4" w:space="0" w:color="auto"/>
              <w:right w:val="single" w:sz="4" w:space="0" w:color="auto"/>
            </w:tcBorders>
            <w:vAlign w:val="bottom"/>
          </w:tcPr>
          <w:p w14:paraId="25D9C9AC" w14:textId="77777777" w:rsidR="00AE5461" w:rsidRPr="007E5A38" w:rsidRDefault="00AE5461" w:rsidP="006F4E59">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F1A8FD2" w14:textId="77777777" w:rsidR="00AE5461" w:rsidRDefault="00AE5461" w:rsidP="006F4E59">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0060C3F1" w14:textId="6E026C1F" w:rsidR="00AE5461" w:rsidRDefault="00AE5461" w:rsidP="006F4E59">
            <w:pPr>
              <w:jc w:val="right"/>
              <w:rPr>
                <w:rFonts w:cs="Arial"/>
              </w:rPr>
            </w:pPr>
            <w:r>
              <w:rPr>
                <w:rFonts w:cs="Arial"/>
              </w:rPr>
              <w:t>5</w:t>
            </w:r>
          </w:p>
        </w:tc>
      </w:tr>
      <w:tr w:rsidR="00AE5461" w:rsidRPr="00C5395B" w14:paraId="2E468FB0" w14:textId="1B499B84" w:rsidTr="00AE5461">
        <w:trPr>
          <w:trHeight w:val="255"/>
        </w:trPr>
        <w:tc>
          <w:tcPr>
            <w:tcW w:w="2029" w:type="dxa"/>
            <w:tcBorders>
              <w:top w:val="nil"/>
              <w:left w:val="single" w:sz="4" w:space="0" w:color="auto"/>
              <w:bottom w:val="single" w:sz="4" w:space="0" w:color="auto"/>
              <w:right w:val="single" w:sz="4" w:space="0" w:color="auto"/>
            </w:tcBorders>
            <w:noWrap/>
            <w:hideMark/>
          </w:tcPr>
          <w:p w14:paraId="54CAEB6C" w14:textId="77777777" w:rsidR="00AE5461" w:rsidRPr="00C5395B" w:rsidRDefault="00AE5461" w:rsidP="006F4E59">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vAlign w:val="bottom"/>
          </w:tcPr>
          <w:p w14:paraId="7B28398E" w14:textId="77777777" w:rsidR="00AE5461" w:rsidRPr="002F43C8" w:rsidRDefault="00AE5461" w:rsidP="006F4E59">
            <w:pPr>
              <w:pStyle w:val="TableText"/>
              <w:jc w:val="right"/>
              <w:rPr>
                <w:b/>
                <w:lang w:eastAsia="en-AU"/>
              </w:rPr>
            </w:pPr>
            <w:r w:rsidRPr="00073A0B">
              <w:rPr>
                <w:rFonts w:cs="Arial"/>
                <w:b/>
                <w:bCs/>
              </w:rPr>
              <w:t>50</w:t>
            </w:r>
          </w:p>
        </w:tc>
        <w:tc>
          <w:tcPr>
            <w:tcW w:w="992" w:type="dxa"/>
            <w:tcBorders>
              <w:top w:val="nil"/>
              <w:left w:val="nil"/>
              <w:bottom w:val="single" w:sz="4" w:space="0" w:color="auto"/>
              <w:right w:val="single" w:sz="4" w:space="0" w:color="auto"/>
            </w:tcBorders>
            <w:vAlign w:val="bottom"/>
          </w:tcPr>
          <w:p w14:paraId="5134F4B2" w14:textId="77777777" w:rsidR="00AE5461" w:rsidRPr="002F43C8" w:rsidRDefault="00AE5461" w:rsidP="006F4E59">
            <w:pPr>
              <w:pStyle w:val="TableText"/>
              <w:jc w:val="right"/>
              <w:rPr>
                <w:rFonts w:cs="Arial"/>
                <w:b/>
                <w:bCs/>
              </w:rPr>
            </w:pPr>
            <w:r w:rsidRPr="007E5A38">
              <w:rPr>
                <w:rFonts w:cs="Arial"/>
                <w:b/>
                <w:bCs/>
              </w:rPr>
              <w:t>26</w:t>
            </w:r>
          </w:p>
        </w:tc>
        <w:tc>
          <w:tcPr>
            <w:tcW w:w="993" w:type="dxa"/>
            <w:tcBorders>
              <w:top w:val="nil"/>
              <w:left w:val="nil"/>
              <w:bottom w:val="single" w:sz="4" w:space="0" w:color="auto"/>
              <w:right w:val="single" w:sz="4" w:space="0" w:color="auto"/>
            </w:tcBorders>
            <w:vAlign w:val="bottom"/>
          </w:tcPr>
          <w:p w14:paraId="779C3118" w14:textId="77777777" w:rsidR="00AE5461" w:rsidRPr="007E5A38" w:rsidRDefault="00AE5461" w:rsidP="006F4E59">
            <w:pPr>
              <w:pStyle w:val="TableText"/>
              <w:jc w:val="right"/>
              <w:rPr>
                <w:rFonts w:cs="Arial"/>
                <w:b/>
                <w:bCs/>
              </w:rPr>
            </w:pPr>
            <w:r>
              <w:rPr>
                <w:rFonts w:cs="Arial"/>
                <w:b/>
                <w:bCs/>
              </w:rPr>
              <w:t>39</w:t>
            </w:r>
          </w:p>
        </w:tc>
        <w:tc>
          <w:tcPr>
            <w:tcW w:w="993" w:type="dxa"/>
            <w:tcBorders>
              <w:top w:val="nil"/>
              <w:left w:val="nil"/>
              <w:bottom w:val="single" w:sz="4" w:space="0" w:color="auto"/>
              <w:right w:val="single" w:sz="4" w:space="0" w:color="auto"/>
            </w:tcBorders>
          </w:tcPr>
          <w:p w14:paraId="3E145D28" w14:textId="77777777" w:rsidR="00AE5461" w:rsidRDefault="00AE5461" w:rsidP="006F4E59">
            <w:pPr>
              <w:pStyle w:val="TableText"/>
              <w:jc w:val="right"/>
              <w:rPr>
                <w:rFonts w:cs="Arial"/>
                <w:b/>
                <w:bCs/>
              </w:rPr>
            </w:pPr>
            <w:r>
              <w:rPr>
                <w:rFonts w:cs="Arial"/>
                <w:b/>
                <w:bCs/>
              </w:rPr>
              <w:t>32</w:t>
            </w:r>
          </w:p>
        </w:tc>
        <w:tc>
          <w:tcPr>
            <w:tcW w:w="993" w:type="dxa"/>
            <w:tcBorders>
              <w:top w:val="nil"/>
              <w:left w:val="nil"/>
              <w:bottom w:val="single" w:sz="4" w:space="0" w:color="auto"/>
              <w:right w:val="single" w:sz="4" w:space="0" w:color="auto"/>
            </w:tcBorders>
          </w:tcPr>
          <w:p w14:paraId="71DFDBD0" w14:textId="4AC579B4" w:rsidR="00AE5461" w:rsidRDefault="00AE5461" w:rsidP="006F4E59">
            <w:pPr>
              <w:pStyle w:val="TableText"/>
              <w:jc w:val="right"/>
              <w:rPr>
                <w:rFonts w:cs="Arial"/>
                <w:b/>
                <w:bCs/>
              </w:rPr>
            </w:pPr>
            <w:r>
              <w:rPr>
                <w:rFonts w:cs="Arial"/>
                <w:b/>
                <w:bCs/>
              </w:rPr>
              <w:t>19</w:t>
            </w:r>
          </w:p>
        </w:tc>
      </w:tr>
    </w:tbl>
    <w:p w14:paraId="15E99925" w14:textId="77777777" w:rsidR="00C872F0" w:rsidRPr="00AE5461" w:rsidRDefault="00C872F0" w:rsidP="00AE5461">
      <w:pPr>
        <w:ind w:left="-142" w:right="-425"/>
        <w:jc w:val="both"/>
        <w:rPr>
          <w:rFonts w:cs="Arial"/>
        </w:rPr>
      </w:pPr>
    </w:p>
    <w:p w14:paraId="3DA4D471" w14:textId="3D83B91D" w:rsidR="005A5B78" w:rsidRPr="00076ED0" w:rsidRDefault="005A5B78" w:rsidP="00AE5461">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58626F9C"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333954">
        <w:rPr>
          <w:rFonts w:cs="Arial"/>
        </w:rPr>
        <w:t xml:space="preserve">6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w:t>
      </w:r>
      <w:r w:rsidR="00333954">
        <w:rPr>
          <w:rFonts w:cs="Arial"/>
        </w:rPr>
        <w:t xml:space="preserve">6 </w:t>
      </w:r>
      <w:r w:rsidR="00EA0435">
        <w:rPr>
          <w:rFonts w:cs="Arial"/>
        </w:rPr>
        <w:t xml:space="preserve">CIM orders) </w:t>
      </w:r>
      <w:r w:rsidR="001E59F8">
        <w:rPr>
          <w:rFonts w:cs="Arial"/>
        </w:rPr>
        <w:t>relating to</w:t>
      </w:r>
      <w:r w:rsidR="00CD2E78">
        <w:rPr>
          <w:rFonts w:cs="Arial"/>
        </w:rPr>
        <w:t xml:space="preserve"> </w:t>
      </w:r>
      <w:r w:rsidR="00333954">
        <w:rPr>
          <w:rFonts w:cs="Arial"/>
        </w:rPr>
        <w:t xml:space="preserve">6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5E1684">
        <w:rPr>
          <w:rFonts w:cs="Arial"/>
        </w:rPr>
        <w:t>55</w:t>
      </w:r>
      <w:r w:rsidR="005A5B78" w:rsidRPr="00306884">
        <w:rPr>
          <w:rFonts w:cs="Arial"/>
        </w:rPr>
        <w:t xml:space="preserve">, </w:t>
      </w:r>
      <w:r w:rsidR="00D1657C" w:rsidRPr="00D1657C">
        <w:rPr>
          <w:rFonts w:cs="Arial"/>
        </w:rPr>
        <w:t>a</w:t>
      </w:r>
      <w:r w:rsidR="00884383">
        <w:rPr>
          <w:rFonts w:cs="Arial"/>
        </w:rPr>
        <w:t xml:space="preserve"> decrease </w:t>
      </w:r>
      <w:r w:rsidR="005A5B78" w:rsidRPr="00D1657C">
        <w:rPr>
          <w:rFonts w:cs="Arial"/>
        </w:rPr>
        <w:t>of</w:t>
      </w:r>
      <w:r w:rsidR="005A5B78" w:rsidRPr="007C135D">
        <w:rPr>
          <w:rFonts w:cs="Arial"/>
        </w:rPr>
        <w:t xml:space="preserve"> </w:t>
      </w:r>
      <w:r w:rsidR="00333954">
        <w:rPr>
          <w:rFonts w:cs="Arial"/>
        </w:rPr>
        <w:t>2</w:t>
      </w:r>
      <w:r w:rsidR="00CB3543">
        <w:rPr>
          <w:rFonts w:cs="Arial"/>
        </w:rPr>
        <w:t>3</w:t>
      </w:r>
      <w:r w:rsidR="00884383"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6A4FDF">
        <w:rPr>
          <w:rFonts w:cs="Arial"/>
        </w:rPr>
        <w:t>54</w:t>
      </w:r>
      <w:r w:rsidR="00324B7B">
        <w:rPr>
          <w:rFonts w:cs="Arial"/>
        </w:rPr>
        <w:t xml:space="preserve">. </w:t>
      </w:r>
      <w:r w:rsidR="00333954">
        <w:rPr>
          <w:rFonts w:cs="Arial"/>
        </w:rPr>
        <w:t>Sixty-seven</w:t>
      </w:r>
      <w:r w:rsidR="00DE1B45">
        <w:rPr>
          <w:rFonts w:cs="Arial"/>
        </w:rPr>
        <w:t xml:space="preserve"> percent of CIMs</w:t>
      </w:r>
      <w:r w:rsidR="00324B7B">
        <w:rPr>
          <w:rFonts w:cs="Arial"/>
        </w:rPr>
        <w:t xml:space="preserve"> quarantine</w:t>
      </w:r>
      <w:r w:rsidR="00DE1B45">
        <w:rPr>
          <w:rFonts w:cs="Arial"/>
        </w:rPr>
        <w:t>d</w:t>
      </w:r>
      <w:r w:rsidR="00324B7B">
        <w:rPr>
          <w:rFonts w:cs="Arial"/>
        </w:rPr>
        <w:t xml:space="preserve"> </w:t>
      </w:r>
      <w:r w:rsidR="00C41FA3">
        <w:rPr>
          <w:rFonts w:cs="Arial"/>
        </w:rPr>
        <w:t xml:space="preserve">60 percent </w:t>
      </w:r>
      <w:r w:rsidR="00364C47">
        <w:rPr>
          <w:rFonts w:cs="Arial"/>
        </w:rPr>
        <w:t>of welfare payments</w:t>
      </w:r>
      <w:r w:rsidR="00180AEF">
        <w:rPr>
          <w:rFonts w:cs="Arial"/>
        </w:rPr>
        <w:t xml:space="preserve"> </w:t>
      </w:r>
      <w:r w:rsidR="00364C47">
        <w:rPr>
          <w:rFonts w:cs="Arial"/>
        </w:rPr>
        <w:t xml:space="preserve">with </w:t>
      </w:r>
      <w:r w:rsidR="00333954">
        <w:rPr>
          <w:rFonts w:cs="Arial"/>
        </w:rPr>
        <w:t xml:space="preserve">3 </w:t>
      </w:r>
      <w:r w:rsidR="00364C47">
        <w:rPr>
          <w:rFonts w:cs="Arial"/>
        </w:rPr>
        <w:t xml:space="preserve">CIMs issued for a </w:t>
      </w:r>
      <w:r w:rsidR="00333954">
        <w:rPr>
          <w:rFonts w:cs="Arial"/>
        </w:rPr>
        <w:t>3</w:t>
      </w:r>
      <w:r w:rsidR="00364C47">
        <w:rPr>
          <w:rFonts w:cs="Arial"/>
        </w:rPr>
        <w:t xml:space="preserve">-month duration and </w:t>
      </w:r>
      <w:r w:rsidR="00333954">
        <w:rPr>
          <w:rFonts w:cs="Arial"/>
        </w:rPr>
        <w:t xml:space="preserve">3 </w:t>
      </w:r>
      <w:r w:rsidR="00364C47">
        <w:rPr>
          <w:rFonts w:cs="Arial"/>
        </w:rPr>
        <w:t xml:space="preserve">CIMs issued for a </w:t>
      </w:r>
      <w:r w:rsidR="00333954">
        <w:rPr>
          <w:rFonts w:cs="Arial"/>
        </w:rPr>
        <w:t>6</w:t>
      </w:r>
      <w:r w:rsidR="00364C47">
        <w:rPr>
          <w:rFonts w:cs="Arial"/>
        </w:rPr>
        <w:t>-month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333954">
        <w:rPr>
          <w:rFonts w:cs="Arial"/>
        </w:rPr>
        <w:t>991</w:t>
      </w:r>
      <w:r w:rsidR="00333954" w:rsidRPr="007C7A9E">
        <w:rPr>
          <w:rFonts w:cs="Arial"/>
        </w:rPr>
        <w:t xml:space="preserve"> </w:t>
      </w:r>
      <w:r w:rsidR="005A5B78" w:rsidRPr="007C7A9E">
        <w:rPr>
          <w:rFonts w:cs="Arial"/>
        </w:rPr>
        <w:t>clients</w:t>
      </w:r>
      <w:r w:rsidR="00932DF5">
        <w:rPr>
          <w:rFonts w:cs="Arial"/>
        </w:rPr>
        <w:t xml:space="preserve"> (</w:t>
      </w:r>
      <w:r w:rsidR="0093151F">
        <w:rPr>
          <w:rFonts w:cs="Arial"/>
        </w:rPr>
        <w:t>5</w:t>
      </w:r>
      <w:r w:rsidR="00884383">
        <w:rPr>
          <w:rFonts w:cs="Arial"/>
        </w:rPr>
        <w:t>72</w:t>
      </w:r>
      <w:r w:rsidR="0093151F">
        <w:rPr>
          <w:rFonts w:cs="Arial"/>
        </w:rPr>
        <w:t xml:space="preserve"> </w:t>
      </w:r>
      <w:r w:rsidR="00932DF5">
        <w:rPr>
          <w:rFonts w:cs="Arial"/>
        </w:rPr>
        <w:t xml:space="preserve">female and </w:t>
      </w:r>
      <w:r w:rsidR="00690F98">
        <w:rPr>
          <w:rFonts w:cs="Arial"/>
        </w:rPr>
        <w:t xml:space="preserve">419 </w:t>
      </w:r>
      <w:r w:rsidR="00932DF5">
        <w:rPr>
          <w:rFonts w:cs="Arial"/>
        </w:rPr>
        <w:t>male)</w:t>
      </w:r>
      <w:r w:rsidR="00127CEE">
        <w:rPr>
          <w:rFonts w:cs="Arial"/>
        </w:rPr>
        <w:t xml:space="preserve">. </w:t>
      </w:r>
      <w:r w:rsidR="00884383">
        <w:rPr>
          <w:rFonts w:cs="Arial"/>
        </w:rPr>
        <w:t xml:space="preserve">Decreases </w:t>
      </w:r>
      <w:r w:rsidR="00D63035">
        <w:rPr>
          <w:rFonts w:cs="Arial"/>
        </w:rPr>
        <w:t xml:space="preserve">in quarter </w:t>
      </w:r>
      <w:r w:rsidR="005E1684">
        <w:rPr>
          <w:rFonts w:cs="Arial"/>
        </w:rPr>
        <w:t>55</w:t>
      </w:r>
      <w:r w:rsidR="00D63035">
        <w:rPr>
          <w:rFonts w:cs="Arial"/>
        </w:rPr>
        <w:t xml:space="preserve"> </w:t>
      </w:r>
      <w:r w:rsidR="00596D78" w:rsidRPr="007C7A9E">
        <w:rPr>
          <w:rFonts w:cs="Arial"/>
        </w:rPr>
        <w:t>were seen in</w:t>
      </w:r>
      <w:r w:rsidR="00D014F4">
        <w:rPr>
          <w:rFonts w:cs="Arial"/>
        </w:rPr>
        <w:t xml:space="preserve"> </w:t>
      </w:r>
      <w:r w:rsidR="00C4793F">
        <w:rPr>
          <w:rFonts w:cs="Arial"/>
        </w:rPr>
        <w:t>Aurukun</w:t>
      </w:r>
      <w:r w:rsidR="00690F98">
        <w:rPr>
          <w:rFonts w:cs="Arial"/>
        </w:rPr>
        <w:t>, Doomadgee</w:t>
      </w:r>
      <w:r w:rsidR="00D014F4" w:rsidRPr="007C7A9E">
        <w:rPr>
          <w:rFonts w:cs="Arial"/>
        </w:rPr>
        <w:t xml:space="preserve"> </w:t>
      </w:r>
      <w:r w:rsidR="00D570F8">
        <w:rPr>
          <w:rFonts w:cs="Arial"/>
        </w:rPr>
        <w:t xml:space="preserve">and Hope Vale </w:t>
      </w:r>
      <w:r w:rsidR="00596D78" w:rsidRPr="007C7A9E">
        <w:rPr>
          <w:rFonts w:cs="Arial"/>
        </w:rPr>
        <w:t xml:space="preserve">of </w:t>
      </w:r>
      <w:r w:rsidR="00690F98">
        <w:rPr>
          <w:rFonts w:cs="Arial"/>
        </w:rPr>
        <w:t>14, 9</w:t>
      </w:r>
      <w:r w:rsidR="00E341E0">
        <w:rPr>
          <w:rFonts w:cs="Arial"/>
        </w:rPr>
        <w:t xml:space="preserve"> </w:t>
      </w:r>
      <w:r w:rsidR="00C4793F">
        <w:rPr>
          <w:rFonts w:cs="Arial"/>
        </w:rPr>
        <w:t>and</w:t>
      </w:r>
      <w:r w:rsidR="00D014F4">
        <w:rPr>
          <w:rFonts w:cs="Arial"/>
        </w:rPr>
        <w:t xml:space="preserve"> </w:t>
      </w:r>
      <w:r w:rsidR="00690F98">
        <w:rPr>
          <w:rFonts w:cs="Arial"/>
        </w:rPr>
        <w:t>1</w:t>
      </w:r>
      <w:r w:rsidR="00492630">
        <w:rPr>
          <w:rFonts w:cs="Arial"/>
        </w:rPr>
        <w:t xml:space="preserve"> </w:t>
      </w:r>
      <w:r w:rsidR="004A53F2" w:rsidRPr="007C7A9E">
        <w:rPr>
          <w:rFonts w:cs="Arial"/>
        </w:rPr>
        <w:t xml:space="preserve">CIM </w:t>
      </w:r>
      <w:r w:rsidR="00596D78" w:rsidRPr="007C7A9E">
        <w:rPr>
          <w:rFonts w:cs="Arial"/>
        </w:rPr>
        <w:t>respectively</w:t>
      </w:r>
      <w:r w:rsidR="00920FDA" w:rsidRPr="007C7A9E">
        <w:rPr>
          <w:rFonts w:cs="Arial"/>
        </w:rPr>
        <w:t xml:space="preserve">, </w:t>
      </w:r>
      <w:r w:rsidR="00690F98">
        <w:rPr>
          <w:rFonts w:cs="Arial"/>
        </w:rPr>
        <w:t xml:space="preserve">Coen </w:t>
      </w:r>
      <w:r w:rsidR="00884383">
        <w:rPr>
          <w:rFonts w:cs="Arial"/>
        </w:rPr>
        <w:t xml:space="preserve">increased by </w:t>
      </w:r>
      <w:r w:rsidR="00690F98">
        <w:rPr>
          <w:rFonts w:cs="Arial"/>
        </w:rPr>
        <w:t>1</w:t>
      </w:r>
      <w:r w:rsidR="00884383">
        <w:rPr>
          <w:rFonts w:cs="Arial"/>
        </w:rPr>
        <w:t xml:space="preserve"> CIM and </w:t>
      </w:r>
      <w:r w:rsidR="00C4793F">
        <w:rPr>
          <w:rFonts w:cs="Arial"/>
        </w:rPr>
        <w:t xml:space="preserve">Mossman Gorge </w:t>
      </w:r>
      <w:r w:rsidR="00CF5A21">
        <w:rPr>
          <w:rFonts w:cs="Arial"/>
        </w:rPr>
        <w:t>remain</w:t>
      </w:r>
      <w:r w:rsidR="00EF63DD">
        <w:rPr>
          <w:rFonts w:cs="Arial"/>
        </w:rPr>
        <w:t>ed</w:t>
      </w:r>
      <w:r w:rsidR="00CF5A21">
        <w:rPr>
          <w:rFonts w:cs="Arial"/>
        </w:rPr>
        <w:t xml:space="preserve"> unchanged </w:t>
      </w:r>
      <w:r w:rsidR="006D2DFF">
        <w:rPr>
          <w:rFonts w:cs="Arial"/>
        </w:rPr>
        <w:t xml:space="preserve">from the preceding quarter </w:t>
      </w:r>
      <w:r w:rsidR="00CF5A21">
        <w:rPr>
          <w:rFonts w:cs="Arial"/>
        </w:rPr>
        <w:t>recording 1 CIM</w:t>
      </w:r>
      <w:r w:rsidR="00A078B9" w:rsidRPr="004D3A02">
        <w:t>.</w:t>
      </w:r>
    </w:p>
    <w:p w14:paraId="23F5549F" w14:textId="77777777" w:rsidR="005A5B78" w:rsidRPr="00386FF7" w:rsidRDefault="005A5B78" w:rsidP="005A5B78">
      <w:pPr>
        <w:ind w:left="-142" w:right="-425"/>
        <w:jc w:val="both"/>
        <w:rPr>
          <w:rFonts w:cs="Arial"/>
        </w:rPr>
      </w:pPr>
    </w:p>
    <w:p w14:paraId="15BC289D" w14:textId="1AD058FD" w:rsidR="005A5B78" w:rsidRDefault="005A5B78" w:rsidP="005A5B78">
      <w:pPr>
        <w:ind w:left="-142" w:right="-425"/>
        <w:jc w:val="both"/>
        <w:rPr>
          <w:rFonts w:cs="Arial"/>
        </w:rPr>
      </w:pPr>
      <w:r w:rsidRPr="00C313D5">
        <w:rPr>
          <w:rFonts w:cs="Arial"/>
        </w:rPr>
        <w:t xml:space="preserve">As at </w:t>
      </w:r>
      <w:r w:rsidR="00F83C14">
        <w:rPr>
          <w:rFonts w:cs="Arial"/>
        </w:rPr>
        <w:t>3</w:t>
      </w:r>
      <w:r w:rsidR="00CF5A21">
        <w:rPr>
          <w:rFonts w:cs="Arial"/>
        </w:rPr>
        <w:t xml:space="preserve">1 </w:t>
      </w:r>
      <w:r w:rsidR="001A5C4C">
        <w:rPr>
          <w:rFonts w:cs="Arial"/>
        </w:rPr>
        <w:t>March 2022</w:t>
      </w:r>
      <w:r w:rsidRPr="00C313D5">
        <w:rPr>
          <w:rFonts w:cs="Arial"/>
        </w:rPr>
        <w:t xml:space="preserve"> there were </w:t>
      </w:r>
      <w:r w:rsidR="00690F98">
        <w:rPr>
          <w:rFonts w:cs="Arial"/>
        </w:rPr>
        <w:t>35</w:t>
      </w:r>
      <w:r w:rsidR="00690F98"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984127">
        <w:rPr>
          <w:rFonts w:cs="Arial"/>
        </w:rPr>
        <w:t xml:space="preserve">, </w:t>
      </w:r>
      <w:bookmarkStart w:id="16" w:name="_Hlk80798728"/>
      <w:r w:rsidR="00984127">
        <w:rPr>
          <w:rFonts w:cs="Arial"/>
        </w:rPr>
        <w:t xml:space="preserve">with </w:t>
      </w:r>
      <w:r w:rsidR="0021315B">
        <w:rPr>
          <w:rFonts w:cs="Arial"/>
        </w:rPr>
        <w:t>9</w:t>
      </w:r>
      <w:r w:rsidR="00690F98">
        <w:rPr>
          <w:rFonts w:cs="Arial"/>
        </w:rPr>
        <w:t>4</w:t>
      </w:r>
      <w:r w:rsidR="0021315B">
        <w:rPr>
          <w:rFonts w:cs="Arial"/>
        </w:rPr>
        <w:t xml:space="preserve"> </w:t>
      </w:r>
      <w:r w:rsidR="00984127">
        <w:rPr>
          <w:rFonts w:cs="Arial"/>
        </w:rPr>
        <w:t xml:space="preserve">percent at 60 percent conditional income management </w:t>
      </w:r>
      <w:r w:rsidR="00EF63DD">
        <w:rPr>
          <w:rFonts w:cs="Arial"/>
        </w:rPr>
        <w:t>with</w:t>
      </w:r>
      <w:r w:rsidR="00984127">
        <w:rPr>
          <w:rFonts w:cs="Arial"/>
        </w:rPr>
        <w:t xml:space="preserve"> </w:t>
      </w:r>
      <w:r w:rsidR="005177D6">
        <w:rPr>
          <w:rFonts w:cs="Arial"/>
        </w:rPr>
        <w:t xml:space="preserve">43 percent for a 6-month duration and 49 </w:t>
      </w:r>
      <w:r w:rsidR="00984127">
        <w:rPr>
          <w:rFonts w:cs="Arial"/>
        </w:rPr>
        <w:t xml:space="preserve">percent for a </w:t>
      </w:r>
      <w:r w:rsidR="005177D6">
        <w:rPr>
          <w:rFonts w:cs="Arial"/>
        </w:rPr>
        <w:t>12</w:t>
      </w:r>
      <w:r w:rsidR="00984127">
        <w:rPr>
          <w:rFonts w:cs="Arial"/>
        </w:rPr>
        <w:t>-month duration</w:t>
      </w:r>
      <w:r w:rsidR="00CE5828" w:rsidRPr="00C313D5">
        <w:rPr>
          <w:rFonts w:cs="Arial"/>
        </w:rPr>
        <w:t>.</w:t>
      </w:r>
      <w:r w:rsidR="0061573D">
        <w:rPr>
          <w:rFonts w:cs="Arial"/>
        </w:rPr>
        <w:t xml:space="preserve"> </w:t>
      </w:r>
      <w:bookmarkEnd w:id="16"/>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45F29C81" w14:textId="076ADC5B" w:rsidR="003D4ECC" w:rsidRDefault="003D4ECC" w:rsidP="005A5B78">
      <w:pPr>
        <w:ind w:left="-142" w:right="-425"/>
        <w:jc w:val="both"/>
        <w:rPr>
          <w:rFonts w:cs="Arial"/>
        </w:rPr>
      </w:pPr>
    </w:p>
    <w:p w14:paraId="77105E78" w14:textId="08A1BD2D" w:rsidR="003D4ECC" w:rsidRPr="00B01FE8" w:rsidRDefault="003D4ECC" w:rsidP="003D4ECC">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sidR="00AF76BC">
        <w:rPr>
          <w:i w:val="0"/>
          <w:sz w:val="16"/>
        </w:rPr>
        <w:t>January</w:t>
      </w:r>
      <w:r>
        <w:rPr>
          <w:i w:val="0"/>
          <w:sz w:val="16"/>
        </w:rPr>
        <w:t xml:space="preserve"> 202</w:t>
      </w:r>
      <w:r w:rsidR="00AF76BC">
        <w:rPr>
          <w:i w:val="0"/>
          <w:sz w:val="16"/>
        </w:rPr>
        <w:t>1</w:t>
      </w:r>
      <w:r>
        <w:rPr>
          <w:i w:val="0"/>
          <w:sz w:val="16"/>
        </w:rPr>
        <w:t xml:space="preserve"> to 31 </w:t>
      </w:r>
      <w:r w:rsidR="00AF76BC">
        <w:rPr>
          <w:i w:val="0"/>
          <w:sz w:val="16"/>
        </w:rPr>
        <w:t>March</w:t>
      </w:r>
      <w:r>
        <w:rPr>
          <w:i w:val="0"/>
          <w:sz w:val="16"/>
        </w:rPr>
        <w:t xml:space="preserve"> </w:t>
      </w:r>
      <w:r w:rsidRPr="00B01FE8">
        <w:rPr>
          <w:i w:val="0"/>
          <w:sz w:val="16"/>
        </w:rPr>
        <w:t>20</w:t>
      </w:r>
      <w:r>
        <w:rPr>
          <w:i w:val="0"/>
          <w:sz w:val="16"/>
        </w:rPr>
        <w:t>2</w:t>
      </w:r>
      <w:r w:rsidR="00AF76BC">
        <w:rPr>
          <w:i w:val="0"/>
          <w:sz w:val="16"/>
        </w:rPr>
        <w:t>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AF76BC" w:rsidRPr="00C5395B" w14:paraId="338D3E20" w14:textId="5BC2DB11" w:rsidTr="00AF76BC">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A051535" w14:textId="77777777" w:rsidR="00AF76BC" w:rsidRPr="00C5395B" w:rsidRDefault="00AF76BC" w:rsidP="006F4E59">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2D1144A" w14:textId="77777777" w:rsidR="00AF76BC" w:rsidRDefault="00AF76BC" w:rsidP="006F4E59">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7A040C68" w14:textId="77777777" w:rsidR="00AF76BC" w:rsidRDefault="00AF76BC" w:rsidP="006F4E59">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085CF476" w14:textId="77777777" w:rsidR="00AF76BC" w:rsidRDefault="00AF76BC" w:rsidP="006F4E59">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711AFDF3" w14:textId="77777777" w:rsidR="00AF76BC" w:rsidRDefault="00AF76BC" w:rsidP="006F4E59">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5D5B001A" w14:textId="5825A661" w:rsidR="00AF76BC" w:rsidRDefault="00AF76BC" w:rsidP="006F4E59">
            <w:pPr>
              <w:pStyle w:val="TableText"/>
              <w:jc w:val="right"/>
              <w:rPr>
                <w:b/>
                <w:lang w:eastAsia="en-AU"/>
              </w:rPr>
            </w:pPr>
            <w:r>
              <w:rPr>
                <w:b/>
                <w:lang w:eastAsia="en-AU"/>
              </w:rPr>
              <w:t>Qtr 55</w:t>
            </w:r>
          </w:p>
        </w:tc>
      </w:tr>
      <w:tr w:rsidR="00AF76BC" w:rsidRPr="00C5395B" w14:paraId="0783D898" w14:textId="071FD8FD" w:rsidTr="00AF76BC">
        <w:trPr>
          <w:trHeight w:val="255"/>
        </w:trPr>
        <w:tc>
          <w:tcPr>
            <w:tcW w:w="2040" w:type="dxa"/>
            <w:tcBorders>
              <w:top w:val="nil"/>
              <w:left w:val="single" w:sz="4" w:space="0" w:color="auto"/>
              <w:bottom w:val="single" w:sz="4" w:space="0" w:color="auto"/>
              <w:right w:val="single" w:sz="4" w:space="0" w:color="auto"/>
            </w:tcBorders>
            <w:noWrap/>
            <w:hideMark/>
          </w:tcPr>
          <w:p w14:paraId="4C952C5D" w14:textId="77777777" w:rsidR="00AF76BC" w:rsidRPr="00C5395B" w:rsidRDefault="00AF76BC" w:rsidP="006F4E5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vAlign w:val="bottom"/>
          </w:tcPr>
          <w:p w14:paraId="04207F00" w14:textId="77777777" w:rsidR="00AF76BC" w:rsidRDefault="00AF76BC" w:rsidP="006F4E59">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6DB4CF5B" w14:textId="77777777" w:rsidR="00AF76BC" w:rsidRPr="00EE6BD7" w:rsidRDefault="00AF76BC" w:rsidP="006F4E59">
            <w:pPr>
              <w:jc w:val="right"/>
              <w:rPr>
                <w:rFonts w:cs="Arial"/>
              </w:rPr>
            </w:pPr>
            <w:r w:rsidRPr="00F1223C">
              <w:rPr>
                <w:rFonts w:cs="Arial"/>
              </w:rPr>
              <w:t>8</w:t>
            </w:r>
          </w:p>
        </w:tc>
        <w:tc>
          <w:tcPr>
            <w:tcW w:w="960" w:type="dxa"/>
            <w:tcBorders>
              <w:top w:val="nil"/>
              <w:left w:val="nil"/>
              <w:bottom w:val="single" w:sz="4" w:space="0" w:color="auto"/>
              <w:right w:val="single" w:sz="4" w:space="0" w:color="auto"/>
            </w:tcBorders>
          </w:tcPr>
          <w:p w14:paraId="4C83C447" w14:textId="77777777" w:rsidR="00AF76BC" w:rsidRPr="00A969C0" w:rsidRDefault="00AF76BC" w:rsidP="006F4E59">
            <w:pPr>
              <w:jc w:val="right"/>
              <w:rPr>
                <w:rFonts w:cs="Arial"/>
              </w:rPr>
            </w:pPr>
            <w:r w:rsidRPr="00A969C0">
              <w:rPr>
                <w:rFonts w:cs="Arial"/>
              </w:rPr>
              <w:t>22</w:t>
            </w:r>
          </w:p>
        </w:tc>
        <w:tc>
          <w:tcPr>
            <w:tcW w:w="960" w:type="dxa"/>
            <w:tcBorders>
              <w:top w:val="nil"/>
              <w:left w:val="nil"/>
              <w:bottom w:val="single" w:sz="4" w:space="0" w:color="auto"/>
              <w:right w:val="single" w:sz="4" w:space="0" w:color="auto"/>
            </w:tcBorders>
          </w:tcPr>
          <w:p w14:paraId="760DB91F" w14:textId="77777777" w:rsidR="00AF76BC" w:rsidRPr="00A969C0" w:rsidRDefault="00AF76BC" w:rsidP="006F4E59">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6BD418D5" w14:textId="376CCD8D" w:rsidR="00AF76BC" w:rsidRDefault="00AF76BC" w:rsidP="006F4E59">
            <w:pPr>
              <w:jc w:val="right"/>
              <w:rPr>
                <w:rFonts w:cs="Arial"/>
              </w:rPr>
            </w:pPr>
            <w:r>
              <w:rPr>
                <w:rFonts w:cs="Arial"/>
              </w:rPr>
              <w:t>2</w:t>
            </w:r>
          </w:p>
        </w:tc>
      </w:tr>
      <w:tr w:rsidR="00AF76BC" w:rsidRPr="00C5395B" w14:paraId="144D6F67" w14:textId="42C982B0" w:rsidTr="00AF76BC">
        <w:trPr>
          <w:trHeight w:val="255"/>
        </w:trPr>
        <w:tc>
          <w:tcPr>
            <w:tcW w:w="2040" w:type="dxa"/>
            <w:tcBorders>
              <w:top w:val="nil"/>
              <w:left w:val="single" w:sz="4" w:space="0" w:color="auto"/>
              <w:bottom w:val="single" w:sz="4" w:space="0" w:color="auto"/>
              <w:right w:val="single" w:sz="4" w:space="0" w:color="auto"/>
            </w:tcBorders>
            <w:noWrap/>
            <w:hideMark/>
          </w:tcPr>
          <w:p w14:paraId="6818FC48" w14:textId="77777777" w:rsidR="00AF76BC" w:rsidRPr="00C5395B" w:rsidRDefault="00AF76BC" w:rsidP="006F4E5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vAlign w:val="bottom"/>
          </w:tcPr>
          <w:p w14:paraId="2C9B76A3" w14:textId="77777777" w:rsidR="00AF76BC" w:rsidRDefault="00AF76BC" w:rsidP="006F4E59">
            <w:pPr>
              <w:jc w:val="right"/>
              <w:rPr>
                <w:rFonts w:cs="Arial"/>
              </w:rPr>
            </w:pPr>
            <w:r w:rsidRPr="00FB4759">
              <w:rPr>
                <w:rFonts w:cs="Arial"/>
              </w:rPr>
              <w:t>0</w:t>
            </w:r>
          </w:p>
        </w:tc>
        <w:tc>
          <w:tcPr>
            <w:tcW w:w="960" w:type="dxa"/>
            <w:tcBorders>
              <w:top w:val="nil"/>
              <w:left w:val="nil"/>
              <w:bottom w:val="single" w:sz="4" w:space="0" w:color="auto"/>
              <w:right w:val="single" w:sz="4" w:space="0" w:color="auto"/>
            </w:tcBorders>
          </w:tcPr>
          <w:p w14:paraId="63232307" w14:textId="77777777" w:rsidR="00AF76BC" w:rsidRPr="00EE6BD7" w:rsidRDefault="00AF76BC" w:rsidP="006F4E59">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5603BF40" w14:textId="77777777" w:rsidR="00AF76BC" w:rsidRPr="00A969C0" w:rsidRDefault="00AF76BC" w:rsidP="006F4E59">
            <w:pPr>
              <w:jc w:val="right"/>
              <w:rPr>
                <w:rFonts w:cs="Arial"/>
              </w:rPr>
            </w:pPr>
            <w:r w:rsidRPr="00A969C0">
              <w:rPr>
                <w:rFonts w:cs="Arial"/>
              </w:rPr>
              <w:t>0</w:t>
            </w:r>
          </w:p>
        </w:tc>
        <w:tc>
          <w:tcPr>
            <w:tcW w:w="960" w:type="dxa"/>
            <w:tcBorders>
              <w:top w:val="nil"/>
              <w:left w:val="nil"/>
              <w:bottom w:val="single" w:sz="4" w:space="0" w:color="auto"/>
              <w:right w:val="single" w:sz="4" w:space="0" w:color="auto"/>
            </w:tcBorders>
          </w:tcPr>
          <w:p w14:paraId="68CCCFD1" w14:textId="77777777" w:rsidR="00AF76BC" w:rsidRPr="00A969C0" w:rsidRDefault="00AF76BC" w:rsidP="006F4E5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7A77593" w14:textId="64166CCB" w:rsidR="00AF76BC" w:rsidRDefault="00AF76BC" w:rsidP="006F4E59">
            <w:pPr>
              <w:jc w:val="right"/>
              <w:rPr>
                <w:rFonts w:cs="Arial"/>
              </w:rPr>
            </w:pPr>
            <w:r>
              <w:rPr>
                <w:rFonts w:cs="Arial"/>
              </w:rPr>
              <w:t>1</w:t>
            </w:r>
          </w:p>
        </w:tc>
      </w:tr>
      <w:tr w:rsidR="00AF76BC" w:rsidRPr="00C5395B" w14:paraId="48C03BC8" w14:textId="7E5667DC" w:rsidTr="00AF76BC">
        <w:trPr>
          <w:trHeight w:val="255"/>
        </w:trPr>
        <w:tc>
          <w:tcPr>
            <w:tcW w:w="2040" w:type="dxa"/>
            <w:tcBorders>
              <w:top w:val="nil"/>
              <w:left w:val="single" w:sz="4" w:space="0" w:color="auto"/>
              <w:bottom w:val="single" w:sz="4" w:space="0" w:color="auto"/>
              <w:right w:val="single" w:sz="4" w:space="0" w:color="auto"/>
            </w:tcBorders>
            <w:noWrap/>
          </w:tcPr>
          <w:p w14:paraId="79B77A29" w14:textId="77777777" w:rsidR="00AF76BC" w:rsidRPr="00C5395B" w:rsidRDefault="00AF76BC" w:rsidP="006F4E5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vAlign w:val="bottom"/>
          </w:tcPr>
          <w:p w14:paraId="5572C284" w14:textId="77777777" w:rsidR="00AF76BC" w:rsidRDefault="00AF76BC" w:rsidP="006F4E59">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2E9D2C81" w14:textId="77777777" w:rsidR="00AF76BC" w:rsidRPr="00EE6BD7" w:rsidRDefault="00AF76BC" w:rsidP="006F4E59">
            <w:pPr>
              <w:jc w:val="right"/>
              <w:rPr>
                <w:rFonts w:cs="Arial"/>
              </w:rPr>
            </w:pPr>
            <w:r w:rsidRPr="00F1223C">
              <w:rPr>
                <w:rFonts w:cs="Arial"/>
              </w:rPr>
              <w:t>7</w:t>
            </w:r>
          </w:p>
        </w:tc>
        <w:tc>
          <w:tcPr>
            <w:tcW w:w="960" w:type="dxa"/>
            <w:tcBorders>
              <w:top w:val="nil"/>
              <w:left w:val="nil"/>
              <w:bottom w:val="single" w:sz="4" w:space="0" w:color="auto"/>
              <w:right w:val="single" w:sz="4" w:space="0" w:color="auto"/>
            </w:tcBorders>
          </w:tcPr>
          <w:p w14:paraId="5EC10F94" w14:textId="77777777" w:rsidR="00AF76BC" w:rsidRPr="00A969C0" w:rsidRDefault="00AF76BC" w:rsidP="006F4E59">
            <w:pPr>
              <w:jc w:val="right"/>
              <w:rPr>
                <w:rFonts w:cs="Arial"/>
              </w:rPr>
            </w:pPr>
            <w:r w:rsidRPr="00A969C0">
              <w:rPr>
                <w:rFonts w:cs="Arial"/>
              </w:rPr>
              <w:t>8</w:t>
            </w:r>
          </w:p>
        </w:tc>
        <w:tc>
          <w:tcPr>
            <w:tcW w:w="960" w:type="dxa"/>
            <w:tcBorders>
              <w:top w:val="nil"/>
              <w:left w:val="nil"/>
              <w:bottom w:val="single" w:sz="4" w:space="0" w:color="auto"/>
              <w:right w:val="single" w:sz="4" w:space="0" w:color="auto"/>
            </w:tcBorders>
          </w:tcPr>
          <w:p w14:paraId="2F7F7BE1" w14:textId="77777777" w:rsidR="00AF76BC" w:rsidRPr="00A969C0" w:rsidRDefault="00AF76BC" w:rsidP="006F4E59">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53DB4C7F" w14:textId="4B588807" w:rsidR="00AF76BC" w:rsidRDefault="00AF76BC" w:rsidP="006F4E59">
            <w:pPr>
              <w:jc w:val="right"/>
              <w:rPr>
                <w:rFonts w:cs="Arial"/>
              </w:rPr>
            </w:pPr>
            <w:r>
              <w:rPr>
                <w:rFonts w:cs="Arial"/>
              </w:rPr>
              <w:t>2</w:t>
            </w:r>
          </w:p>
        </w:tc>
      </w:tr>
      <w:tr w:rsidR="00AF76BC" w:rsidRPr="00C5395B" w14:paraId="5FBDAA35" w14:textId="1F127B6E" w:rsidTr="00AF76BC">
        <w:trPr>
          <w:trHeight w:val="255"/>
        </w:trPr>
        <w:tc>
          <w:tcPr>
            <w:tcW w:w="2040" w:type="dxa"/>
            <w:tcBorders>
              <w:top w:val="nil"/>
              <w:left w:val="single" w:sz="4" w:space="0" w:color="auto"/>
              <w:bottom w:val="single" w:sz="4" w:space="0" w:color="auto"/>
              <w:right w:val="single" w:sz="4" w:space="0" w:color="auto"/>
            </w:tcBorders>
            <w:noWrap/>
            <w:hideMark/>
          </w:tcPr>
          <w:p w14:paraId="11C247B8" w14:textId="77777777" w:rsidR="00AF76BC" w:rsidRPr="00C5395B" w:rsidRDefault="00AF76BC" w:rsidP="006F4E5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vAlign w:val="bottom"/>
          </w:tcPr>
          <w:p w14:paraId="4B4A1183" w14:textId="77777777" w:rsidR="00AF76BC" w:rsidRDefault="00AF76BC" w:rsidP="006F4E59">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738EBBE8" w14:textId="77777777" w:rsidR="00AF76BC" w:rsidRPr="00EE6BD7" w:rsidRDefault="00AF76BC" w:rsidP="006F4E59">
            <w:pPr>
              <w:jc w:val="right"/>
              <w:rPr>
                <w:rFonts w:cs="Arial"/>
              </w:rPr>
            </w:pPr>
            <w:r w:rsidRPr="00F1223C">
              <w:rPr>
                <w:rFonts w:cs="Arial"/>
              </w:rPr>
              <w:t>4</w:t>
            </w:r>
          </w:p>
        </w:tc>
        <w:tc>
          <w:tcPr>
            <w:tcW w:w="960" w:type="dxa"/>
            <w:tcBorders>
              <w:top w:val="nil"/>
              <w:left w:val="nil"/>
              <w:bottom w:val="single" w:sz="4" w:space="0" w:color="auto"/>
              <w:right w:val="single" w:sz="4" w:space="0" w:color="auto"/>
            </w:tcBorders>
          </w:tcPr>
          <w:p w14:paraId="45CBB402" w14:textId="77777777" w:rsidR="00AF76BC" w:rsidRPr="00A969C0" w:rsidRDefault="00AF76BC" w:rsidP="006F4E59">
            <w:pPr>
              <w:jc w:val="right"/>
              <w:rPr>
                <w:rFonts w:cs="Arial"/>
              </w:rPr>
            </w:pPr>
            <w:r w:rsidRPr="00A969C0">
              <w:rPr>
                <w:rFonts w:cs="Arial"/>
              </w:rPr>
              <w:t>5</w:t>
            </w:r>
          </w:p>
        </w:tc>
        <w:tc>
          <w:tcPr>
            <w:tcW w:w="960" w:type="dxa"/>
            <w:tcBorders>
              <w:top w:val="nil"/>
              <w:left w:val="nil"/>
              <w:bottom w:val="single" w:sz="4" w:space="0" w:color="auto"/>
              <w:right w:val="single" w:sz="4" w:space="0" w:color="auto"/>
            </w:tcBorders>
          </w:tcPr>
          <w:p w14:paraId="32C58CF7" w14:textId="77777777" w:rsidR="00AF76BC" w:rsidRPr="00A969C0" w:rsidRDefault="00AF76BC" w:rsidP="006F4E5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315F5E4" w14:textId="1E675E0B" w:rsidR="00AF76BC" w:rsidRDefault="00AF76BC" w:rsidP="006F4E59">
            <w:pPr>
              <w:jc w:val="right"/>
              <w:rPr>
                <w:rFonts w:cs="Arial"/>
              </w:rPr>
            </w:pPr>
            <w:r>
              <w:rPr>
                <w:rFonts w:cs="Arial"/>
              </w:rPr>
              <w:t>0</w:t>
            </w:r>
          </w:p>
        </w:tc>
      </w:tr>
      <w:tr w:rsidR="00AF76BC" w:rsidRPr="00C5395B" w14:paraId="5039DB04" w14:textId="1C86F7E2" w:rsidTr="00AF76BC">
        <w:trPr>
          <w:trHeight w:val="255"/>
        </w:trPr>
        <w:tc>
          <w:tcPr>
            <w:tcW w:w="2040" w:type="dxa"/>
            <w:tcBorders>
              <w:top w:val="nil"/>
              <w:left w:val="single" w:sz="4" w:space="0" w:color="auto"/>
              <w:bottom w:val="single" w:sz="4" w:space="0" w:color="auto"/>
              <w:right w:val="single" w:sz="4" w:space="0" w:color="auto"/>
            </w:tcBorders>
            <w:noWrap/>
            <w:hideMark/>
          </w:tcPr>
          <w:p w14:paraId="0A37A23A" w14:textId="77777777" w:rsidR="00AF76BC" w:rsidRPr="00C5395B" w:rsidRDefault="00AF76BC" w:rsidP="006F4E5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vAlign w:val="bottom"/>
          </w:tcPr>
          <w:p w14:paraId="1515B1E3" w14:textId="77777777" w:rsidR="00AF76BC" w:rsidRDefault="00AF76BC" w:rsidP="006F4E59">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7C56163F" w14:textId="77777777" w:rsidR="00AF76BC" w:rsidRPr="00EE6BD7" w:rsidRDefault="00AF76BC" w:rsidP="006F4E59">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0DA0655A" w14:textId="77777777" w:rsidR="00AF76BC" w:rsidRPr="00A969C0" w:rsidRDefault="00AF76BC" w:rsidP="006F4E59">
            <w:pPr>
              <w:jc w:val="right"/>
              <w:rPr>
                <w:rFonts w:cs="Arial"/>
              </w:rPr>
            </w:pPr>
            <w:r w:rsidRPr="00A969C0">
              <w:rPr>
                <w:rFonts w:cs="Arial"/>
              </w:rPr>
              <w:t>1</w:t>
            </w:r>
          </w:p>
        </w:tc>
        <w:tc>
          <w:tcPr>
            <w:tcW w:w="960" w:type="dxa"/>
            <w:tcBorders>
              <w:top w:val="nil"/>
              <w:left w:val="nil"/>
              <w:bottom w:val="single" w:sz="4" w:space="0" w:color="auto"/>
              <w:right w:val="single" w:sz="4" w:space="0" w:color="auto"/>
            </w:tcBorders>
          </w:tcPr>
          <w:p w14:paraId="5D5CE7EA" w14:textId="77777777" w:rsidR="00AF76BC" w:rsidRPr="00A969C0" w:rsidRDefault="00AF76BC" w:rsidP="006F4E5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0E05A98" w14:textId="7E8F9C3E" w:rsidR="00AF76BC" w:rsidRDefault="00AF76BC" w:rsidP="006F4E59">
            <w:pPr>
              <w:jc w:val="right"/>
              <w:rPr>
                <w:rFonts w:cs="Arial"/>
              </w:rPr>
            </w:pPr>
            <w:r>
              <w:rPr>
                <w:rFonts w:cs="Arial"/>
              </w:rPr>
              <w:t>1</w:t>
            </w:r>
          </w:p>
        </w:tc>
      </w:tr>
      <w:tr w:rsidR="00AF76BC" w:rsidRPr="00C5395B" w14:paraId="30664AE7" w14:textId="3A002341" w:rsidTr="00AF76BC">
        <w:trPr>
          <w:trHeight w:val="255"/>
        </w:trPr>
        <w:tc>
          <w:tcPr>
            <w:tcW w:w="2040" w:type="dxa"/>
            <w:tcBorders>
              <w:top w:val="nil"/>
              <w:left w:val="single" w:sz="4" w:space="0" w:color="auto"/>
              <w:bottom w:val="single" w:sz="4" w:space="0" w:color="auto"/>
              <w:right w:val="single" w:sz="4" w:space="0" w:color="auto"/>
            </w:tcBorders>
            <w:noWrap/>
            <w:hideMark/>
          </w:tcPr>
          <w:p w14:paraId="56940E94" w14:textId="77777777" w:rsidR="00AF76BC" w:rsidRPr="00C5395B" w:rsidRDefault="00AF76BC" w:rsidP="006F4E5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vAlign w:val="bottom"/>
          </w:tcPr>
          <w:p w14:paraId="67CC8ED4" w14:textId="77777777" w:rsidR="00AF76BC" w:rsidRDefault="00AF76BC" w:rsidP="006F4E59">
            <w:pPr>
              <w:jc w:val="right"/>
              <w:rPr>
                <w:rFonts w:cs="Arial"/>
                <w:b/>
                <w:bCs/>
              </w:rPr>
            </w:pPr>
            <w:r w:rsidRPr="00FB4759">
              <w:rPr>
                <w:rFonts w:cs="Arial"/>
                <w:b/>
                <w:bCs/>
              </w:rPr>
              <w:t>12</w:t>
            </w:r>
          </w:p>
        </w:tc>
        <w:tc>
          <w:tcPr>
            <w:tcW w:w="960" w:type="dxa"/>
            <w:tcBorders>
              <w:top w:val="nil"/>
              <w:left w:val="nil"/>
              <w:bottom w:val="single" w:sz="4" w:space="0" w:color="auto"/>
              <w:right w:val="single" w:sz="4" w:space="0" w:color="auto"/>
            </w:tcBorders>
          </w:tcPr>
          <w:p w14:paraId="2D904052" w14:textId="77777777" w:rsidR="00AF76BC" w:rsidRPr="00EE6BD7" w:rsidRDefault="00AF76BC" w:rsidP="006F4E59">
            <w:pPr>
              <w:jc w:val="right"/>
              <w:rPr>
                <w:rFonts w:cs="Arial"/>
                <w:b/>
                <w:bCs/>
              </w:rPr>
            </w:pPr>
            <w:r w:rsidRPr="00F1223C">
              <w:rPr>
                <w:rFonts w:cs="Arial"/>
                <w:b/>
                <w:bCs/>
              </w:rPr>
              <w:t>25</w:t>
            </w:r>
          </w:p>
        </w:tc>
        <w:tc>
          <w:tcPr>
            <w:tcW w:w="960" w:type="dxa"/>
            <w:tcBorders>
              <w:top w:val="nil"/>
              <w:left w:val="nil"/>
              <w:bottom w:val="single" w:sz="4" w:space="0" w:color="auto"/>
              <w:right w:val="single" w:sz="4" w:space="0" w:color="auto"/>
            </w:tcBorders>
          </w:tcPr>
          <w:p w14:paraId="12005372" w14:textId="77777777" w:rsidR="00AF76BC" w:rsidRPr="00A969C0" w:rsidRDefault="00AF76BC" w:rsidP="006F4E59">
            <w:pPr>
              <w:jc w:val="right"/>
              <w:rPr>
                <w:rFonts w:cs="Arial"/>
                <w:b/>
                <w:bCs/>
              </w:rPr>
            </w:pPr>
            <w:r w:rsidRPr="00A969C0">
              <w:rPr>
                <w:rFonts w:cs="Arial"/>
                <w:b/>
                <w:bCs/>
              </w:rPr>
              <w:t>36</w:t>
            </w:r>
          </w:p>
        </w:tc>
        <w:tc>
          <w:tcPr>
            <w:tcW w:w="960" w:type="dxa"/>
            <w:tcBorders>
              <w:top w:val="nil"/>
              <w:left w:val="nil"/>
              <w:bottom w:val="single" w:sz="4" w:space="0" w:color="auto"/>
              <w:right w:val="single" w:sz="4" w:space="0" w:color="auto"/>
            </w:tcBorders>
          </w:tcPr>
          <w:p w14:paraId="318E0519" w14:textId="77777777" w:rsidR="00AF76BC" w:rsidRPr="00A969C0" w:rsidRDefault="00AF76BC" w:rsidP="006F4E59">
            <w:pPr>
              <w:jc w:val="right"/>
              <w:rPr>
                <w:rFonts w:cs="Arial"/>
                <w:b/>
                <w:bCs/>
              </w:rPr>
            </w:pPr>
            <w:r>
              <w:rPr>
                <w:rFonts w:cs="Arial"/>
                <w:b/>
                <w:bCs/>
              </w:rPr>
              <w:t>29</w:t>
            </w:r>
          </w:p>
        </w:tc>
        <w:tc>
          <w:tcPr>
            <w:tcW w:w="960" w:type="dxa"/>
            <w:tcBorders>
              <w:top w:val="nil"/>
              <w:left w:val="nil"/>
              <w:bottom w:val="single" w:sz="4" w:space="0" w:color="auto"/>
              <w:right w:val="single" w:sz="4" w:space="0" w:color="auto"/>
            </w:tcBorders>
          </w:tcPr>
          <w:p w14:paraId="32554AA2" w14:textId="6669E4F7" w:rsidR="00AF76BC" w:rsidRDefault="00AF76BC" w:rsidP="006F4E59">
            <w:pPr>
              <w:jc w:val="right"/>
              <w:rPr>
                <w:rFonts w:cs="Arial"/>
                <w:b/>
                <w:bCs/>
              </w:rPr>
            </w:pPr>
            <w:r>
              <w:rPr>
                <w:rFonts w:cs="Arial"/>
                <w:b/>
                <w:bCs/>
              </w:rPr>
              <w:t>6</w:t>
            </w:r>
          </w:p>
        </w:tc>
      </w:tr>
    </w:tbl>
    <w:p w14:paraId="29943A38" w14:textId="368A41CC" w:rsidR="003D4ECC" w:rsidRDefault="003D4ECC" w:rsidP="005A5B78">
      <w:pPr>
        <w:ind w:left="-142" w:right="-425"/>
        <w:jc w:val="both"/>
        <w:rPr>
          <w:rFonts w:cs="Arial"/>
        </w:rPr>
      </w:pPr>
    </w:p>
    <w:p w14:paraId="0F4C8C26" w14:textId="77777777" w:rsidR="00D802EF" w:rsidRPr="00076ED0" w:rsidRDefault="00D802EF" w:rsidP="00AE5461">
      <w:pPr>
        <w:pStyle w:val="Heading2"/>
      </w:pPr>
      <w:r w:rsidRPr="0021097A">
        <w:t>Conditional Income Management for Domestic Violence related matters</w:t>
      </w:r>
    </w:p>
    <w:p w14:paraId="06A9378B" w14:textId="2AB2AB80" w:rsidR="00D802EF" w:rsidRDefault="00A40532" w:rsidP="00D802EF">
      <w:pPr>
        <w:ind w:left="-142" w:right="-425"/>
        <w:jc w:val="both"/>
        <w:rPr>
          <w:rFonts w:cs="Arial"/>
        </w:rPr>
      </w:pPr>
      <w:r w:rsidRPr="00280B6D">
        <w:rPr>
          <w:rFonts w:cs="Arial"/>
        </w:rPr>
        <w:t xml:space="preserve">As a subset of the total number of CIMs in the quarter, </w:t>
      </w:r>
      <w:r w:rsidR="005177D6">
        <w:rPr>
          <w:rFonts w:cs="Arial"/>
        </w:rPr>
        <w:t>2</w:t>
      </w:r>
      <w:r w:rsidR="00553F31" w:rsidRPr="00280B6D">
        <w:rPr>
          <w:rFonts w:cs="Arial"/>
        </w:rPr>
        <w:t xml:space="preserve"> </w:t>
      </w:r>
      <w:r w:rsidR="00CF5A21">
        <w:rPr>
          <w:rFonts w:cs="Arial"/>
        </w:rPr>
        <w:t>w</w:t>
      </w:r>
      <w:r w:rsidR="00EF63DD">
        <w:rPr>
          <w:rFonts w:cs="Arial"/>
        </w:rPr>
        <w:t>ere</w:t>
      </w:r>
      <w:r w:rsidR="00CF5A21" w:rsidRPr="00280B6D">
        <w:rPr>
          <w:rFonts w:cs="Arial"/>
        </w:rPr>
        <w:t xml:space="preserve"> </w:t>
      </w:r>
      <w:r w:rsidR="00D802EF" w:rsidRPr="00280B6D">
        <w:rPr>
          <w:rFonts w:cs="Arial"/>
        </w:rPr>
        <w:t xml:space="preserve">made in relation to domestic violence conferences in </w:t>
      </w:r>
      <w:r w:rsidR="00856C85">
        <w:rPr>
          <w:rFonts w:cs="Arial"/>
        </w:rPr>
        <w:t xml:space="preserve">quarter </w:t>
      </w:r>
      <w:r w:rsidR="005E1684">
        <w:rPr>
          <w:rFonts w:cs="Arial"/>
        </w:rPr>
        <w:t>55</w:t>
      </w:r>
      <w:r w:rsidR="00D802EF" w:rsidRPr="00280B6D">
        <w:rPr>
          <w:rFonts w:cs="Arial"/>
        </w:rPr>
        <w:t>.</w:t>
      </w:r>
    </w:p>
    <w:p w14:paraId="24C489A4" w14:textId="4B2CDC60" w:rsidR="00433562" w:rsidRDefault="00433562" w:rsidP="00AE5461">
      <w:pPr>
        <w:pStyle w:val="Heading2"/>
      </w:pPr>
    </w:p>
    <w:p w14:paraId="45973D4D" w14:textId="731B58D4"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0B5CC8">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w:t>
      </w:r>
      <w:r w:rsidR="00F83C14">
        <w:rPr>
          <w:rFonts w:cs="Arial"/>
          <w:sz w:val="16"/>
          <w:szCs w:val="16"/>
        </w:rPr>
        <w:t xml:space="preserve">1 </w:t>
      </w:r>
      <w:r w:rsidR="00DF103B">
        <w:rPr>
          <w:rFonts w:cs="Arial"/>
          <w:sz w:val="16"/>
          <w:szCs w:val="16"/>
        </w:rPr>
        <w:t>January 2021</w:t>
      </w:r>
      <w:r>
        <w:rPr>
          <w:rFonts w:cs="Arial"/>
          <w:sz w:val="16"/>
          <w:szCs w:val="16"/>
        </w:rPr>
        <w:t xml:space="preserve"> to </w:t>
      </w:r>
      <w:r w:rsidR="00F83C14">
        <w:rPr>
          <w:rFonts w:cs="Arial"/>
          <w:sz w:val="16"/>
          <w:szCs w:val="16"/>
        </w:rPr>
        <w:t>3</w:t>
      </w:r>
      <w:r w:rsidR="00A40B8D">
        <w:rPr>
          <w:rFonts w:cs="Arial"/>
          <w:sz w:val="16"/>
          <w:szCs w:val="16"/>
        </w:rPr>
        <w:t xml:space="preserve">1 </w:t>
      </w:r>
      <w:r w:rsidR="001A5C4C">
        <w:rPr>
          <w:rFonts w:cs="Arial"/>
          <w:sz w:val="16"/>
          <w:szCs w:val="16"/>
        </w:rPr>
        <w:t>March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9A6570" w:rsidRPr="0040594D" w14:paraId="4F3E1B9E" w14:textId="77777777" w:rsidTr="00DA793B">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9A6570" w:rsidRPr="0040594D" w:rsidRDefault="009A6570" w:rsidP="009A6570">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3998C68A" w:rsidR="009A6570" w:rsidRPr="0040594D" w:rsidRDefault="009A6570" w:rsidP="009A6570">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29FF4BFF" w:rsidR="009A6570" w:rsidRPr="0040594D" w:rsidRDefault="009A6570" w:rsidP="009A6570">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57C7CF2D" w14:textId="797B1163" w:rsidR="009A6570" w:rsidRPr="0040594D" w:rsidRDefault="009A6570" w:rsidP="009A6570">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tcPr>
          <w:p w14:paraId="2763DB99" w14:textId="0010722B" w:rsidR="009A6570" w:rsidRPr="0040594D" w:rsidRDefault="009A6570" w:rsidP="009A6570">
            <w:pPr>
              <w:spacing w:line="240" w:lineRule="auto"/>
              <w:jc w:val="right"/>
              <w:rPr>
                <w:rFonts w:cs="Arial"/>
                <w:b/>
                <w:bCs/>
                <w:lang w:eastAsia="en-AU"/>
              </w:rPr>
            </w:pPr>
            <w:r>
              <w:rPr>
                <w:b/>
                <w:lang w:eastAsia="en-AU"/>
              </w:rPr>
              <w:t>Qtr 54</w:t>
            </w:r>
          </w:p>
        </w:tc>
        <w:tc>
          <w:tcPr>
            <w:tcW w:w="784" w:type="dxa"/>
            <w:tcBorders>
              <w:top w:val="single" w:sz="4" w:space="0" w:color="auto"/>
              <w:left w:val="nil"/>
              <w:bottom w:val="single" w:sz="4" w:space="0" w:color="auto"/>
              <w:right w:val="single" w:sz="4" w:space="0" w:color="auto"/>
            </w:tcBorders>
          </w:tcPr>
          <w:p w14:paraId="1C0D052D" w14:textId="2E97B478" w:rsidR="009A6570" w:rsidRDefault="009A6570" w:rsidP="009A6570">
            <w:pPr>
              <w:spacing w:line="240" w:lineRule="auto"/>
              <w:jc w:val="right"/>
              <w:rPr>
                <w:b/>
                <w:lang w:eastAsia="en-AU"/>
              </w:rPr>
            </w:pPr>
            <w:r>
              <w:rPr>
                <w:b/>
                <w:lang w:eastAsia="en-AU"/>
              </w:rPr>
              <w:t>Qtr 55</w:t>
            </w:r>
          </w:p>
        </w:tc>
      </w:tr>
      <w:tr w:rsidR="005177D6" w:rsidRPr="0094558B" w14:paraId="2694F73B"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5177D6" w:rsidRPr="00640E37" w:rsidRDefault="005177D6" w:rsidP="005177D6">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tcPr>
          <w:p w14:paraId="1925BEB3" w14:textId="0737B386" w:rsidR="005177D6" w:rsidRPr="00D44DFE" w:rsidRDefault="005177D6" w:rsidP="005177D6">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shd w:val="clear" w:color="auto" w:fill="auto"/>
          </w:tcPr>
          <w:p w14:paraId="58118CF4" w14:textId="2CB0E29A" w:rsidR="005177D6" w:rsidRPr="00D44DFE" w:rsidRDefault="005177D6" w:rsidP="005177D6">
            <w:pPr>
              <w:spacing w:line="240" w:lineRule="auto"/>
              <w:jc w:val="right"/>
              <w:rPr>
                <w:rFonts w:cs="Arial"/>
                <w:bCs/>
                <w:lang w:eastAsia="en-AU"/>
              </w:rPr>
            </w:pPr>
            <w:r w:rsidRPr="00A34423">
              <w:rPr>
                <w:rFonts w:cs="Arial"/>
                <w:lang w:eastAsia="en-AU"/>
              </w:rPr>
              <w:t>0</w:t>
            </w:r>
          </w:p>
        </w:tc>
        <w:tc>
          <w:tcPr>
            <w:tcW w:w="784" w:type="dxa"/>
            <w:tcBorders>
              <w:top w:val="single" w:sz="4" w:space="0" w:color="auto"/>
              <w:left w:val="nil"/>
              <w:bottom w:val="single" w:sz="4" w:space="0" w:color="auto"/>
              <w:right w:val="single" w:sz="4" w:space="0" w:color="auto"/>
            </w:tcBorders>
          </w:tcPr>
          <w:p w14:paraId="345941C3" w14:textId="142229BC" w:rsidR="005177D6" w:rsidRPr="00D44DFE" w:rsidRDefault="005177D6" w:rsidP="005177D6">
            <w:pPr>
              <w:spacing w:line="240" w:lineRule="auto"/>
              <w:jc w:val="right"/>
              <w:rPr>
                <w:rFonts w:cs="Arial"/>
                <w:bCs/>
                <w:lang w:eastAsia="en-AU"/>
              </w:rPr>
            </w:pPr>
            <w:r>
              <w:rPr>
                <w:rFonts w:cs="Arial"/>
                <w:lang w:eastAsia="en-AU"/>
              </w:rPr>
              <w:t>7</w:t>
            </w:r>
          </w:p>
        </w:tc>
        <w:tc>
          <w:tcPr>
            <w:tcW w:w="784" w:type="dxa"/>
            <w:tcBorders>
              <w:top w:val="single" w:sz="4" w:space="0" w:color="auto"/>
              <w:left w:val="nil"/>
              <w:bottom w:val="single" w:sz="4" w:space="0" w:color="auto"/>
              <w:right w:val="single" w:sz="4" w:space="0" w:color="auto"/>
            </w:tcBorders>
          </w:tcPr>
          <w:p w14:paraId="5F3C9680" w14:textId="2987E258" w:rsidR="005177D6" w:rsidRPr="00D44DFE" w:rsidRDefault="005177D6" w:rsidP="005177D6">
            <w:pPr>
              <w:spacing w:line="240" w:lineRule="auto"/>
              <w:jc w:val="right"/>
              <w:rPr>
                <w:rFonts w:cs="Arial"/>
                <w:bCs/>
                <w:lang w:eastAsia="en-AU"/>
              </w:rPr>
            </w:pPr>
            <w:r>
              <w:rPr>
                <w:rFonts w:cs="Arial"/>
                <w:lang w:eastAsia="en-AU"/>
              </w:rPr>
              <w:t>1</w:t>
            </w:r>
          </w:p>
        </w:tc>
        <w:tc>
          <w:tcPr>
            <w:tcW w:w="784" w:type="dxa"/>
            <w:tcBorders>
              <w:top w:val="single" w:sz="4" w:space="0" w:color="auto"/>
              <w:left w:val="nil"/>
              <w:bottom w:val="single" w:sz="4" w:space="0" w:color="auto"/>
              <w:right w:val="single" w:sz="4" w:space="0" w:color="auto"/>
            </w:tcBorders>
          </w:tcPr>
          <w:p w14:paraId="352B24F3" w14:textId="326EAF17" w:rsidR="005177D6" w:rsidRPr="00DA793B" w:rsidRDefault="005177D6" w:rsidP="005177D6">
            <w:pPr>
              <w:spacing w:line="240" w:lineRule="auto"/>
              <w:jc w:val="right"/>
              <w:rPr>
                <w:rFonts w:cs="Arial"/>
                <w:lang w:eastAsia="en-AU"/>
              </w:rPr>
            </w:pPr>
            <w:r>
              <w:rPr>
                <w:rFonts w:ascii="Arial" w:hAnsi="Arial" w:cs="Arial"/>
              </w:rPr>
              <w:t>1</w:t>
            </w:r>
          </w:p>
        </w:tc>
      </w:tr>
      <w:tr w:rsidR="005177D6" w:rsidRPr="0094558B" w14:paraId="338D0CE6"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5177D6" w:rsidRPr="00640E37" w:rsidRDefault="005177D6" w:rsidP="005177D6">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tcPr>
          <w:p w14:paraId="353411C5" w14:textId="588DBB65" w:rsidR="005177D6" w:rsidRPr="00D44DFE" w:rsidRDefault="005177D6" w:rsidP="005177D6">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299A9087" w14:textId="49E55F45" w:rsidR="005177D6" w:rsidRPr="00D44DFE" w:rsidRDefault="005177D6" w:rsidP="005177D6">
            <w:pPr>
              <w:spacing w:line="240" w:lineRule="auto"/>
              <w:jc w:val="right"/>
              <w:rPr>
                <w:rFonts w:cs="Arial"/>
                <w:lang w:eastAsia="en-AU"/>
              </w:rPr>
            </w:pPr>
            <w:r w:rsidRPr="00A34423">
              <w:rPr>
                <w:rFonts w:cs="Arial"/>
                <w:lang w:eastAsia="en-AU"/>
              </w:rPr>
              <w:t>2</w:t>
            </w:r>
          </w:p>
        </w:tc>
        <w:tc>
          <w:tcPr>
            <w:tcW w:w="784" w:type="dxa"/>
            <w:tcBorders>
              <w:top w:val="nil"/>
              <w:left w:val="nil"/>
              <w:bottom w:val="single" w:sz="4" w:space="0" w:color="auto"/>
              <w:right w:val="single" w:sz="4" w:space="0" w:color="auto"/>
            </w:tcBorders>
          </w:tcPr>
          <w:p w14:paraId="29A75C58" w14:textId="20A62094" w:rsidR="005177D6" w:rsidRPr="00D44DFE" w:rsidRDefault="005177D6" w:rsidP="005177D6">
            <w:pPr>
              <w:spacing w:line="240" w:lineRule="auto"/>
              <w:jc w:val="right"/>
              <w:rPr>
                <w:rFonts w:cs="Arial"/>
                <w:lang w:eastAsia="en-AU"/>
              </w:rPr>
            </w:pPr>
            <w:r>
              <w:rPr>
                <w:rFonts w:cs="Arial"/>
                <w:lang w:eastAsia="en-AU"/>
              </w:rPr>
              <w:t>0</w:t>
            </w:r>
          </w:p>
        </w:tc>
        <w:tc>
          <w:tcPr>
            <w:tcW w:w="784" w:type="dxa"/>
            <w:tcBorders>
              <w:top w:val="nil"/>
              <w:left w:val="nil"/>
              <w:bottom w:val="single" w:sz="4" w:space="0" w:color="auto"/>
              <w:right w:val="single" w:sz="4" w:space="0" w:color="auto"/>
            </w:tcBorders>
          </w:tcPr>
          <w:p w14:paraId="148E5285" w14:textId="4C36F932" w:rsidR="005177D6" w:rsidRPr="00D44DFE" w:rsidRDefault="005177D6" w:rsidP="005177D6">
            <w:pPr>
              <w:spacing w:line="240" w:lineRule="auto"/>
              <w:jc w:val="right"/>
              <w:rPr>
                <w:rFonts w:cs="Arial"/>
                <w:lang w:eastAsia="en-AU"/>
              </w:rPr>
            </w:pPr>
            <w:r>
              <w:rPr>
                <w:rFonts w:cs="Arial"/>
                <w:lang w:eastAsia="en-AU"/>
              </w:rPr>
              <w:t>0</w:t>
            </w:r>
          </w:p>
        </w:tc>
        <w:tc>
          <w:tcPr>
            <w:tcW w:w="784" w:type="dxa"/>
            <w:tcBorders>
              <w:top w:val="single" w:sz="4" w:space="0" w:color="auto"/>
              <w:left w:val="nil"/>
              <w:bottom w:val="single" w:sz="4" w:space="0" w:color="auto"/>
              <w:right w:val="single" w:sz="4" w:space="0" w:color="auto"/>
            </w:tcBorders>
          </w:tcPr>
          <w:p w14:paraId="402EEC52" w14:textId="5B3FC112" w:rsidR="005177D6" w:rsidRPr="00DA793B" w:rsidRDefault="005177D6" w:rsidP="005177D6">
            <w:pPr>
              <w:spacing w:line="240" w:lineRule="auto"/>
              <w:jc w:val="right"/>
              <w:rPr>
                <w:rFonts w:cs="Arial"/>
                <w:lang w:eastAsia="en-AU"/>
              </w:rPr>
            </w:pPr>
            <w:r>
              <w:rPr>
                <w:rFonts w:ascii="Arial" w:hAnsi="Arial" w:cs="Arial"/>
              </w:rPr>
              <w:t>0</w:t>
            </w:r>
          </w:p>
        </w:tc>
      </w:tr>
      <w:tr w:rsidR="005177D6" w:rsidRPr="0094558B" w14:paraId="32ED62C4"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5177D6" w:rsidRPr="00640E37" w:rsidRDefault="005177D6" w:rsidP="005177D6">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tcPr>
          <w:p w14:paraId="117C86E6" w14:textId="2A6E31D0" w:rsidR="005177D6" w:rsidRPr="00D44DFE" w:rsidRDefault="005177D6" w:rsidP="005177D6">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714FF0B5" w14:textId="3A6D2367" w:rsidR="005177D6" w:rsidRPr="00D44DFE" w:rsidRDefault="005177D6" w:rsidP="005177D6">
            <w:pPr>
              <w:spacing w:line="240" w:lineRule="auto"/>
              <w:jc w:val="right"/>
              <w:rPr>
                <w:rFonts w:cs="Arial"/>
                <w:lang w:eastAsia="en-AU"/>
              </w:rPr>
            </w:pPr>
            <w:r w:rsidRPr="00A34423">
              <w:rPr>
                <w:rFonts w:cs="Arial"/>
                <w:lang w:eastAsia="en-AU"/>
              </w:rPr>
              <w:t>0</w:t>
            </w:r>
          </w:p>
        </w:tc>
        <w:tc>
          <w:tcPr>
            <w:tcW w:w="784" w:type="dxa"/>
            <w:tcBorders>
              <w:top w:val="nil"/>
              <w:left w:val="nil"/>
              <w:bottom w:val="single" w:sz="4" w:space="0" w:color="auto"/>
              <w:right w:val="single" w:sz="4" w:space="0" w:color="auto"/>
            </w:tcBorders>
          </w:tcPr>
          <w:p w14:paraId="22D230B7" w14:textId="37C8E97E" w:rsidR="005177D6" w:rsidRPr="00D44DFE" w:rsidRDefault="005177D6" w:rsidP="005177D6">
            <w:pPr>
              <w:spacing w:line="240" w:lineRule="auto"/>
              <w:jc w:val="right"/>
              <w:rPr>
                <w:rFonts w:cs="Arial"/>
                <w:lang w:eastAsia="en-AU"/>
              </w:rPr>
            </w:pPr>
            <w:r>
              <w:rPr>
                <w:rFonts w:cs="Arial"/>
                <w:lang w:eastAsia="en-AU"/>
              </w:rPr>
              <w:t>3</w:t>
            </w:r>
          </w:p>
        </w:tc>
        <w:tc>
          <w:tcPr>
            <w:tcW w:w="784" w:type="dxa"/>
            <w:tcBorders>
              <w:top w:val="nil"/>
              <w:left w:val="nil"/>
              <w:bottom w:val="single" w:sz="4" w:space="0" w:color="auto"/>
              <w:right w:val="single" w:sz="4" w:space="0" w:color="auto"/>
            </w:tcBorders>
          </w:tcPr>
          <w:p w14:paraId="74A391C0" w14:textId="22903FF4" w:rsidR="005177D6" w:rsidRPr="00D44DFE" w:rsidRDefault="005177D6" w:rsidP="005177D6">
            <w:pPr>
              <w:spacing w:line="240" w:lineRule="auto"/>
              <w:jc w:val="right"/>
              <w:rPr>
                <w:rFonts w:cs="Arial"/>
                <w:lang w:eastAsia="en-AU"/>
              </w:rPr>
            </w:pPr>
            <w:r>
              <w:rPr>
                <w:rFonts w:cs="Arial"/>
                <w:lang w:eastAsia="en-AU"/>
              </w:rPr>
              <w:t>0</w:t>
            </w:r>
          </w:p>
        </w:tc>
        <w:tc>
          <w:tcPr>
            <w:tcW w:w="784" w:type="dxa"/>
            <w:tcBorders>
              <w:top w:val="single" w:sz="4" w:space="0" w:color="auto"/>
              <w:left w:val="nil"/>
              <w:bottom w:val="single" w:sz="4" w:space="0" w:color="auto"/>
              <w:right w:val="single" w:sz="4" w:space="0" w:color="auto"/>
            </w:tcBorders>
          </w:tcPr>
          <w:p w14:paraId="4C244E4E" w14:textId="37DEC6D3" w:rsidR="005177D6" w:rsidRPr="00DA793B" w:rsidRDefault="005177D6" w:rsidP="005177D6">
            <w:pPr>
              <w:spacing w:line="240" w:lineRule="auto"/>
              <w:jc w:val="right"/>
              <w:rPr>
                <w:rFonts w:cs="Arial"/>
                <w:lang w:eastAsia="en-AU"/>
              </w:rPr>
            </w:pPr>
            <w:r>
              <w:rPr>
                <w:rFonts w:ascii="Arial" w:hAnsi="Arial" w:cs="Arial"/>
              </w:rPr>
              <w:t>0</w:t>
            </w:r>
          </w:p>
        </w:tc>
      </w:tr>
      <w:tr w:rsidR="005177D6" w:rsidRPr="0094558B" w14:paraId="25571DA3"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5177D6" w:rsidRDefault="005177D6" w:rsidP="005177D6">
            <w:pPr>
              <w:spacing w:line="240" w:lineRule="auto"/>
            </w:pPr>
            <w:r>
              <w:t>Mossman Gorge</w:t>
            </w:r>
          </w:p>
        </w:tc>
        <w:tc>
          <w:tcPr>
            <w:tcW w:w="784" w:type="dxa"/>
            <w:tcBorders>
              <w:top w:val="nil"/>
              <w:left w:val="nil"/>
              <w:bottom w:val="single" w:sz="4" w:space="0" w:color="auto"/>
              <w:right w:val="single" w:sz="4" w:space="0" w:color="auto"/>
            </w:tcBorders>
            <w:shd w:val="clear" w:color="auto" w:fill="auto"/>
          </w:tcPr>
          <w:p w14:paraId="10DCFD57" w14:textId="6ED93B4F" w:rsidR="005177D6" w:rsidRPr="00D44DFE" w:rsidRDefault="005177D6" w:rsidP="005177D6">
            <w:pPr>
              <w:spacing w:line="240" w:lineRule="auto"/>
              <w:jc w:val="right"/>
              <w:rPr>
                <w:rFonts w:cs="Arial"/>
              </w:rPr>
            </w:pPr>
            <w:r w:rsidRPr="00D44DFE">
              <w:rPr>
                <w:rFonts w:cs="Arial"/>
              </w:rPr>
              <w:t>2</w:t>
            </w:r>
          </w:p>
        </w:tc>
        <w:tc>
          <w:tcPr>
            <w:tcW w:w="784" w:type="dxa"/>
            <w:tcBorders>
              <w:top w:val="nil"/>
              <w:left w:val="nil"/>
              <w:bottom w:val="single" w:sz="4" w:space="0" w:color="auto"/>
              <w:right w:val="single" w:sz="4" w:space="0" w:color="auto"/>
            </w:tcBorders>
            <w:shd w:val="clear" w:color="auto" w:fill="auto"/>
          </w:tcPr>
          <w:p w14:paraId="08EFB78B" w14:textId="0FCA0FAB" w:rsidR="005177D6" w:rsidRPr="00D44DFE" w:rsidRDefault="005177D6" w:rsidP="005177D6">
            <w:pPr>
              <w:spacing w:line="240" w:lineRule="auto"/>
              <w:jc w:val="right"/>
              <w:rPr>
                <w:rFonts w:cs="Arial"/>
              </w:rPr>
            </w:pPr>
            <w:r w:rsidRPr="00A34423">
              <w:rPr>
                <w:rFonts w:cs="Arial"/>
              </w:rPr>
              <w:t>1</w:t>
            </w:r>
          </w:p>
        </w:tc>
        <w:tc>
          <w:tcPr>
            <w:tcW w:w="784" w:type="dxa"/>
            <w:tcBorders>
              <w:top w:val="nil"/>
              <w:left w:val="nil"/>
              <w:bottom w:val="single" w:sz="4" w:space="0" w:color="auto"/>
              <w:right w:val="single" w:sz="4" w:space="0" w:color="auto"/>
            </w:tcBorders>
          </w:tcPr>
          <w:p w14:paraId="6F61072A" w14:textId="6FBB237B" w:rsidR="005177D6" w:rsidRPr="00D44DFE" w:rsidRDefault="005177D6" w:rsidP="005177D6">
            <w:pPr>
              <w:spacing w:line="240" w:lineRule="auto"/>
              <w:jc w:val="right"/>
              <w:rPr>
                <w:rFonts w:cs="Arial"/>
              </w:rPr>
            </w:pPr>
            <w:r>
              <w:rPr>
                <w:rFonts w:cs="Arial"/>
                <w:lang w:eastAsia="en-AU"/>
              </w:rPr>
              <w:t>1</w:t>
            </w:r>
          </w:p>
        </w:tc>
        <w:tc>
          <w:tcPr>
            <w:tcW w:w="784" w:type="dxa"/>
            <w:tcBorders>
              <w:top w:val="nil"/>
              <w:left w:val="nil"/>
              <w:bottom w:val="single" w:sz="4" w:space="0" w:color="auto"/>
              <w:right w:val="single" w:sz="4" w:space="0" w:color="auto"/>
            </w:tcBorders>
          </w:tcPr>
          <w:p w14:paraId="785CD4E2" w14:textId="1B9FD616" w:rsidR="005177D6" w:rsidRPr="00D44DFE" w:rsidRDefault="005177D6" w:rsidP="005177D6">
            <w:pPr>
              <w:spacing w:line="240" w:lineRule="auto"/>
              <w:jc w:val="right"/>
              <w:rPr>
                <w:rFonts w:cs="Arial"/>
              </w:rPr>
            </w:pPr>
            <w:r>
              <w:rPr>
                <w:rFonts w:cs="Arial"/>
                <w:lang w:eastAsia="en-AU"/>
              </w:rPr>
              <w:t>0</w:t>
            </w:r>
          </w:p>
        </w:tc>
        <w:tc>
          <w:tcPr>
            <w:tcW w:w="784" w:type="dxa"/>
            <w:tcBorders>
              <w:top w:val="single" w:sz="4" w:space="0" w:color="auto"/>
              <w:left w:val="nil"/>
              <w:bottom w:val="single" w:sz="4" w:space="0" w:color="auto"/>
              <w:right w:val="single" w:sz="4" w:space="0" w:color="auto"/>
            </w:tcBorders>
          </w:tcPr>
          <w:p w14:paraId="6142FC7D" w14:textId="787E6D15" w:rsidR="005177D6" w:rsidRPr="00DA793B" w:rsidRDefault="005177D6" w:rsidP="005177D6">
            <w:pPr>
              <w:spacing w:line="240" w:lineRule="auto"/>
              <w:jc w:val="right"/>
              <w:rPr>
                <w:rFonts w:cs="Arial"/>
                <w:lang w:eastAsia="en-AU"/>
              </w:rPr>
            </w:pPr>
            <w:r>
              <w:rPr>
                <w:rFonts w:ascii="Arial" w:hAnsi="Arial" w:cs="Arial"/>
              </w:rPr>
              <w:t>1</w:t>
            </w:r>
          </w:p>
        </w:tc>
      </w:tr>
      <w:tr w:rsidR="005177D6" w:rsidRPr="0094558B" w14:paraId="66769C8F"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5177D6" w:rsidRPr="00557E24" w:rsidRDefault="005177D6" w:rsidP="005177D6">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tcPr>
          <w:p w14:paraId="15896D5C" w14:textId="2B2E774D" w:rsidR="005177D6" w:rsidRPr="00D44DFE" w:rsidRDefault="005177D6" w:rsidP="005177D6">
            <w:pPr>
              <w:spacing w:line="240" w:lineRule="auto"/>
              <w:jc w:val="right"/>
              <w:rPr>
                <w:rFonts w:cs="Arial"/>
                <w:b/>
                <w:lang w:eastAsia="en-AU"/>
              </w:rPr>
            </w:pPr>
            <w:r w:rsidRPr="00D44DFE">
              <w:rPr>
                <w:rFonts w:cs="Arial"/>
                <w:b/>
                <w:bCs/>
              </w:rPr>
              <w:t>3</w:t>
            </w:r>
          </w:p>
        </w:tc>
        <w:tc>
          <w:tcPr>
            <w:tcW w:w="784" w:type="dxa"/>
            <w:tcBorders>
              <w:top w:val="single" w:sz="4" w:space="0" w:color="auto"/>
              <w:left w:val="nil"/>
              <w:bottom w:val="single" w:sz="4" w:space="0" w:color="auto"/>
              <w:right w:val="single" w:sz="4" w:space="0" w:color="auto"/>
            </w:tcBorders>
            <w:shd w:val="clear" w:color="auto" w:fill="auto"/>
          </w:tcPr>
          <w:p w14:paraId="54350CFB" w14:textId="0F302D53" w:rsidR="005177D6" w:rsidRPr="00D44DFE" w:rsidRDefault="005177D6" w:rsidP="005177D6">
            <w:pPr>
              <w:spacing w:line="240" w:lineRule="auto"/>
              <w:jc w:val="right"/>
              <w:rPr>
                <w:rFonts w:cs="Arial"/>
                <w:b/>
                <w:lang w:eastAsia="en-AU"/>
              </w:rPr>
            </w:pPr>
            <w:r>
              <w:rPr>
                <w:rFonts w:cs="Arial"/>
                <w:b/>
                <w:lang w:eastAsia="en-AU"/>
              </w:rPr>
              <w:t>3</w:t>
            </w:r>
          </w:p>
        </w:tc>
        <w:tc>
          <w:tcPr>
            <w:tcW w:w="784" w:type="dxa"/>
            <w:tcBorders>
              <w:top w:val="single" w:sz="4" w:space="0" w:color="auto"/>
              <w:left w:val="nil"/>
              <w:bottom w:val="single" w:sz="4" w:space="0" w:color="auto"/>
              <w:right w:val="single" w:sz="4" w:space="0" w:color="auto"/>
            </w:tcBorders>
          </w:tcPr>
          <w:p w14:paraId="123FD99F" w14:textId="41A165D9" w:rsidR="005177D6" w:rsidRPr="00D44DFE" w:rsidRDefault="005177D6" w:rsidP="005177D6">
            <w:pPr>
              <w:spacing w:line="240" w:lineRule="auto"/>
              <w:jc w:val="right"/>
              <w:rPr>
                <w:rFonts w:cs="Arial"/>
                <w:b/>
                <w:lang w:eastAsia="en-AU"/>
              </w:rPr>
            </w:pPr>
            <w:r w:rsidRPr="00DA793B">
              <w:rPr>
                <w:rFonts w:cs="Arial"/>
                <w:b/>
                <w:bCs/>
                <w:lang w:eastAsia="en-AU"/>
              </w:rPr>
              <w:t>11</w:t>
            </w:r>
          </w:p>
        </w:tc>
        <w:tc>
          <w:tcPr>
            <w:tcW w:w="784" w:type="dxa"/>
            <w:tcBorders>
              <w:top w:val="single" w:sz="4" w:space="0" w:color="auto"/>
              <w:left w:val="nil"/>
              <w:bottom w:val="single" w:sz="4" w:space="0" w:color="auto"/>
              <w:right w:val="single" w:sz="4" w:space="0" w:color="auto"/>
            </w:tcBorders>
          </w:tcPr>
          <w:p w14:paraId="368C5379" w14:textId="3FAE58DD" w:rsidR="005177D6" w:rsidRPr="00D44DFE" w:rsidRDefault="005177D6" w:rsidP="005177D6">
            <w:pPr>
              <w:spacing w:line="240" w:lineRule="auto"/>
              <w:jc w:val="right"/>
              <w:rPr>
                <w:rFonts w:cs="Arial"/>
                <w:b/>
                <w:lang w:eastAsia="en-AU"/>
              </w:rPr>
            </w:pPr>
            <w:r>
              <w:rPr>
                <w:rFonts w:cs="Arial"/>
                <w:b/>
                <w:bCs/>
                <w:lang w:eastAsia="en-AU"/>
              </w:rPr>
              <w:t>1</w:t>
            </w:r>
          </w:p>
        </w:tc>
        <w:tc>
          <w:tcPr>
            <w:tcW w:w="784" w:type="dxa"/>
            <w:tcBorders>
              <w:top w:val="single" w:sz="4" w:space="0" w:color="auto"/>
              <w:left w:val="nil"/>
              <w:bottom w:val="single" w:sz="4" w:space="0" w:color="auto"/>
              <w:right w:val="single" w:sz="4" w:space="0" w:color="auto"/>
            </w:tcBorders>
          </w:tcPr>
          <w:p w14:paraId="7FBB1318" w14:textId="252BB611" w:rsidR="005177D6" w:rsidRPr="00DA793B" w:rsidRDefault="005177D6" w:rsidP="005177D6">
            <w:pPr>
              <w:spacing w:line="240" w:lineRule="auto"/>
              <w:jc w:val="right"/>
              <w:rPr>
                <w:rFonts w:cs="Arial"/>
                <w:b/>
                <w:bCs/>
                <w:lang w:eastAsia="en-AU"/>
              </w:rPr>
            </w:pPr>
            <w:r>
              <w:rPr>
                <w:rFonts w:ascii="Arial" w:hAnsi="Arial" w:cs="Arial"/>
                <w:b/>
                <w:bCs/>
              </w:rPr>
              <w:t>2</w:t>
            </w:r>
          </w:p>
        </w:tc>
      </w:tr>
    </w:tbl>
    <w:p w14:paraId="5EFCCF6A" w14:textId="77777777" w:rsidR="007460C6" w:rsidRPr="007460C6" w:rsidRDefault="007460C6" w:rsidP="007460C6"/>
    <w:p w14:paraId="7FFABCD2" w14:textId="77777777" w:rsidR="001C1B82" w:rsidRDefault="001C1B82">
      <w:pPr>
        <w:spacing w:line="240" w:lineRule="auto"/>
        <w:rPr>
          <w:rFonts w:cs="Arial"/>
          <w:b/>
          <w:bCs/>
          <w:spacing w:val="-4"/>
          <w:kern w:val="28"/>
        </w:rPr>
      </w:pPr>
      <w:r>
        <w:br w:type="page"/>
      </w:r>
    </w:p>
    <w:p w14:paraId="36B5CDB3" w14:textId="6BCF04DF" w:rsidR="00AC7F6B" w:rsidRPr="002D4651" w:rsidRDefault="00AC7F6B" w:rsidP="00AE5461">
      <w:pPr>
        <w:pStyle w:val="Heading2"/>
      </w:pPr>
      <w:r>
        <w:lastRenderedPageBreak/>
        <w:t>Voluntary self-r</w:t>
      </w:r>
      <w:r w:rsidRPr="002D4651">
        <w:t>eferrals</w:t>
      </w:r>
      <w:r>
        <w:t xml:space="preserve"> from clients to the Commission</w:t>
      </w:r>
    </w:p>
    <w:p w14:paraId="77A10D70" w14:textId="35E6D1B1"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w:t>
      </w:r>
      <w:r w:rsidR="005E1684">
        <w:rPr>
          <w:rFonts w:cs="Arial"/>
        </w:rPr>
        <w:t>55</w:t>
      </w:r>
      <w:r w:rsidR="00F45BD7">
        <w:rPr>
          <w:rFonts w:cs="Arial"/>
        </w:rPr>
        <w:t>,</w:t>
      </w:r>
      <w:r>
        <w:rPr>
          <w:rFonts w:cs="Arial"/>
        </w:rPr>
        <w:t xml:space="preserve"> </w:t>
      </w:r>
      <w:r w:rsidR="00811386">
        <w:rPr>
          <w:rFonts w:cs="Arial"/>
        </w:rPr>
        <w:t>1</w:t>
      </w:r>
      <w:r w:rsidR="001838E5">
        <w:rPr>
          <w:rFonts w:cs="Arial"/>
        </w:rPr>
        <w:t>0</w:t>
      </w:r>
      <w:r w:rsidR="00945E64">
        <w:rPr>
          <w:rFonts w:cs="Arial"/>
        </w:rPr>
        <w:t xml:space="preserve"> </w:t>
      </w:r>
      <w:r>
        <w:rPr>
          <w:rFonts w:cs="Arial"/>
        </w:rPr>
        <w:t>voluntary agreement</w:t>
      </w:r>
      <w:r w:rsidR="001838E5">
        <w:rPr>
          <w:rFonts w:cs="Arial"/>
        </w:rPr>
        <w:t>s</w:t>
      </w:r>
      <w:r>
        <w:rPr>
          <w:rFonts w:cs="Arial"/>
        </w:rPr>
        <w:t xml:space="preserve"> </w:t>
      </w:r>
      <w:r w:rsidR="001838E5">
        <w:rPr>
          <w:rFonts w:cs="Arial"/>
        </w:rPr>
        <w:t xml:space="preserve">were </w:t>
      </w:r>
      <w:r>
        <w:rPr>
          <w:rFonts w:cs="Arial"/>
        </w:rPr>
        <w:t>entered into for</w:t>
      </w:r>
      <w:r w:rsidR="00E8768E">
        <w:rPr>
          <w:rFonts w:cs="Arial"/>
        </w:rPr>
        <w:t xml:space="preserve"> the</w:t>
      </w:r>
      <w:r>
        <w:rPr>
          <w:rFonts w:cs="Arial"/>
        </w:rPr>
        <w:t xml:space="preserve"> client to attend community support services under a case plan. Although the number of clients who have engaged with the FRC on a voluntary basis remain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654755D2" w14:textId="77777777" w:rsidR="00AC7F6B" w:rsidRDefault="00AC7F6B" w:rsidP="00AE5461">
      <w:pPr>
        <w:pStyle w:val="Heading2"/>
      </w:pPr>
    </w:p>
    <w:p w14:paraId="21435433" w14:textId="67F0DB95" w:rsidR="00EC3C3E" w:rsidRPr="006524B7" w:rsidRDefault="00D802EF" w:rsidP="00AE5461">
      <w:pPr>
        <w:pStyle w:val="Heading2"/>
      </w:pPr>
      <w:r w:rsidRPr="00113244">
        <w:t>Voluntary</w:t>
      </w:r>
      <w:r w:rsidR="00EC3C3E" w:rsidRPr="00113244">
        <w:t xml:space="preserve"> </w:t>
      </w:r>
      <w:r w:rsidR="00334F4D">
        <w:t>Income Management</w:t>
      </w:r>
    </w:p>
    <w:p w14:paraId="2F01F04F" w14:textId="28243755"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1838E5">
        <w:rPr>
          <w:rFonts w:cs="Arial"/>
        </w:rPr>
        <w:t xml:space="preserve">16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4E765A">
        <w:rPr>
          <w:rFonts w:cs="Arial"/>
        </w:rPr>
        <w:t xml:space="preserve">three </w:t>
      </w:r>
      <w:r w:rsidR="004E765A" w:rsidRPr="009C5078">
        <w:rPr>
          <w:rFonts w:cs="Arial"/>
        </w:rPr>
        <w:t>quarters of clients electing to have</w:t>
      </w:r>
      <w:r w:rsidR="000F0D55" w:rsidRPr="009C5078">
        <w:rPr>
          <w:rFonts w:cs="Arial"/>
        </w:rPr>
        <w:t xml:space="preserve"> 60 percent</w:t>
      </w:r>
      <w:r w:rsidR="004E765A" w:rsidRPr="009C5078">
        <w:rPr>
          <w:rFonts w:cs="Arial"/>
        </w:rPr>
        <w:t xml:space="preserve"> of their welfare payments</w:t>
      </w:r>
      <w:r w:rsidR="000F0D55" w:rsidRPr="009C5078">
        <w:rPr>
          <w:rFonts w:cs="Arial"/>
        </w:rPr>
        <w:t xml:space="preserve"> voluntar</w:t>
      </w:r>
      <w:r w:rsidR="004E765A" w:rsidRPr="009C5078">
        <w:rPr>
          <w:rFonts w:cs="Arial"/>
        </w:rPr>
        <w:t>ily</w:t>
      </w:r>
      <w:r w:rsidR="000F0D55" w:rsidRPr="009C5078">
        <w:rPr>
          <w:rFonts w:cs="Arial"/>
        </w:rPr>
        <w:t xml:space="preserve"> income manag</w:t>
      </w:r>
      <w:r w:rsidR="004E765A" w:rsidRPr="009C5078">
        <w:rPr>
          <w:rFonts w:cs="Arial"/>
        </w:rPr>
        <w:t>ed</w:t>
      </w:r>
      <w:r w:rsidR="00AE4A0C" w:rsidRPr="009C5078">
        <w:rPr>
          <w:rFonts w:cs="Arial"/>
        </w:rPr>
        <w:t xml:space="preserve"> (see </w:t>
      </w:r>
      <w:r w:rsidR="00BB6750">
        <w:rPr>
          <w:rFonts w:cs="Arial"/>
        </w:rPr>
        <w:t>Table 24</w:t>
      </w:r>
      <w:r w:rsidR="00AE4A0C" w:rsidRPr="009C5078">
        <w:rPr>
          <w:rFonts w:cs="Arial"/>
        </w:rPr>
        <w:t>)</w:t>
      </w:r>
      <w:r w:rsidR="004E765A" w:rsidRPr="009C5078">
        <w:rPr>
          <w:rFonts w:cs="Arial"/>
        </w:rPr>
        <w:t>.</w:t>
      </w:r>
      <w:r w:rsidR="000F0D55" w:rsidRPr="009C5078">
        <w:rPr>
          <w:rFonts w:cs="Arial"/>
        </w:rPr>
        <w:t xml:space="preserve"> </w:t>
      </w:r>
      <w:r w:rsidR="00AE4A0C" w:rsidRPr="009C5078">
        <w:rPr>
          <w:rFonts w:cs="Arial"/>
        </w:rPr>
        <w:t xml:space="preserve">Clients also showed a preference to be subjected to income management for longer durations (see </w:t>
      </w:r>
      <w:r w:rsidR="00BB6750">
        <w:rPr>
          <w:rFonts w:cs="Arial"/>
        </w:rPr>
        <w:t>Table 22</w:t>
      </w:r>
      <w:r w:rsidR="00AE4A0C" w:rsidRPr="009C5078">
        <w:rPr>
          <w:rFonts w:cs="Arial"/>
        </w:rPr>
        <w:t xml:space="preserve">). </w:t>
      </w:r>
      <w:r w:rsidR="000F0D55">
        <w:rPr>
          <w:rFonts w:cs="Arial"/>
        </w:rPr>
        <w:t>S</w:t>
      </w:r>
      <w:r w:rsidR="00D802EF">
        <w:rPr>
          <w:rFonts w:cs="Arial"/>
        </w:rPr>
        <w:t xml:space="preserve">ince the commencement of the Commission in 2008, </w:t>
      </w:r>
      <w:r w:rsidR="001838E5">
        <w:rPr>
          <w:rFonts w:cs="Arial"/>
        </w:rPr>
        <w:t xml:space="preserve">292 </w:t>
      </w:r>
      <w:r w:rsidR="00D802EF">
        <w:rPr>
          <w:rFonts w:cs="Arial"/>
        </w:rPr>
        <w:t>clients</w:t>
      </w:r>
      <w:r w:rsidR="00E26269">
        <w:rPr>
          <w:rFonts w:cs="Arial"/>
        </w:rPr>
        <w:t xml:space="preserve"> </w:t>
      </w:r>
      <w:r w:rsidR="00B32201" w:rsidRPr="007C7A9E">
        <w:rPr>
          <w:rFonts w:cs="Arial"/>
        </w:rPr>
        <w:t>(</w:t>
      </w:r>
      <w:r w:rsidR="007E68A8">
        <w:rPr>
          <w:rFonts w:cs="Arial"/>
        </w:rPr>
        <w:t>18</w:t>
      </w:r>
      <w:r w:rsidR="001838E5">
        <w:rPr>
          <w:rFonts w:cs="Arial"/>
        </w:rPr>
        <w:t>5</w:t>
      </w:r>
      <w:r w:rsidR="007E68A8">
        <w:rPr>
          <w:rFonts w:cs="Arial"/>
        </w:rPr>
        <w:t xml:space="preserve"> </w:t>
      </w:r>
      <w:r w:rsidR="00794683">
        <w:rPr>
          <w:rFonts w:cs="Arial"/>
        </w:rPr>
        <w:t xml:space="preserve">female and </w:t>
      </w:r>
      <w:r w:rsidR="003C599E">
        <w:rPr>
          <w:rFonts w:cs="Arial"/>
        </w:rPr>
        <w:t>10</w:t>
      </w:r>
      <w:r w:rsidR="001838E5">
        <w:rPr>
          <w:rFonts w:cs="Arial"/>
        </w:rPr>
        <w:t>7</w:t>
      </w:r>
      <w:r w:rsidR="003C599E">
        <w:rPr>
          <w:rFonts w:cs="Arial"/>
        </w:rPr>
        <w:t xml:space="preserve"> </w:t>
      </w:r>
      <w:r w:rsidR="00794683">
        <w:rPr>
          <w:rFonts w:cs="Arial"/>
        </w:rPr>
        <w:t xml:space="preserve">male) </w:t>
      </w:r>
      <w:r w:rsidR="00D802EF">
        <w:rPr>
          <w:rFonts w:cs="Arial"/>
        </w:rPr>
        <w:t>have had an active VIM agreement</w:t>
      </w:r>
      <w:r w:rsidR="005A6206">
        <w:rPr>
          <w:rFonts w:cs="Arial"/>
        </w:rPr>
        <w:t xml:space="preserve">. </w:t>
      </w:r>
      <w:r w:rsidR="00D30730" w:rsidRPr="00C313D5">
        <w:rPr>
          <w:rFonts w:cs="Arial"/>
        </w:rPr>
        <w:t xml:space="preserve">As at </w:t>
      </w:r>
      <w:r w:rsidR="00F83C14">
        <w:rPr>
          <w:rFonts w:cs="Arial"/>
        </w:rPr>
        <w:t>3</w:t>
      </w:r>
      <w:r w:rsidR="007E68A8">
        <w:rPr>
          <w:rFonts w:cs="Arial"/>
        </w:rPr>
        <w:t xml:space="preserve">1 </w:t>
      </w:r>
      <w:r w:rsidR="001A5C4C">
        <w:rPr>
          <w:rFonts w:cs="Arial"/>
        </w:rPr>
        <w:t>March 2022</w:t>
      </w:r>
      <w:r w:rsidR="00D30730" w:rsidRPr="00C313D5">
        <w:rPr>
          <w:rFonts w:cs="Arial"/>
        </w:rPr>
        <w:t xml:space="preserve"> there were </w:t>
      </w:r>
      <w:r w:rsidR="001838E5">
        <w:rPr>
          <w:rFonts w:cs="Arial"/>
        </w:rPr>
        <w:t>83</w:t>
      </w:r>
      <w:r w:rsidR="001838E5" w:rsidRPr="002925DB">
        <w:rPr>
          <w:rFonts w:cs="Arial"/>
        </w:rPr>
        <w:t xml:space="preserve"> </w:t>
      </w:r>
      <w:r w:rsidR="00D30730" w:rsidRPr="002925DB">
        <w:rPr>
          <w:rFonts w:cs="Arial"/>
        </w:rPr>
        <w:t>clients</w:t>
      </w:r>
      <w:r w:rsidR="00D30730" w:rsidRPr="00C313D5">
        <w:rPr>
          <w:rFonts w:cs="Arial"/>
        </w:rPr>
        <w:t xml:space="preserve">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7847CF">
        <w:rPr>
          <w:rFonts w:cs="Arial"/>
        </w:rPr>
        <w:t>.</w:t>
      </w:r>
      <w:r w:rsidR="0090496B">
        <w:rPr>
          <w:rFonts w:cs="Arial"/>
        </w:rPr>
        <w:t xml:space="preserve"> The growth in the number of community members willing to enter into a VIM agreement</w:t>
      </w:r>
      <w:r w:rsidR="009C2950">
        <w:rPr>
          <w:rFonts w:cs="Arial"/>
        </w:rPr>
        <w:t xml:space="preserve"> continues to exceed levels reported in periods prior to the introduction of the Cashless Debit Card (CDC) in March 2021</w:t>
      </w:r>
      <w:r w:rsidR="00C14593">
        <w:rPr>
          <w:rFonts w:cs="Arial"/>
        </w:rPr>
        <w:t xml:space="preserve"> (see </w:t>
      </w:r>
      <w:r w:rsidR="002925DB">
        <w:rPr>
          <w:rFonts w:cs="Arial"/>
        </w:rPr>
        <w:t>section</w:t>
      </w:r>
      <w:r w:rsidR="00C14593">
        <w:rPr>
          <w:rFonts w:cs="Arial"/>
        </w:rPr>
        <w:t xml:space="preserve"> below </w:t>
      </w:r>
      <w:r w:rsidR="00DC3E72">
        <w:rPr>
          <w:rFonts w:cs="Arial"/>
        </w:rPr>
        <w:t xml:space="preserve">on the </w:t>
      </w:r>
      <w:r w:rsidR="00C14593">
        <w:rPr>
          <w:rFonts w:cs="Arial"/>
        </w:rPr>
        <w:t xml:space="preserve">Status of </w:t>
      </w:r>
      <w:r w:rsidR="00DC3E72">
        <w:rPr>
          <w:rFonts w:cs="Arial"/>
        </w:rPr>
        <w:t xml:space="preserve">the </w:t>
      </w:r>
      <w:r w:rsidR="00C14593">
        <w:rPr>
          <w:rFonts w:cs="Arial"/>
        </w:rPr>
        <w:t>CD</w:t>
      </w:r>
      <w:r w:rsidR="00DC3E72">
        <w:rPr>
          <w:rFonts w:cs="Arial"/>
        </w:rPr>
        <w:t>C).</w:t>
      </w:r>
    </w:p>
    <w:p w14:paraId="45432E30" w14:textId="1B99792C" w:rsidR="006B6030" w:rsidRDefault="006B6030" w:rsidP="005A02C1">
      <w:pPr>
        <w:ind w:left="-142" w:right="-425"/>
        <w:jc w:val="both"/>
        <w:rPr>
          <w:rFonts w:cs="Arial"/>
        </w:rPr>
      </w:pPr>
    </w:p>
    <w:p w14:paraId="1087AFFD" w14:textId="1FE27970"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5E1684">
        <w:rPr>
          <w:rFonts w:cs="Arial"/>
          <w:b/>
          <w:bCs/>
        </w:rPr>
        <w:t>55</w:t>
      </w:r>
    </w:p>
    <w:p w14:paraId="40773987" w14:textId="77382DED" w:rsidR="003833F9" w:rsidRDefault="001838E5" w:rsidP="003833F9">
      <w:pPr>
        <w:ind w:left="-142" w:right="-425"/>
        <w:jc w:val="both"/>
        <w:rPr>
          <w:rFonts w:cs="Arial"/>
        </w:rPr>
      </w:pPr>
      <w:r>
        <w:rPr>
          <w:rFonts w:cs="Arial"/>
        </w:rPr>
        <w:t>Twenty</w:t>
      </w:r>
      <w:r w:rsidR="000101BA">
        <w:rPr>
          <w:rFonts w:cs="Arial"/>
        </w:rPr>
        <w:t>-two</w:t>
      </w:r>
      <w:r w:rsidR="003833F9">
        <w:rPr>
          <w:rFonts w:cs="Arial"/>
        </w:rPr>
        <w:t xml:space="preserve"> Cashless Debit Cards </w:t>
      </w:r>
      <w:r w:rsidR="00386ABC">
        <w:rPr>
          <w:rFonts w:cs="Arial"/>
        </w:rPr>
        <w:t>(</w:t>
      </w:r>
      <w:r w:rsidR="0036655C">
        <w:rPr>
          <w:rFonts w:cs="Arial"/>
        </w:rPr>
        <w:t>6</w:t>
      </w:r>
      <w:r>
        <w:rPr>
          <w:rFonts w:cs="Arial"/>
        </w:rPr>
        <w:t xml:space="preserve"> </w:t>
      </w:r>
      <w:r w:rsidR="00386ABC">
        <w:rPr>
          <w:rFonts w:cs="Arial"/>
        </w:rPr>
        <w:t xml:space="preserve">for CIM and </w:t>
      </w:r>
      <w:r w:rsidR="0036655C">
        <w:rPr>
          <w:rFonts w:cs="Arial"/>
        </w:rPr>
        <w:t xml:space="preserve">16 </w:t>
      </w:r>
      <w:r w:rsidR="00386ABC">
        <w:rPr>
          <w:rFonts w:cs="Arial"/>
        </w:rPr>
        <w:t xml:space="preserve">for VIM) </w:t>
      </w:r>
      <w:r w:rsidR="003833F9">
        <w:rPr>
          <w:rFonts w:cs="Arial"/>
        </w:rPr>
        <w:t xml:space="preserve">were processed for the period 1 </w:t>
      </w:r>
      <w:r w:rsidR="00415BC8">
        <w:rPr>
          <w:rFonts w:cs="Arial"/>
        </w:rPr>
        <w:t>January 2022</w:t>
      </w:r>
      <w:r w:rsidR="003833F9">
        <w:rPr>
          <w:rFonts w:cs="Arial"/>
        </w:rPr>
        <w:t xml:space="preserve"> to 3</w:t>
      </w:r>
      <w:r w:rsidR="000101BA">
        <w:rPr>
          <w:rFonts w:cs="Arial"/>
        </w:rPr>
        <w:t xml:space="preserve">1 </w:t>
      </w:r>
      <w:r w:rsidR="001A5C4C">
        <w:rPr>
          <w:rFonts w:cs="Arial"/>
        </w:rPr>
        <w:t>March 2022</w:t>
      </w:r>
      <w:r w:rsidR="003833F9">
        <w:rPr>
          <w:rFonts w:cs="Arial"/>
        </w:rPr>
        <w:t>, including orders and agreements that were still awaiting Centrelink action as at 3</w:t>
      </w:r>
      <w:r w:rsidR="000101BA">
        <w:rPr>
          <w:rFonts w:cs="Arial"/>
        </w:rPr>
        <w:t xml:space="preserve">1 </w:t>
      </w:r>
      <w:r w:rsidR="0036655C">
        <w:rPr>
          <w:rFonts w:cs="Arial"/>
        </w:rPr>
        <w:t>March</w:t>
      </w:r>
      <w:r w:rsidR="003833F9">
        <w:rPr>
          <w:rFonts w:cs="Arial"/>
        </w:rPr>
        <w:t>.</w:t>
      </w:r>
    </w:p>
    <w:p w14:paraId="4146C579" w14:textId="53128DD8" w:rsidR="0011770D" w:rsidRDefault="0011770D"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11770D" w14:paraId="592DC68E" w14:textId="77777777" w:rsidTr="006F4E59">
        <w:trPr>
          <w:trHeight w:val="278"/>
        </w:trPr>
        <w:tc>
          <w:tcPr>
            <w:tcW w:w="4106" w:type="dxa"/>
            <w:gridSpan w:val="2"/>
          </w:tcPr>
          <w:p w14:paraId="51657F84" w14:textId="7259F505" w:rsidR="0011770D" w:rsidRPr="002C0A49" w:rsidRDefault="0011770D" w:rsidP="006F4E59">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21</w:t>
            </w:r>
            <w:r w:rsidRPr="002C0A49">
              <w:rPr>
                <w:rFonts w:cs="Arial"/>
                <w:b/>
                <w:bCs/>
                <w:noProof/>
                <w:sz w:val="16"/>
                <w:szCs w:val="16"/>
              </w:rPr>
              <w:t>:</w:t>
            </w:r>
            <w:r w:rsidRPr="002C0A49">
              <w:rPr>
                <w:rFonts w:cs="Arial"/>
                <w:noProof/>
                <w:sz w:val="16"/>
                <w:szCs w:val="16"/>
              </w:rPr>
              <w:t xml:space="preserve"> Breakdown of CDC CIMs by duration 1 </w:t>
            </w:r>
            <w:r>
              <w:rPr>
                <w:rFonts w:cs="Arial"/>
                <w:noProof/>
                <w:sz w:val="16"/>
                <w:szCs w:val="16"/>
              </w:rPr>
              <w:t>January</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1 </w:t>
            </w:r>
            <w:r>
              <w:rPr>
                <w:rFonts w:cs="Arial"/>
                <w:noProof/>
                <w:sz w:val="16"/>
                <w:szCs w:val="16"/>
              </w:rPr>
              <w:t>March</w:t>
            </w:r>
            <w:r>
              <w:rPr>
                <w:rFonts w:cs="Arial"/>
                <w:noProof/>
                <w:sz w:val="16"/>
                <w:szCs w:val="16"/>
              </w:rPr>
              <w:t xml:space="preserve"> </w:t>
            </w:r>
            <w:r w:rsidRPr="002C0A49">
              <w:rPr>
                <w:rFonts w:cs="Arial"/>
                <w:noProof/>
                <w:sz w:val="16"/>
                <w:szCs w:val="16"/>
              </w:rPr>
              <w:t>202</w:t>
            </w:r>
            <w:r>
              <w:rPr>
                <w:rFonts w:cs="Arial"/>
                <w:noProof/>
                <w:sz w:val="16"/>
                <w:szCs w:val="16"/>
              </w:rPr>
              <w:t>2</w:t>
            </w:r>
          </w:p>
        </w:tc>
        <w:tc>
          <w:tcPr>
            <w:tcW w:w="709" w:type="dxa"/>
            <w:tcBorders>
              <w:top w:val="nil"/>
              <w:bottom w:val="nil"/>
            </w:tcBorders>
          </w:tcPr>
          <w:p w14:paraId="3DD9BE6C" w14:textId="77777777" w:rsidR="0011770D" w:rsidRDefault="0011770D" w:rsidP="006F4E59">
            <w:pPr>
              <w:rPr>
                <w:rFonts w:cs="Arial"/>
                <w:b/>
                <w:bCs/>
                <w:noProof/>
                <w:sz w:val="16"/>
                <w:szCs w:val="16"/>
              </w:rPr>
            </w:pPr>
          </w:p>
        </w:tc>
        <w:tc>
          <w:tcPr>
            <w:tcW w:w="4098" w:type="dxa"/>
            <w:gridSpan w:val="2"/>
          </w:tcPr>
          <w:p w14:paraId="656B1C69" w14:textId="68436756" w:rsidR="0011770D" w:rsidRPr="00E33A8C" w:rsidRDefault="0011770D" w:rsidP="006F4E59">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22</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1 </w:t>
            </w:r>
            <w:r>
              <w:rPr>
                <w:rFonts w:cs="Arial"/>
                <w:noProof/>
                <w:sz w:val="16"/>
                <w:szCs w:val="16"/>
              </w:rPr>
              <w:t>January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1 </w:t>
            </w:r>
            <w:r>
              <w:rPr>
                <w:rFonts w:cs="Arial"/>
                <w:noProof/>
                <w:sz w:val="16"/>
                <w:szCs w:val="16"/>
              </w:rPr>
              <w:t>March</w:t>
            </w:r>
            <w:r>
              <w:rPr>
                <w:rFonts w:cs="Arial"/>
                <w:noProof/>
                <w:sz w:val="16"/>
                <w:szCs w:val="16"/>
              </w:rPr>
              <w:t xml:space="preserve"> </w:t>
            </w:r>
            <w:r w:rsidRPr="00523A30">
              <w:rPr>
                <w:rFonts w:cs="Arial"/>
                <w:noProof/>
                <w:sz w:val="16"/>
                <w:szCs w:val="16"/>
              </w:rPr>
              <w:t>202</w:t>
            </w:r>
            <w:r>
              <w:rPr>
                <w:rFonts w:cs="Arial"/>
                <w:noProof/>
                <w:sz w:val="16"/>
                <w:szCs w:val="16"/>
              </w:rPr>
              <w:t>2</w:t>
            </w:r>
          </w:p>
        </w:tc>
      </w:tr>
      <w:tr w:rsidR="0011770D" w14:paraId="7AC58346" w14:textId="77777777" w:rsidTr="006F4E59">
        <w:trPr>
          <w:trHeight w:val="278"/>
        </w:trPr>
        <w:tc>
          <w:tcPr>
            <w:tcW w:w="2972" w:type="dxa"/>
            <w:vAlign w:val="center"/>
          </w:tcPr>
          <w:p w14:paraId="4C270A54" w14:textId="77777777" w:rsidR="0011770D" w:rsidRPr="00CB1588" w:rsidRDefault="0011770D" w:rsidP="006F4E59">
            <w:pPr>
              <w:rPr>
                <w:rFonts w:cs="Arial"/>
                <w:b/>
                <w:bCs/>
                <w:noProof/>
              </w:rPr>
            </w:pPr>
            <w:r w:rsidRPr="00CB1588">
              <w:rPr>
                <w:rFonts w:cs="Arial"/>
                <w:b/>
                <w:bCs/>
                <w:noProof/>
              </w:rPr>
              <w:t>CIM Duration</w:t>
            </w:r>
          </w:p>
        </w:tc>
        <w:tc>
          <w:tcPr>
            <w:tcW w:w="1134" w:type="dxa"/>
            <w:vAlign w:val="center"/>
          </w:tcPr>
          <w:p w14:paraId="10C42311" w14:textId="77777777" w:rsidR="0011770D" w:rsidRPr="00CB1588" w:rsidRDefault="0011770D" w:rsidP="006F4E59">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4F8201E4" w14:textId="77777777" w:rsidR="0011770D" w:rsidRDefault="0011770D" w:rsidP="006F4E59">
            <w:pPr>
              <w:rPr>
                <w:rFonts w:cs="Arial"/>
                <w:noProof/>
              </w:rPr>
            </w:pPr>
          </w:p>
        </w:tc>
        <w:tc>
          <w:tcPr>
            <w:tcW w:w="2977" w:type="dxa"/>
            <w:vAlign w:val="center"/>
          </w:tcPr>
          <w:p w14:paraId="498F62F1" w14:textId="77777777" w:rsidR="0011770D" w:rsidRPr="00CB1588" w:rsidRDefault="0011770D" w:rsidP="006F4E59">
            <w:pPr>
              <w:rPr>
                <w:rFonts w:cs="Arial"/>
                <w:b/>
                <w:bCs/>
                <w:noProof/>
              </w:rPr>
            </w:pPr>
            <w:r w:rsidRPr="00CB1588">
              <w:rPr>
                <w:rFonts w:cs="Arial"/>
                <w:b/>
                <w:bCs/>
                <w:noProof/>
              </w:rPr>
              <w:t>VIM Duration</w:t>
            </w:r>
          </w:p>
        </w:tc>
        <w:tc>
          <w:tcPr>
            <w:tcW w:w="1121" w:type="dxa"/>
            <w:vAlign w:val="center"/>
          </w:tcPr>
          <w:p w14:paraId="1CD38C99" w14:textId="77777777" w:rsidR="0011770D" w:rsidRPr="001D1C01" w:rsidRDefault="0011770D" w:rsidP="006F4E59">
            <w:pPr>
              <w:jc w:val="right"/>
              <w:rPr>
                <w:rFonts w:cs="Arial"/>
                <w:noProof/>
              </w:rPr>
            </w:pPr>
            <w:r>
              <w:rPr>
                <w:rFonts w:cs="Arial"/>
                <w:b/>
                <w:bCs/>
                <w:noProof/>
              </w:rPr>
              <w:t xml:space="preserve">% </w:t>
            </w:r>
            <w:r w:rsidRPr="00CB1588">
              <w:rPr>
                <w:rFonts w:cs="Arial"/>
                <w:b/>
                <w:bCs/>
                <w:noProof/>
              </w:rPr>
              <w:t>Split</w:t>
            </w:r>
          </w:p>
        </w:tc>
      </w:tr>
      <w:tr w:rsidR="0011770D" w14:paraId="79DE930C" w14:textId="77777777" w:rsidTr="006F4E59">
        <w:trPr>
          <w:trHeight w:val="278"/>
        </w:trPr>
        <w:tc>
          <w:tcPr>
            <w:tcW w:w="2972" w:type="dxa"/>
            <w:vAlign w:val="center"/>
          </w:tcPr>
          <w:p w14:paraId="064A0F64" w14:textId="77777777" w:rsidR="0011770D" w:rsidRPr="002819D6" w:rsidRDefault="0011770D" w:rsidP="006F4E59">
            <w:pPr>
              <w:rPr>
                <w:rFonts w:cs="Arial"/>
                <w:noProof/>
              </w:rPr>
            </w:pPr>
            <w:r w:rsidRPr="002819D6">
              <w:rPr>
                <w:rFonts w:cs="Arial"/>
                <w:noProof/>
              </w:rPr>
              <w:t>3 months</w:t>
            </w:r>
          </w:p>
        </w:tc>
        <w:tc>
          <w:tcPr>
            <w:tcW w:w="1134" w:type="dxa"/>
            <w:vAlign w:val="center"/>
          </w:tcPr>
          <w:p w14:paraId="623D25A6" w14:textId="5AC447BD" w:rsidR="0011770D" w:rsidRPr="001D1C01" w:rsidRDefault="00595975" w:rsidP="006F4E59">
            <w:pPr>
              <w:jc w:val="right"/>
              <w:rPr>
                <w:rFonts w:cs="Arial"/>
                <w:noProof/>
              </w:rPr>
            </w:pPr>
            <w:r>
              <w:rPr>
                <w:rFonts w:cs="Arial"/>
                <w:noProof/>
              </w:rPr>
              <w:t>50</w:t>
            </w:r>
            <w:r w:rsidR="0011770D" w:rsidRPr="001D1C01">
              <w:rPr>
                <w:rFonts w:cs="Arial"/>
                <w:noProof/>
              </w:rPr>
              <w:t>%</w:t>
            </w:r>
          </w:p>
        </w:tc>
        <w:tc>
          <w:tcPr>
            <w:tcW w:w="709" w:type="dxa"/>
            <w:tcBorders>
              <w:top w:val="nil"/>
              <w:bottom w:val="nil"/>
            </w:tcBorders>
          </w:tcPr>
          <w:p w14:paraId="5EDA4598" w14:textId="77777777" w:rsidR="0011770D" w:rsidRDefault="0011770D" w:rsidP="006F4E59">
            <w:pPr>
              <w:rPr>
                <w:rFonts w:cs="Arial"/>
                <w:noProof/>
              </w:rPr>
            </w:pPr>
          </w:p>
        </w:tc>
        <w:tc>
          <w:tcPr>
            <w:tcW w:w="2977" w:type="dxa"/>
            <w:vAlign w:val="center"/>
          </w:tcPr>
          <w:p w14:paraId="76ACAE75" w14:textId="77777777" w:rsidR="0011770D" w:rsidRPr="001D1C01" w:rsidRDefault="0011770D" w:rsidP="006F4E59">
            <w:pPr>
              <w:rPr>
                <w:rFonts w:cs="Arial"/>
                <w:noProof/>
              </w:rPr>
            </w:pPr>
            <w:r w:rsidRPr="001D1C01">
              <w:rPr>
                <w:rFonts w:cs="Arial"/>
                <w:noProof/>
              </w:rPr>
              <w:t>3 months</w:t>
            </w:r>
          </w:p>
        </w:tc>
        <w:tc>
          <w:tcPr>
            <w:tcW w:w="1121" w:type="dxa"/>
            <w:vAlign w:val="center"/>
          </w:tcPr>
          <w:p w14:paraId="59ADC154" w14:textId="20AA7BF0" w:rsidR="0011770D" w:rsidRPr="001D1C01" w:rsidRDefault="00595975" w:rsidP="006F4E59">
            <w:pPr>
              <w:jc w:val="right"/>
              <w:rPr>
                <w:rFonts w:cs="Arial"/>
                <w:noProof/>
              </w:rPr>
            </w:pPr>
            <w:r>
              <w:rPr>
                <w:rFonts w:cs="Arial"/>
                <w:noProof/>
              </w:rPr>
              <w:t>6</w:t>
            </w:r>
            <w:r w:rsidR="0011770D" w:rsidRPr="001D1C01">
              <w:rPr>
                <w:rFonts w:cs="Arial"/>
                <w:noProof/>
              </w:rPr>
              <w:t>%</w:t>
            </w:r>
          </w:p>
        </w:tc>
      </w:tr>
      <w:tr w:rsidR="0011770D" w14:paraId="711A809B" w14:textId="77777777" w:rsidTr="006F4E59">
        <w:trPr>
          <w:trHeight w:val="278"/>
        </w:trPr>
        <w:tc>
          <w:tcPr>
            <w:tcW w:w="2972" w:type="dxa"/>
            <w:vAlign w:val="center"/>
          </w:tcPr>
          <w:p w14:paraId="6ABC23E6" w14:textId="77777777" w:rsidR="0011770D" w:rsidRPr="002819D6" w:rsidRDefault="0011770D" w:rsidP="006F4E59">
            <w:pPr>
              <w:rPr>
                <w:rFonts w:cs="Arial"/>
                <w:noProof/>
              </w:rPr>
            </w:pPr>
            <w:r w:rsidRPr="002819D6">
              <w:rPr>
                <w:rFonts w:cs="Arial"/>
                <w:noProof/>
              </w:rPr>
              <w:t>6 months</w:t>
            </w:r>
          </w:p>
        </w:tc>
        <w:tc>
          <w:tcPr>
            <w:tcW w:w="1134" w:type="dxa"/>
            <w:vAlign w:val="center"/>
          </w:tcPr>
          <w:p w14:paraId="4EBA282A" w14:textId="52574298" w:rsidR="0011770D" w:rsidRPr="001D1C01" w:rsidRDefault="00595975" w:rsidP="006F4E59">
            <w:pPr>
              <w:jc w:val="right"/>
              <w:rPr>
                <w:rFonts w:cs="Arial"/>
                <w:noProof/>
              </w:rPr>
            </w:pPr>
            <w:r>
              <w:rPr>
                <w:rFonts w:cs="Arial"/>
                <w:noProof/>
              </w:rPr>
              <w:t>50</w:t>
            </w:r>
            <w:r w:rsidR="0011770D" w:rsidRPr="001D1C01">
              <w:rPr>
                <w:rFonts w:cs="Arial"/>
                <w:noProof/>
              </w:rPr>
              <w:t>%</w:t>
            </w:r>
          </w:p>
        </w:tc>
        <w:tc>
          <w:tcPr>
            <w:tcW w:w="709" w:type="dxa"/>
            <w:tcBorders>
              <w:top w:val="nil"/>
              <w:bottom w:val="nil"/>
            </w:tcBorders>
          </w:tcPr>
          <w:p w14:paraId="56A3A587" w14:textId="77777777" w:rsidR="0011770D" w:rsidRDefault="0011770D" w:rsidP="006F4E59">
            <w:pPr>
              <w:rPr>
                <w:rFonts w:cs="Arial"/>
                <w:noProof/>
              </w:rPr>
            </w:pPr>
          </w:p>
        </w:tc>
        <w:tc>
          <w:tcPr>
            <w:tcW w:w="2977" w:type="dxa"/>
            <w:vAlign w:val="center"/>
          </w:tcPr>
          <w:p w14:paraId="5F1216D0" w14:textId="77777777" w:rsidR="0011770D" w:rsidRPr="001D1C01" w:rsidRDefault="0011770D" w:rsidP="006F4E59">
            <w:pPr>
              <w:rPr>
                <w:rFonts w:cs="Arial"/>
                <w:noProof/>
              </w:rPr>
            </w:pPr>
            <w:r w:rsidRPr="001D1C01">
              <w:rPr>
                <w:rFonts w:cs="Arial"/>
                <w:noProof/>
              </w:rPr>
              <w:t>6 months</w:t>
            </w:r>
          </w:p>
        </w:tc>
        <w:tc>
          <w:tcPr>
            <w:tcW w:w="1121" w:type="dxa"/>
            <w:vAlign w:val="center"/>
          </w:tcPr>
          <w:p w14:paraId="5402238B" w14:textId="0079B53D" w:rsidR="0011770D" w:rsidRPr="001D1C01" w:rsidRDefault="0011770D" w:rsidP="006F4E59">
            <w:pPr>
              <w:jc w:val="right"/>
              <w:rPr>
                <w:rFonts w:cs="Arial"/>
                <w:noProof/>
              </w:rPr>
            </w:pPr>
            <w:r>
              <w:rPr>
                <w:rFonts w:cs="Arial"/>
                <w:noProof/>
              </w:rPr>
              <w:t>2</w:t>
            </w:r>
            <w:r w:rsidR="00595975">
              <w:rPr>
                <w:rFonts w:cs="Arial"/>
                <w:noProof/>
              </w:rPr>
              <w:t>5</w:t>
            </w:r>
            <w:r w:rsidRPr="001D1C01">
              <w:rPr>
                <w:rFonts w:cs="Arial"/>
                <w:noProof/>
              </w:rPr>
              <w:t>%</w:t>
            </w:r>
          </w:p>
        </w:tc>
      </w:tr>
      <w:tr w:rsidR="0011770D" w14:paraId="662DB49A" w14:textId="77777777" w:rsidTr="006F4E59">
        <w:trPr>
          <w:trHeight w:val="278"/>
        </w:trPr>
        <w:tc>
          <w:tcPr>
            <w:tcW w:w="2972" w:type="dxa"/>
            <w:vAlign w:val="center"/>
          </w:tcPr>
          <w:p w14:paraId="20C4B6D7" w14:textId="77777777" w:rsidR="0011770D" w:rsidRPr="002819D6" w:rsidRDefault="0011770D" w:rsidP="006F4E59">
            <w:pPr>
              <w:rPr>
                <w:rFonts w:cs="Arial"/>
                <w:noProof/>
              </w:rPr>
            </w:pPr>
            <w:r w:rsidRPr="002819D6">
              <w:rPr>
                <w:rFonts w:cs="Arial"/>
                <w:noProof/>
              </w:rPr>
              <w:t>9 months</w:t>
            </w:r>
          </w:p>
        </w:tc>
        <w:tc>
          <w:tcPr>
            <w:tcW w:w="1134" w:type="dxa"/>
            <w:vAlign w:val="center"/>
          </w:tcPr>
          <w:p w14:paraId="35A72BC0" w14:textId="77777777" w:rsidR="0011770D" w:rsidRPr="001D1C01" w:rsidRDefault="0011770D" w:rsidP="006F4E59">
            <w:pPr>
              <w:jc w:val="right"/>
              <w:rPr>
                <w:rFonts w:cs="Arial"/>
                <w:noProof/>
              </w:rPr>
            </w:pPr>
            <w:r w:rsidRPr="001D1C01">
              <w:rPr>
                <w:rFonts w:cs="Arial"/>
                <w:noProof/>
              </w:rPr>
              <w:t>0%</w:t>
            </w:r>
          </w:p>
        </w:tc>
        <w:tc>
          <w:tcPr>
            <w:tcW w:w="709" w:type="dxa"/>
            <w:tcBorders>
              <w:top w:val="nil"/>
              <w:bottom w:val="nil"/>
            </w:tcBorders>
          </w:tcPr>
          <w:p w14:paraId="69462FD3" w14:textId="77777777" w:rsidR="0011770D" w:rsidRDefault="0011770D" w:rsidP="006F4E59">
            <w:pPr>
              <w:rPr>
                <w:rFonts w:cs="Arial"/>
                <w:noProof/>
              </w:rPr>
            </w:pPr>
          </w:p>
        </w:tc>
        <w:tc>
          <w:tcPr>
            <w:tcW w:w="2977" w:type="dxa"/>
            <w:vAlign w:val="center"/>
          </w:tcPr>
          <w:p w14:paraId="44A5B201" w14:textId="77777777" w:rsidR="0011770D" w:rsidRPr="001D1C01" w:rsidRDefault="0011770D" w:rsidP="006F4E59">
            <w:pPr>
              <w:rPr>
                <w:rFonts w:cs="Arial"/>
                <w:noProof/>
              </w:rPr>
            </w:pPr>
            <w:r w:rsidRPr="001D1C01">
              <w:rPr>
                <w:rFonts w:cs="Arial"/>
                <w:noProof/>
              </w:rPr>
              <w:t>9 months</w:t>
            </w:r>
          </w:p>
        </w:tc>
        <w:tc>
          <w:tcPr>
            <w:tcW w:w="1121" w:type="dxa"/>
            <w:vAlign w:val="center"/>
          </w:tcPr>
          <w:p w14:paraId="23AAAFF9" w14:textId="77777777" w:rsidR="0011770D" w:rsidRPr="001D1C01" w:rsidRDefault="0011770D" w:rsidP="006F4E59">
            <w:pPr>
              <w:jc w:val="right"/>
              <w:rPr>
                <w:rFonts w:cs="Arial"/>
                <w:noProof/>
              </w:rPr>
            </w:pPr>
            <w:r>
              <w:rPr>
                <w:rFonts w:cs="Arial"/>
                <w:noProof/>
              </w:rPr>
              <w:t>0</w:t>
            </w:r>
            <w:r w:rsidRPr="001D1C01">
              <w:rPr>
                <w:rFonts w:cs="Arial"/>
                <w:noProof/>
              </w:rPr>
              <w:t>%</w:t>
            </w:r>
          </w:p>
        </w:tc>
      </w:tr>
      <w:tr w:rsidR="0011770D" w14:paraId="319E2F2F" w14:textId="77777777" w:rsidTr="006F4E59">
        <w:trPr>
          <w:trHeight w:val="278"/>
        </w:trPr>
        <w:tc>
          <w:tcPr>
            <w:tcW w:w="2972" w:type="dxa"/>
            <w:vAlign w:val="center"/>
          </w:tcPr>
          <w:p w14:paraId="02766D49" w14:textId="77777777" w:rsidR="0011770D" w:rsidRDefault="0011770D" w:rsidP="006F4E59">
            <w:pPr>
              <w:rPr>
                <w:rFonts w:cs="Arial"/>
                <w:noProof/>
              </w:rPr>
            </w:pPr>
            <w:r w:rsidRPr="002819D6">
              <w:rPr>
                <w:rFonts w:cs="Arial"/>
                <w:noProof/>
              </w:rPr>
              <w:t>12 months</w:t>
            </w:r>
          </w:p>
        </w:tc>
        <w:tc>
          <w:tcPr>
            <w:tcW w:w="1134" w:type="dxa"/>
            <w:vAlign w:val="center"/>
          </w:tcPr>
          <w:p w14:paraId="144B4E3B" w14:textId="34B1A5B6" w:rsidR="0011770D" w:rsidRPr="001D1C01" w:rsidRDefault="00595975" w:rsidP="006F4E59">
            <w:pPr>
              <w:jc w:val="right"/>
              <w:rPr>
                <w:rFonts w:cs="Arial"/>
                <w:noProof/>
              </w:rPr>
            </w:pPr>
            <w:r>
              <w:rPr>
                <w:rFonts w:cs="Arial"/>
                <w:noProof/>
              </w:rPr>
              <w:t>0</w:t>
            </w:r>
            <w:r w:rsidR="0011770D" w:rsidRPr="001D1C01">
              <w:rPr>
                <w:rFonts w:cs="Arial"/>
                <w:noProof/>
              </w:rPr>
              <w:t>%</w:t>
            </w:r>
          </w:p>
        </w:tc>
        <w:tc>
          <w:tcPr>
            <w:tcW w:w="709" w:type="dxa"/>
            <w:tcBorders>
              <w:top w:val="nil"/>
              <w:bottom w:val="nil"/>
            </w:tcBorders>
          </w:tcPr>
          <w:p w14:paraId="2804F691" w14:textId="77777777" w:rsidR="0011770D" w:rsidRDefault="0011770D" w:rsidP="006F4E59">
            <w:pPr>
              <w:rPr>
                <w:rFonts w:cs="Arial"/>
                <w:noProof/>
              </w:rPr>
            </w:pPr>
          </w:p>
        </w:tc>
        <w:tc>
          <w:tcPr>
            <w:tcW w:w="2977" w:type="dxa"/>
            <w:vAlign w:val="center"/>
          </w:tcPr>
          <w:p w14:paraId="6173EDF1" w14:textId="77777777" w:rsidR="0011770D" w:rsidRDefault="0011770D" w:rsidP="006F4E59">
            <w:pPr>
              <w:rPr>
                <w:rFonts w:cs="Arial"/>
                <w:noProof/>
              </w:rPr>
            </w:pPr>
            <w:r w:rsidRPr="001D1C01">
              <w:rPr>
                <w:rFonts w:cs="Arial"/>
                <w:noProof/>
              </w:rPr>
              <w:t>12 months</w:t>
            </w:r>
          </w:p>
        </w:tc>
        <w:tc>
          <w:tcPr>
            <w:tcW w:w="1121" w:type="dxa"/>
            <w:vAlign w:val="center"/>
          </w:tcPr>
          <w:p w14:paraId="377C2B84" w14:textId="75CF6FA5" w:rsidR="0011770D" w:rsidRDefault="0011770D" w:rsidP="006F4E59">
            <w:pPr>
              <w:jc w:val="right"/>
              <w:rPr>
                <w:rFonts w:cs="Arial"/>
                <w:noProof/>
              </w:rPr>
            </w:pPr>
            <w:r w:rsidRPr="001D1C01">
              <w:rPr>
                <w:rFonts w:cs="Arial"/>
                <w:noProof/>
              </w:rPr>
              <w:t>6</w:t>
            </w:r>
            <w:r w:rsidR="00595975">
              <w:rPr>
                <w:rFonts w:cs="Arial"/>
                <w:noProof/>
              </w:rPr>
              <w:t>9</w:t>
            </w:r>
            <w:r w:rsidRPr="001D1C01">
              <w:rPr>
                <w:rFonts w:cs="Arial"/>
                <w:noProof/>
              </w:rPr>
              <w:t>%</w:t>
            </w:r>
          </w:p>
        </w:tc>
      </w:tr>
      <w:tr w:rsidR="0011770D" w14:paraId="0A56E7C7" w14:textId="77777777" w:rsidTr="006F4E59">
        <w:trPr>
          <w:trHeight w:val="278"/>
        </w:trPr>
        <w:tc>
          <w:tcPr>
            <w:tcW w:w="2972" w:type="dxa"/>
            <w:vAlign w:val="center"/>
          </w:tcPr>
          <w:p w14:paraId="1C84FBD0" w14:textId="77777777" w:rsidR="0011770D" w:rsidRPr="00065259" w:rsidRDefault="0011770D" w:rsidP="006F4E59">
            <w:pPr>
              <w:rPr>
                <w:rFonts w:cs="Arial"/>
                <w:b/>
                <w:bCs/>
                <w:noProof/>
              </w:rPr>
            </w:pPr>
            <w:r w:rsidRPr="00065259">
              <w:rPr>
                <w:rFonts w:cs="Arial"/>
                <w:b/>
                <w:bCs/>
                <w:noProof/>
              </w:rPr>
              <w:t>Total</w:t>
            </w:r>
          </w:p>
        </w:tc>
        <w:tc>
          <w:tcPr>
            <w:tcW w:w="1134" w:type="dxa"/>
            <w:vAlign w:val="center"/>
          </w:tcPr>
          <w:p w14:paraId="34BD16F5" w14:textId="77777777" w:rsidR="0011770D" w:rsidRPr="00065259" w:rsidRDefault="0011770D" w:rsidP="006F4E59">
            <w:pPr>
              <w:jc w:val="right"/>
              <w:rPr>
                <w:rFonts w:cs="Arial"/>
                <w:b/>
                <w:bCs/>
                <w:noProof/>
              </w:rPr>
            </w:pPr>
            <w:r w:rsidRPr="00065259">
              <w:rPr>
                <w:rFonts w:cs="Arial"/>
                <w:b/>
                <w:bCs/>
                <w:noProof/>
              </w:rPr>
              <w:t>100%</w:t>
            </w:r>
          </w:p>
        </w:tc>
        <w:tc>
          <w:tcPr>
            <w:tcW w:w="709" w:type="dxa"/>
            <w:tcBorders>
              <w:top w:val="nil"/>
              <w:bottom w:val="nil"/>
            </w:tcBorders>
          </w:tcPr>
          <w:p w14:paraId="552677EA" w14:textId="77777777" w:rsidR="0011770D" w:rsidRDefault="0011770D" w:rsidP="006F4E59">
            <w:pPr>
              <w:rPr>
                <w:rFonts w:cs="Arial"/>
                <w:noProof/>
              </w:rPr>
            </w:pPr>
          </w:p>
        </w:tc>
        <w:tc>
          <w:tcPr>
            <w:tcW w:w="2977" w:type="dxa"/>
            <w:vAlign w:val="center"/>
          </w:tcPr>
          <w:p w14:paraId="3FD32DB7" w14:textId="77777777" w:rsidR="0011770D" w:rsidRPr="00065259" w:rsidRDefault="0011770D" w:rsidP="006F4E59">
            <w:pPr>
              <w:rPr>
                <w:rFonts w:cs="Arial"/>
                <w:b/>
                <w:bCs/>
                <w:noProof/>
              </w:rPr>
            </w:pPr>
            <w:r w:rsidRPr="00065259">
              <w:rPr>
                <w:rFonts w:cs="Arial"/>
                <w:b/>
                <w:bCs/>
                <w:noProof/>
              </w:rPr>
              <w:t>Total</w:t>
            </w:r>
          </w:p>
        </w:tc>
        <w:tc>
          <w:tcPr>
            <w:tcW w:w="1121" w:type="dxa"/>
            <w:vAlign w:val="center"/>
          </w:tcPr>
          <w:p w14:paraId="238D99ED" w14:textId="77777777" w:rsidR="0011770D" w:rsidRPr="00065259" w:rsidRDefault="0011770D" w:rsidP="006F4E59">
            <w:pPr>
              <w:jc w:val="right"/>
              <w:rPr>
                <w:rFonts w:cs="Arial"/>
                <w:b/>
                <w:bCs/>
                <w:noProof/>
              </w:rPr>
            </w:pPr>
            <w:r w:rsidRPr="00065259">
              <w:rPr>
                <w:rFonts w:cs="Arial"/>
                <w:b/>
                <w:bCs/>
                <w:noProof/>
              </w:rPr>
              <w:t>100%</w:t>
            </w:r>
          </w:p>
        </w:tc>
      </w:tr>
    </w:tbl>
    <w:p w14:paraId="677DD7A6" w14:textId="61C6E4E0" w:rsidR="007B6069" w:rsidRDefault="007B6069"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7B6069">
        <w:trPr>
          <w:trHeight w:val="877"/>
        </w:trPr>
        <w:tc>
          <w:tcPr>
            <w:tcW w:w="10060" w:type="dxa"/>
            <w:shd w:val="clear" w:color="auto" w:fill="D9D9D9" w:themeFill="background1" w:themeFillShade="D9"/>
          </w:tcPr>
          <w:p w14:paraId="0E3C38FC" w14:textId="4025EF37" w:rsidR="007B6069" w:rsidRPr="00F22E2D" w:rsidRDefault="007D6412" w:rsidP="00324B7B">
            <w:pPr>
              <w:jc w:val="both"/>
              <w:rPr>
                <w:rFonts w:cs="Arial"/>
                <w:noProof/>
              </w:rPr>
            </w:pPr>
            <w:r w:rsidRPr="007D6412">
              <w:rPr>
                <w:rFonts w:cs="Arial"/>
                <w:noProof/>
              </w:rPr>
              <w:t xml:space="preserve">Although initially (March 2021) 66% of VIM applications entered into were for a 3-month duration, the VIM </w:t>
            </w:r>
            <w:r w:rsidR="00266DA3">
              <w:rPr>
                <w:rFonts w:cs="Arial"/>
                <w:noProof/>
              </w:rPr>
              <w:t>table</w:t>
            </w:r>
            <w:r w:rsidRPr="007D6412">
              <w:rPr>
                <w:rFonts w:cs="Arial"/>
                <w:noProof/>
              </w:rPr>
              <w:t xml:space="preserve"> above</w:t>
            </w:r>
            <w:r w:rsidR="004570C7">
              <w:rPr>
                <w:rFonts w:cs="Arial"/>
                <w:noProof/>
              </w:rPr>
              <w:t xml:space="preserve"> (</w:t>
            </w:r>
            <w:r w:rsidR="00266DA3">
              <w:rPr>
                <w:rFonts w:cs="Arial"/>
                <w:noProof/>
              </w:rPr>
              <w:t>table 22</w:t>
            </w:r>
            <w:r w:rsidR="004570C7">
              <w:rPr>
                <w:rFonts w:cs="Arial"/>
                <w:noProof/>
              </w:rPr>
              <w:t>)</w:t>
            </w:r>
            <w:r w:rsidRPr="007D6412">
              <w:rPr>
                <w:rFonts w:cs="Arial"/>
                <w:noProof/>
              </w:rPr>
              <w:t xml:space="preserve"> shows </w:t>
            </w:r>
            <w:r w:rsidR="00531C0A">
              <w:rPr>
                <w:rFonts w:cs="Arial"/>
                <w:noProof/>
              </w:rPr>
              <w:t xml:space="preserve">clients are voluntarily wanting to be subjected to income management for </w:t>
            </w:r>
            <w:r w:rsidR="00944FE2">
              <w:rPr>
                <w:rFonts w:cs="Arial"/>
                <w:noProof/>
              </w:rPr>
              <w:t>longer periods.</w:t>
            </w:r>
            <w:r w:rsidR="001B270F">
              <w:rPr>
                <w:rFonts w:cs="Arial"/>
                <w:noProof/>
              </w:rPr>
              <w:t xml:space="preserve"> During quarter 55</w:t>
            </w:r>
            <w:r w:rsidR="00944FE2">
              <w:rPr>
                <w:rFonts w:cs="Arial"/>
                <w:noProof/>
              </w:rPr>
              <w:t xml:space="preserve"> only</w:t>
            </w:r>
            <w:r w:rsidRPr="007D6412">
              <w:rPr>
                <w:rFonts w:cs="Arial"/>
                <w:noProof/>
              </w:rPr>
              <w:t xml:space="preserve"> 6%</w:t>
            </w:r>
            <w:r w:rsidR="001B270F">
              <w:rPr>
                <w:rFonts w:cs="Arial"/>
                <w:noProof/>
              </w:rPr>
              <w:t xml:space="preserve"> of </w:t>
            </w:r>
            <w:r w:rsidR="004C3B2B">
              <w:rPr>
                <w:rFonts w:cs="Arial"/>
                <w:noProof/>
              </w:rPr>
              <w:t>VIM agreement</w:t>
            </w:r>
            <w:r w:rsidR="00117ACE">
              <w:rPr>
                <w:rFonts w:cs="Arial"/>
                <w:noProof/>
              </w:rPr>
              <w:t>s were</w:t>
            </w:r>
            <w:r w:rsidR="001B270F">
              <w:rPr>
                <w:rFonts w:cs="Arial"/>
                <w:noProof/>
              </w:rPr>
              <w:t xml:space="preserve"> </w:t>
            </w:r>
            <w:r w:rsidRPr="007D6412">
              <w:rPr>
                <w:rFonts w:cs="Arial"/>
                <w:noProof/>
              </w:rPr>
              <w:t>for</w:t>
            </w:r>
            <w:r w:rsidR="00117ACE">
              <w:rPr>
                <w:rFonts w:cs="Arial"/>
                <w:noProof/>
              </w:rPr>
              <w:t xml:space="preserve"> a</w:t>
            </w:r>
            <w:r w:rsidRPr="007D6412">
              <w:rPr>
                <w:rFonts w:cs="Arial"/>
                <w:noProof/>
              </w:rPr>
              <w:t xml:space="preserve"> </w:t>
            </w:r>
            <w:r w:rsidR="00944FE2">
              <w:rPr>
                <w:rFonts w:cs="Arial"/>
                <w:noProof/>
              </w:rPr>
              <w:t>3-month duration</w:t>
            </w:r>
            <w:r w:rsidR="004C3B2B">
              <w:rPr>
                <w:rFonts w:cs="Arial"/>
                <w:noProof/>
              </w:rPr>
              <w:t xml:space="preserve"> whereas</w:t>
            </w:r>
            <w:r w:rsidR="00944FE2">
              <w:rPr>
                <w:rFonts w:cs="Arial"/>
                <w:noProof/>
              </w:rPr>
              <w:t xml:space="preserve"> </w:t>
            </w:r>
            <w:r w:rsidRPr="007D6412">
              <w:rPr>
                <w:rFonts w:cs="Arial"/>
                <w:noProof/>
              </w:rPr>
              <w:t xml:space="preserve">69% </w:t>
            </w:r>
            <w:r w:rsidR="004C3B2B">
              <w:rPr>
                <w:rFonts w:cs="Arial"/>
                <w:noProof/>
              </w:rPr>
              <w:t xml:space="preserve">of </w:t>
            </w:r>
            <w:r w:rsidR="00117ACE">
              <w:rPr>
                <w:rFonts w:cs="Arial"/>
                <w:noProof/>
              </w:rPr>
              <w:t>a</w:t>
            </w:r>
            <w:r w:rsidRPr="007D6412">
              <w:rPr>
                <w:rFonts w:cs="Arial"/>
                <w:noProof/>
              </w:rPr>
              <w:t>greements entered into</w:t>
            </w:r>
            <w:r w:rsidR="00117ACE">
              <w:rPr>
                <w:rFonts w:cs="Arial"/>
                <w:noProof/>
              </w:rPr>
              <w:t xml:space="preserve"> were</w:t>
            </w:r>
            <w:r w:rsidRPr="007D6412">
              <w:rPr>
                <w:rFonts w:cs="Arial"/>
                <w:noProof/>
              </w:rPr>
              <w:t xml:space="preserve"> for a 12-month duration.</w:t>
            </w:r>
          </w:p>
        </w:tc>
      </w:tr>
    </w:tbl>
    <w:p w14:paraId="264762F5" w14:textId="6D785DB6" w:rsidR="007B6069" w:rsidRDefault="007B6069"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595975" w14:paraId="718CD92B" w14:textId="77777777" w:rsidTr="006F4E59">
        <w:trPr>
          <w:trHeight w:val="278"/>
        </w:trPr>
        <w:tc>
          <w:tcPr>
            <w:tcW w:w="4106" w:type="dxa"/>
            <w:gridSpan w:val="2"/>
          </w:tcPr>
          <w:p w14:paraId="12A78BCB" w14:textId="1EE450CE" w:rsidR="00595975" w:rsidRPr="00523A30" w:rsidRDefault="00595975" w:rsidP="006F4E59">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23</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1 </w:t>
            </w:r>
            <w:r>
              <w:rPr>
                <w:rFonts w:cs="Arial"/>
                <w:noProof/>
                <w:sz w:val="16"/>
                <w:szCs w:val="16"/>
              </w:rPr>
              <w:t>January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1 </w:t>
            </w:r>
            <w:r>
              <w:rPr>
                <w:rFonts w:cs="Arial"/>
                <w:noProof/>
                <w:sz w:val="16"/>
                <w:szCs w:val="16"/>
              </w:rPr>
              <w:t>March</w:t>
            </w:r>
            <w:r>
              <w:rPr>
                <w:rFonts w:cs="Arial"/>
                <w:noProof/>
                <w:sz w:val="16"/>
                <w:szCs w:val="16"/>
              </w:rPr>
              <w:t xml:space="preserve"> </w:t>
            </w:r>
            <w:r w:rsidRPr="00523A30">
              <w:rPr>
                <w:rFonts w:cs="Arial"/>
                <w:noProof/>
                <w:sz w:val="16"/>
                <w:szCs w:val="16"/>
              </w:rPr>
              <w:t>202</w:t>
            </w:r>
            <w:r>
              <w:rPr>
                <w:rFonts w:cs="Arial"/>
                <w:noProof/>
                <w:sz w:val="16"/>
                <w:szCs w:val="16"/>
              </w:rPr>
              <w:t>2</w:t>
            </w:r>
          </w:p>
        </w:tc>
        <w:tc>
          <w:tcPr>
            <w:tcW w:w="709" w:type="dxa"/>
            <w:tcBorders>
              <w:top w:val="nil"/>
              <w:bottom w:val="nil"/>
            </w:tcBorders>
          </w:tcPr>
          <w:p w14:paraId="40AA9442" w14:textId="77777777" w:rsidR="00595975" w:rsidRDefault="00595975" w:rsidP="006F4E59">
            <w:pPr>
              <w:rPr>
                <w:rFonts w:cs="Arial"/>
                <w:b/>
                <w:bCs/>
                <w:noProof/>
                <w:sz w:val="16"/>
                <w:szCs w:val="16"/>
              </w:rPr>
            </w:pPr>
          </w:p>
        </w:tc>
        <w:tc>
          <w:tcPr>
            <w:tcW w:w="4098" w:type="dxa"/>
            <w:gridSpan w:val="2"/>
          </w:tcPr>
          <w:p w14:paraId="6B067394" w14:textId="2D723326" w:rsidR="00595975" w:rsidRPr="00E33A8C" w:rsidRDefault="00595975" w:rsidP="006F4E59">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24</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1 </w:t>
            </w:r>
            <w:r>
              <w:rPr>
                <w:rFonts w:cs="Arial"/>
                <w:noProof/>
                <w:sz w:val="16"/>
                <w:szCs w:val="16"/>
              </w:rPr>
              <w:t>January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1 </w:t>
            </w:r>
            <w:r>
              <w:rPr>
                <w:rFonts w:cs="Arial"/>
                <w:noProof/>
                <w:sz w:val="16"/>
                <w:szCs w:val="16"/>
              </w:rPr>
              <w:t>March</w:t>
            </w:r>
            <w:r>
              <w:rPr>
                <w:rFonts w:cs="Arial"/>
                <w:noProof/>
                <w:sz w:val="16"/>
                <w:szCs w:val="16"/>
              </w:rPr>
              <w:t xml:space="preserve"> </w:t>
            </w:r>
            <w:r w:rsidRPr="00523A30">
              <w:rPr>
                <w:rFonts w:cs="Arial"/>
                <w:noProof/>
                <w:sz w:val="16"/>
                <w:szCs w:val="16"/>
              </w:rPr>
              <w:t>202</w:t>
            </w:r>
            <w:r>
              <w:rPr>
                <w:rFonts w:cs="Arial"/>
                <w:noProof/>
                <w:sz w:val="16"/>
                <w:szCs w:val="16"/>
              </w:rPr>
              <w:t>2</w:t>
            </w:r>
          </w:p>
        </w:tc>
      </w:tr>
      <w:tr w:rsidR="00595975" w14:paraId="5609B266" w14:textId="77777777" w:rsidTr="006F4E59">
        <w:trPr>
          <w:trHeight w:val="278"/>
        </w:trPr>
        <w:tc>
          <w:tcPr>
            <w:tcW w:w="2972" w:type="dxa"/>
            <w:vAlign w:val="center"/>
          </w:tcPr>
          <w:p w14:paraId="43742FBF" w14:textId="77777777" w:rsidR="00595975" w:rsidRPr="00CB1588" w:rsidRDefault="00595975" w:rsidP="006F4E59">
            <w:pPr>
              <w:rPr>
                <w:rFonts w:cs="Arial"/>
                <w:b/>
                <w:bCs/>
                <w:noProof/>
              </w:rPr>
            </w:pPr>
            <w:r w:rsidRPr="00CB1588">
              <w:rPr>
                <w:rFonts w:cs="Arial"/>
                <w:b/>
                <w:bCs/>
                <w:noProof/>
              </w:rPr>
              <w:t>CIM Percentage</w:t>
            </w:r>
          </w:p>
        </w:tc>
        <w:tc>
          <w:tcPr>
            <w:tcW w:w="1134" w:type="dxa"/>
            <w:vAlign w:val="center"/>
          </w:tcPr>
          <w:p w14:paraId="5B58863B" w14:textId="77777777" w:rsidR="00595975" w:rsidRPr="001D1C01" w:rsidRDefault="00595975" w:rsidP="006F4E59">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6E226916" w14:textId="77777777" w:rsidR="00595975" w:rsidRDefault="00595975" w:rsidP="006F4E59">
            <w:pPr>
              <w:rPr>
                <w:rFonts w:cs="Arial"/>
                <w:noProof/>
              </w:rPr>
            </w:pPr>
          </w:p>
        </w:tc>
        <w:tc>
          <w:tcPr>
            <w:tcW w:w="2977" w:type="dxa"/>
            <w:vAlign w:val="center"/>
          </w:tcPr>
          <w:p w14:paraId="39266129" w14:textId="77777777" w:rsidR="00595975" w:rsidRPr="00CB1588" w:rsidRDefault="00595975" w:rsidP="006F4E59">
            <w:pPr>
              <w:rPr>
                <w:rFonts w:cs="Arial"/>
                <w:b/>
                <w:bCs/>
                <w:noProof/>
              </w:rPr>
            </w:pPr>
            <w:r w:rsidRPr="00CB1588">
              <w:rPr>
                <w:rFonts w:cs="Arial"/>
                <w:b/>
                <w:bCs/>
                <w:noProof/>
              </w:rPr>
              <w:t>VIM Percentage</w:t>
            </w:r>
          </w:p>
        </w:tc>
        <w:tc>
          <w:tcPr>
            <w:tcW w:w="1121" w:type="dxa"/>
            <w:vAlign w:val="center"/>
          </w:tcPr>
          <w:p w14:paraId="106A3897" w14:textId="77777777" w:rsidR="00595975" w:rsidRPr="001D1C01" w:rsidRDefault="00595975" w:rsidP="006F4E59">
            <w:pPr>
              <w:jc w:val="right"/>
              <w:rPr>
                <w:rFonts w:cs="Arial"/>
                <w:noProof/>
              </w:rPr>
            </w:pPr>
            <w:r>
              <w:rPr>
                <w:rFonts w:cs="Arial"/>
                <w:b/>
                <w:bCs/>
                <w:noProof/>
              </w:rPr>
              <w:t xml:space="preserve">% </w:t>
            </w:r>
            <w:r w:rsidRPr="00CB1588">
              <w:rPr>
                <w:rFonts w:cs="Arial"/>
                <w:b/>
                <w:bCs/>
                <w:noProof/>
              </w:rPr>
              <w:t>Split</w:t>
            </w:r>
          </w:p>
        </w:tc>
      </w:tr>
      <w:tr w:rsidR="00595975" w14:paraId="2483B90F" w14:textId="77777777" w:rsidTr="006F4E59">
        <w:trPr>
          <w:trHeight w:val="278"/>
        </w:trPr>
        <w:tc>
          <w:tcPr>
            <w:tcW w:w="2972" w:type="dxa"/>
            <w:vAlign w:val="center"/>
          </w:tcPr>
          <w:p w14:paraId="4D0DE013" w14:textId="77777777" w:rsidR="00595975" w:rsidRDefault="00595975" w:rsidP="006F4E59">
            <w:pPr>
              <w:rPr>
                <w:rFonts w:cs="Arial"/>
                <w:noProof/>
              </w:rPr>
            </w:pPr>
            <w:r>
              <w:rPr>
                <w:rFonts w:cs="Arial"/>
                <w:noProof/>
              </w:rPr>
              <w:t>60 percent</w:t>
            </w:r>
          </w:p>
        </w:tc>
        <w:tc>
          <w:tcPr>
            <w:tcW w:w="1134" w:type="dxa"/>
            <w:vAlign w:val="center"/>
          </w:tcPr>
          <w:p w14:paraId="285A1DC2" w14:textId="40602C79" w:rsidR="00595975" w:rsidRDefault="00595975" w:rsidP="006F4E59">
            <w:pPr>
              <w:jc w:val="right"/>
              <w:rPr>
                <w:rFonts w:cs="Arial"/>
                <w:noProof/>
              </w:rPr>
            </w:pPr>
            <w:r>
              <w:rPr>
                <w:rFonts w:cs="Arial"/>
                <w:noProof/>
              </w:rPr>
              <w:t>67</w:t>
            </w:r>
            <w:r w:rsidRPr="001D1C01">
              <w:rPr>
                <w:rFonts w:cs="Arial"/>
                <w:noProof/>
              </w:rPr>
              <w:t>%</w:t>
            </w:r>
          </w:p>
        </w:tc>
        <w:tc>
          <w:tcPr>
            <w:tcW w:w="709" w:type="dxa"/>
            <w:tcBorders>
              <w:top w:val="nil"/>
              <w:bottom w:val="nil"/>
            </w:tcBorders>
          </w:tcPr>
          <w:p w14:paraId="243461B0" w14:textId="77777777" w:rsidR="00595975" w:rsidRDefault="00595975" w:rsidP="006F4E59">
            <w:pPr>
              <w:rPr>
                <w:rFonts w:cs="Arial"/>
                <w:noProof/>
              </w:rPr>
            </w:pPr>
          </w:p>
        </w:tc>
        <w:tc>
          <w:tcPr>
            <w:tcW w:w="2977" w:type="dxa"/>
            <w:vAlign w:val="center"/>
          </w:tcPr>
          <w:p w14:paraId="089457FC" w14:textId="77777777" w:rsidR="00595975" w:rsidRDefault="00595975" w:rsidP="006F4E59">
            <w:pPr>
              <w:rPr>
                <w:rFonts w:cs="Arial"/>
                <w:noProof/>
              </w:rPr>
            </w:pPr>
            <w:r>
              <w:rPr>
                <w:rFonts w:cs="Arial"/>
                <w:noProof/>
              </w:rPr>
              <w:t>60 percent</w:t>
            </w:r>
          </w:p>
        </w:tc>
        <w:tc>
          <w:tcPr>
            <w:tcW w:w="1121" w:type="dxa"/>
            <w:vAlign w:val="center"/>
          </w:tcPr>
          <w:p w14:paraId="3E00171E" w14:textId="1A4C9E0D" w:rsidR="00595975" w:rsidRDefault="00595975" w:rsidP="006F4E59">
            <w:pPr>
              <w:jc w:val="right"/>
              <w:rPr>
                <w:rFonts w:cs="Arial"/>
                <w:noProof/>
              </w:rPr>
            </w:pPr>
            <w:r>
              <w:rPr>
                <w:rFonts w:cs="Arial"/>
                <w:noProof/>
              </w:rPr>
              <w:t>7</w:t>
            </w:r>
            <w:r>
              <w:rPr>
                <w:rFonts w:cs="Arial"/>
                <w:noProof/>
              </w:rPr>
              <w:t>5</w:t>
            </w:r>
            <w:r w:rsidRPr="001D1C01">
              <w:rPr>
                <w:rFonts w:cs="Arial"/>
                <w:noProof/>
              </w:rPr>
              <w:t>%</w:t>
            </w:r>
          </w:p>
        </w:tc>
      </w:tr>
      <w:tr w:rsidR="00595975" w14:paraId="5EAB70AB" w14:textId="77777777" w:rsidTr="006F4E59">
        <w:trPr>
          <w:trHeight w:val="278"/>
        </w:trPr>
        <w:tc>
          <w:tcPr>
            <w:tcW w:w="2972" w:type="dxa"/>
            <w:vAlign w:val="center"/>
          </w:tcPr>
          <w:p w14:paraId="6C5F4226" w14:textId="77777777" w:rsidR="00595975" w:rsidRPr="002819D6" w:rsidRDefault="00595975" w:rsidP="006F4E59">
            <w:pPr>
              <w:rPr>
                <w:rFonts w:cs="Arial"/>
                <w:noProof/>
              </w:rPr>
            </w:pPr>
            <w:r>
              <w:rPr>
                <w:rFonts w:cs="Arial"/>
                <w:noProof/>
              </w:rPr>
              <w:t>75 percent</w:t>
            </w:r>
          </w:p>
        </w:tc>
        <w:tc>
          <w:tcPr>
            <w:tcW w:w="1134" w:type="dxa"/>
            <w:vAlign w:val="center"/>
          </w:tcPr>
          <w:p w14:paraId="1D799382" w14:textId="7BD4088A" w:rsidR="00595975" w:rsidRPr="001D1C01" w:rsidRDefault="00595975" w:rsidP="006F4E59">
            <w:pPr>
              <w:jc w:val="right"/>
              <w:rPr>
                <w:rFonts w:cs="Arial"/>
                <w:noProof/>
              </w:rPr>
            </w:pPr>
            <w:r>
              <w:rPr>
                <w:rFonts w:cs="Arial"/>
                <w:noProof/>
              </w:rPr>
              <w:t>33</w:t>
            </w:r>
            <w:r w:rsidRPr="001D1C01">
              <w:rPr>
                <w:rFonts w:cs="Arial"/>
                <w:noProof/>
              </w:rPr>
              <w:t>%</w:t>
            </w:r>
          </w:p>
        </w:tc>
        <w:tc>
          <w:tcPr>
            <w:tcW w:w="709" w:type="dxa"/>
            <w:tcBorders>
              <w:top w:val="nil"/>
              <w:bottom w:val="nil"/>
            </w:tcBorders>
          </w:tcPr>
          <w:p w14:paraId="5C1CA4B0" w14:textId="77777777" w:rsidR="00595975" w:rsidRDefault="00595975" w:rsidP="006F4E59">
            <w:pPr>
              <w:rPr>
                <w:rFonts w:cs="Arial"/>
                <w:noProof/>
              </w:rPr>
            </w:pPr>
          </w:p>
        </w:tc>
        <w:tc>
          <w:tcPr>
            <w:tcW w:w="2977" w:type="dxa"/>
            <w:vAlign w:val="center"/>
          </w:tcPr>
          <w:p w14:paraId="51E6D232" w14:textId="77777777" w:rsidR="00595975" w:rsidRPr="001D1C01" w:rsidRDefault="00595975" w:rsidP="006F4E59">
            <w:pPr>
              <w:rPr>
                <w:rFonts w:cs="Arial"/>
                <w:noProof/>
              </w:rPr>
            </w:pPr>
            <w:r>
              <w:rPr>
                <w:rFonts w:cs="Arial"/>
                <w:noProof/>
              </w:rPr>
              <w:t>75 percent</w:t>
            </w:r>
          </w:p>
        </w:tc>
        <w:tc>
          <w:tcPr>
            <w:tcW w:w="1121" w:type="dxa"/>
            <w:vAlign w:val="center"/>
          </w:tcPr>
          <w:p w14:paraId="1F1AB556" w14:textId="08581079" w:rsidR="00595975" w:rsidRPr="001D1C01" w:rsidRDefault="00595975" w:rsidP="006F4E59">
            <w:pPr>
              <w:jc w:val="right"/>
              <w:rPr>
                <w:rFonts w:cs="Arial"/>
                <w:noProof/>
              </w:rPr>
            </w:pPr>
            <w:r>
              <w:rPr>
                <w:rFonts w:cs="Arial"/>
                <w:noProof/>
              </w:rPr>
              <w:t>1</w:t>
            </w:r>
            <w:r>
              <w:rPr>
                <w:rFonts w:cs="Arial"/>
                <w:noProof/>
              </w:rPr>
              <w:t>9</w:t>
            </w:r>
            <w:r w:rsidRPr="001D1C01">
              <w:rPr>
                <w:rFonts w:cs="Arial"/>
                <w:noProof/>
              </w:rPr>
              <w:t>%</w:t>
            </w:r>
          </w:p>
        </w:tc>
      </w:tr>
      <w:tr w:rsidR="00595975" w14:paraId="7502AD0D" w14:textId="77777777" w:rsidTr="006F4E59">
        <w:trPr>
          <w:trHeight w:val="278"/>
        </w:trPr>
        <w:tc>
          <w:tcPr>
            <w:tcW w:w="2972" w:type="dxa"/>
            <w:vAlign w:val="center"/>
          </w:tcPr>
          <w:p w14:paraId="720E3473" w14:textId="77777777" w:rsidR="00595975" w:rsidRPr="002819D6" w:rsidRDefault="00595975" w:rsidP="006F4E59">
            <w:pPr>
              <w:rPr>
                <w:rFonts w:cs="Arial"/>
                <w:noProof/>
              </w:rPr>
            </w:pPr>
            <w:r>
              <w:rPr>
                <w:rFonts w:cs="Arial"/>
                <w:noProof/>
              </w:rPr>
              <w:t>90 percent</w:t>
            </w:r>
          </w:p>
        </w:tc>
        <w:tc>
          <w:tcPr>
            <w:tcW w:w="1134" w:type="dxa"/>
            <w:vAlign w:val="center"/>
          </w:tcPr>
          <w:p w14:paraId="25FF01EF" w14:textId="317DD3B6" w:rsidR="00595975" w:rsidRPr="001D1C01" w:rsidRDefault="00595975" w:rsidP="006F4E59">
            <w:pPr>
              <w:jc w:val="right"/>
              <w:rPr>
                <w:rFonts w:cs="Arial"/>
                <w:noProof/>
              </w:rPr>
            </w:pPr>
            <w:r>
              <w:rPr>
                <w:rFonts w:cs="Arial"/>
                <w:noProof/>
              </w:rPr>
              <w:t>0</w:t>
            </w:r>
            <w:r w:rsidRPr="001D1C01">
              <w:rPr>
                <w:rFonts w:cs="Arial"/>
                <w:noProof/>
              </w:rPr>
              <w:t>%</w:t>
            </w:r>
          </w:p>
        </w:tc>
        <w:tc>
          <w:tcPr>
            <w:tcW w:w="709" w:type="dxa"/>
            <w:tcBorders>
              <w:top w:val="nil"/>
              <w:bottom w:val="nil"/>
            </w:tcBorders>
          </w:tcPr>
          <w:p w14:paraId="42FA05DD" w14:textId="77777777" w:rsidR="00595975" w:rsidRDefault="00595975" w:rsidP="006F4E59">
            <w:pPr>
              <w:rPr>
                <w:rFonts w:cs="Arial"/>
                <w:noProof/>
              </w:rPr>
            </w:pPr>
          </w:p>
        </w:tc>
        <w:tc>
          <w:tcPr>
            <w:tcW w:w="2977" w:type="dxa"/>
            <w:vAlign w:val="center"/>
          </w:tcPr>
          <w:p w14:paraId="0CBFD989" w14:textId="77777777" w:rsidR="00595975" w:rsidRPr="001D1C01" w:rsidRDefault="00595975" w:rsidP="006F4E59">
            <w:pPr>
              <w:rPr>
                <w:rFonts w:cs="Arial"/>
                <w:noProof/>
              </w:rPr>
            </w:pPr>
            <w:r>
              <w:rPr>
                <w:rFonts w:cs="Arial"/>
                <w:noProof/>
              </w:rPr>
              <w:t>90 percent</w:t>
            </w:r>
          </w:p>
        </w:tc>
        <w:tc>
          <w:tcPr>
            <w:tcW w:w="1121" w:type="dxa"/>
            <w:vAlign w:val="center"/>
          </w:tcPr>
          <w:p w14:paraId="370925FA" w14:textId="77742C27" w:rsidR="00595975" w:rsidRPr="001D1C01" w:rsidRDefault="00595975" w:rsidP="006F4E59">
            <w:pPr>
              <w:jc w:val="right"/>
              <w:rPr>
                <w:rFonts w:cs="Arial"/>
                <w:noProof/>
              </w:rPr>
            </w:pPr>
            <w:r>
              <w:rPr>
                <w:rFonts w:cs="Arial"/>
                <w:noProof/>
              </w:rPr>
              <w:t>6</w:t>
            </w:r>
            <w:r w:rsidRPr="001D1C01">
              <w:rPr>
                <w:rFonts w:cs="Arial"/>
                <w:noProof/>
              </w:rPr>
              <w:t>%</w:t>
            </w:r>
          </w:p>
        </w:tc>
      </w:tr>
      <w:tr w:rsidR="00595975" w14:paraId="2D05AB27" w14:textId="77777777" w:rsidTr="006F4E59">
        <w:trPr>
          <w:trHeight w:val="278"/>
        </w:trPr>
        <w:tc>
          <w:tcPr>
            <w:tcW w:w="2972" w:type="dxa"/>
            <w:vAlign w:val="center"/>
          </w:tcPr>
          <w:p w14:paraId="02B5C5A3" w14:textId="77777777" w:rsidR="00595975" w:rsidRPr="00065259" w:rsidRDefault="00595975" w:rsidP="006F4E59">
            <w:pPr>
              <w:rPr>
                <w:rFonts w:cs="Arial"/>
                <w:b/>
                <w:bCs/>
                <w:noProof/>
              </w:rPr>
            </w:pPr>
            <w:r w:rsidRPr="00065259">
              <w:rPr>
                <w:rFonts w:cs="Arial"/>
                <w:b/>
                <w:bCs/>
                <w:noProof/>
              </w:rPr>
              <w:t>Total</w:t>
            </w:r>
          </w:p>
        </w:tc>
        <w:tc>
          <w:tcPr>
            <w:tcW w:w="1134" w:type="dxa"/>
            <w:vAlign w:val="center"/>
          </w:tcPr>
          <w:p w14:paraId="126B9FB6" w14:textId="77777777" w:rsidR="00595975" w:rsidRPr="00065259" w:rsidRDefault="00595975" w:rsidP="006F4E59">
            <w:pPr>
              <w:jc w:val="right"/>
              <w:rPr>
                <w:rFonts w:cs="Arial"/>
                <w:b/>
                <w:bCs/>
                <w:noProof/>
              </w:rPr>
            </w:pPr>
            <w:r w:rsidRPr="00065259">
              <w:rPr>
                <w:rFonts w:cs="Arial"/>
                <w:b/>
                <w:bCs/>
                <w:noProof/>
              </w:rPr>
              <w:t>100%</w:t>
            </w:r>
          </w:p>
        </w:tc>
        <w:tc>
          <w:tcPr>
            <w:tcW w:w="709" w:type="dxa"/>
            <w:tcBorders>
              <w:top w:val="nil"/>
              <w:bottom w:val="nil"/>
            </w:tcBorders>
          </w:tcPr>
          <w:p w14:paraId="45DAC403" w14:textId="77777777" w:rsidR="00595975" w:rsidRDefault="00595975" w:rsidP="006F4E59">
            <w:pPr>
              <w:rPr>
                <w:rFonts w:cs="Arial"/>
                <w:noProof/>
              </w:rPr>
            </w:pPr>
          </w:p>
        </w:tc>
        <w:tc>
          <w:tcPr>
            <w:tcW w:w="2977" w:type="dxa"/>
            <w:vAlign w:val="center"/>
          </w:tcPr>
          <w:p w14:paraId="749E8F16" w14:textId="77777777" w:rsidR="00595975" w:rsidRPr="00065259" w:rsidRDefault="00595975" w:rsidP="006F4E59">
            <w:pPr>
              <w:rPr>
                <w:rFonts w:cs="Arial"/>
                <w:b/>
                <w:bCs/>
                <w:noProof/>
              </w:rPr>
            </w:pPr>
            <w:r w:rsidRPr="00065259">
              <w:rPr>
                <w:rFonts w:cs="Arial"/>
                <w:b/>
                <w:bCs/>
                <w:noProof/>
              </w:rPr>
              <w:t>Total</w:t>
            </w:r>
          </w:p>
        </w:tc>
        <w:tc>
          <w:tcPr>
            <w:tcW w:w="1121" w:type="dxa"/>
            <w:vAlign w:val="center"/>
          </w:tcPr>
          <w:p w14:paraId="01E443B2" w14:textId="77777777" w:rsidR="00595975" w:rsidRPr="00065259" w:rsidRDefault="00595975" w:rsidP="006F4E59">
            <w:pPr>
              <w:jc w:val="right"/>
              <w:rPr>
                <w:rFonts w:cs="Arial"/>
                <w:b/>
                <w:bCs/>
                <w:noProof/>
              </w:rPr>
            </w:pPr>
            <w:r w:rsidRPr="00065259">
              <w:rPr>
                <w:rFonts w:cs="Arial"/>
                <w:b/>
                <w:bCs/>
                <w:noProof/>
              </w:rPr>
              <w:t>100%</w:t>
            </w:r>
          </w:p>
        </w:tc>
      </w:tr>
    </w:tbl>
    <w:p w14:paraId="664F7E27" w14:textId="77777777" w:rsidR="00595975" w:rsidRDefault="00595975"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324B7B">
        <w:trPr>
          <w:trHeight w:val="877"/>
        </w:trPr>
        <w:tc>
          <w:tcPr>
            <w:tcW w:w="10060" w:type="dxa"/>
            <w:shd w:val="clear" w:color="auto" w:fill="D9D9D9" w:themeFill="background1" w:themeFillShade="D9"/>
          </w:tcPr>
          <w:p w14:paraId="2F51372C" w14:textId="1B65E181" w:rsidR="007B6069" w:rsidRPr="00F22E2D" w:rsidRDefault="005128A9" w:rsidP="00F876F3">
            <w:pPr>
              <w:jc w:val="both"/>
              <w:rPr>
                <w:rFonts w:cs="Arial"/>
                <w:noProof/>
              </w:rPr>
            </w:pPr>
            <w:r>
              <w:rPr>
                <w:rFonts w:cs="Arial"/>
                <w:noProof/>
              </w:rPr>
              <w:t>T</w:t>
            </w:r>
            <w:r w:rsidR="007F4DE8">
              <w:rPr>
                <w:rFonts w:cs="Arial"/>
                <w:noProof/>
              </w:rPr>
              <w:t xml:space="preserve">his </w:t>
            </w:r>
            <w:r w:rsidR="004D6BCB">
              <w:rPr>
                <w:rFonts w:cs="Arial"/>
                <w:noProof/>
              </w:rPr>
              <w:t>quarter</w:t>
            </w:r>
            <w:r w:rsidR="007F4DE8">
              <w:rPr>
                <w:rFonts w:cs="Arial"/>
                <w:noProof/>
              </w:rPr>
              <w:t xml:space="preserve"> </w:t>
            </w:r>
            <w:r w:rsidR="009359F8">
              <w:rPr>
                <w:rFonts w:cs="Arial"/>
                <w:noProof/>
              </w:rPr>
              <w:t xml:space="preserve">a clear trend </w:t>
            </w:r>
            <w:r w:rsidR="00F876F3">
              <w:rPr>
                <w:rFonts w:cs="Arial"/>
                <w:noProof/>
              </w:rPr>
              <w:t>was</w:t>
            </w:r>
            <w:r w:rsidR="009359F8">
              <w:rPr>
                <w:rFonts w:cs="Arial"/>
                <w:noProof/>
              </w:rPr>
              <w:t xml:space="preserve"> evident</w:t>
            </w:r>
            <w:r w:rsidR="00C70280">
              <w:rPr>
                <w:rFonts w:cs="Arial"/>
                <w:noProof/>
              </w:rPr>
              <w:t xml:space="preserve"> </w:t>
            </w:r>
            <w:r w:rsidR="004960DA">
              <w:rPr>
                <w:rFonts w:cs="Arial"/>
                <w:noProof/>
              </w:rPr>
              <w:t>with the majority of CIM</w:t>
            </w:r>
            <w:r w:rsidR="0073436F">
              <w:rPr>
                <w:rFonts w:cs="Arial"/>
                <w:noProof/>
              </w:rPr>
              <w:t>s</w:t>
            </w:r>
            <w:r w:rsidR="004960DA">
              <w:rPr>
                <w:rFonts w:cs="Arial"/>
                <w:noProof/>
              </w:rPr>
              <w:t xml:space="preserve"> and VIMs</w:t>
            </w:r>
            <w:r w:rsidR="00C70280">
              <w:rPr>
                <w:rFonts w:cs="Arial"/>
                <w:noProof/>
              </w:rPr>
              <w:t xml:space="preserve"> entered into</w:t>
            </w:r>
            <w:r w:rsidR="00BA6325">
              <w:rPr>
                <w:rFonts w:cs="Arial"/>
                <w:noProof/>
              </w:rPr>
              <w:t>,</w:t>
            </w:r>
            <w:r w:rsidR="00094CDC">
              <w:rPr>
                <w:rFonts w:cs="Arial"/>
                <w:noProof/>
              </w:rPr>
              <w:t xml:space="preserve"> or order</w:t>
            </w:r>
            <w:r>
              <w:rPr>
                <w:rFonts w:cs="Arial"/>
                <w:noProof/>
              </w:rPr>
              <w:t>ed</w:t>
            </w:r>
            <w:r w:rsidR="00094CDC">
              <w:rPr>
                <w:rFonts w:cs="Arial"/>
                <w:noProof/>
              </w:rPr>
              <w:t xml:space="preserve"> by the Commision</w:t>
            </w:r>
            <w:r w:rsidR="00BA6325">
              <w:rPr>
                <w:rFonts w:cs="Arial"/>
                <w:noProof/>
              </w:rPr>
              <w:t>,</w:t>
            </w:r>
            <w:r w:rsidR="0089496C">
              <w:rPr>
                <w:rFonts w:cs="Arial"/>
                <w:noProof/>
              </w:rPr>
              <w:t xml:space="preserve"> </w:t>
            </w:r>
            <w:r w:rsidR="00094CDC">
              <w:rPr>
                <w:rFonts w:cs="Arial"/>
                <w:noProof/>
              </w:rPr>
              <w:t>at the lowest percent</w:t>
            </w:r>
            <w:r w:rsidR="00BA6325">
              <w:rPr>
                <w:rFonts w:cs="Arial"/>
                <w:noProof/>
              </w:rPr>
              <w:t>age level</w:t>
            </w:r>
            <w:r w:rsidR="00094CDC">
              <w:rPr>
                <w:rFonts w:cs="Arial"/>
                <w:noProof/>
              </w:rPr>
              <w:t xml:space="preserve"> </w:t>
            </w:r>
            <w:r w:rsidR="00BA6325">
              <w:rPr>
                <w:rFonts w:cs="Arial"/>
                <w:noProof/>
              </w:rPr>
              <w:t>option for income management</w:t>
            </w:r>
            <w:r w:rsidR="00717B3D">
              <w:rPr>
                <w:rFonts w:cs="Arial"/>
                <w:noProof/>
              </w:rPr>
              <w:t xml:space="preserve"> </w:t>
            </w:r>
            <w:r w:rsidR="00BA6325">
              <w:rPr>
                <w:rFonts w:cs="Arial"/>
                <w:noProof/>
              </w:rPr>
              <w:t>(</w:t>
            </w:r>
            <w:r w:rsidR="00717B3D">
              <w:rPr>
                <w:rFonts w:cs="Arial"/>
                <w:noProof/>
              </w:rPr>
              <w:t xml:space="preserve">i.e. </w:t>
            </w:r>
            <w:r w:rsidR="0089496C">
              <w:rPr>
                <w:rFonts w:cs="Arial"/>
                <w:noProof/>
              </w:rPr>
              <w:t>60% of a clients</w:t>
            </w:r>
            <w:r>
              <w:rPr>
                <w:rFonts w:cs="Arial"/>
                <w:noProof/>
              </w:rPr>
              <w:t>’</w:t>
            </w:r>
            <w:r w:rsidR="0089496C">
              <w:rPr>
                <w:rFonts w:cs="Arial"/>
                <w:noProof/>
              </w:rPr>
              <w:t xml:space="preserve"> </w:t>
            </w:r>
            <w:r w:rsidR="00F876F3">
              <w:rPr>
                <w:rFonts w:cs="Arial"/>
                <w:noProof/>
              </w:rPr>
              <w:t>payments</w:t>
            </w:r>
            <w:r w:rsidR="0089496C">
              <w:rPr>
                <w:rFonts w:cs="Arial"/>
                <w:noProof/>
              </w:rPr>
              <w:t xml:space="preserve"> </w:t>
            </w:r>
            <w:r w:rsidR="00F876F3">
              <w:rPr>
                <w:rFonts w:cs="Arial"/>
                <w:noProof/>
              </w:rPr>
              <w:t>income manage</w:t>
            </w:r>
            <w:r>
              <w:rPr>
                <w:rFonts w:cs="Arial"/>
                <w:noProof/>
              </w:rPr>
              <w:t>d</w:t>
            </w:r>
            <w:r w:rsidR="00BA6325">
              <w:rPr>
                <w:rFonts w:cs="Arial"/>
                <w:noProof/>
              </w:rPr>
              <w:t>)</w:t>
            </w:r>
            <w:r w:rsidR="00F876F3">
              <w:rPr>
                <w:rFonts w:cs="Arial"/>
                <w:noProof/>
              </w:rPr>
              <w:t>.</w:t>
            </w:r>
          </w:p>
        </w:tc>
      </w:tr>
    </w:tbl>
    <w:p w14:paraId="1DAF2BF0" w14:textId="77777777" w:rsidR="003833F9" w:rsidRDefault="003833F9" w:rsidP="007B6069">
      <w:pPr>
        <w:ind w:left="-142" w:right="-425"/>
        <w:jc w:val="both"/>
        <w:rPr>
          <w:rFonts w:cs="Arial"/>
        </w:rPr>
      </w:pPr>
    </w:p>
    <w:p w14:paraId="09FA0CC0" w14:textId="38521C86" w:rsidR="00700320" w:rsidRPr="00C87697" w:rsidRDefault="009D31EC" w:rsidP="00700320">
      <w:pPr>
        <w:ind w:left="-142" w:right="-425"/>
        <w:jc w:val="both"/>
        <w:rPr>
          <w:rFonts w:cs="Arial"/>
          <w:highlight w:val="yellow"/>
        </w:rPr>
      </w:pPr>
      <w:r w:rsidRPr="004B7415">
        <w:rPr>
          <w:rFonts w:cs="Arial"/>
        </w:rPr>
        <w:t xml:space="preserve">It is interesting to note that </w:t>
      </w:r>
      <w:proofErr w:type="gramStart"/>
      <w:r w:rsidRPr="004B7415">
        <w:rPr>
          <w:rFonts w:cs="Arial"/>
        </w:rPr>
        <w:t>the majority of</w:t>
      </w:r>
      <w:proofErr w:type="gramEnd"/>
      <w:r w:rsidRPr="004B7415">
        <w:rPr>
          <w:rFonts w:cs="Arial"/>
        </w:rPr>
        <w:t xml:space="preserve"> community members conditionally income managed by the FRC (community members notified to the FRC) were </w:t>
      </w:r>
      <w:r w:rsidR="0042231A" w:rsidRPr="004B7415">
        <w:rPr>
          <w:rFonts w:cs="Arial"/>
        </w:rPr>
        <w:t xml:space="preserve">females accounting for </w:t>
      </w:r>
      <w:r w:rsidR="004B7415" w:rsidRPr="004B7415">
        <w:rPr>
          <w:rFonts w:cs="Arial"/>
        </w:rPr>
        <w:t xml:space="preserve">67 </w:t>
      </w:r>
      <w:r w:rsidR="0042231A" w:rsidRPr="004B7415">
        <w:rPr>
          <w:rFonts w:cs="Arial"/>
        </w:rPr>
        <w:t xml:space="preserve">percent of </w:t>
      </w:r>
      <w:r w:rsidR="006422F6" w:rsidRPr="004B7415">
        <w:rPr>
          <w:rFonts w:cs="Arial"/>
        </w:rPr>
        <w:t xml:space="preserve">all </w:t>
      </w:r>
      <w:r w:rsidR="00166D38" w:rsidRPr="004B7415">
        <w:rPr>
          <w:rFonts w:cs="Arial"/>
        </w:rPr>
        <w:t xml:space="preserve">the </w:t>
      </w:r>
      <w:r w:rsidR="0042231A" w:rsidRPr="004B7415">
        <w:rPr>
          <w:rFonts w:cs="Arial"/>
        </w:rPr>
        <w:t>CIMs</w:t>
      </w:r>
      <w:r w:rsidR="00C46528" w:rsidRPr="004B7415">
        <w:rPr>
          <w:rFonts w:cs="Arial"/>
        </w:rPr>
        <w:t>.</w:t>
      </w:r>
      <w:r w:rsidR="005A3730" w:rsidRPr="004B7415">
        <w:rPr>
          <w:rFonts w:cs="Arial"/>
        </w:rPr>
        <w:t xml:space="preserve"> No community member older than 65 years was conditionally income managed by the FRC during the quarter.</w:t>
      </w:r>
      <w:r w:rsidR="00C46528" w:rsidRPr="004B7415">
        <w:rPr>
          <w:rFonts w:cs="Arial"/>
        </w:rPr>
        <w:t xml:space="preserve"> </w:t>
      </w:r>
      <w:r w:rsidR="00C46528" w:rsidRPr="00017D68">
        <w:rPr>
          <w:rFonts w:cs="Arial"/>
        </w:rPr>
        <w:t>For the 4 CIMs relating to females</w:t>
      </w:r>
      <w:r w:rsidR="00F12673" w:rsidRPr="00017D68">
        <w:rPr>
          <w:rFonts w:cs="Arial"/>
        </w:rPr>
        <w:t>,</w:t>
      </w:r>
      <w:r w:rsidR="00EE4BD9" w:rsidRPr="00017D68">
        <w:rPr>
          <w:rFonts w:cs="Arial"/>
        </w:rPr>
        <w:t xml:space="preserve"> </w:t>
      </w:r>
      <w:r w:rsidR="00017D68" w:rsidRPr="00017D68">
        <w:rPr>
          <w:rFonts w:cs="Arial"/>
        </w:rPr>
        <w:t xml:space="preserve">75 </w:t>
      </w:r>
      <w:r w:rsidR="00EE4BD9" w:rsidRPr="00017D68">
        <w:rPr>
          <w:rFonts w:cs="Arial"/>
        </w:rPr>
        <w:t xml:space="preserve">percent </w:t>
      </w:r>
      <w:r w:rsidR="00C46528" w:rsidRPr="00017D68">
        <w:rPr>
          <w:rFonts w:cs="Arial"/>
        </w:rPr>
        <w:t xml:space="preserve">were </w:t>
      </w:r>
      <w:r w:rsidR="00EE4BD9" w:rsidRPr="00017D68">
        <w:rPr>
          <w:rFonts w:cs="Arial"/>
        </w:rPr>
        <w:t>for a school attendance notice</w:t>
      </w:r>
      <w:r w:rsidR="006422F6" w:rsidRPr="00017D68">
        <w:rPr>
          <w:rFonts w:cs="Arial"/>
        </w:rPr>
        <w:t>,</w:t>
      </w:r>
      <w:r w:rsidR="00C46528" w:rsidRPr="00017D68">
        <w:rPr>
          <w:rFonts w:cs="Arial"/>
        </w:rPr>
        <w:t xml:space="preserve"> which correlates to the </w:t>
      </w:r>
      <w:r w:rsidR="006422F6" w:rsidRPr="00017D68">
        <w:rPr>
          <w:rFonts w:cs="Arial"/>
        </w:rPr>
        <w:t xml:space="preserve">female </w:t>
      </w:r>
      <w:r w:rsidR="00C46528" w:rsidRPr="00017D68">
        <w:rPr>
          <w:rFonts w:cs="Arial"/>
        </w:rPr>
        <w:t>role of caregiver in the family structure</w:t>
      </w:r>
      <w:r w:rsidR="00EE4BD9" w:rsidRPr="00017D68">
        <w:rPr>
          <w:rFonts w:cs="Arial"/>
        </w:rPr>
        <w:t>.</w:t>
      </w:r>
    </w:p>
    <w:p w14:paraId="047CED0F" w14:textId="77777777" w:rsidR="00700320" w:rsidRPr="00C87697" w:rsidRDefault="00700320" w:rsidP="00700320">
      <w:pPr>
        <w:ind w:left="-142" w:right="-425"/>
        <w:jc w:val="both"/>
        <w:rPr>
          <w:rFonts w:cs="Arial"/>
          <w:highlight w:val="yellow"/>
        </w:rPr>
      </w:pPr>
    </w:p>
    <w:p w14:paraId="5026F836" w14:textId="52E82EBF" w:rsidR="00700320" w:rsidRPr="000B1E56" w:rsidRDefault="00F12673" w:rsidP="00700320">
      <w:pPr>
        <w:ind w:left="-142" w:right="-425"/>
        <w:jc w:val="both"/>
        <w:rPr>
          <w:rFonts w:cs="Arial"/>
        </w:rPr>
      </w:pPr>
      <w:r w:rsidRPr="000B1E56">
        <w:rPr>
          <w:rFonts w:cs="Arial"/>
        </w:rPr>
        <w:t>T</w:t>
      </w:r>
      <w:r w:rsidR="009D31EC" w:rsidRPr="000B1E56">
        <w:rPr>
          <w:rFonts w:cs="Arial"/>
        </w:rPr>
        <w:t>he majority of community members voluntarily participating in voluntary income management</w:t>
      </w:r>
      <w:r w:rsidR="00DE66D7" w:rsidRPr="000B1E56">
        <w:rPr>
          <w:rFonts w:cs="Arial"/>
        </w:rPr>
        <w:t xml:space="preserve"> belong to older cohort</w:t>
      </w:r>
      <w:r w:rsidR="000B1E56" w:rsidRPr="000B1E56">
        <w:rPr>
          <w:rFonts w:cs="Arial"/>
        </w:rPr>
        <w:t>s</w:t>
      </w:r>
      <w:r w:rsidR="009D31EC" w:rsidRPr="000B1E56">
        <w:rPr>
          <w:rFonts w:cs="Arial"/>
        </w:rPr>
        <w:t xml:space="preserve"> </w:t>
      </w:r>
      <w:r w:rsidR="00DE66D7" w:rsidRPr="000B1E56">
        <w:rPr>
          <w:rFonts w:cs="Arial"/>
        </w:rPr>
        <w:t>(</w:t>
      </w:r>
      <w:r w:rsidR="000B1E56" w:rsidRPr="000B1E56">
        <w:rPr>
          <w:rFonts w:cs="Arial"/>
        </w:rPr>
        <w:t xml:space="preserve">from the </w:t>
      </w:r>
      <w:r w:rsidR="00347B60" w:rsidRPr="000B1E56">
        <w:rPr>
          <w:rFonts w:cs="Arial"/>
        </w:rPr>
        <w:t>46</w:t>
      </w:r>
      <w:r w:rsidR="009D31EC" w:rsidRPr="000B1E56">
        <w:rPr>
          <w:rFonts w:cs="Arial"/>
        </w:rPr>
        <w:t xml:space="preserve"> to </w:t>
      </w:r>
      <w:proofErr w:type="gramStart"/>
      <w:r w:rsidR="00347B60" w:rsidRPr="000B1E56">
        <w:rPr>
          <w:rFonts w:cs="Arial"/>
        </w:rPr>
        <w:t>55</w:t>
      </w:r>
      <w:r w:rsidR="009D31EC" w:rsidRPr="000B1E56">
        <w:rPr>
          <w:rFonts w:cs="Arial"/>
        </w:rPr>
        <w:t xml:space="preserve"> year</w:t>
      </w:r>
      <w:proofErr w:type="gramEnd"/>
      <w:r w:rsidR="009D31EC" w:rsidRPr="000B1E56">
        <w:rPr>
          <w:rFonts w:cs="Arial"/>
        </w:rPr>
        <w:t xml:space="preserve"> age group</w:t>
      </w:r>
      <w:r w:rsidR="000B1E56" w:rsidRPr="000B1E56">
        <w:rPr>
          <w:rFonts w:cs="Arial"/>
        </w:rPr>
        <w:t xml:space="preserve"> to the </w:t>
      </w:r>
      <w:r w:rsidR="008D35CF">
        <w:rPr>
          <w:rFonts w:cs="Arial"/>
        </w:rPr>
        <w:t>5</w:t>
      </w:r>
      <w:r w:rsidR="000B1E56" w:rsidRPr="000B1E56">
        <w:rPr>
          <w:rFonts w:cs="Arial"/>
        </w:rPr>
        <w:t>6-</w:t>
      </w:r>
      <w:r w:rsidR="008D35CF">
        <w:rPr>
          <w:rFonts w:cs="Arial"/>
        </w:rPr>
        <w:t>6</w:t>
      </w:r>
      <w:r w:rsidR="000B1E56" w:rsidRPr="000B1E56">
        <w:rPr>
          <w:rFonts w:cs="Arial"/>
        </w:rPr>
        <w:t>5 age group</w:t>
      </w:r>
      <w:r w:rsidR="00DE66D7" w:rsidRPr="000B1E56">
        <w:rPr>
          <w:rFonts w:cs="Arial"/>
        </w:rPr>
        <w:t>)</w:t>
      </w:r>
      <w:r w:rsidR="005A3730" w:rsidRPr="000B1E56">
        <w:rPr>
          <w:rFonts w:cs="Arial"/>
        </w:rPr>
        <w:t>.</w:t>
      </w:r>
      <w:r w:rsidR="00FF351C" w:rsidRPr="000B1E56">
        <w:rPr>
          <w:rFonts w:cs="Arial"/>
        </w:rPr>
        <w:t xml:space="preserve"> </w:t>
      </w:r>
      <w:r w:rsidR="005A3730" w:rsidRPr="000B1E56">
        <w:rPr>
          <w:rFonts w:cs="Arial"/>
        </w:rPr>
        <w:t>F</w:t>
      </w:r>
      <w:r w:rsidR="00FF351C" w:rsidRPr="000B1E56">
        <w:rPr>
          <w:rFonts w:cs="Arial"/>
        </w:rPr>
        <w:t xml:space="preserve">emales account for </w:t>
      </w:r>
      <w:r w:rsidR="00097935">
        <w:rPr>
          <w:rFonts w:cs="Arial"/>
        </w:rPr>
        <w:t>69</w:t>
      </w:r>
      <w:r w:rsidR="00097935" w:rsidRPr="000B1E56">
        <w:rPr>
          <w:rFonts w:cs="Arial"/>
        </w:rPr>
        <w:t xml:space="preserve"> </w:t>
      </w:r>
      <w:r w:rsidR="00FF351C" w:rsidRPr="000B1E56">
        <w:rPr>
          <w:rFonts w:cs="Arial"/>
        </w:rPr>
        <w:t xml:space="preserve">percent of </w:t>
      </w:r>
      <w:r w:rsidR="00166D38" w:rsidRPr="000B1E56">
        <w:rPr>
          <w:rFonts w:cs="Arial"/>
        </w:rPr>
        <w:t xml:space="preserve">the </w:t>
      </w:r>
      <w:r w:rsidR="0042231A" w:rsidRPr="000B1E56">
        <w:rPr>
          <w:rFonts w:cs="Arial"/>
        </w:rPr>
        <w:t>VIMs. Over</w:t>
      </w:r>
      <w:r w:rsidR="00FF351C" w:rsidRPr="000B1E56">
        <w:rPr>
          <w:rFonts w:cs="Arial"/>
        </w:rPr>
        <w:t xml:space="preserve">all </w:t>
      </w:r>
      <w:r w:rsidR="0042231A" w:rsidRPr="000B1E56">
        <w:rPr>
          <w:rFonts w:cs="Arial"/>
        </w:rPr>
        <w:t xml:space="preserve">females accounted for </w:t>
      </w:r>
      <w:r w:rsidR="00097935">
        <w:rPr>
          <w:rFonts w:cs="Arial"/>
        </w:rPr>
        <w:t>68</w:t>
      </w:r>
      <w:r w:rsidR="00097935" w:rsidRPr="000B1E56">
        <w:rPr>
          <w:rFonts w:cs="Arial"/>
        </w:rPr>
        <w:t xml:space="preserve"> </w:t>
      </w:r>
      <w:r w:rsidR="0042231A" w:rsidRPr="000B1E56">
        <w:rPr>
          <w:rFonts w:cs="Arial"/>
        </w:rPr>
        <w:t xml:space="preserve">percent of all </w:t>
      </w:r>
      <w:r w:rsidR="00FF351C" w:rsidRPr="000B1E56">
        <w:rPr>
          <w:rFonts w:cs="Arial"/>
        </w:rPr>
        <w:t>CDCs</w:t>
      </w:r>
      <w:r w:rsidR="005A3730" w:rsidRPr="000B1E56">
        <w:rPr>
          <w:rFonts w:cs="Arial"/>
        </w:rPr>
        <w:t xml:space="preserve"> (voluntary and conditional)</w:t>
      </w:r>
      <w:r w:rsidR="0042231A" w:rsidRPr="000B1E56">
        <w:rPr>
          <w:rFonts w:cs="Arial"/>
        </w:rPr>
        <w:t xml:space="preserve"> </w:t>
      </w:r>
      <w:r w:rsidR="009122F0" w:rsidRPr="000B1E56">
        <w:rPr>
          <w:rFonts w:cs="Arial"/>
        </w:rPr>
        <w:t>in</w:t>
      </w:r>
      <w:r w:rsidR="0042231A" w:rsidRPr="000B1E56">
        <w:rPr>
          <w:rFonts w:cs="Arial"/>
        </w:rPr>
        <w:t xml:space="preserve"> quarter </w:t>
      </w:r>
      <w:r w:rsidR="005E1684" w:rsidRPr="000B1E56">
        <w:rPr>
          <w:rFonts w:cs="Arial"/>
        </w:rPr>
        <w:t>55</w:t>
      </w:r>
      <w:r w:rsidR="009D31EC" w:rsidRPr="000B1E56">
        <w:rPr>
          <w:rFonts w:cs="Arial"/>
        </w:rPr>
        <w:t>.</w:t>
      </w:r>
    </w:p>
    <w:p w14:paraId="4A3BF326" w14:textId="77777777" w:rsidR="00700320" w:rsidRPr="00C87697" w:rsidRDefault="00700320" w:rsidP="00700320">
      <w:pPr>
        <w:ind w:left="-142" w:right="-425"/>
        <w:jc w:val="both"/>
        <w:rPr>
          <w:rFonts w:cs="Arial"/>
          <w:highlight w:val="yellow"/>
        </w:rPr>
      </w:pPr>
    </w:p>
    <w:p w14:paraId="5C28C434" w14:textId="4A2445C6" w:rsidR="009D31EC" w:rsidRDefault="009D31EC" w:rsidP="00700320">
      <w:pPr>
        <w:ind w:left="-142" w:right="-425"/>
        <w:jc w:val="both"/>
        <w:rPr>
          <w:rFonts w:cs="Arial"/>
        </w:rPr>
      </w:pPr>
      <w:r w:rsidRPr="00132A72">
        <w:rPr>
          <w:rFonts w:cs="Arial"/>
        </w:rPr>
        <w:t xml:space="preserve">Reasons for applying for the CDC were primarily to </w:t>
      </w:r>
      <w:r w:rsidR="00132A72" w:rsidRPr="00132A72">
        <w:rPr>
          <w:rFonts w:cs="Arial"/>
        </w:rPr>
        <w:t xml:space="preserve">pay bills (81 percent), to </w:t>
      </w:r>
      <w:r w:rsidRPr="00132A72">
        <w:rPr>
          <w:rFonts w:cs="Arial"/>
        </w:rPr>
        <w:t>buy food</w:t>
      </w:r>
      <w:r w:rsidR="00C06F76" w:rsidRPr="00132A72">
        <w:rPr>
          <w:rFonts w:cs="Arial"/>
        </w:rPr>
        <w:t xml:space="preserve"> (</w:t>
      </w:r>
      <w:r w:rsidR="00132A72" w:rsidRPr="00132A72">
        <w:rPr>
          <w:rFonts w:cs="Arial"/>
        </w:rPr>
        <w:t xml:space="preserve">69 </w:t>
      </w:r>
      <w:r w:rsidR="00C06F76" w:rsidRPr="00132A72">
        <w:rPr>
          <w:rFonts w:cs="Arial"/>
        </w:rPr>
        <w:t>percent)</w:t>
      </w:r>
      <w:r w:rsidR="0094130D" w:rsidRPr="00132A72">
        <w:rPr>
          <w:rFonts w:cs="Arial"/>
        </w:rPr>
        <w:t>,</w:t>
      </w:r>
      <w:r w:rsidRPr="00132A72">
        <w:rPr>
          <w:rFonts w:cs="Arial"/>
        </w:rPr>
        <w:t xml:space="preserve"> </w:t>
      </w:r>
      <w:r w:rsidR="0094130D" w:rsidRPr="00132A72">
        <w:rPr>
          <w:rFonts w:cs="Arial"/>
        </w:rPr>
        <w:t>to save for something they needed</w:t>
      </w:r>
      <w:r w:rsidR="00C06F76" w:rsidRPr="00132A72">
        <w:rPr>
          <w:rFonts w:cs="Arial"/>
        </w:rPr>
        <w:t xml:space="preserve"> (</w:t>
      </w:r>
      <w:r w:rsidR="00132A72" w:rsidRPr="00132A72">
        <w:rPr>
          <w:rFonts w:cs="Arial"/>
        </w:rPr>
        <w:t xml:space="preserve">50 </w:t>
      </w:r>
      <w:r w:rsidR="00C06F76" w:rsidRPr="00132A72">
        <w:rPr>
          <w:rFonts w:cs="Arial"/>
        </w:rPr>
        <w:t>percent)</w:t>
      </w:r>
      <w:r w:rsidR="00132A72" w:rsidRPr="00132A72">
        <w:rPr>
          <w:rFonts w:cs="Arial"/>
        </w:rPr>
        <w:t xml:space="preserve"> and to budget (25 percent)</w:t>
      </w:r>
      <w:r w:rsidRPr="00132A72">
        <w:rPr>
          <w:rFonts w:cs="Arial"/>
        </w:rPr>
        <w:t xml:space="preserve">. </w:t>
      </w:r>
      <w:r w:rsidR="00F966ED" w:rsidRPr="00132A72">
        <w:rPr>
          <w:rFonts w:cs="Arial"/>
        </w:rPr>
        <w:t>Circumstances given by voluntary income management participants when applying for the CDC were primarily to support themselves (5</w:t>
      </w:r>
      <w:r w:rsidR="00132A72" w:rsidRPr="00132A72">
        <w:rPr>
          <w:rFonts w:cs="Arial"/>
        </w:rPr>
        <w:t>0</w:t>
      </w:r>
      <w:r w:rsidR="00F966ED" w:rsidRPr="00132A72">
        <w:rPr>
          <w:rFonts w:cs="Arial"/>
        </w:rPr>
        <w:t xml:space="preserve"> percent)</w:t>
      </w:r>
      <w:r w:rsidR="00132A72" w:rsidRPr="00132A72">
        <w:rPr>
          <w:rFonts w:cs="Arial"/>
        </w:rPr>
        <w:t xml:space="preserve">, </w:t>
      </w:r>
      <w:r w:rsidR="00EC0BE6">
        <w:rPr>
          <w:rFonts w:cs="Arial"/>
        </w:rPr>
        <w:t>they</w:t>
      </w:r>
      <w:r w:rsidR="00132A72" w:rsidRPr="00132A72">
        <w:rPr>
          <w:rFonts w:cs="Arial"/>
        </w:rPr>
        <w:t xml:space="preserve"> like</w:t>
      </w:r>
      <w:r w:rsidR="00EC0BE6">
        <w:rPr>
          <w:rFonts w:cs="Arial"/>
        </w:rPr>
        <w:t>d</w:t>
      </w:r>
      <w:r w:rsidR="00132A72" w:rsidRPr="00132A72">
        <w:rPr>
          <w:rFonts w:cs="Arial"/>
        </w:rPr>
        <w:t xml:space="preserve"> the Cashless Debit Card (</w:t>
      </w:r>
      <w:r w:rsidR="00EC0BE6">
        <w:rPr>
          <w:rFonts w:cs="Arial"/>
        </w:rPr>
        <w:t>44</w:t>
      </w:r>
      <w:r w:rsidR="00132A72" w:rsidRPr="00132A72">
        <w:rPr>
          <w:rFonts w:cs="Arial"/>
        </w:rPr>
        <w:t xml:space="preserve"> percent) and </w:t>
      </w:r>
      <w:r w:rsidR="00EC0BE6">
        <w:rPr>
          <w:rFonts w:cs="Arial"/>
        </w:rPr>
        <w:t>they</w:t>
      </w:r>
      <w:r w:rsidR="00132A72" w:rsidRPr="00132A72">
        <w:rPr>
          <w:rFonts w:cs="Arial"/>
        </w:rPr>
        <w:t xml:space="preserve"> need</w:t>
      </w:r>
      <w:r w:rsidR="00EC0BE6">
        <w:rPr>
          <w:rFonts w:cs="Arial"/>
        </w:rPr>
        <w:t>ed</w:t>
      </w:r>
      <w:r w:rsidR="00132A72" w:rsidRPr="00132A72">
        <w:rPr>
          <w:rFonts w:cs="Arial"/>
        </w:rPr>
        <w:t xml:space="preserve"> to support </w:t>
      </w:r>
      <w:r w:rsidR="00EC0BE6">
        <w:rPr>
          <w:rFonts w:cs="Arial"/>
        </w:rPr>
        <w:t>their</w:t>
      </w:r>
      <w:r w:rsidR="00132A72" w:rsidRPr="00132A72">
        <w:rPr>
          <w:rFonts w:cs="Arial"/>
        </w:rPr>
        <w:t xml:space="preserve"> family (38 percent)</w:t>
      </w:r>
      <w:r w:rsidR="00F966ED" w:rsidRPr="00132A72">
        <w:rPr>
          <w:rFonts w:cs="Arial"/>
        </w:rPr>
        <w:t xml:space="preserve">. </w:t>
      </w:r>
      <w:r w:rsidR="00AC37B0" w:rsidRPr="00132A72">
        <w:rPr>
          <w:rFonts w:cs="Arial"/>
        </w:rPr>
        <w:t>Please note</w:t>
      </w:r>
      <w:r w:rsidR="00F12673" w:rsidRPr="00132A72">
        <w:rPr>
          <w:rFonts w:cs="Arial"/>
        </w:rPr>
        <w:t>,</w:t>
      </w:r>
      <w:r w:rsidR="00AC37B0" w:rsidRPr="00132A72">
        <w:rPr>
          <w:rFonts w:cs="Arial"/>
        </w:rPr>
        <w:t xml:space="preserve"> a client may choose one or more options to reflect their individual reasons </w:t>
      </w:r>
      <w:r w:rsidR="00CD64F4" w:rsidRPr="00132A72">
        <w:rPr>
          <w:rFonts w:cs="Arial"/>
        </w:rPr>
        <w:t xml:space="preserve">and circumstances </w:t>
      </w:r>
      <w:r w:rsidR="00764182" w:rsidRPr="00132A72">
        <w:rPr>
          <w:rFonts w:cs="Arial"/>
        </w:rPr>
        <w:t>for participating in voluntary income management</w:t>
      </w:r>
      <w:r w:rsidR="00AC37B0" w:rsidRPr="00132A72">
        <w:rPr>
          <w:rFonts w:cs="Arial"/>
        </w:rPr>
        <w:t>.</w:t>
      </w:r>
    </w:p>
    <w:p w14:paraId="57BB75E0" w14:textId="77777777" w:rsidR="00E12635" w:rsidRDefault="00E12635" w:rsidP="00E12635">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E12635" w14:paraId="080E44B8" w14:textId="77777777" w:rsidTr="006F4E59">
        <w:trPr>
          <w:trHeight w:val="278"/>
        </w:trPr>
        <w:tc>
          <w:tcPr>
            <w:tcW w:w="4390" w:type="dxa"/>
            <w:gridSpan w:val="4"/>
          </w:tcPr>
          <w:p w14:paraId="4DA5F97A" w14:textId="64D4234B" w:rsidR="00E12635" w:rsidRDefault="00E12635" w:rsidP="006F4E59">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25</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Pr>
                <w:rFonts w:cs="Arial"/>
                <w:noProof/>
                <w:sz w:val="16"/>
                <w:szCs w:val="16"/>
              </w:rPr>
              <w:br/>
            </w:r>
            <w:r w:rsidRPr="00523A30">
              <w:rPr>
                <w:rFonts w:cs="Arial"/>
                <w:noProof/>
                <w:sz w:val="16"/>
                <w:szCs w:val="16"/>
              </w:rPr>
              <w:t xml:space="preserve">1 </w:t>
            </w:r>
            <w:r>
              <w:rPr>
                <w:rFonts w:cs="Arial"/>
                <w:noProof/>
                <w:sz w:val="16"/>
                <w:szCs w:val="16"/>
              </w:rPr>
              <w:t>January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1 </w:t>
            </w:r>
            <w:r>
              <w:rPr>
                <w:rFonts w:cs="Arial"/>
                <w:noProof/>
                <w:sz w:val="16"/>
                <w:szCs w:val="16"/>
              </w:rPr>
              <w:t>March</w:t>
            </w:r>
            <w:r>
              <w:rPr>
                <w:rFonts w:cs="Arial"/>
                <w:noProof/>
                <w:sz w:val="16"/>
                <w:szCs w:val="16"/>
              </w:rPr>
              <w:t xml:space="preserve"> </w:t>
            </w:r>
            <w:r w:rsidRPr="00523A30">
              <w:rPr>
                <w:rFonts w:cs="Arial"/>
                <w:noProof/>
                <w:sz w:val="16"/>
                <w:szCs w:val="16"/>
              </w:rPr>
              <w:t>202</w:t>
            </w:r>
            <w:r>
              <w:rPr>
                <w:rFonts w:cs="Arial"/>
                <w:noProof/>
                <w:sz w:val="16"/>
                <w:szCs w:val="16"/>
              </w:rPr>
              <w:t>2</w:t>
            </w:r>
          </w:p>
        </w:tc>
        <w:tc>
          <w:tcPr>
            <w:tcW w:w="567" w:type="dxa"/>
            <w:tcBorders>
              <w:top w:val="nil"/>
              <w:bottom w:val="nil"/>
            </w:tcBorders>
          </w:tcPr>
          <w:p w14:paraId="736094C2" w14:textId="77777777" w:rsidR="00E12635" w:rsidRDefault="00E12635" w:rsidP="006F4E59">
            <w:pPr>
              <w:rPr>
                <w:rFonts w:cs="Arial"/>
                <w:b/>
                <w:bCs/>
                <w:noProof/>
                <w:sz w:val="16"/>
                <w:szCs w:val="16"/>
              </w:rPr>
            </w:pPr>
          </w:p>
        </w:tc>
        <w:tc>
          <w:tcPr>
            <w:tcW w:w="4394" w:type="dxa"/>
            <w:gridSpan w:val="4"/>
          </w:tcPr>
          <w:p w14:paraId="5B37D5B4" w14:textId="1171811B" w:rsidR="00E12635" w:rsidRDefault="00E12635" w:rsidP="006F4E59">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Pr>
                <w:rFonts w:cs="Arial"/>
                <w:noProof/>
                <w:sz w:val="16"/>
                <w:szCs w:val="16"/>
              </w:rPr>
              <w:br/>
            </w:r>
            <w:r w:rsidRPr="00523A30">
              <w:rPr>
                <w:rFonts w:cs="Arial"/>
                <w:noProof/>
                <w:sz w:val="16"/>
                <w:szCs w:val="16"/>
              </w:rPr>
              <w:t xml:space="preserve">1 </w:t>
            </w:r>
            <w:r>
              <w:rPr>
                <w:rFonts w:cs="Arial"/>
                <w:noProof/>
                <w:sz w:val="16"/>
                <w:szCs w:val="16"/>
              </w:rPr>
              <w:t>January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1 </w:t>
            </w:r>
            <w:r>
              <w:rPr>
                <w:rFonts w:cs="Arial"/>
                <w:noProof/>
                <w:sz w:val="16"/>
                <w:szCs w:val="16"/>
              </w:rPr>
              <w:t>March</w:t>
            </w:r>
            <w:r w:rsidRPr="00523A30">
              <w:rPr>
                <w:rFonts w:cs="Arial"/>
                <w:noProof/>
                <w:sz w:val="16"/>
                <w:szCs w:val="16"/>
              </w:rPr>
              <w:t xml:space="preserve"> 202</w:t>
            </w:r>
            <w:r>
              <w:rPr>
                <w:rFonts w:cs="Arial"/>
                <w:noProof/>
                <w:sz w:val="16"/>
                <w:szCs w:val="16"/>
              </w:rPr>
              <w:t>2</w:t>
            </w:r>
          </w:p>
        </w:tc>
      </w:tr>
      <w:tr w:rsidR="00E12635" w14:paraId="77C8CF59" w14:textId="77777777" w:rsidTr="006F4E59">
        <w:trPr>
          <w:trHeight w:val="278"/>
        </w:trPr>
        <w:tc>
          <w:tcPr>
            <w:tcW w:w="1418" w:type="dxa"/>
            <w:vAlign w:val="center"/>
          </w:tcPr>
          <w:p w14:paraId="266EF0A8" w14:textId="77777777" w:rsidR="00E12635" w:rsidRPr="002F3F87" w:rsidRDefault="00E12635" w:rsidP="006F4E59">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09131E26" w14:textId="77777777" w:rsidR="00E12635" w:rsidRPr="002F3F87" w:rsidRDefault="00E12635" w:rsidP="006F4E59">
            <w:pPr>
              <w:jc w:val="center"/>
              <w:rPr>
                <w:rFonts w:cs="Arial"/>
                <w:b/>
                <w:bCs/>
                <w:noProof/>
              </w:rPr>
            </w:pPr>
            <w:r w:rsidRPr="002F3F87">
              <w:rPr>
                <w:rFonts w:cs="Arial"/>
                <w:b/>
                <w:bCs/>
                <w:noProof/>
              </w:rPr>
              <w:t>Male</w:t>
            </w:r>
          </w:p>
        </w:tc>
        <w:tc>
          <w:tcPr>
            <w:tcW w:w="1134" w:type="dxa"/>
            <w:vAlign w:val="center"/>
          </w:tcPr>
          <w:p w14:paraId="3D78455D" w14:textId="77777777" w:rsidR="00E12635" w:rsidRPr="002F3F87" w:rsidRDefault="00E12635" w:rsidP="006F4E59">
            <w:pPr>
              <w:jc w:val="center"/>
              <w:rPr>
                <w:rFonts w:cs="Arial"/>
                <w:b/>
                <w:bCs/>
                <w:noProof/>
              </w:rPr>
            </w:pPr>
            <w:r w:rsidRPr="002F3F87">
              <w:rPr>
                <w:rFonts w:cs="Arial"/>
                <w:b/>
                <w:bCs/>
                <w:noProof/>
              </w:rPr>
              <w:t>Female</w:t>
            </w:r>
          </w:p>
        </w:tc>
        <w:tc>
          <w:tcPr>
            <w:tcW w:w="851" w:type="dxa"/>
          </w:tcPr>
          <w:p w14:paraId="4A09C50B" w14:textId="77777777" w:rsidR="00E12635" w:rsidRPr="002F3F87" w:rsidRDefault="00E12635" w:rsidP="006F4E59">
            <w:pPr>
              <w:jc w:val="center"/>
              <w:rPr>
                <w:rFonts w:cs="Arial"/>
                <w:b/>
                <w:bCs/>
                <w:noProof/>
              </w:rPr>
            </w:pPr>
            <w:r>
              <w:rPr>
                <w:rFonts w:cs="Arial"/>
                <w:b/>
                <w:bCs/>
                <w:noProof/>
              </w:rPr>
              <w:t>Total</w:t>
            </w:r>
          </w:p>
        </w:tc>
        <w:tc>
          <w:tcPr>
            <w:tcW w:w="567" w:type="dxa"/>
            <w:tcBorders>
              <w:top w:val="nil"/>
              <w:bottom w:val="nil"/>
            </w:tcBorders>
          </w:tcPr>
          <w:p w14:paraId="73D9230A" w14:textId="77777777" w:rsidR="00E12635" w:rsidRPr="002F3F87" w:rsidRDefault="00E12635" w:rsidP="006F4E59">
            <w:pPr>
              <w:rPr>
                <w:rFonts w:cs="Arial"/>
                <w:b/>
                <w:bCs/>
                <w:noProof/>
              </w:rPr>
            </w:pPr>
          </w:p>
        </w:tc>
        <w:tc>
          <w:tcPr>
            <w:tcW w:w="1417" w:type="dxa"/>
            <w:vAlign w:val="center"/>
          </w:tcPr>
          <w:p w14:paraId="6C2233FC" w14:textId="77777777" w:rsidR="00E12635" w:rsidRPr="002F3F87" w:rsidRDefault="00E12635" w:rsidP="006F4E59">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77314666" w14:textId="77777777" w:rsidR="00E12635" w:rsidRPr="002F3F87" w:rsidRDefault="00E12635" w:rsidP="006F4E59">
            <w:pPr>
              <w:jc w:val="center"/>
              <w:rPr>
                <w:rFonts w:cs="Arial"/>
                <w:b/>
                <w:bCs/>
                <w:noProof/>
              </w:rPr>
            </w:pPr>
            <w:r w:rsidRPr="002F3F87">
              <w:rPr>
                <w:rFonts w:cs="Arial"/>
                <w:b/>
                <w:bCs/>
                <w:noProof/>
              </w:rPr>
              <w:t>Male</w:t>
            </w:r>
          </w:p>
        </w:tc>
        <w:tc>
          <w:tcPr>
            <w:tcW w:w="1134" w:type="dxa"/>
            <w:vAlign w:val="center"/>
          </w:tcPr>
          <w:p w14:paraId="3866C100" w14:textId="77777777" w:rsidR="00E12635" w:rsidRPr="002F3F87" w:rsidRDefault="00E12635" w:rsidP="006F4E59">
            <w:pPr>
              <w:jc w:val="center"/>
              <w:rPr>
                <w:rFonts w:cs="Arial"/>
                <w:b/>
                <w:bCs/>
                <w:noProof/>
              </w:rPr>
            </w:pPr>
            <w:r w:rsidRPr="002F3F87">
              <w:rPr>
                <w:rFonts w:cs="Arial"/>
                <w:b/>
                <w:bCs/>
                <w:noProof/>
              </w:rPr>
              <w:t>Female</w:t>
            </w:r>
          </w:p>
        </w:tc>
        <w:tc>
          <w:tcPr>
            <w:tcW w:w="851" w:type="dxa"/>
          </w:tcPr>
          <w:p w14:paraId="5906DFE9" w14:textId="77777777" w:rsidR="00E12635" w:rsidRPr="002F3F87" w:rsidRDefault="00E12635" w:rsidP="006F4E59">
            <w:pPr>
              <w:jc w:val="center"/>
              <w:rPr>
                <w:rFonts w:cs="Arial"/>
                <w:b/>
                <w:bCs/>
                <w:noProof/>
              </w:rPr>
            </w:pPr>
            <w:r>
              <w:rPr>
                <w:rFonts w:cs="Arial"/>
                <w:b/>
                <w:bCs/>
                <w:noProof/>
              </w:rPr>
              <w:t>Total</w:t>
            </w:r>
          </w:p>
        </w:tc>
      </w:tr>
      <w:tr w:rsidR="00E12635" w14:paraId="0EBA4EF5" w14:textId="77777777" w:rsidTr="006F4E59">
        <w:trPr>
          <w:trHeight w:val="278"/>
        </w:trPr>
        <w:tc>
          <w:tcPr>
            <w:tcW w:w="1418" w:type="dxa"/>
            <w:vAlign w:val="center"/>
          </w:tcPr>
          <w:p w14:paraId="6DC78423" w14:textId="77777777" w:rsidR="00E12635" w:rsidRPr="002819D6" w:rsidRDefault="00E12635" w:rsidP="006F4E59">
            <w:pPr>
              <w:rPr>
                <w:rFonts w:cs="Arial"/>
                <w:noProof/>
              </w:rPr>
            </w:pPr>
            <w:r>
              <w:rPr>
                <w:rFonts w:cs="Arial"/>
                <w:noProof/>
              </w:rPr>
              <w:t>18-25</w:t>
            </w:r>
          </w:p>
        </w:tc>
        <w:tc>
          <w:tcPr>
            <w:tcW w:w="987" w:type="dxa"/>
            <w:vAlign w:val="center"/>
          </w:tcPr>
          <w:p w14:paraId="1A2527D5" w14:textId="77777777" w:rsidR="00E12635" w:rsidRPr="001D1C01" w:rsidRDefault="00E12635" w:rsidP="006F4E59">
            <w:pPr>
              <w:jc w:val="right"/>
              <w:rPr>
                <w:rFonts w:cs="Arial"/>
                <w:noProof/>
              </w:rPr>
            </w:pPr>
            <w:r>
              <w:rPr>
                <w:rFonts w:cs="Arial"/>
                <w:noProof/>
              </w:rPr>
              <w:t>0</w:t>
            </w:r>
          </w:p>
        </w:tc>
        <w:tc>
          <w:tcPr>
            <w:tcW w:w="1134" w:type="dxa"/>
            <w:vAlign w:val="center"/>
          </w:tcPr>
          <w:p w14:paraId="1E75C643" w14:textId="3E753FE8" w:rsidR="00E12635" w:rsidRPr="001D1C01" w:rsidRDefault="00AB5CD4" w:rsidP="006F4E59">
            <w:pPr>
              <w:jc w:val="right"/>
              <w:rPr>
                <w:rFonts w:cs="Arial"/>
                <w:noProof/>
              </w:rPr>
            </w:pPr>
            <w:r>
              <w:rPr>
                <w:rFonts w:cs="Arial"/>
                <w:noProof/>
              </w:rPr>
              <w:t>0</w:t>
            </w:r>
          </w:p>
        </w:tc>
        <w:tc>
          <w:tcPr>
            <w:tcW w:w="851" w:type="dxa"/>
          </w:tcPr>
          <w:p w14:paraId="2743AE71" w14:textId="2366E2D4" w:rsidR="00E12635" w:rsidRPr="006B597B" w:rsidRDefault="00AB5CD4" w:rsidP="006F4E59">
            <w:pPr>
              <w:jc w:val="right"/>
              <w:rPr>
                <w:rFonts w:cs="Arial"/>
                <w:b/>
                <w:bCs/>
                <w:noProof/>
              </w:rPr>
            </w:pPr>
            <w:r>
              <w:rPr>
                <w:rFonts w:cs="Arial"/>
                <w:b/>
                <w:bCs/>
                <w:noProof/>
              </w:rPr>
              <w:t>0</w:t>
            </w:r>
          </w:p>
        </w:tc>
        <w:tc>
          <w:tcPr>
            <w:tcW w:w="567" w:type="dxa"/>
            <w:tcBorders>
              <w:top w:val="nil"/>
              <w:bottom w:val="nil"/>
            </w:tcBorders>
          </w:tcPr>
          <w:p w14:paraId="6A87DE12" w14:textId="77777777" w:rsidR="00E12635" w:rsidRDefault="00E12635" w:rsidP="006F4E59">
            <w:pPr>
              <w:rPr>
                <w:rFonts w:cs="Arial"/>
                <w:noProof/>
              </w:rPr>
            </w:pPr>
          </w:p>
        </w:tc>
        <w:tc>
          <w:tcPr>
            <w:tcW w:w="1417" w:type="dxa"/>
            <w:vAlign w:val="center"/>
          </w:tcPr>
          <w:p w14:paraId="795F3B24" w14:textId="77777777" w:rsidR="00E12635" w:rsidRPr="001D1C01" w:rsidRDefault="00E12635" w:rsidP="006F4E59">
            <w:pPr>
              <w:rPr>
                <w:rFonts w:cs="Arial"/>
                <w:noProof/>
              </w:rPr>
            </w:pPr>
            <w:r>
              <w:rPr>
                <w:rFonts w:cs="Arial"/>
                <w:noProof/>
              </w:rPr>
              <w:t>18-25</w:t>
            </w:r>
          </w:p>
        </w:tc>
        <w:tc>
          <w:tcPr>
            <w:tcW w:w="992" w:type="dxa"/>
            <w:vAlign w:val="center"/>
          </w:tcPr>
          <w:p w14:paraId="556CD5C7" w14:textId="77777777" w:rsidR="00E12635" w:rsidRPr="001D1C01" w:rsidRDefault="00E12635" w:rsidP="006F4E59">
            <w:pPr>
              <w:jc w:val="right"/>
              <w:rPr>
                <w:rFonts w:cs="Arial"/>
                <w:noProof/>
              </w:rPr>
            </w:pPr>
            <w:r>
              <w:rPr>
                <w:rFonts w:cs="Arial"/>
                <w:noProof/>
              </w:rPr>
              <w:t>0</w:t>
            </w:r>
          </w:p>
        </w:tc>
        <w:tc>
          <w:tcPr>
            <w:tcW w:w="1134" w:type="dxa"/>
            <w:vAlign w:val="center"/>
          </w:tcPr>
          <w:p w14:paraId="4B521D51" w14:textId="77777777" w:rsidR="00E12635" w:rsidRPr="001D1C01" w:rsidRDefault="00E12635" w:rsidP="006F4E59">
            <w:pPr>
              <w:jc w:val="right"/>
              <w:rPr>
                <w:rFonts w:cs="Arial"/>
                <w:noProof/>
              </w:rPr>
            </w:pPr>
            <w:r>
              <w:rPr>
                <w:rFonts w:cs="Arial"/>
                <w:noProof/>
              </w:rPr>
              <w:t>1</w:t>
            </w:r>
          </w:p>
        </w:tc>
        <w:tc>
          <w:tcPr>
            <w:tcW w:w="851" w:type="dxa"/>
          </w:tcPr>
          <w:p w14:paraId="283B8717" w14:textId="77777777" w:rsidR="00E12635" w:rsidRPr="006B597B" w:rsidRDefault="00E12635" w:rsidP="006F4E59">
            <w:pPr>
              <w:jc w:val="right"/>
              <w:rPr>
                <w:rFonts w:cs="Arial"/>
                <w:b/>
                <w:bCs/>
                <w:noProof/>
              </w:rPr>
            </w:pPr>
            <w:r>
              <w:rPr>
                <w:rFonts w:cs="Arial"/>
                <w:b/>
                <w:bCs/>
                <w:noProof/>
              </w:rPr>
              <w:t>1</w:t>
            </w:r>
          </w:p>
        </w:tc>
      </w:tr>
      <w:tr w:rsidR="00E12635" w14:paraId="427C5FF2" w14:textId="77777777" w:rsidTr="006F4E59">
        <w:trPr>
          <w:trHeight w:val="278"/>
        </w:trPr>
        <w:tc>
          <w:tcPr>
            <w:tcW w:w="1418" w:type="dxa"/>
            <w:vAlign w:val="center"/>
          </w:tcPr>
          <w:p w14:paraId="1C73B910" w14:textId="77777777" w:rsidR="00E12635" w:rsidRPr="002819D6" w:rsidRDefault="00E12635" w:rsidP="006F4E59">
            <w:pPr>
              <w:rPr>
                <w:rFonts w:cs="Arial"/>
                <w:noProof/>
              </w:rPr>
            </w:pPr>
            <w:r>
              <w:rPr>
                <w:rFonts w:cs="Arial"/>
                <w:noProof/>
              </w:rPr>
              <w:t>26-35</w:t>
            </w:r>
          </w:p>
        </w:tc>
        <w:tc>
          <w:tcPr>
            <w:tcW w:w="987" w:type="dxa"/>
            <w:vAlign w:val="center"/>
          </w:tcPr>
          <w:p w14:paraId="1E8F6D29" w14:textId="3CCC4CFA" w:rsidR="00E12635" w:rsidRPr="001D1C01" w:rsidRDefault="00AB5CD4" w:rsidP="006F4E59">
            <w:pPr>
              <w:jc w:val="right"/>
              <w:rPr>
                <w:rFonts w:cs="Arial"/>
                <w:noProof/>
              </w:rPr>
            </w:pPr>
            <w:r>
              <w:rPr>
                <w:rFonts w:cs="Arial"/>
                <w:noProof/>
              </w:rPr>
              <w:t>1</w:t>
            </w:r>
          </w:p>
        </w:tc>
        <w:tc>
          <w:tcPr>
            <w:tcW w:w="1134" w:type="dxa"/>
            <w:vAlign w:val="center"/>
          </w:tcPr>
          <w:p w14:paraId="7F5B8945" w14:textId="332188EA" w:rsidR="00E12635" w:rsidRPr="001D1C01" w:rsidRDefault="00E12635" w:rsidP="006F4E59">
            <w:pPr>
              <w:jc w:val="right"/>
              <w:rPr>
                <w:rFonts w:cs="Arial"/>
                <w:noProof/>
              </w:rPr>
            </w:pPr>
            <w:r>
              <w:rPr>
                <w:rFonts w:cs="Arial"/>
                <w:noProof/>
              </w:rPr>
              <w:t>1</w:t>
            </w:r>
          </w:p>
        </w:tc>
        <w:tc>
          <w:tcPr>
            <w:tcW w:w="851" w:type="dxa"/>
          </w:tcPr>
          <w:p w14:paraId="75AE11ED" w14:textId="3D18AE5D" w:rsidR="00E12635" w:rsidRPr="006B597B" w:rsidRDefault="00E12635" w:rsidP="006F4E59">
            <w:pPr>
              <w:jc w:val="right"/>
              <w:rPr>
                <w:rFonts w:cs="Arial"/>
                <w:b/>
                <w:bCs/>
                <w:noProof/>
              </w:rPr>
            </w:pPr>
            <w:r>
              <w:rPr>
                <w:rFonts w:cs="Arial"/>
                <w:b/>
                <w:bCs/>
                <w:noProof/>
              </w:rPr>
              <w:t>2</w:t>
            </w:r>
          </w:p>
        </w:tc>
        <w:tc>
          <w:tcPr>
            <w:tcW w:w="567" w:type="dxa"/>
            <w:tcBorders>
              <w:top w:val="nil"/>
              <w:bottom w:val="nil"/>
            </w:tcBorders>
          </w:tcPr>
          <w:p w14:paraId="31F2A6A9" w14:textId="77777777" w:rsidR="00E12635" w:rsidRDefault="00E12635" w:rsidP="006F4E59">
            <w:pPr>
              <w:rPr>
                <w:rFonts w:cs="Arial"/>
                <w:noProof/>
              </w:rPr>
            </w:pPr>
          </w:p>
        </w:tc>
        <w:tc>
          <w:tcPr>
            <w:tcW w:w="1417" w:type="dxa"/>
            <w:vAlign w:val="center"/>
          </w:tcPr>
          <w:p w14:paraId="44F07B15" w14:textId="77777777" w:rsidR="00E12635" w:rsidRPr="001D1C01" w:rsidRDefault="00E12635" w:rsidP="006F4E59">
            <w:pPr>
              <w:rPr>
                <w:rFonts w:cs="Arial"/>
                <w:noProof/>
              </w:rPr>
            </w:pPr>
            <w:r>
              <w:rPr>
                <w:rFonts w:cs="Arial"/>
                <w:noProof/>
              </w:rPr>
              <w:t>26-35</w:t>
            </w:r>
          </w:p>
        </w:tc>
        <w:tc>
          <w:tcPr>
            <w:tcW w:w="992" w:type="dxa"/>
            <w:vAlign w:val="center"/>
          </w:tcPr>
          <w:p w14:paraId="58AEBEBA" w14:textId="45E69F3E" w:rsidR="00E12635" w:rsidRPr="001D1C01" w:rsidRDefault="00B66975" w:rsidP="006F4E59">
            <w:pPr>
              <w:jc w:val="right"/>
              <w:rPr>
                <w:rFonts w:cs="Arial"/>
                <w:noProof/>
              </w:rPr>
            </w:pPr>
            <w:r>
              <w:rPr>
                <w:rFonts w:cs="Arial"/>
                <w:noProof/>
              </w:rPr>
              <w:t>0</w:t>
            </w:r>
          </w:p>
        </w:tc>
        <w:tc>
          <w:tcPr>
            <w:tcW w:w="1134" w:type="dxa"/>
            <w:vAlign w:val="center"/>
          </w:tcPr>
          <w:p w14:paraId="42D7C734" w14:textId="77777777" w:rsidR="00E12635" w:rsidRPr="001D1C01" w:rsidRDefault="00E12635" w:rsidP="006F4E59">
            <w:pPr>
              <w:jc w:val="right"/>
              <w:rPr>
                <w:rFonts w:cs="Arial"/>
                <w:noProof/>
              </w:rPr>
            </w:pPr>
            <w:r>
              <w:rPr>
                <w:rFonts w:cs="Arial"/>
                <w:noProof/>
              </w:rPr>
              <w:t>2</w:t>
            </w:r>
          </w:p>
        </w:tc>
        <w:tc>
          <w:tcPr>
            <w:tcW w:w="851" w:type="dxa"/>
          </w:tcPr>
          <w:p w14:paraId="6B01E35D" w14:textId="4D500331" w:rsidR="00E12635" w:rsidRPr="006B597B" w:rsidRDefault="00B66975" w:rsidP="006F4E59">
            <w:pPr>
              <w:jc w:val="right"/>
              <w:rPr>
                <w:rFonts w:cs="Arial"/>
                <w:b/>
                <w:bCs/>
                <w:noProof/>
              </w:rPr>
            </w:pPr>
            <w:r>
              <w:rPr>
                <w:rFonts w:cs="Arial"/>
                <w:b/>
                <w:bCs/>
                <w:noProof/>
              </w:rPr>
              <w:t>2</w:t>
            </w:r>
          </w:p>
        </w:tc>
      </w:tr>
      <w:tr w:rsidR="00E12635" w14:paraId="65EB378B" w14:textId="77777777" w:rsidTr="006F4E59">
        <w:trPr>
          <w:trHeight w:val="278"/>
        </w:trPr>
        <w:tc>
          <w:tcPr>
            <w:tcW w:w="1418" w:type="dxa"/>
            <w:vAlign w:val="center"/>
          </w:tcPr>
          <w:p w14:paraId="387995D0" w14:textId="77777777" w:rsidR="00E12635" w:rsidRPr="002819D6" w:rsidRDefault="00E12635" w:rsidP="006F4E59">
            <w:pPr>
              <w:rPr>
                <w:rFonts w:cs="Arial"/>
                <w:noProof/>
              </w:rPr>
            </w:pPr>
            <w:r>
              <w:rPr>
                <w:rFonts w:cs="Arial"/>
                <w:noProof/>
              </w:rPr>
              <w:t>36-45</w:t>
            </w:r>
          </w:p>
        </w:tc>
        <w:tc>
          <w:tcPr>
            <w:tcW w:w="987" w:type="dxa"/>
            <w:vAlign w:val="center"/>
          </w:tcPr>
          <w:p w14:paraId="2B7530AB" w14:textId="3983190D" w:rsidR="00E12635" w:rsidRPr="001D1C01" w:rsidRDefault="00AB5CD4" w:rsidP="006F4E59">
            <w:pPr>
              <w:jc w:val="right"/>
              <w:rPr>
                <w:rFonts w:cs="Arial"/>
                <w:noProof/>
              </w:rPr>
            </w:pPr>
            <w:r>
              <w:rPr>
                <w:rFonts w:cs="Arial"/>
                <w:noProof/>
              </w:rPr>
              <w:t>1</w:t>
            </w:r>
          </w:p>
        </w:tc>
        <w:tc>
          <w:tcPr>
            <w:tcW w:w="1134" w:type="dxa"/>
            <w:vAlign w:val="center"/>
          </w:tcPr>
          <w:p w14:paraId="49D8DD5F" w14:textId="7532D5D7" w:rsidR="00E12635" w:rsidRPr="001D1C01" w:rsidRDefault="00AB5CD4" w:rsidP="006F4E59">
            <w:pPr>
              <w:jc w:val="right"/>
              <w:rPr>
                <w:rFonts w:cs="Arial"/>
                <w:noProof/>
              </w:rPr>
            </w:pPr>
            <w:r>
              <w:rPr>
                <w:rFonts w:cs="Arial"/>
                <w:noProof/>
              </w:rPr>
              <w:t>2</w:t>
            </w:r>
          </w:p>
        </w:tc>
        <w:tc>
          <w:tcPr>
            <w:tcW w:w="851" w:type="dxa"/>
          </w:tcPr>
          <w:p w14:paraId="1FB169C5" w14:textId="729A7721" w:rsidR="00E12635" w:rsidRPr="006B597B" w:rsidRDefault="00AB5CD4" w:rsidP="006F4E59">
            <w:pPr>
              <w:jc w:val="right"/>
              <w:rPr>
                <w:rFonts w:cs="Arial"/>
                <w:b/>
                <w:bCs/>
                <w:noProof/>
              </w:rPr>
            </w:pPr>
            <w:r>
              <w:rPr>
                <w:rFonts w:cs="Arial"/>
                <w:b/>
                <w:bCs/>
                <w:noProof/>
              </w:rPr>
              <w:t>3</w:t>
            </w:r>
          </w:p>
        </w:tc>
        <w:tc>
          <w:tcPr>
            <w:tcW w:w="567" w:type="dxa"/>
            <w:tcBorders>
              <w:top w:val="nil"/>
              <w:bottom w:val="nil"/>
            </w:tcBorders>
          </w:tcPr>
          <w:p w14:paraId="74335F63" w14:textId="77777777" w:rsidR="00E12635" w:rsidRDefault="00E12635" w:rsidP="006F4E59">
            <w:pPr>
              <w:rPr>
                <w:rFonts w:cs="Arial"/>
                <w:noProof/>
              </w:rPr>
            </w:pPr>
          </w:p>
        </w:tc>
        <w:tc>
          <w:tcPr>
            <w:tcW w:w="1417" w:type="dxa"/>
            <w:vAlign w:val="center"/>
          </w:tcPr>
          <w:p w14:paraId="71DF5B56" w14:textId="77777777" w:rsidR="00E12635" w:rsidRPr="001D1C01" w:rsidRDefault="00E12635" w:rsidP="006F4E59">
            <w:pPr>
              <w:rPr>
                <w:rFonts w:cs="Arial"/>
                <w:noProof/>
              </w:rPr>
            </w:pPr>
            <w:r>
              <w:rPr>
                <w:rFonts w:cs="Arial"/>
                <w:noProof/>
              </w:rPr>
              <w:t>36-45</w:t>
            </w:r>
          </w:p>
        </w:tc>
        <w:tc>
          <w:tcPr>
            <w:tcW w:w="992" w:type="dxa"/>
            <w:vAlign w:val="center"/>
          </w:tcPr>
          <w:p w14:paraId="20BFF48B" w14:textId="049FCDAE" w:rsidR="00E12635" w:rsidRPr="001D1C01" w:rsidRDefault="00B66975" w:rsidP="006F4E59">
            <w:pPr>
              <w:jc w:val="right"/>
              <w:rPr>
                <w:rFonts w:cs="Arial"/>
                <w:noProof/>
              </w:rPr>
            </w:pPr>
            <w:r>
              <w:rPr>
                <w:rFonts w:cs="Arial"/>
                <w:noProof/>
              </w:rPr>
              <w:t>0</w:t>
            </w:r>
          </w:p>
        </w:tc>
        <w:tc>
          <w:tcPr>
            <w:tcW w:w="1134" w:type="dxa"/>
            <w:vAlign w:val="center"/>
          </w:tcPr>
          <w:p w14:paraId="7F154D89" w14:textId="2286F2DF" w:rsidR="00E12635" w:rsidRPr="001D1C01" w:rsidRDefault="00B66975" w:rsidP="006F4E59">
            <w:pPr>
              <w:jc w:val="right"/>
              <w:rPr>
                <w:rFonts w:cs="Arial"/>
                <w:noProof/>
              </w:rPr>
            </w:pPr>
            <w:r>
              <w:rPr>
                <w:rFonts w:cs="Arial"/>
                <w:noProof/>
              </w:rPr>
              <w:t>3</w:t>
            </w:r>
          </w:p>
        </w:tc>
        <w:tc>
          <w:tcPr>
            <w:tcW w:w="851" w:type="dxa"/>
          </w:tcPr>
          <w:p w14:paraId="6F4C8730" w14:textId="740F8A25" w:rsidR="00E12635" w:rsidRPr="006B597B" w:rsidRDefault="00B66975" w:rsidP="006F4E59">
            <w:pPr>
              <w:jc w:val="right"/>
              <w:rPr>
                <w:rFonts w:cs="Arial"/>
                <w:b/>
                <w:bCs/>
                <w:noProof/>
              </w:rPr>
            </w:pPr>
            <w:r>
              <w:rPr>
                <w:rFonts w:cs="Arial"/>
                <w:b/>
                <w:bCs/>
                <w:noProof/>
              </w:rPr>
              <w:t>3</w:t>
            </w:r>
          </w:p>
        </w:tc>
      </w:tr>
      <w:tr w:rsidR="00E12635" w14:paraId="60CE0C47" w14:textId="77777777" w:rsidTr="006F4E59">
        <w:trPr>
          <w:trHeight w:val="278"/>
        </w:trPr>
        <w:tc>
          <w:tcPr>
            <w:tcW w:w="1418" w:type="dxa"/>
            <w:vAlign w:val="center"/>
          </w:tcPr>
          <w:p w14:paraId="0BBEBA1F" w14:textId="77777777" w:rsidR="00E12635" w:rsidRDefault="00E12635" w:rsidP="006F4E59">
            <w:pPr>
              <w:rPr>
                <w:rFonts w:cs="Arial"/>
                <w:noProof/>
              </w:rPr>
            </w:pPr>
            <w:r>
              <w:rPr>
                <w:rFonts w:cs="Arial"/>
                <w:noProof/>
              </w:rPr>
              <w:t>46-55</w:t>
            </w:r>
          </w:p>
        </w:tc>
        <w:tc>
          <w:tcPr>
            <w:tcW w:w="987" w:type="dxa"/>
            <w:vAlign w:val="center"/>
          </w:tcPr>
          <w:p w14:paraId="2EF6FCF2" w14:textId="77777777" w:rsidR="00E12635" w:rsidRPr="001D1C01" w:rsidRDefault="00E12635" w:rsidP="006F4E59">
            <w:pPr>
              <w:jc w:val="right"/>
              <w:rPr>
                <w:rFonts w:cs="Arial"/>
                <w:noProof/>
              </w:rPr>
            </w:pPr>
            <w:r>
              <w:rPr>
                <w:rFonts w:cs="Arial"/>
                <w:noProof/>
              </w:rPr>
              <w:t>0</w:t>
            </w:r>
          </w:p>
        </w:tc>
        <w:tc>
          <w:tcPr>
            <w:tcW w:w="1134" w:type="dxa"/>
            <w:vAlign w:val="center"/>
          </w:tcPr>
          <w:p w14:paraId="5452A6E8" w14:textId="2659B062" w:rsidR="00E12635" w:rsidRPr="001D1C01" w:rsidRDefault="00AB5CD4" w:rsidP="006F4E59">
            <w:pPr>
              <w:jc w:val="right"/>
              <w:rPr>
                <w:rFonts w:cs="Arial"/>
                <w:noProof/>
              </w:rPr>
            </w:pPr>
            <w:r>
              <w:rPr>
                <w:rFonts w:cs="Arial"/>
                <w:noProof/>
              </w:rPr>
              <w:t>1</w:t>
            </w:r>
          </w:p>
        </w:tc>
        <w:tc>
          <w:tcPr>
            <w:tcW w:w="851" w:type="dxa"/>
          </w:tcPr>
          <w:p w14:paraId="01D9E7B4" w14:textId="64D06EC6" w:rsidR="00E12635" w:rsidRPr="006B597B" w:rsidRDefault="00AB5CD4" w:rsidP="006F4E59">
            <w:pPr>
              <w:jc w:val="right"/>
              <w:rPr>
                <w:rFonts w:cs="Arial"/>
                <w:b/>
                <w:bCs/>
                <w:noProof/>
              </w:rPr>
            </w:pPr>
            <w:r>
              <w:rPr>
                <w:rFonts w:cs="Arial"/>
                <w:b/>
                <w:bCs/>
                <w:noProof/>
              </w:rPr>
              <w:t>1</w:t>
            </w:r>
          </w:p>
        </w:tc>
        <w:tc>
          <w:tcPr>
            <w:tcW w:w="567" w:type="dxa"/>
            <w:tcBorders>
              <w:top w:val="nil"/>
              <w:bottom w:val="nil"/>
            </w:tcBorders>
          </w:tcPr>
          <w:p w14:paraId="1F9A9A91" w14:textId="77777777" w:rsidR="00E12635" w:rsidRDefault="00E12635" w:rsidP="006F4E59">
            <w:pPr>
              <w:rPr>
                <w:rFonts w:cs="Arial"/>
                <w:noProof/>
              </w:rPr>
            </w:pPr>
          </w:p>
        </w:tc>
        <w:tc>
          <w:tcPr>
            <w:tcW w:w="1417" w:type="dxa"/>
            <w:vAlign w:val="center"/>
          </w:tcPr>
          <w:p w14:paraId="09286CAC" w14:textId="77777777" w:rsidR="00E12635" w:rsidRPr="001D1C01" w:rsidRDefault="00E12635" w:rsidP="006F4E59">
            <w:pPr>
              <w:rPr>
                <w:rFonts w:cs="Arial"/>
                <w:noProof/>
              </w:rPr>
            </w:pPr>
            <w:r>
              <w:rPr>
                <w:rFonts w:cs="Arial"/>
                <w:noProof/>
              </w:rPr>
              <w:t>46-55</w:t>
            </w:r>
          </w:p>
        </w:tc>
        <w:tc>
          <w:tcPr>
            <w:tcW w:w="992" w:type="dxa"/>
            <w:vAlign w:val="center"/>
          </w:tcPr>
          <w:p w14:paraId="6EDDAB3E" w14:textId="4ADEF8AD" w:rsidR="00E12635" w:rsidRDefault="00B66975" w:rsidP="006F4E59">
            <w:pPr>
              <w:jc w:val="right"/>
              <w:rPr>
                <w:rFonts w:cs="Arial"/>
                <w:noProof/>
              </w:rPr>
            </w:pPr>
            <w:r>
              <w:rPr>
                <w:rFonts w:cs="Arial"/>
                <w:noProof/>
              </w:rPr>
              <w:t>3</w:t>
            </w:r>
          </w:p>
        </w:tc>
        <w:tc>
          <w:tcPr>
            <w:tcW w:w="1134" w:type="dxa"/>
            <w:vAlign w:val="center"/>
          </w:tcPr>
          <w:p w14:paraId="48FF6288" w14:textId="216D8CFE" w:rsidR="00E12635" w:rsidRDefault="00B66975" w:rsidP="006F4E59">
            <w:pPr>
              <w:jc w:val="right"/>
              <w:rPr>
                <w:rFonts w:cs="Arial"/>
                <w:noProof/>
              </w:rPr>
            </w:pPr>
            <w:r>
              <w:rPr>
                <w:rFonts w:cs="Arial"/>
                <w:noProof/>
              </w:rPr>
              <w:t>1</w:t>
            </w:r>
          </w:p>
        </w:tc>
        <w:tc>
          <w:tcPr>
            <w:tcW w:w="851" w:type="dxa"/>
          </w:tcPr>
          <w:p w14:paraId="0873E2BC" w14:textId="3D354BBF" w:rsidR="00E12635" w:rsidRPr="006B597B" w:rsidRDefault="00B66975" w:rsidP="006F4E59">
            <w:pPr>
              <w:jc w:val="right"/>
              <w:rPr>
                <w:rFonts w:cs="Arial"/>
                <w:b/>
                <w:bCs/>
                <w:noProof/>
              </w:rPr>
            </w:pPr>
            <w:r>
              <w:rPr>
                <w:rFonts w:cs="Arial"/>
                <w:b/>
                <w:bCs/>
                <w:noProof/>
              </w:rPr>
              <w:t>4</w:t>
            </w:r>
          </w:p>
        </w:tc>
      </w:tr>
      <w:tr w:rsidR="00E12635" w14:paraId="501D1574" w14:textId="77777777" w:rsidTr="006F4E59">
        <w:trPr>
          <w:trHeight w:val="278"/>
        </w:trPr>
        <w:tc>
          <w:tcPr>
            <w:tcW w:w="1418" w:type="dxa"/>
            <w:vAlign w:val="center"/>
          </w:tcPr>
          <w:p w14:paraId="5BB9F2A8" w14:textId="77777777" w:rsidR="00E12635" w:rsidRDefault="00E12635" w:rsidP="006F4E59">
            <w:pPr>
              <w:rPr>
                <w:rFonts w:cs="Arial"/>
                <w:noProof/>
              </w:rPr>
            </w:pPr>
            <w:r>
              <w:rPr>
                <w:rFonts w:cs="Arial"/>
                <w:noProof/>
              </w:rPr>
              <w:t>56-65</w:t>
            </w:r>
          </w:p>
        </w:tc>
        <w:tc>
          <w:tcPr>
            <w:tcW w:w="987" w:type="dxa"/>
            <w:vAlign w:val="center"/>
          </w:tcPr>
          <w:p w14:paraId="079F0255" w14:textId="36514F79" w:rsidR="00E12635" w:rsidRPr="001D1C01" w:rsidRDefault="00AB5CD4" w:rsidP="006F4E59">
            <w:pPr>
              <w:jc w:val="right"/>
              <w:rPr>
                <w:rFonts w:cs="Arial"/>
                <w:noProof/>
              </w:rPr>
            </w:pPr>
            <w:r>
              <w:rPr>
                <w:rFonts w:cs="Arial"/>
                <w:noProof/>
              </w:rPr>
              <w:t>0</w:t>
            </w:r>
          </w:p>
        </w:tc>
        <w:tc>
          <w:tcPr>
            <w:tcW w:w="1134" w:type="dxa"/>
            <w:vAlign w:val="center"/>
          </w:tcPr>
          <w:p w14:paraId="7A292E8C" w14:textId="2C8AE457" w:rsidR="00E12635" w:rsidRPr="001D1C01" w:rsidRDefault="00AB5CD4" w:rsidP="006F4E59">
            <w:pPr>
              <w:jc w:val="right"/>
              <w:rPr>
                <w:rFonts w:cs="Arial"/>
                <w:noProof/>
              </w:rPr>
            </w:pPr>
            <w:r>
              <w:rPr>
                <w:rFonts w:cs="Arial"/>
                <w:noProof/>
              </w:rPr>
              <w:t>0</w:t>
            </w:r>
          </w:p>
        </w:tc>
        <w:tc>
          <w:tcPr>
            <w:tcW w:w="851" w:type="dxa"/>
          </w:tcPr>
          <w:p w14:paraId="18EBAF7E" w14:textId="696FAA19" w:rsidR="00E12635" w:rsidRPr="006B597B" w:rsidRDefault="00AB5CD4" w:rsidP="006F4E59">
            <w:pPr>
              <w:jc w:val="right"/>
              <w:rPr>
                <w:rFonts w:cs="Arial"/>
                <w:b/>
                <w:bCs/>
                <w:noProof/>
              </w:rPr>
            </w:pPr>
            <w:r>
              <w:rPr>
                <w:rFonts w:cs="Arial"/>
                <w:b/>
                <w:bCs/>
                <w:noProof/>
              </w:rPr>
              <w:t>0</w:t>
            </w:r>
          </w:p>
        </w:tc>
        <w:tc>
          <w:tcPr>
            <w:tcW w:w="567" w:type="dxa"/>
            <w:tcBorders>
              <w:top w:val="nil"/>
              <w:bottom w:val="nil"/>
            </w:tcBorders>
          </w:tcPr>
          <w:p w14:paraId="24B8275A" w14:textId="77777777" w:rsidR="00E12635" w:rsidRDefault="00E12635" w:rsidP="006F4E59">
            <w:pPr>
              <w:rPr>
                <w:rFonts w:cs="Arial"/>
                <w:noProof/>
              </w:rPr>
            </w:pPr>
          </w:p>
        </w:tc>
        <w:tc>
          <w:tcPr>
            <w:tcW w:w="1417" w:type="dxa"/>
            <w:vAlign w:val="center"/>
          </w:tcPr>
          <w:p w14:paraId="47CA7279" w14:textId="77777777" w:rsidR="00E12635" w:rsidRPr="001D1C01" w:rsidRDefault="00E12635" w:rsidP="006F4E59">
            <w:pPr>
              <w:rPr>
                <w:rFonts w:cs="Arial"/>
                <w:noProof/>
              </w:rPr>
            </w:pPr>
            <w:r>
              <w:rPr>
                <w:rFonts w:cs="Arial"/>
                <w:noProof/>
              </w:rPr>
              <w:t>56-65</w:t>
            </w:r>
          </w:p>
        </w:tc>
        <w:tc>
          <w:tcPr>
            <w:tcW w:w="992" w:type="dxa"/>
            <w:vAlign w:val="center"/>
          </w:tcPr>
          <w:p w14:paraId="3C967070" w14:textId="268DB14D" w:rsidR="00E12635" w:rsidRDefault="00B66975" w:rsidP="006F4E59">
            <w:pPr>
              <w:jc w:val="right"/>
              <w:rPr>
                <w:rFonts w:cs="Arial"/>
                <w:noProof/>
              </w:rPr>
            </w:pPr>
            <w:r>
              <w:rPr>
                <w:rFonts w:cs="Arial"/>
                <w:noProof/>
              </w:rPr>
              <w:t>1</w:t>
            </w:r>
          </w:p>
        </w:tc>
        <w:tc>
          <w:tcPr>
            <w:tcW w:w="1134" w:type="dxa"/>
            <w:vAlign w:val="center"/>
          </w:tcPr>
          <w:p w14:paraId="7264426A" w14:textId="1CDF2CE7" w:rsidR="00E12635" w:rsidRDefault="00B66975" w:rsidP="006F4E59">
            <w:pPr>
              <w:jc w:val="right"/>
              <w:rPr>
                <w:rFonts w:cs="Arial"/>
                <w:noProof/>
              </w:rPr>
            </w:pPr>
            <w:r>
              <w:rPr>
                <w:rFonts w:cs="Arial"/>
                <w:noProof/>
              </w:rPr>
              <w:t>3</w:t>
            </w:r>
          </w:p>
        </w:tc>
        <w:tc>
          <w:tcPr>
            <w:tcW w:w="851" w:type="dxa"/>
          </w:tcPr>
          <w:p w14:paraId="0B54D286" w14:textId="7B17547A" w:rsidR="00E12635" w:rsidRPr="006B597B" w:rsidRDefault="00B66975" w:rsidP="006F4E59">
            <w:pPr>
              <w:jc w:val="right"/>
              <w:rPr>
                <w:rFonts w:cs="Arial"/>
                <w:b/>
                <w:bCs/>
                <w:noProof/>
              </w:rPr>
            </w:pPr>
            <w:r>
              <w:rPr>
                <w:rFonts w:cs="Arial"/>
                <w:b/>
                <w:bCs/>
                <w:noProof/>
              </w:rPr>
              <w:t>4</w:t>
            </w:r>
          </w:p>
        </w:tc>
      </w:tr>
      <w:tr w:rsidR="00E12635" w14:paraId="7AA0B03F" w14:textId="77777777" w:rsidTr="006F4E59">
        <w:trPr>
          <w:trHeight w:val="278"/>
        </w:trPr>
        <w:tc>
          <w:tcPr>
            <w:tcW w:w="1418" w:type="dxa"/>
            <w:vAlign w:val="center"/>
          </w:tcPr>
          <w:p w14:paraId="06CCD484" w14:textId="77777777" w:rsidR="00E12635" w:rsidRDefault="00E12635" w:rsidP="006F4E59">
            <w:pPr>
              <w:rPr>
                <w:rFonts w:cs="Arial"/>
                <w:noProof/>
              </w:rPr>
            </w:pPr>
            <w:r>
              <w:rPr>
                <w:rFonts w:cs="Arial"/>
                <w:noProof/>
              </w:rPr>
              <w:t>66-75</w:t>
            </w:r>
          </w:p>
        </w:tc>
        <w:tc>
          <w:tcPr>
            <w:tcW w:w="987" w:type="dxa"/>
            <w:vAlign w:val="center"/>
          </w:tcPr>
          <w:p w14:paraId="7B018977" w14:textId="77777777" w:rsidR="00E12635" w:rsidRPr="001D1C01" w:rsidRDefault="00E12635" w:rsidP="006F4E59">
            <w:pPr>
              <w:jc w:val="right"/>
              <w:rPr>
                <w:rFonts w:cs="Arial"/>
                <w:noProof/>
              </w:rPr>
            </w:pPr>
            <w:r>
              <w:rPr>
                <w:rFonts w:cs="Arial"/>
                <w:noProof/>
              </w:rPr>
              <w:t>0</w:t>
            </w:r>
          </w:p>
        </w:tc>
        <w:tc>
          <w:tcPr>
            <w:tcW w:w="1134" w:type="dxa"/>
            <w:vAlign w:val="center"/>
          </w:tcPr>
          <w:p w14:paraId="05039F4F" w14:textId="77777777" w:rsidR="00E12635" w:rsidRPr="001D1C01" w:rsidRDefault="00E12635" w:rsidP="006F4E59">
            <w:pPr>
              <w:jc w:val="right"/>
              <w:rPr>
                <w:rFonts w:cs="Arial"/>
                <w:noProof/>
              </w:rPr>
            </w:pPr>
            <w:r>
              <w:rPr>
                <w:rFonts w:cs="Arial"/>
                <w:noProof/>
              </w:rPr>
              <w:t>0</w:t>
            </w:r>
          </w:p>
        </w:tc>
        <w:tc>
          <w:tcPr>
            <w:tcW w:w="851" w:type="dxa"/>
          </w:tcPr>
          <w:p w14:paraId="77033D96" w14:textId="77777777" w:rsidR="00E12635" w:rsidRPr="006B597B" w:rsidRDefault="00E12635" w:rsidP="006F4E59">
            <w:pPr>
              <w:jc w:val="right"/>
              <w:rPr>
                <w:rFonts w:cs="Arial"/>
                <w:b/>
                <w:bCs/>
                <w:noProof/>
              </w:rPr>
            </w:pPr>
            <w:r w:rsidRPr="006B597B">
              <w:rPr>
                <w:rFonts w:cs="Arial"/>
                <w:b/>
                <w:bCs/>
                <w:noProof/>
              </w:rPr>
              <w:t>0</w:t>
            </w:r>
          </w:p>
        </w:tc>
        <w:tc>
          <w:tcPr>
            <w:tcW w:w="567" w:type="dxa"/>
            <w:tcBorders>
              <w:top w:val="nil"/>
              <w:bottom w:val="nil"/>
            </w:tcBorders>
          </w:tcPr>
          <w:p w14:paraId="525EA3EB" w14:textId="77777777" w:rsidR="00E12635" w:rsidRDefault="00E12635" w:rsidP="006F4E59">
            <w:pPr>
              <w:rPr>
                <w:rFonts w:cs="Arial"/>
                <w:noProof/>
              </w:rPr>
            </w:pPr>
          </w:p>
        </w:tc>
        <w:tc>
          <w:tcPr>
            <w:tcW w:w="1417" w:type="dxa"/>
            <w:vAlign w:val="center"/>
          </w:tcPr>
          <w:p w14:paraId="13C3551A" w14:textId="77777777" w:rsidR="00E12635" w:rsidRPr="001D1C01" w:rsidRDefault="00E12635" w:rsidP="006F4E59">
            <w:pPr>
              <w:rPr>
                <w:rFonts w:cs="Arial"/>
                <w:noProof/>
              </w:rPr>
            </w:pPr>
            <w:r>
              <w:rPr>
                <w:rFonts w:cs="Arial"/>
                <w:noProof/>
              </w:rPr>
              <w:t>66-75</w:t>
            </w:r>
          </w:p>
        </w:tc>
        <w:tc>
          <w:tcPr>
            <w:tcW w:w="992" w:type="dxa"/>
            <w:vAlign w:val="center"/>
          </w:tcPr>
          <w:p w14:paraId="47A47B0B" w14:textId="77777777" w:rsidR="00E12635" w:rsidRDefault="00E12635" w:rsidP="006F4E59">
            <w:pPr>
              <w:jc w:val="right"/>
              <w:rPr>
                <w:rFonts w:cs="Arial"/>
                <w:noProof/>
              </w:rPr>
            </w:pPr>
            <w:r>
              <w:rPr>
                <w:rFonts w:cs="Arial"/>
                <w:noProof/>
              </w:rPr>
              <w:t>1</w:t>
            </w:r>
          </w:p>
        </w:tc>
        <w:tc>
          <w:tcPr>
            <w:tcW w:w="1134" w:type="dxa"/>
            <w:vAlign w:val="center"/>
          </w:tcPr>
          <w:p w14:paraId="0C114278" w14:textId="450AB8BA" w:rsidR="00E12635" w:rsidRDefault="00B66975" w:rsidP="006F4E59">
            <w:pPr>
              <w:jc w:val="right"/>
              <w:rPr>
                <w:rFonts w:cs="Arial"/>
                <w:noProof/>
              </w:rPr>
            </w:pPr>
            <w:r>
              <w:rPr>
                <w:rFonts w:cs="Arial"/>
                <w:noProof/>
              </w:rPr>
              <w:t>1</w:t>
            </w:r>
          </w:p>
        </w:tc>
        <w:tc>
          <w:tcPr>
            <w:tcW w:w="851" w:type="dxa"/>
          </w:tcPr>
          <w:p w14:paraId="0D2FB789" w14:textId="20DCCC89" w:rsidR="00E12635" w:rsidRPr="006B597B" w:rsidRDefault="00B66975" w:rsidP="006F4E59">
            <w:pPr>
              <w:jc w:val="right"/>
              <w:rPr>
                <w:rFonts w:cs="Arial"/>
                <w:b/>
                <w:bCs/>
                <w:noProof/>
              </w:rPr>
            </w:pPr>
            <w:r>
              <w:rPr>
                <w:rFonts w:cs="Arial"/>
                <w:b/>
                <w:bCs/>
                <w:noProof/>
              </w:rPr>
              <w:t>2</w:t>
            </w:r>
          </w:p>
        </w:tc>
      </w:tr>
      <w:tr w:rsidR="00E12635" w14:paraId="74893BBC" w14:textId="77777777" w:rsidTr="006F4E59">
        <w:trPr>
          <w:trHeight w:val="278"/>
        </w:trPr>
        <w:tc>
          <w:tcPr>
            <w:tcW w:w="1418" w:type="dxa"/>
            <w:vAlign w:val="center"/>
          </w:tcPr>
          <w:p w14:paraId="01966AE9" w14:textId="77777777" w:rsidR="00E12635" w:rsidRDefault="00E12635" w:rsidP="006F4E59">
            <w:pPr>
              <w:rPr>
                <w:rFonts w:cs="Arial"/>
                <w:noProof/>
              </w:rPr>
            </w:pPr>
            <w:r>
              <w:rPr>
                <w:rFonts w:cs="Arial"/>
                <w:noProof/>
              </w:rPr>
              <w:t>76-85</w:t>
            </w:r>
          </w:p>
        </w:tc>
        <w:tc>
          <w:tcPr>
            <w:tcW w:w="987" w:type="dxa"/>
            <w:vAlign w:val="center"/>
          </w:tcPr>
          <w:p w14:paraId="0290103D" w14:textId="77777777" w:rsidR="00E12635" w:rsidRPr="001D1C01" w:rsidRDefault="00E12635" w:rsidP="006F4E59">
            <w:pPr>
              <w:jc w:val="right"/>
              <w:rPr>
                <w:rFonts w:cs="Arial"/>
                <w:noProof/>
              </w:rPr>
            </w:pPr>
            <w:r>
              <w:rPr>
                <w:rFonts w:cs="Arial"/>
                <w:noProof/>
              </w:rPr>
              <w:t>0</w:t>
            </w:r>
          </w:p>
        </w:tc>
        <w:tc>
          <w:tcPr>
            <w:tcW w:w="1134" w:type="dxa"/>
            <w:vAlign w:val="center"/>
          </w:tcPr>
          <w:p w14:paraId="6BCBB259" w14:textId="77777777" w:rsidR="00E12635" w:rsidRPr="001D1C01" w:rsidRDefault="00E12635" w:rsidP="006F4E59">
            <w:pPr>
              <w:jc w:val="right"/>
              <w:rPr>
                <w:rFonts w:cs="Arial"/>
                <w:noProof/>
              </w:rPr>
            </w:pPr>
            <w:r>
              <w:rPr>
                <w:rFonts w:cs="Arial"/>
                <w:noProof/>
              </w:rPr>
              <w:t>0</w:t>
            </w:r>
          </w:p>
        </w:tc>
        <w:tc>
          <w:tcPr>
            <w:tcW w:w="851" w:type="dxa"/>
          </w:tcPr>
          <w:p w14:paraId="008602E5" w14:textId="77777777" w:rsidR="00E12635" w:rsidRPr="006B597B" w:rsidRDefault="00E12635" w:rsidP="006F4E59">
            <w:pPr>
              <w:jc w:val="right"/>
              <w:rPr>
                <w:rFonts w:cs="Arial"/>
                <w:b/>
                <w:bCs/>
                <w:noProof/>
              </w:rPr>
            </w:pPr>
            <w:r w:rsidRPr="006B597B">
              <w:rPr>
                <w:rFonts w:cs="Arial"/>
                <w:b/>
                <w:bCs/>
                <w:noProof/>
              </w:rPr>
              <w:t>0</w:t>
            </w:r>
          </w:p>
        </w:tc>
        <w:tc>
          <w:tcPr>
            <w:tcW w:w="567" w:type="dxa"/>
            <w:tcBorders>
              <w:top w:val="nil"/>
              <w:bottom w:val="nil"/>
            </w:tcBorders>
          </w:tcPr>
          <w:p w14:paraId="3029CE67" w14:textId="77777777" w:rsidR="00E12635" w:rsidRDefault="00E12635" w:rsidP="006F4E59">
            <w:pPr>
              <w:rPr>
                <w:rFonts w:cs="Arial"/>
                <w:noProof/>
              </w:rPr>
            </w:pPr>
          </w:p>
        </w:tc>
        <w:tc>
          <w:tcPr>
            <w:tcW w:w="1417" w:type="dxa"/>
            <w:vAlign w:val="center"/>
          </w:tcPr>
          <w:p w14:paraId="4EE01CA3" w14:textId="77777777" w:rsidR="00E12635" w:rsidRPr="001D1C01" w:rsidRDefault="00E12635" w:rsidP="006F4E59">
            <w:pPr>
              <w:rPr>
                <w:rFonts w:cs="Arial"/>
                <w:noProof/>
              </w:rPr>
            </w:pPr>
            <w:r>
              <w:rPr>
                <w:rFonts w:cs="Arial"/>
                <w:noProof/>
              </w:rPr>
              <w:t>76-85</w:t>
            </w:r>
          </w:p>
        </w:tc>
        <w:tc>
          <w:tcPr>
            <w:tcW w:w="992" w:type="dxa"/>
            <w:vAlign w:val="center"/>
          </w:tcPr>
          <w:p w14:paraId="06B768AE" w14:textId="77777777" w:rsidR="00E12635" w:rsidRDefault="00E12635" w:rsidP="006F4E59">
            <w:pPr>
              <w:jc w:val="right"/>
              <w:rPr>
                <w:rFonts w:cs="Arial"/>
                <w:noProof/>
              </w:rPr>
            </w:pPr>
            <w:r>
              <w:rPr>
                <w:rFonts w:cs="Arial"/>
                <w:noProof/>
              </w:rPr>
              <w:t>0</w:t>
            </w:r>
          </w:p>
        </w:tc>
        <w:tc>
          <w:tcPr>
            <w:tcW w:w="1134" w:type="dxa"/>
            <w:vAlign w:val="center"/>
          </w:tcPr>
          <w:p w14:paraId="453793B5" w14:textId="6C1BD541" w:rsidR="00E12635" w:rsidRDefault="00B66975" w:rsidP="006F4E59">
            <w:pPr>
              <w:jc w:val="right"/>
              <w:rPr>
                <w:rFonts w:cs="Arial"/>
                <w:noProof/>
              </w:rPr>
            </w:pPr>
            <w:r>
              <w:rPr>
                <w:rFonts w:cs="Arial"/>
                <w:noProof/>
              </w:rPr>
              <w:t>0</w:t>
            </w:r>
          </w:p>
        </w:tc>
        <w:tc>
          <w:tcPr>
            <w:tcW w:w="851" w:type="dxa"/>
          </w:tcPr>
          <w:p w14:paraId="002A5EF3" w14:textId="6A66EC19" w:rsidR="00E12635" w:rsidRPr="006B597B" w:rsidRDefault="00B66975" w:rsidP="006F4E59">
            <w:pPr>
              <w:jc w:val="right"/>
              <w:rPr>
                <w:rFonts w:cs="Arial"/>
                <w:b/>
                <w:bCs/>
                <w:noProof/>
              </w:rPr>
            </w:pPr>
            <w:r>
              <w:rPr>
                <w:rFonts w:cs="Arial"/>
                <w:b/>
                <w:bCs/>
                <w:noProof/>
              </w:rPr>
              <w:t>0</w:t>
            </w:r>
          </w:p>
        </w:tc>
      </w:tr>
      <w:tr w:rsidR="00E12635" w14:paraId="216B5353" w14:textId="77777777" w:rsidTr="006F4E59">
        <w:trPr>
          <w:trHeight w:val="278"/>
        </w:trPr>
        <w:tc>
          <w:tcPr>
            <w:tcW w:w="1418" w:type="dxa"/>
            <w:vAlign w:val="center"/>
          </w:tcPr>
          <w:p w14:paraId="4FC582A0" w14:textId="77777777" w:rsidR="00E12635" w:rsidRPr="0093391D" w:rsidRDefault="00E12635" w:rsidP="006F4E59">
            <w:pPr>
              <w:rPr>
                <w:rFonts w:cs="Arial"/>
                <w:b/>
                <w:bCs/>
                <w:noProof/>
              </w:rPr>
            </w:pPr>
            <w:r w:rsidRPr="0093391D">
              <w:rPr>
                <w:rFonts w:cs="Arial"/>
                <w:b/>
                <w:bCs/>
                <w:noProof/>
              </w:rPr>
              <w:t>Total</w:t>
            </w:r>
          </w:p>
        </w:tc>
        <w:tc>
          <w:tcPr>
            <w:tcW w:w="987" w:type="dxa"/>
            <w:vAlign w:val="center"/>
          </w:tcPr>
          <w:p w14:paraId="67310891" w14:textId="2C881D67" w:rsidR="00E12635" w:rsidRPr="0093391D" w:rsidRDefault="00AB5CD4" w:rsidP="006F4E59">
            <w:pPr>
              <w:jc w:val="right"/>
              <w:rPr>
                <w:rFonts w:cs="Arial"/>
                <w:b/>
                <w:bCs/>
                <w:noProof/>
              </w:rPr>
            </w:pPr>
            <w:r>
              <w:rPr>
                <w:rFonts w:cs="Arial"/>
                <w:b/>
                <w:bCs/>
                <w:noProof/>
              </w:rPr>
              <w:t>2</w:t>
            </w:r>
          </w:p>
        </w:tc>
        <w:tc>
          <w:tcPr>
            <w:tcW w:w="1134" w:type="dxa"/>
            <w:vAlign w:val="center"/>
          </w:tcPr>
          <w:p w14:paraId="5F2297B6" w14:textId="676695F3" w:rsidR="00E12635" w:rsidRPr="0093391D" w:rsidRDefault="00E12635" w:rsidP="006F4E59">
            <w:pPr>
              <w:jc w:val="right"/>
              <w:rPr>
                <w:rFonts w:cs="Arial"/>
                <w:b/>
                <w:bCs/>
                <w:noProof/>
              </w:rPr>
            </w:pPr>
            <w:r w:rsidRPr="0093391D">
              <w:rPr>
                <w:rFonts w:cs="Arial"/>
                <w:b/>
                <w:bCs/>
                <w:noProof/>
              </w:rPr>
              <w:t>4</w:t>
            </w:r>
          </w:p>
        </w:tc>
        <w:tc>
          <w:tcPr>
            <w:tcW w:w="851" w:type="dxa"/>
          </w:tcPr>
          <w:p w14:paraId="4D2316AE" w14:textId="6604DA41" w:rsidR="00E12635" w:rsidRPr="006B597B" w:rsidRDefault="00AB5CD4" w:rsidP="006F4E59">
            <w:pPr>
              <w:jc w:val="right"/>
              <w:rPr>
                <w:rFonts w:cs="Arial"/>
                <w:b/>
                <w:bCs/>
                <w:noProof/>
              </w:rPr>
            </w:pPr>
            <w:r>
              <w:rPr>
                <w:rFonts w:cs="Arial"/>
                <w:b/>
                <w:bCs/>
                <w:noProof/>
              </w:rPr>
              <w:t>6</w:t>
            </w:r>
          </w:p>
        </w:tc>
        <w:tc>
          <w:tcPr>
            <w:tcW w:w="567" w:type="dxa"/>
            <w:tcBorders>
              <w:top w:val="nil"/>
              <w:bottom w:val="nil"/>
            </w:tcBorders>
          </w:tcPr>
          <w:p w14:paraId="5629EAD3" w14:textId="77777777" w:rsidR="00E12635" w:rsidRDefault="00E12635" w:rsidP="006F4E59">
            <w:pPr>
              <w:rPr>
                <w:rFonts w:cs="Arial"/>
                <w:noProof/>
              </w:rPr>
            </w:pPr>
          </w:p>
        </w:tc>
        <w:tc>
          <w:tcPr>
            <w:tcW w:w="1417" w:type="dxa"/>
            <w:vAlign w:val="center"/>
          </w:tcPr>
          <w:p w14:paraId="212283C9" w14:textId="77777777" w:rsidR="00E12635" w:rsidRPr="0093391D" w:rsidRDefault="00E12635" w:rsidP="006F4E59">
            <w:pPr>
              <w:rPr>
                <w:rFonts w:cs="Arial"/>
                <w:b/>
                <w:bCs/>
                <w:noProof/>
              </w:rPr>
            </w:pPr>
            <w:r w:rsidRPr="0093391D">
              <w:rPr>
                <w:rFonts w:cs="Arial"/>
                <w:b/>
                <w:bCs/>
                <w:noProof/>
              </w:rPr>
              <w:t>Total</w:t>
            </w:r>
          </w:p>
        </w:tc>
        <w:tc>
          <w:tcPr>
            <w:tcW w:w="992" w:type="dxa"/>
            <w:vAlign w:val="center"/>
          </w:tcPr>
          <w:p w14:paraId="44267569" w14:textId="50F850D2" w:rsidR="00E12635" w:rsidRPr="0093391D" w:rsidRDefault="00B66975" w:rsidP="006F4E59">
            <w:pPr>
              <w:jc w:val="right"/>
              <w:rPr>
                <w:rFonts w:cs="Arial"/>
                <w:b/>
                <w:bCs/>
                <w:noProof/>
              </w:rPr>
            </w:pPr>
            <w:r>
              <w:rPr>
                <w:rFonts w:cs="Arial"/>
                <w:b/>
                <w:bCs/>
                <w:noProof/>
              </w:rPr>
              <w:t>5</w:t>
            </w:r>
          </w:p>
        </w:tc>
        <w:tc>
          <w:tcPr>
            <w:tcW w:w="1134" w:type="dxa"/>
            <w:vAlign w:val="center"/>
          </w:tcPr>
          <w:p w14:paraId="12730A40" w14:textId="27F7935F" w:rsidR="00E12635" w:rsidRPr="0093391D" w:rsidRDefault="00B66975" w:rsidP="006F4E59">
            <w:pPr>
              <w:jc w:val="right"/>
              <w:rPr>
                <w:rFonts w:cs="Arial"/>
                <w:b/>
                <w:bCs/>
                <w:noProof/>
              </w:rPr>
            </w:pPr>
            <w:r>
              <w:rPr>
                <w:rFonts w:cs="Arial"/>
                <w:b/>
                <w:bCs/>
                <w:noProof/>
              </w:rPr>
              <w:t>1</w:t>
            </w:r>
            <w:r w:rsidR="00E12635">
              <w:rPr>
                <w:rFonts w:cs="Arial"/>
                <w:b/>
                <w:bCs/>
                <w:noProof/>
              </w:rPr>
              <w:t>1</w:t>
            </w:r>
          </w:p>
        </w:tc>
        <w:tc>
          <w:tcPr>
            <w:tcW w:w="851" w:type="dxa"/>
          </w:tcPr>
          <w:p w14:paraId="625CE934" w14:textId="6BB146B2" w:rsidR="00E12635" w:rsidRPr="0093391D" w:rsidRDefault="00B66975" w:rsidP="006F4E59">
            <w:pPr>
              <w:jc w:val="right"/>
              <w:rPr>
                <w:rFonts w:cs="Arial"/>
                <w:b/>
                <w:bCs/>
                <w:noProof/>
              </w:rPr>
            </w:pPr>
            <w:r>
              <w:rPr>
                <w:rFonts w:cs="Arial"/>
                <w:b/>
                <w:bCs/>
                <w:noProof/>
              </w:rPr>
              <w:t>16</w:t>
            </w:r>
          </w:p>
        </w:tc>
      </w:tr>
    </w:tbl>
    <w:p w14:paraId="402AE86C" w14:textId="77777777" w:rsidR="007B6069" w:rsidRPr="007B6069" w:rsidRDefault="007B6069" w:rsidP="00AE5461">
      <w:pPr>
        <w:pStyle w:val="Heading2"/>
      </w:pPr>
    </w:p>
    <w:p w14:paraId="1159CB03" w14:textId="2C1BC395" w:rsidR="009466F4" w:rsidRPr="00076ED0" w:rsidRDefault="009466F4" w:rsidP="00AE5461">
      <w:pPr>
        <w:pStyle w:val="Heading2"/>
      </w:pPr>
      <w:r w:rsidRPr="00076ED0">
        <w:t>Case Management</w:t>
      </w:r>
    </w:p>
    <w:p w14:paraId="4B9C16E2" w14:textId="2B740B65" w:rsidR="00D32026" w:rsidRDefault="00D32026" w:rsidP="00D32026">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p>
    <w:p w14:paraId="71660A75" w14:textId="77777777" w:rsidR="00D32026" w:rsidRDefault="00D32026" w:rsidP="009466F4">
      <w:pPr>
        <w:ind w:left="-142" w:right="-425"/>
        <w:jc w:val="both"/>
        <w:rPr>
          <w:rFonts w:cs="Arial"/>
        </w:rPr>
      </w:pPr>
    </w:p>
    <w:p w14:paraId="60B1E8CC" w14:textId="5C5D43A6" w:rsidR="00C56656" w:rsidRDefault="009466F4" w:rsidP="009466F4">
      <w:pPr>
        <w:ind w:left="-142" w:right="-425"/>
        <w:jc w:val="both"/>
        <w:rPr>
          <w:rFonts w:cs="Arial"/>
        </w:rPr>
      </w:pPr>
      <w:r w:rsidRPr="00350FFE">
        <w:rPr>
          <w:rFonts w:cs="Arial"/>
        </w:rPr>
        <w:t xml:space="preserve">As at </w:t>
      </w:r>
      <w:r w:rsidR="00F83C14">
        <w:rPr>
          <w:rFonts w:cs="Arial"/>
        </w:rPr>
        <w:t>3</w:t>
      </w:r>
      <w:r w:rsidR="007E68A8">
        <w:rPr>
          <w:rFonts w:cs="Arial"/>
        </w:rPr>
        <w:t xml:space="preserve">1 </w:t>
      </w:r>
      <w:r w:rsidR="001A5C4C">
        <w:rPr>
          <w:rFonts w:cs="Arial"/>
        </w:rPr>
        <w:t>March 2022</w:t>
      </w:r>
      <w:r w:rsidRPr="00303C40">
        <w:rPr>
          <w:rFonts w:cs="Arial"/>
        </w:rPr>
        <w:t xml:space="preserve">, </w:t>
      </w:r>
      <w:r w:rsidR="004558F6">
        <w:rPr>
          <w:rFonts w:cs="Arial"/>
        </w:rPr>
        <w:t>164</w:t>
      </w:r>
      <w:r w:rsidR="004558F6" w:rsidRPr="00303C40">
        <w:rPr>
          <w:rFonts w:cs="Arial"/>
        </w:rPr>
        <w:t xml:space="preserve"> </w:t>
      </w:r>
      <w:r w:rsidRPr="00303C40">
        <w:rPr>
          <w:rFonts w:cs="Arial"/>
        </w:rPr>
        <w:t xml:space="preserve">clients were being </w:t>
      </w:r>
      <w:proofErr w:type="gramStart"/>
      <w:r w:rsidRPr="00490975">
        <w:rPr>
          <w:rFonts w:cs="Arial"/>
        </w:rPr>
        <w:t>case-managed</w:t>
      </w:r>
      <w:proofErr w:type="gramEnd"/>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4A72B4">
        <w:rPr>
          <w:rFonts w:cs="Arial"/>
        </w:rPr>
        <w:t xml:space="preserve"> </w:t>
      </w:r>
      <w:r w:rsidR="004A72B4" w:rsidRPr="002F4F9D">
        <w:rPr>
          <w:rFonts w:cs="Arial"/>
        </w:rPr>
        <w:t>decrease</w:t>
      </w:r>
      <w:r w:rsidRPr="002F4F9D">
        <w:rPr>
          <w:rFonts w:cs="Arial"/>
        </w:rPr>
        <w:t xml:space="preserve"> </w:t>
      </w:r>
      <w:r w:rsidR="00A836AD" w:rsidRPr="002F4F9D">
        <w:rPr>
          <w:rFonts w:cs="Arial"/>
        </w:rPr>
        <w:t xml:space="preserve">of </w:t>
      </w:r>
      <w:r w:rsidR="004558F6">
        <w:rPr>
          <w:rFonts w:cs="Arial"/>
        </w:rPr>
        <w:t xml:space="preserve">60 </w:t>
      </w:r>
      <w:r w:rsidR="00A836AD">
        <w:rPr>
          <w:rFonts w:cs="Arial"/>
        </w:rPr>
        <w:t>from</w:t>
      </w:r>
      <w:r w:rsidRPr="00303C40">
        <w:rPr>
          <w:rFonts w:cs="Arial"/>
        </w:rPr>
        <w:t xml:space="preserve"> </w:t>
      </w:r>
      <w:r>
        <w:rPr>
          <w:rFonts w:cs="Arial"/>
        </w:rPr>
        <w:t xml:space="preserve">quarter </w:t>
      </w:r>
      <w:r w:rsidR="006A4FDF">
        <w:rPr>
          <w:rFonts w:cs="Arial"/>
        </w:rPr>
        <w:t>54</w:t>
      </w:r>
      <w:r>
        <w:rPr>
          <w:rFonts w:cs="Arial"/>
        </w:rPr>
        <w:t>.</w:t>
      </w:r>
      <w:r w:rsidRPr="00303C40">
        <w:rPr>
          <w:rFonts w:cs="Arial"/>
        </w:rPr>
        <w:t xml:space="preserve"> </w:t>
      </w:r>
      <w:r w:rsidR="004D5E96" w:rsidRPr="002F4F9D">
        <w:rPr>
          <w:rFonts w:cs="Arial"/>
        </w:rPr>
        <w:t xml:space="preserve">Decreases </w:t>
      </w:r>
      <w:r w:rsidRPr="002F4F9D">
        <w:rPr>
          <w:rFonts w:cs="Arial"/>
        </w:rPr>
        <w:t xml:space="preserve">were seen in Aurukun, </w:t>
      </w:r>
      <w:r w:rsidR="004558F6">
        <w:rPr>
          <w:rFonts w:cs="Arial"/>
        </w:rPr>
        <w:t xml:space="preserve">Coen, Doomadgee, </w:t>
      </w:r>
      <w:r w:rsidR="00C56656" w:rsidRPr="002F4F9D">
        <w:rPr>
          <w:rFonts w:cs="Arial"/>
        </w:rPr>
        <w:t xml:space="preserve">Hope Vale </w:t>
      </w:r>
      <w:r w:rsidR="002F4F9D" w:rsidRPr="002F4F9D">
        <w:rPr>
          <w:rFonts w:cs="Arial"/>
        </w:rPr>
        <w:t xml:space="preserve">and Mossman Gorge </w:t>
      </w:r>
      <w:r w:rsidR="004D5E96" w:rsidRPr="002F4F9D">
        <w:rPr>
          <w:rFonts w:cs="Arial"/>
        </w:rPr>
        <w:t xml:space="preserve">of </w:t>
      </w:r>
      <w:r w:rsidR="004558F6">
        <w:rPr>
          <w:rFonts w:cs="Arial"/>
        </w:rPr>
        <w:t>24</w:t>
      </w:r>
      <w:r w:rsidR="004D5E96" w:rsidRPr="002F4F9D">
        <w:rPr>
          <w:rFonts w:cs="Arial"/>
        </w:rPr>
        <w:t xml:space="preserve">, </w:t>
      </w:r>
      <w:r w:rsidR="0008702D">
        <w:rPr>
          <w:rFonts w:cs="Arial"/>
        </w:rPr>
        <w:t>3, 16, 10 and 7</w:t>
      </w:r>
      <w:r w:rsidR="00C56656" w:rsidRPr="002F4F9D">
        <w:rPr>
          <w:rFonts w:cs="Arial"/>
        </w:rPr>
        <w:t xml:space="preserve"> </w:t>
      </w:r>
      <w:r w:rsidR="004D5E96" w:rsidRPr="002F4F9D">
        <w:rPr>
          <w:rFonts w:cs="Arial"/>
        </w:rPr>
        <w:t>respectively</w:t>
      </w:r>
      <w:r w:rsidR="00C52B7B">
        <w:rPr>
          <w:rFonts w:cs="Arial"/>
        </w:rPr>
        <w:t xml:space="preserve"> </w:t>
      </w:r>
      <w:r w:rsidR="0073436F">
        <w:rPr>
          <w:rFonts w:cs="Arial"/>
        </w:rPr>
        <w:t>which</w:t>
      </w:r>
      <w:r w:rsidR="00C52B7B">
        <w:rPr>
          <w:rFonts w:cs="Arial"/>
        </w:rPr>
        <w:t xml:space="preserve"> </w:t>
      </w:r>
      <w:r w:rsidR="00AB3DE0">
        <w:rPr>
          <w:rFonts w:cs="Arial"/>
        </w:rPr>
        <w:t>is consistent with the broader</w:t>
      </w:r>
      <w:r w:rsidR="004029CD">
        <w:rPr>
          <w:rFonts w:cs="Arial"/>
        </w:rPr>
        <w:t xml:space="preserve"> </w:t>
      </w:r>
      <w:r w:rsidR="00AB3DE0">
        <w:rPr>
          <w:rFonts w:cs="Arial"/>
        </w:rPr>
        <w:t xml:space="preserve">operational </w:t>
      </w:r>
      <w:r w:rsidR="004029CD">
        <w:rPr>
          <w:rFonts w:cs="Arial"/>
        </w:rPr>
        <w:t>impacts experienced by the Commission</w:t>
      </w:r>
      <w:r w:rsidR="00AB3DE0">
        <w:rPr>
          <w:rFonts w:cs="Arial"/>
        </w:rPr>
        <w:t xml:space="preserve"> from</w:t>
      </w:r>
      <w:r w:rsidR="004029CD">
        <w:rPr>
          <w:rFonts w:cs="Arial"/>
        </w:rPr>
        <w:t xml:space="preserve"> </w:t>
      </w:r>
      <w:r w:rsidR="00524B3A">
        <w:rPr>
          <w:rFonts w:cs="Arial"/>
        </w:rPr>
        <w:t>the public health emergency.</w:t>
      </w:r>
      <w:r w:rsidR="004029CD">
        <w:rPr>
          <w:rFonts w:cs="Arial"/>
        </w:rPr>
        <w:t xml:space="preserve"> </w:t>
      </w:r>
    </w:p>
    <w:p w14:paraId="0DE12B56" w14:textId="77777777" w:rsidR="008D6080" w:rsidRDefault="008D6080" w:rsidP="00E2657A">
      <w:pPr>
        <w:ind w:left="-142" w:right="-425"/>
        <w:jc w:val="both"/>
        <w:rPr>
          <w:rFonts w:cs="Arial"/>
        </w:rPr>
      </w:pPr>
    </w:p>
    <w:p w14:paraId="40DA6D23" w14:textId="77777777" w:rsidR="00BF57CD" w:rsidRDefault="00BF57CD">
      <w:pPr>
        <w:spacing w:line="240" w:lineRule="auto"/>
        <w:rPr>
          <w:rFonts w:cs="Arial"/>
          <w:b/>
          <w:bCs/>
          <w:spacing w:val="-4"/>
          <w:kern w:val="28"/>
        </w:rPr>
      </w:pPr>
      <w:r>
        <w:br w:type="page"/>
      </w:r>
    </w:p>
    <w:p w14:paraId="6544B717" w14:textId="44C27BD3" w:rsidR="005A5B78" w:rsidRDefault="005A5B78" w:rsidP="00AE5461">
      <w:pPr>
        <w:pStyle w:val="Heading2"/>
      </w:pPr>
      <w:r w:rsidRPr="00076ED0">
        <w:lastRenderedPageBreak/>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1F329859" w:rsidR="00FF351C" w:rsidRDefault="004B4560" w:rsidP="00FF351C">
      <w:pPr>
        <w:ind w:left="-142" w:right="-425"/>
        <w:jc w:val="both"/>
        <w:rPr>
          <w:rFonts w:cs="Arial"/>
        </w:rPr>
      </w:pPr>
      <w:r>
        <w:rPr>
          <w:rFonts w:cs="Arial"/>
        </w:rPr>
        <w:t xml:space="preserve">Sixteen </w:t>
      </w:r>
      <w:r w:rsidR="00FF351C">
        <w:rPr>
          <w:rFonts w:cs="Arial"/>
        </w:rPr>
        <w:t>a</w:t>
      </w:r>
      <w:r w:rsidR="00FF351C" w:rsidRPr="009E1D38">
        <w:rPr>
          <w:rFonts w:cs="Arial"/>
        </w:rPr>
        <w:t xml:space="preserve">pplications </w:t>
      </w:r>
      <w:r w:rsidR="00FF351C">
        <w:rPr>
          <w:rFonts w:cs="Arial"/>
        </w:rPr>
        <w:t xml:space="preserve">relating to </w:t>
      </w:r>
      <w:r w:rsidR="001679DE">
        <w:rPr>
          <w:rFonts w:cs="Arial"/>
        </w:rPr>
        <w:t>1</w:t>
      </w:r>
      <w:r w:rsidR="00E731AE">
        <w:rPr>
          <w:rFonts w:cs="Arial"/>
        </w:rPr>
        <w:t>6</w:t>
      </w:r>
      <w:r w:rsidR="001679DE">
        <w:rPr>
          <w:rFonts w:cs="Arial"/>
        </w:rPr>
        <w:t xml:space="preserve"> </w:t>
      </w:r>
      <w:r w:rsidR="00FF351C">
        <w:rPr>
          <w:rFonts w:cs="Arial"/>
        </w:rPr>
        <w:t>clients (1</w:t>
      </w:r>
      <w:r>
        <w:rPr>
          <w:rFonts w:cs="Arial"/>
        </w:rPr>
        <w:t>0</w:t>
      </w:r>
      <w:r w:rsidR="00FF351C">
        <w:rPr>
          <w:rFonts w:cs="Arial"/>
        </w:rPr>
        <w:t xml:space="preserve"> female and </w:t>
      </w:r>
      <w:r w:rsidR="001679DE">
        <w:rPr>
          <w:rFonts w:cs="Arial"/>
        </w:rPr>
        <w:t xml:space="preserve">6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5E1684">
        <w:rPr>
          <w:rFonts w:cs="Arial"/>
        </w:rPr>
        <w:t>55</w:t>
      </w:r>
      <w:r w:rsidR="00FF351C">
        <w:rPr>
          <w:rFonts w:cs="Arial"/>
        </w:rPr>
        <w:t>, a</w:t>
      </w:r>
      <w:r w:rsidR="001679DE">
        <w:rPr>
          <w:rFonts w:cs="Arial"/>
        </w:rPr>
        <w:t xml:space="preserve"> decrease </w:t>
      </w:r>
      <w:r w:rsidR="00FF351C" w:rsidRPr="009D1AAB">
        <w:rPr>
          <w:rFonts w:cs="Arial"/>
        </w:rPr>
        <w:t xml:space="preserve">of </w:t>
      </w:r>
      <w:r w:rsidR="00FF351C">
        <w:rPr>
          <w:rFonts w:cs="Arial"/>
        </w:rPr>
        <w:t>1</w:t>
      </w:r>
      <w:r w:rsidR="00E731AE">
        <w:rPr>
          <w:rFonts w:cs="Arial"/>
        </w:rPr>
        <w:t>6</w:t>
      </w:r>
      <w:r w:rsidR="00FF351C" w:rsidRPr="009D1AAB">
        <w:rPr>
          <w:rFonts w:cs="Arial"/>
        </w:rPr>
        <w:t xml:space="preserve"> </w:t>
      </w:r>
      <w:r w:rsidR="00FF351C">
        <w:rPr>
          <w:rFonts w:cs="Arial"/>
        </w:rPr>
        <w:t xml:space="preserve">applications </w:t>
      </w:r>
      <w:r w:rsidR="00FF351C" w:rsidRPr="009D1AAB">
        <w:rPr>
          <w:rFonts w:cs="Arial"/>
        </w:rPr>
        <w:t>from</w:t>
      </w:r>
      <w:r w:rsidR="00FF351C">
        <w:rPr>
          <w:rFonts w:cs="Arial"/>
        </w:rPr>
        <w:t xml:space="preserve"> the previous </w:t>
      </w:r>
      <w:r w:rsidR="00FF351C">
        <w:t>quarter</w:t>
      </w:r>
      <w:r w:rsidR="00FF351C" w:rsidRPr="00AF2C25">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5E919A9B" w14:textId="12E51BBB" w:rsidR="002F559C" w:rsidRDefault="002F559C" w:rsidP="00F9293E">
      <w:pPr>
        <w:ind w:left="-142" w:right="-425"/>
        <w:jc w:val="both"/>
        <w:rPr>
          <w:rFonts w:cs="Arial"/>
        </w:rPr>
      </w:pPr>
    </w:p>
    <w:p w14:paraId="24C18F39" w14:textId="63B7EE2A" w:rsidR="002F559C" w:rsidRPr="008E49AE" w:rsidRDefault="002F559C" w:rsidP="002F559C">
      <w:pPr>
        <w:pStyle w:val="TableCaption"/>
        <w:spacing w:before="0"/>
        <w:ind w:left="0" w:right="-425"/>
        <w:rPr>
          <w:b/>
          <w:i w:val="0"/>
          <w:sz w:val="16"/>
        </w:rPr>
      </w:pPr>
      <w:r w:rsidRPr="008E49AE">
        <w:rPr>
          <w:b/>
          <w:i w:val="0"/>
          <w:sz w:val="16"/>
        </w:rPr>
        <w:t xml:space="preserve">Table </w:t>
      </w:r>
      <w:r>
        <w:rPr>
          <w:b/>
          <w:i w:val="0"/>
          <w:sz w:val="16"/>
        </w:rPr>
        <w:t>27</w:t>
      </w:r>
      <w:r w:rsidRPr="008E49AE">
        <w:rPr>
          <w:b/>
          <w:i w:val="0"/>
          <w:sz w:val="16"/>
        </w:rPr>
        <w:t xml:space="preserve">: </w:t>
      </w:r>
      <w:r w:rsidRPr="008E49AE">
        <w:rPr>
          <w:i w:val="0"/>
          <w:sz w:val="16"/>
        </w:rPr>
        <w:t xml:space="preserve">Applications to Amend or End FRA or Order by community and quarter 1 </w:t>
      </w:r>
      <w:r>
        <w:rPr>
          <w:i w:val="0"/>
          <w:sz w:val="16"/>
        </w:rPr>
        <w:t>January</w:t>
      </w:r>
      <w:r>
        <w:rPr>
          <w:i w:val="0"/>
          <w:sz w:val="16"/>
        </w:rPr>
        <w:t xml:space="preserve"> 202</w:t>
      </w:r>
      <w:r>
        <w:rPr>
          <w:i w:val="0"/>
          <w:sz w:val="16"/>
        </w:rPr>
        <w:t>1</w:t>
      </w:r>
      <w:r>
        <w:rPr>
          <w:i w:val="0"/>
          <w:sz w:val="16"/>
        </w:rPr>
        <w:t xml:space="preserve"> to 31 </w:t>
      </w:r>
      <w:r>
        <w:rPr>
          <w:i w:val="0"/>
          <w:sz w:val="16"/>
        </w:rPr>
        <w:t>March</w:t>
      </w:r>
      <w:r>
        <w:rPr>
          <w:i w:val="0"/>
          <w:sz w:val="16"/>
        </w:rPr>
        <w:t xml:space="preserve"> </w:t>
      </w:r>
      <w:r w:rsidRPr="008E49AE">
        <w:rPr>
          <w:i w:val="0"/>
          <w:sz w:val="16"/>
        </w:rPr>
        <w:t>20</w:t>
      </w:r>
      <w:r>
        <w:rPr>
          <w:i w:val="0"/>
          <w:sz w:val="16"/>
        </w:rPr>
        <w:t>2</w:t>
      </w:r>
      <w:r>
        <w:rPr>
          <w:i w:val="0"/>
          <w:sz w:val="16"/>
        </w:rPr>
        <w:t>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2F559C" w:rsidRPr="00C5395B" w14:paraId="0C15AE4F" w14:textId="07DDA778" w:rsidTr="002F559C">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0A044D1" w14:textId="77777777" w:rsidR="002F559C" w:rsidRPr="00C5395B" w:rsidRDefault="002F559C" w:rsidP="006F4E59">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10C3D21" w14:textId="77777777" w:rsidR="002F559C" w:rsidRDefault="002F559C" w:rsidP="006F4E59">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0D91FEA5" w14:textId="77777777" w:rsidR="002F559C" w:rsidRDefault="002F559C" w:rsidP="006F4E59">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34E2C9BF" w14:textId="77777777" w:rsidR="002F559C" w:rsidRDefault="002F559C" w:rsidP="006F4E59">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7B627B00" w14:textId="77777777" w:rsidR="002F559C" w:rsidRDefault="002F559C" w:rsidP="006F4E59">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5D6E4889" w14:textId="01ECC542" w:rsidR="002F559C" w:rsidRDefault="002F559C" w:rsidP="006F4E59">
            <w:pPr>
              <w:pStyle w:val="TableText"/>
              <w:jc w:val="right"/>
              <w:rPr>
                <w:b/>
                <w:lang w:eastAsia="en-AU"/>
              </w:rPr>
            </w:pPr>
            <w:r>
              <w:rPr>
                <w:b/>
                <w:lang w:eastAsia="en-AU"/>
              </w:rPr>
              <w:t>Qtr 55</w:t>
            </w:r>
          </w:p>
        </w:tc>
      </w:tr>
      <w:tr w:rsidR="002F559C" w:rsidRPr="00C5395B" w14:paraId="6D213DBF" w14:textId="6AE19479" w:rsidTr="002F559C">
        <w:trPr>
          <w:trHeight w:val="255"/>
        </w:trPr>
        <w:tc>
          <w:tcPr>
            <w:tcW w:w="2040" w:type="dxa"/>
            <w:tcBorders>
              <w:top w:val="nil"/>
              <w:left w:val="single" w:sz="4" w:space="0" w:color="auto"/>
              <w:bottom w:val="single" w:sz="4" w:space="0" w:color="auto"/>
              <w:right w:val="single" w:sz="4" w:space="0" w:color="auto"/>
            </w:tcBorders>
            <w:noWrap/>
            <w:hideMark/>
          </w:tcPr>
          <w:p w14:paraId="36CCB131" w14:textId="77777777" w:rsidR="002F559C" w:rsidRPr="00C5395B" w:rsidRDefault="002F559C" w:rsidP="006F4E5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vAlign w:val="bottom"/>
          </w:tcPr>
          <w:p w14:paraId="2208EF13" w14:textId="77777777" w:rsidR="002F559C" w:rsidRDefault="002F559C" w:rsidP="006F4E59">
            <w:pPr>
              <w:jc w:val="right"/>
              <w:rPr>
                <w:rFonts w:cs="Arial"/>
              </w:rPr>
            </w:pPr>
            <w:r w:rsidRPr="00DD04C0">
              <w:rPr>
                <w:rFonts w:cs="Arial"/>
              </w:rPr>
              <w:t>7</w:t>
            </w:r>
          </w:p>
        </w:tc>
        <w:tc>
          <w:tcPr>
            <w:tcW w:w="960" w:type="dxa"/>
            <w:tcBorders>
              <w:top w:val="nil"/>
              <w:left w:val="nil"/>
              <w:bottom w:val="single" w:sz="4" w:space="0" w:color="auto"/>
              <w:right w:val="single" w:sz="4" w:space="0" w:color="auto"/>
            </w:tcBorders>
            <w:vAlign w:val="bottom"/>
          </w:tcPr>
          <w:p w14:paraId="4BC87BED" w14:textId="77777777" w:rsidR="002F559C" w:rsidRPr="00550A24" w:rsidRDefault="002F559C" w:rsidP="006F4E59">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65470CA3" w14:textId="77777777" w:rsidR="002F559C" w:rsidRPr="00D919B5" w:rsidRDefault="002F559C" w:rsidP="006F4E59">
            <w:pPr>
              <w:jc w:val="right"/>
              <w:rPr>
                <w:rFonts w:cs="Arial"/>
              </w:rPr>
            </w:pPr>
            <w:r w:rsidRPr="00D919B5">
              <w:rPr>
                <w:rFonts w:cs="Arial"/>
              </w:rPr>
              <w:t>10</w:t>
            </w:r>
          </w:p>
        </w:tc>
        <w:tc>
          <w:tcPr>
            <w:tcW w:w="960" w:type="dxa"/>
            <w:tcBorders>
              <w:top w:val="nil"/>
              <w:left w:val="nil"/>
              <w:bottom w:val="single" w:sz="4" w:space="0" w:color="auto"/>
              <w:right w:val="single" w:sz="4" w:space="0" w:color="auto"/>
            </w:tcBorders>
          </w:tcPr>
          <w:p w14:paraId="71BCA560" w14:textId="77777777" w:rsidR="002F559C" w:rsidRPr="00D919B5" w:rsidRDefault="002F559C" w:rsidP="006F4E59">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6B09C497" w14:textId="15CA5633" w:rsidR="002F559C" w:rsidRDefault="002F559C" w:rsidP="006F4E59">
            <w:pPr>
              <w:jc w:val="right"/>
              <w:rPr>
                <w:rFonts w:cs="Arial"/>
              </w:rPr>
            </w:pPr>
            <w:r>
              <w:rPr>
                <w:rFonts w:cs="Arial"/>
              </w:rPr>
              <w:t>13</w:t>
            </w:r>
          </w:p>
        </w:tc>
      </w:tr>
      <w:tr w:rsidR="002F559C" w:rsidRPr="00C5395B" w14:paraId="37D9F706" w14:textId="70C7BE94" w:rsidTr="002F559C">
        <w:trPr>
          <w:trHeight w:val="255"/>
        </w:trPr>
        <w:tc>
          <w:tcPr>
            <w:tcW w:w="2040" w:type="dxa"/>
            <w:tcBorders>
              <w:top w:val="nil"/>
              <w:left w:val="single" w:sz="4" w:space="0" w:color="auto"/>
              <w:bottom w:val="single" w:sz="4" w:space="0" w:color="auto"/>
              <w:right w:val="single" w:sz="4" w:space="0" w:color="auto"/>
            </w:tcBorders>
            <w:noWrap/>
            <w:hideMark/>
          </w:tcPr>
          <w:p w14:paraId="2F4ABB8E" w14:textId="77777777" w:rsidR="002F559C" w:rsidRPr="00C5395B" w:rsidRDefault="002F559C" w:rsidP="006F4E5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vAlign w:val="bottom"/>
          </w:tcPr>
          <w:p w14:paraId="55736D54" w14:textId="77777777" w:rsidR="002F559C" w:rsidRDefault="002F559C" w:rsidP="006F4E59">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48360529" w14:textId="77777777" w:rsidR="002F559C" w:rsidRPr="00550A24" w:rsidRDefault="002F559C" w:rsidP="006F4E59">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5B70C0F9" w14:textId="77777777" w:rsidR="002F559C" w:rsidRPr="00D919B5" w:rsidRDefault="002F559C" w:rsidP="006F4E59">
            <w:pPr>
              <w:jc w:val="right"/>
              <w:rPr>
                <w:rFonts w:cs="Arial"/>
              </w:rPr>
            </w:pPr>
            <w:r w:rsidRPr="00D919B5">
              <w:rPr>
                <w:rFonts w:cs="Arial"/>
              </w:rPr>
              <w:t>1</w:t>
            </w:r>
          </w:p>
        </w:tc>
        <w:tc>
          <w:tcPr>
            <w:tcW w:w="960" w:type="dxa"/>
            <w:tcBorders>
              <w:top w:val="nil"/>
              <w:left w:val="nil"/>
              <w:bottom w:val="single" w:sz="4" w:space="0" w:color="auto"/>
              <w:right w:val="single" w:sz="4" w:space="0" w:color="auto"/>
            </w:tcBorders>
          </w:tcPr>
          <w:p w14:paraId="0FA7EA73" w14:textId="77777777" w:rsidR="002F559C" w:rsidRPr="00D919B5" w:rsidRDefault="002F559C" w:rsidP="006F4E5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9E718FF" w14:textId="0E59A957" w:rsidR="002F559C" w:rsidRDefault="002F559C" w:rsidP="006F4E59">
            <w:pPr>
              <w:jc w:val="right"/>
              <w:rPr>
                <w:rFonts w:cs="Arial"/>
              </w:rPr>
            </w:pPr>
            <w:r>
              <w:rPr>
                <w:rFonts w:cs="Arial"/>
              </w:rPr>
              <w:t>0</w:t>
            </w:r>
          </w:p>
        </w:tc>
      </w:tr>
      <w:tr w:rsidR="002F559C" w:rsidRPr="00C5395B" w14:paraId="4D7B09D1" w14:textId="71B6B165" w:rsidTr="002F559C">
        <w:trPr>
          <w:trHeight w:val="255"/>
        </w:trPr>
        <w:tc>
          <w:tcPr>
            <w:tcW w:w="2040" w:type="dxa"/>
            <w:tcBorders>
              <w:top w:val="nil"/>
              <w:left w:val="single" w:sz="4" w:space="0" w:color="auto"/>
              <w:bottom w:val="single" w:sz="4" w:space="0" w:color="auto"/>
              <w:right w:val="single" w:sz="4" w:space="0" w:color="auto"/>
            </w:tcBorders>
            <w:noWrap/>
          </w:tcPr>
          <w:p w14:paraId="3FE67254" w14:textId="77777777" w:rsidR="002F559C" w:rsidRPr="00C5395B" w:rsidRDefault="002F559C" w:rsidP="006F4E5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vAlign w:val="bottom"/>
          </w:tcPr>
          <w:p w14:paraId="1470D97C" w14:textId="77777777" w:rsidR="002F559C" w:rsidRDefault="002F559C" w:rsidP="006F4E59">
            <w:pPr>
              <w:jc w:val="right"/>
              <w:rPr>
                <w:rFonts w:cs="Arial"/>
              </w:rPr>
            </w:pPr>
            <w:r w:rsidRPr="00DD04C0">
              <w:rPr>
                <w:rFonts w:cs="Arial"/>
              </w:rPr>
              <w:t>3</w:t>
            </w:r>
          </w:p>
        </w:tc>
        <w:tc>
          <w:tcPr>
            <w:tcW w:w="960" w:type="dxa"/>
            <w:tcBorders>
              <w:top w:val="nil"/>
              <w:left w:val="nil"/>
              <w:bottom w:val="single" w:sz="4" w:space="0" w:color="auto"/>
              <w:right w:val="single" w:sz="4" w:space="0" w:color="auto"/>
            </w:tcBorders>
            <w:vAlign w:val="bottom"/>
          </w:tcPr>
          <w:p w14:paraId="4854332D" w14:textId="77777777" w:rsidR="002F559C" w:rsidRPr="00550A24" w:rsidRDefault="002F559C" w:rsidP="006F4E59">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613C29FA" w14:textId="77777777" w:rsidR="002F559C" w:rsidRPr="00D919B5" w:rsidRDefault="002F559C" w:rsidP="006F4E59">
            <w:pPr>
              <w:jc w:val="right"/>
              <w:rPr>
                <w:rFonts w:cs="Arial"/>
              </w:rPr>
            </w:pPr>
            <w:r w:rsidRPr="00D919B5">
              <w:rPr>
                <w:rFonts w:cs="Arial"/>
              </w:rPr>
              <w:t>2</w:t>
            </w:r>
          </w:p>
        </w:tc>
        <w:tc>
          <w:tcPr>
            <w:tcW w:w="960" w:type="dxa"/>
            <w:tcBorders>
              <w:top w:val="nil"/>
              <w:left w:val="nil"/>
              <w:bottom w:val="single" w:sz="4" w:space="0" w:color="auto"/>
              <w:right w:val="single" w:sz="4" w:space="0" w:color="auto"/>
            </w:tcBorders>
          </w:tcPr>
          <w:p w14:paraId="5C23337C" w14:textId="77777777" w:rsidR="002F559C" w:rsidRPr="00D919B5" w:rsidRDefault="002F559C" w:rsidP="006F4E5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8C069D4" w14:textId="20C214AC" w:rsidR="002F559C" w:rsidRDefault="002F559C" w:rsidP="006F4E59">
            <w:pPr>
              <w:jc w:val="right"/>
              <w:rPr>
                <w:rFonts w:cs="Arial"/>
              </w:rPr>
            </w:pPr>
            <w:r>
              <w:rPr>
                <w:rFonts w:cs="Arial"/>
              </w:rPr>
              <w:t>0</w:t>
            </w:r>
          </w:p>
        </w:tc>
      </w:tr>
      <w:tr w:rsidR="002F559C" w:rsidRPr="00C5395B" w14:paraId="7849B3FA" w14:textId="58A8A07D" w:rsidTr="002F559C">
        <w:trPr>
          <w:trHeight w:val="255"/>
        </w:trPr>
        <w:tc>
          <w:tcPr>
            <w:tcW w:w="2040" w:type="dxa"/>
            <w:tcBorders>
              <w:top w:val="nil"/>
              <w:left w:val="single" w:sz="4" w:space="0" w:color="auto"/>
              <w:bottom w:val="single" w:sz="4" w:space="0" w:color="auto"/>
              <w:right w:val="single" w:sz="4" w:space="0" w:color="auto"/>
            </w:tcBorders>
            <w:noWrap/>
            <w:hideMark/>
          </w:tcPr>
          <w:p w14:paraId="043474BD" w14:textId="77777777" w:rsidR="002F559C" w:rsidRPr="00C5395B" w:rsidRDefault="002F559C" w:rsidP="006F4E5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vAlign w:val="bottom"/>
          </w:tcPr>
          <w:p w14:paraId="2511B6F9" w14:textId="77777777" w:rsidR="002F559C" w:rsidRDefault="002F559C" w:rsidP="006F4E59">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33A52A53" w14:textId="77777777" w:rsidR="002F559C" w:rsidRPr="00550A24" w:rsidRDefault="002F559C" w:rsidP="006F4E59">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62559103" w14:textId="77777777" w:rsidR="002F559C" w:rsidRPr="00D919B5" w:rsidRDefault="002F559C" w:rsidP="006F4E59">
            <w:pPr>
              <w:jc w:val="right"/>
              <w:rPr>
                <w:rFonts w:cs="Arial"/>
              </w:rPr>
            </w:pPr>
            <w:r w:rsidRPr="00D919B5">
              <w:rPr>
                <w:rFonts w:cs="Arial"/>
              </w:rPr>
              <w:t>3</w:t>
            </w:r>
          </w:p>
        </w:tc>
        <w:tc>
          <w:tcPr>
            <w:tcW w:w="960" w:type="dxa"/>
            <w:tcBorders>
              <w:top w:val="nil"/>
              <w:left w:val="nil"/>
              <w:bottom w:val="single" w:sz="4" w:space="0" w:color="auto"/>
              <w:right w:val="single" w:sz="4" w:space="0" w:color="auto"/>
            </w:tcBorders>
          </w:tcPr>
          <w:p w14:paraId="07A8F849" w14:textId="77777777" w:rsidR="002F559C" w:rsidRPr="00D919B5" w:rsidRDefault="002F559C" w:rsidP="006F4E5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821B745" w14:textId="509FC873" w:rsidR="002F559C" w:rsidRDefault="002F559C" w:rsidP="006F4E59">
            <w:pPr>
              <w:jc w:val="right"/>
              <w:rPr>
                <w:rFonts w:cs="Arial"/>
              </w:rPr>
            </w:pPr>
            <w:r>
              <w:rPr>
                <w:rFonts w:cs="Arial"/>
              </w:rPr>
              <w:t>3</w:t>
            </w:r>
          </w:p>
        </w:tc>
      </w:tr>
      <w:tr w:rsidR="002F559C" w:rsidRPr="00C5395B" w14:paraId="38594675" w14:textId="2080C66F" w:rsidTr="002F559C">
        <w:trPr>
          <w:trHeight w:val="255"/>
        </w:trPr>
        <w:tc>
          <w:tcPr>
            <w:tcW w:w="2040" w:type="dxa"/>
            <w:tcBorders>
              <w:top w:val="nil"/>
              <w:left w:val="single" w:sz="4" w:space="0" w:color="auto"/>
              <w:bottom w:val="single" w:sz="4" w:space="0" w:color="auto"/>
              <w:right w:val="single" w:sz="4" w:space="0" w:color="auto"/>
            </w:tcBorders>
            <w:noWrap/>
            <w:hideMark/>
          </w:tcPr>
          <w:p w14:paraId="3E8A6526" w14:textId="77777777" w:rsidR="002F559C" w:rsidRPr="00C5395B" w:rsidRDefault="002F559C" w:rsidP="006F4E5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vAlign w:val="bottom"/>
          </w:tcPr>
          <w:p w14:paraId="50C779C1" w14:textId="77777777" w:rsidR="002F559C" w:rsidRDefault="002F559C" w:rsidP="006F4E59">
            <w:pPr>
              <w:jc w:val="right"/>
              <w:rPr>
                <w:rFonts w:cs="Arial"/>
              </w:rPr>
            </w:pPr>
            <w:r w:rsidRPr="00DD04C0">
              <w:rPr>
                <w:rFonts w:cs="Arial"/>
              </w:rPr>
              <w:t>0</w:t>
            </w:r>
          </w:p>
        </w:tc>
        <w:tc>
          <w:tcPr>
            <w:tcW w:w="960" w:type="dxa"/>
            <w:tcBorders>
              <w:top w:val="nil"/>
              <w:left w:val="nil"/>
              <w:bottom w:val="single" w:sz="4" w:space="0" w:color="auto"/>
              <w:right w:val="single" w:sz="4" w:space="0" w:color="auto"/>
            </w:tcBorders>
            <w:vAlign w:val="bottom"/>
          </w:tcPr>
          <w:p w14:paraId="0F96C84B" w14:textId="77777777" w:rsidR="002F559C" w:rsidRPr="00550A24" w:rsidRDefault="002F559C" w:rsidP="006F4E59">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268E9D4B" w14:textId="77777777" w:rsidR="002F559C" w:rsidRPr="00D919B5" w:rsidRDefault="002F559C" w:rsidP="006F4E59">
            <w:pPr>
              <w:jc w:val="right"/>
              <w:rPr>
                <w:rFonts w:cs="Arial"/>
              </w:rPr>
            </w:pPr>
            <w:r w:rsidRPr="00D919B5">
              <w:rPr>
                <w:rFonts w:cs="Arial"/>
              </w:rPr>
              <w:t>0</w:t>
            </w:r>
          </w:p>
        </w:tc>
        <w:tc>
          <w:tcPr>
            <w:tcW w:w="960" w:type="dxa"/>
            <w:tcBorders>
              <w:top w:val="nil"/>
              <w:left w:val="nil"/>
              <w:bottom w:val="single" w:sz="4" w:space="0" w:color="auto"/>
              <w:right w:val="single" w:sz="4" w:space="0" w:color="auto"/>
            </w:tcBorders>
          </w:tcPr>
          <w:p w14:paraId="48351AFD" w14:textId="77777777" w:rsidR="002F559C" w:rsidRPr="00D919B5" w:rsidRDefault="002F559C" w:rsidP="006F4E5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749472D" w14:textId="1CD9C5F0" w:rsidR="002F559C" w:rsidRDefault="002F559C" w:rsidP="006F4E59">
            <w:pPr>
              <w:jc w:val="right"/>
              <w:rPr>
                <w:rFonts w:cs="Arial"/>
              </w:rPr>
            </w:pPr>
            <w:r>
              <w:rPr>
                <w:rFonts w:cs="Arial"/>
              </w:rPr>
              <w:t>0</w:t>
            </w:r>
          </w:p>
        </w:tc>
      </w:tr>
      <w:tr w:rsidR="002F559C" w:rsidRPr="00C5395B" w14:paraId="037F7803" w14:textId="213C3B54" w:rsidTr="002F559C">
        <w:trPr>
          <w:trHeight w:val="255"/>
        </w:trPr>
        <w:tc>
          <w:tcPr>
            <w:tcW w:w="2040" w:type="dxa"/>
            <w:tcBorders>
              <w:top w:val="nil"/>
              <w:left w:val="single" w:sz="4" w:space="0" w:color="auto"/>
              <w:bottom w:val="single" w:sz="4" w:space="0" w:color="auto"/>
              <w:right w:val="single" w:sz="4" w:space="0" w:color="auto"/>
            </w:tcBorders>
            <w:noWrap/>
            <w:hideMark/>
          </w:tcPr>
          <w:p w14:paraId="53F0DB95" w14:textId="77777777" w:rsidR="002F559C" w:rsidRPr="00C5395B" w:rsidRDefault="002F559C" w:rsidP="006F4E5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vAlign w:val="bottom"/>
          </w:tcPr>
          <w:p w14:paraId="4EA32591" w14:textId="77777777" w:rsidR="002F559C" w:rsidRDefault="002F559C" w:rsidP="006F4E59">
            <w:pPr>
              <w:jc w:val="right"/>
              <w:rPr>
                <w:rFonts w:cs="Arial"/>
                <w:b/>
                <w:bCs/>
              </w:rPr>
            </w:pPr>
            <w:r w:rsidRPr="00DD04C0">
              <w:rPr>
                <w:rFonts w:cs="Arial"/>
                <w:b/>
                <w:bCs/>
              </w:rPr>
              <w:t>12</w:t>
            </w:r>
          </w:p>
        </w:tc>
        <w:tc>
          <w:tcPr>
            <w:tcW w:w="960" w:type="dxa"/>
            <w:tcBorders>
              <w:top w:val="nil"/>
              <w:left w:val="nil"/>
              <w:bottom w:val="single" w:sz="4" w:space="0" w:color="auto"/>
              <w:right w:val="single" w:sz="4" w:space="0" w:color="auto"/>
            </w:tcBorders>
            <w:vAlign w:val="bottom"/>
          </w:tcPr>
          <w:p w14:paraId="63E50BBB" w14:textId="77777777" w:rsidR="002F559C" w:rsidRPr="00550A24" w:rsidRDefault="002F559C" w:rsidP="006F4E59">
            <w:pPr>
              <w:jc w:val="right"/>
              <w:rPr>
                <w:rFonts w:cs="Arial"/>
                <w:b/>
                <w:bCs/>
              </w:rPr>
            </w:pPr>
            <w:r w:rsidRPr="00F1223C">
              <w:rPr>
                <w:rFonts w:cs="Arial"/>
                <w:b/>
                <w:bCs/>
              </w:rPr>
              <w:t>3</w:t>
            </w:r>
          </w:p>
        </w:tc>
        <w:tc>
          <w:tcPr>
            <w:tcW w:w="960" w:type="dxa"/>
            <w:tcBorders>
              <w:top w:val="nil"/>
              <w:left w:val="nil"/>
              <w:bottom w:val="single" w:sz="4" w:space="0" w:color="auto"/>
              <w:right w:val="single" w:sz="4" w:space="0" w:color="auto"/>
            </w:tcBorders>
          </w:tcPr>
          <w:p w14:paraId="64FFFFE4" w14:textId="77777777" w:rsidR="002F559C" w:rsidRPr="00D919B5" w:rsidRDefault="002F559C" w:rsidP="006F4E59">
            <w:pPr>
              <w:jc w:val="right"/>
              <w:rPr>
                <w:rFonts w:cs="Arial"/>
                <w:b/>
                <w:bCs/>
              </w:rPr>
            </w:pPr>
            <w:r w:rsidRPr="00D919B5">
              <w:rPr>
                <w:rFonts w:cs="Arial"/>
                <w:b/>
                <w:bCs/>
              </w:rPr>
              <w:t>16</w:t>
            </w:r>
          </w:p>
        </w:tc>
        <w:tc>
          <w:tcPr>
            <w:tcW w:w="960" w:type="dxa"/>
            <w:tcBorders>
              <w:top w:val="nil"/>
              <w:left w:val="nil"/>
              <w:bottom w:val="single" w:sz="4" w:space="0" w:color="auto"/>
              <w:right w:val="single" w:sz="4" w:space="0" w:color="auto"/>
            </w:tcBorders>
          </w:tcPr>
          <w:p w14:paraId="4C08AA70" w14:textId="77777777" w:rsidR="002F559C" w:rsidRPr="00D919B5" w:rsidRDefault="002F559C" w:rsidP="006F4E59">
            <w:pPr>
              <w:jc w:val="right"/>
              <w:rPr>
                <w:rFonts w:cs="Arial"/>
                <w:b/>
                <w:bCs/>
              </w:rPr>
            </w:pPr>
            <w:r>
              <w:rPr>
                <w:rFonts w:cs="Arial"/>
                <w:b/>
                <w:bCs/>
              </w:rPr>
              <w:t>32</w:t>
            </w:r>
          </w:p>
        </w:tc>
        <w:tc>
          <w:tcPr>
            <w:tcW w:w="960" w:type="dxa"/>
            <w:tcBorders>
              <w:top w:val="nil"/>
              <w:left w:val="nil"/>
              <w:bottom w:val="single" w:sz="4" w:space="0" w:color="auto"/>
              <w:right w:val="single" w:sz="4" w:space="0" w:color="auto"/>
            </w:tcBorders>
          </w:tcPr>
          <w:p w14:paraId="1EBCBEEA" w14:textId="1D31FDCB" w:rsidR="002F559C" w:rsidRDefault="002F559C" w:rsidP="006F4E59">
            <w:pPr>
              <w:jc w:val="right"/>
              <w:rPr>
                <w:rFonts w:cs="Arial"/>
                <w:b/>
                <w:bCs/>
              </w:rPr>
            </w:pPr>
            <w:r>
              <w:rPr>
                <w:rFonts w:cs="Arial"/>
                <w:b/>
                <w:bCs/>
              </w:rPr>
              <w:t>16</w:t>
            </w:r>
          </w:p>
        </w:tc>
      </w:tr>
    </w:tbl>
    <w:p w14:paraId="46EB1DDC" w14:textId="77777777" w:rsidR="003E589C" w:rsidRDefault="003E589C" w:rsidP="00AE5461">
      <w:pPr>
        <w:pStyle w:val="Heading2"/>
      </w:pPr>
    </w:p>
    <w:p w14:paraId="0C44E9B8" w14:textId="207B5029" w:rsidR="004E7166" w:rsidRPr="00076ED0" w:rsidRDefault="004E7166" w:rsidP="00AE5461">
      <w:pPr>
        <w:pStyle w:val="Heading2"/>
      </w:pPr>
      <w:r w:rsidRPr="00076ED0">
        <w:t>Application</w:t>
      </w:r>
      <w:r>
        <w:t xml:space="preserve"> </w:t>
      </w:r>
      <w:r w:rsidR="001D6F7E">
        <w:t>decisions</w:t>
      </w:r>
    </w:p>
    <w:p w14:paraId="0887A42F" w14:textId="6224C3A9" w:rsidR="00280607" w:rsidRDefault="00280607" w:rsidP="00280607">
      <w:pPr>
        <w:ind w:left="-142" w:right="-425"/>
        <w:jc w:val="both"/>
      </w:pPr>
      <w:r w:rsidRPr="005371FE">
        <w:t>Each application follows a transparent process and is considered by the Commissioners on its own merit whilst observing the principles of natural justice. A timely decision on the application is made pursuant to section 99 or section 109 of the FRC Act and may include either agreeing or refusing to amend or end an agreement or order, or if the Commissioners deem the application frivolous or vexatious, dismissing the application</w:t>
      </w:r>
      <w:r w:rsidR="00B220F7">
        <w:t xml:space="preserve">, noting that </w:t>
      </w:r>
      <w:r w:rsidR="00B220F7">
        <w:rPr>
          <w:rFonts w:cs="Arial"/>
        </w:rPr>
        <w:t xml:space="preserve">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If the Commission fails to </w:t>
      </w:r>
      <w:proofErr w:type="gramStart"/>
      <w:r w:rsidR="00B220F7">
        <w:rPr>
          <w:rFonts w:cs="Arial"/>
        </w:rPr>
        <w:t>make a decision</w:t>
      </w:r>
      <w:proofErr w:type="gramEnd"/>
      <w:r w:rsidR="00B220F7">
        <w:rPr>
          <w:rFonts w:cs="Arial"/>
        </w:rPr>
        <w:t xml:space="preserve"> within two months of receipt of the application</w:t>
      </w:r>
      <w:r w:rsidR="00A84CE6">
        <w:rPr>
          <w:rFonts w:cs="Arial"/>
        </w:rPr>
        <w:t>,</w:t>
      </w:r>
      <w:r w:rsidR="00B220F7">
        <w:rPr>
          <w:rFonts w:cs="Arial"/>
        </w:rPr>
        <w:t xml:space="preserve"> s</w:t>
      </w:r>
      <w:r w:rsidR="00C43E81">
        <w:rPr>
          <w:rFonts w:cs="Arial"/>
        </w:rPr>
        <w:t xml:space="preserve">ection 101 of the FRC Act </w:t>
      </w:r>
      <w:r w:rsidR="006410EA">
        <w:rPr>
          <w:rFonts w:cs="Arial"/>
        </w:rPr>
        <w:t xml:space="preserve">determines that </w:t>
      </w:r>
      <w:r w:rsidR="00C43E81">
        <w:rPr>
          <w:rFonts w:cs="Arial"/>
        </w:rPr>
        <w:t xml:space="preserve">the failure is taken to be a decision by the Commission to refuse to amend or end the Family Responsibilities Agreement or </w:t>
      </w:r>
      <w:r w:rsidR="006C5ADD">
        <w:rPr>
          <w:rFonts w:cs="Arial"/>
        </w:rPr>
        <w:t>O</w:t>
      </w:r>
      <w:r w:rsidR="00C43E81">
        <w:rPr>
          <w:rFonts w:cs="Arial"/>
        </w:rPr>
        <w:t xml:space="preserve">rder. </w:t>
      </w:r>
      <w:r w:rsidRPr="005371FE">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63E7C998" w:rsidR="00C029A0" w:rsidRDefault="00B408D8" w:rsidP="00B408D8">
      <w:pPr>
        <w:ind w:left="-142" w:right="-425"/>
        <w:jc w:val="both"/>
        <w:rPr>
          <w:rFonts w:cs="Arial"/>
        </w:rPr>
      </w:pPr>
      <w:r>
        <w:rPr>
          <w:rFonts w:cs="Arial"/>
        </w:rPr>
        <w:t xml:space="preserve">A total of </w:t>
      </w:r>
      <w:r w:rsidR="00E56863">
        <w:rPr>
          <w:rFonts w:cs="Arial"/>
        </w:rPr>
        <w:t>2</w:t>
      </w:r>
      <w:r>
        <w:rPr>
          <w:rFonts w:cs="Arial"/>
        </w:rPr>
        <w:t xml:space="preserve"> </w:t>
      </w:r>
      <w:r w:rsidR="00CA1B19">
        <w:rPr>
          <w:rFonts w:cs="Arial"/>
        </w:rPr>
        <w:t xml:space="preserve">amend/end </w:t>
      </w:r>
      <w:r>
        <w:rPr>
          <w:rFonts w:cs="Arial"/>
        </w:rPr>
        <w:t>application</w:t>
      </w:r>
      <w:r w:rsidR="00CA1B19">
        <w:rPr>
          <w:rFonts w:cs="Arial"/>
        </w:rPr>
        <w:t>s</w:t>
      </w:r>
      <w:r w:rsidR="007A7B2F">
        <w:rPr>
          <w:rFonts w:cs="Arial"/>
        </w:rPr>
        <w:t>,</w:t>
      </w:r>
      <w:r w:rsidR="00CA1B19">
        <w:rPr>
          <w:rFonts w:cs="Arial"/>
        </w:rPr>
        <w:t xml:space="preserve"> all</w:t>
      </w:r>
      <w:r>
        <w:rPr>
          <w:rFonts w:cs="Arial"/>
        </w:rPr>
        <w:t xml:space="preserve"> </w:t>
      </w:r>
      <w:r w:rsidR="00CA1B19">
        <w:rPr>
          <w:rFonts w:cs="Arial"/>
        </w:rPr>
        <w:t>for Family Responsibilities Orders</w:t>
      </w:r>
      <w:r w:rsidR="007A7B2F">
        <w:rPr>
          <w:rFonts w:cs="Arial"/>
        </w:rPr>
        <w:t>,</w:t>
      </w:r>
      <w:r w:rsidR="00CA1B19">
        <w:rPr>
          <w:rFonts w:cs="Arial"/>
        </w:rPr>
        <w:t xml:space="preserve"> were decided </w:t>
      </w:r>
      <w:r>
        <w:rPr>
          <w:rFonts w:cs="Arial"/>
        </w:rPr>
        <w:t xml:space="preserve">in quarter </w:t>
      </w:r>
      <w:r w:rsidR="005E1684">
        <w:rPr>
          <w:rFonts w:cs="Arial"/>
        </w:rPr>
        <w:t>55</w:t>
      </w:r>
      <w:r w:rsidR="00686C92">
        <w:rPr>
          <w:rFonts w:cs="Arial"/>
        </w:rPr>
        <w:t xml:space="preserve"> with </w:t>
      </w:r>
      <w:r w:rsidR="0013587E">
        <w:rPr>
          <w:rFonts w:cs="Arial"/>
        </w:rPr>
        <w:t>all</w:t>
      </w:r>
      <w:r w:rsidR="00686C92">
        <w:rPr>
          <w:rFonts w:cs="Arial"/>
        </w:rPr>
        <w:t xml:space="preserve"> applications made by clients</w:t>
      </w:r>
      <w:r w:rsidR="00211380">
        <w:rPr>
          <w:rFonts w:cs="Arial"/>
        </w:rPr>
        <w:t xml:space="preserve"> accepted by the FRC. A breakdown of the type of applications is as follows</w:t>
      </w:r>
      <w:r w:rsidR="00C029A0">
        <w:rPr>
          <w:rFonts w:cs="Arial"/>
        </w:rPr>
        <w:t>:</w:t>
      </w:r>
    </w:p>
    <w:p w14:paraId="42BB4ECF" w14:textId="77777777" w:rsidR="00C81DF4" w:rsidRDefault="00C81DF4" w:rsidP="00B408D8">
      <w:pPr>
        <w:ind w:left="-142" w:right="-425"/>
        <w:jc w:val="both"/>
        <w:rPr>
          <w:rFonts w:cs="Arial"/>
        </w:rPr>
      </w:pPr>
    </w:p>
    <w:p w14:paraId="3A6244EA" w14:textId="695FC4FF" w:rsidR="00C029A0" w:rsidRPr="00FB5E8C" w:rsidRDefault="00C029A0" w:rsidP="002776FF">
      <w:pPr>
        <w:pStyle w:val="ListParagraph"/>
        <w:numPr>
          <w:ilvl w:val="0"/>
          <w:numId w:val="11"/>
        </w:numPr>
        <w:tabs>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2 Applications were </w:t>
      </w:r>
      <w:proofErr w:type="gramStart"/>
      <w:r w:rsidRPr="00FB5E8C">
        <w:rPr>
          <w:rFonts w:ascii="Verdana" w:hAnsi="Verdana" w:cs="Arial"/>
          <w:sz w:val="20"/>
          <w:szCs w:val="20"/>
        </w:rPr>
        <w:t>accepted</w:t>
      </w:r>
      <w:proofErr w:type="gramEnd"/>
      <w:r w:rsidRPr="00FB5E8C">
        <w:rPr>
          <w:rFonts w:ascii="Verdana" w:hAnsi="Verdana" w:cs="Arial"/>
          <w:sz w:val="20"/>
          <w:szCs w:val="20"/>
        </w:rPr>
        <w:t xml:space="preserve"> and </w:t>
      </w:r>
      <w:r w:rsidR="00E56863" w:rsidRPr="00FB5E8C">
        <w:rPr>
          <w:rFonts w:ascii="Verdana" w:hAnsi="Verdana" w:cs="Arial"/>
          <w:sz w:val="20"/>
          <w:szCs w:val="20"/>
        </w:rPr>
        <w:t xml:space="preserve">conditional income management </w:t>
      </w:r>
      <w:r w:rsidR="00C23ACD">
        <w:rPr>
          <w:rFonts w:ascii="Verdana" w:hAnsi="Verdana" w:cs="Arial"/>
          <w:sz w:val="20"/>
          <w:szCs w:val="20"/>
        </w:rPr>
        <w:t>orders</w:t>
      </w:r>
      <w:r w:rsidRPr="00FB5E8C">
        <w:rPr>
          <w:rFonts w:ascii="Verdana" w:hAnsi="Verdana" w:cs="Arial"/>
          <w:sz w:val="20"/>
          <w:szCs w:val="20"/>
        </w:rPr>
        <w:t xml:space="preserve"> ended</w:t>
      </w:r>
      <w:r w:rsidR="00E56863">
        <w:rPr>
          <w:rFonts w:ascii="Verdana" w:hAnsi="Verdana" w:cs="Arial"/>
          <w:sz w:val="20"/>
          <w:szCs w:val="20"/>
        </w:rPr>
        <w:t>.</w:t>
      </w:r>
    </w:p>
    <w:p w14:paraId="3ED534EB" w14:textId="77777777" w:rsidR="00CA1B19" w:rsidRDefault="00CA1B19" w:rsidP="00B408D8">
      <w:pPr>
        <w:ind w:left="-142" w:right="-425"/>
        <w:jc w:val="both"/>
        <w:rPr>
          <w:rFonts w:cs="Arial"/>
        </w:rPr>
      </w:pPr>
    </w:p>
    <w:p w14:paraId="68BC1FBF" w14:textId="77777777" w:rsidR="00482B70" w:rsidRDefault="00482B70">
      <w:pPr>
        <w:spacing w:line="240" w:lineRule="auto"/>
        <w:rPr>
          <w:rFonts w:cs="Arial"/>
        </w:rPr>
      </w:pPr>
      <w:r>
        <w:rPr>
          <w:rFonts w:cs="Arial"/>
        </w:rPr>
        <w:br w:type="page"/>
      </w:r>
    </w:p>
    <w:p w14:paraId="44D0AC43" w14:textId="1B3559A0" w:rsidR="00B9549C" w:rsidRDefault="00C029A0" w:rsidP="00B408D8">
      <w:pPr>
        <w:ind w:left="-142" w:right="-425"/>
        <w:jc w:val="both"/>
        <w:rPr>
          <w:rFonts w:cs="Arial"/>
        </w:rPr>
      </w:pPr>
      <w:r>
        <w:rPr>
          <w:rFonts w:cs="Arial"/>
        </w:rPr>
        <w:lastRenderedPageBreak/>
        <w:t>A total of</w:t>
      </w:r>
      <w:r w:rsidR="00464E31">
        <w:rPr>
          <w:rFonts w:cs="Arial"/>
        </w:rPr>
        <w:t xml:space="preserve"> </w:t>
      </w:r>
      <w:r w:rsidR="00E56863">
        <w:rPr>
          <w:rFonts w:cs="Arial"/>
        </w:rPr>
        <w:t>13</w:t>
      </w:r>
      <w:r w:rsidR="00E56863"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a voluntary agreement</w:t>
      </w:r>
      <w:r w:rsidR="00464E31">
        <w:rPr>
          <w:rFonts w:cs="Arial"/>
        </w:rPr>
        <w:t xml:space="preserve"> were decided</w:t>
      </w:r>
      <w:r w:rsidR="00211380">
        <w:rPr>
          <w:rFonts w:cs="Arial"/>
        </w:rPr>
        <w:t xml:space="preserve"> in the reporting period with </w:t>
      </w:r>
      <w:r w:rsidR="00CB0763">
        <w:rPr>
          <w:rFonts w:cs="Arial"/>
        </w:rPr>
        <w:t xml:space="preserve">92 percent of </w:t>
      </w:r>
      <w:r w:rsidR="00211380">
        <w:rPr>
          <w:rFonts w:cs="Arial"/>
        </w:rPr>
        <w:t>applications made by clients accepted by the FRC</w:t>
      </w:r>
      <w:r w:rsidR="00C37FA9">
        <w:rPr>
          <w:rFonts w:cs="Arial"/>
        </w:rPr>
        <w:t>.</w:t>
      </w:r>
      <w:r w:rsidR="00211380">
        <w:rPr>
          <w:rFonts w:cs="Arial"/>
        </w:rPr>
        <w:t xml:space="preserve"> A breakdown of the type of applications is as follows</w:t>
      </w:r>
      <w:r>
        <w:rPr>
          <w:rFonts w:cs="Arial"/>
        </w:rPr>
        <w:t>:</w:t>
      </w:r>
    </w:p>
    <w:p w14:paraId="5C96541D" w14:textId="77777777" w:rsidR="00C81DF4" w:rsidRDefault="00C81DF4" w:rsidP="00B408D8">
      <w:pPr>
        <w:ind w:left="-142" w:right="-425"/>
        <w:jc w:val="both"/>
        <w:rPr>
          <w:rFonts w:cs="Arial"/>
        </w:rPr>
      </w:pPr>
    </w:p>
    <w:p w14:paraId="1E5C4343" w14:textId="2E78DA7E" w:rsidR="00C029A0" w:rsidRPr="00FB5E8C" w:rsidRDefault="00E56863"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11</w:t>
      </w:r>
      <w:r w:rsidRPr="00FB5E8C">
        <w:rPr>
          <w:rFonts w:ascii="Verdana" w:hAnsi="Verdana" w:cs="Arial"/>
          <w:sz w:val="20"/>
          <w:szCs w:val="20"/>
        </w:rPr>
        <w:t xml:space="preserve"> </w:t>
      </w:r>
      <w:r w:rsidR="00C029A0" w:rsidRPr="00FB5E8C">
        <w:rPr>
          <w:rFonts w:ascii="Verdana" w:hAnsi="Verdana" w:cs="Arial"/>
          <w:sz w:val="20"/>
          <w:szCs w:val="20"/>
        </w:rPr>
        <w:t xml:space="preserve">Applications were </w:t>
      </w:r>
      <w:proofErr w:type="gramStart"/>
      <w:r w:rsidR="00C029A0" w:rsidRPr="00FB5E8C">
        <w:rPr>
          <w:rFonts w:ascii="Verdana" w:hAnsi="Verdana" w:cs="Arial"/>
          <w:sz w:val="20"/>
          <w:szCs w:val="20"/>
        </w:rPr>
        <w:t>accepted</w:t>
      </w:r>
      <w:proofErr w:type="gramEnd"/>
      <w:r w:rsidR="00C029A0" w:rsidRPr="00FB5E8C">
        <w:rPr>
          <w:rFonts w:ascii="Verdana" w:hAnsi="Verdana" w:cs="Arial"/>
          <w:sz w:val="20"/>
          <w:szCs w:val="20"/>
        </w:rPr>
        <w:t xml:space="preserve"> and voluntary income management agreements ended</w:t>
      </w:r>
    </w:p>
    <w:p w14:paraId="76B49A67" w14:textId="77777777" w:rsidR="00E56863"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Application was </w:t>
      </w:r>
      <w:proofErr w:type="gramStart"/>
      <w:r w:rsidRPr="00FB5E8C">
        <w:rPr>
          <w:rFonts w:ascii="Verdana" w:hAnsi="Verdana" w:cs="Arial"/>
          <w:sz w:val="20"/>
          <w:szCs w:val="20"/>
        </w:rPr>
        <w:t>accepted</w:t>
      </w:r>
      <w:proofErr w:type="gramEnd"/>
      <w:r w:rsidRPr="00FB5E8C">
        <w:rPr>
          <w:rFonts w:ascii="Verdana" w:hAnsi="Verdana" w:cs="Arial"/>
          <w:sz w:val="20"/>
          <w:szCs w:val="20"/>
        </w:rPr>
        <w:t xml:space="preserve"> and the voluntary income management agreement amended</w:t>
      </w:r>
      <w:r w:rsidR="007A7B2F">
        <w:rPr>
          <w:rFonts w:ascii="Verdana" w:hAnsi="Verdana" w:cs="Arial"/>
          <w:sz w:val="20"/>
          <w:szCs w:val="20"/>
        </w:rPr>
        <w:t>,</w:t>
      </w:r>
      <w:r w:rsidRPr="00FB5E8C">
        <w:rPr>
          <w:rFonts w:ascii="Verdana" w:hAnsi="Verdana" w:cs="Arial"/>
          <w:sz w:val="20"/>
          <w:szCs w:val="20"/>
        </w:rPr>
        <w:t xml:space="preserve"> reducing </w:t>
      </w:r>
      <w:r w:rsidR="0011612A" w:rsidRPr="00FB5E8C">
        <w:rPr>
          <w:rFonts w:ascii="Verdana" w:hAnsi="Verdana" w:cs="Arial"/>
          <w:sz w:val="20"/>
          <w:szCs w:val="20"/>
        </w:rPr>
        <w:t xml:space="preserve">from </w:t>
      </w:r>
      <w:r w:rsidR="0011612A">
        <w:rPr>
          <w:rFonts w:ascii="Verdana" w:hAnsi="Verdana" w:cs="Arial"/>
          <w:sz w:val="20"/>
          <w:szCs w:val="20"/>
        </w:rPr>
        <w:t>75</w:t>
      </w:r>
      <w:r w:rsidR="0011612A" w:rsidRPr="00FB5E8C">
        <w:rPr>
          <w:rFonts w:ascii="Verdana" w:hAnsi="Verdana" w:cs="Arial"/>
          <w:sz w:val="20"/>
          <w:szCs w:val="20"/>
        </w:rPr>
        <w:t>% to 60% for the remaining period of the voluntary agreement</w:t>
      </w:r>
      <w:r w:rsidR="00E56863">
        <w:rPr>
          <w:rFonts w:ascii="Verdana" w:hAnsi="Verdana" w:cs="Arial"/>
          <w:sz w:val="20"/>
          <w:szCs w:val="20"/>
        </w:rPr>
        <w:t xml:space="preserve"> and</w:t>
      </w:r>
    </w:p>
    <w:p w14:paraId="477D9865" w14:textId="68252D3A" w:rsidR="00C029A0" w:rsidRPr="00FB5E8C" w:rsidRDefault="00E56863" w:rsidP="00257104">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1 Application was refused</w:t>
      </w:r>
      <w:r w:rsidR="0011612A">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17" w:name="_Toc222226583"/>
      <w:bookmarkStart w:id="18" w:name="_Toc304386232"/>
      <w:bookmarkStart w:id="19" w:name="_Toc304386309"/>
      <w:bookmarkStart w:id="20" w:name="_Toc306011182"/>
    </w:p>
    <w:p w14:paraId="1024B39C" w14:textId="77777777" w:rsidR="00964C44" w:rsidRDefault="00964C44" w:rsidP="00AE5461">
      <w:pPr>
        <w:pStyle w:val="Heading2"/>
      </w:pPr>
    </w:p>
    <w:p w14:paraId="477AE162" w14:textId="77777777" w:rsidR="00477817" w:rsidRDefault="00477817">
      <w:pPr>
        <w:spacing w:line="240" w:lineRule="auto"/>
        <w:rPr>
          <w:rFonts w:cs="Arial"/>
          <w:b/>
          <w:bCs/>
          <w:spacing w:val="-4"/>
          <w:kern w:val="28"/>
        </w:rPr>
      </w:pPr>
      <w:r>
        <w:br w:type="page"/>
      </w:r>
    </w:p>
    <w:p w14:paraId="0CA7602F" w14:textId="7A2062CA" w:rsidR="0013112F" w:rsidRDefault="0013112F" w:rsidP="00AE5461">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63433141" w:rsidR="0013112F" w:rsidRDefault="0013112F" w:rsidP="0013112F">
      <w:pPr>
        <w:ind w:left="-142"/>
        <w:jc w:val="both"/>
      </w:pPr>
      <w:r w:rsidRPr="006C6A65">
        <w:rPr>
          <w:b/>
          <w:sz w:val="16"/>
          <w:szCs w:val="16"/>
        </w:rPr>
        <w:t xml:space="preserve">Table </w:t>
      </w:r>
      <w:r w:rsidR="00B03744">
        <w:rPr>
          <w:b/>
          <w:sz w:val="16"/>
          <w:szCs w:val="16"/>
        </w:rPr>
        <w:t>2</w:t>
      </w:r>
      <w:r w:rsidR="00482B70">
        <w:rPr>
          <w:b/>
          <w:sz w:val="16"/>
          <w:szCs w:val="16"/>
        </w:rPr>
        <w:t>8</w:t>
      </w:r>
      <w:r w:rsidRPr="006C6A65">
        <w:rPr>
          <w:b/>
          <w:sz w:val="16"/>
          <w:szCs w:val="16"/>
        </w:rPr>
        <w:t>:</w:t>
      </w:r>
      <w:r w:rsidRPr="006C6A65">
        <w:rPr>
          <w:sz w:val="16"/>
          <w:szCs w:val="16"/>
        </w:rPr>
        <w:t xml:space="preserve"> </w:t>
      </w:r>
      <w:r>
        <w:rPr>
          <w:sz w:val="16"/>
          <w:szCs w:val="16"/>
        </w:rPr>
        <w:t xml:space="preserve">FRC client population by gender and age </w:t>
      </w:r>
      <w:r w:rsidR="00F83C14">
        <w:rPr>
          <w:sz w:val="16"/>
          <w:szCs w:val="16"/>
        </w:rPr>
        <w:t xml:space="preserve">1 </w:t>
      </w:r>
      <w:r w:rsidR="00415BC8">
        <w:rPr>
          <w:sz w:val="16"/>
          <w:szCs w:val="16"/>
        </w:rPr>
        <w:t>January 2022</w:t>
      </w:r>
      <w:r w:rsidR="00FC7F2E">
        <w:rPr>
          <w:sz w:val="16"/>
          <w:szCs w:val="16"/>
        </w:rPr>
        <w:t xml:space="preserve"> to </w:t>
      </w:r>
      <w:r w:rsidR="00F83C14">
        <w:rPr>
          <w:sz w:val="16"/>
          <w:szCs w:val="16"/>
        </w:rPr>
        <w:t>3</w:t>
      </w:r>
      <w:r w:rsidR="000D553F">
        <w:rPr>
          <w:sz w:val="16"/>
          <w:szCs w:val="16"/>
        </w:rPr>
        <w:t xml:space="preserve">1 </w:t>
      </w:r>
      <w:r w:rsidR="001A5C4C">
        <w:rPr>
          <w:sz w:val="16"/>
          <w:szCs w:val="16"/>
        </w:rPr>
        <w:t>March 2022</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DB33CA" w14:paraId="0C5B3812" w14:textId="77777777" w:rsidTr="00925DD5">
        <w:tc>
          <w:tcPr>
            <w:tcW w:w="5127" w:type="dxa"/>
          </w:tcPr>
          <w:p w14:paraId="465196A7" w14:textId="2741AD5F" w:rsidR="00DB33CA" w:rsidRDefault="00DB33CA" w:rsidP="00DB33CA">
            <w:pPr>
              <w:spacing w:line="240" w:lineRule="auto"/>
            </w:pPr>
            <w:r>
              <w:t>Clients for whom a notice was received</w:t>
            </w:r>
            <w:r>
              <w:rPr>
                <w:rStyle w:val="FootnoteReference"/>
              </w:rPr>
              <w:footnoteReference w:id="11"/>
            </w:r>
          </w:p>
        </w:tc>
        <w:tc>
          <w:tcPr>
            <w:tcW w:w="1026" w:type="dxa"/>
            <w:vAlign w:val="center"/>
          </w:tcPr>
          <w:p w14:paraId="430D610E" w14:textId="2C7B0FA5" w:rsidR="00DB33CA" w:rsidRPr="00EF2D65" w:rsidRDefault="00DB33CA" w:rsidP="00DB33CA">
            <w:pPr>
              <w:spacing w:line="240" w:lineRule="auto"/>
              <w:jc w:val="right"/>
            </w:pPr>
            <w:r>
              <w:rPr>
                <w:rFonts w:ascii="Arial" w:hAnsi="Arial" w:cs="Arial"/>
              </w:rPr>
              <w:t>383</w:t>
            </w:r>
          </w:p>
        </w:tc>
        <w:tc>
          <w:tcPr>
            <w:tcW w:w="875" w:type="dxa"/>
            <w:vAlign w:val="center"/>
          </w:tcPr>
          <w:p w14:paraId="73512E80" w14:textId="0813FE8B" w:rsidR="00DB33CA" w:rsidRPr="00EF2D65" w:rsidRDefault="00DB33CA" w:rsidP="00DB33CA">
            <w:pPr>
              <w:spacing w:line="240" w:lineRule="auto"/>
              <w:jc w:val="right"/>
            </w:pPr>
            <w:r>
              <w:rPr>
                <w:rFonts w:ascii="Arial" w:hAnsi="Arial" w:cs="Arial"/>
              </w:rPr>
              <w:t>205</w:t>
            </w:r>
          </w:p>
        </w:tc>
        <w:tc>
          <w:tcPr>
            <w:tcW w:w="463" w:type="dxa"/>
            <w:vAlign w:val="center"/>
          </w:tcPr>
          <w:p w14:paraId="0C71CB3B" w14:textId="0218C68F" w:rsidR="00DB33CA" w:rsidRPr="00EF2D65" w:rsidRDefault="00DB33CA" w:rsidP="00DB33CA">
            <w:pPr>
              <w:spacing w:line="240" w:lineRule="auto"/>
              <w:jc w:val="right"/>
            </w:pPr>
            <w:r>
              <w:rPr>
                <w:rFonts w:ascii="Arial" w:hAnsi="Arial" w:cs="Arial"/>
              </w:rPr>
              <w:t> </w:t>
            </w:r>
          </w:p>
        </w:tc>
        <w:tc>
          <w:tcPr>
            <w:tcW w:w="1140" w:type="dxa"/>
            <w:vAlign w:val="center"/>
          </w:tcPr>
          <w:p w14:paraId="048E4B1D" w14:textId="0B8607F0" w:rsidR="00DB33CA" w:rsidRPr="00EF2D65" w:rsidRDefault="00DB33CA" w:rsidP="00DB33CA">
            <w:pPr>
              <w:spacing w:line="240" w:lineRule="auto"/>
              <w:jc w:val="right"/>
            </w:pPr>
            <w:r>
              <w:rPr>
                <w:rFonts w:ascii="Arial" w:hAnsi="Arial" w:cs="Arial"/>
              </w:rPr>
              <w:t>38</w:t>
            </w:r>
          </w:p>
        </w:tc>
        <w:tc>
          <w:tcPr>
            <w:tcW w:w="1140" w:type="dxa"/>
            <w:vAlign w:val="center"/>
          </w:tcPr>
          <w:p w14:paraId="61E43F3F" w14:textId="2FEB2735" w:rsidR="00DB33CA" w:rsidRPr="00EF2D65" w:rsidRDefault="00DB33CA" w:rsidP="00DB33CA">
            <w:pPr>
              <w:spacing w:line="240" w:lineRule="auto"/>
              <w:jc w:val="right"/>
            </w:pPr>
            <w:r>
              <w:rPr>
                <w:rFonts w:ascii="Arial" w:hAnsi="Arial" w:cs="Arial"/>
              </w:rPr>
              <w:t>38</w:t>
            </w:r>
          </w:p>
        </w:tc>
      </w:tr>
      <w:tr w:rsidR="00DB33CA" w14:paraId="0C43D4D1" w14:textId="77777777" w:rsidTr="00925DD5">
        <w:tc>
          <w:tcPr>
            <w:tcW w:w="5127" w:type="dxa"/>
          </w:tcPr>
          <w:p w14:paraId="2282B866" w14:textId="3960C31B" w:rsidR="00DB33CA" w:rsidRDefault="00DB33CA" w:rsidP="00DB33CA">
            <w:pPr>
              <w:spacing w:line="240" w:lineRule="auto"/>
            </w:pPr>
            <w:r>
              <w:t>Clients who conferenced</w:t>
            </w:r>
            <w:r>
              <w:rPr>
                <w:rStyle w:val="FootnoteReference"/>
              </w:rPr>
              <w:footnoteReference w:id="12"/>
            </w:r>
          </w:p>
        </w:tc>
        <w:tc>
          <w:tcPr>
            <w:tcW w:w="1026" w:type="dxa"/>
            <w:vAlign w:val="center"/>
          </w:tcPr>
          <w:p w14:paraId="0BE8DAD4" w14:textId="6B4BDC61" w:rsidR="00DB33CA" w:rsidRPr="00143912" w:rsidRDefault="00DB33CA" w:rsidP="00DB33CA">
            <w:pPr>
              <w:spacing w:line="240" w:lineRule="auto"/>
              <w:jc w:val="right"/>
            </w:pPr>
            <w:r>
              <w:rPr>
                <w:rFonts w:ascii="Arial" w:hAnsi="Arial" w:cs="Arial"/>
              </w:rPr>
              <w:t>78</w:t>
            </w:r>
          </w:p>
        </w:tc>
        <w:tc>
          <w:tcPr>
            <w:tcW w:w="875" w:type="dxa"/>
            <w:vAlign w:val="center"/>
          </w:tcPr>
          <w:p w14:paraId="7F1FAC36" w14:textId="585278C6" w:rsidR="00DB33CA" w:rsidRPr="00143912" w:rsidRDefault="00DB33CA" w:rsidP="00DB33CA">
            <w:pPr>
              <w:spacing w:line="240" w:lineRule="auto"/>
              <w:jc w:val="right"/>
            </w:pPr>
            <w:r>
              <w:rPr>
                <w:rFonts w:ascii="Arial" w:hAnsi="Arial" w:cs="Arial"/>
              </w:rPr>
              <w:t>37</w:t>
            </w:r>
          </w:p>
        </w:tc>
        <w:tc>
          <w:tcPr>
            <w:tcW w:w="463" w:type="dxa"/>
            <w:vAlign w:val="center"/>
          </w:tcPr>
          <w:p w14:paraId="7D1E9278" w14:textId="6EF02C01" w:rsidR="00DB33CA" w:rsidRPr="00EF2D65" w:rsidRDefault="00DB33CA" w:rsidP="00DB33CA">
            <w:pPr>
              <w:spacing w:line="240" w:lineRule="auto"/>
              <w:jc w:val="right"/>
            </w:pPr>
            <w:r>
              <w:rPr>
                <w:rFonts w:ascii="Arial" w:hAnsi="Arial" w:cs="Arial"/>
              </w:rPr>
              <w:t> </w:t>
            </w:r>
          </w:p>
        </w:tc>
        <w:tc>
          <w:tcPr>
            <w:tcW w:w="1140" w:type="dxa"/>
            <w:vAlign w:val="center"/>
          </w:tcPr>
          <w:p w14:paraId="18E5F35E" w14:textId="0ED507AB" w:rsidR="00DB33CA" w:rsidRPr="00143912" w:rsidRDefault="00DB33CA" w:rsidP="00DB33CA">
            <w:pPr>
              <w:spacing w:line="240" w:lineRule="auto"/>
              <w:jc w:val="right"/>
            </w:pPr>
            <w:r>
              <w:rPr>
                <w:rFonts w:ascii="Arial" w:hAnsi="Arial" w:cs="Arial"/>
              </w:rPr>
              <w:t>35</w:t>
            </w:r>
          </w:p>
        </w:tc>
        <w:tc>
          <w:tcPr>
            <w:tcW w:w="1140" w:type="dxa"/>
            <w:vAlign w:val="center"/>
          </w:tcPr>
          <w:p w14:paraId="48B614AC" w14:textId="1D93F4C7" w:rsidR="00DB33CA" w:rsidRPr="00143912" w:rsidRDefault="00DB33CA" w:rsidP="00DB33CA">
            <w:pPr>
              <w:spacing w:line="240" w:lineRule="auto"/>
              <w:jc w:val="right"/>
            </w:pPr>
            <w:r>
              <w:rPr>
                <w:rFonts w:ascii="Arial" w:hAnsi="Arial" w:cs="Arial"/>
              </w:rPr>
              <w:t>37</w:t>
            </w:r>
          </w:p>
        </w:tc>
      </w:tr>
      <w:tr w:rsidR="00DB33CA" w14:paraId="4205C91F" w14:textId="77777777" w:rsidTr="00925DD5">
        <w:tc>
          <w:tcPr>
            <w:tcW w:w="5127" w:type="dxa"/>
          </w:tcPr>
          <w:p w14:paraId="2820947A" w14:textId="0B2D1E31" w:rsidR="00DB33CA" w:rsidRDefault="00DB33CA" w:rsidP="00DB33CA">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50223EF9" w:rsidR="00DB33CA" w:rsidRPr="00143912" w:rsidRDefault="00DB33CA" w:rsidP="00DB33CA">
            <w:pPr>
              <w:spacing w:line="240" w:lineRule="auto"/>
              <w:jc w:val="right"/>
            </w:pPr>
            <w:r>
              <w:rPr>
                <w:rFonts w:ascii="Arial" w:hAnsi="Arial" w:cs="Arial"/>
              </w:rPr>
              <w:t>45</w:t>
            </w:r>
          </w:p>
        </w:tc>
        <w:tc>
          <w:tcPr>
            <w:tcW w:w="875" w:type="dxa"/>
            <w:vAlign w:val="center"/>
          </w:tcPr>
          <w:p w14:paraId="09F9C19D" w14:textId="4CD6B7A3" w:rsidR="00DB33CA" w:rsidRPr="00143912" w:rsidRDefault="00DB33CA" w:rsidP="00DB33CA">
            <w:pPr>
              <w:spacing w:line="240" w:lineRule="auto"/>
              <w:jc w:val="right"/>
            </w:pPr>
            <w:r>
              <w:rPr>
                <w:rFonts w:ascii="Arial" w:hAnsi="Arial" w:cs="Arial"/>
              </w:rPr>
              <w:t>20</w:t>
            </w:r>
          </w:p>
        </w:tc>
        <w:tc>
          <w:tcPr>
            <w:tcW w:w="463" w:type="dxa"/>
            <w:vAlign w:val="center"/>
          </w:tcPr>
          <w:p w14:paraId="4D854BAC" w14:textId="644FD89B" w:rsidR="00DB33CA" w:rsidRPr="00EF2D65" w:rsidRDefault="00DB33CA" w:rsidP="00DB33CA">
            <w:pPr>
              <w:spacing w:line="240" w:lineRule="auto"/>
              <w:jc w:val="right"/>
            </w:pPr>
            <w:r>
              <w:rPr>
                <w:rFonts w:ascii="Arial" w:hAnsi="Arial" w:cs="Arial"/>
              </w:rPr>
              <w:t> </w:t>
            </w:r>
          </w:p>
        </w:tc>
        <w:tc>
          <w:tcPr>
            <w:tcW w:w="1140" w:type="dxa"/>
            <w:vAlign w:val="center"/>
          </w:tcPr>
          <w:p w14:paraId="0DB4E2B3" w14:textId="66359DD4" w:rsidR="00DB33CA" w:rsidRPr="00143912" w:rsidRDefault="00DB33CA" w:rsidP="00DB33CA">
            <w:pPr>
              <w:spacing w:line="240" w:lineRule="auto"/>
              <w:jc w:val="right"/>
            </w:pPr>
            <w:r>
              <w:rPr>
                <w:rFonts w:ascii="Arial" w:hAnsi="Arial" w:cs="Arial"/>
              </w:rPr>
              <w:t>34</w:t>
            </w:r>
          </w:p>
        </w:tc>
        <w:tc>
          <w:tcPr>
            <w:tcW w:w="1140" w:type="dxa"/>
            <w:vAlign w:val="center"/>
          </w:tcPr>
          <w:p w14:paraId="6F699F00" w14:textId="31F4C0F5" w:rsidR="00DB33CA" w:rsidRPr="00143912" w:rsidRDefault="00DB33CA" w:rsidP="00DB33CA">
            <w:pPr>
              <w:spacing w:line="240" w:lineRule="auto"/>
              <w:jc w:val="right"/>
            </w:pPr>
            <w:r>
              <w:rPr>
                <w:rFonts w:ascii="Arial" w:hAnsi="Arial" w:cs="Arial"/>
              </w:rPr>
              <w:t>37</w:t>
            </w:r>
          </w:p>
        </w:tc>
      </w:tr>
      <w:tr w:rsidR="00DB33CA" w14:paraId="70BB454E" w14:textId="77777777" w:rsidTr="00A242DD">
        <w:tc>
          <w:tcPr>
            <w:tcW w:w="5127" w:type="dxa"/>
          </w:tcPr>
          <w:p w14:paraId="5B5E85C7" w14:textId="7C85BD17" w:rsidR="00DB33CA" w:rsidRPr="00C6538C" w:rsidRDefault="00DB33CA" w:rsidP="00DB33CA">
            <w:pPr>
              <w:spacing w:line="240" w:lineRule="auto"/>
            </w:pPr>
            <w:r w:rsidRPr="00423006">
              <w:t>Clients placed on CIM</w:t>
            </w:r>
            <w:r w:rsidRPr="00C6538C">
              <w:rPr>
                <w:rStyle w:val="FootnoteReference"/>
              </w:rPr>
              <w:footnoteReference w:id="14"/>
            </w:r>
          </w:p>
        </w:tc>
        <w:tc>
          <w:tcPr>
            <w:tcW w:w="1026" w:type="dxa"/>
            <w:vAlign w:val="center"/>
          </w:tcPr>
          <w:p w14:paraId="543F073F" w14:textId="159B42E9" w:rsidR="00DB33CA" w:rsidRPr="00143912" w:rsidRDefault="00DB33CA" w:rsidP="00DB33CA">
            <w:pPr>
              <w:spacing w:line="240" w:lineRule="auto"/>
              <w:jc w:val="right"/>
              <w:rPr>
                <w:rFonts w:cs="Arial"/>
              </w:rPr>
            </w:pPr>
            <w:r>
              <w:rPr>
                <w:rFonts w:ascii="Arial" w:hAnsi="Arial" w:cs="Arial"/>
              </w:rPr>
              <w:t>4</w:t>
            </w:r>
          </w:p>
        </w:tc>
        <w:tc>
          <w:tcPr>
            <w:tcW w:w="875" w:type="dxa"/>
            <w:vAlign w:val="center"/>
          </w:tcPr>
          <w:p w14:paraId="1105ED08" w14:textId="00629833" w:rsidR="00DB33CA" w:rsidRPr="00143912" w:rsidRDefault="00DB33CA" w:rsidP="00DB33CA">
            <w:pPr>
              <w:spacing w:line="240" w:lineRule="auto"/>
              <w:jc w:val="right"/>
              <w:rPr>
                <w:rFonts w:cs="Arial"/>
              </w:rPr>
            </w:pPr>
            <w:r>
              <w:rPr>
                <w:rFonts w:ascii="Arial" w:hAnsi="Arial" w:cs="Arial"/>
              </w:rPr>
              <w:t>2</w:t>
            </w:r>
          </w:p>
        </w:tc>
        <w:tc>
          <w:tcPr>
            <w:tcW w:w="463" w:type="dxa"/>
            <w:vAlign w:val="center"/>
          </w:tcPr>
          <w:p w14:paraId="2B630A06" w14:textId="61758ECD" w:rsidR="00DB33CA" w:rsidRPr="00EF2D65" w:rsidRDefault="00DB33CA" w:rsidP="00DB33CA">
            <w:pPr>
              <w:spacing w:line="240" w:lineRule="auto"/>
              <w:jc w:val="right"/>
              <w:rPr>
                <w:rFonts w:cs="Arial"/>
              </w:rPr>
            </w:pPr>
            <w:r>
              <w:rPr>
                <w:rFonts w:ascii="Arial" w:hAnsi="Arial" w:cs="Arial"/>
              </w:rPr>
              <w:t> </w:t>
            </w:r>
          </w:p>
        </w:tc>
        <w:tc>
          <w:tcPr>
            <w:tcW w:w="1140" w:type="dxa"/>
            <w:vAlign w:val="center"/>
          </w:tcPr>
          <w:p w14:paraId="118451EA" w14:textId="75F44A1A" w:rsidR="00DB33CA" w:rsidRPr="00143912" w:rsidRDefault="00DB33CA" w:rsidP="00DB33CA">
            <w:pPr>
              <w:spacing w:line="240" w:lineRule="auto"/>
              <w:jc w:val="right"/>
              <w:rPr>
                <w:rFonts w:cs="Arial"/>
              </w:rPr>
            </w:pPr>
            <w:r>
              <w:rPr>
                <w:rFonts w:ascii="Arial" w:hAnsi="Arial" w:cs="Arial"/>
              </w:rPr>
              <w:t>40</w:t>
            </w:r>
          </w:p>
        </w:tc>
        <w:tc>
          <w:tcPr>
            <w:tcW w:w="1140" w:type="dxa"/>
            <w:vAlign w:val="center"/>
          </w:tcPr>
          <w:p w14:paraId="1C47274C" w14:textId="37CBCACC" w:rsidR="00DB33CA" w:rsidRPr="00143912" w:rsidRDefault="00DB33CA" w:rsidP="00DB33CA">
            <w:pPr>
              <w:spacing w:line="240" w:lineRule="auto"/>
              <w:jc w:val="right"/>
              <w:rPr>
                <w:rFonts w:cs="Arial"/>
              </w:rPr>
            </w:pPr>
            <w:r>
              <w:rPr>
                <w:rFonts w:ascii="Arial" w:hAnsi="Arial" w:cs="Arial"/>
              </w:rPr>
              <w:t>33</w:t>
            </w:r>
          </w:p>
        </w:tc>
      </w:tr>
      <w:tr w:rsidR="00DB33CA" w14:paraId="5BC6E4C0" w14:textId="77777777" w:rsidTr="00DB33CA">
        <w:tc>
          <w:tcPr>
            <w:tcW w:w="5127" w:type="dxa"/>
          </w:tcPr>
          <w:p w14:paraId="1F3A9B4D" w14:textId="68F637B4" w:rsidR="00DB33CA" w:rsidRDefault="00DB33CA" w:rsidP="00DB33CA">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202FB79F" w:rsidR="00DB33CA" w:rsidRPr="00143912" w:rsidRDefault="00DB33CA" w:rsidP="00DB33CA">
            <w:pPr>
              <w:spacing w:line="240" w:lineRule="auto"/>
              <w:jc w:val="right"/>
            </w:pPr>
            <w:r>
              <w:rPr>
                <w:rFonts w:ascii="Arial" w:hAnsi="Arial" w:cs="Arial"/>
              </w:rPr>
              <w:t>7</w:t>
            </w:r>
          </w:p>
        </w:tc>
        <w:tc>
          <w:tcPr>
            <w:tcW w:w="875" w:type="dxa"/>
            <w:vAlign w:val="center"/>
          </w:tcPr>
          <w:p w14:paraId="7B755D8C" w14:textId="61A41B7D" w:rsidR="00DB33CA" w:rsidRPr="00143912" w:rsidRDefault="00DB33CA" w:rsidP="00DB33CA">
            <w:pPr>
              <w:spacing w:line="240" w:lineRule="auto"/>
              <w:jc w:val="right"/>
            </w:pPr>
            <w:r>
              <w:rPr>
                <w:rFonts w:ascii="Arial" w:hAnsi="Arial" w:cs="Arial"/>
              </w:rPr>
              <w:t>2</w:t>
            </w:r>
          </w:p>
        </w:tc>
        <w:tc>
          <w:tcPr>
            <w:tcW w:w="463" w:type="dxa"/>
            <w:vAlign w:val="center"/>
          </w:tcPr>
          <w:p w14:paraId="6092C81B" w14:textId="6FBF643F" w:rsidR="00DB33CA" w:rsidRPr="00EF2D65" w:rsidRDefault="00DB33CA" w:rsidP="00DB33CA">
            <w:pPr>
              <w:spacing w:line="240" w:lineRule="auto"/>
              <w:jc w:val="right"/>
            </w:pPr>
            <w:r>
              <w:rPr>
                <w:rFonts w:ascii="Arial" w:hAnsi="Arial" w:cs="Arial"/>
              </w:rPr>
              <w:t> </w:t>
            </w:r>
          </w:p>
        </w:tc>
        <w:tc>
          <w:tcPr>
            <w:tcW w:w="1140" w:type="dxa"/>
            <w:vAlign w:val="center"/>
          </w:tcPr>
          <w:p w14:paraId="7A13A493" w14:textId="1C75BCED" w:rsidR="00DB33CA" w:rsidRPr="00143912" w:rsidRDefault="00DB33CA" w:rsidP="00DB33CA">
            <w:pPr>
              <w:spacing w:line="240" w:lineRule="auto"/>
              <w:jc w:val="right"/>
            </w:pPr>
            <w:r>
              <w:rPr>
                <w:rFonts w:ascii="Arial" w:hAnsi="Arial" w:cs="Arial"/>
              </w:rPr>
              <w:t>45</w:t>
            </w:r>
          </w:p>
        </w:tc>
        <w:tc>
          <w:tcPr>
            <w:tcW w:w="1140" w:type="dxa"/>
            <w:vAlign w:val="center"/>
          </w:tcPr>
          <w:p w14:paraId="5E9D8367" w14:textId="6BDD8345" w:rsidR="00DB33CA" w:rsidRPr="00143912" w:rsidRDefault="00DB33CA" w:rsidP="00DB33CA">
            <w:pPr>
              <w:spacing w:line="240" w:lineRule="auto"/>
              <w:jc w:val="right"/>
            </w:pPr>
            <w:r>
              <w:rPr>
                <w:rFonts w:ascii="Arial" w:hAnsi="Arial" w:cs="Arial"/>
              </w:rPr>
              <w:t>22</w:t>
            </w:r>
          </w:p>
        </w:tc>
      </w:tr>
      <w:tr w:rsidR="00DB33CA" w14:paraId="323DBB29" w14:textId="77777777" w:rsidTr="00DB33CA">
        <w:tc>
          <w:tcPr>
            <w:tcW w:w="5127" w:type="dxa"/>
          </w:tcPr>
          <w:p w14:paraId="2B63FDBC" w14:textId="0B2D08D4" w:rsidR="00DB33CA" w:rsidRDefault="00DB33CA" w:rsidP="00DB33CA">
            <w:pPr>
              <w:spacing w:line="240" w:lineRule="auto"/>
            </w:pPr>
            <w:r w:rsidRPr="00EB1F9E">
              <w:t>Clients who chose to participate in VIM</w:t>
            </w:r>
            <w:r>
              <w:rPr>
                <w:rStyle w:val="FootnoteReference"/>
              </w:rPr>
              <w:footnoteReference w:id="16"/>
            </w:r>
          </w:p>
        </w:tc>
        <w:tc>
          <w:tcPr>
            <w:tcW w:w="1026" w:type="dxa"/>
            <w:vAlign w:val="center"/>
          </w:tcPr>
          <w:p w14:paraId="3609E59F" w14:textId="2C01F098" w:rsidR="00DB33CA" w:rsidRPr="00143912" w:rsidRDefault="00DB33CA" w:rsidP="00DB33CA">
            <w:pPr>
              <w:spacing w:line="240" w:lineRule="auto"/>
              <w:jc w:val="right"/>
              <w:rPr>
                <w:rFonts w:cs="Arial"/>
              </w:rPr>
            </w:pPr>
            <w:r>
              <w:rPr>
                <w:rFonts w:ascii="Arial" w:hAnsi="Arial" w:cs="Arial"/>
              </w:rPr>
              <w:t>11</w:t>
            </w:r>
          </w:p>
        </w:tc>
        <w:tc>
          <w:tcPr>
            <w:tcW w:w="875" w:type="dxa"/>
            <w:vAlign w:val="center"/>
          </w:tcPr>
          <w:p w14:paraId="34BAD3D0" w14:textId="6177BAE1" w:rsidR="00DB33CA" w:rsidRPr="00143912" w:rsidRDefault="00DB33CA" w:rsidP="00DB33CA">
            <w:pPr>
              <w:spacing w:line="240" w:lineRule="auto"/>
              <w:jc w:val="right"/>
              <w:rPr>
                <w:rFonts w:cs="Arial"/>
              </w:rPr>
            </w:pPr>
            <w:r>
              <w:rPr>
                <w:rFonts w:ascii="Arial" w:hAnsi="Arial" w:cs="Arial"/>
              </w:rPr>
              <w:t>5</w:t>
            </w:r>
          </w:p>
        </w:tc>
        <w:tc>
          <w:tcPr>
            <w:tcW w:w="463" w:type="dxa"/>
            <w:vAlign w:val="center"/>
          </w:tcPr>
          <w:p w14:paraId="7E5C9E3D" w14:textId="49492467" w:rsidR="00DB33CA" w:rsidRPr="00EF2D65" w:rsidRDefault="00DB33CA" w:rsidP="00DB33CA">
            <w:pPr>
              <w:spacing w:line="240" w:lineRule="auto"/>
              <w:jc w:val="right"/>
            </w:pPr>
            <w:r>
              <w:rPr>
                <w:rFonts w:ascii="Arial" w:hAnsi="Arial" w:cs="Arial"/>
              </w:rPr>
              <w:t> </w:t>
            </w:r>
          </w:p>
        </w:tc>
        <w:tc>
          <w:tcPr>
            <w:tcW w:w="1140" w:type="dxa"/>
            <w:vAlign w:val="center"/>
          </w:tcPr>
          <w:p w14:paraId="422F7588" w14:textId="16065505" w:rsidR="00DB33CA" w:rsidRPr="00143912" w:rsidRDefault="00DB33CA" w:rsidP="00DB33CA">
            <w:pPr>
              <w:spacing w:line="240" w:lineRule="auto"/>
              <w:jc w:val="right"/>
              <w:rPr>
                <w:rFonts w:cs="Arial"/>
              </w:rPr>
            </w:pPr>
            <w:r>
              <w:rPr>
                <w:rFonts w:ascii="Arial" w:hAnsi="Arial" w:cs="Arial"/>
              </w:rPr>
              <w:t>47</w:t>
            </w:r>
          </w:p>
        </w:tc>
        <w:tc>
          <w:tcPr>
            <w:tcW w:w="1140" w:type="dxa"/>
            <w:vAlign w:val="center"/>
          </w:tcPr>
          <w:p w14:paraId="31BCC77C" w14:textId="0BF84CE1" w:rsidR="00DB33CA" w:rsidRPr="00143912" w:rsidRDefault="00DB33CA" w:rsidP="00DB33CA">
            <w:pPr>
              <w:spacing w:line="240" w:lineRule="auto"/>
              <w:jc w:val="right"/>
              <w:rPr>
                <w:rFonts w:cs="Arial"/>
              </w:rPr>
            </w:pPr>
            <w:r>
              <w:rPr>
                <w:rFonts w:ascii="Arial" w:hAnsi="Arial" w:cs="Arial"/>
              </w:rPr>
              <w:t>55</w:t>
            </w:r>
          </w:p>
        </w:tc>
      </w:tr>
      <w:tr w:rsidR="00DB33CA" w14:paraId="444AB815" w14:textId="77777777" w:rsidTr="00DB33CA">
        <w:tc>
          <w:tcPr>
            <w:tcW w:w="5127" w:type="dxa"/>
          </w:tcPr>
          <w:p w14:paraId="018D049C" w14:textId="2D915E58" w:rsidR="00DB33CA" w:rsidRPr="00423006" w:rsidRDefault="00DB33CA" w:rsidP="00DB33CA">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730B506A" w:rsidR="00DB33CA" w:rsidRPr="00143912" w:rsidRDefault="00DB33CA" w:rsidP="00DB33CA">
            <w:pPr>
              <w:spacing w:line="240" w:lineRule="auto"/>
              <w:jc w:val="right"/>
              <w:rPr>
                <w:rFonts w:cs="Arial"/>
              </w:rPr>
            </w:pPr>
            <w:r>
              <w:rPr>
                <w:rFonts w:ascii="Arial" w:hAnsi="Arial" w:cs="Arial"/>
              </w:rPr>
              <w:t>1</w:t>
            </w:r>
            <w:r w:rsidR="004B4560">
              <w:rPr>
                <w:rFonts w:ascii="Arial" w:hAnsi="Arial" w:cs="Arial"/>
              </w:rPr>
              <w:t>0</w:t>
            </w:r>
          </w:p>
        </w:tc>
        <w:tc>
          <w:tcPr>
            <w:tcW w:w="875" w:type="dxa"/>
            <w:vAlign w:val="center"/>
          </w:tcPr>
          <w:p w14:paraId="215C10C8" w14:textId="47C42796" w:rsidR="00DB33CA" w:rsidRPr="00143912" w:rsidRDefault="00DB33CA" w:rsidP="00DB33CA">
            <w:pPr>
              <w:spacing w:line="240" w:lineRule="auto"/>
              <w:jc w:val="right"/>
              <w:rPr>
                <w:rFonts w:cs="Arial"/>
              </w:rPr>
            </w:pPr>
            <w:r>
              <w:rPr>
                <w:rFonts w:ascii="Arial" w:hAnsi="Arial" w:cs="Arial"/>
              </w:rPr>
              <w:t>6</w:t>
            </w:r>
          </w:p>
        </w:tc>
        <w:tc>
          <w:tcPr>
            <w:tcW w:w="463" w:type="dxa"/>
            <w:vAlign w:val="center"/>
          </w:tcPr>
          <w:p w14:paraId="63FC96B1" w14:textId="4B2F74FE" w:rsidR="00DB33CA" w:rsidRPr="00EF2D65" w:rsidRDefault="00DB33CA" w:rsidP="00DB33CA">
            <w:pPr>
              <w:spacing w:line="240" w:lineRule="auto"/>
              <w:jc w:val="right"/>
            </w:pPr>
            <w:r>
              <w:rPr>
                <w:rFonts w:ascii="Arial" w:hAnsi="Arial" w:cs="Arial"/>
              </w:rPr>
              <w:t> </w:t>
            </w:r>
          </w:p>
        </w:tc>
        <w:tc>
          <w:tcPr>
            <w:tcW w:w="1140" w:type="dxa"/>
            <w:vAlign w:val="center"/>
          </w:tcPr>
          <w:p w14:paraId="6C2DF82D" w14:textId="1418FAA8" w:rsidR="00DB33CA" w:rsidRPr="00143912" w:rsidRDefault="00DB33CA" w:rsidP="00DB33CA">
            <w:pPr>
              <w:spacing w:line="240" w:lineRule="auto"/>
              <w:jc w:val="right"/>
              <w:rPr>
                <w:rFonts w:cs="Arial"/>
              </w:rPr>
            </w:pPr>
            <w:r>
              <w:rPr>
                <w:rFonts w:ascii="Arial" w:hAnsi="Arial" w:cs="Arial"/>
              </w:rPr>
              <w:t>5</w:t>
            </w:r>
            <w:r w:rsidR="004B4560">
              <w:rPr>
                <w:rFonts w:ascii="Arial" w:hAnsi="Arial" w:cs="Arial"/>
              </w:rPr>
              <w:t>5</w:t>
            </w:r>
          </w:p>
        </w:tc>
        <w:tc>
          <w:tcPr>
            <w:tcW w:w="1140" w:type="dxa"/>
            <w:vAlign w:val="center"/>
          </w:tcPr>
          <w:p w14:paraId="3A96BFD9" w14:textId="269732B4" w:rsidR="00DB33CA" w:rsidRPr="00143912" w:rsidRDefault="00DB33CA" w:rsidP="00DB33CA">
            <w:pPr>
              <w:spacing w:line="240" w:lineRule="auto"/>
              <w:jc w:val="right"/>
              <w:rPr>
                <w:rFonts w:cs="Arial"/>
              </w:rPr>
            </w:pPr>
            <w:r>
              <w:rPr>
                <w:rFonts w:ascii="Arial" w:hAnsi="Arial" w:cs="Arial"/>
              </w:rPr>
              <w:t>51</w:t>
            </w:r>
          </w:p>
        </w:tc>
      </w:tr>
    </w:tbl>
    <w:p w14:paraId="0E8FF706" w14:textId="78D57602" w:rsidR="003C5234" w:rsidRPr="00C029A0" w:rsidRDefault="003C5234" w:rsidP="00C029A0">
      <w:pPr>
        <w:spacing w:line="240" w:lineRule="auto"/>
        <w:ind w:left="-142" w:right="-425"/>
        <w:jc w:val="both"/>
      </w:pPr>
    </w:p>
    <w:p w14:paraId="0EE0119D" w14:textId="06837E45" w:rsidR="00F500CF" w:rsidRPr="00F500CF" w:rsidRDefault="00F500CF" w:rsidP="00AE5461">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0B94B319"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C673E7">
        <w:t>23</w:t>
      </w:r>
      <w:r w:rsidR="00F500CF" w:rsidRPr="008E7494">
        <w:t xml:space="preserve"> people as at 30 June </w:t>
      </w:r>
      <w:bookmarkStart w:id="21" w:name="_Ref362343764"/>
      <w:bookmarkStart w:id="22" w:name="_Ref459716764"/>
      <w:r w:rsidR="00F500CF" w:rsidRPr="008E7494">
        <w:t>20</w:t>
      </w:r>
      <w:r w:rsidR="00C673E7">
        <w:t>20</w:t>
      </w:r>
      <w:bookmarkStart w:id="23" w:name="_Ref64367928"/>
      <w:r w:rsidR="00F500CF" w:rsidRPr="00F500CF">
        <w:rPr>
          <w:vertAlign w:val="superscript"/>
        </w:rPr>
        <w:footnoteReference w:id="18"/>
      </w:r>
      <w:bookmarkEnd w:id="21"/>
      <w:bookmarkEnd w:id="22"/>
      <w:bookmarkEnd w:id="23"/>
      <w:r w:rsidR="00F500CF" w:rsidRPr="00F500CF">
        <w:rPr>
          <w:vertAlign w:val="superscript"/>
        </w:rPr>
        <w:t>,</w:t>
      </w:r>
      <w:bookmarkStart w:id="24" w:name="_Ref459716829"/>
      <w:r w:rsidR="00F500CF" w:rsidRPr="00F500CF">
        <w:rPr>
          <w:vertAlign w:val="superscript"/>
        </w:rPr>
        <w:footnoteReference w:id="19"/>
      </w:r>
      <w:bookmarkEnd w:id="24"/>
      <w:r w:rsidR="00F500CF" w:rsidRPr="008E7494">
        <w:t>.</w:t>
      </w:r>
    </w:p>
    <w:p w14:paraId="1D1F7E14" w14:textId="77777777" w:rsidR="00F500CF" w:rsidRDefault="00F500CF" w:rsidP="00EC14C1">
      <w:pPr>
        <w:spacing w:line="240" w:lineRule="auto"/>
        <w:ind w:left="-142" w:right="-425"/>
        <w:jc w:val="both"/>
      </w:pPr>
    </w:p>
    <w:p w14:paraId="5C34875A" w14:textId="27EFC3BD"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5" w:name="_Ref459717187"/>
      <w:r w:rsidR="00F500CF">
        <w:t>2</w:t>
      </w:r>
      <w:r w:rsidR="003C04FA">
        <w:t>6</w:t>
      </w:r>
      <w:r w:rsidR="00C673E7">
        <w:t>3</w:t>
      </w:r>
      <w:r w:rsidR="00F500CF" w:rsidRPr="008E7494">
        <w:t xml:space="preserve"> people as at 30 June 20</w:t>
      </w:r>
      <w:r w:rsidR="00C673E7">
        <w:t>20</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BB6750">
        <w:rPr>
          <w:vertAlign w:val="superscript"/>
        </w:rPr>
        <w:t>17</w:t>
      </w:r>
      <w:r w:rsidR="003D357C">
        <w:rPr>
          <w:vertAlign w:val="superscript"/>
        </w:rPr>
        <w:fldChar w:fldCharType="end"/>
      </w:r>
      <w:r w:rsidR="00F500CF" w:rsidRPr="00F500CF">
        <w:rPr>
          <w:vertAlign w:val="superscript"/>
        </w:rPr>
        <w:t>,</w:t>
      </w:r>
      <w:bookmarkStart w:id="26" w:name="_Ref74754871"/>
      <w:r w:rsidR="00F500CF" w:rsidRPr="00F500CF">
        <w:rPr>
          <w:vertAlign w:val="superscript"/>
        </w:rPr>
        <w:footnoteReference w:id="20"/>
      </w:r>
      <w:bookmarkEnd w:id="25"/>
      <w:bookmarkEnd w:id="26"/>
      <w:r w:rsidR="00F500CF" w:rsidRPr="008E7494">
        <w:t>.</w:t>
      </w:r>
    </w:p>
    <w:p w14:paraId="6639697A" w14:textId="77777777" w:rsidR="00F500CF" w:rsidRDefault="00F500CF" w:rsidP="00EC14C1">
      <w:pPr>
        <w:spacing w:line="240" w:lineRule="auto"/>
        <w:ind w:left="-142" w:right="-425"/>
        <w:jc w:val="both"/>
      </w:pPr>
    </w:p>
    <w:p w14:paraId="439048BC" w14:textId="1B410C5E"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w:t>
      </w:r>
      <w:r w:rsidR="00C673E7">
        <w:t>50</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BB675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BB6750">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18C01A96"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C673E7">
        <w:t>61</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BB675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BB6750">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583A986D"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BB6750">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7112C608" w:rsidR="005A5B78" w:rsidRPr="00E34093" w:rsidRDefault="005A5B78" w:rsidP="005A5B78">
      <w:pPr>
        <w:pStyle w:val="Heading1"/>
        <w:ind w:left="-142" w:right="-426"/>
      </w:pPr>
      <w:bookmarkStart w:id="27" w:name="_Toc39657992"/>
      <w:r w:rsidRPr="00E34093">
        <w:lastRenderedPageBreak/>
        <w:t>2.  Future Direction</w:t>
      </w:r>
      <w:bookmarkEnd w:id="17"/>
      <w:bookmarkEnd w:id="18"/>
      <w:bookmarkEnd w:id="19"/>
      <w:bookmarkEnd w:id="20"/>
      <w:r w:rsidRPr="00E34093">
        <w:t xml:space="preserve"> and Challenges</w:t>
      </w:r>
      <w:bookmarkEnd w:id="27"/>
    </w:p>
    <w:p w14:paraId="66A68EAB" w14:textId="1D2F2EAE" w:rsidR="005A5B78" w:rsidRDefault="005A5B78" w:rsidP="005A5B78">
      <w:pPr>
        <w:ind w:left="-142" w:right="-425"/>
        <w:jc w:val="both"/>
        <w:rPr>
          <w:rFonts w:cs="Arial"/>
          <w:b/>
          <w:sz w:val="16"/>
          <w:szCs w:val="16"/>
        </w:rPr>
      </w:pPr>
    </w:p>
    <w:p w14:paraId="71B6289E" w14:textId="0B4ACFFF" w:rsidR="004B60C0" w:rsidRDefault="004B60C0" w:rsidP="00574291">
      <w:pPr>
        <w:ind w:left="-142" w:right="-425"/>
        <w:jc w:val="both"/>
        <w:rPr>
          <w:rFonts w:cs="Arial"/>
          <w:bCs/>
        </w:rPr>
      </w:pPr>
    </w:p>
    <w:p w14:paraId="5C22BD92" w14:textId="0CE85D63" w:rsidR="00EF12A8" w:rsidRPr="00091CFE" w:rsidRDefault="00E36035" w:rsidP="00AE5461">
      <w:pPr>
        <w:pStyle w:val="Heading2"/>
      </w:pPr>
      <w:r w:rsidRPr="00091CFE">
        <w:t>COVID-19 Response – Modified operations</w:t>
      </w:r>
    </w:p>
    <w:p w14:paraId="49535FC7" w14:textId="12A91B19" w:rsidR="00E36035" w:rsidRPr="007A6FB3" w:rsidRDefault="00E36035" w:rsidP="007A6FB3">
      <w:pPr>
        <w:ind w:left="-142" w:right="-425"/>
        <w:jc w:val="both"/>
      </w:pPr>
      <w:r w:rsidRPr="007A6FB3">
        <w:t xml:space="preserve">After successfully keeping earlier strains of COVID-19 from penetrating into </w:t>
      </w:r>
      <w:r w:rsidR="00896819" w:rsidRPr="007A6FB3">
        <w:t xml:space="preserve">most Aboriginal and Torres Strait Islander communities, the </w:t>
      </w:r>
      <w:r w:rsidR="0081432C" w:rsidRPr="007A6FB3">
        <w:t>Queensland</w:t>
      </w:r>
      <w:r w:rsidR="00896819" w:rsidRPr="007A6FB3">
        <w:t>-wide outbreak of the Omicron strain affected all FRC communities</w:t>
      </w:r>
      <w:r w:rsidR="007A6FB3" w:rsidRPr="007A6FB3">
        <w:t xml:space="preserve"> from December 2021.</w:t>
      </w:r>
    </w:p>
    <w:p w14:paraId="276F6781" w14:textId="77E29A00" w:rsidR="00896819" w:rsidRPr="007A6FB3" w:rsidRDefault="00896819" w:rsidP="007A6FB3">
      <w:pPr>
        <w:ind w:left="-142" w:right="-425"/>
        <w:jc w:val="both"/>
      </w:pPr>
    </w:p>
    <w:p w14:paraId="4B3ADF8B" w14:textId="09B4D916" w:rsidR="00896819" w:rsidRPr="007A6FB3" w:rsidRDefault="00896819" w:rsidP="007A6FB3">
      <w:pPr>
        <w:ind w:left="-142" w:right="-425"/>
        <w:jc w:val="both"/>
      </w:pPr>
      <w:r w:rsidRPr="007A6FB3">
        <w:t xml:space="preserve">After determining to move to Scenario 2 of the FRC’s preparedness framework, the Commission was able to respond </w:t>
      </w:r>
      <w:r w:rsidR="0081432C" w:rsidRPr="007A6FB3">
        <w:t>to the needs of communities during this wave of the pandemic</w:t>
      </w:r>
      <w:r w:rsidR="006C348F" w:rsidRPr="007A6FB3">
        <w:t xml:space="preserve">. The FRC temporarily modified its operations with </w:t>
      </w:r>
      <w:r w:rsidR="00AD1587" w:rsidRPr="007A6FB3">
        <w:t xml:space="preserve">a priority focus on those activities that could reasonably be undertaken by Commission personnel to achieve the objects of the FRC Act. A summary of those activities is set out below. </w:t>
      </w:r>
    </w:p>
    <w:p w14:paraId="708F6A01" w14:textId="33BEC399" w:rsidR="00EF12A8" w:rsidRDefault="00EF12A8">
      <w:pPr>
        <w:spacing w:line="240" w:lineRule="auto"/>
        <w:rPr>
          <w:rFonts w:cs="Arial"/>
          <w:b/>
        </w:rPr>
      </w:pPr>
    </w:p>
    <w:p w14:paraId="3862A457" w14:textId="567DF715" w:rsidR="00EF12A8" w:rsidRPr="008C4AD3" w:rsidRDefault="0081432C" w:rsidP="00AE5461">
      <w:pPr>
        <w:pStyle w:val="Heading2"/>
      </w:pPr>
      <w:r w:rsidRPr="008C4AD3">
        <w:t>Intensive Case Management</w:t>
      </w:r>
    </w:p>
    <w:p w14:paraId="594D96E3" w14:textId="6619C71C" w:rsidR="006C348F" w:rsidRPr="008C4AD3" w:rsidRDefault="001C3547" w:rsidP="008C4AD3">
      <w:pPr>
        <w:ind w:left="-142" w:right="-425"/>
        <w:jc w:val="both"/>
      </w:pPr>
      <w:r w:rsidRPr="008C4AD3">
        <w:t xml:space="preserve">In the early stages of the Omicron outbreak, the FRC began developing </w:t>
      </w:r>
      <w:r w:rsidR="004C41EA" w:rsidRPr="008C4AD3">
        <w:t>the</w:t>
      </w:r>
      <w:r w:rsidRPr="008C4AD3">
        <w:t xml:space="preserve"> ICM Framework. It became clear that some issues faced by vulnerable clients would be</w:t>
      </w:r>
      <w:r w:rsidR="00431927" w:rsidRPr="008C4AD3">
        <w:t xml:space="preserve"> heightened</w:t>
      </w:r>
      <w:r w:rsidRPr="008C4AD3">
        <w:t xml:space="preserve"> by the outbreak and the </w:t>
      </w:r>
      <w:r w:rsidR="006C348F" w:rsidRPr="008C4AD3">
        <w:t>inaccessibility of other support services. Indeed</w:t>
      </w:r>
      <w:r w:rsidR="004C41EA" w:rsidRPr="008C4AD3">
        <w:t>,</w:t>
      </w:r>
      <w:r w:rsidR="006C348F" w:rsidRPr="008C4AD3">
        <w:t xml:space="preserve"> m</w:t>
      </w:r>
      <w:r w:rsidR="004C41EA" w:rsidRPr="008C4AD3">
        <w:t>any</w:t>
      </w:r>
      <w:r w:rsidR="006C348F" w:rsidRPr="008C4AD3">
        <w:t xml:space="preserve"> community support services were not operating </w:t>
      </w:r>
      <w:r w:rsidR="00431927" w:rsidRPr="008C4AD3">
        <w:t>face-to-face</w:t>
      </w:r>
      <w:r w:rsidR="00042E55" w:rsidRPr="008C4AD3">
        <w:t xml:space="preserve"> during the Omicron outbreak, and some were not operating </w:t>
      </w:r>
      <w:r w:rsidR="00431927" w:rsidRPr="008C4AD3">
        <w:t xml:space="preserve">at all. </w:t>
      </w:r>
    </w:p>
    <w:p w14:paraId="3FC8DD64" w14:textId="64017862" w:rsidR="006C348F" w:rsidRPr="008C4AD3" w:rsidRDefault="006C348F" w:rsidP="008C4AD3">
      <w:pPr>
        <w:ind w:left="-142" w:right="-425"/>
        <w:jc w:val="both"/>
      </w:pPr>
    </w:p>
    <w:p w14:paraId="397CBB38" w14:textId="1D54B428" w:rsidR="0081432C" w:rsidRPr="008C4AD3" w:rsidRDefault="00C2749C" w:rsidP="008C4AD3">
      <w:pPr>
        <w:ind w:left="-142" w:right="-425"/>
        <w:jc w:val="both"/>
      </w:pPr>
      <w:r w:rsidRPr="008C4AD3">
        <w:t xml:space="preserve">Together with registry staff and Local Registry Coordinators, Local Commissioners began working intensively with a small group of clients in each community who </w:t>
      </w:r>
      <w:proofErr w:type="gramStart"/>
      <w:r w:rsidRPr="008C4AD3">
        <w:t>were in need of</w:t>
      </w:r>
      <w:proofErr w:type="gramEnd"/>
      <w:r w:rsidRPr="008C4AD3">
        <w:t xml:space="preserve"> immediate support. Local Commissioners report that </w:t>
      </w:r>
      <w:r w:rsidR="00431927" w:rsidRPr="009A2550">
        <w:t xml:space="preserve">encouraging clients to be part of the ICM process </w:t>
      </w:r>
      <w:r w:rsidR="008C4AD3">
        <w:t>assisted</w:t>
      </w:r>
      <w:r w:rsidR="00431927" w:rsidRPr="009A2550">
        <w:t xml:space="preserve"> to further build a trusting and supportive relationship with clients</w:t>
      </w:r>
      <w:r>
        <w:t xml:space="preserve"> and service providers</w:t>
      </w:r>
      <w:r w:rsidR="00431927" w:rsidRPr="009A2550">
        <w:t xml:space="preserve">. Because </w:t>
      </w:r>
      <w:r>
        <w:t>the ICM interactions are</w:t>
      </w:r>
      <w:r w:rsidR="00431927" w:rsidRPr="009A2550">
        <w:t xml:space="preserve"> occurring outside the more formal conference setting, it reinforce</w:t>
      </w:r>
      <w:r w:rsidR="008C4AD3">
        <w:t>d</w:t>
      </w:r>
      <w:r w:rsidR="00431927" w:rsidRPr="009A2550">
        <w:t xml:space="preserve"> </w:t>
      </w:r>
      <w:r>
        <w:t xml:space="preserve">the supportive nature of FRC interventions. </w:t>
      </w:r>
      <w:r w:rsidR="00431927" w:rsidRPr="009A2550">
        <w:t xml:space="preserve">Clients have </w:t>
      </w:r>
      <w:r>
        <w:t>reported</w:t>
      </w:r>
      <w:r w:rsidR="00431927" w:rsidRPr="009A2550">
        <w:t xml:space="preserve"> valu</w:t>
      </w:r>
      <w:r>
        <w:t>ing</w:t>
      </w:r>
      <w:r w:rsidR="00431927" w:rsidRPr="009A2550">
        <w:t xml:space="preserve"> the </w:t>
      </w:r>
      <w:r>
        <w:t xml:space="preserve">support offered by the ICM Framework, as many other services </w:t>
      </w:r>
      <w:r w:rsidR="00431927" w:rsidRPr="009A2550">
        <w:t>were not in community offering face-to-face support.</w:t>
      </w:r>
      <w:r w:rsidR="00431927">
        <w:t xml:space="preserve"> </w:t>
      </w:r>
      <w:r w:rsidR="00431927" w:rsidRPr="00306140">
        <w:t>The</w:t>
      </w:r>
      <w:r>
        <w:t xml:space="preserve"> increased </w:t>
      </w:r>
      <w:r w:rsidR="00431927" w:rsidRPr="00306140">
        <w:t>connection</w:t>
      </w:r>
      <w:r>
        <w:t>s</w:t>
      </w:r>
      <w:r w:rsidR="00431927" w:rsidRPr="00306140">
        <w:t xml:space="preserve"> </w:t>
      </w:r>
      <w:r w:rsidR="00431927">
        <w:t xml:space="preserve">made </w:t>
      </w:r>
      <w:r w:rsidR="00431927" w:rsidRPr="00306140">
        <w:t>with clients during home visits</w:t>
      </w:r>
      <w:r w:rsidR="00431927">
        <w:t xml:space="preserve">, and the fact that </w:t>
      </w:r>
      <w:r w:rsidR="00703336">
        <w:t xml:space="preserve">FRC staff and Commissioners were visible </w:t>
      </w:r>
      <w:r w:rsidR="00431927">
        <w:t>in community, not only connected clients and services, but</w:t>
      </w:r>
      <w:r w:rsidR="00431927" w:rsidRPr="00306140">
        <w:t xml:space="preserve"> </w:t>
      </w:r>
      <w:r w:rsidR="00703336">
        <w:t xml:space="preserve">also contributed to the increased conference attendance reported </w:t>
      </w:r>
      <w:r w:rsidR="008C4AD3">
        <w:t>during</w:t>
      </w:r>
      <w:r w:rsidR="00703336">
        <w:t xml:space="preserve"> this quarter. </w:t>
      </w:r>
    </w:p>
    <w:p w14:paraId="6DF69498" w14:textId="27AF8CFF" w:rsidR="00EF12A8" w:rsidRDefault="00EF12A8">
      <w:pPr>
        <w:spacing w:line="240" w:lineRule="auto"/>
        <w:rPr>
          <w:rFonts w:cs="Arial"/>
          <w:b/>
        </w:rPr>
      </w:pPr>
    </w:p>
    <w:p w14:paraId="14C0DD31" w14:textId="6D337FA4" w:rsidR="00EF12A8" w:rsidRDefault="00EF12A8" w:rsidP="00AE5461">
      <w:pPr>
        <w:pStyle w:val="Heading2"/>
      </w:pPr>
      <w:r w:rsidRPr="008C4AD3">
        <w:t xml:space="preserve">Increased </w:t>
      </w:r>
      <w:r w:rsidR="00AD1587" w:rsidRPr="008C4AD3">
        <w:t>duties</w:t>
      </w:r>
      <w:r w:rsidR="00AD1587">
        <w:t xml:space="preserve"> </w:t>
      </w:r>
      <w:r w:rsidR="00AD1587" w:rsidRPr="008C4AD3">
        <w:t>for Local Commissioners</w:t>
      </w:r>
    </w:p>
    <w:p w14:paraId="6BB49CC7" w14:textId="7A6F25D1" w:rsidR="00703336" w:rsidRPr="008C4AD3" w:rsidRDefault="00703336" w:rsidP="008C4AD3">
      <w:pPr>
        <w:ind w:left="-142" w:right="-425"/>
        <w:jc w:val="both"/>
      </w:pPr>
      <w:r w:rsidRPr="008C4AD3">
        <w:t xml:space="preserve">As a result of the temporary suspension of normal conferencing during January and February 2022, and the </w:t>
      </w:r>
      <w:r w:rsidR="00000FBB" w:rsidRPr="008C4AD3">
        <w:t>contemporaneous need for increased community support, the Executive Management Team considered and approved Local Commissioners to undertake a broader range of administrative duties</w:t>
      </w:r>
      <w:r w:rsidR="00852726" w:rsidRPr="008C4AD3">
        <w:t>. These duties</w:t>
      </w:r>
      <w:r w:rsidR="004C41EA" w:rsidRPr="008C4AD3">
        <w:t xml:space="preserve"> included serving notices to attend conference (once conferencing recommenced)</w:t>
      </w:r>
      <w:r w:rsidR="00245104" w:rsidRPr="008C4AD3">
        <w:t xml:space="preserve"> and</w:t>
      </w:r>
      <w:r w:rsidR="004C41EA" w:rsidRPr="008C4AD3">
        <w:t xml:space="preserve"> conducting ICM engagements</w:t>
      </w:r>
      <w:r w:rsidR="00245104" w:rsidRPr="008C4AD3">
        <w:t>, along with other administrative activities to ensure business continuity.</w:t>
      </w:r>
    </w:p>
    <w:p w14:paraId="150AC30E" w14:textId="58E9BAF0" w:rsidR="00245104" w:rsidRPr="008C4AD3" w:rsidRDefault="00245104" w:rsidP="008C4AD3">
      <w:pPr>
        <w:ind w:left="-142" w:right="-425"/>
        <w:jc w:val="both"/>
      </w:pPr>
    </w:p>
    <w:p w14:paraId="19B574A3" w14:textId="3FD90777" w:rsidR="00245104" w:rsidRPr="008C4AD3" w:rsidRDefault="00245104" w:rsidP="008C4AD3">
      <w:pPr>
        <w:ind w:left="-142" w:right="-425"/>
        <w:jc w:val="both"/>
      </w:pPr>
      <w:r w:rsidRPr="008C4AD3">
        <w:t xml:space="preserve">The performance of additional duties was approved on a case-by-case basis after a careful risk versus needs assessment. The COVID-19 risk was continually balanced against the </w:t>
      </w:r>
      <w:r w:rsidR="003C2EE4" w:rsidRPr="008C4AD3">
        <w:t>need for support</w:t>
      </w:r>
      <w:r w:rsidR="00042E55" w:rsidRPr="008C4AD3">
        <w:t>ing</w:t>
      </w:r>
      <w:r w:rsidR="003C2EE4" w:rsidRPr="008C4AD3">
        <w:t xml:space="preserve"> vulnerable FRC clients. The cost of additional duties performed by Local Commissioners was met from within existing budget allocations. </w:t>
      </w:r>
    </w:p>
    <w:p w14:paraId="0997D0EA" w14:textId="20365144" w:rsidR="00000FBB" w:rsidRDefault="00000FBB">
      <w:pPr>
        <w:spacing w:line="240" w:lineRule="auto"/>
        <w:rPr>
          <w:rFonts w:cs="Arial"/>
          <w:bCs/>
          <w:u w:val="single"/>
        </w:rPr>
      </w:pPr>
    </w:p>
    <w:p w14:paraId="2B8CA4F0" w14:textId="1D9DEC23" w:rsidR="00000FBB" w:rsidRDefault="00000FBB" w:rsidP="00216F02">
      <w:pPr>
        <w:spacing w:line="240" w:lineRule="auto"/>
        <w:ind w:left="-142"/>
        <w:rPr>
          <w:rFonts w:cs="Arial"/>
          <w:bCs/>
          <w:u w:val="single"/>
        </w:rPr>
      </w:pPr>
      <w:r w:rsidRPr="00216F02">
        <w:rPr>
          <w:rFonts w:cs="Arial"/>
          <w:bCs/>
          <w:u w:val="single"/>
        </w:rPr>
        <w:t>Elevated response in Coen</w:t>
      </w:r>
    </w:p>
    <w:p w14:paraId="4E78B190" w14:textId="4F5D4EE0" w:rsidR="004C41EA" w:rsidRPr="00216F02" w:rsidRDefault="003C2EE4" w:rsidP="00216F02">
      <w:pPr>
        <w:ind w:left="-142" w:right="-425"/>
        <w:jc w:val="both"/>
      </w:pPr>
      <w:r w:rsidRPr="00216F02">
        <w:t xml:space="preserve">There had been escalated tensions in Coen between clan groups during January and February 2022. On 8 February 2022 the unrest culminated in a vicious community fight resulting </w:t>
      </w:r>
      <w:r w:rsidR="00042E55" w:rsidRPr="00216F02">
        <w:t>i</w:t>
      </w:r>
      <w:r w:rsidRPr="00216F02">
        <w:t xml:space="preserve">n over 30 people </w:t>
      </w:r>
      <w:r w:rsidR="00042E55" w:rsidRPr="00216F02">
        <w:t>being</w:t>
      </w:r>
      <w:r w:rsidRPr="00216F02">
        <w:t xml:space="preserve"> charged with various offences, including the use of weapons. Individuals came out of isolation to participate in the fighting, which resulted in a sharp spike in Omicron cases</w:t>
      </w:r>
      <w:r w:rsidR="003F2112" w:rsidRPr="00216F02">
        <w:t>.</w:t>
      </w:r>
      <w:r w:rsidR="00287BD6" w:rsidRPr="00216F02">
        <w:t xml:space="preserve"> </w:t>
      </w:r>
    </w:p>
    <w:p w14:paraId="0B61E1F0" w14:textId="45256DA8" w:rsidR="00287BD6" w:rsidRPr="00216F02" w:rsidRDefault="00287BD6" w:rsidP="00216F02">
      <w:pPr>
        <w:ind w:left="-142" w:right="-425"/>
        <w:jc w:val="both"/>
      </w:pPr>
    </w:p>
    <w:p w14:paraId="4A33A554" w14:textId="2CC4BCA6" w:rsidR="003F2112" w:rsidRPr="00216F02" w:rsidRDefault="003F2112" w:rsidP="00216F02">
      <w:pPr>
        <w:ind w:left="-142" w:right="-425"/>
        <w:jc w:val="both"/>
      </w:pPr>
      <w:r w:rsidRPr="00216F02">
        <w:t xml:space="preserve">Local service delivery in Coen was subsequently affected with many of the offices in the Coen Regional Aboriginal Corporation (CRAC) building closed. The Coen Justice Group informed the Commission’s Local Registry Coordinator that the unrest stemmed from youth in the community, many of whom had </w:t>
      </w:r>
      <w:r w:rsidRPr="00216F02">
        <w:lastRenderedPageBreak/>
        <w:t>not returned to boarding school</w:t>
      </w:r>
      <w:r w:rsidR="00042E55" w:rsidRPr="00216F02">
        <w:t xml:space="preserve"> at the beginning of the school year.</w:t>
      </w:r>
      <w:r w:rsidR="00015366">
        <w:t xml:space="preserve"> </w:t>
      </w:r>
      <w:r w:rsidRPr="00216F02">
        <w:t>Due to the delay in the commencement of conferencing attributed to COVID-19, the progression of the ICM framework became a key priority. FRC clients were directly affected by the unrest, and there was a lack of trust and coordinated support between community members and local services. The Commission considered that an elevated response to support families and individuals was required, with face-to-face contact for clients who were not available by telephone. The Commission’s Executive Management Team approved the Local Registry Coordinator to travel to Coen and:</w:t>
      </w:r>
    </w:p>
    <w:p w14:paraId="6F6EF7D0" w14:textId="77777777" w:rsidR="003F2112" w:rsidRPr="00216F02" w:rsidRDefault="003F2112" w:rsidP="003F2112">
      <w:pPr>
        <w:spacing w:line="240" w:lineRule="auto"/>
        <w:rPr>
          <w:rFonts w:cs="Arial"/>
          <w:bCs/>
        </w:rPr>
      </w:pPr>
    </w:p>
    <w:p w14:paraId="3A5A5238"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engage with prioritised clients and service providers to initiate intensive case management of vulnerable community members</w:t>
      </w:r>
    </w:p>
    <w:p w14:paraId="36110BDB"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offer support to FRC clients and families affected by the unrest</w:t>
      </w:r>
    </w:p>
    <w:p w14:paraId="47009E69"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discuss voluntary case plans and/or income management with vulnerable FRC clients</w:t>
      </w:r>
    </w:p>
    <w:p w14:paraId="7DC9F16A"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provide support to the Local Commissioners</w:t>
      </w:r>
    </w:p>
    <w:p w14:paraId="473F7674"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engage with service providers in response to the unrest and in preparation for conferencing in March (including the Coen Justice Group Coordinator, Apunipima Wellbeing Centre and the Officer-in-Charge of Coen Police) and</w:t>
      </w:r>
    </w:p>
    <w:p w14:paraId="68B01F39" w14:textId="77777777" w:rsidR="003F2112" w:rsidRPr="00015366" w:rsidRDefault="003F2112" w:rsidP="00090561">
      <w:pPr>
        <w:pStyle w:val="ListParagraph"/>
        <w:numPr>
          <w:ilvl w:val="0"/>
          <w:numId w:val="8"/>
        </w:numPr>
        <w:spacing w:line="288" w:lineRule="auto"/>
        <w:ind w:left="284" w:right="-425" w:hanging="357"/>
        <w:jc w:val="both"/>
        <w:rPr>
          <w:rFonts w:ascii="Verdana" w:hAnsi="Verdana" w:cs="Arial"/>
          <w:sz w:val="20"/>
          <w:szCs w:val="20"/>
        </w:rPr>
      </w:pPr>
      <w:r w:rsidRPr="00015366">
        <w:rPr>
          <w:rFonts w:ascii="Verdana" w:hAnsi="Verdana" w:cs="Arial"/>
          <w:sz w:val="20"/>
          <w:szCs w:val="20"/>
        </w:rPr>
        <w:t>provide support to families to complete boarding school requirements for the return of boarding students.</w:t>
      </w:r>
    </w:p>
    <w:p w14:paraId="3C395D3B" w14:textId="77777777" w:rsidR="00287BD6" w:rsidRDefault="00287BD6">
      <w:pPr>
        <w:spacing w:line="240" w:lineRule="auto"/>
        <w:rPr>
          <w:rFonts w:cs="Arial"/>
          <w:bCs/>
          <w:u w:val="single"/>
        </w:rPr>
      </w:pPr>
    </w:p>
    <w:p w14:paraId="0518D85A" w14:textId="427F2019" w:rsidR="00000FBB" w:rsidRPr="00A100AA" w:rsidRDefault="00000FBB" w:rsidP="00AE5461">
      <w:pPr>
        <w:pStyle w:val="Heading2"/>
      </w:pPr>
      <w:r w:rsidRPr="00A100AA">
        <w:t xml:space="preserve">Expiry of the Family Responsibilities Commission (COVID-19 Emergency Response) Regulation 2020 </w:t>
      </w:r>
    </w:p>
    <w:p w14:paraId="00FBF7D7" w14:textId="5590340D" w:rsidR="00810D9F" w:rsidRPr="00A100AA" w:rsidRDefault="00810D9F" w:rsidP="00A100AA">
      <w:pPr>
        <w:ind w:left="-142" w:right="-425"/>
        <w:jc w:val="both"/>
      </w:pPr>
      <w:r w:rsidRPr="00A100AA">
        <w:t>For the duration of the COVID-19 pandemic, the FRC has been able to utilise, where necessary, the provisions of the Family Responsibilities Commission (COVID-19 Emergency Response) Regulation 2020 (the FRC COVID</w:t>
      </w:r>
      <w:r w:rsidR="0002304D" w:rsidRPr="00A100AA">
        <w:t>-19</w:t>
      </w:r>
      <w:r w:rsidRPr="00A100AA">
        <w:t xml:space="preserve"> Regulation), which allow</w:t>
      </w:r>
      <w:r w:rsidR="00A100AA">
        <w:t>ed</w:t>
      </w:r>
      <w:r w:rsidRPr="00A100AA">
        <w:t xml:space="preserve"> the Commission to hold a conference with only one Local Commissioner and the Commissioner or Deputy Commissioner. </w:t>
      </w:r>
      <w:r w:rsidR="003458B8" w:rsidRPr="00A100AA">
        <w:t xml:space="preserve">Periodic amendments and extensions have been made to the temporary legislative framework, including the FRC COVID-Regulation, to support the Queensland Government’s response to </w:t>
      </w:r>
      <w:r w:rsidR="00DA1190" w:rsidRPr="00A100AA">
        <w:t>pandemic</w:t>
      </w:r>
      <w:r w:rsidR="00A100AA">
        <w:t>, h</w:t>
      </w:r>
      <w:r w:rsidR="00DA1190" w:rsidRPr="00A100AA">
        <w:t>owever, t</w:t>
      </w:r>
      <w:r w:rsidRPr="00A100AA">
        <w:t xml:space="preserve">he </w:t>
      </w:r>
      <w:r w:rsidR="0002304D" w:rsidRPr="00A100AA">
        <w:t xml:space="preserve">FRC COVID-19 </w:t>
      </w:r>
      <w:r w:rsidRPr="00A100AA">
        <w:t xml:space="preserve">Regulation </w:t>
      </w:r>
      <w:r w:rsidR="0002304D" w:rsidRPr="00A100AA">
        <w:t>was due to</w:t>
      </w:r>
      <w:r w:rsidRPr="00A100AA">
        <w:t xml:space="preserve"> expire on 30 April 2022.</w:t>
      </w:r>
    </w:p>
    <w:p w14:paraId="699E52A7" w14:textId="2F555597" w:rsidR="0002304D" w:rsidRPr="00A100AA" w:rsidRDefault="0002304D" w:rsidP="00A100AA">
      <w:pPr>
        <w:ind w:left="-142" w:right="-425"/>
        <w:jc w:val="both"/>
      </w:pPr>
    </w:p>
    <w:p w14:paraId="77C1424A" w14:textId="282CC792" w:rsidR="0002304D" w:rsidRDefault="0002304D" w:rsidP="00A100AA">
      <w:pPr>
        <w:ind w:left="-142" w:right="-425"/>
        <w:jc w:val="both"/>
      </w:pPr>
      <w:r w:rsidRPr="00A100AA">
        <w:t xml:space="preserve">The </w:t>
      </w:r>
      <w:r>
        <w:t>Community Support and Services Committee invited the FRC to make a submission for consideration in its inquiry o</w:t>
      </w:r>
      <w:r w:rsidR="005C6E7E">
        <w:t>n the Public Health and Other Legislation (Extension of Expiring Provisions) Amendment Bill, which would extend the operation of public health measures.</w:t>
      </w:r>
    </w:p>
    <w:p w14:paraId="58F0E343" w14:textId="2C4B5629" w:rsidR="005C6E7E" w:rsidRDefault="005C6E7E" w:rsidP="00A100AA">
      <w:pPr>
        <w:ind w:left="-142" w:right="-425"/>
        <w:jc w:val="both"/>
      </w:pPr>
    </w:p>
    <w:p w14:paraId="61352E0C" w14:textId="3097E636" w:rsidR="005C6E7E" w:rsidRDefault="005C6E7E" w:rsidP="00A100AA">
      <w:pPr>
        <w:ind w:left="-142" w:right="-425"/>
        <w:jc w:val="both"/>
      </w:pPr>
      <w:r>
        <w:t>The FRC made a submission outlining concerns that should the FRC COVID-19 Regulation not be extended, t</w:t>
      </w:r>
      <w:r w:rsidRPr="00A100AA">
        <w:t xml:space="preserve">he FRC’s continuity of operations </w:t>
      </w:r>
      <w:r>
        <w:t>was</w:t>
      </w:r>
      <w:r w:rsidRPr="00A100AA">
        <w:t xml:space="preserve"> at risk because of the unavailability of the requisite number of Local Commissioners to form a decision-making panel.</w:t>
      </w:r>
      <w:r w:rsidR="0060193E">
        <w:t xml:space="preserve"> Given the</w:t>
      </w:r>
      <w:r w:rsidR="00CC72DD">
        <w:t xml:space="preserve"> numbers of available </w:t>
      </w:r>
      <w:r w:rsidR="00CA635C">
        <w:t xml:space="preserve">Local </w:t>
      </w:r>
      <w:r w:rsidR="00CC72DD">
        <w:t>Commissioners, particularly in Mossman Gorge and Coen</w:t>
      </w:r>
      <w:r w:rsidR="00CA635C">
        <w:t>, and the susceptibility of some Local Commissioners to illness, there was a very real risk that the requisite number of Local Commissioners would not be available</w:t>
      </w:r>
      <w:r w:rsidR="0080120E">
        <w:t>,</w:t>
      </w:r>
      <w:r w:rsidR="00CA635C">
        <w:t xml:space="preserve"> and matters set down for conference would not be able to be heard. </w:t>
      </w:r>
    </w:p>
    <w:p w14:paraId="5CFFB66D" w14:textId="590649FD" w:rsidR="00CA635C" w:rsidRDefault="00CA635C" w:rsidP="00A100AA">
      <w:pPr>
        <w:ind w:left="-142" w:right="-425"/>
        <w:jc w:val="both"/>
      </w:pPr>
    </w:p>
    <w:p w14:paraId="6151594E" w14:textId="0EA5D868" w:rsidR="00CA635C" w:rsidRDefault="00CA635C" w:rsidP="00A100AA">
      <w:pPr>
        <w:ind w:left="-142" w:right="-425"/>
        <w:jc w:val="both"/>
      </w:pPr>
      <w:r>
        <w:t>The FRC’s submission also argued that t</w:t>
      </w:r>
      <w:r w:rsidRPr="00A100AA">
        <w:t xml:space="preserve">ransitional arrangements </w:t>
      </w:r>
      <w:r>
        <w:t>extending</w:t>
      </w:r>
      <w:r w:rsidRPr="00A100AA">
        <w:t xml:space="preserve"> the expiry of the FRC COVID-19 Regulations </w:t>
      </w:r>
      <w:r>
        <w:t>would</w:t>
      </w:r>
      <w:r w:rsidRPr="00A100AA">
        <w:t xml:space="preserve"> allow the FRC to facilitate the return of normal operations.</w:t>
      </w:r>
      <w:r>
        <w:t xml:space="preserve"> Even if the appointment of new Local Commissioners were to occur, it would still take between six and nine months </w:t>
      </w:r>
      <w:r w:rsidR="00876F48">
        <w:t xml:space="preserve">for new Commissioners to undertake training to enable them to fulfil the legislative functions required of their roles. </w:t>
      </w:r>
    </w:p>
    <w:p w14:paraId="3BEAD67C" w14:textId="3B333461" w:rsidR="00876F48" w:rsidRDefault="00876F48" w:rsidP="00A100AA">
      <w:pPr>
        <w:ind w:left="-142" w:right="-425"/>
        <w:jc w:val="both"/>
      </w:pPr>
    </w:p>
    <w:p w14:paraId="0286F09A" w14:textId="4F5DD0E1" w:rsidR="00EF12A8" w:rsidRPr="00A100AA" w:rsidRDefault="00876F48" w:rsidP="00A100AA">
      <w:pPr>
        <w:ind w:left="-142" w:right="-425"/>
        <w:jc w:val="both"/>
      </w:pPr>
      <w:r>
        <w:t xml:space="preserve">Whilst outside the reporting period, the FRC notes that the FRC COVID-19 Regulation has now expired. The operational effects which have occurred as a result will be reported in the next </w:t>
      </w:r>
      <w:r w:rsidR="006663D5">
        <w:t>q</w:t>
      </w:r>
      <w:r>
        <w:t xml:space="preserve">uarterly report. </w:t>
      </w:r>
    </w:p>
    <w:p w14:paraId="2EE0C597" w14:textId="0008EBA1" w:rsidR="00EF12A8" w:rsidRDefault="00EF12A8">
      <w:pPr>
        <w:spacing w:line="240" w:lineRule="auto"/>
        <w:rPr>
          <w:rFonts w:cs="Arial"/>
          <w:b/>
        </w:rPr>
      </w:pPr>
    </w:p>
    <w:p w14:paraId="24973DAA" w14:textId="77777777" w:rsidR="00A11CCC" w:rsidRDefault="00A11CCC">
      <w:pPr>
        <w:spacing w:line="240" w:lineRule="auto"/>
        <w:rPr>
          <w:rFonts w:cs="Arial"/>
          <w:b/>
          <w:bCs/>
          <w:spacing w:val="-4"/>
          <w:kern w:val="28"/>
          <w:u w:val="single"/>
        </w:rPr>
      </w:pPr>
      <w:bookmarkStart w:id="28" w:name="_Hlk105073738"/>
      <w:r>
        <w:br w:type="page"/>
      </w:r>
    </w:p>
    <w:p w14:paraId="1928FF11" w14:textId="5CE6FD7B" w:rsidR="00000FBB" w:rsidRPr="00F40552" w:rsidRDefault="00CC6B3E" w:rsidP="00AE5461">
      <w:pPr>
        <w:pStyle w:val="Heading2"/>
      </w:pPr>
      <w:r w:rsidRPr="00F40552">
        <w:lastRenderedPageBreak/>
        <w:t>New Data Dashboard indicators</w:t>
      </w:r>
    </w:p>
    <w:p w14:paraId="4C95D3D9" w14:textId="36239FCB" w:rsidR="00CC6B3E" w:rsidRPr="00BD222A" w:rsidRDefault="00CC6B3E" w:rsidP="00BD222A">
      <w:pPr>
        <w:ind w:left="-142" w:right="-425"/>
        <w:jc w:val="both"/>
      </w:pPr>
      <w:r w:rsidRPr="00BD222A">
        <w:t xml:space="preserve">Along with the </w:t>
      </w:r>
      <w:r w:rsidR="004E3445" w:rsidRPr="00BD222A">
        <w:t xml:space="preserve">data reported in these quarterly reports, internal data dashboards, specific to each community, are prepared and provided to Local Commissioners to assist them to track their progress and </w:t>
      </w:r>
      <w:r w:rsidR="00CF3596" w:rsidRPr="00BD222A">
        <w:t>to identify and plan for</w:t>
      </w:r>
      <w:r w:rsidR="004E3445" w:rsidRPr="00BD222A">
        <w:t xml:space="preserve"> areas of focus.</w:t>
      </w:r>
    </w:p>
    <w:p w14:paraId="19A2DDCF" w14:textId="6B9052ED" w:rsidR="004E3445" w:rsidRPr="00BD222A" w:rsidRDefault="004E3445" w:rsidP="00BD222A">
      <w:pPr>
        <w:ind w:left="-142" w:right="-425"/>
        <w:jc w:val="both"/>
      </w:pPr>
    </w:p>
    <w:p w14:paraId="1C0F3349" w14:textId="2C3D842F" w:rsidR="000E11E3" w:rsidRPr="00BD222A" w:rsidRDefault="004E3445" w:rsidP="00BD222A">
      <w:pPr>
        <w:ind w:left="-142" w:right="-425"/>
        <w:jc w:val="both"/>
      </w:pPr>
      <w:r w:rsidRPr="00BD222A">
        <w:t>During Quarter 55 the first dashboards with two new key performance indicators</w:t>
      </w:r>
      <w:r w:rsidR="0073436F">
        <w:t xml:space="preserve"> -</w:t>
      </w:r>
      <w:r w:rsidR="00D2029D" w:rsidRPr="00BD222A">
        <w:t xml:space="preserve"> referrals for domestic and family violence</w:t>
      </w:r>
      <w:r w:rsidR="00F65A9F">
        <w:t xml:space="preserve"> related matters</w:t>
      </w:r>
      <w:r w:rsidR="00D2029D" w:rsidRPr="00BD222A">
        <w:t>, and referrals for training and employment</w:t>
      </w:r>
      <w:r w:rsidR="0073436F">
        <w:t xml:space="preserve"> -</w:t>
      </w:r>
      <w:r w:rsidRPr="00BD222A">
        <w:t xml:space="preserve"> were issued. </w:t>
      </w:r>
      <w:r w:rsidR="00CF3596" w:rsidRPr="00BD222A">
        <w:t xml:space="preserve">The results of these new indicators show that in the 2021/22 year so far, the number of referrals for domestic and family violence issues are proportionate to the number of notices received in relation to these matters. This is an indicator that </w:t>
      </w:r>
      <w:r w:rsidR="00251041" w:rsidRPr="00BD222A">
        <w:t xml:space="preserve">the </w:t>
      </w:r>
      <w:r w:rsidR="00CF3596" w:rsidRPr="00BD222A">
        <w:t xml:space="preserve">priority </w:t>
      </w:r>
      <w:proofErr w:type="gramStart"/>
      <w:r w:rsidR="00CF3596" w:rsidRPr="00BD222A">
        <w:t>focus</w:t>
      </w:r>
      <w:proofErr w:type="gramEnd"/>
      <w:r w:rsidR="00CF3596" w:rsidRPr="00BD222A">
        <w:t xml:space="preserve"> </w:t>
      </w:r>
      <w:r w:rsidR="00251041" w:rsidRPr="00BD222A">
        <w:t xml:space="preserve">the FRC has placed </w:t>
      </w:r>
      <w:r w:rsidR="00CF3596" w:rsidRPr="00BD222A">
        <w:t>on</w:t>
      </w:r>
      <w:r w:rsidR="00251041" w:rsidRPr="00BD222A">
        <w:t xml:space="preserve"> increasing Local Commissioners’ awareness of domestic and family violence behaviours and confidence in conferencing on these issues</w:t>
      </w:r>
      <w:r w:rsidR="000E11E3" w:rsidRPr="00BD222A">
        <w:t xml:space="preserve"> has helped to address domestic and family violence and support families in FRC communities.</w:t>
      </w:r>
    </w:p>
    <w:p w14:paraId="439F7E27" w14:textId="77777777" w:rsidR="000E11E3" w:rsidRPr="00BD222A" w:rsidRDefault="000E11E3" w:rsidP="00BD222A">
      <w:pPr>
        <w:ind w:left="-142" w:right="-425"/>
        <w:jc w:val="both"/>
      </w:pPr>
    </w:p>
    <w:p w14:paraId="1ACA44F0" w14:textId="3A916E97" w:rsidR="004E3445" w:rsidRPr="00BD222A" w:rsidRDefault="000E11E3" w:rsidP="00BD222A">
      <w:pPr>
        <w:ind w:left="-142" w:right="-425"/>
        <w:jc w:val="both"/>
      </w:pPr>
      <w:r w:rsidRPr="00BD222A">
        <w:t xml:space="preserve">The FRC has also been working to strengthen </w:t>
      </w:r>
      <w:r w:rsidR="006A2B30" w:rsidRPr="00BD222A">
        <w:t xml:space="preserve">partnerships with, and referral pathways to training and employment providers. </w:t>
      </w:r>
      <w:r w:rsidR="00A11CCC">
        <w:t>As reported in the quarter 54 report, a</w:t>
      </w:r>
      <w:r w:rsidR="00BD222A">
        <w:t xml:space="preserve">n MoU was </w:t>
      </w:r>
      <w:r w:rsidR="006A2B30" w:rsidRPr="00BD222A">
        <w:t>entered into with Cape York</w:t>
      </w:r>
      <w:r w:rsidR="0080120E" w:rsidRPr="00BD222A">
        <w:t xml:space="preserve"> Employment which services Aurukun and Coen in December 2021, and M</w:t>
      </w:r>
      <w:r w:rsidR="00E93983">
        <w:t>o</w:t>
      </w:r>
      <w:r w:rsidR="0080120E" w:rsidRPr="00BD222A">
        <w:t xml:space="preserve">U discussions are continuing with </w:t>
      </w:r>
      <w:proofErr w:type="spellStart"/>
      <w:r w:rsidR="0080120E" w:rsidRPr="00BD222A">
        <w:t>MyPathway</w:t>
      </w:r>
      <w:proofErr w:type="spellEnd"/>
      <w:r w:rsidR="0080120E" w:rsidRPr="00BD222A">
        <w:t xml:space="preserve"> who </w:t>
      </w:r>
      <w:proofErr w:type="gramStart"/>
      <w:r w:rsidR="0080120E" w:rsidRPr="00BD222A">
        <w:t xml:space="preserve">are the </w:t>
      </w:r>
      <w:r w:rsidR="00E93983">
        <w:t xml:space="preserve">training and employment </w:t>
      </w:r>
      <w:r w:rsidR="0080120E" w:rsidRPr="00BD222A">
        <w:t>provider in Hope Vale and Doomadgee</w:t>
      </w:r>
      <w:proofErr w:type="gramEnd"/>
      <w:r w:rsidR="0080120E" w:rsidRPr="00BD222A">
        <w:t>. It is hoped that the continued tracking of training and employment referrals will inform Local Commissioner decision-making in this regard, and further contribute to community members taking up employment and training opportunities.</w:t>
      </w:r>
    </w:p>
    <w:p w14:paraId="31E82824" w14:textId="703CB2F1" w:rsidR="00D2029D" w:rsidRPr="00AC67D2" w:rsidRDefault="00D2029D" w:rsidP="00AC67D2">
      <w:pPr>
        <w:ind w:left="-142" w:right="-425"/>
        <w:jc w:val="both"/>
      </w:pPr>
    </w:p>
    <w:bookmarkEnd w:id="28"/>
    <w:p w14:paraId="334590AF" w14:textId="1A328A73" w:rsidR="00F04DB4" w:rsidRDefault="00F04DB4">
      <w:pPr>
        <w:spacing w:line="240" w:lineRule="auto"/>
        <w:rPr>
          <w:rFonts w:cs="Arial"/>
          <w:b/>
        </w:rPr>
      </w:pPr>
      <w:r>
        <w:rPr>
          <w:rFonts w:cs="Arial"/>
          <w:b/>
        </w:rPr>
        <w:br w:type="page"/>
      </w:r>
    </w:p>
    <w:p w14:paraId="59FA8724" w14:textId="55F36592" w:rsidR="005A5B78" w:rsidRPr="00E34093" w:rsidRDefault="005A5B78" w:rsidP="005A5B78">
      <w:pPr>
        <w:pStyle w:val="Heading1"/>
        <w:ind w:left="-142" w:right="-426"/>
      </w:pPr>
      <w:bookmarkStart w:id="29" w:name="RANGE!A4:I20"/>
      <w:bookmarkStart w:id="30" w:name="_Toc39657993"/>
      <w:bookmarkEnd w:id="29"/>
      <w:r w:rsidRPr="00E34093">
        <w:lastRenderedPageBreak/>
        <w:t xml:space="preserve">3.  </w:t>
      </w:r>
      <w:r w:rsidR="000541CA">
        <w:t>Governance</w:t>
      </w:r>
      <w:bookmarkEnd w:id="3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AE5461">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109B5A2C" w:rsidR="00281E73" w:rsidRPr="00A42E2F" w:rsidRDefault="00281E73" w:rsidP="00FC008A">
      <w:pPr>
        <w:pStyle w:val="ListBullet"/>
        <w:ind w:left="2863" w:hanging="3005"/>
      </w:pPr>
      <w:r w:rsidRPr="00A42E2F">
        <w:t xml:space="preserve">Mr </w:t>
      </w:r>
      <w:r w:rsidR="00466B4F" w:rsidRPr="00A42E2F">
        <w:t>Ray Griggs AO, CSC</w:t>
      </w:r>
      <w:r w:rsidR="00A42E2F" w:rsidRPr="00A42E2F">
        <w:tab/>
      </w:r>
      <w:r w:rsidR="00A42E2F" w:rsidRPr="00A42E2F">
        <w:tab/>
      </w:r>
      <w:r w:rsidR="00A42E2F" w:rsidRPr="00A42E2F">
        <w:tab/>
      </w:r>
      <w:r w:rsidR="00404FC4" w:rsidRPr="00A42E2F">
        <w:t>Secretary of the Department of Social Services</w:t>
      </w:r>
    </w:p>
    <w:p w14:paraId="57D8A012" w14:textId="6E5E7BC4" w:rsidR="00A42E2F" w:rsidRDefault="0057512A" w:rsidP="00A42E2F">
      <w:pPr>
        <w:pStyle w:val="ListBullet"/>
        <w:ind w:left="2835" w:hanging="3005"/>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A42E2F">
      <w:pPr>
        <w:pStyle w:val="ListBullet"/>
        <w:numPr>
          <w:ilvl w:val="0"/>
          <w:numId w:val="0"/>
        </w:numPr>
        <w:ind w:left="3600"/>
      </w:pPr>
      <w:r>
        <w:t xml:space="preserve">Cape York </w:t>
      </w:r>
      <w:r w:rsidR="00751CB6">
        <w:t>Institute</w:t>
      </w:r>
      <w:r w:rsidR="0057512A">
        <w:t>.</w:t>
      </w:r>
    </w:p>
    <w:p w14:paraId="667BEFF1" w14:textId="77777777" w:rsidR="00320827" w:rsidRDefault="00320827" w:rsidP="00AE5461">
      <w:pPr>
        <w:pStyle w:val="Heading2"/>
      </w:pPr>
    </w:p>
    <w:p w14:paraId="660BA16D" w14:textId="4D44E116" w:rsidR="00320827" w:rsidRPr="00E34093" w:rsidRDefault="00320827" w:rsidP="00AE5461">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1" w:name="_Toc39657994"/>
      <w:r>
        <w:lastRenderedPageBreak/>
        <w:t>4</w:t>
      </w:r>
      <w:r w:rsidRPr="00E34093">
        <w:t>.  Financial Operations</w:t>
      </w:r>
      <w:bookmarkEnd w:id="31"/>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AE5461">
      <w:pPr>
        <w:pStyle w:val="Heading3"/>
      </w:pPr>
      <w:r w:rsidRPr="00BF1639">
        <w:t>Income:</w:t>
      </w:r>
    </w:p>
    <w:p w14:paraId="6D17618C" w14:textId="027B76DA"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F83C14">
        <w:t xml:space="preserve">1 </w:t>
      </w:r>
      <w:r w:rsidR="00415BC8">
        <w:t>January 2022</w:t>
      </w:r>
      <w:r w:rsidRPr="008E6DBA">
        <w:t xml:space="preserve"> to </w:t>
      </w:r>
      <w:r w:rsidR="00F83C14">
        <w:t>3</w:t>
      </w:r>
      <w:r w:rsidR="001103CF">
        <w:t xml:space="preserve">1 </w:t>
      </w:r>
      <w:r w:rsidR="001A5C4C">
        <w:t>March 2022</w:t>
      </w:r>
      <w:r w:rsidRPr="008E6DBA">
        <w:t xml:space="preserve"> totalled $</w:t>
      </w:r>
      <w:r w:rsidR="00D83D2C" w:rsidRPr="00AA1E7E">
        <w:t>1,</w:t>
      </w:r>
      <w:r w:rsidR="00AA1E7E">
        <w:t>059</w:t>
      </w:r>
      <w:r w:rsidR="00D83D2C" w:rsidRPr="00AA1E7E">
        <w:t>,</w:t>
      </w:r>
      <w:r w:rsidR="00AA1E7E">
        <w:t>373</w:t>
      </w:r>
      <w:r w:rsidR="00A504A2" w:rsidRPr="009D3335">
        <w:t>.</w:t>
      </w:r>
      <w:r w:rsidR="00CE6E33" w:rsidRPr="008E6DBA">
        <w:t xml:space="preserve"> </w:t>
      </w:r>
      <w:r w:rsidRPr="008E6DBA">
        <w:t>This income consisted of:</w:t>
      </w:r>
    </w:p>
    <w:p w14:paraId="350616B8" w14:textId="77C86DA8" w:rsidR="009F0A67" w:rsidRPr="00D83D2C" w:rsidRDefault="009F0A67" w:rsidP="009F0A67">
      <w:pPr>
        <w:pStyle w:val="ListBullet2"/>
      </w:pPr>
      <w:r w:rsidRPr="00D83D2C">
        <w:t>$</w:t>
      </w:r>
      <w:r w:rsidR="001C1C0C" w:rsidRPr="00AA1E7E">
        <w:t>604,500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0AC610FE" w:rsidR="009F0A67" w:rsidRDefault="009F0A67" w:rsidP="009F0A67">
      <w:pPr>
        <w:pStyle w:val="ListBullet2"/>
      </w:pPr>
      <w:r w:rsidRPr="00850051">
        <w:t>$</w:t>
      </w:r>
      <w:r w:rsidR="007754BD">
        <w:t>4,853</w:t>
      </w:r>
      <w:r w:rsidR="009F3C63">
        <w:t xml:space="preserve"> </w:t>
      </w:r>
      <w:r w:rsidRPr="00850051">
        <w:t>interest received</w:t>
      </w:r>
    </w:p>
    <w:p w14:paraId="1FD7CA72" w14:textId="15C9FF93" w:rsidR="009F3C63" w:rsidRPr="00850051" w:rsidRDefault="009F3C63" w:rsidP="009F0A67">
      <w:pPr>
        <w:pStyle w:val="ListBullet2"/>
      </w:pPr>
      <w:r>
        <w:t>$</w:t>
      </w:r>
      <w:r w:rsidR="007754BD">
        <w:t>20</w:t>
      </w:r>
      <w:r>
        <w:t xml:space="preserve"> sundry income</w:t>
      </w:r>
    </w:p>
    <w:p w14:paraId="63A91431" w14:textId="5B73ECD6" w:rsidR="009F0A67" w:rsidRDefault="009F0A67" w:rsidP="009F0A67">
      <w:pPr>
        <w:ind w:left="-142" w:right="-425"/>
        <w:jc w:val="both"/>
        <w:rPr>
          <w:rFonts w:cs="Arial"/>
        </w:rPr>
      </w:pPr>
      <w:r w:rsidRPr="0073709D">
        <w:rPr>
          <w:rFonts w:cs="Arial"/>
        </w:rPr>
        <w:t xml:space="preserve">The balance of available funds in the bank as at </w:t>
      </w:r>
      <w:r w:rsidR="00F83C14">
        <w:rPr>
          <w:rFonts w:cs="Arial"/>
        </w:rPr>
        <w:t>3</w:t>
      </w:r>
      <w:r w:rsidR="001103CF">
        <w:rPr>
          <w:rFonts w:cs="Arial"/>
        </w:rPr>
        <w:t xml:space="preserve">1 </w:t>
      </w:r>
      <w:r w:rsidR="001A5C4C">
        <w:rPr>
          <w:rFonts w:cs="Arial"/>
        </w:rPr>
        <w:t>March 2022</w:t>
      </w:r>
      <w:r w:rsidRPr="0073709D">
        <w:rPr>
          <w:rFonts w:cs="Arial"/>
        </w:rPr>
        <w:t xml:space="preserve"> </w:t>
      </w:r>
      <w:r w:rsidRPr="008E6DBA">
        <w:rPr>
          <w:rFonts w:cs="Arial"/>
        </w:rPr>
        <w:t>is $</w:t>
      </w:r>
      <w:r w:rsidR="007754BD">
        <w:rPr>
          <w:rFonts w:cs="Arial"/>
        </w:rPr>
        <w:t>4,921,306</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AE5461">
      <w:pPr>
        <w:pStyle w:val="Heading3"/>
      </w:pPr>
      <w:r w:rsidRPr="00BF1639">
        <w:t>Expenditure:</w:t>
      </w:r>
    </w:p>
    <w:p w14:paraId="1DC8DF62" w14:textId="7F4D71B7" w:rsidR="00C74BF5" w:rsidRPr="001720D5" w:rsidRDefault="00C74BF5" w:rsidP="00C74BF5">
      <w:pPr>
        <w:pStyle w:val="ListBullet"/>
        <w:ind w:left="2863" w:hanging="3005"/>
      </w:pPr>
      <w:r w:rsidRPr="00BD380A">
        <w:t xml:space="preserve">Expenditure for the period </w:t>
      </w:r>
      <w:r w:rsidR="00F83C14">
        <w:t xml:space="preserve">1 </w:t>
      </w:r>
      <w:r w:rsidR="00415BC8">
        <w:t>January 2022</w:t>
      </w:r>
      <w:r w:rsidRPr="00BD380A">
        <w:t xml:space="preserve"> to </w:t>
      </w:r>
      <w:r w:rsidR="00F83C14">
        <w:t>3</w:t>
      </w:r>
      <w:r w:rsidR="001103CF">
        <w:t xml:space="preserve">1 </w:t>
      </w:r>
      <w:r w:rsidR="001A5C4C">
        <w:t>March 2022</w:t>
      </w:r>
      <w:r w:rsidRPr="00BD380A">
        <w:t xml:space="preserve"> was </w:t>
      </w:r>
      <w:r w:rsidRPr="002B45D3">
        <w:t>$</w:t>
      </w:r>
      <w:r w:rsidR="00D027FD" w:rsidRPr="00C20DF5">
        <w:t>9</w:t>
      </w:r>
      <w:r w:rsidR="00C20DF5" w:rsidRPr="00C20DF5">
        <w:t>25</w:t>
      </w:r>
      <w:r w:rsidR="00D027FD" w:rsidRPr="00C20DF5">
        <w:t>,</w:t>
      </w:r>
      <w:r w:rsidR="00C20DF5">
        <w:t>935</w:t>
      </w:r>
      <w:r>
        <w:t>.</w:t>
      </w:r>
    </w:p>
    <w:p w14:paraId="4555CA86" w14:textId="07475910" w:rsidR="00D840DE" w:rsidRDefault="00D840DE" w:rsidP="009F0A67">
      <w:pPr>
        <w:ind w:left="-142" w:right="-425"/>
        <w:jc w:val="both"/>
        <w:rPr>
          <w:rFonts w:cs="Arial"/>
        </w:rPr>
      </w:pPr>
    </w:p>
    <w:p w14:paraId="40442581" w14:textId="40D6655E" w:rsidR="00EB0526" w:rsidRDefault="00EB0526" w:rsidP="009D766A">
      <w:pPr>
        <w:ind w:left="-142" w:right="-425"/>
        <w:jc w:val="both"/>
        <w:rPr>
          <w:rFonts w:cs="Arial"/>
          <w:sz w:val="16"/>
          <w:szCs w:val="16"/>
        </w:rPr>
      </w:pPr>
      <w:r w:rsidRPr="009D766A">
        <w:rPr>
          <w:rFonts w:cs="Arial"/>
          <w:b/>
          <w:sz w:val="16"/>
          <w:szCs w:val="16"/>
        </w:rPr>
        <w:t xml:space="preserve">Table </w:t>
      </w:r>
      <w:r w:rsidR="00482B70">
        <w:rPr>
          <w:rFonts w:cs="Arial"/>
          <w:b/>
          <w:sz w:val="16"/>
          <w:szCs w:val="16"/>
        </w:rPr>
        <w:t>29</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0C0A83">
        <w:rPr>
          <w:rFonts w:cs="Arial"/>
          <w:sz w:val="16"/>
          <w:szCs w:val="16"/>
        </w:rPr>
        <w:t>5</w:t>
      </w:r>
      <w:r w:rsidR="00A16D1B">
        <w:rPr>
          <w:rFonts w:cs="Arial"/>
          <w:sz w:val="16"/>
          <w:szCs w:val="16"/>
        </w:rPr>
        <w:t>5</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3016CF46" w:rsidR="009F0A67" w:rsidRPr="00872CBA" w:rsidRDefault="00F83C14" w:rsidP="009F55E0">
            <w:pPr>
              <w:pStyle w:val="StyleTableTextBoldCentered"/>
              <w:rPr>
                <w:lang w:eastAsia="en-AU"/>
              </w:rPr>
            </w:pPr>
            <w:r>
              <w:rPr>
                <w:lang w:eastAsia="en-AU"/>
              </w:rPr>
              <w:t xml:space="preserve">1 </w:t>
            </w:r>
            <w:r w:rsidR="00415BC8">
              <w:rPr>
                <w:lang w:eastAsia="en-AU"/>
              </w:rPr>
              <w:t>January 2022</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74AA7540" w:rsidR="009F0A67" w:rsidRPr="00872CBA" w:rsidRDefault="00F83C14" w:rsidP="009F55E0">
            <w:pPr>
              <w:pStyle w:val="StyleTableTextBoldCentered"/>
              <w:rPr>
                <w:lang w:eastAsia="en-AU"/>
              </w:rPr>
            </w:pPr>
            <w:r>
              <w:rPr>
                <w:lang w:eastAsia="en-AU"/>
              </w:rPr>
              <w:t xml:space="preserve">1 </w:t>
            </w:r>
            <w:r w:rsidR="00415BC8">
              <w:rPr>
                <w:lang w:eastAsia="en-AU"/>
              </w:rPr>
              <w:t>January 2022</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723D35FD" w:rsidR="009F0A67" w:rsidRPr="00872CBA" w:rsidRDefault="00F83C14" w:rsidP="009F55E0">
            <w:pPr>
              <w:pStyle w:val="StyleTableTextBoldCentered"/>
              <w:rPr>
                <w:lang w:eastAsia="en-AU"/>
              </w:rPr>
            </w:pPr>
            <w:r>
              <w:rPr>
                <w:lang w:eastAsia="en-AU"/>
              </w:rPr>
              <w:t>3</w:t>
            </w:r>
            <w:r w:rsidR="000C0A83">
              <w:rPr>
                <w:lang w:eastAsia="en-AU"/>
              </w:rPr>
              <w:t xml:space="preserve">1 </w:t>
            </w:r>
            <w:r w:rsidR="001A5C4C">
              <w:rPr>
                <w:lang w:eastAsia="en-AU"/>
              </w:rPr>
              <w:t>March 2022</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08E47CE1" w:rsidR="009F0A67" w:rsidRPr="00872CBA" w:rsidRDefault="009F0A67" w:rsidP="004F7197">
            <w:pPr>
              <w:pStyle w:val="StyleTableTextBoldCentered"/>
              <w:rPr>
                <w:lang w:eastAsia="en-AU"/>
              </w:rPr>
            </w:pPr>
            <w:r w:rsidRPr="00872CBA">
              <w:rPr>
                <w:lang w:eastAsia="en-AU"/>
              </w:rPr>
              <w:t xml:space="preserve">Qtr </w:t>
            </w:r>
            <w:r w:rsidR="000C0A83">
              <w:rPr>
                <w:lang w:eastAsia="en-AU"/>
              </w:rPr>
              <w:t>5</w:t>
            </w:r>
            <w:r w:rsidR="00A16D1B">
              <w:rPr>
                <w:lang w:eastAsia="en-AU"/>
              </w:rPr>
              <w:t>5</w:t>
            </w:r>
          </w:p>
        </w:tc>
        <w:tc>
          <w:tcPr>
            <w:tcW w:w="2552" w:type="dxa"/>
            <w:tcBorders>
              <w:top w:val="nil"/>
              <w:left w:val="nil"/>
              <w:bottom w:val="nil"/>
              <w:right w:val="single" w:sz="4" w:space="0" w:color="FFFFFF"/>
            </w:tcBorders>
            <w:shd w:val="clear" w:color="auto" w:fill="000000"/>
            <w:noWrap/>
            <w:vAlign w:val="bottom"/>
          </w:tcPr>
          <w:p w14:paraId="7FB7D45D" w14:textId="0830A045" w:rsidR="009F0A67" w:rsidRPr="00872CBA" w:rsidRDefault="00F83C14" w:rsidP="009F55E0">
            <w:pPr>
              <w:pStyle w:val="StyleTableTextBoldCentered"/>
              <w:rPr>
                <w:lang w:eastAsia="en-AU"/>
              </w:rPr>
            </w:pPr>
            <w:r>
              <w:rPr>
                <w:lang w:eastAsia="en-AU"/>
              </w:rPr>
              <w:t>3</w:t>
            </w:r>
            <w:r w:rsidR="000C0A83">
              <w:rPr>
                <w:lang w:eastAsia="en-AU"/>
              </w:rPr>
              <w:t xml:space="preserve">1 </w:t>
            </w:r>
            <w:r w:rsidR="001A5C4C">
              <w:rPr>
                <w:lang w:eastAsia="en-AU"/>
              </w:rPr>
              <w:t>March 2022</w:t>
            </w:r>
          </w:p>
        </w:tc>
        <w:tc>
          <w:tcPr>
            <w:tcW w:w="1701" w:type="dxa"/>
            <w:tcBorders>
              <w:top w:val="nil"/>
              <w:left w:val="nil"/>
              <w:bottom w:val="nil"/>
              <w:right w:val="nil"/>
            </w:tcBorders>
            <w:shd w:val="clear" w:color="auto" w:fill="000000"/>
            <w:noWrap/>
            <w:vAlign w:val="bottom"/>
          </w:tcPr>
          <w:p w14:paraId="4A5AEAEC" w14:textId="40976ED3" w:rsidR="009F0A67" w:rsidRPr="00872CBA" w:rsidRDefault="009F0A67" w:rsidP="004F7197">
            <w:pPr>
              <w:pStyle w:val="StyleTableTextBoldCentered"/>
              <w:rPr>
                <w:lang w:eastAsia="en-AU"/>
              </w:rPr>
            </w:pPr>
            <w:r w:rsidRPr="00872CBA">
              <w:rPr>
                <w:lang w:eastAsia="en-AU"/>
              </w:rPr>
              <w:t xml:space="preserve">Qtr </w:t>
            </w:r>
            <w:r w:rsidR="000C0A83">
              <w:rPr>
                <w:lang w:eastAsia="en-AU"/>
              </w:rPr>
              <w:t>5</w:t>
            </w:r>
            <w:r w:rsidR="00A16D1B">
              <w:rPr>
                <w:lang w:eastAsia="en-AU"/>
              </w:rPr>
              <w:t>5</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1B1CB7F8" w:rsidR="009F0A67" w:rsidRPr="00D027FD" w:rsidRDefault="00C20DF5" w:rsidP="002E59A0">
            <w:pPr>
              <w:jc w:val="right"/>
            </w:pPr>
            <w:r>
              <w:t>$541,120</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1E346FA1" w:rsidR="009F0A67" w:rsidRPr="00D027FD" w:rsidRDefault="007754BD" w:rsidP="002E59A0">
            <w:pPr>
              <w:jc w:val="right"/>
            </w:pPr>
            <w:r>
              <w:t>$</w:t>
            </w:r>
            <w:r w:rsidR="00C20DF5">
              <w:t>62,341</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37CA660F" w:rsidR="009F0A67" w:rsidRPr="00D027FD" w:rsidRDefault="00C20DF5" w:rsidP="002E59A0">
            <w:pPr>
              <w:jc w:val="right"/>
            </w:pPr>
            <w:r>
              <w:t>$40,175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265B617E" w:rsidR="009F0A67" w:rsidRPr="00D027FD" w:rsidRDefault="007754BD" w:rsidP="002E59A0">
            <w:pPr>
              <w:jc w:val="right"/>
            </w:pPr>
            <w:r>
              <w:t>$12,836</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6ABA136E" w:rsidR="009F0A67" w:rsidRPr="00D027FD" w:rsidRDefault="00C20DF5" w:rsidP="002E59A0">
            <w:pPr>
              <w:jc w:val="right"/>
            </w:pPr>
            <w:r>
              <w:t>$94,638</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0DE6FCA7" w:rsidR="009F0A67" w:rsidRPr="00D027FD" w:rsidRDefault="007754BD" w:rsidP="002E59A0">
            <w:pPr>
              <w:jc w:val="right"/>
            </w:pPr>
            <w:r>
              <w:t>$58,316</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7F8855D3" w:rsidR="009F0A67" w:rsidRPr="00D027FD" w:rsidRDefault="00C20DF5" w:rsidP="002E59A0">
            <w:pPr>
              <w:jc w:val="right"/>
            </w:pPr>
            <w:r>
              <w:t>$5,957</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70F00699" w:rsidR="009F0A67" w:rsidRPr="00D027FD" w:rsidRDefault="007754BD" w:rsidP="002E59A0">
            <w:pPr>
              <w:jc w:val="right"/>
            </w:pPr>
            <w:r>
              <w:t>$38,752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2C516AF4" w:rsidR="009F0A67" w:rsidRPr="00D027FD" w:rsidRDefault="00C20DF5" w:rsidP="002E59A0">
            <w:pPr>
              <w:jc w:val="right"/>
            </w:pPr>
            <w:r>
              <w:t>$3,172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4EC4D8EA" w:rsidR="009F0A67" w:rsidRPr="00D027FD" w:rsidRDefault="007754BD" w:rsidP="002E59A0">
            <w:pPr>
              <w:jc w:val="right"/>
            </w:pPr>
            <w:r>
              <w:t>$53,157</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4A80CA50" w:rsidR="007966F3" w:rsidRPr="00D027FD" w:rsidRDefault="00C20DF5" w:rsidP="002E59A0">
            <w:pPr>
              <w:jc w:val="right"/>
            </w:pPr>
            <w:r>
              <w:t>$3,580</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244AD1CE" w:rsidR="007966F3" w:rsidRPr="00D027FD" w:rsidRDefault="007754BD" w:rsidP="002E59A0">
            <w:pPr>
              <w:jc w:val="right"/>
            </w:pPr>
            <w:r>
              <w:t>$11,891</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35DBF140" w:rsidR="009F0A67" w:rsidRPr="00D027FD" w:rsidRDefault="007754BD" w:rsidP="002E59A0">
            <w:pPr>
              <w:jc w:val="right"/>
              <w:rPr>
                <w:b/>
                <w:highlight w:val="cyan"/>
              </w:rPr>
            </w:pPr>
            <w:r w:rsidRPr="00F26E67">
              <w:rPr>
                <w:b/>
              </w:rPr>
              <w:t>$925,935</w:t>
            </w:r>
          </w:p>
        </w:tc>
      </w:tr>
    </w:tbl>
    <w:p w14:paraId="226C022A" w14:textId="70193197" w:rsidR="000541CA" w:rsidRDefault="000541CA" w:rsidP="00591CF3">
      <w:pPr>
        <w:ind w:left="-142" w:right="-425"/>
        <w:jc w:val="both"/>
        <w:rPr>
          <w:rFonts w:cs="Arial"/>
        </w:rPr>
      </w:pPr>
    </w:p>
    <w:p w14:paraId="6E0F7E60" w14:textId="77777777" w:rsidR="00591CF3" w:rsidRDefault="00591CF3" w:rsidP="00591CF3">
      <w:pPr>
        <w:ind w:left="-142" w:right="-425"/>
        <w:jc w:val="both"/>
        <w:rPr>
          <w:rFonts w:cs="Arial"/>
        </w:rPr>
      </w:pPr>
    </w:p>
    <w:p w14:paraId="18775980" w14:textId="249BD0CA" w:rsidR="00D770E9" w:rsidRDefault="00C14FC9" w:rsidP="00D770E9">
      <w:pPr>
        <w:ind w:left="-142" w:right="-425"/>
        <w:jc w:val="both"/>
        <w:rPr>
          <w:rFonts w:cs="Arial"/>
        </w:rPr>
      </w:pPr>
      <w:r w:rsidRPr="0020608D">
        <w:rPr>
          <w:rFonts w:cs="Arial"/>
        </w:rPr>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5F3694C5"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w:t>
      </w:r>
      <w:r w:rsidR="00886949">
        <w:rPr>
          <w:rFonts w:ascii="Verdana" w:hAnsi="Verdana" w:cs="Arial"/>
          <w:sz w:val="20"/>
          <w:szCs w:val="20"/>
        </w:rPr>
        <w:t xml:space="preserve"> and hearings</w:t>
      </w:r>
      <w:r w:rsidRPr="00D770E9">
        <w:rPr>
          <w:rFonts w:ascii="Verdana" w:hAnsi="Verdana" w:cs="Arial"/>
          <w:sz w:val="20"/>
          <w:szCs w:val="20"/>
        </w:rPr>
        <w:t>, prepare and monitor case plans for clients for attendance at community support services and prepare and monitor income management orders.</w:t>
      </w:r>
    </w:p>
    <w:p w14:paraId="36682ECF" w14:textId="2DE23482"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 xml:space="preserve">Conference </w:t>
      </w:r>
      <w:r w:rsidR="00290202">
        <w:rPr>
          <w:rFonts w:ascii="Verdana" w:hAnsi="Verdana" w:cs="Arial"/>
          <w:b/>
          <w:sz w:val="20"/>
          <w:szCs w:val="20"/>
        </w:rPr>
        <w:t xml:space="preserve">and Hearing </w:t>
      </w:r>
      <w:r w:rsidRPr="00D770E9">
        <w:rPr>
          <w:rFonts w:ascii="Verdana" w:hAnsi="Verdana" w:cs="Arial"/>
          <w:b/>
          <w:sz w:val="20"/>
          <w:szCs w:val="20"/>
        </w:rPr>
        <w:t>Facilitation:</w:t>
      </w:r>
      <w:r w:rsidRPr="00D770E9">
        <w:rPr>
          <w:rFonts w:ascii="Verdana" w:hAnsi="Verdana" w:cs="Arial"/>
          <w:sz w:val="20"/>
          <w:szCs w:val="20"/>
        </w:rPr>
        <w:t xml:space="preserve"> including to facilitate the holding of conferences</w:t>
      </w:r>
      <w:r w:rsidR="00290202">
        <w:rPr>
          <w:rFonts w:ascii="Verdana" w:hAnsi="Verdana" w:cs="Arial"/>
          <w:sz w:val="20"/>
          <w:szCs w:val="20"/>
        </w:rPr>
        <w:t xml:space="preserve"> and hearings</w:t>
      </w:r>
      <w:r w:rsidRPr="00D770E9">
        <w:rPr>
          <w:rFonts w:ascii="Verdana" w:hAnsi="Verdana" w:cs="Arial"/>
          <w:sz w:val="20"/>
          <w:szCs w:val="20"/>
        </w:rPr>
        <w:t xml:space="preserve">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w:t>
      </w:r>
      <w:r w:rsidR="00886949">
        <w:rPr>
          <w:rFonts w:ascii="Verdana" w:hAnsi="Verdana" w:cs="Arial"/>
          <w:sz w:val="20"/>
          <w:szCs w:val="20"/>
        </w:rPr>
        <w:t xml:space="preserve"> and hearings</w:t>
      </w:r>
      <w:r w:rsidRPr="00D770E9">
        <w:rPr>
          <w:rFonts w:ascii="Verdana" w:hAnsi="Verdana" w:cs="Arial"/>
          <w:sz w:val="20"/>
          <w:szCs w:val="20"/>
        </w:rPr>
        <w:t xml:space="preserve">, assist with the on-going monitoring of case plans for clients through the provision of data and other information and process income management orders </w:t>
      </w:r>
      <w:proofErr w:type="gramStart"/>
      <w:r w:rsidRPr="00D770E9">
        <w:rPr>
          <w:rFonts w:ascii="Verdana" w:hAnsi="Verdana" w:cs="Arial"/>
          <w:sz w:val="20"/>
          <w:szCs w:val="20"/>
        </w:rPr>
        <w:t>where</w:t>
      </w:r>
      <w:proofErr w:type="gramEnd"/>
      <w:r w:rsidRPr="00D770E9">
        <w:rPr>
          <w:rFonts w:ascii="Verdana" w:hAnsi="Verdana" w:cs="Arial"/>
          <w:sz w:val="20"/>
          <w:szCs w:val="20"/>
        </w:rPr>
        <w:t xml:space="preserve"> considered necessary.</w:t>
      </w:r>
    </w:p>
    <w:p w14:paraId="1B920C07" w14:textId="77777777" w:rsidR="00D770E9" w:rsidRDefault="00D770E9" w:rsidP="0020608D">
      <w:pPr>
        <w:ind w:left="-142" w:right="-425"/>
        <w:jc w:val="both"/>
        <w:rPr>
          <w:rFonts w:cs="Arial"/>
        </w:rPr>
      </w:pPr>
    </w:p>
    <w:p w14:paraId="55D8945D" w14:textId="6A909E3F"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and twenty-</w:t>
      </w:r>
      <w:r w:rsidR="0036369C" w:rsidRPr="00E536C1">
        <w:rPr>
          <w:rFonts w:cs="Arial"/>
        </w:rPr>
        <w:t>six</w:t>
      </w:r>
      <w:r w:rsidR="0036369C" w:rsidRPr="0020608D">
        <w:rPr>
          <w:rFonts w:cs="Arial"/>
        </w:rPr>
        <w:t xml:space="preserve">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228BB044" w14:textId="77777777" w:rsidR="00591CF3" w:rsidRDefault="00591CF3" w:rsidP="0020608D">
      <w:pPr>
        <w:ind w:left="-142" w:right="-425"/>
        <w:jc w:val="both"/>
        <w:rPr>
          <w:rFonts w:cs="Arial"/>
        </w:rPr>
      </w:pPr>
    </w:p>
    <w:p w14:paraId="1988F4D6" w14:textId="5BD069F7" w:rsidR="00C14FC9" w:rsidRDefault="00B156C7" w:rsidP="0020608D">
      <w:pPr>
        <w:ind w:left="-142" w:right="-425"/>
        <w:jc w:val="both"/>
        <w:rPr>
          <w:rFonts w:cs="Arial"/>
        </w:rPr>
      </w:pPr>
      <w:r>
        <w:rPr>
          <w:rFonts w:cs="Arial"/>
        </w:rPr>
        <w:lastRenderedPageBreak/>
        <w:t xml:space="preserve">As can be observed in </w:t>
      </w:r>
      <w:r w:rsidR="00293FA5">
        <w:rPr>
          <w:rFonts w:cs="Arial"/>
        </w:rPr>
        <w:t>Table</w:t>
      </w:r>
      <w:r>
        <w:rPr>
          <w:rFonts w:cs="Arial"/>
        </w:rPr>
        <w:t xml:space="preserve"> </w:t>
      </w:r>
      <w:r w:rsidR="00293FA5">
        <w:rPr>
          <w:rFonts w:cs="Arial"/>
        </w:rPr>
        <w:t>30</w:t>
      </w:r>
      <w:r>
        <w:rPr>
          <w:rFonts w:cs="Arial"/>
        </w:rPr>
        <w:t xml:space="preserve"> 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5E1684">
        <w:rPr>
          <w:rFonts w:cs="Arial"/>
        </w:rPr>
        <w:t>55</w:t>
      </w:r>
      <w:r>
        <w:rPr>
          <w:rFonts w:cs="Arial"/>
        </w:rPr>
        <w:t>, the largest allocation during the reporting period is in relation to conference and hearing facilitation (</w:t>
      </w:r>
      <w:r w:rsidR="00F26E67">
        <w:rPr>
          <w:rFonts w:cs="Arial"/>
        </w:rPr>
        <w:t>40</w:t>
      </w:r>
      <w:r>
        <w:rPr>
          <w:rFonts w:cs="Arial"/>
        </w:rPr>
        <w:t>.</w:t>
      </w:r>
      <w:r w:rsidR="00F26E67">
        <w:rPr>
          <w:rFonts w:cs="Arial"/>
        </w:rPr>
        <w:t>3</w:t>
      </w:r>
      <w:r>
        <w:rPr>
          <w:rFonts w:cs="Arial"/>
        </w:rPr>
        <w:t xml:space="preserve"> percent).</w:t>
      </w:r>
    </w:p>
    <w:p w14:paraId="434EF7B4" w14:textId="1FDCE87F" w:rsidR="000541CA" w:rsidRDefault="000541CA" w:rsidP="0020608D">
      <w:pPr>
        <w:ind w:left="-142" w:right="-425"/>
        <w:jc w:val="both"/>
        <w:rPr>
          <w:rFonts w:cs="Arial"/>
        </w:rPr>
      </w:pPr>
    </w:p>
    <w:p w14:paraId="4E105180" w14:textId="3832ECDF" w:rsidR="00293FA5" w:rsidRPr="00E37B61" w:rsidRDefault="00293FA5" w:rsidP="00293FA5">
      <w:pPr>
        <w:pStyle w:val="TableCaption"/>
        <w:spacing w:before="0"/>
        <w:ind w:left="0" w:right="-425"/>
        <w:rPr>
          <w:b/>
          <w:i w:val="0"/>
          <w:sz w:val="16"/>
        </w:rPr>
      </w:pPr>
      <w:r w:rsidRPr="00E37B61">
        <w:rPr>
          <w:b/>
          <w:i w:val="0"/>
          <w:sz w:val="16"/>
        </w:rPr>
        <w:t xml:space="preserve">Table </w:t>
      </w:r>
      <w:r>
        <w:rPr>
          <w:b/>
          <w:i w:val="0"/>
          <w:sz w:val="16"/>
        </w:rPr>
        <w:t>30</w:t>
      </w:r>
      <w:r w:rsidRPr="00E37B61">
        <w:rPr>
          <w:b/>
          <w:i w:val="0"/>
          <w:sz w:val="16"/>
        </w:rPr>
        <w:t xml:space="preserve">: </w:t>
      </w:r>
      <w:r>
        <w:rPr>
          <w:i w:val="0"/>
          <w:sz w:val="16"/>
        </w:rPr>
        <w:t>Allocation of expenses</w:t>
      </w:r>
      <w:r w:rsidRPr="00E37B61">
        <w:rPr>
          <w:i w:val="0"/>
          <w:sz w:val="16"/>
        </w:rPr>
        <w:t xml:space="preserve"> 1 </w:t>
      </w:r>
      <w:r>
        <w:rPr>
          <w:i w:val="0"/>
          <w:sz w:val="16"/>
        </w:rPr>
        <w:t>January</w:t>
      </w:r>
      <w:r>
        <w:rPr>
          <w:i w:val="0"/>
          <w:sz w:val="16"/>
        </w:rPr>
        <w:t xml:space="preserve"> 202</w:t>
      </w:r>
      <w:r>
        <w:rPr>
          <w:i w:val="0"/>
          <w:sz w:val="16"/>
        </w:rPr>
        <w:t>2</w:t>
      </w:r>
      <w:r>
        <w:rPr>
          <w:i w:val="0"/>
          <w:sz w:val="16"/>
        </w:rPr>
        <w:t xml:space="preserve"> to 31 </w:t>
      </w:r>
      <w:r>
        <w:rPr>
          <w:i w:val="0"/>
          <w:sz w:val="16"/>
        </w:rPr>
        <w:t>March</w:t>
      </w:r>
      <w:r>
        <w:rPr>
          <w:i w:val="0"/>
          <w:sz w:val="16"/>
        </w:rPr>
        <w:t xml:space="preserve"> </w:t>
      </w:r>
      <w:r w:rsidRPr="00E37B61">
        <w:rPr>
          <w:i w:val="0"/>
          <w:sz w:val="16"/>
        </w:rPr>
        <w:t>20</w:t>
      </w:r>
      <w:r>
        <w:rPr>
          <w:i w:val="0"/>
          <w:sz w:val="16"/>
        </w:rPr>
        <w:t>2</w:t>
      </w:r>
      <w:r>
        <w:rPr>
          <w:i w:val="0"/>
          <w:sz w:val="16"/>
        </w:rPr>
        <w:t>2</w:t>
      </w:r>
    </w:p>
    <w:tbl>
      <w:tblPr>
        <w:tblW w:w="5431" w:type="dxa"/>
        <w:tblInd w:w="93" w:type="dxa"/>
        <w:tblLook w:val="04A0" w:firstRow="1" w:lastRow="0" w:firstColumn="1" w:lastColumn="0" w:noHBand="0" w:noVBand="1"/>
      </w:tblPr>
      <w:tblGrid>
        <w:gridCol w:w="3871"/>
        <w:gridCol w:w="1560"/>
      </w:tblGrid>
      <w:tr w:rsidR="00293FA5" w:rsidRPr="00920636" w14:paraId="5C0D130F" w14:textId="77777777" w:rsidTr="006F4E59">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63137988" w14:textId="77777777" w:rsidR="00293FA5" w:rsidRPr="000F130C" w:rsidRDefault="00293FA5" w:rsidP="006F4E59">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7D2A5508" w14:textId="77777777" w:rsidR="00293FA5" w:rsidRDefault="00293FA5" w:rsidP="006F4E59">
            <w:pPr>
              <w:pStyle w:val="TableText"/>
              <w:jc w:val="right"/>
              <w:rPr>
                <w:b/>
                <w:lang w:eastAsia="en-AU"/>
              </w:rPr>
            </w:pPr>
            <w:r>
              <w:rPr>
                <w:b/>
                <w:lang w:eastAsia="en-AU"/>
              </w:rPr>
              <w:t>Percentage of Allocated Expenses</w:t>
            </w:r>
          </w:p>
        </w:tc>
      </w:tr>
      <w:tr w:rsidR="00293FA5" w:rsidRPr="00920636" w14:paraId="7D528732" w14:textId="77777777" w:rsidTr="006F4E59">
        <w:trPr>
          <w:trHeight w:val="255"/>
        </w:trPr>
        <w:tc>
          <w:tcPr>
            <w:tcW w:w="3871" w:type="dxa"/>
            <w:tcBorders>
              <w:top w:val="nil"/>
              <w:left w:val="single" w:sz="4" w:space="0" w:color="auto"/>
              <w:bottom w:val="single" w:sz="4" w:space="0" w:color="auto"/>
              <w:right w:val="single" w:sz="4" w:space="0" w:color="auto"/>
            </w:tcBorders>
            <w:noWrap/>
          </w:tcPr>
          <w:p w14:paraId="7CA109BA" w14:textId="77777777" w:rsidR="00293FA5" w:rsidRPr="00E72DFB" w:rsidRDefault="00293FA5" w:rsidP="006F4E59">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48FF1842" w14:textId="704A4000" w:rsidR="00293FA5" w:rsidRDefault="00293FA5" w:rsidP="006F4E59">
            <w:pPr>
              <w:pStyle w:val="TableText"/>
              <w:jc w:val="right"/>
              <w:rPr>
                <w:lang w:eastAsia="en-AU"/>
              </w:rPr>
            </w:pPr>
            <w:r>
              <w:rPr>
                <w:lang w:eastAsia="en-AU"/>
              </w:rPr>
              <w:t>29.</w:t>
            </w:r>
            <w:r w:rsidR="00BD16AC">
              <w:rPr>
                <w:lang w:eastAsia="en-AU"/>
              </w:rPr>
              <w:t>2</w:t>
            </w:r>
            <w:r>
              <w:rPr>
                <w:lang w:eastAsia="en-AU"/>
              </w:rPr>
              <w:t>%</w:t>
            </w:r>
          </w:p>
        </w:tc>
      </w:tr>
      <w:tr w:rsidR="00293FA5" w:rsidRPr="00920636" w14:paraId="19463F78" w14:textId="77777777" w:rsidTr="006F4E59">
        <w:trPr>
          <w:trHeight w:val="255"/>
        </w:trPr>
        <w:tc>
          <w:tcPr>
            <w:tcW w:w="3871" w:type="dxa"/>
            <w:tcBorders>
              <w:top w:val="nil"/>
              <w:left w:val="single" w:sz="4" w:space="0" w:color="auto"/>
              <w:bottom w:val="single" w:sz="4" w:space="0" w:color="auto"/>
              <w:right w:val="single" w:sz="4" w:space="0" w:color="auto"/>
            </w:tcBorders>
            <w:noWrap/>
            <w:hideMark/>
          </w:tcPr>
          <w:p w14:paraId="62198698" w14:textId="77777777" w:rsidR="00293FA5" w:rsidRPr="00E72DFB" w:rsidRDefault="00293FA5" w:rsidP="006F4E59">
            <w:pPr>
              <w:pStyle w:val="TableText"/>
              <w:ind w:left="49"/>
              <w:rPr>
                <w:lang w:eastAsia="en-AU"/>
              </w:rPr>
            </w:pPr>
            <w:r w:rsidRPr="00E72DFB">
              <w:rPr>
                <w:lang w:eastAsia="en-AU"/>
              </w:rPr>
              <w:t xml:space="preserve">Conference </w:t>
            </w:r>
            <w:r>
              <w:rPr>
                <w:lang w:eastAsia="en-AU"/>
              </w:rPr>
              <w:t xml:space="preserve">and Hearing </w:t>
            </w:r>
            <w:r w:rsidRPr="00E72DFB">
              <w:rPr>
                <w:lang w:eastAsia="en-AU"/>
              </w:rPr>
              <w:t>Facilitation</w:t>
            </w:r>
          </w:p>
        </w:tc>
        <w:tc>
          <w:tcPr>
            <w:tcW w:w="1560" w:type="dxa"/>
            <w:tcBorders>
              <w:top w:val="nil"/>
              <w:left w:val="nil"/>
              <w:bottom w:val="single" w:sz="4" w:space="0" w:color="auto"/>
              <w:right w:val="single" w:sz="4" w:space="0" w:color="auto"/>
            </w:tcBorders>
          </w:tcPr>
          <w:p w14:paraId="084D51C2" w14:textId="0909981D" w:rsidR="00293FA5" w:rsidRDefault="00BD16AC" w:rsidP="006F4E59">
            <w:pPr>
              <w:pStyle w:val="TableText"/>
              <w:jc w:val="right"/>
              <w:rPr>
                <w:lang w:eastAsia="en-AU"/>
              </w:rPr>
            </w:pPr>
            <w:r>
              <w:rPr>
                <w:lang w:eastAsia="en-AU"/>
              </w:rPr>
              <w:t>40.3</w:t>
            </w:r>
            <w:r w:rsidR="00293FA5">
              <w:rPr>
                <w:lang w:eastAsia="en-AU"/>
              </w:rPr>
              <w:t>%</w:t>
            </w:r>
          </w:p>
        </w:tc>
      </w:tr>
      <w:tr w:rsidR="00293FA5" w:rsidRPr="00920636" w14:paraId="423F2C3A" w14:textId="77777777" w:rsidTr="006F4E59">
        <w:trPr>
          <w:trHeight w:val="255"/>
        </w:trPr>
        <w:tc>
          <w:tcPr>
            <w:tcW w:w="3871" w:type="dxa"/>
            <w:tcBorders>
              <w:top w:val="nil"/>
              <w:left w:val="single" w:sz="4" w:space="0" w:color="auto"/>
              <w:bottom w:val="single" w:sz="4" w:space="0" w:color="auto"/>
              <w:right w:val="single" w:sz="4" w:space="0" w:color="auto"/>
            </w:tcBorders>
            <w:noWrap/>
            <w:hideMark/>
          </w:tcPr>
          <w:p w14:paraId="36FD96B7" w14:textId="77777777" w:rsidR="00293FA5" w:rsidRPr="00E72DFB" w:rsidRDefault="00293FA5" w:rsidP="006F4E59">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398BC632" w14:textId="285171A1" w:rsidR="00293FA5" w:rsidRDefault="00293FA5" w:rsidP="006F4E59">
            <w:pPr>
              <w:pStyle w:val="TableText"/>
              <w:jc w:val="right"/>
              <w:rPr>
                <w:lang w:eastAsia="en-AU"/>
              </w:rPr>
            </w:pPr>
            <w:r>
              <w:rPr>
                <w:lang w:eastAsia="en-AU"/>
              </w:rPr>
              <w:t>3</w:t>
            </w:r>
            <w:r w:rsidR="00BD16AC">
              <w:rPr>
                <w:lang w:eastAsia="en-AU"/>
              </w:rPr>
              <w:t>0.5</w:t>
            </w:r>
            <w:r>
              <w:rPr>
                <w:lang w:eastAsia="en-AU"/>
              </w:rPr>
              <w:t>%</w:t>
            </w:r>
          </w:p>
        </w:tc>
      </w:tr>
      <w:tr w:rsidR="00293FA5" w:rsidRPr="00920636" w14:paraId="60619BDE" w14:textId="77777777" w:rsidTr="006F4E59">
        <w:trPr>
          <w:trHeight w:val="255"/>
        </w:trPr>
        <w:tc>
          <w:tcPr>
            <w:tcW w:w="3871" w:type="dxa"/>
            <w:tcBorders>
              <w:top w:val="nil"/>
              <w:left w:val="single" w:sz="4" w:space="0" w:color="auto"/>
              <w:bottom w:val="single" w:sz="4" w:space="0" w:color="auto"/>
              <w:right w:val="single" w:sz="4" w:space="0" w:color="auto"/>
            </w:tcBorders>
            <w:noWrap/>
            <w:hideMark/>
          </w:tcPr>
          <w:p w14:paraId="0C909287" w14:textId="77777777" w:rsidR="00293FA5" w:rsidRPr="000F130C" w:rsidRDefault="00293FA5" w:rsidP="006F4E59">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2151F646" w14:textId="77777777" w:rsidR="00293FA5" w:rsidRDefault="00293FA5" w:rsidP="006F4E59">
            <w:pPr>
              <w:pStyle w:val="TableText"/>
              <w:jc w:val="right"/>
              <w:rPr>
                <w:b/>
                <w:lang w:eastAsia="en-AU"/>
              </w:rPr>
            </w:pPr>
            <w:r>
              <w:rPr>
                <w:b/>
                <w:lang w:eastAsia="en-AU"/>
              </w:rPr>
              <w:t>100.0%</w:t>
            </w:r>
          </w:p>
        </w:tc>
      </w:tr>
    </w:tbl>
    <w:p w14:paraId="1BA57595" w14:textId="77777777" w:rsidR="00293FA5" w:rsidRDefault="00293FA5" w:rsidP="00293FA5">
      <w:pPr>
        <w:ind w:left="-142" w:right="-425"/>
        <w:jc w:val="both"/>
        <w:rPr>
          <w:rFonts w:cs="Arial"/>
          <w:b/>
          <w:sz w:val="16"/>
          <w:szCs w:val="16"/>
        </w:rPr>
      </w:pPr>
    </w:p>
    <w:p w14:paraId="43471FC5" w14:textId="5EA19A26"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78A39F22" w14:textId="381CDACE" w:rsidR="002353B3" w:rsidRDefault="002353B3" w:rsidP="00994941">
      <w:pPr>
        <w:ind w:left="-142" w:right="-425"/>
        <w:jc w:val="both"/>
        <w:rPr>
          <w:rFonts w:cs="Arial"/>
        </w:rPr>
      </w:pPr>
    </w:p>
    <w:p w14:paraId="78C98254" w14:textId="18C9312A" w:rsidR="002353B3" w:rsidRPr="00E37B61" w:rsidRDefault="002353B3" w:rsidP="002353B3">
      <w:pPr>
        <w:pStyle w:val="TableCaption"/>
        <w:spacing w:before="0"/>
        <w:ind w:left="0" w:right="-425"/>
        <w:rPr>
          <w:b/>
          <w:i w:val="0"/>
          <w:sz w:val="16"/>
        </w:rPr>
      </w:pPr>
      <w:r w:rsidRPr="00E37B61">
        <w:rPr>
          <w:b/>
          <w:i w:val="0"/>
          <w:sz w:val="16"/>
        </w:rPr>
        <w:t xml:space="preserve">Table </w:t>
      </w:r>
      <w:r>
        <w:rPr>
          <w:b/>
          <w:i w:val="0"/>
          <w:sz w:val="16"/>
        </w:rPr>
        <w:t>31</w:t>
      </w:r>
      <w:r w:rsidRPr="00E37B61">
        <w:rPr>
          <w:b/>
          <w:i w:val="0"/>
          <w:sz w:val="16"/>
        </w:rPr>
        <w:t xml:space="preserve">: </w:t>
      </w:r>
      <w:r w:rsidRPr="00E37B61">
        <w:rPr>
          <w:i w:val="0"/>
          <w:sz w:val="16"/>
        </w:rPr>
        <w:t xml:space="preserve">Operating costs by remote location 1 </w:t>
      </w:r>
      <w:r>
        <w:rPr>
          <w:i w:val="0"/>
          <w:sz w:val="16"/>
        </w:rPr>
        <w:t>January</w:t>
      </w:r>
      <w:r>
        <w:rPr>
          <w:i w:val="0"/>
          <w:sz w:val="16"/>
        </w:rPr>
        <w:t xml:space="preserve"> 202</w:t>
      </w:r>
      <w:r>
        <w:rPr>
          <w:i w:val="0"/>
          <w:sz w:val="16"/>
        </w:rPr>
        <w:t>1</w:t>
      </w:r>
      <w:r>
        <w:rPr>
          <w:i w:val="0"/>
          <w:sz w:val="16"/>
        </w:rPr>
        <w:t xml:space="preserve"> to 31 </w:t>
      </w:r>
      <w:r>
        <w:rPr>
          <w:i w:val="0"/>
          <w:sz w:val="16"/>
        </w:rPr>
        <w:t>March</w:t>
      </w:r>
      <w:r>
        <w:rPr>
          <w:i w:val="0"/>
          <w:sz w:val="16"/>
        </w:rPr>
        <w:t xml:space="preserve"> </w:t>
      </w:r>
      <w:r w:rsidRPr="00E37B61">
        <w:rPr>
          <w:i w:val="0"/>
          <w:sz w:val="16"/>
        </w:rPr>
        <w:t>20</w:t>
      </w:r>
      <w:r>
        <w:rPr>
          <w:i w:val="0"/>
          <w:sz w:val="16"/>
        </w:rPr>
        <w:t>2</w:t>
      </w:r>
      <w:r>
        <w:rPr>
          <w:i w:val="0"/>
          <w:sz w:val="16"/>
        </w:rPr>
        <w:t>2</w:t>
      </w: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2353B3" w:rsidRPr="000F130C" w14:paraId="569F6EDA" w14:textId="5079DF83" w:rsidTr="002353B3">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599BD3C" w14:textId="77777777" w:rsidR="002353B3" w:rsidRPr="000F130C" w:rsidRDefault="002353B3" w:rsidP="006F4E59">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C7899A3" w14:textId="77777777" w:rsidR="002353B3" w:rsidRDefault="002353B3" w:rsidP="006F4E59">
            <w:pPr>
              <w:pStyle w:val="TableText"/>
              <w:jc w:val="right"/>
              <w:rPr>
                <w:b/>
                <w:lang w:eastAsia="en-AU"/>
              </w:rPr>
            </w:pPr>
            <w:r>
              <w:rPr>
                <w:b/>
                <w:lang w:eastAsia="en-AU"/>
              </w:rPr>
              <w:t>Qtr 51</w:t>
            </w:r>
          </w:p>
        </w:tc>
        <w:tc>
          <w:tcPr>
            <w:tcW w:w="1242" w:type="dxa"/>
            <w:tcBorders>
              <w:top w:val="single" w:sz="4" w:space="0" w:color="auto"/>
              <w:left w:val="nil"/>
              <w:bottom w:val="single" w:sz="4" w:space="0" w:color="auto"/>
              <w:right w:val="single" w:sz="4" w:space="0" w:color="auto"/>
            </w:tcBorders>
          </w:tcPr>
          <w:p w14:paraId="39AB045E" w14:textId="77777777" w:rsidR="002353B3" w:rsidRDefault="002353B3" w:rsidP="006F4E59">
            <w:pPr>
              <w:pStyle w:val="TableText"/>
              <w:jc w:val="right"/>
              <w:rPr>
                <w:b/>
                <w:lang w:eastAsia="en-AU"/>
              </w:rPr>
            </w:pPr>
            <w:r>
              <w:rPr>
                <w:b/>
                <w:lang w:eastAsia="en-AU"/>
              </w:rPr>
              <w:t>Qtr 52</w:t>
            </w:r>
          </w:p>
        </w:tc>
        <w:tc>
          <w:tcPr>
            <w:tcW w:w="1242" w:type="dxa"/>
            <w:tcBorders>
              <w:top w:val="single" w:sz="4" w:space="0" w:color="auto"/>
              <w:left w:val="nil"/>
              <w:bottom w:val="single" w:sz="4" w:space="0" w:color="auto"/>
              <w:right w:val="single" w:sz="4" w:space="0" w:color="auto"/>
            </w:tcBorders>
          </w:tcPr>
          <w:p w14:paraId="70D35141" w14:textId="77777777" w:rsidR="002353B3" w:rsidRDefault="002353B3" w:rsidP="006F4E59">
            <w:pPr>
              <w:pStyle w:val="TableText"/>
              <w:jc w:val="right"/>
              <w:rPr>
                <w:b/>
                <w:lang w:eastAsia="en-AU"/>
              </w:rPr>
            </w:pPr>
            <w:r>
              <w:rPr>
                <w:b/>
                <w:lang w:eastAsia="en-AU"/>
              </w:rPr>
              <w:t>Qtr 53</w:t>
            </w:r>
          </w:p>
        </w:tc>
        <w:tc>
          <w:tcPr>
            <w:tcW w:w="1242" w:type="dxa"/>
            <w:tcBorders>
              <w:top w:val="single" w:sz="4" w:space="0" w:color="auto"/>
              <w:left w:val="nil"/>
              <w:bottom w:val="single" w:sz="4" w:space="0" w:color="auto"/>
              <w:right w:val="single" w:sz="4" w:space="0" w:color="auto"/>
            </w:tcBorders>
          </w:tcPr>
          <w:p w14:paraId="75E112E9" w14:textId="77777777" w:rsidR="002353B3" w:rsidRDefault="002353B3" w:rsidP="006F4E59">
            <w:pPr>
              <w:pStyle w:val="TableText"/>
              <w:jc w:val="right"/>
              <w:rPr>
                <w:b/>
                <w:lang w:eastAsia="en-AU"/>
              </w:rPr>
            </w:pPr>
            <w:r>
              <w:rPr>
                <w:b/>
                <w:lang w:eastAsia="en-AU"/>
              </w:rPr>
              <w:t>Qtr 54</w:t>
            </w:r>
          </w:p>
        </w:tc>
        <w:tc>
          <w:tcPr>
            <w:tcW w:w="1242" w:type="dxa"/>
            <w:tcBorders>
              <w:top w:val="single" w:sz="4" w:space="0" w:color="auto"/>
              <w:left w:val="nil"/>
              <w:bottom w:val="single" w:sz="4" w:space="0" w:color="auto"/>
              <w:right w:val="single" w:sz="4" w:space="0" w:color="auto"/>
            </w:tcBorders>
          </w:tcPr>
          <w:p w14:paraId="6E808552" w14:textId="44BAA2F8" w:rsidR="002353B3" w:rsidRDefault="002353B3" w:rsidP="006F4E59">
            <w:pPr>
              <w:pStyle w:val="TableText"/>
              <w:jc w:val="right"/>
              <w:rPr>
                <w:b/>
                <w:lang w:eastAsia="en-AU"/>
              </w:rPr>
            </w:pPr>
            <w:r>
              <w:rPr>
                <w:b/>
                <w:lang w:eastAsia="en-AU"/>
              </w:rPr>
              <w:t>Qtr 55</w:t>
            </w:r>
          </w:p>
        </w:tc>
      </w:tr>
      <w:tr w:rsidR="002353B3" w:rsidRPr="000F130C" w14:paraId="5DC27083" w14:textId="538787BC" w:rsidTr="002353B3">
        <w:trPr>
          <w:trHeight w:val="255"/>
        </w:trPr>
        <w:tc>
          <w:tcPr>
            <w:tcW w:w="2596" w:type="dxa"/>
            <w:tcBorders>
              <w:top w:val="nil"/>
              <w:left w:val="single" w:sz="4" w:space="0" w:color="auto"/>
              <w:bottom w:val="single" w:sz="4" w:space="0" w:color="auto"/>
              <w:right w:val="single" w:sz="4" w:space="0" w:color="auto"/>
            </w:tcBorders>
            <w:noWrap/>
            <w:hideMark/>
          </w:tcPr>
          <w:p w14:paraId="3D6C84ED" w14:textId="77777777" w:rsidR="002353B3" w:rsidRPr="000F130C" w:rsidRDefault="002353B3" w:rsidP="006F4E59">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vAlign w:val="bottom"/>
          </w:tcPr>
          <w:p w14:paraId="7BDC6581" w14:textId="77777777" w:rsidR="002353B3" w:rsidRDefault="002353B3" w:rsidP="006F4E59">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12F058A" w14:textId="77777777" w:rsidR="002353B3" w:rsidRPr="00346120" w:rsidRDefault="002353B3" w:rsidP="006F4E59">
            <w:pPr>
              <w:pStyle w:val="TableText"/>
              <w:jc w:val="right"/>
              <w:rPr>
                <w:lang w:eastAsia="en-AU"/>
              </w:rPr>
            </w:pPr>
            <w:r>
              <w:rPr>
                <w:rFonts w:cs="Calibri"/>
                <w:color w:val="000000"/>
              </w:rPr>
              <w:t>$124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13F46CC2" w14:textId="77777777" w:rsidR="002353B3" w:rsidRPr="00705863" w:rsidRDefault="002353B3" w:rsidP="006F4E59">
            <w:pPr>
              <w:pStyle w:val="TableText"/>
              <w:jc w:val="right"/>
              <w:rPr>
                <w:color w:val="000000"/>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22FCF7FD" w14:textId="77777777" w:rsidR="002353B3" w:rsidRDefault="002353B3" w:rsidP="006F4E59">
            <w:pPr>
              <w:pStyle w:val="TableText"/>
              <w:jc w:val="right"/>
              <w:rPr>
                <w:rFonts w:cs="Calibri"/>
                <w:color w:val="000000"/>
              </w:rPr>
            </w:pPr>
            <w:r>
              <w:rPr>
                <w:rFonts w:cs="Calibri"/>
                <w:color w:val="000000"/>
              </w:rPr>
              <w:t>$93K</w:t>
            </w:r>
          </w:p>
        </w:tc>
        <w:tc>
          <w:tcPr>
            <w:tcW w:w="1242" w:type="dxa"/>
            <w:tcBorders>
              <w:top w:val="nil"/>
              <w:left w:val="nil"/>
              <w:bottom w:val="single" w:sz="4" w:space="0" w:color="auto"/>
              <w:right w:val="single" w:sz="4" w:space="0" w:color="auto"/>
            </w:tcBorders>
          </w:tcPr>
          <w:p w14:paraId="116F1556" w14:textId="4C3A68AC" w:rsidR="002353B3" w:rsidRDefault="002353B3" w:rsidP="006F4E59">
            <w:pPr>
              <w:pStyle w:val="TableText"/>
              <w:jc w:val="right"/>
              <w:rPr>
                <w:rFonts w:cs="Calibri"/>
                <w:color w:val="000000"/>
              </w:rPr>
            </w:pPr>
            <w:r>
              <w:rPr>
                <w:rFonts w:cs="Calibri"/>
                <w:color w:val="000000"/>
              </w:rPr>
              <w:t>$87K</w:t>
            </w:r>
          </w:p>
        </w:tc>
      </w:tr>
      <w:tr w:rsidR="002353B3" w:rsidRPr="000F130C" w14:paraId="7A5F7BC3" w14:textId="6D923624" w:rsidTr="002353B3">
        <w:trPr>
          <w:trHeight w:val="255"/>
        </w:trPr>
        <w:tc>
          <w:tcPr>
            <w:tcW w:w="2596" w:type="dxa"/>
            <w:tcBorders>
              <w:top w:val="nil"/>
              <w:left w:val="single" w:sz="4" w:space="0" w:color="auto"/>
              <w:bottom w:val="single" w:sz="4" w:space="0" w:color="auto"/>
              <w:right w:val="single" w:sz="4" w:space="0" w:color="auto"/>
            </w:tcBorders>
            <w:noWrap/>
            <w:hideMark/>
          </w:tcPr>
          <w:p w14:paraId="076335FF" w14:textId="77777777" w:rsidR="002353B3" w:rsidRPr="000F130C" w:rsidRDefault="002353B3" w:rsidP="006F4E59">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vAlign w:val="bottom"/>
          </w:tcPr>
          <w:p w14:paraId="239C2ED4" w14:textId="77777777" w:rsidR="002353B3" w:rsidRDefault="002353B3" w:rsidP="006F4E59">
            <w:pPr>
              <w:pStyle w:val="TableText"/>
              <w:jc w:val="right"/>
              <w:rPr>
                <w:lang w:eastAsia="en-AU"/>
              </w:rPr>
            </w:pPr>
            <w:r>
              <w:rPr>
                <w:rFonts w:cs="Calibri"/>
                <w:color w:val="000000"/>
              </w:rPr>
              <w:t>$28</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9BD3157" w14:textId="77777777" w:rsidR="002353B3" w:rsidRPr="00346120" w:rsidRDefault="002353B3" w:rsidP="006F4E59">
            <w:pPr>
              <w:pStyle w:val="TableText"/>
              <w:jc w:val="right"/>
              <w:rPr>
                <w:lang w:eastAsia="en-AU"/>
              </w:rPr>
            </w:pPr>
            <w:r>
              <w:rPr>
                <w:rFonts w:cs="Calibri"/>
                <w:color w:val="000000"/>
              </w:rPr>
              <w:t>$40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A1AA488" w14:textId="77777777" w:rsidR="002353B3" w:rsidRPr="00705863" w:rsidRDefault="002353B3" w:rsidP="006F4E59">
            <w:pPr>
              <w:pStyle w:val="TableText"/>
              <w:jc w:val="right"/>
              <w:rPr>
                <w:color w:val="000000"/>
              </w:rPr>
            </w:pPr>
            <w:r>
              <w:rPr>
                <w:rFonts w:cs="Calibri"/>
                <w:color w:val="000000"/>
              </w:rPr>
              <w:t>$24</w:t>
            </w:r>
            <w:r w:rsidRPr="00705863">
              <w:rPr>
                <w:rFonts w:cs="Calibri"/>
                <w:color w:val="000000"/>
              </w:rPr>
              <w:t>K</w:t>
            </w:r>
          </w:p>
        </w:tc>
        <w:tc>
          <w:tcPr>
            <w:tcW w:w="1242" w:type="dxa"/>
            <w:tcBorders>
              <w:top w:val="nil"/>
              <w:left w:val="nil"/>
              <w:bottom w:val="single" w:sz="4" w:space="0" w:color="auto"/>
              <w:right w:val="single" w:sz="4" w:space="0" w:color="auto"/>
            </w:tcBorders>
          </w:tcPr>
          <w:p w14:paraId="5B26CBA6" w14:textId="77777777" w:rsidR="002353B3" w:rsidRDefault="002353B3" w:rsidP="006F4E59">
            <w:pPr>
              <w:pStyle w:val="TableText"/>
              <w:jc w:val="right"/>
              <w:rPr>
                <w:rFonts w:cs="Calibri"/>
                <w:color w:val="000000"/>
              </w:rPr>
            </w:pPr>
            <w:r>
              <w:rPr>
                <w:rFonts w:cs="Calibri"/>
                <w:color w:val="000000"/>
              </w:rPr>
              <w:t>$32K</w:t>
            </w:r>
          </w:p>
        </w:tc>
        <w:tc>
          <w:tcPr>
            <w:tcW w:w="1242" w:type="dxa"/>
            <w:tcBorders>
              <w:top w:val="nil"/>
              <w:left w:val="nil"/>
              <w:bottom w:val="single" w:sz="4" w:space="0" w:color="auto"/>
              <w:right w:val="single" w:sz="4" w:space="0" w:color="auto"/>
            </w:tcBorders>
          </w:tcPr>
          <w:p w14:paraId="1D34023C" w14:textId="148FCA04" w:rsidR="002353B3" w:rsidRDefault="002353B3" w:rsidP="006F4E59">
            <w:pPr>
              <w:pStyle w:val="TableText"/>
              <w:jc w:val="right"/>
              <w:rPr>
                <w:rFonts w:cs="Calibri"/>
                <w:color w:val="000000"/>
              </w:rPr>
            </w:pPr>
            <w:r>
              <w:rPr>
                <w:rFonts w:cs="Calibri"/>
                <w:color w:val="000000"/>
              </w:rPr>
              <w:t>$21K</w:t>
            </w:r>
          </w:p>
        </w:tc>
      </w:tr>
      <w:tr w:rsidR="002353B3" w:rsidRPr="000F130C" w14:paraId="65382F65" w14:textId="6F4674B6" w:rsidTr="002353B3">
        <w:trPr>
          <w:trHeight w:val="255"/>
        </w:trPr>
        <w:tc>
          <w:tcPr>
            <w:tcW w:w="2596" w:type="dxa"/>
            <w:tcBorders>
              <w:top w:val="nil"/>
              <w:left w:val="single" w:sz="4" w:space="0" w:color="auto"/>
              <w:bottom w:val="single" w:sz="4" w:space="0" w:color="auto"/>
              <w:right w:val="single" w:sz="4" w:space="0" w:color="auto"/>
            </w:tcBorders>
            <w:noWrap/>
          </w:tcPr>
          <w:p w14:paraId="3C1BED96" w14:textId="77777777" w:rsidR="002353B3" w:rsidRPr="000F130C" w:rsidRDefault="002353B3" w:rsidP="006F4E59">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vAlign w:val="bottom"/>
          </w:tcPr>
          <w:p w14:paraId="59A0584A" w14:textId="77777777" w:rsidR="002353B3" w:rsidRDefault="002353B3" w:rsidP="006F4E59">
            <w:pPr>
              <w:pStyle w:val="TableText"/>
              <w:jc w:val="right"/>
              <w:rPr>
                <w:lang w:eastAsia="en-AU"/>
              </w:rPr>
            </w:pPr>
            <w:r>
              <w:rPr>
                <w:rFonts w:cs="Calibri"/>
                <w:color w:val="000000"/>
              </w:rPr>
              <w:t>$163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767F4B5" w14:textId="77777777" w:rsidR="002353B3" w:rsidRPr="00346120" w:rsidRDefault="002353B3" w:rsidP="006F4E59">
            <w:pPr>
              <w:pStyle w:val="TableText"/>
              <w:jc w:val="right"/>
              <w:rPr>
                <w:lang w:eastAsia="en-AU"/>
              </w:rPr>
            </w:pPr>
            <w:r>
              <w:rPr>
                <w:rFonts w:cs="Calibri"/>
                <w:color w:val="000000"/>
              </w:rPr>
              <w:t>$177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6A23BE2F" w14:textId="77777777" w:rsidR="002353B3" w:rsidRPr="00705863" w:rsidRDefault="002353B3" w:rsidP="006F4E59">
            <w:pPr>
              <w:pStyle w:val="TableText"/>
              <w:jc w:val="right"/>
              <w:rPr>
                <w:color w:val="000000"/>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784409C8" w14:textId="77777777" w:rsidR="002353B3" w:rsidRDefault="002353B3" w:rsidP="006F4E59">
            <w:pPr>
              <w:pStyle w:val="TableText"/>
              <w:jc w:val="right"/>
              <w:rPr>
                <w:rFonts w:cs="Calibri"/>
                <w:color w:val="000000"/>
              </w:rPr>
            </w:pPr>
            <w:r>
              <w:rPr>
                <w:rFonts w:cs="Calibri"/>
                <w:color w:val="000000"/>
              </w:rPr>
              <w:t>$110K</w:t>
            </w:r>
          </w:p>
        </w:tc>
        <w:tc>
          <w:tcPr>
            <w:tcW w:w="1242" w:type="dxa"/>
            <w:tcBorders>
              <w:top w:val="nil"/>
              <w:left w:val="nil"/>
              <w:bottom w:val="single" w:sz="4" w:space="0" w:color="auto"/>
              <w:right w:val="single" w:sz="4" w:space="0" w:color="auto"/>
            </w:tcBorders>
          </w:tcPr>
          <w:p w14:paraId="7CF85DCE" w14:textId="6364803D" w:rsidR="002353B3" w:rsidRDefault="002353B3" w:rsidP="006F4E59">
            <w:pPr>
              <w:pStyle w:val="TableText"/>
              <w:jc w:val="right"/>
              <w:rPr>
                <w:rFonts w:cs="Calibri"/>
                <w:color w:val="000000"/>
              </w:rPr>
            </w:pPr>
            <w:r>
              <w:rPr>
                <w:rFonts w:cs="Calibri"/>
                <w:color w:val="000000"/>
              </w:rPr>
              <w:t>$87K</w:t>
            </w:r>
          </w:p>
        </w:tc>
      </w:tr>
      <w:tr w:rsidR="002353B3" w:rsidRPr="000F130C" w14:paraId="0BFC469B" w14:textId="5F33930F" w:rsidTr="002353B3">
        <w:trPr>
          <w:trHeight w:val="255"/>
        </w:trPr>
        <w:tc>
          <w:tcPr>
            <w:tcW w:w="2596" w:type="dxa"/>
            <w:tcBorders>
              <w:top w:val="nil"/>
              <w:left w:val="single" w:sz="4" w:space="0" w:color="auto"/>
              <w:bottom w:val="single" w:sz="4" w:space="0" w:color="auto"/>
              <w:right w:val="single" w:sz="4" w:space="0" w:color="auto"/>
            </w:tcBorders>
            <w:noWrap/>
            <w:hideMark/>
          </w:tcPr>
          <w:p w14:paraId="377F2BB4" w14:textId="77777777" w:rsidR="002353B3" w:rsidRPr="000F130C" w:rsidRDefault="002353B3" w:rsidP="006F4E59">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vAlign w:val="bottom"/>
          </w:tcPr>
          <w:p w14:paraId="6CF2AD8B" w14:textId="77777777" w:rsidR="002353B3" w:rsidRDefault="002353B3" w:rsidP="006F4E59">
            <w:pPr>
              <w:pStyle w:val="TableText"/>
              <w:jc w:val="right"/>
              <w:rPr>
                <w:lang w:eastAsia="en-AU"/>
              </w:rPr>
            </w:pPr>
            <w:r>
              <w:rPr>
                <w:rFonts w:cs="Calibri"/>
                <w:color w:val="000000"/>
              </w:rPr>
              <w:t>$73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4F8957F" w14:textId="77777777" w:rsidR="002353B3" w:rsidRPr="00346120" w:rsidRDefault="002353B3" w:rsidP="006F4E59">
            <w:pPr>
              <w:pStyle w:val="TableText"/>
              <w:jc w:val="right"/>
              <w:rPr>
                <w:lang w:eastAsia="en-AU"/>
              </w:rPr>
            </w:pPr>
            <w:r>
              <w:rPr>
                <w:rFonts w:cs="Calibri"/>
                <w:color w:val="000000"/>
              </w:rPr>
              <w:t>$90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F8C0779" w14:textId="77777777" w:rsidR="002353B3" w:rsidRPr="00705863" w:rsidRDefault="002353B3" w:rsidP="006F4E59">
            <w:pPr>
              <w:pStyle w:val="TableText"/>
              <w:jc w:val="right"/>
              <w:rPr>
                <w:color w:val="000000"/>
              </w:rPr>
            </w:pPr>
            <w:r>
              <w:rPr>
                <w:rFonts w:cs="Calibri"/>
                <w:color w:val="000000"/>
              </w:rPr>
              <w:t>$65</w:t>
            </w:r>
            <w:r w:rsidRPr="00705863">
              <w:rPr>
                <w:rFonts w:cs="Calibri"/>
                <w:color w:val="000000"/>
              </w:rPr>
              <w:t>K</w:t>
            </w:r>
          </w:p>
        </w:tc>
        <w:tc>
          <w:tcPr>
            <w:tcW w:w="1242" w:type="dxa"/>
            <w:tcBorders>
              <w:top w:val="nil"/>
              <w:left w:val="nil"/>
              <w:bottom w:val="single" w:sz="4" w:space="0" w:color="auto"/>
              <w:right w:val="single" w:sz="4" w:space="0" w:color="auto"/>
            </w:tcBorders>
          </w:tcPr>
          <w:p w14:paraId="7A077ABB" w14:textId="77777777" w:rsidR="002353B3" w:rsidRDefault="002353B3" w:rsidP="006F4E59">
            <w:pPr>
              <w:pStyle w:val="TableText"/>
              <w:jc w:val="right"/>
              <w:rPr>
                <w:rFonts w:cs="Calibri"/>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589D7D97" w14:textId="50CCD61E" w:rsidR="002353B3" w:rsidRDefault="002353B3" w:rsidP="006F4E59">
            <w:pPr>
              <w:pStyle w:val="TableText"/>
              <w:jc w:val="right"/>
              <w:rPr>
                <w:rFonts w:cs="Calibri"/>
                <w:color w:val="000000"/>
              </w:rPr>
            </w:pPr>
            <w:r>
              <w:rPr>
                <w:rFonts w:cs="Calibri"/>
                <w:color w:val="000000"/>
              </w:rPr>
              <w:t>$60K</w:t>
            </w:r>
          </w:p>
        </w:tc>
      </w:tr>
      <w:tr w:rsidR="002353B3" w:rsidRPr="000F130C" w14:paraId="4016E56D" w14:textId="2CE7ED36" w:rsidTr="002353B3">
        <w:trPr>
          <w:trHeight w:val="255"/>
        </w:trPr>
        <w:tc>
          <w:tcPr>
            <w:tcW w:w="2596" w:type="dxa"/>
            <w:tcBorders>
              <w:top w:val="nil"/>
              <w:left w:val="single" w:sz="4" w:space="0" w:color="auto"/>
              <w:bottom w:val="single" w:sz="4" w:space="0" w:color="auto"/>
              <w:right w:val="single" w:sz="4" w:space="0" w:color="auto"/>
            </w:tcBorders>
            <w:noWrap/>
            <w:hideMark/>
          </w:tcPr>
          <w:p w14:paraId="682D66B9" w14:textId="77777777" w:rsidR="002353B3" w:rsidRPr="000F130C" w:rsidRDefault="002353B3" w:rsidP="006F4E59">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vAlign w:val="bottom"/>
          </w:tcPr>
          <w:p w14:paraId="6A5466BA" w14:textId="77777777" w:rsidR="002353B3" w:rsidRDefault="002353B3" w:rsidP="006F4E59">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2F5CC21" w14:textId="77777777" w:rsidR="002353B3" w:rsidRPr="00346120" w:rsidRDefault="002353B3" w:rsidP="006F4E59">
            <w:pPr>
              <w:pStyle w:val="TableText"/>
              <w:jc w:val="right"/>
              <w:rPr>
                <w:lang w:eastAsia="en-AU"/>
              </w:rPr>
            </w:pPr>
            <w:r>
              <w:rPr>
                <w:rFonts w:cs="Calibri"/>
                <w:color w:val="000000"/>
              </w:rPr>
              <w:t>$46</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6AA4F0AB" w14:textId="77777777" w:rsidR="002353B3" w:rsidRPr="00705863" w:rsidRDefault="002353B3" w:rsidP="006F4E59">
            <w:pPr>
              <w:pStyle w:val="TableText"/>
              <w:jc w:val="right"/>
              <w:rPr>
                <w:color w:val="000000"/>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tcPr>
          <w:p w14:paraId="54B1B26D" w14:textId="77777777" w:rsidR="002353B3" w:rsidRDefault="002353B3" w:rsidP="006F4E59">
            <w:pPr>
              <w:pStyle w:val="TableText"/>
              <w:jc w:val="right"/>
              <w:rPr>
                <w:rFonts w:cs="Calibri"/>
                <w:color w:val="000000"/>
              </w:rPr>
            </w:pPr>
            <w:r>
              <w:rPr>
                <w:rFonts w:cs="Calibri"/>
                <w:color w:val="000000"/>
              </w:rPr>
              <w:t>$24K</w:t>
            </w:r>
          </w:p>
        </w:tc>
        <w:tc>
          <w:tcPr>
            <w:tcW w:w="1242" w:type="dxa"/>
            <w:tcBorders>
              <w:top w:val="nil"/>
              <w:left w:val="nil"/>
              <w:bottom w:val="single" w:sz="4" w:space="0" w:color="auto"/>
              <w:right w:val="single" w:sz="4" w:space="0" w:color="auto"/>
            </w:tcBorders>
          </w:tcPr>
          <w:p w14:paraId="588404E9" w14:textId="1B30767E" w:rsidR="002353B3" w:rsidRDefault="002353B3" w:rsidP="006F4E59">
            <w:pPr>
              <w:pStyle w:val="TableText"/>
              <w:jc w:val="right"/>
              <w:rPr>
                <w:rFonts w:cs="Calibri"/>
                <w:color w:val="000000"/>
              </w:rPr>
            </w:pPr>
            <w:r>
              <w:rPr>
                <w:rFonts w:cs="Calibri"/>
                <w:color w:val="000000"/>
              </w:rPr>
              <w:t>$28K</w:t>
            </w:r>
          </w:p>
        </w:tc>
      </w:tr>
      <w:tr w:rsidR="002353B3" w:rsidRPr="000F130C" w14:paraId="28FC1155" w14:textId="5BBD45BF" w:rsidTr="002353B3">
        <w:trPr>
          <w:trHeight w:val="255"/>
        </w:trPr>
        <w:tc>
          <w:tcPr>
            <w:tcW w:w="2596" w:type="dxa"/>
            <w:tcBorders>
              <w:top w:val="nil"/>
              <w:left w:val="single" w:sz="4" w:space="0" w:color="auto"/>
              <w:bottom w:val="single" w:sz="4" w:space="0" w:color="auto"/>
              <w:right w:val="single" w:sz="4" w:space="0" w:color="auto"/>
            </w:tcBorders>
            <w:noWrap/>
            <w:hideMark/>
          </w:tcPr>
          <w:p w14:paraId="496C5AAB" w14:textId="77777777" w:rsidR="002353B3" w:rsidRPr="000F130C" w:rsidRDefault="002353B3" w:rsidP="006F4E59">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vAlign w:val="bottom"/>
          </w:tcPr>
          <w:p w14:paraId="77811B3A" w14:textId="77777777" w:rsidR="002353B3" w:rsidRDefault="002353B3" w:rsidP="006F4E59">
            <w:pPr>
              <w:pStyle w:val="TableText"/>
              <w:jc w:val="right"/>
              <w:rPr>
                <w:b/>
                <w:lang w:eastAsia="en-AU"/>
              </w:rPr>
            </w:pPr>
            <w:r>
              <w:rPr>
                <w:rFonts w:cs="Calibri"/>
                <w:b/>
                <w:bCs/>
                <w:color w:val="000000"/>
              </w:rPr>
              <w:t>$408</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2EFE7E2D" w14:textId="77777777" w:rsidR="002353B3" w:rsidRPr="00346120" w:rsidRDefault="002353B3" w:rsidP="006F4E59">
            <w:pPr>
              <w:pStyle w:val="TableText"/>
              <w:jc w:val="right"/>
              <w:rPr>
                <w:b/>
                <w:bCs/>
                <w:lang w:eastAsia="en-AU"/>
              </w:rPr>
            </w:pPr>
            <w:r>
              <w:rPr>
                <w:rFonts w:cs="Calibri"/>
                <w:b/>
                <w:bCs/>
                <w:color w:val="000000"/>
              </w:rPr>
              <w:t>$477</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743B52CB" w14:textId="77777777" w:rsidR="002353B3" w:rsidRPr="00705863" w:rsidRDefault="002353B3" w:rsidP="006F4E59">
            <w:pPr>
              <w:pStyle w:val="TableText"/>
              <w:jc w:val="right"/>
              <w:rPr>
                <w:b/>
                <w:bCs/>
                <w:color w:val="000000"/>
              </w:rPr>
            </w:pPr>
            <w:r>
              <w:rPr>
                <w:rFonts w:cs="Calibri"/>
                <w:b/>
                <w:bCs/>
                <w:color w:val="000000"/>
              </w:rPr>
              <w:t>$336</w:t>
            </w:r>
            <w:r w:rsidRPr="00705863">
              <w:rPr>
                <w:rFonts w:cs="Calibri"/>
                <w:b/>
                <w:bCs/>
                <w:color w:val="000000"/>
              </w:rPr>
              <w:t>K</w:t>
            </w:r>
          </w:p>
        </w:tc>
        <w:tc>
          <w:tcPr>
            <w:tcW w:w="1242" w:type="dxa"/>
            <w:tcBorders>
              <w:top w:val="nil"/>
              <w:left w:val="nil"/>
              <w:bottom w:val="single" w:sz="4" w:space="0" w:color="auto"/>
              <w:right w:val="single" w:sz="4" w:space="0" w:color="auto"/>
            </w:tcBorders>
          </w:tcPr>
          <w:p w14:paraId="22E43CC5" w14:textId="77777777" w:rsidR="002353B3" w:rsidRDefault="002353B3" w:rsidP="006F4E59">
            <w:pPr>
              <w:pStyle w:val="TableText"/>
              <w:jc w:val="right"/>
              <w:rPr>
                <w:rFonts w:cs="Calibri"/>
                <w:b/>
                <w:bCs/>
                <w:color w:val="000000"/>
              </w:rPr>
            </w:pPr>
            <w:r>
              <w:rPr>
                <w:rFonts w:cs="Calibri"/>
                <w:b/>
                <w:bCs/>
                <w:color w:val="000000"/>
              </w:rPr>
              <w:t>$326K</w:t>
            </w:r>
          </w:p>
        </w:tc>
        <w:tc>
          <w:tcPr>
            <w:tcW w:w="1242" w:type="dxa"/>
            <w:tcBorders>
              <w:top w:val="nil"/>
              <w:left w:val="nil"/>
              <w:bottom w:val="single" w:sz="4" w:space="0" w:color="auto"/>
              <w:right w:val="single" w:sz="4" w:space="0" w:color="auto"/>
            </w:tcBorders>
          </w:tcPr>
          <w:p w14:paraId="072987D5" w14:textId="11AA454E" w:rsidR="002353B3" w:rsidRDefault="002353B3" w:rsidP="006F4E59">
            <w:pPr>
              <w:pStyle w:val="TableText"/>
              <w:jc w:val="right"/>
              <w:rPr>
                <w:rFonts w:cs="Calibri"/>
                <w:b/>
                <w:bCs/>
                <w:color w:val="000000"/>
              </w:rPr>
            </w:pPr>
            <w:r>
              <w:rPr>
                <w:rFonts w:cs="Calibri"/>
                <w:b/>
                <w:bCs/>
                <w:color w:val="000000"/>
              </w:rPr>
              <w:t>$283K</w:t>
            </w:r>
          </w:p>
        </w:tc>
      </w:tr>
    </w:tbl>
    <w:p w14:paraId="6931B375" w14:textId="77777777" w:rsidR="002353B3" w:rsidRDefault="002353B3" w:rsidP="002353B3">
      <w:pPr>
        <w:ind w:left="-142" w:right="-425"/>
        <w:jc w:val="both"/>
        <w:rPr>
          <w:rFonts w:cs="Arial"/>
        </w:rPr>
      </w:pPr>
    </w:p>
    <w:p w14:paraId="32BE7795" w14:textId="421A4A08" w:rsidR="002353B3" w:rsidRDefault="002353B3" w:rsidP="002353B3">
      <w:pPr>
        <w:ind w:left="-142" w:right="-425"/>
        <w:jc w:val="both"/>
        <w:rPr>
          <w:rFonts w:cs="Arial"/>
        </w:rPr>
      </w:pPr>
      <w:proofErr w:type="gramStart"/>
      <w:r>
        <w:rPr>
          <w:rFonts w:cs="Arial"/>
        </w:rPr>
        <w:t>Cairns</w:t>
      </w:r>
      <w:proofErr w:type="gramEnd"/>
      <w:r>
        <w:rPr>
          <w:rFonts w:cs="Arial"/>
        </w:rPr>
        <w:t xml:space="preserve"> expenditure for quarter 5</w:t>
      </w:r>
      <w:r>
        <w:rPr>
          <w:rFonts w:cs="Arial"/>
        </w:rPr>
        <w:t>5</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4FFE4E11" w14:textId="77777777" w:rsidR="002353B3" w:rsidRDefault="002353B3" w:rsidP="002353B3">
      <w:pPr>
        <w:ind w:left="-142" w:right="-425"/>
        <w:jc w:val="both"/>
        <w:rPr>
          <w:rFonts w:cs="Arial"/>
        </w:rPr>
      </w:pPr>
    </w:p>
    <w:p w14:paraId="6A05D231" w14:textId="052DBD7E" w:rsidR="002353B3" w:rsidRPr="00E37B61" w:rsidRDefault="002353B3" w:rsidP="002353B3">
      <w:pPr>
        <w:pStyle w:val="TableCaption"/>
        <w:spacing w:before="0"/>
        <w:ind w:left="0" w:right="-425"/>
        <w:rPr>
          <w:b/>
          <w:i w:val="0"/>
          <w:sz w:val="16"/>
        </w:rPr>
      </w:pPr>
      <w:r w:rsidRPr="00E37B61">
        <w:rPr>
          <w:b/>
          <w:i w:val="0"/>
          <w:sz w:val="16"/>
        </w:rPr>
        <w:t xml:space="preserve">Table </w:t>
      </w:r>
      <w:r>
        <w:rPr>
          <w:b/>
          <w:i w:val="0"/>
          <w:sz w:val="16"/>
        </w:rPr>
        <w:t>32</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January</w:t>
      </w:r>
      <w:r>
        <w:rPr>
          <w:i w:val="0"/>
          <w:sz w:val="16"/>
        </w:rPr>
        <w:t xml:space="preserve"> 202</w:t>
      </w:r>
      <w:r>
        <w:rPr>
          <w:i w:val="0"/>
          <w:sz w:val="16"/>
        </w:rPr>
        <w:t>1</w:t>
      </w:r>
      <w:r>
        <w:rPr>
          <w:i w:val="0"/>
          <w:sz w:val="16"/>
        </w:rPr>
        <w:t xml:space="preserve"> to 31 </w:t>
      </w:r>
      <w:r>
        <w:rPr>
          <w:i w:val="0"/>
          <w:sz w:val="16"/>
        </w:rPr>
        <w:t>March</w:t>
      </w:r>
      <w:r>
        <w:rPr>
          <w:i w:val="0"/>
          <w:sz w:val="16"/>
        </w:rPr>
        <w:t xml:space="preserve"> </w:t>
      </w:r>
      <w:r w:rsidRPr="00E37B61">
        <w:rPr>
          <w:i w:val="0"/>
          <w:sz w:val="16"/>
        </w:rPr>
        <w:t>20</w:t>
      </w:r>
      <w:r>
        <w:rPr>
          <w:i w:val="0"/>
          <w:sz w:val="16"/>
        </w:rPr>
        <w:t>2</w:t>
      </w:r>
      <w:r>
        <w:rPr>
          <w:i w:val="0"/>
          <w:sz w:val="16"/>
        </w:rPr>
        <w:t>2</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2353B3" w:rsidRPr="00920636" w14:paraId="482E9E57" w14:textId="21BC5195" w:rsidTr="002353B3">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C5D90D7" w14:textId="77777777" w:rsidR="002353B3" w:rsidRPr="000F130C" w:rsidRDefault="002353B3" w:rsidP="006F4E59">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5AB5C3C5" w14:textId="77777777" w:rsidR="002353B3" w:rsidRDefault="002353B3" w:rsidP="006F4E59">
            <w:pPr>
              <w:pStyle w:val="TableText"/>
              <w:jc w:val="right"/>
              <w:rPr>
                <w:b/>
                <w:lang w:eastAsia="en-AU"/>
              </w:rPr>
            </w:pPr>
            <w:r>
              <w:rPr>
                <w:b/>
                <w:lang w:eastAsia="en-AU"/>
              </w:rPr>
              <w:t>Qtr 51</w:t>
            </w:r>
          </w:p>
        </w:tc>
        <w:tc>
          <w:tcPr>
            <w:tcW w:w="1250" w:type="dxa"/>
            <w:tcBorders>
              <w:top w:val="single" w:sz="4" w:space="0" w:color="auto"/>
              <w:left w:val="nil"/>
              <w:bottom w:val="single" w:sz="4" w:space="0" w:color="auto"/>
              <w:right w:val="single" w:sz="4" w:space="0" w:color="auto"/>
            </w:tcBorders>
          </w:tcPr>
          <w:p w14:paraId="0A244F0F" w14:textId="77777777" w:rsidR="002353B3" w:rsidRDefault="002353B3" w:rsidP="006F4E59">
            <w:pPr>
              <w:pStyle w:val="TableText"/>
              <w:jc w:val="right"/>
              <w:rPr>
                <w:b/>
                <w:lang w:eastAsia="en-AU"/>
              </w:rPr>
            </w:pPr>
            <w:r>
              <w:rPr>
                <w:b/>
                <w:lang w:eastAsia="en-AU"/>
              </w:rPr>
              <w:t>Qtr 52</w:t>
            </w:r>
          </w:p>
        </w:tc>
        <w:tc>
          <w:tcPr>
            <w:tcW w:w="1250" w:type="dxa"/>
            <w:tcBorders>
              <w:top w:val="single" w:sz="4" w:space="0" w:color="auto"/>
              <w:left w:val="nil"/>
              <w:bottom w:val="single" w:sz="4" w:space="0" w:color="auto"/>
              <w:right w:val="single" w:sz="4" w:space="0" w:color="auto"/>
            </w:tcBorders>
          </w:tcPr>
          <w:p w14:paraId="2DF9BAE8" w14:textId="77777777" w:rsidR="002353B3" w:rsidRDefault="002353B3" w:rsidP="006F4E59">
            <w:pPr>
              <w:pStyle w:val="TableText"/>
              <w:jc w:val="right"/>
              <w:rPr>
                <w:b/>
                <w:lang w:eastAsia="en-AU"/>
              </w:rPr>
            </w:pPr>
            <w:r>
              <w:rPr>
                <w:b/>
                <w:lang w:eastAsia="en-AU"/>
              </w:rPr>
              <w:t>Qtr 53</w:t>
            </w:r>
          </w:p>
        </w:tc>
        <w:tc>
          <w:tcPr>
            <w:tcW w:w="1250" w:type="dxa"/>
            <w:tcBorders>
              <w:top w:val="single" w:sz="4" w:space="0" w:color="auto"/>
              <w:left w:val="nil"/>
              <w:bottom w:val="single" w:sz="4" w:space="0" w:color="auto"/>
              <w:right w:val="single" w:sz="4" w:space="0" w:color="auto"/>
            </w:tcBorders>
          </w:tcPr>
          <w:p w14:paraId="6084228E" w14:textId="77777777" w:rsidR="002353B3" w:rsidRDefault="002353B3" w:rsidP="006F4E59">
            <w:pPr>
              <w:pStyle w:val="TableText"/>
              <w:jc w:val="right"/>
              <w:rPr>
                <w:b/>
                <w:lang w:eastAsia="en-AU"/>
              </w:rPr>
            </w:pPr>
            <w:r>
              <w:rPr>
                <w:b/>
                <w:lang w:eastAsia="en-AU"/>
              </w:rPr>
              <w:t>Qtr 54</w:t>
            </w:r>
          </w:p>
        </w:tc>
        <w:tc>
          <w:tcPr>
            <w:tcW w:w="1250" w:type="dxa"/>
            <w:tcBorders>
              <w:top w:val="single" w:sz="4" w:space="0" w:color="auto"/>
              <w:left w:val="nil"/>
              <w:bottom w:val="single" w:sz="4" w:space="0" w:color="auto"/>
              <w:right w:val="single" w:sz="4" w:space="0" w:color="auto"/>
            </w:tcBorders>
          </w:tcPr>
          <w:p w14:paraId="50928FE1" w14:textId="6F09E4A0" w:rsidR="002353B3" w:rsidRDefault="002353B3" w:rsidP="006F4E59">
            <w:pPr>
              <w:pStyle w:val="TableText"/>
              <w:jc w:val="right"/>
              <w:rPr>
                <w:b/>
                <w:lang w:eastAsia="en-AU"/>
              </w:rPr>
            </w:pPr>
            <w:r>
              <w:rPr>
                <w:b/>
                <w:lang w:eastAsia="en-AU"/>
              </w:rPr>
              <w:t>Qtr 55</w:t>
            </w:r>
          </w:p>
        </w:tc>
      </w:tr>
      <w:tr w:rsidR="002353B3" w:rsidRPr="00920636" w14:paraId="6BDFB683" w14:textId="21A680E8" w:rsidTr="002353B3">
        <w:trPr>
          <w:trHeight w:val="255"/>
        </w:trPr>
        <w:tc>
          <w:tcPr>
            <w:tcW w:w="2596" w:type="dxa"/>
            <w:tcBorders>
              <w:top w:val="nil"/>
              <w:left w:val="single" w:sz="4" w:space="0" w:color="auto"/>
              <w:bottom w:val="single" w:sz="4" w:space="0" w:color="auto"/>
              <w:right w:val="single" w:sz="4" w:space="0" w:color="auto"/>
            </w:tcBorders>
            <w:noWrap/>
          </w:tcPr>
          <w:p w14:paraId="3F7D5A01" w14:textId="77777777" w:rsidR="002353B3" w:rsidRPr="00E72DFB" w:rsidRDefault="002353B3" w:rsidP="006F4E59">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6743CB37" w14:textId="77777777" w:rsidR="002353B3" w:rsidRDefault="002353B3" w:rsidP="006F4E59">
            <w:pPr>
              <w:pStyle w:val="TableText"/>
              <w:jc w:val="right"/>
              <w:rPr>
                <w:lang w:eastAsia="en-AU"/>
              </w:rPr>
            </w:pPr>
            <w:r>
              <w:rPr>
                <w:rFonts w:cs="Arial"/>
              </w:rPr>
              <w:t>$</w:t>
            </w:r>
            <w:r w:rsidRPr="0074086C">
              <w:rPr>
                <w:rFonts w:cs="Arial"/>
              </w:rPr>
              <w:t>2</w:t>
            </w:r>
            <w:r>
              <w:rPr>
                <w:rFonts w:cs="Arial"/>
              </w:rPr>
              <w:t>48</w:t>
            </w:r>
            <w:r w:rsidRPr="0074086C">
              <w:rPr>
                <w:rFonts w:cs="Arial"/>
              </w:rPr>
              <w:t>K</w:t>
            </w:r>
          </w:p>
        </w:tc>
        <w:tc>
          <w:tcPr>
            <w:tcW w:w="1250" w:type="dxa"/>
            <w:tcBorders>
              <w:top w:val="nil"/>
              <w:left w:val="nil"/>
              <w:bottom w:val="single" w:sz="4" w:space="0" w:color="auto"/>
              <w:right w:val="single" w:sz="4" w:space="0" w:color="auto"/>
            </w:tcBorders>
            <w:vAlign w:val="center"/>
          </w:tcPr>
          <w:p w14:paraId="2ED7F7A4" w14:textId="77777777" w:rsidR="002353B3" w:rsidRDefault="002353B3" w:rsidP="006F4E59">
            <w:pPr>
              <w:pStyle w:val="TableText"/>
              <w:jc w:val="right"/>
              <w:rPr>
                <w:lang w:eastAsia="en-AU"/>
              </w:rPr>
            </w:pPr>
            <w:r>
              <w:rPr>
                <w:rFonts w:cs="Arial"/>
              </w:rPr>
              <w:t>$</w:t>
            </w:r>
            <w:r w:rsidRPr="0074086C">
              <w:rPr>
                <w:rFonts w:cs="Arial"/>
              </w:rPr>
              <w:t>2</w:t>
            </w:r>
            <w:r>
              <w:rPr>
                <w:rFonts w:cs="Arial"/>
              </w:rPr>
              <w:t>61</w:t>
            </w:r>
            <w:r w:rsidRPr="0074086C">
              <w:rPr>
                <w:rFonts w:cs="Arial"/>
              </w:rPr>
              <w:t>K</w:t>
            </w:r>
          </w:p>
        </w:tc>
        <w:tc>
          <w:tcPr>
            <w:tcW w:w="1250" w:type="dxa"/>
            <w:tcBorders>
              <w:top w:val="nil"/>
              <w:left w:val="nil"/>
              <w:bottom w:val="single" w:sz="4" w:space="0" w:color="auto"/>
              <w:right w:val="single" w:sz="4" w:space="0" w:color="auto"/>
            </w:tcBorders>
            <w:vAlign w:val="center"/>
          </w:tcPr>
          <w:p w14:paraId="2E440F51" w14:textId="77777777" w:rsidR="002353B3" w:rsidRPr="0074086C" w:rsidRDefault="002353B3" w:rsidP="006F4E59">
            <w:pPr>
              <w:pStyle w:val="TableText"/>
              <w:jc w:val="right"/>
              <w:rPr>
                <w:lang w:eastAsia="en-AU"/>
              </w:rPr>
            </w:pPr>
            <w:r>
              <w:rPr>
                <w:rFonts w:cs="Arial"/>
              </w:rPr>
              <w:t>$</w:t>
            </w:r>
            <w:r w:rsidRPr="0074086C">
              <w:rPr>
                <w:rFonts w:cs="Arial"/>
              </w:rPr>
              <w:t>2</w:t>
            </w:r>
            <w:r>
              <w:rPr>
                <w:rFonts w:cs="Arial"/>
              </w:rPr>
              <w:t>55</w:t>
            </w:r>
            <w:r w:rsidRPr="0074086C">
              <w:rPr>
                <w:rFonts w:cs="Arial"/>
              </w:rPr>
              <w:t>K</w:t>
            </w:r>
          </w:p>
        </w:tc>
        <w:tc>
          <w:tcPr>
            <w:tcW w:w="1250" w:type="dxa"/>
            <w:tcBorders>
              <w:top w:val="nil"/>
              <w:left w:val="nil"/>
              <w:bottom w:val="single" w:sz="4" w:space="0" w:color="auto"/>
              <w:right w:val="single" w:sz="4" w:space="0" w:color="auto"/>
            </w:tcBorders>
          </w:tcPr>
          <w:p w14:paraId="040C6DDF" w14:textId="77777777" w:rsidR="002353B3" w:rsidRDefault="002353B3" w:rsidP="006F4E59">
            <w:pPr>
              <w:pStyle w:val="TableText"/>
              <w:jc w:val="right"/>
              <w:rPr>
                <w:rFonts w:cs="Arial"/>
              </w:rPr>
            </w:pPr>
            <w:r>
              <w:rPr>
                <w:rFonts w:cs="Arial"/>
              </w:rPr>
              <w:t>$295K</w:t>
            </w:r>
          </w:p>
        </w:tc>
        <w:tc>
          <w:tcPr>
            <w:tcW w:w="1250" w:type="dxa"/>
            <w:tcBorders>
              <w:top w:val="nil"/>
              <w:left w:val="nil"/>
              <w:bottom w:val="single" w:sz="4" w:space="0" w:color="auto"/>
              <w:right w:val="single" w:sz="4" w:space="0" w:color="auto"/>
            </w:tcBorders>
          </w:tcPr>
          <w:p w14:paraId="0BAC19C7" w14:textId="261F020C" w:rsidR="002353B3" w:rsidRDefault="002353B3" w:rsidP="006F4E59">
            <w:pPr>
              <w:pStyle w:val="TableText"/>
              <w:jc w:val="right"/>
              <w:rPr>
                <w:rFonts w:cs="Arial"/>
              </w:rPr>
            </w:pPr>
            <w:r>
              <w:rPr>
                <w:rFonts w:cs="Arial"/>
              </w:rPr>
              <w:t>$271K</w:t>
            </w:r>
          </w:p>
        </w:tc>
      </w:tr>
      <w:tr w:rsidR="002353B3" w:rsidRPr="00920636" w14:paraId="72406F7F" w14:textId="6465A46F" w:rsidTr="002353B3">
        <w:trPr>
          <w:trHeight w:val="255"/>
        </w:trPr>
        <w:tc>
          <w:tcPr>
            <w:tcW w:w="2596" w:type="dxa"/>
            <w:tcBorders>
              <w:top w:val="nil"/>
              <w:left w:val="single" w:sz="4" w:space="0" w:color="auto"/>
              <w:bottom w:val="single" w:sz="4" w:space="0" w:color="auto"/>
              <w:right w:val="single" w:sz="4" w:space="0" w:color="auto"/>
            </w:tcBorders>
            <w:noWrap/>
            <w:hideMark/>
          </w:tcPr>
          <w:p w14:paraId="0069A9C4" w14:textId="77777777" w:rsidR="002353B3" w:rsidRPr="00E72DFB" w:rsidRDefault="002353B3" w:rsidP="006F4E59">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260F4648" w14:textId="77777777" w:rsidR="002353B3" w:rsidRDefault="002353B3" w:rsidP="006F4E59">
            <w:pPr>
              <w:pStyle w:val="TableText"/>
              <w:jc w:val="right"/>
              <w:rPr>
                <w:lang w:eastAsia="en-AU"/>
              </w:rPr>
            </w:pPr>
            <w:r>
              <w:rPr>
                <w:rFonts w:cs="Arial"/>
              </w:rPr>
              <w:t>$308</w:t>
            </w:r>
            <w:r w:rsidRPr="0074086C">
              <w:rPr>
                <w:rFonts w:cs="Arial"/>
              </w:rPr>
              <w:t>K</w:t>
            </w:r>
          </w:p>
        </w:tc>
        <w:tc>
          <w:tcPr>
            <w:tcW w:w="1250" w:type="dxa"/>
            <w:tcBorders>
              <w:top w:val="nil"/>
              <w:left w:val="nil"/>
              <w:bottom w:val="single" w:sz="4" w:space="0" w:color="auto"/>
              <w:right w:val="single" w:sz="4" w:space="0" w:color="auto"/>
            </w:tcBorders>
            <w:vAlign w:val="center"/>
          </w:tcPr>
          <w:p w14:paraId="3307EF3B" w14:textId="77777777" w:rsidR="002353B3" w:rsidRDefault="002353B3" w:rsidP="006F4E59">
            <w:pPr>
              <w:pStyle w:val="TableText"/>
              <w:jc w:val="right"/>
              <w:rPr>
                <w:lang w:eastAsia="en-AU"/>
              </w:rPr>
            </w:pPr>
            <w:r>
              <w:rPr>
                <w:rFonts w:cs="Arial"/>
              </w:rPr>
              <w:t>$272</w:t>
            </w:r>
            <w:r w:rsidRPr="0074086C">
              <w:rPr>
                <w:rFonts w:cs="Arial"/>
              </w:rPr>
              <w:t>K</w:t>
            </w:r>
          </w:p>
        </w:tc>
        <w:tc>
          <w:tcPr>
            <w:tcW w:w="1250" w:type="dxa"/>
            <w:tcBorders>
              <w:top w:val="nil"/>
              <w:left w:val="nil"/>
              <w:bottom w:val="single" w:sz="4" w:space="0" w:color="auto"/>
              <w:right w:val="single" w:sz="4" w:space="0" w:color="auto"/>
            </w:tcBorders>
            <w:vAlign w:val="center"/>
          </w:tcPr>
          <w:p w14:paraId="52717151" w14:textId="77777777" w:rsidR="002353B3" w:rsidRPr="0074086C" w:rsidRDefault="002353B3" w:rsidP="006F4E59">
            <w:pPr>
              <w:pStyle w:val="TableText"/>
              <w:jc w:val="right"/>
              <w:rPr>
                <w:lang w:eastAsia="en-AU"/>
              </w:rPr>
            </w:pPr>
            <w:r>
              <w:rPr>
                <w:rFonts w:cs="Arial"/>
              </w:rPr>
              <w:t>$376</w:t>
            </w:r>
            <w:r w:rsidRPr="0074086C">
              <w:rPr>
                <w:rFonts w:cs="Arial"/>
              </w:rPr>
              <w:t>K</w:t>
            </w:r>
          </w:p>
        </w:tc>
        <w:tc>
          <w:tcPr>
            <w:tcW w:w="1250" w:type="dxa"/>
            <w:tcBorders>
              <w:top w:val="nil"/>
              <w:left w:val="nil"/>
              <w:bottom w:val="single" w:sz="4" w:space="0" w:color="auto"/>
              <w:right w:val="single" w:sz="4" w:space="0" w:color="auto"/>
            </w:tcBorders>
          </w:tcPr>
          <w:p w14:paraId="651503D2" w14:textId="77777777" w:rsidR="002353B3" w:rsidRDefault="002353B3" w:rsidP="006F4E59">
            <w:pPr>
              <w:pStyle w:val="TableText"/>
              <w:jc w:val="right"/>
              <w:rPr>
                <w:rFonts w:cs="Arial"/>
              </w:rPr>
            </w:pPr>
            <w:r>
              <w:rPr>
                <w:rFonts w:cs="Arial"/>
              </w:rPr>
              <w:t>$371K</w:t>
            </w:r>
          </w:p>
        </w:tc>
        <w:tc>
          <w:tcPr>
            <w:tcW w:w="1250" w:type="dxa"/>
            <w:tcBorders>
              <w:top w:val="nil"/>
              <w:left w:val="nil"/>
              <w:bottom w:val="single" w:sz="4" w:space="0" w:color="auto"/>
              <w:right w:val="single" w:sz="4" w:space="0" w:color="auto"/>
            </w:tcBorders>
          </w:tcPr>
          <w:p w14:paraId="2A62188F" w14:textId="719F1017" w:rsidR="002353B3" w:rsidRDefault="002353B3" w:rsidP="006F4E59">
            <w:pPr>
              <w:pStyle w:val="TableText"/>
              <w:jc w:val="right"/>
              <w:rPr>
                <w:rFonts w:cs="Arial"/>
              </w:rPr>
            </w:pPr>
            <w:r>
              <w:rPr>
                <w:rFonts w:cs="Arial"/>
              </w:rPr>
              <w:t>$372K</w:t>
            </w:r>
          </w:p>
        </w:tc>
      </w:tr>
      <w:tr w:rsidR="002353B3" w:rsidRPr="00920636" w14:paraId="27C4A97C" w14:textId="1054DE73" w:rsidTr="002353B3">
        <w:trPr>
          <w:trHeight w:val="255"/>
        </w:trPr>
        <w:tc>
          <w:tcPr>
            <w:tcW w:w="2596" w:type="dxa"/>
            <w:tcBorders>
              <w:top w:val="nil"/>
              <w:left w:val="single" w:sz="4" w:space="0" w:color="auto"/>
              <w:bottom w:val="single" w:sz="4" w:space="0" w:color="auto"/>
              <w:right w:val="single" w:sz="4" w:space="0" w:color="auto"/>
            </w:tcBorders>
            <w:noWrap/>
            <w:hideMark/>
          </w:tcPr>
          <w:p w14:paraId="2D023DAB" w14:textId="77777777" w:rsidR="002353B3" w:rsidRPr="000F130C" w:rsidRDefault="002353B3" w:rsidP="006F4E59">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2E1D925A" w14:textId="77777777" w:rsidR="002353B3" w:rsidRDefault="002353B3" w:rsidP="006F4E59">
            <w:pPr>
              <w:pStyle w:val="TableText"/>
              <w:jc w:val="right"/>
              <w:rPr>
                <w:b/>
                <w:lang w:eastAsia="en-AU"/>
              </w:rPr>
            </w:pPr>
            <w:r>
              <w:rPr>
                <w:rFonts w:cs="Arial"/>
                <w:b/>
                <w:bCs/>
              </w:rPr>
              <w:t>$</w:t>
            </w:r>
            <w:r w:rsidRPr="0074086C">
              <w:rPr>
                <w:rFonts w:cs="Arial"/>
                <w:b/>
                <w:bCs/>
              </w:rPr>
              <w:t>5</w:t>
            </w:r>
            <w:r>
              <w:rPr>
                <w:rFonts w:cs="Arial"/>
                <w:b/>
                <w:bCs/>
              </w:rPr>
              <w:t>56K</w:t>
            </w:r>
          </w:p>
        </w:tc>
        <w:tc>
          <w:tcPr>
            <w:tcW w:w="1250" w:type="dxa"/>
            <w:tcBorders>
              <w:top w:val="nil"/>
              <w:left w:val="nil"/>
              <w:bottom w:val="single" w:sz="4" w:space="0" w:color="auto"/>
              <w:right w:val="single" w:sz="4" w:space="0" w:color="auto"/>
            </w:tcBorders>
            <w:vAlign w:val="center"/>
          </w:tcPr>
          <w:p w14:paraId="3F8455E5" w14:textId="77777777" w:rsidR="002353B3" w:rsidRPr="00EB7A8F" w:rsidRDefault="002353B3" w:rsidP="006F4E59">
            <w:pPr>
              <w:pStyle w:val="TableText"/>
              <w:jc w:val="right"/>
              <w:rPr>
                <w:b/>
                <w:bCs/>
                <w:lang w:eastAsia="en-AU"/>
              </w:rPr>
            </w:pPr>
            <w:r>
              <w:rPr>
                <w:rFonts w:cs="Arial"/>
                <w:b/>
                <w:bCs/>
              </w:rPr>
              <w:t>$</w:t>
            </w:r>
            <w:r w:rsidRPr="0074086C">
              <w:rPr>
                <w:rFonts w:cs="Arial"/>
                <w:b/>
                <w:bCs/>
              </w:rPr>
              <w:t>5</w:t>
            </w:r>
            <w:r>
              <w:rPr>
                <w:rFonts w:cs="Arial"/>
                <w:b/>
                <w:bCs/>
              </w:rPr>
              <w:t>33K</w:t>
            </w:r>
          </w:p>
        </w:tc>
        <w:tc>
          <w:tcPr>
            <w:tcW w:w="1250" w:type="dxa"/>
            <w:tcBorders>
              <w:top w:val="nil"/>
              <w:left w:val="nil"/>
              <w:bottom w:val="single" w:sz="4" w:space="0" w:color="auto"/>
              <w:right w:val="single" w:sz="4" w:space="0" w:color="auto"/>
            </w:tcBorders>
            <w:vAlign w:val="center"/>
          </w:tcPr>
          <w:p w14:paraId="52E00BCE" w14:textId="77777777" w:rsidR="002353B3" w:rsidRPr="0074086C" w:rsidRDefault="002353B3" w:rsidP="006F4E59">
            <w:pPr>
              <w:pStyle w:val="TableText"/>
              <w:jc w:val="right"/>
              <w:rPr>
                <w:b/>
                <w:bCs/>
                <w:lang w:eastAsia="en-AU"/>
              </w:rPr>
            </w:pPr>
            <w:r>
              <w:rPr>
                <w:rFonts w:cs="Arial"/>
                <w:b/>
                <w:bCs/>
              </w:rPr>
              <w:t>$631K</w:t>
            </w:r>
          </w:p>
        </w:tc>
        <w:tc>
          <w:tcPr>
            <w:tcW w:w="1250" w:type="dxa"/>
            <w:tcBorders>
              <w:top w:val="nil"/>
              <w:left w:val="nil"/>
              <w:bottom w:val="single" w:sz="4" w:space="0" w:color="auto"/>
              <w:right w:val="single" w:sz="4" w:space="0" w:color="auto"/>
            </w:tcBorders>
          </w:tcPr>
          <w:p w14:paraId="7831C0F7" w14:textId="77777777" w:rsidR="002353B3" w:rsidRDefault="002353B3" w:rsidP="006F4E59">
            <w:pPr>
              <w:pStyle w:val="TableText"/>
              <w:jc w:val="right"/>
              <w:rPr>
                <w:rFonts w:cs="Arial"/>
                <w:b/>
                <w:bCs/>
              </w:rPr>
            </w:pPr>
            <w:r>
              <w:rPr>
                <w:rFonts w:cs="Arial"/>
                <w:b/>
                <w:bCs/>
              </w:rPr>
              <w:t>$666K</w:t>
            </w:r>
          </w:p>
        </w:tc>
        <w:tc>
          <w:tcPr>
            <w:tcW w:w="1250" w:type="dxa"/>
            <w:tcBorders>
              <w:top w:val="nil"/>
              <w:left w:val="nil"/>
              <w:bottom w:val="single" w:sz="4" w:space="0" w:color="auto"/>
              <w:right w:val="single" w:sz="4" w:space="0" w:color="auto"/>
            </w:tcBorders>
          </w:tcPr>
          <w:p w14:paraId="22E6939B" w14:textId="6B3E351D" w:rsidR="002353B3" w:rsidRDefault="002353B3" w:rsidP="006F4E59">
            <w:pPr>
              <w:pStyle w:val="TableText"/>
              <w:jc w:val="right"/>
              <w:rPr>
                <w:rFonts w:cs="Arial"/>
                <w:b/>
                <w:bCs/>
              </w:rPr>
            </w:pPr>
            <w:r>
              <w:rPr>
                <w:rFonts w:cs="Arial"/>
                <w:b/>
                <w:bCs/>
              </w:rPr>
              <w:t>$643K</w:t>
            </w:r>
          </w:p>
        </w:tc>
      </w:tr>
    </w:tbl>
    <w:p w14:paraId="3EA6C74C" w14:textId="77777777" w:rsidR="002353B3" w:rsidRDefault="002353B3" w:rsidP="002353B3">
      <w:pPr>
        <w:ind w:left="-142" w:right="-425"/>
        <w:jc w:val="both"/>
        <w:rPr>
          <w:rFonts w:cs="Arial"/>
        </w:rPr>
      </w:pPr>
    </w:p>
    <w:p w14:paraId="4602E9A0" w14:textId="77777777" w:rsidR="002353B3" w:rsidRDefault="002353B3" w:rsidP="00994941">
      <w:pPr>
        <w:ind w:left="-142" w:right="-425"/>
        <w:jc w:val="both"/>
        <w:rPr>
          <w:rFonts w:cs="Arial"/>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330F70C0"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17E10DD3"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C22830">
              <w:rPr>
                <w:rFonts w:ascii="Arial" w:hAnsi="Arial" w:cs="Arial"/>
                <w:b/>
                <w:bCs/>
                <w:noProof/>
                <w:lang w:val="en-US"/>
              </w:rPr>
              <w:t>January</w:t>
            </w:r>
            <w:r w:rsidR="009A305D">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r>
              <w:rPr>
                <w:rFonts w:ascii="Arial" w:hAnsi="Arial" w:cs="Arial"/>
                <w:b/>
                <w:bCs/>
                <w:noProof/>
                <w:lang w:val="en-US"/>
              </w:rPr>
              <w:t xml:space="preserve"> to 3</w:t>
            </w:r>
            <w:r w:rsidR="00C22830">
              <w:rPr>
                <w:rFonts w:ascii="Arial" w:hAnsi="Arial" w:cs="Arial"/>
                <w:b/>
                <w:bCs/>
                <w:noProof/>
                <w:lang w:val="en-US"/>
              </w:rPr>
              <w:t>0 June</w:t>
            </w:r>
            <w:r w:rsidR="00087193">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p>
        </w:tc>
        <w:tc>
          <w:tcPr>
            <w:tcW w:w="1817" w:type="dxa"/>
            <w:tcBorders>
              <w:top w:val="nil"/>
              <w:left w:val="nil"/>
              <w:bottom w:val="single" w:sz="18" w:space="0" w:color="auto"/>
              <w:right w:val="nil"/>
            </w:tcBorders>
            <w:shd w:val="clear" w:color="auto" w:fill="auto"/>
            <w:vAlign w:val="center"/>
          </w:tcPr>
          <w:p w14:paraId="79EDD674" w14:textId="72653776"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CA4D07">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299E21D9" w:rsidR="00EB0D94" w:rsidRPr="00A634FA" w:rsidRDefault="00C22830" w:rsidP="00EB0D94">
            <w:pPr>
              <w:jc w:val="center"/>
              <w:rPr>
                <w:rFonts w:ascii="Arial Narrow" w:hAnsi="Arial Narrow" w:cs="Arial"/>
                <w:sz w:val="16"/>
                <w:szCs w:val="16"/>
              </w:rPr>
            </w:pPr>
            <w:r>
              <w:rPr>
                <w:rFonts w:ascii="Arial Narrow" w:hAnsi="Arial Narrow" w:cs="Arial"/>
                <w:sz w:val="16"/>
                <w:szCs w:val="16"/>
              </w:rPr>
              <w:t>3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7928A208" w:rsidR="00EB0D94" w:rsidRPr="008805E5" w:rsidRDefault="00EB0D94" w:rsidP="00EB0D94">
            <w:pPr>
              <w:jc w:val="center"/>
              <w:rPr>
                <w:rFonts w:ascii="Arial Narrow" w:hAnsi="Arial Narrow"/>
                <w:color w:val="31849B"/>
                <w:sz w:val="16"/>
                <w:szCs w:val="16"/>
              </w:rPr>
            </w:pPr>
          </w:p>
        </w:tc>
      </w:tr>
      <w:tr w:rsidR="006801DA" w:rsidRPr="00BC2C5D" w14:paraId="7C66C142"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174C42F1" w:rsidR="006801DA" w:rsidRPr="00A634FA" w:rsidRDefault="006801DA" w:rsidP="00EB0D94">
            <w:pPr>
              <w:jc w:val="center"/>
              <w:rPr>
                <w:rFonts w:ascii="Arial Narrow" w:hAnsi="Arial Narrow" w:cs="Arial"/>
                <w:sz w:val="16"/>
                <w:szCs w:val="16"/>
              </w:rPr>
            </w:pPr>
            <w:r>
              <w:rPr>
                <w:rFonts w:ascii="Arial Narrow" w:hAnsi="Arial Narrow" w:cs="Arial"/>
                <w:sz w:val="16"/>
                <w:szCs w:val="16"/>
              </w:rPr>
              <w:t>10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0D356CBE"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99A741" w14:textId="77A15B4F"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5C20D49A" w:rsidR="006801DA" w:rsidRPr="00DC638E" w:rsidRDefault="006801DA"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5B98CD14" w:rsidR="006801DA" w:rsidRPr="00DC638E" w:rsidRDefault="00DC638E" w:rsidP="00EB0D94">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6801DA" w:rsidRPr="00BC2C5D" w14:paraId="5BA53CBD"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13F5D998" w:rsidR="006801DA" w:rsidRPr="00A634FA" w:rsidRDefault="006801DA" w:rsidP="00C344F6">
            <w:pPr>
              <w:jc w:val="center"/>
              <w:rPr>
                <w:rFonts w:ascii="Arial Narrow" w:hAnsi="Arial Narrow" w:cs="Arial"/>
                <w:sz w:val="16"/>
                <w:szCs w:val="16"/>
              </w:rPr>
            </w:pPr>
            <w:r>
              <w:rPr>
                <w:rFonts w:ascii="Arial Narrow" w:hAnsi="Arial Narrow" w:cs="Arial"/>
                <w:sz w:val="16"/>
                <w:szCs w:val="16"/>
              </w:rPr>
              <w:t>17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351E2703"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5F476F3E"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1531E82B"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35AB4059"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F79FB51"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75A7F3FD" w14:textId="77777777" w:rsidR="00DC638E" w:rsidRDefault="00DC638E" w:rsidP="00DC638E">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6C8C40F7" w14:textId="47482CFE" w:rsidR="006801DA" w:rsidRPr="00DC638E" w:rsidRDefault="00DC638E" w:rsidP="00DC638E">
            <w:pPr>
              <w:jc w:val="center"/>
              <w:rPr>
                <w:rFonts w:ascii="Arial Narrow" w:hAnsi="Arial Narrow"/>
                <w:sz w:val="16"/>
                <w:szCs w:val="16"/>
              </w:rPr>
            </w:pPr>
            <w:r w:rsidRPr="008805E5">
              <w:rPr>
                <w:rFonts w:ascii="Arial Narrow" w:hAnsi="Arial Narrow"/>
                <w:color w:val="31849B"/>
                <w:sz w:val="16"/>
                <w:szCs w:val="16"/>
              </w:rPr>
              <w:t>Doomadgee – Gulf Circuit</w:t>
            </w:r>
          </w:p>
        </w:tc>
      </w:tr>
      <w:tr w:rsidR="006801DA" w:rsidRPr="00BC2C5D" w14:paraId="3FC520FE"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2C78DF39" w:rsidR="006801DA" w:rsidRPr="00A634FA" w:rsidRDefault="006801DA" w:rsidP="00C344F6">
            <w:pPr>
              <w:jc w:val="center"/>
              <w:rPr>
                <w:rFonts w:ascii="Arial Narrow" w:hAnsi="Arial Narrow" w:cs="Arial"/>
                <w:sz w:val="16"/>
                <w:szCs w:val="16"/>
              </w:rPr>
            </w:pPr>
            <w:r>
              <w:rPr>
                <w:rFonts w:ascii="Arial Narrow" w:hAnsi="Arial Narrow" w:cs="Arial"/>
                <w:sz w:val="16"/>
                <w:szCs w:val="16"/>
              </w:rPr>
              <w:t>24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4D14B982"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D9D9D9"/>
            <w:vAlign w:val="center"/>
          </w:tcPr>
          <w:p w14:paraId="211F9DD8" w14:textId="18561EA9"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54F73A57" w14:textId="7288FA96" w:rsidR="006801DA" w:rsidRPr="00DC638E" w:rsidRDefault="00DC638E" w:rsidP="00C344F6">
            <w:pPr>
              <w:jc w:val="center"/>
              <w:rPr>
                <w:rFonts w:ascii="Arial Narrow" w:hAnsi="Arial Narrow" w:cs="Arial"/>
                <w:sz w:val="16"/>
                <w:szCs w:val="16"/>
              </w:rPr>
            </w:pPr>
            <w:r w:rsidRPr="00DC638E">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C0C0C0"/>
            </w:tcBorders>
            <w:shd w:val="clear" w:color="auto" w:fill="D9D9D9"/>
            <w:vAlign w:val="center"/>
          </w:tcPr>
          <w:p w14:paraId="2B85F166" w14:textId="3C2550B1"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4C8AAF12" w14:textId="6BB98184"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A692BE1" w14:textId="5A0F6889" w:rsidR="006801DA" w:rsidRPr="00DC638E" w:rsidRDefault="00DC638E" w:rsidP="00C344F6">
            <w:pPr>
              <w:jc w:val="center"/>
              <w:rPr>
                <w:rFonts w:ascii="Arial Narrow" w:hAnsi="Arial Narrow" w:cs="Arial"/>
                <w:sz w:val="16"/>
                <w:szCs w:val="16"/>
              </w:rPr>
            </w:pPr>
            <w:r w:rsidRPr="00DC638E">
              <w:rPr>
                <w:rFonts w:ascii="Arial Narrow" w:hAnsi="Arial Narrow" w:cs="Arial"/>
                <w:color w:val="244061"/>
                <w:sz w:val="16"/>
                <w:szCs w:val="16"/>
                <w:highlight w:val="yellow"/>
              </w:rPr>
              <w:t>26 Australia Day Public Holiday</w:t>
            </w:r>
          </w:p>
        </w:tc>
      </w:tr>
      <w:tr w:rsidR="006801DA" w:rsidRPr="00BC2C5D" w14:paraId="2A3C72E2"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2C84293E" w14:textId="29B56DE0" w:rsidR="006801DA" w:rsidRDefault="006801DA" w:rsidP="00C344F6">
            <w:pPr>
              <w:jc w:val="center"/>
              <w:rPr>
                <w:rFonts w:ascii="Arial Narrow" w:hAnsi="Arial Narrow" w:cs="Arial"/>
                <w:sz w:val="16"/>
                <w:szCs w:val="16"/>
              </w:rPr>
            </w:pPr>
            <w:r>
              <w:rPr>
                <w:rFonts w:ascii="Arial Narrow" w:hAnsi="Arial Narrow" w:cs="Arial"/>
                <w:sz w:val="16"/>
                <w:szCs w:val="16"/>
              </w:rPr>
              <w:t>31 January</w:t>
            </w:r>
          </w:p>
        </w:tc>
        <w:tc>
          <w:tcPr>
            <w:tcW w:w="1051" w:type="dxa"/>
            <w:tcBorders>
              <w:top w:val="single" w:sz="18" w:space="0" w:color="BFBFBF"/>
              <w:left w:val="single" w:sz="18" w:space="0" w:color="C0C0C0"/>
              <w:right w:val="single" w:sz="18" w:space="0" w:color="C0C0C0"/>
            </w:tcBorders>
            <w:shd w:val="clear" w:color="auto" w:fill="auto"/>
            <w:vAlign w:val="center"/>
          </w:tcPr>
          <w:p w14:paraId="652F01DE"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auto"/>
            <w:vAlign w:val="center"/>
          </w:tcPr>
          <w:p w14:paraId="57679363"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3B8E32D4"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5940BE24"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auto"/>
            <w:vAlign w:val="center"/>
          </w:tcPr>
          <w:p w14:paraId="23CB3DBA" w14:textId="77777777"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70BC975" w14:textId="7A5B81DD" w:rsidR="006801DA" w:rsidRPr="00CA4D07" w:rsidRDefault="00DC638E"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C344F6" w:rsidRPr="00BC2C5D" w14:paraId="20327535" w14:textId="77777777" w:rsidTr="00CA4D07">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088F8A57" w14:textId="18026B44" w:rsidR="00C344F6" w:rsidRPr="00A634FA" w:rsidRDefault="00C22830" w:rsidP="00C344F6">
            <w:pPr>
              <w:jc w:val="center"/>
              <w:rPr>
                <w:rFonts w:ascii="Arial Narrow" w:hAnsi="Arial Narrow" w:cs="Arial"/>
                <w:sz w:val="16"/>
                <w:szCs w:val="16"/>
              </w:rPr>
            </w:pPr>
            <w:r>
              <w:rPr>
                <w:rFonts w:ascii="Arial Narrow" w:hAnsi="Arial Narrow" w:cs="Arial"/>
                <w:sz w:val="16"/>
                <w:szCs w:val="16"/>
              </w:rPr>
              <w:t>7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EF5A450" w14:textId="3386BF16"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60AD86C6" w14:textId="25C12B34" w:rsidR="00C344F6" w:rsidRPr="00DC638E" w:rsidRDefault="00C344F6" w:rsidP="00DC638E">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0ACA201F"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344F6" w:rsidRPr="00DC638E" w:rsidRDefault="00C344F6" w:rsidP="00C344F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7CB77B0F" w:rsidR="00C344F6" w:rsidRPr="008805E5" w:rsidRDefault="000857D8" w:rsidP="00DC638E">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DC638E" w:rsidRPr="00BC2C5D" w14:paraId="34AF6A84" w14:textId="77777777" w:rsidTr="00CA4D07">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715621E0" w:rsidR="00DC638E" w:rsidRDefault="00DC638E" w:rsidP="00C344F6">
            <w:pPr>
              <w:jc w:val="center"/>
              <w:rPr>
                <w:rFonts w:ascii="Arial Narrow" w:hAnsi="Arial Narrow" w:cs="Arial"/>
                <w:sz w:val="16"/>
                <w:szCs w:val="16"/>
              </w:rPr>
            </w:pPr>
            <w:r>
              <w:rPr>
                <w:rFonts w:ascii="Arial Narrow" w:hAnsi="Arial Narrow" w:cs="Arial"/>
                <w:sz w:val="16"/>
                <w:szCs w:val="16"/>
              </w:rPr>
              <w:t>14 February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auto"/>
            <w:vAlign w:val="center"/>
          </w:tcPr>
          <w:p w14:paraId="34B4531E" w14:textId="4AC99C87" w:rsidR="00DC638E" w:rsidRPr="00DC638E" w:rsidRDefault="00DC638E" w:rsidP="00DC638E">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auto"/>
            <w:vAlign w:val="center"/>
          </w:tcPr>
          <w:p w14:paraId="04E57ED8" w14:textId="3411E762"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auto"/>
            <w:vAlign w:val="center"/>
          </w:tcPr>
          <w:p w14:paraId="733FC8E2" w14:textId="7CD1876F"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DC638E" w:rsidRPr="00DC638E" w:rsidRDefault="00DC638E"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37A79FEF" w14:textId="3C7FF947" w:rsidR="00DC638E" w:rsidRPr="008805E5" w:rsidRDefault="00DC638E" w:rsidP="00C344F6">
            <w:pPr>
              <w:jc w:val="center"/>
              <w:rPr>
                <w:rFonts w:ascii="Arial Narrow" w:hAnsi="Arial Narrow"/>
                <w:color w:val="31849B"/>
                <w:sz w:val="16"/>
                <w:szCs w:val="16"/>
              </w:rPr>
            </w:pPr>
          </w:p>
        </w:tc>
      </w:tr>
      <w:tr w:rsidR="00F512E5" w:rsidRPr="00BC2C5D" w14:paraId="2980BC10"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22DC1D20" w:rsidR="00F512E5" w:rsidRPr="00A634FA" w:rsidRDefault="00F512E5" w:rsidP="00C344F6">
            <w:pPr>
              <w:jc w:val="center"/>
              <w:rPr>
                <w:rFonts w:ascii="Arial Narrow" w:hAnsi="Arial Narrow" w:cs="Arial"/>
                <w:sz w:val="16"/>
                <w:szCs w:val="16"/>
              </w:rPr>
            </w:pPr>
            <w:r>
              <w:rPr>
                <w:rFonts w:ascii="Arial Narrow" w:hAnsi="Arial Narrow" w:cs="Arial"/>
                <w:sz w:val="16"/>
                <w:szCs w:val="16"/>
              </w:rPr>
              <w:t>21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61BD711E" w14:textId="071E845B"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3BA986A2" w14:textId="7A95BA66"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719EBC8E" w14:textId="6D3CC240"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F512E5" w:rsidRPr="00DC638E" w:rsidRDefault="00F512E5"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69C694F" w14:textId="777B52D3" w:rsidR="00F512E5" w:rsidRPr="000857D8" w:rsidRDefault="00CA4D0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F512E5" w:rsidRPr="00BC2C5D" w14:paraId="3066009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BB8CC6" w14:textId="76C5F1DA" w:rsidR="00F512E5" w:rsidRPr="00A634FA" w:rsidRDefault="00F512E5" w:rsidP="00C344F6">
            <w:pPr>
              <w:jc w:val="center"/>
              <w:rPr>
                <w:rFonts w:ascii="Arial Narrow" w:hAnsi="Arial Narrow" w:cs="Arial"/>
                <w:sz w:val="16"/>
                <w:szCs w:val="16"/>
              </w:rPr>
            </w:pPr>
            <w:r>
              <w:rPr>
                <w:rFonts w:ascii="Arial Narrow" w:hAnsi="Arial Narrow" w:cs="Arial"/>
                <w:sz w:val="16"/>
                <w:szCs w:val="16"/>
              </w:rPr>
              <w:t>28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18147567" w14:textId="77777777" w:rsidR="00F512E5" w:rsidRPr="00F10DE3" w:rsidRDefault="00F512E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cBorders>
            <w:shd w:val="clear" w:color="auto" w:fill="FFFF00"/>
            <w:vAlign w:val="center"/>
          </w:tcPr>
          <w:p w14:paraId="63E8B25A" w14:textId="029967EF" w:rsidR="00F512E5" w:rsidRPr="0012603B" w:rsidRDefault="0012603B" w:rsidP="00C344F6">
            <w:pPr>
              <w:jc w:val="center"/>
              <w:rPr>
                <w:rFonts w:ascii="Arial Narrow" w:hAnsi="Arial Narrow" w:cs="Arial"/>
                <w:b/>
                <w:bCs/>
                <w:sz w:val="16"/>
                <w:szCs w:val="16"/>
              </w:rPr>
            </w:pPr>
            <w:r w:rsidRPr="0012603B">
              <w:rPr>
                <w:rFonts w:ascii="Arial Narrow" w:hAnsi="Arial Narrow" w:cs="Arial"/>
                <w:b/>
                <w:bCs/>
                <w:sz w:val="16"/>
                <w:szCs w:val="16"/>
              </w:rPr>
              <w:t>1</w:t>
            </w:r>
          </w:p>
        </w:tc>
        <w:tc>
          <w:tcPr>
            <w:tcW w:w="1162" w:type="dxa"/>
            <w:tcBorders>
              <w:top w:val="single" w:sz="18" w:space="0" w:color="BFBFBF"/>
              <w:left w:val="single" w:sz="18" w:space="0" w:color="BFBFBF"/>
              <w:right w:val="single" w:sz="18" w:space="0" w:color="C0C0C0"/>
            </w:tcBorders>
            <w:shd w:val="clear" w:color="auto" w:fill="auto"/>
            <w:vAlign w:val="center"/>
          </w:tcPr>
          <w:p w14:paraId="710F20E7" w14:textId="2070BE7C"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6C6E2192" w14:textId="131B63C8"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80ACE5B" w14:textId="4AD6E88C" w:rsidR="00F512E5" w:rsidRPr="00F10DE3" w:rsidRDefault="00F512E5"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19B5DB0" w14:textId="75BFC91A" w:rsidR="00F512E5"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12603B" w:rsidRPr="00BC2C5D" w14:paraId="4F42726F" w14:textId="77777777" w:rsidTr="00ED4568">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547AAE0E" w14:textId="4BBC6B6C" w:rsidR="0012603B" w:rsidRPr="00A634FA" w:rsidRDefault="0012603B" w:rsidP="00C344F6">
            <w:pPr>
              <w:jc w:val="center"/>
              <w:rPr>
                <w:rFonts w:ascii="Arial Narrow" w:hAnsi="Arial Narrow" w:cs="Arial"/>
                <w:sz w:val="16"/>
                <w:szCs w:val="16"/>
              </w:rPr>
            </w:pPr>
            <w:r>
              <w:rPr>
                <w:rFonts w:ascii="Arial Narrow" w:hAnsi="Arial Narrow" w:cs="Arial"/>
                <w:sz w:val="16"/>
                <w:szCs w:val="16"/>
              </w:rPr>
              <w:t>7 March</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1743E49" w14:textId="77777777" w:rsidR="0012603B" w:rsidRPr="00F10DE3" w:rsidRDefault="0012603B" w:rsidP="00C344F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cBorders>
            <w:shd w:val="clear" w:color="auto" w:fill="A972A9"/>
            <w:vAlign w:val="center"/>
          </w:tcPr>
          <w:p w14:paraId="638618E9" w14:textId="665397D3"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8</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2A768ACC" w14:textId="1757393B"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9</w:t>
            </w:r>
          </w:p>
        </w:tc>
        <w:tc>
          <w:tcPr>
            <w:tcW w:w="1162" w:type="dxa"/>
            <w:vMerge w:val="restart"/>
            <w:tcBorders>
              <w:top w:val="single" w:sz="18" w:space="0" w:color="auto"/>
              <w:left w:val="single" w:sz="18" w:space="0" w:color="C0C0C0"/>
              <w:right w:val="single" w:sz="18" w:space="0" w:color="C0C0C0"/>
            </w:tcBorders>
            <w:shd w:val="clear" w:color="auto" w:fill="auto"/>
            <w:vAlign w:val="center"/>
          </w:tcPr>
          <w:p w14:paraId="20B7857C" w14:textId="6804FABE" w:rsidR="0012603B" w:rsidRPr="00DC638E" w:rsidRDefault="0012603B" w:rsidP="00C344F6">
            <w:pPr>
              <w:jc w:val="center"/>
              <w:rPr>
                <w:rFonts w:ascii="Arial Narrow" w:hAnsi="Arial Narrow" w:cs="Arial"/>
                <w:color w:val="000000"/>
                <w:sz w:val="16"/>
                <w:szCs w:val="16"/>
              </w:rPr>
            </w:pP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3B88A390" w14:textId="77777777" w:rsidR="0012603B" w:rsidRPr="00F10DE3" w:rsidRDefault="0012603B" w:rsidP="00C344F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03F7AA07" w14:textId="122200CB" w:rsidR="0012603B" w:rsidRPr="00CA4D07" w:rsidRDefault="00CA4D07" w:rsidP="00CA4D07">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12603B" w:rsidRPr="00BC2C5D" w14:paraId="078DA2AE" w14:textId="77777777" w:rsidTr="00ED4568">
        <w:trPr>
          <w:trHeight w:val="285"/>
        </w:trPr>
        <w:tc>
          <w:tcPr>
            <w:tcW w:w="1526" w:type="dxa"/>
            <w:vMerge/>
            <w:tcBorders>
              <w:left w:val="single" w:sz="18" w:space="0" w:color="auto"/>
              <w:bottom w:val="single" w:sz="18" w:space="0" w:color="C0C0C0"/>
              <w:right w:val="single" w:sz="18" w:space="0" w:color="C0C0C0"/>
            </w:tcBorders>
            <w:shd w:val="clear" w:color="auto" w:fill="auto"/>
            <w:vAlign w:val="center"/>
          </w:tcPr>
          <w:p w14:paraId="3C084ACB" w14:textId="77777777" w:rsidR="0012603B" w:rsidRDefault="0012603B" w:rsidP="00C344F6">
            <w:pPr>
              <w:jc w:val="center"/>
              <w:rPr>
                <w:rFonts w:ascii="Arial Narrow" w:hAnsi="Arial Narrow" w:cs="Arial"/>
                <w:sz w:val="16"/>
                <w:szCs w:val="16"/>
              </w:rPr>
            </w:pPr>
          </w:p>
        </w:tc>
        <w:tc>
          <w:tcPr>
            <w:tcW w:w="1051" w:type="dxa"/>
            <w:vMerge/>
            <w:tcBorders>
              <w:left w:val="single" w:sz="18" w:space="0" w:color="C0C0C0"/>
              <w:bottom w:val="single" w:sz="18" w:space="0" w:color="C0C0C0"/>
              <w:right w:val="single" w:sz="18" w:space="0" w:color="C0C0C0"/>
            </w:tcBorders>
            <w:shd w:val="clear" w:color="auto" w:fill="auto"/>
            <w:vAlign w:val="center"/>
          </w:tcPr>
          <w:p w14:paraId="252A1681" w14:textId="77777777" w:rsidR="0012603B" w:rsidRPr="00F10DE3" w:rsidRDefault="0012603B" w:rsidP="00C344F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BFBFBF"/>
            </w:tcBorders>
            <w:shd w:val="clear" w:color="auto" w:fill="A972A9"/>
            <w:vAlign w:val="center"/>
          </w:tcPr>
          <w:p w14:paraId="5AAE14A6" w14:textId="77777777" w:rsidR="0012603B" w:rsidRPr="00ED4568" w:rsidRDefault="0012603B" w:rsidP="00C344F6">
            <w:pPr>
              <w:jc w:val="center"/>
              <w:rPr>
                <w:rFonts w:ascii="Arial Narrow" w:hAnsi="Arial Narrow" w:cs="Arial"/>
                <w:b/>
                <w:bCs/>
                <w:sz w:val="16"/>
                <w:szCs w:val="16"/>
              </w:rPr>
            </w:pP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635B1093" w14:textId="083B4768"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9</w:t>
            </w:r>
          </w:p>
        </w:tc>
        <w:tc>
          <w:tcPr>
            <w:tcW w:w="1162" w:type="dxa"/>
            <w:vMerge/>
            <w:tcBorders>
              <w:left w:val="single" w:sz="18" w:space="0" w:color="C0C0C0"/>
              <w:bottom w:val="single" w:sz="18" w:space="0" w:color="C0C0C0"/>
              <w:right w:val="single" w:sz="18" w:space="0" w:color="C0C0C0"/>
            </w:tcBorders>
            <w:shd w:val="clear" w:color="auto" w:fill="auto"/>
            <w:vAlign w:val="center"/>
          </w:tcPr>
          <w:p w14:paraId="3797C34D" w14:textId="77777777" w:rsidR="0012603B" w:rsidRPr="00DC638E" w:rsidRDefault="0012603B"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auto"/>
            </w:tcBorders>
            <w:shd w:val="clear" w:color="auto" w:fill="auto"/>
            <w:vAlign w:val="center"/>
          </w:tcPr>
          <w:p w14:paraId="542C2A07" w14:textId="77777777" w:rsidR="0012603B" w:rsidRPr="00F10DE3" w:rsidRDefault="0012603B"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3D552C34" w14:textId="77777777" w:rsidR="0012603B" w:rsidRPr="008805E5" w:rsidRDefault="0012603B" w:rsidP="00C344F6">
            <w:pPr>
              <w:jc w:val="center"/>
              <w:rPr>
                <w:rFonts w:ascii="Arial Narrow" w:hAnsi="Arial Narrow" w:cs="Arial"/>
                <w:sz w:val="16"/>
                <w:szCs w:val="16"/>
              </w:rPr>
            </w:pPr>
          </w:p>
        </w:tc>
      </w:tr>
      <w:tr w:rsidR="00F512E5" w:rsidRPr="00BC2C5D" w14:paraId="1709D6A1"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1BF0A00" w14:textId="2F516386" w:rsidR="00F512E5" w:rsidRPr="00390B39" w:rsidRDefault="00F512E5" w:rsidP="00C344F6">
            <w:pPr>
              <w:jc w:val="center"/>
              <w:rPr>
                <w:rFonts w:ascii="Arial Narrow" w:hAnsi="Arial Narrow" w:cs="Arial"/>
                <w:sz w:val="16"/>
                <w:szCs w:val="16"/>
              </w:rPr>
            </w:pPr>
            <w:r>
              <w:rPr>
                <w:rFonts w:ascii="Arial Narrow" w:hAnsi="Arial Narrow" w:cs="Arial"/>
                <w:sz w:val="16"/>
                <w:szCs w:val="16"/>
              </w:rPr>
              <w:t>14 March</w:t>
            </w:r>
          </w:p>
        </w:tc>
        <w:tc>
          <w:tcPr>
            <w:tcW w:w="1051" w:type="dxa"/>
            <w:tcBorders>
              <w:top w:val="single" w:sz="18" w:space="0" w:color="C0C0C0"/>
              <w:left w:val="single" w:sz="18" w:space="0" w:color="C0C0C0"/>
              <w:right w:val="single" w:sz="18" w:space="0" w:color="C0C0C0"/>
            </w:tcBorders>
            <w:shd w:val="clear" w:color="auto" w:fill="auto"/>
            <w:vAlign w:val="center"/>
          </w:tcPr>
          <w:p w14:paraId="28EF7F10" w14:textId="77777777" w:rsidR="00F512E5" w:rsidRPr="00F10DE3"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06EA5338" w14:textId="59E11CE1"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15</w:t>
            </w:r>
          </w:p>
        </w:tc>
        <w:tc>
          <w:tcPr>
            <w:tcW w:w="1162" w:type="dxa"/>
            <w:tcBorders>
              <w:top w:val="single" w:sz="18" w:space="0" w:color="C0C0C0"/>
              <w:left w:val="single" w:sz="18" w:space="0" w:color="BFBFBF"/>
              <w:right w:val="single" w:sz="18" w:space="0" w:color="C0C0C0"/>
            </w:tcBorders>
            <w:shd w:val="clear" w:color="auto" w:fill="FF0000"/>
            <w:vAlign w:val="center"/>
          </w:tcPr>
          <w:p w14:paraId="66874CFB" w14:textId="0FDE5BD3"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16</w:t>
            </w:r>
          </w:p>
        </w:tc>
        <w:tc>
          <w:tcPr>
            <w:tcW w:w="1162" w:type="dxa"/>
            <w:tcBorders>
              <w:top w:val="single" w:sz="18" w:space="0" w:color="C0C0C0"/>
              <w:left w:val="single" w:sz="18" w:space="0" w:color="C0C0C0"/>
              <w:right w:val="single" w:sz="18" w:space="0" w:color="C0C0C0"/>
            </w:tcBorders>
            <w:shd w:val="clear" w:color="auto" w:fill="FF0000"/>
            <w:vAlign w:val="center"/>
          </w:tcPr>
          <w:p w14:paraId="6FA11784" w14:textId="11B1A573"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17</w:t>
            </w:r>
          </w:p>
        </w:tc>
        <w:tc>
          <w:tcPr>
            <w:tcW w:w="1162" w:type="dxa"/>
            <w:tcBorders>
              <w:top w:val="single" w:sz="18" w:space="0" w:color="C0C0C0"/>
              <w:left w:val="single" w:sz="18" w:space="0" w:color="C0C0C0"/>
              <w:right w:val="single" w:sz="18" w:space="0" w:color="auto"/>
            </w:tcBorders>
            <w:shd w:val="clear" w:color="auto" w:fill="auto"/>
            <w:vAlign w:val="center"/>
          </w:tcPr>
          <w:p w14:paraId="12101718" w14:textId="77777777" w:rsidR="00F512E5" w:rsidRPr="00F10DE3"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0E52BC2E" w14:textId="6183A371" w:rsidR="00F512E5" w:rsidRPr="008805E5" w:rsidRDefault="00F512E5" w:rsidP="00C344F6">
            <w:pPr>
              <w:jc w:val="center"/>
              <w:rPr>
                <w:rFonts w:ascii="Arial Narrow" w:hAnsi="Arial Narrow"/>
                <w:color w:val="31849B"/>
                <w:sz w:val="16"/>
                <w:szCs w:val="16"/>
              </w:rPr>
            </w:pPr>
          </w:p>
        </w:tc>
      </w:tr>
      <w:tr w:rsidR="00ED4568" w:rsidRPr="00BC2C5D" w14:paraId="73DF2101" w14:textId="77777777" w:rsidTr="00CA4D07">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600C85E9" w:rsidR="00ED4568" w:rsidRPr="00390B39" w:rsidRDefault="00ED4568" w:rsidP="00C344F6">
            <w:pPr>
              <w:jc w:val="center"/>
              <w:rPr>
                <w:rFonts w:ascii="Arial Narrow" w:hAnsi="Arial Narrow" w:cs="Arial"/>
                <w:sz w:val="16"/>
                <w:szCs w:val="16"/>
              </w:rPr>
            </w:pPr>
            <w:r>
              <w:rPr>
                <w:rFonts w:ascii="Arial Narrow" w:hAnsi="Arial Narrow" w:cs="Arial"/>
                <w:sz w:val="16"/>
                <w:szCs w:val="16"/>
              </w:rPr>
              <w:t>21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ED4568" w:rsidRPr="00F10DE3" w:rsidRDefault="00ED4568"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052E831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22</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587EA42C" w14:textId="6FEB45FA"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23</w:t>
            </w:r>
          </w:p>
        </w:tc>
        <w:tc>
          <w:tcPr>
            <w:tcW w:w="1162" w:type="dxa"/>
            <w:vMerge w:val="restart"/>
            <w:tcBorders>
              <w:top w:val="single" w:sz="18" w:space="0" w:color="C0C0C0"/>
              <w:left w:val="single" w:sz="18" w:space="0" w:color="C0C0C0"/>
              <w:right w:val="single" w:sz="18" w:space="0" w:color="C0C0C0"/>
            </w:tcBorders>
            <w:shd w:val="clear" w:color="auto" w:fill="769250"/>
            <w:vAlign w:val="center"/>
          </w:tcPr>
          <w:p w14:paraId="0D6D0741" w14:textId="6AB2B987"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24</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ED4568" w:rsidRPr="00F10DE3" w:rsidRDefault="00ED4568"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51256E66" w:rsidR="00ED4568" w:rsidRPr="000857D8" w:rsidRDefault="00CA4D0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ED4568" w:rsidRPr="00BC2C5D" w14:paraId="60BE58F8" w14:textId="77777777" w:rsidTr="00CA4D07">
        <w:trPr>
          <w:trHeight w:val="284"/>
        </w:trPr>
        <w:tc>
          <w:tcPr>
            <w:tcW w:w="1526" w:type="dxa"/>
            <w:vMerge/>
            <w:tcBorders>
              <w:left w:val="single" w:sz="18" w:space="0" w:color="auto"/>
              <w:right w:val="single" w:sz="18" w:space="0" w:color="C0C0C0"/>
            </w:tcBorders>
            <w:shd w:val="clear" w:color="auto" w:fill="auto"/>
            <w:vAlign w:val="center"/>
          </w:tcPr>
          <w:p w14:paraId="17F7CD33" w14:textId="77777777" w:rsidR="00ED4568" w:rsidRDefault="00ED4568"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887DC65" w14:textId="77777777" w:rsidR="00ED4568" w:rsidRPr="00F10DE3" w:rsidRDefault="00ED4568"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2F1ED161" w14:textId="0552AFF7"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22</w:t>
            </w:r>
          </w:p>
        </w:tc>
        <w:tc>
          <w:tcPr>
            <w:tcW w:w="1162"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4C53430A" w14:textId="2A3E2477"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23</w:t>
            </w:r>
          </w:p>
        </w:tc>
        <w:tc>
          <w:tcPr>
            <w:tcW w:w="1162" w:type="dxa"/>
            <w:vMerge/>
            <w:tcBorders>
              <w:left w:val="single" w:sz="18" w:space="0" w:color="C0C0C0"/>
              <w:right w:val="single" w:sz="18" w:space="0" w:color="C0C0C0"/>
            </w:tcBorders>
            <w:shd w:val="clear" w:color="auto" w:fill="769250"/>
            <w:vAlign w:val="center"/>
          </w:tcPr>
          <w:p w14:paraId="313FB771" w14:textId="77777777" w:rsidR="00ED4568" w:rsidRPr="00DC638E" w:rsidRDefault="00ED4568"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746D3799" w14:textId="77777777" w:rsidR="00ED4568" w:rsidRPr="00F10DE3" w:rsidRDefault="00ED4568"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1CFAE8B6" w14:textId="77777777" w:rsidR="00ED4568" w:rsidRPr="009E4A93" w:rsidRDefault="00ED4568" w:rsidP="00C344F6">
            <w:pPr>
              <w:jc w:val="center"/>
              <w:rPr>
                <w:rFonts w:ascii="Arial Narrow" w:hAnsi="Arial Narrow"/>
                <w:sz w:val="16"/>
                <w:szCs w:val="16"/>
              </w:rPr>
            </w:pPr>
          </w:p>
        </w:tc>
      </w:tr>
      <w:tr w:rsidR="00ED4568" w:rsidRPr="00BC2C5D" w14:paraId="307A9FC1" w14:textId="77777777" w:rsidTr="000857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7FD1798" w:rsidR="00ED4568" w:rsidRPr="00390B39" w:rsidRDefault="00ED4568" w:rsidP="00C344F6">
            <w:pPr>
              <w:jc w:val="center"/>
              <w:rPr>
                <w:rFonts w:ascii="Arial Narrow" w:hAnsi="Arial Narrow" w:cs="Arial"/>
                <w:sz w:val="16"/>
                <w:szCs w:val="16"/>
              </w:rPr>
            </w:pPr>
            <w:r>
              <w:rPr>
                <w:rFonts w:ascii="Arial Narrow" w:hAnsi="Arial Narrow" w:cs="Arial"/>
                <w:sz w:val="16"/>
                <w:szCs w:val="16"/>
              </w:rPr>
              <w:t>28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ED4568" w:rsidRPr="00A634FA" w:rsidRDefault="00ED4568" w:rsidP="00C344F6">
            <w:pPr>
              <w:jc w:val="center"/>
              <w:rPr>
                <w:rFonts w:ascii="Arial Narrow" w:hAnsi="Arial Narrow" w:cs="Arial"/>
                <w:color w:val="000000"/>
                <w:sz w:val="16"/>
                <w:szCs w:val="16"/>
              </w:rPr>
            </w:pPr>
          </w:p>
        </w:tc>
        <w:tc>
          <w:tcPr>
            <w:tcW w:w="1162" w:type="dxa"/>
            <w:vMerge w:val="restart"/>
            <w:tcBorders>
              <w:top w:val="single" w:sz="18" w:space="0" w:color="BFBFBF"/>
              <w:left w:val="single" w:sz="18" w:space="0" w:color="C0C0C0"/>
              <w:right w:val="single" w:sz="18" w:space="0" w:color="BFBFBF"/>
            </w:tcBorders>
            <w:shd w:val="clear" w:color="auto" w:fill="auto"/>
            <w:vAlign w:val="center"/>
          </w:tcPr>
          <w:p w14:paraId="7C5A4051" w14:textId="381E69BE" w:rsidR="00ED4568" w:rsidRPr="00DC638E" w:rsidRDefault="00ED4568" w:rsidP="00C344F6">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10142A7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30</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1F3F07A" w14:textId="044FE06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ED4568" w:rsidRPr="00A634FA" w:rsidRDefault="00ED4568"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992EBB3" w:rsidR="00ED4568"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ED4568" w:rsidRPr="00BC2C5D" w14:paraId="1DB0A2C6" w14:textId="77777777" w:rsidTr="000857D8">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4486D2F2" w14:textId="77777777" w:rsidR="00ED4568" w:rsidRDefault="00ED4568" w:rsidP="00C344F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03575C71" w14:textId="77777777" w:rsidR="00ED4568" w:rsidRPr="00A634FA" w:rsidRDefault="00ED4568"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auto"/>
              <w:right w:val="single" w:sz="18" w:space="0" w:color="BFBFBF"/>
            </w:tcBorders>
            <w:shd w:val="clear" w:color="auto" w:fill="auto"/>
            <w:vAlign w:val="center"/>
          </w:tcPr>
          <w:p w14:paraId="49821C50" w14:textId="77777777" w:rsidR="00ED4568" w:rsidRPr="00DC638E" w:rsidRDefault="00ED4568" w:rsidP="00C344F6">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FF0000"/>
            <w:vAlign w:val="center"/>
          </w:tcPr>
          <w:p w14:paraId="1F850AEC" w14:textId="77777777" w:rsidR="00ED4568" w:rsidRPr="00ED4568" w:rsidRDefault="00ED4568" w:rsidP="00C344F6">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31849B"/>
            <w:vAlign w:val="center"/>
          </w:tcPr>
          <w:p w14:paraId="4E00BBC0" w14:textId="0EA3BCF9"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31</w:t>
            </w:r>
          </w:p>
        </w:tc>
        <w:tc>
          <w:tcPr>
            <w:tcW w:w="1162" w:type="dxa"/>
            <w:vMerge/>
            <w:tcBorders>
              <w:left w:val="single" w:sz="18" w:space="0" w:color="C0C0C0"/>
              <w:bottom w:val="single" w:sz="18" w:space="0" w:color="auto"/>
              <w:right w:val="single" w:sz="18" w:space="0" w:color="auto"/>
            </w:tcBorders>
            <w:shd w:val="clear" w:color="auto" w:fill="auto"/>
            <w:vAlign w:val="center"/>
          </w:tcPr>
          <w:p w14:paraId="0D2FA18D" w14:textId="77777777" w:rsidR="00ED4568" w:rsidRPr="00A634FA" w:rsidRDefault="00ED4568"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775547CE" w14:textId="77777777" w:rsidR="00ED4568" w:rsidRPr="009E4A93" w:rsidRDefault="00ED4568" w:rsidP="00C344F6">
            <w:pPr>
              <w:jc w:val="center"/>
              <w:rPr>
                <w:rFonts w:ascii="Arial Narrow" w:hAnsi="Arial Narrow"/>
                <w:sz w:val="16"/>
                <w:szCs w:val="16"/>
              </w:rPr>
            </w:pPr>
          </w:p>
        </w:tc>
      </w:tr>
      <w:tr w:rsidR="00C344F6" w:rsidRPr="00BC2C5D" w14:paraId="04B98309" w14:textId="77777777" w:rsidTr="00CA4D07">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06B5257B" w:rsidR="00C344F6" w:rsidRPr="00390B39" w:rsidRDefault="009159C4" w:rsidP="00C344F6">
            <w:pPr>
              <w:jc w:val="center"/>
              <w:rPr>
                <w:rFonts w:ascii="Arial Narrow" w:hAnsi="Arial Narrow" w:cs="Arial"/>
                <w:sz w:val="16"/>
                <w:szCs w:val="16"/>
              </w:rPr>
            </w:pPr>
            <w:r>
              <w:rPr>
                <w:rFonts w:ascii="Arial Narrow" w:hAnsi="Arial Narrow" w:cs="Arial"/>
                <w:sz w:val="16"/>
                <w:szCs w:val="16"/>
              </w:rPr>
              <w:t>4 April</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FF0000"/>
            <w:vAlign w:val="center"/>
          </w:tcPr>
          <w:p w14:paraId="0A7AAF2C" w14:textId="0ECCEC0C" w:rsidR="00C344F6"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 xml:space="preserve">5 </w:t>
            </w:r>
            <w:r w:rsidRPr="00ED4568">
              <w:rPr>
                <w:rFonts w:ascii="Arial Narrow" w:hAnsi="Arial Narrow" w:cs="Arial"/>
                <w:b/>
                <w:bCs/>
                <w:color w:val="000000"/>
                <w:sz w:val="16"/>
                <w:szCs w:val="16"/>
              </w:rPr>
              <w:br/>
              <w:t>½ 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F9ED47F" w14:textId="01CB8248"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B4AD7BE" w14:textId="77777777"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71435210" w14:textId="40AD0C44" w:rsidR="00C344F6" w:rsidRPr="00C344F6"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3EB018F0" w14:textId="25F8F433" w:rsidR="00C344F6"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C344F6" w:rsidRPr="00BC2C5D" w14:paraId="1920F1D5"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9CA0660" w14:textId="5BB9595A" w:rsidR="00C344F6" w:rsidRPr="00A634FA" w:rsidRDefault="009159C4" w:rsidP="00C344F6">
            <w:pPr>
              <w:jc w:val="center"/>
              <w:rPr>
                <w:rFonts w:ascii="Arial Narrow" w:hAnsi="Arial Narrow" w:cs="Arial"/>
                <w:sz w:val="16"/>
                <w:szCs w:val="16"/>
              </w:rPr>
            </w:pPr>
            <w:r>
              <w:rPr>
                <w:rFonts w:ascii="Arial Narrow" w:hAnsi="Arial Narrow" w:cs="Arial"/>
                <w:sz w:val="16"/>
                <w:szCs w:val="16"/>
              </w:rPr>
              <w:t>11 April</w:t>
            </w:r>
          </w:p>
        </w:tc>
        <w:tc>
          <w:tcPr>
            <w:tcW w:w="1051" w:type="dxa"/>
            <w:tcBorders>
              <w:top w:val="single" w:sz="18" w:space="0" w:color="C0C0C0"/>
              <w:left w:val="single" w:sz="18" w:space="0" w:color="C0C0C0"/>
              <w:right w:val="single" w:sz="18" w:space="0" w:color="C0C0C0"/>
            </w:tcBorders>
            <w:shd w:val="clear" w:color="auto" w:fill="D9D9D9"/>
            <w:vAlign w:val="center"/>
          </w:tcPr>
          <w:p w14:paraId="56638F21" w14:textId="6B9136FB"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4476C160" w14:textId="76C66E76" w:rsidR="00C344F6"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12</w:t>
            </w:r>
            <w:r w:rsidRPr="00ED4568">
              <w:rPr>
                <w:rFonts w:ascii="Arial Narrow" w:hAnsi="Arial Narrow" w:cs="Arial"/>
                <w:b/>
                <w:bCs/>
                <w:color w:val="000000"/>
                <w:sz w:val="16"/>
                <w:szCs w:val="16"/>
              </w:rPr>
              <w:br/>
              <w:t>½ day</w:t>
            </w:r>
          </w:p>
        </w:tc>
        <w:tc>
          <w:tcPr>
            <w:tcW w:w="1162" w:type="dxa"/>
            <w:tcBorders>
              <w:top w:val="single" w:sz="18" w:space="0" w:color="C0C0C0"/>
              <w:left w:val="single" w:sz="18" w:space="0" w:color="BFBFBF"/>
              <w:right w:val="single" w:sz="18" w:space="0" w:color="C0C0C0"/>
            </w:tcBorders>
            <w:shd w:val="clear" w:color="auto" w:fill="D9D9D9"/>
            <w:vAlign w:val="center"/>
          </w:tcPr>
          <w:p w14:paraId="1AE5584B" w14:textId="7664C091"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B78F59B" w14:textId="123C7DE1"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1A733CA3" w14:textId="6E80F267" w:rsidR="00C344F6" w:rsidRPr="00A634FA" w:rsidRDefault="00ED4568"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51EA0079" w14:textId="4BD2B56C" w:rsidR="00C344F6" w:rsidRPr="00ED4568" w:rsidRDefault="00ED4568" w:rsidP="00ED4568">
            <w:pPr>
              <w:jc w:val="center"/>
              <w:rPr>
                <w:rFonts w:ascii="Arial Narrow" w:hAnsi="Arial Narrow" w:cs="Arial"/>
                <w:color w:val="244061"/>
                <w:sz w:val="16"/>
                <w:szCs w:val="16"/>
              </w:rPr>
            </w:pPr>
            <w:r>
              <w:rPr>
                <w:rFonts w:ascii="Arial Narrow" w:hAnsi="Arial Narrow" w:cs="Arial"/>
                <w:color w:val="244061"/>
                <w:sz w:val="16"/>
                <w:szCs w:val="16"/>
                <w:highlight w:val="yellow"/>
              </w:rPr>
              <w:t>1</w:t>
            </w:r>
            <w:r w:rsidR="003F18E3">
              <w:rPr>
                <w:rFonts w:ascii="Arial Narrow" w:hAnsi="Arial Narrow" w:cs="Arial"/>
                <w:color w:val="244061"/>
                <w:sz w:val="16"/>
                <w:szCs w:val="16"/>
                <w:highlight w:val="yellow"/>
              </w:rPr>
              <w:t>5</w:t>
            </w:r>
            <w:r>
              <w:rPr>
                <w:rFonts w:ascii="Arial Narrow" w:hAnsi="Arial Narrow" w:cs="Arial"/>
                <w:color w:val="244061"/>
                <w:sz w:val="16"/>
                <w:szCs w:val="16"/>
                <w:highlight w:val="yellow"/>
              </w:rPr>
              <w:t xml:space="preserve"> Good Friday</w:t>
            </w:r>
          </w:p>
        </w:tc>
      </w:tr>
      <w:tr w:rsidR="00F512E5" w:rsidRPr="00BC2C5D" w14:paraId="3D55130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5B1B28E1" w:rsidR="00F512E5" w:rsidRPr="00A634FA" w:rsidRDefault="00F512E5" w:rsidP="00C344F6">
            <w:pPr>
              <w:jc w:val="center"/>
              <w:rPr>
                <w:rFonts w:ascii="Arial Narrow" w:hAnsi="Arial Narrow" w:cs="Arial"/>
                <w:sz w:val="16"/>
                <w:szCs w:val="16"/>
              </w:rPr>
            </w:pPr>
            <w:r>
              <w:rPr>
                <w:rFonts w:ascii="Arial Narrow" w:hAnsi="Arial Narrow" w:cs="Arial"/>
                <w:sz w:val="16"/>
                <w:szCs w:val="16"/>
              </w:rPr>
              <w:t>18 April</w:t>
            </w:r>
          </w:p>
        </w:tc>
        <w:tc>
          <w:tcPr>
            <w:tcW w:w="1051" w:type="dxa"/>
            <w:tcBorders>
              <w:top w:val="single" w:sz="18" w:space="0" w:color="C0C0C0"/>
              <w:left w:val="single" w:sz="18" w:space="0" w:color="C0C0C0"/>
              <w:right w:val="single" w:sz="18" w:space="0" w:color="C0C0C0"/>
            </w:tcBorders>
            <w:shd w:val="clear" w:color="auto" w:fill="D9D9D9"/>
            <w:vAlign w:val="center"/>
          </w:tcPr>
          <w:p w14:paraId="3BBBD21F" w14:textId="1CB3DE12" w:rsidR="00F512E5" w:rsidRPr="00A634FA" w:rsidRDefault="00C241DF"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auto"/>
            <w:vAlign w:val="center"/>
          </w:tcPr>
          <w:p w14:paraId="2F78CCA0" w14:textId="4A331E5A"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972A9"/>
            <w:vAlign w:val="center"/>
          </w:tcPr>
          <w:p w14:paraId="484ED60A" w14:textId="553CE4CF" w:rsidR="00F512E5"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20</w:t>
            </w:r>
          </w:p>
        </w:tc>
        <w:tc>
          <w:tcPr>
            <w:tcW w:w="1162" w:type="dxa"/>
            <w:tcBorders>
              <w:top w:val="single" w:sz="18" w:space="0" w:color="C0C0C0"/>
              <w:left w:val="single" w:sz="18" w:space="0" w:color="C0C0C0"/>
              <w:right w:val="single" w:sz="18" w:space="0" w:color="C0C0C0"/>
            </w:tcBorders>
            <w:shd w:val="clear" w:color="auto" w:fill="auto"/>
            <w:vAlign w:val="center"/>
          </w:tcPr>
          <w:p w14:paraId="13761527" w14:textId="70D63837" w:rsidR="00F512E5" w:rsidRPr="00DC638E"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341632A4" w14:textId="77777777" w:rsidR="00F512E5" w:rsidRPr="00A634FA"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84F82AE" w14:textId="4B97EE3A" w:rsidR="00F512E5" w:rsidRPr="008805E5" w:rsidRDefault="00C241DF" w:rsidP="00C344F6">
            <w:pPr>
              <w:jc w:val="center"/>
              <w:rPr>
                <w:rFonts w:ascii="Arial Narrow" w:hAnsi="Arial Narrow"/>
                <w:sz w:val="16"/>
                <w:szCs w:val="16"/>
              </w:rPr>
            </w:pPr>
            <w:r>
              <w:rPr>
                <w:rFonts w:ascii="Arial Narrow" w:hAnsi="Arial Narrow" w:cs="Arial"/>
                <w:color w:val="244061"/>
                <w:sz w:val="16"/>
                <w:szCs w:val="16"/>
                <w:highlight w:val="yellow"/>
              </w:rPr>
              <w:t>18 Easter Monday</w:t>
            </w:r>
          </w:p>
        </w:tc>
      </w:tr>
      <w:tr w:rsidR="00C241DF" w:rsidRPr="00BC2C5D" w14:paraId="172CB696" w14:textId="77777777" w:rsidTr="00CA4D07">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785823F5" w:rsidR="00C241DF" w:rsidRPr="00A634FA" w:rsidRDefault="00C241DF" w:rsidP="00C344F6">
            <w:pPr>
              <w:jc w:val="center"/>
              <w:rPr>
                <w:rFonts w:ascii="Arial Narrow" w:hAnsi="Arial Narrow" w:cs="Arial"/>
                <w:sz w:val="16"/>
                <w:szCs w:val="16"/>
              </w:rPr>
            </w:pPr>
            <w:r>
              <w:rPr>
                <w:rFonts w:ascii="Arial Narrow" w:hAnsi="Arial Narrow" w:cs="Arial"/>
                <w:sz w:val="16"/>
                <w:szCs w:val="16"/>
              </w:rPr>
              <w:t>25 April</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B5B1DEC" w:rsidR="00C241DF" w:rsidRPr="00A634FA" w:rsidRDefault="00C241DF"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6A7880B7" w14:textId="1ECADFBC" w:rsidR="00C241DF"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26</w:t>
            </w:r>
          </w:p>
        </w:tc>
        <w:tc>
          <w:tcPr>
            <w:tcW w:w="1162" w:type="dxa"/>
            <w:tcBorders>
              <w:top w:val="single" w:sz="18" w:space="0" w:color="C0C0C0"/>
              <w:left w:val="single" w:sz="18" w:space="0" w:color="BFBFBF"/>
              <w:bottom w:val="nil"/>
              <w:right w:val="single" w:sz="18" w:space="0" w:color="C0C0C0"/>
            </w:tcBorders>
            <w:shd w:val="clear" w:color="auto" w:fill="FF0000"/>
            <w:vAlign w:val="center"/>
          </w:tcPr>
          <w:p w14:paraId="2BEECBCA" w14:textId="65F9F1D6" w:rsidR="00C241DF" w:rsidRPr="00C241DF" w:rsidRDefault="00C241DF" w:rsidP="00C344F6">
            <w:pPr>
              <w:jc w:val="center"/>
              <w:rPr>
                <w:rFonts w:ascii="Arial Narrow" w:hAnsi="Arial Narrow" w:cs="Arial"/>
                <w:b/>
                <w:bCs/>
                <w:sz w:val="16"/>
                <w:szCs w:val="16"/>
              </w:rPr>
            </w:pPr>
            <w:r w:rsidRPr="00C241DF">
              <w:rPr>
                <w:rFonts w:ascii="Arial Narrow" w:hAnsi="Arial Narrow" w:cs="Arial"/>
                <w:b/>
                <w:bCs/>
                <w:sz w:val="16"/>
                <w:szCs w:val="16"/>
              </w:rPr>
              <w:t>27</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43B301C1" w:rsidR="00C241DF"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28</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C241DF" w:rsidRPr="00A634FA" w:rsidRDefault="00C241DF"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03894A3" w14:textId="77777777" w:rsidR="00C241DF" w:rsidRDefault="00C241DF" w:rsidP="00C344F6">
            <w:pPr>
              <w:jc w:val="center"/>
              <w:rPr>
                <w:rFonts w:ascii="Arial Narrow" w:hAnsi="Arial Narrow" w:cs="Arial"/>
                <w:color w:val="244061"/>
                <w:sz w:val="16"/>
                <w:szCs w:val="16"/>
              </w:rPr>
            </w:pPr>
            <w:r>
              <w:rPr>
                <w:rFonts w:ascii="Arial Narrow" w:hAnsi="Arial Narrow" w:cs="Arial"/>
                <w:color w:val="244061"/>
                <w:sz w:val="16"/>
                <w:szCs w:val="16"/>
                <w:highlight w:val="yellow"/>
              </w:rPr>
              <w:t>25 Anzac Day Public Holida</w:t>
            </w:r>
            <w:r w:rsidRPr="00C241DF">
              <w:rPr>
                <w:rFonts w:ascii="Arial Narrow" w:hAnsi="Arial Narrow" w:cs="Arial"/>
                <w:color w:val="244061"/>
                <w:sz w:val="16"/>
                <w:szCs w:val="16"/>
                <w:highlight w:val="yellow"/>
              </w:rPr>
              <w:t>y</w:t>
            </w:r>
          </w:p>
          <w:p w14:paraId="7B200A01" w14:textId="65AADA59" w:rsidR="000857D8" w:rsidRPr="009E4A93" w:rsidRDefault="000857D8" w:rsidP="00C344F6">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C241DF" w:rsidRPr="00BC2C5D" w14:paraId="58D90D04" w14:textId="77777777" w:rsidTr="00CA4D07">
        <w:trPr>
          <w:trHeight w:val="284"/>
        </w:trPr>
        <w:tc>
          <w:tcPr>
            <w:tcW w:w="1526" w:type="dxa"/>
            <w:vMerge/>
            <w:tcBorders>
              <w:left w:val="single" w:sz="18" w:space="0" w:color="auto"/>
              <w:right w:val="single" w:sz="18" w:space="0" w:color="C0C0C0"/>
            </w:tcBorders>
            <w:shd w:val="clear" w:color="auto" w:fill="auto"/>
            <w:vAlign w:val="center"/>
          </w:tcPr>
          <w:p w14:paraId="14377E5E" w14:textId="77777777" w:rsidR="00C241DF" w:rsidRDefault="00C241DF"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FF78EBA" w14:textId="77777777" w:rsidR="00C241DF" w:rsidRPr="004E471D" w:rsidRDefault="00C241DF" w:rsidP="00C344F6">
            <w:pPr>
              <w:jc w:val="center"/>
              <w:rPr>
                <w:rFonts w:ascii="Arial Narrow" w:hAnsi="Arial Narrow" w:cs="Arial"/>
                <w:color w:val="FF0000"/>
                <w:sz w:val="16"/>
                <w:szCs w:val="16"/>
                <w:highlight w:val="yellow"/>
              </w:rPr>
            </w:pPr>
          </w:p>
        </w:tc>
        <w:tc>
          <w:tcPr>
            <w:tcW w:w="1162" w:type="dxa"/>
            <w:vMerge/>
            <w:tcBorders>
              <w:left w:val="single" w:sz="18" w:space="0" w:color="C0C0C0"/>
              <w:right w:val="single" w:sz="18" w:space="0" w:color="BFBFBF"/>
            </w:tcBorders>
            <w:shd w:val="clear" w:color="auto" w:fill="FFFF00"/>
            <w:vAlign w:val="center"/>
          </w:tcPr>
          <w:p w14:paraId="472B4059" w14:textId="77777777" w:rsidR="00C241DF" w:rsidRDefault="00C241DF" w:rsidP="00C344F6">
            <w:pPr>
              <w:jc w:val="center"/>
              <w:rPr>
                <w:rFonts w:ascii="Arial Narrow" w:hAnsi="Arial Narrow" w:cs="Arial"/>
                <w:color w:val="000000"/>
                <w:sz w:val="16"/>
                <w:szCs w:val="16"/>
              </w:rPr>
            </w:pPr>
          </w:p>
        </w:tc>
        <w:tc>
          <w:tcPr>
            <w:tcW w:w="1162" w:type="dxa"/>
            <w:tcBorders>
              <w:top w:val="nil"/>
              <w:left w:val="single" w:sz="18" w:space="0" w:color="BFBFBF"/>
              <w:bottom w:val="single" w:sz="18" w:space="0" w:color="auto"/>
              <w:right w:val="single" w:sz="18" w:space="0" w:color="C0C0C0"/>
            </w:tcBorders>
            <w:shd w:val="clear" w:color="auto" w:fill="769250"/>
            <w:vAlign w:val="center"/>
          </w:tcPr>
          <w:p w14:paraId="61507ACF" w14:textId="0CAFBBBC" w:rsidR="00C241DF" w:rsidRPr="00C241DF" w:rsidRDefault="00C241DF" w:rsidP="00C344F6">
            <w:pPr>
              <w:jc w:val="center"/>
              <w:rPr>
                <w:rFonts w:ascii="Arial Narrow" w:hAnsi="Arial Narrow" w:cs="Arial"/>
                <w:b/>
                <w:bCs/>
                <w:sz w:val="16"/>
                <w:szCs w:val="16"/>
              </w:rPr>
            </w:pPr>
            <w:r w:rsidRPr="00C241DF">
              <w:rPr>
                <w:rFonts w:ascii="Arial Narrow" w:hAnsi="Arial Narrow" w:cs="Arial"/>
                <w:b/>
                <w:bCs/>
                <w:sz w:val="16"/>
                <w:szCs w:val="16"/>
              </w:rPr>
              <w:t>27</w:t>
            </w:r>
          </w:p>
        </w:tc>
        <w:tc>
          <w:tcPr>
            <w:tcW w:w="1162" w:type="dxa"/>
            <w:vMerge/>
            <w:tcBorders>
              <w:left w:val="single" w:sz="18" w:space="0" w:color="C0C0C0"/>
              <w:right w:val="single" w:sz="18" w:space="0" w:color="C0C0C0"/>
            </w:tcBorders>
            <w:shd w:val="clear" w:color="auto" w:fill="FF0000"/>
            <w:vAlign w:val="center"/>
          </w:tcPr>
          <w:p w14:paraId="6784474A" w14:textId="77777777" w:rsidR="00C241DF" w:rsidRPr="00DC638E" w:rsidRDefault="00C241DF"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58AFD7E5" w14:textId="77777777" w:rsidR="00C241DF" w:rsidRPr="00A634FA" w:rsidRDefault="00C241DF"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6CFA4940" w14:textId="77777777" w:rsidR="00C241DF" w:rsidRDefault="00C241DF" w:rsidP="00C344F6">
            <w:pPr>
              <w:jc w:val="center"/>
              <w:rPr>
                <w:rFonts w:ascii="Arial Narrow" w:hAnsi="Arial Narrow" w:cs="Arial"/>
                <w:color w:val="244061"/>
                <w:sz w:val="16"/>
                <w:szCs w:val="16"/>
                <w:highlight w:val="yellow"/>
              </w:rPr>
            </w:pPr>
          </w:p>
        </w:tc>
      </w:tr>
      <w:tr w:rsidR="00432E06" w:rsidRPr="00BC2C5D" w14:paraId="512E60FF" w14:textId="77777777" w:rsidTr="00C241DF">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auto"/>
            <w:vAlign w:val="center"/>
          </w:tcPr>
          <w:p w14:paraId="40EA42D4" w14:textId="747E1FD1" w:rsidR="00432E06" w:rsidRPr="00A634FA" w:rsidRDefault="009159C4" w:rsidP="00C344F6">
            <w:pPr>
              <w:jc w:val="center"/>
              <w:rPr>
                <w:rFonts w:ascii="Arial Narrow" w:hAnsi="Arial Narrow" w:cs="Arial"/>
                <w:sz w:val="16"/>
                <w:szCs w:val="16"/>
              </w:rPr>
            </w:pPr>
            <w:r>
              <w:rPr>
                <w:rFonts w:ascii="Arial Narrow" w:hAnsi="Arial Narrow" w:cs="Arial"/>
                <w:sz w:val="16"/>
                <w:szCs w:val="16"/>
              </w:rPr>
              <w:t>2 May</w:t>
            </w:r>
          </w:p>
        </w:tc>
        <w:tc>
          <w:tcPr>
            <w:tcW w:w="1051" w:type="dxa"/>
            <w:tcBorders>
              <w:top w:val="single" w:sz="18" w:space="0" w:color="auto"/>
              <w:left w:val="single" w:sz="18" w:space="0" w:color="C0C0C0"/>
              <w:bottom w:val="single" w:sz="18" w:space="0" w:color="auto"/>
              <w:right w:val="single" w:sz="18" w:space="0" w:color="C0C0C0"/>
            </w:tcBorders>
            <w:shd w:val="clear" w:color="auto" w:fill="auto"/>
            <w:vAlign w:val="center"/>
          </w:tcPr>
          <w:p w14:paraId="7612969B" w14:textId="09E7A2AB" w:rsidR="00432E06" w:rsidRPr="00C344F6" w:rsidRDefault="000857D8"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auto"/>
              <w:right w:val="single" w:sz="18" w:space="0" w:color="BFBFBF"/>
            </w:tcBorders>
            <w:shd w:val="clear" w:color="auto" w:fill="auto"/>
            <w:vAlign w:val="center"/>
          </w:tcPr>
          <w:p w14:paraId="42289F1C" w14:textId="72FF7312" w:rsidR="00432E06" w:rsidRPr="00DC638E" w:rsidRDefault="00432E06" w:rsidP="00C344F6">
            <w:pPr>
              <w:ind w:left="1440" w:hanging="1440"/>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auto"/>
              <w:right w:val="single" w:sz="18" w:space="0" w:color="C0C0C0"/>
            </w:tcBorders>
            <w:shd w:val="clear" w:color="auto" w:fill="A972A9"/>
            <w:vAlign w:val="center"/>
          </w:tcPr>
          <w:p w14:paraId="2B6CD71B" w14:textId="4557293F" w:rsidR="00432E06" w:rsidRPr="00C241DF" w:rsidRDefault="00C241DF" w:rsidP="00C344F6">
            <w:pPr>
              <w:ind w:left="1440" w:hanging="1440"/>
              <w:jc w:val="center"/>
              <w:rPr>
                <w:rFonts w:ascii="Arial Narrow" w:hAnsi="Arial Narrow" w:cs="Arial"/>
                <w:b/>
                <w:bCs/>
                <w:sz w:val="16"/>
                <w:szCs w:val="16"/>
              </w:rPr>
            </w:pPr>
            <w:r w:rsidRPr="00C241DF">
              <w:rPr>
                <w:rFonts w:ascii="Arial Narrow" w:hAnsi="Arial Narrow" w:cs="Arial"/>
                <w:b/>
                <w:bCs/>
                <w:sz w:val="16"/>
                <w:szCs w:val="16"/>
              </w:rPr>
              <w:t>4</w:t>
            </w:r>
          </w:p>
        </w:tc>
        <w:tc>
          <w:tcPr>
            <w:tcW w:w="1162" w:type="dxa"/>
            <w:tcBorders>
              <w:top w:val="single" w:sz="18" w:space="0" w:color="auto"/>
              <w:left w:val="single" w:sz="18" w:space="0" w:color="C0C0C0"/>
              <w:bottom w:val="single" w:sz="18" w:space="0" w:color="auto"/>
              <w:right w:val="single" w:sz="18" w:space="0" w:color="C0C0C0"/>
            </w:tcBorders>
            <w:shd w:val="clear" w:color="auto" w:fill="A972A9"/>
            <w:vAlign w:val="center"/>
          </w:tcPr>
          <w:p w14:paraId="0984E9CC" w14:textId="3BD63173" w:rsidR="00432E06"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5</w:t>
            </w:r>
          </w:p>
        </w:tc>
        <w:tc>
          <w:tcPr>
            <w:tcW w:w="1162" w:type="dxa"/>
            <w:tcBorders>
              <w:top w:val="single" w:sz="18" w:space="0" w:color="auto"/>
              <w:left w:val="single" w:sz="18" w:space="0" w:color="C0C0C0"/>
              <w:bottom w:val="single" w:sz="18" w:space="0" w:color="auto"/>
              <w:right w:val="single" w:sz="18" w:space="0" w:color="auto"/>
            </w:tcBorders>
            <w:shd w:val="clear" w:color="auto" w:fill="auto"/>
            <w:vAlign w:val="center"/>
          </w:tcPr>
          <w:p w14:paraId="4B09F96C" w14:textId="77777777" w:rsidR="00432E06" w:rsidRPr="00A634FA" w:rsidRDefault="00432E0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8B2748E" w14:textId="7225B19C" w:rsidR="00432E06" w:rsidRPr="009E4A93" w:rsidRDefault="00C241DF" w:rsidP="00C344F6">
            <w:pPr>
              <w:jc w:val="center"/>
              <w:rPr>
                <w:rFonts w:ascii="Arial Narrow" w:hAnsi="Arial Narrow" w:cs="Arial"/>
                <w:sz w:val="16"/>
                <w:szCs w:val="16"/>
              </w:rPr>
            </w:pPr>
            <w:r>
              <w:rPr>
                <w:rFonts w:ascii="Arial Narrow" w:hAnsi="Arial Narrow" w:cs="Arial"/>
                <w:color w:val="244061"/>
                <w:sz w:val="16"/>
                <w:szCs w:val="16"/>
                <w:highlight w:val="yellow"/>
              </w:rPr>
              <w:t>2</w:t>
            </w:r>
            <w:r w:rsidRPr="00C241DF">
              <w:rPr>
                <w:rFonts w:ascii="Arial Narrow" w:hAnsi="Arial Narrow" w:cs="Arial"/>
                <w:color w:val="244061"/>
                <w:sz w:val="16"/>
                <w:szCs w:val="16"/>
                <w:highlight w:val="yellow"/>
              </w:rPr>
              <w:t xml:space="preserve"> Labour Day</w:t>
            </w: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C241DF" w:rsidRPr="00BC2C5D" w14:paraId="0CE321A3" w14:textId="77777777" w:rsidTr="00C241DF">
        <w:trPr>
          <w:trHeight w:val="190"/>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96DAD36" w14:textId="2D0C72F6" w:rsidR="00C241DF" w:rsidRPr="00390B39" w:rsidRDefault="00C241DF" w:rsidP="00C5507C">
            <w:pPr>
              <w:jc w:val="center"/>
              <w:rPr>
                <w:rFonts w:ascii="Arial Narrow" w:hAnsi="Arial Narrow" w:cs="Arial"/>
                <w:sz w:val="16"/>
                <w:szCs w:val="16"/>
              </w:rPr>
            </w:pPr>
            <w:r>
              <w:rPr>
                <w:rFonts w:ascii="Arial Narrow" w:hAnsi="Arial Narrow" w:cs="Arial"/>
                <w:sz w:val="16"/>
                <w:szCs w:val="16"/>
              </w:rPr>
              <w:t>9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C241DF" w:rsidRPr="00C344F6" w:rsidRDefault="00C241DF" w:rsidP="00C5507C">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0000"/>
            <w:vAlign w:val="center"/>
          </w:tcPr>
          <w:p w14:paraId="65468345" w14:textId="5718BB55" w:rsidR="00C241DF" w:rsidRPr="00C241DF" w:rsidRDefault="00C241DF" w:rsidP="00193311">
            <w:pPr>
              <w:jc w:val="center"/>
              <w:rPr>
                <w:rFonts w:ascii="Arial Narrow" w:hAnsi="Arial Narrow" w:cs="Arial"/>
                <w:b/>
                <w:bCs/>
                <w:sz w:val="16"/>
                <w:szCs w:val="16"/>
              </w:rPr>
            </w:pPr>
            <w:r w:rsidRPr="00C241DF">
              <w:rPr>
                <w:rFonts w:ascii="Arial Narrow" w:hAnsi="Arial Narrow" w:cs="Arial"/>
                <w:b/>
                <w:bCs/>
                <w:sz w:val="16"/>
                <w:szCs w:val="16"/>
              </w:rPr>
              <w:t>10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D26E3A1" w14:textId="68180230"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11</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7F7711A" w14:textId="118A5BAF"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C241DF" w:rsidRPr="00A634FA" w:rsidRDefault="00C241DF"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9F37BA9" w:rsidR="00C241DF" w:rsidRPr="008805E5" w:rsidRDefault="00C241DF"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C241DF" w:rsidRPr="00BC2C5D" w14:paraId="2BEF32C5" w14:textId="77777777" w:rsidTr="00C241DF">
        <w:trPr>
          <w:trHeight w:val="190"/>
        </w:trPr>
        <w:tc>
          <w:tcPr>
            <w:tcW w:w="1526" w:type="dxa"/>
            <w:vMerge/>
            <w:tcBorders>
              <w:left w:val="single" w:sz="18" w:space="0" w:color="auto"/>
              <w:right w:val="single" w:sz="18" w:space="0" w:color="C0C0C0"/>
            </w:tcBorders>
            <w:shd w:val="clear" w:color="auto" w:fill="auto"/>
            <w:vAlign w:val="center"/>
          </w:tcPr>
          <w:p w14:paraId="169688A3" w14:textId="77777777" w:rsidR="00C241DF" w:rsidRDefault="00C241DF"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804894B" w14:textId="77777777" w:rsidR="00C241DF" w:rsidRPr="00C344F6" w:rsidRDefault="00C241DF" w:rsidP="00C5507C">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0000"/>
            <w:vAlign w:val="center"/>
          </w:tcPr>
          <w:p w14:paraId="5113BEF0" w14:textId="77777777" w:rsidR="00C241DF" w:rsidRPr="00C241DF" w:rsidRDefault="00C241DF" w:rsidP="00193311">
            <w:pPr>
              <w:jc w:val="center"/>
              <w:rPr>
                <w:rFonts w:ascii="Arial Narrow" w:hAnsi="Arial Narrow" w:cs="Arial"/>
                <w:b/>
                <w:bCs/>
                <w:sz w:val="16"/>
                <w:szCs w:val="16"/>
              </w:rPr>
            </w:pPr>
          </w:p>
        </w:tc>
        <w:tc>
          <w:tcPr>
            <w:tcW w:w="1162" w:type="dxa"/>
            <w:vMerge/>
            <w:tcBorders>
              <w:left w:val="single" w:sz="18" w:space="0" w:color="BFBFBF"/>
              <w:right w:val="single" w:sz="18" w:space="0" w:color="C0C0C0"/>
            </w:tcBorders>
            <w:shd w:val="clear" w:color="auto" w:fill="FF0000"/>
            <w:vAlign w:val="center"/>
          </w:tcPr>
          <w:p w14:paraId="7D90DBF8" w14:textId="77777777" w:rsidR="00C241DF" w:rsidRPr="00C241DF" w:rsidRDefault="00C241DF" w:rsidP="00C5507C">
            <w:pPr>
              <w:jc w:val="center"/>
              <w:rPr>
                <w:rFonts w:ascii="Arial Narrow" w:hAnsi="Arial Narrow" w:cs="Arial"/>
                <w:b/>
                <w:bCs/>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3953B0AE" w14:textId="0FA72B18"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12</w:t>
            </w:r>
          </w:p>
        </w:tc>
        <w:tc>
          <w:tcPr>
            <w:tcW w:w="1162" w:type="dxa"/>
            <w:vMerge/>
            <w:tcBorders>
              <w:left w:val="single" w:sz="18" w:space="0" w:color="C0C0C0"/>
              <w:right w:val="single" w:sz="18" w:space="0" w:color="auto"/>
            </w:tcBorders>
            <w:shd w:val="clear" w:color="auto" w:fill="auto"/>
            <w:vAlign w:val="center"/>
          </w:tcPr>
          <w:p w14:paraId="5AADD927" w14:textId="77777777" w:rsidR="00C241DF" w:rsidRPr="00A634FA" w:rsidRDefault="00C241DF"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A70941E" w14:textId="77777777" w:rsidR="00C241DF" w:rsidRPr="008805E5" w:rsidRDefault="00C241DF" w:rsidP="008805E5">
            <w:pPr>
              <w:jc w:val="center"/>
              <w:rPr>
                <w:rFonts w:ascii="Arial Narrow" w:hAnsi="Arial Narrow"/>
                <w:color w:val="31849B"/>
                <w:sz w:val="16"/>
                <w:szCs w:val="16"/>
              </w:rPr>
            </w:pPr>
          </w:p>
        </w:tc>
      </w:tr>
      <w:tr w:rsidR="00C241DF" w:rsidRPr="00BC2C5D" w14:paraId="2B1037DA" w14:textId="77777777" w:rsidTr="00C241DF">
        <w:trPr>
          <w:trHeight w:val="190"/>
        </w:trPr>
        <w:tc>
          <w:tcPr>
            <w:tcW w:w="1526" w:type="dxa"/>
            <w:vMerge/>
            <w:tcBorders>
              <w:left w:val="single" w:sz="18" w:space="0" w:color="auto"/>
              <w:right w:val="single" w:sz="18" w:space="0" w:color="C0C0C0"/>
            </w:tcBorders>
            <w:shd w:val="clear" w:color="auto" w:fill="auto"/>
            <w:vAlign w:val="center"/>
          </w:tcPr>
          <w:p w14:paraId="127B6A50" w14:textId="77777777" w:rsidR="00C241DF" w:rsidRDefault="00C241DF"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AA4220" w14:textId="77777777" w:rsidR="00C241DF" w:rsidRPr="00C344F6" w:rsidRDefault="00C241DF" w:rsidP="00C5507C">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0000"/>
            <w:vAlign w:val="center"/>
          </w:tcPr>
          <w:p w14:paraId="55B78EE7" w14:textId="77777777" w:rsidR="00C241DF" w:rsidRDefault="00C241DF"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FF0000"/>
            <w:vAlign w:val="center"/>
          </w:tcPr>
          <w:p w14:paraId="7DF2267B" w14:textId="77777777" w:rsidR="00C241DF" w:rsidRDefault="00C241DF" w:rsidP="00C5507C">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4DBB3278" w14:textId="28A3282B"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12</w:t>
            </w:r>
          </w:p>
        </w:tc>
        <w:tc>
          <w:tcPr>
            <w:tcW w:w="1162" w:type="dxa"/>
            <w:vMerge/>
            <w:tcBorders>
              <w:left w:val="single" w:sz="18" w:space="0" w:color="C0C0C0"/>
              <w:right w:val="single" w:sz="18" w:space="0" w:color="auto"/>
            </w:tcBorders>
            <w:shd w:val="clear" w:color="auto" w:fill="auto"/>
            <w:vAlign w:val="center"/>
          </w:tcPr>
          <w:p w14:paraId="218C141D" w14:textId="77777777" w:rsidR="00C241DF" w:rsidRPr="00A634FA" w:rsidRDefault="00C241DF"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15EC734E" w14:textId="77777777" w:rsidR="00C241DF" w:rsidRPr="008805E5" w:rsidRDefault="00C241DF" w:rsidP="008805E5">
            <w:pPr>
              <w:jc w:val="center"/>
              <w:rPr>
                <w:rFonts w:ascii="Arial Narrow" w:hAnsi="Arial Narrow"/>
                <w:color w:val="31849B"/>
                <w:sz w:val="16"/>
                <w:szCs w:val="16"/>
              </w:rPr>
            </w:pPr>
          </w:p>
        </w:tc>
      </w:tr>
      <w:tr w:rsidR="00C241DF" w:rsidRPr="00BC2C5D" w14:paraId="3EA964B8" w14:textId="77777777" w:rsidTr="00CA4D07">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A6385D6" w14:textId="1BCB56B5" w:rsidR="00C241DF" w:rsidRPr="00390B39" w:rsidRDefault="00C241DF" w:rsidP="00C5507C">
            <w:pPr>
              <w:jc w:val="center"/>
              <w:rPr>
                <w:rFonts w:ascii="Arial Narrow" w:hAnsi="Arial Narrow" w:cs="Arial"/>
                <w:sz w:val="16"/>
                <w:szCs w:val="16"/>
              </w:rPr>
            </w:pPr>
            <w:r>
              <w:rPr>
                <w:rFonts w:ascii="Arial Narrow" w:hAnsi="Arial Narrow" w:cs="Arial"/>
                <w:sz w:val="16"/>
                <w:szCs w:val="16"/>
              </w:rPr>
              <w:t>16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C241DF" w:rsidRPr="006C79D3" w:rsidRDefault="00C241DF"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2CE9E291" w:rsidR="00C241DF" w:rsidRPr="00C241DF" w:rsidRDefault="00C241DF" w:rsidP="00987E69">
            <w:pPr>
              <w:jc w:val="center"/>
              <w:rPr>
                <w:rFonts w:ascii="Arial Narrow" w:hAnsi="Arial Narrow" w:cs="Arial"/>
                <w:b/>
                <w:bCs/>
                <w:sz w:val="16"/>
                <w:szCs w:val="16"/>
              </w:rPr>
            </w:pPr>
            <w:r w:rsidRPr="00C241DF">
              <w:rPr>
                <w:rFonts w:ascii="Arial Narrow" w:hAnsi="Arial Narrow" w:cs="Arial"/>
                <w:b/>
                <w:bCs/>
                <w:sz w:val="16"/>
                <w:szCs w:val="16"/>
              </w:rPr>
              <w:t>17</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05A7C8EF" w14:textId="73522C99"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10D421D0" w14:textId="00A22F5E" w:rsidR="00C241DF" w:rsidRPr="0012603B" w:rsidRDefault="00C241DF" w:rsidP="00987E6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C241DF" w:rsidRPr="00A634FA" w:rsidRDefault="00C241DF"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706F7F9" w14:textId="77777777" w:rsidR="00C241DF" w:rsidRDefault="00C241DF"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2D5865D6" w:rsidR="00C241DF" w:rsidRPr="008805E5" w:rsidRDefault="00C241DF" w:rsidP="00C5507C">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C241DF" w:rsidRPr="00BC2C5D" w14:paraId="59049CA0" w14:textId="77777777" w:rsidTr="00CA4D07">
        <w:trPr>
          <w:trHeight w:val="284"/>
        </w:trPr>
        <w:tc>
          <w:tcPr>
            <w:tcW w:w="1526" w:type="dxa"/>
            <w:vMerge/>
            <w:tcBorders>
              <w:left w:val="single" w:sz="18" w:space="0" w:color="auto"/>
              <w:right w:val="single" w:sz="18" w:space="0" w:color="C0C0C0"/>
            </w:tcBorders>
            <w:shd w:val="clear" w:color="auto" w:fill="auto"/>
            <w:vAlign w:val="center"/>
          </w:tcPr>
          <w:p w14:paraId="4A1A05C1" w14:textId="77777777" w:rsidR="00C241DF" w:rsidRDefault="00C241DF"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35BA1E4" w14:textId="77777777" w:rsidR="00C241DF" w:rsidRPr="006C79D3" w:rsidRDefault="00C241DF"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D5E8D6E" w14:textId="222E1D47" w:rsidR="00C241DF" w:rsidRPr="00C241DF" w:rsidRDefault="00C241DF" w:rsidP="00987E69">
            <w:pPr>
              <w:jc w:val="center"/>
              <w:rPr>
                <w:rFonts w:ascii="Arial Narrow" w:hAnsi="Arial Narrow" w:cs="Arial"/>
                <w:b/>
                <w:bCs/>
                <w:sz w:val="16"/>
                <w:szCs w:val="16"/>
              </w:rPr>
            </w:pPr>
            <w:r w:rsidRPr="00C241DF">
              <w:rPr>
                <w:rFonts w:ascii="Arial Narrow" w:hAnsi="Arial Narrow" w:cs="Arial"/>
                <w:b/>
                <w:bCs/>
                <w:sz w:val="16"/>
                <w:szCs w:val="16"/>
              </w:rPr>
              <w:t>17</w:t>
            </w:r>
          </w:p>
        </w:tc>
        <w:tc>
          <w:tcPr>
            <w:tcW w:w="1162" w:type="dxa"/>
            <w:vMerge/>
            <w:tcBorders>
              <w:left w:val="single" w:sz="18" w:space="0" w:color="BFBFBF"/>
              <w:right w:val="single" w:sz="18" w:space="0" w:color="C0C0C0"/>
            </w:tcBorders>
            <w:shd w:val="clear" w:color="auto" w:fill="A972A9"/>
            <w:vAlign w:val="center"/>
          </w:tcPr>
          <w:p w14:paraId="3F649A7D" w14:textId="77777777" w:rsidR="00C241DF" w:rsidRPr="0012603B" w:rsidRDefault="00C241DF" w:rsidP="00C5507C">
            <w:pPr>
              <w:jc w:val="center"/>
              <w:rPr>
                <w:rFonts w:ascii="Arial Narrow" w:hAnsi="Arial Narrow" w:cs="Arial"/>
                <w:sz w:val="16"/>
                <w:szCs w:val="16"/>
              </w:rPr>
            </w:pPr>
          </w:p>
        </w:tc>
        <w:tc>
          <w:tcPr>
            <w:tcW w:w="1162" w:type="dxa"/>
            <w:vMerge/>
            <w:tcBorders>
              <w:left w:val="single" w:sz="18" w:space="0" w:color="C0C0C0"/>
              <w:right w:val="single" w:sz="18" w:space="0" w:color="C0C0C0"/>
            </w:tcBorders>
            <w:shd w:val="clear" w:color="auto" w:fill="auto"/>
            <w:vAlign w:val="center"/>
          </w:tcPr>
          <w:p w14:paraId="11878BF9" w14:textId="77777777" w:rsidR="00C241DF" w:rsidRPr="0012603B" w:rsidRDefault="00C241DF" w:rsidP="00987E69">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18118BC7" w14:textId="77777777" w:rsidR="00C241DF" w:rsidRPr="00A634FA" w:rsidRDefault="00C241DF"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742C0D3C" w14:textId="77777777" w:rsidR="00C241DF" w:rsidRPr="008805E5" w:rsidRDefault="00C241DF" w:rsidP="00C5507C">
            <w:pPr>
              <w:jc w:val="center"/>
              <w:rPr>
                <w:rFonts w:ascii="Arial Narrow" w:hAnsi="Arial Narrow"/>
                <w:color w:val="31849B"/>
                <w:sz w:val="16"/>
                <w:szCs w:val="16"/>
              </w:rPr>
            </w:pPr>
          </w:p>
        </w:tc>
      </w:tr>
      <w:tr w:rsidR="00F512E5" w:rsidRPr="00BC2C5D" w14:paraId="3766C4C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0F542D29" w14:textId="218ED512" w:rsidR="00F512E5" w:rsidRDefault="00F512E5" w:rsidP="00390B39">
            <w:pPr>
              <w:jc w:val="center"/>
              <w:rPr>
                <w:rFonts w:ascii="Arial Narrow" w:hAnsi="Arial Narrow" w:cs="Arial"/>
                <w:sz w:val="16"/>
                <w:szCs w:val="16"/>
              </w:rPr>
            </w:pPr>
            <w:r>
              <w:rPr>
                <w:rFonts w:ascii="Arial Narrow" w:hAnsi="Arial Narrow" w:cs="Arial"/>
                <w:sz w:val="16"/>
                <w:szCs w:val="16"/>
              </w:rPr>
              <w:t>23 May</w:t>
            </w:r>
          </w:p>
        </w:tc>
        <w:tc>
          <w:tcPr>
            <w:tcW w:w="1051" w:type="dxa"/>
            <w:tcBorders>
              <w:top w:val="single" w:sz="18" w:space="0" w:color="C0C0C0"/>
              <w:left w:val="single" w:sz="18" w:space="0" w:color="C0C0C0"/>
              <w:right w:val="single" w:sz="18" w:space="0" w:color="C0C0C0"/>
            </w:tcBorders>
            <w:shd w:val="clear" w:color="auto" w:fill="53D2FF"/>
            <w:vAlign w:val="center"/>
          </w:tcPr>
          <w:p w14:paraId="2B5526BB" w14:textId="2A88C627" w:rsidR="00F512E5" w:rsidRPr="006C79D3" w:rsidRDefault="00F512E5"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right w:val="single" w:sz="18" w:space="0" w:color="BFBFBF"/>
            </w:tcBorders>
            <w:shd w:val="clear" w:color="auto" w:fill="53D2FF"/>
            <w:vAlign w:val="center"/>
          </w:tcPr>
          <w:p w14:paraId="7CBBAD8B" w14:textId="577BA60C" w:rsidR="00F512E5" w:rsidRPr="00C82951" w:rsidRDefault="00C82951" w:rsidP="00987E69">
            <w:pPr>
              <w:jc w:val="center"/>
              <w:rPr>
                <w:rFonts w:ascii="Arial Narrow" w:hAnsi="Arial Narrow" w:cs="Arial"/>
                <w:b/>
                <w:bCs/>
                <w:sz w:val="16"/>
                <w:szCs w:val="16"/>
              </w:rPr>
            </w:pPr>
            <w:r w:rsidRPr="00C82951">
              <w:rPr>
                <w:rFonts w:ascii="Arial Narrow" w:hAnsi="Arial Narrow" w:cs="Arial"/>
                <w:b/>
                <w:bCs/>
                <w:sz w:val="16"/>
                <w:szCs w:val="16"/>
              </w:rPr>
              <w:t>24</w:t>
            </w:r>
          </w:p>
        </w:tc>
        <w:tc>
          <w:tcPr>
            <w:tcW w:w="1162" w:type="dxa"/>
            <w:tcBorders>
              <w:top w:val="single" w:sz="18" w:space="0" w:color="C0C0C0"/>
              <w:left w:val="single" w:sz="18" w:space="0" w:color="BFBFBF"/>
              <w:right w:val="single" w:sz="18" w:space="0" w:color="C0C0C0"/>
            </w:tcBorders>
            <w:shd w:val="clear" w:color="auto" w:fill="53D2FF"/>
            <w:vAlign w:val="center"/>
          </w:tcPr>
          <w:p w14:paraId="46FDB6FD" w14:textId="6FE4B7BD" w:rsidR="00F512E5"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25</w:t>
            </w:r>
          </w:p>
        </w:tc>
        <w:tc>
          <w:tcPr>
            <w:tcW w:w="1162" w:type="dxa"/>
            <w:tcBorders>
              <w:top w:val="single" w:sz="18" w:space="0" w:color="C0C0C0"/>
              <w:left w:val="single" w:sz="18" w:space="0" w:color="C0C0C0"/>
              <w:right w:val="single" w:sz="18" w:space="0" w:color="C0C0C0"/>
            </w:tcBorders>
            <w:shd w:val="clear" w:color="auto" w:fill="53D2FF"/>
            <w:vAlign w:val="center"/>
          </w:tcPr>
          <w:p w14:paraId="0E61EDBE" w14:textId="59BDCC73" w:rsidR="00F512E5"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26</w:t>
            </w:r>
          </w:p>
        </w:tc>
        <w:tc>
          <w:tcPr>
            <w:tcW w:w="1162" w:type="dxa"/>
            <w:tcBorders>
              <w:top w:val="single" w:sz="18" w:space="0" w:color="C0C0C0"/>
              <w:left w:val="single" w:sz="18" w:space="0" w:color="C0C0C0"/>
              <w:right w:val="single" w:sz="18" w:space="0" w:color="auto"/>
            </w:tcBorders>
            <w:shd w:val="clear" w:color="auto" w:fill="53D2FF"/>
            <w:vAlign w:val="center"/>
          </w:tcPr>
          <w:p w14:paraId="5DEA3FBA" w14:textId="77777777" w:rsidR="00F512E5" w:rsidRPr="00A634FA" w:rsidRDefault="00F512E5" w:rsidP="00390B39">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E9BBB20" w14:textId="178878F0" w:rsidR="00F512E5" w:rsidRPr="008805E5" w:rsidRDefault="000857D8" w:rsidP="009E4A93">
            <w:pPr>
              <w:jc w:val="center"/>
              <w:rPr>
                <w:rFonts w:ascii="Arial Narrow" w:hAnsi="Arial Narrow" w:cs="Arial"/>
                <w:sz w:val="16"/>
                <w:szCs w:val="16"/>
                <w:highlight w:val="yellow"/>
              </w:rPr>
            </w:pPr>
            <w:r w:rsidRPr="000857D8">
              <w:rPr>
                <w:rFonts w:ascii="Arial Narrow" w:hAnsi="Arial Narrow" w:cs="Arial"/>
                <w:sz w:val="16"/>
                <w:szCs w:val="16"/>
              </w:rPr>
              <w:t>Local Commissioner Development Week</w:t>
            </w:r>
          </w:p>
        </w:tc>
      </w:tr>
      <w:tr w:rsidR="00C82951" w:rsidRPr="00BC2C5D" w14:paraId="2952A691" w14:textId="77777777" w:rsidTr="00C82951">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2465DCE2" w:rsidR="00C82951" w:rsidRPr="00A634FA" w:rsidRDefault="00C82951" w:rsidP="00390B39">
            <w:pPr>
              <w:jc w:val="center"/>
              <w:rPr>
                <w:rFonts w:ascii="Arial Narrow" w:hAnsi="Arial Narrow" w:cs="Arial"/>
                <w:sz w:val="16"/>
                <w:szCs w:val="16"/>
              </w:rPr>
            </w:pPr>
            <w:r>
              <w:rPr>
                <w:rFonts w:ascii="Arial Narrow" w:hAnsi="Arial Narrow" w:cs="Arial"/>
                <w:sz w:val="16"/>
                <w:szCs w:val="16"/>
              </w:rPr>
              <w:t>30 May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C82951" w:rsidRPr="00A634FA" w:rsidRDefault="00C82951" w:rsidP="00390B3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0000"/>
            <w:vAlign w:val="center"/>
          </w:tcPr>
          <w:p w14:paraId="4423C25E" w14:textId="0254ACF1" w:rsidR="00C82951"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31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AE45B4E" w14:textId="057B563F" w:rsidR="00C82951"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1</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158F79EF" w14:textId="2FA4D9F7" w:rsidR="00C82951" w:rsidRPr="00C82951" w:rsidRDefault="00C82951" w:rsidP="00987E69">
            <w:pPr>
              <w:jc w:val="center"/>
              <w:rPr>
                <w:rFonts w:ascii="Arial Narrow" w:hAnsi="Arial Narrow" w:cs="Arial"/>
                <w:b/>
                <w:bCs/>
                <w:sz w:val="16"/>
                <w:szCs w:val="16"/>
              </w:rPr>
            </w:pPr>
            <w:r w:rsidRPr="00C82951">
              <w:rPr>
                <w:rFonts w:ascii="Arial Narrow" w:hAnsi="Arial Narrow" w:cs="Arial"/>
                <w:b/>
                <w:bCs/>
                <w:sz w:val="16"/>
                <w:szCs w:val="16"/>
              </w:rPr>
              <w:t>2</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37BC24F6" w:rsidR="00C82951" w:rsidRPr="00A634FA" w:rsidRDefault="000857D8" w:rsidP="00390B39">
            <w:pPr>
              <w:jc w:val="center"/>
              <w:rPr>
                <w:rFonts w:ascii="Arial Narrow" w:hAnsi="Arial Narrow" w:cs="Arial"/>
                <w:sz w:val="16"/>
                <w:szCs w:val="16"/>
              </w:rPr>
            </w:pPr>
            <w:r w:rsidRPr="000857D8">
              <w:rPr>
                <w:rFonts w:ascii="Arial Narrow" w:hAnsi="Arial Narrow" w:cs="Arial"/>
                <w:sz w:val="16"/>
                <w:szCs w:val="16"/>
                <w:highlight w:val="yellow"/>
              </w:rPr>
              <w:t>Special Holiday - DM</w:t>
            </w: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79CA0C06" w:rsidR="00C82951" w:rsidRPr="008805E5" w:rsidRDefault="000857D8" w:rsidP="00390B39">
            <w:pPr>
              <w:jc w:val="center"/>
              <w:rPr>
                <w:rFonts w:ascii="Arial Narrow" w:hAnsi="Arial Narrow" w:cs="Arial"/>
                <w:sz w:val="16"/>
                <w:szCs w:val="16"/>
              </w:rPr>
            </w:pPr>
            <w:r w:rsidRPr="000857D8">
              <w:rPr>
                <w:rFonts w:ascii="Arial Narrow" w:hAnsi="Arial Narrow" w:cs="Arial"/>
                <w:color w:val="244061"/>
                <w:sz w:val="16"/>
                <w:szCs w:val="16"/>
                <w:highlight w:val="yellow"/>
              </w:rPr>
              <w:t>3 Mabo Day – DM</w:t>
            </w:r>
          </w:p>
        </w:tc>
      </w:tr>
      <w:tr w:rsidR="00C82951" w:rsidRPr="00BC2C5D" w14:paraId="7D866478" w14:textId="77777777" w:rsidTr="00C82951">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1FA05489" w14:textId="77777777" w:rsidR="00C82951" w:rsidRDefault="00C82951" w:rsidP="00390B39">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64D7BECB" w14:textId="77777777" w:rsidR="00C82951" w:rsidRPr="00A634FA" w:rsidRDefault="00C82951" w:rsidP="00390B39">
            <w:pPr>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BFBFBF"/>
            </w:tcBorders>
            <w:shd w:val="clear" w:color="auto" w:fill="FF0000"/>
            <w:vAlign w:val="center"/>
          </w:tcPr>
          <w:p w14:paraId="43BF6656" w14:textId="77777777" w:rsidR="00C82951" w:rsidRPr="0012603B" w:rsidRDefault="00C82951" w:rsidP="00390B39">
            <w:pPr>
              <w:jc w:val="center"/>
              <w:rPr>
                <w:rFonts w:ascii="Arial Narrow" w:hAnsi="Arial Narrow" w:cs="Arial"/>
                <w:sz w:val="16"/>
                <w:szCs w:val="16"/>
              </w:rPr>
            </w:pPr>
          </w:p>
        </w:tc>
        <w:tc>
          <w:tcPr>
            <w:tcW w:w="1162" w:type="dxa"/>
            <w:vMerge/>
            <w:tcBorders>
              <w:left w:val="single" w:sz="18" w:space="0" w:color="BFBFBF"/>
              <w:bottom w:val="single" w:sz="18" w:space="0" w:color="auto"/>
              <w:right w:val="single" w:sz="18" w:space="0" w:color="C0C0C0"/>
            </w:tcBorders>
            <w:shd w:val="clear" w:color="auto" w:fill="FF0000"/>
            <w:vAlign w:val="center"/>
          </w:tcPr>
          <w:p w14:paraId="20C5BCFF" w14:textId="77777777" w:rsidR="00C82951" w:rsidRPr="0012603B" w:rsidRDefault="00C82951" w:rsidP="00390B39">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C0C0C0"/>
            </w:tcBorders>
            <w:shd w:val="clear" w:color="auto" w:fill="769250"/>
            <w:vAlign w:val="center"/>
          </w:tcPr>
          <w:p w14:paraId="5CF04E9D" w14:textId="624A980B" w:rsidR="00C82951" w:rsidRPr="00C82951" w:rsidRDefault="00C82951" w:rsidP="00987E69">
            <w:pPr>
              <w:jc w:val="center"/>
              <w:rPr>
                <w:rFonts w:ascii="Arial Narrow" w:hAnsi="Arial Narrow" w:cs="Arial"/>
                <w:b/>
                <w:bCs/>
                <w:sz w:val="16"/>
                <w:szCs w:val="16"/>
              </w:rPr>
            </w:pPr>
            <w:r w:rsidRPr="00C82951">
              <w:rPr>
                <w:rFonts w:ascii="Arial Narrow" w:hAnsi="Arial Narrow" w:cs="Arial"/>
                <w:b/>
                <w:bCs/>
                <w:sz w:val="16"/>
                <w:szCs w:val="16"/>
              </w:rPr>
              <w:t>2</w:t>
            </w:r>
          </w:p>
        </w:tc>
        <w:tc>
          <w:tcPr>
            <w:tcW w:w="1162" w:type="dxa"/>
            <w:vMerge/>
            <w:tcBorders>
              <w:left w:val="single" w:sz="18" w:space="0" w:color="C0C0C0"/>
              <w:bottom w:val="single" w:sz="18" w:space="0" w:color="auto"/>
              <w:right w:val="single" w:sz="18" w:space="0" w:color="auto"/>
            </w:tcBorders>
            <w:shd w:val="clear" w:color="auto" w:fill="auto"/>
            <w:vAlign w:val="center"/>
          </w:tcPr>
          <w:p w14:paraId="0A04BDEC" w14:textId="77777777" w:rsidR="00C82951" w:rsidRPr="00A634FA" w:rsidRDefault="00C82951" w:rsidP="00390B39">
            <w:pPr>
              <w:jc w:val="center"/>
              <w:rPr>
                <w:rFonts w:ascii="Arial Narrow" w:hAnsi="Arial Narrow" w:cs="Arial"/>
                <w:sz w:val="16"/>
                <w:szCs w:val="16"/>
              </w:rPr>
            </w:pPr>
          </w:p>
        </w:tc>
        <w:tc>
          <w:tcPr>
            <w:tcW w:w="3633" w:type="dxa"/>
            <w:vMerge/>
            <w:tcBorders>
              <w:left w:val="single" w:sz="18" w:space="0" w:color="auto"/>
              <w:bottom w:val="single" w:sz="18" w:space="0" w:color="auto"/>
              <w:right w:val="single" w:sz="18" w:space="0" w:color="auto"/>
            </w:tcBorders>
            <w:shd w:val="clear" w:color="auto" w:fill="auto"/>
            <w:vAlign w:val="center"/>
          </w:tcPr>
          <w:p w14:paraId="72F6B4E3" w14:textId="77777777" w:rsidR="00C82951" w:rsidRPr="008805E5" w:rsidRDefault="00C82951" w:rsidP="00390B39">
            <w:pPr>
              <w:jc w:val="center"/>
              <w:rPr>
                <w:rFonts w:ascii="Arial Narrow" w:hAnsi="Arial Narrow" w:cs="Arial"/>
                <w:sz w:val="16"/>
                <w:szCs w:val="16"/>
              </w:rPr>
            </w:pPr>
          </w:p>
        </w:tc>
      </w:tr>
      <w:tr w:rsidR="00C82951" w:rsidRPr="00BC2C5D" w14:paraId="1CA5194F" w14:textId="77777777" w:rsidTr="00CA4D07">
        <w:trPr>
          <w:trHeight w:val="284"/>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62CCD3D4" w14:textId="2444926B" w:rsidR="00C82951" w:rsidRPr="00A634FA" w:rsidRDefault="00C82951" w:rsidP="00390B39">
            <w:pPr>
              <w:jc w:val="center"/>
              <w:rPr>
                <w:rFonts w:ascii="Arial Narrow" w:hAnsi="Arial Narrow" w:cs="Arial"/>
                <w:sz w:val="16"/>
                <w:szCs w:val="16"/>
              </w:rPr>
            </w:pPr>
            <w:r>
              <w:rPr>
                <w:rFonts w:ascii="Arial Narrow" w:hAnsi="Arial Narrow" w:cs="Arial"/>
                <w:sz w:val="16"/>
                <w:szCs w:val="16"/>
              </w:rPr>
              <w:t>6 June</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6E74CF9" w14:textId="77777777" w:rsidR="00C82951" w:rsidRPr="00A634FA" w:rsidRDefault="00C82951" w:rsidP="00390B39">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5280C7F2" w14:textId="23ACFD09" w:rsidR="00C82951" w:rsidRPr="00C82951" w:rsidRDefault="00C82951" w:rsidP="00294AA0">
            <w:pPr>
              <w:jc w:val="center"/>
              <w:rPr>
                <w:rFonts w:ascii="Arial Narrow" w:hAnsi="Arial Narrow" w:cs="Arial"/>
                <w:b/>
                <w:bCs/>
                <w:color w:val="000000"/>
                <w:sz w:val="16"/>
                <w:szCs w:val="16"/>
              </w:rPr>
            </w:pPr>
            <w:r w:rsidRPr="00C82951">
              <w:rPr>
                <w:rFonts w:ascii="Arial Narrow" w:hAnsi="Arial Narrow" w:cs="Arial"/>
                <w:b/>
                <w:bCs/>
                <w:color w:val="000000"/>
                <w:sz w:val="16"/>
                <w:szCs w:val="16"/>
              </w:rPr>
              <w:t>7</w:t>
            </w:r>
          </w:p>
        </w:tc>
        <w:tc>
          <w:tcPr>
            <w:tcW w:w="1162" w:type="dxa"/>
            <w:vMerge w:val="restart"/>
            <w:tcBorders>
              <w:top w:val="single" w:sz="18" w:space="0" w:color="auto"/>
              <w:left w:val="single" w:sz="18" w:space="0" w:color="BFBFBF"/>
              <w:right w:val="single" w:sz="18" w:space="0" w:color="C0C0C0"/>
            </w:tcBorders>
            <w:shd w:val="clear" w:color="auto" w:fill="A972A9"/>
            <w:vAlign w:val="center"/>
          </w:tcPr>
          <w:p w14:paraId="31836070" w14:textId="044AF3AC" w:rsidR="00C82951" w:rsidRPr="00C82951" w:rsidRDefault="00C82951" w:rsidP="00390B39">
            <w:pPr>
              <w:jc w:val="center"/>
              <w:rPr>
                <w:rFonts w:ascii="Arial Narrow" w:hAnsi="Arial Narrow" w:cs="Arial"/>
                <w:b/>
                <w:bCs/>
                <w:color w:val="000000"/>
                <w:sz w:val="16"/>
                <w:szCs w:val="16"/>
              </w:rPr>
            </w:pPr>
            <w:r w:rsidRPr="00C82951">
              <w:rPr>
                <w:rFonts w:ascii="Arial Narrow" w:hAnsi="Arial Narrow" w:cs="Arial"/>
                <w:b/>
                <w:bCs/>
                <w:color w:val="000000"/>
                <w:sz w:val="16"/>
                <w:szCs w:val="16"/>
              </w:rPr>
              <w:t>8</w:t>
            </w:r>
          </w:p>
        </w:tc>
        <w:tc>
          <w:tcPr>
            <w:tcW w:w="1162" w:type="dxa"/>
            <w:vMerge w:val="restart"/>
            <w:tcBorders>
              <w:top w:val="single" w:sz="18" w:space="0" w:color="auto"/>
              <w:left w:val="single" w:sz="18" w:space="0" w:color="C0C0C0"/>
              <w:right w:val="single" w:sz="18" w:space="0" w:color="C0C0C0"/>
            </w:tcBorders>
            <w:shd w:val="clear" w:color="auto" w:fill="auto"/>
            <w:vAlign w:val="center"/>
          </w:tcPr>
          <w:p w14:paraId="18177425" w14:textId="22180C66" w:rsidR="00C82951" w:rsidRPr="0012603B" w:rsidRDefault="00C82951" w:rsidP="00534C70">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56CF5F8B" w14:textId="77777777" w:rsidR="00C82951" w:rsidRPr="00A634FA" w:rsidRDefault="00C82951" w:rsidP="00390B39">
            <w:pPr>
              <w:jc w:val="center"/>
              <w:rPr>
                <w:rFonts w:ascii="Arial Narrow" w:hAnsi="Arial Narrow" w:cs="Arial"/>
                <w:sz w:val="16"/>
                <w:szCs w:val="16"/>
                <w:highlight w:val="yellow"/>
              </w:rPr>
            </w:pPr>
          </w:p>
        </w:tc>
        <w:tc>
          <w:tcPr>
            <w:tcW w:w="3633" w:type="dxa"/>
            <w:vMerge w:val="restart"/>
            <w:tcBorders>
              <w:top w:val="single" w:sz="18" w:space="0" w:color="auto"/>
              <w:left w:val="single" w:sz="18" w:space="0" w:color="auto"/>
              <w:right w:val="single" w:sz="18" w:space="0" w:color="auto"/>
            </w:tcBorders>
            <w:shd w:val="clear" w:color="auto" w:fill="auto"/>
            <w:vAlign w:val="center"/>
          </w:tcPr>
          <w:p w14:paraId="5EC10655" w14:textId="77777777" w:rsidR="000857D8" w:rsidRPr="000857D8" w:rsidRDefault="000857D8" w:rsidP="008805E5">
            <w:pPr>
              <w:jc w:val="center"/>
              <w:rPr>
                <w:rFonts w:ascii="Arial Narrow" w:hAnsi="Arial Narrow"/>
                <w:color w:val="FF0000"/>
                <w:sz w:val="16"/>
                <w:szCs w:val="16"/>
              </w:rPr>
            </w:pPr>
            <w:r w:rsidRPr="000857D8">
              <w:rPr>
                <w:rFonts w:ascii="Arial Narrow" w:hAnsi="Arial Narrow"/>
                <w:color w:val="FF0000"/>
                <w:sz w:val="16"/>
                <w:szCs w:val="16"/>
              </w:rPr>
              <w:t>9-12 Normanton Rodeo</w:t>
            </w:r>
          </w:p>
          <w:p w14:paraId="6C9148DC" w14:textId="0682B0B0" w:rsidR="00C82951" w:rsidRPr="008805E5" w:rsidRDefault="000857D8"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C82951" w:rsidRPr="00BC2C5D" w14:paraId="14B99B74" w14:textId="77777777" w:rsidTr="00CA4D07">
        <w:trPr>
          <w:trHeight w:val="284"/>
        </w:trPr>
        <w:tc>
          <w:tcPr>
            <w:tcW w:w="1526" w:type="dxa"/>
            <w:vMerge/>
            <w:tcBorders>
              <w:left w:val="single" w:sz="18" w:space="0" w:color="auto"/>
              <w:bottom w:val="single" w:sz="18" w:space="0" w:color="C0C0C0"/>
              <w:right w:val="single" w:sz="18" w:space="0" w:color="C0C0C0"/>
            </w:tcBorders>
            <w:shd w:val="clear" w:color="auto" w:fill="auto"/>
            <w:vAlign w:val="center"/>
          </w:tcPr>
          <w:p w14:paraId="2536DA9A" w14:textId="77777777" w:rsidR="00C82951" w:rsidRDefault="00C82951" w:rsidP="00390B39">
            <w:pPr>
              <w:jc w:val="center"/>
              <w:rPr>
                <w:rFonts w:ascii="Arial Narrow" w:hAnsi="Arial Narrow" w:cs="Arial"/>
                <w:sz w:val="16"/>
                <w:szCs w:val="16"/>
              </w:rPr>
            </w:pPr>
          </w:p>
        </w:tc>
        <w:tc>
          <w:tcPr>
            <w:tcW w:w="1051" w:type="dxa"/>
            <w:vMerge/>
            <w:tcBorders>
              <w:left w:val="single" w:sz="18" w:space="0" w:color="C0C0C0"/>
              <w:bottom w:val="single" w:sz="18" w:space="0" w:color="C0C0C0"/>
              <w:right w:val="single" w:sz="18" w:space="0" w:color="C0C0C0"/>
            </w:tcBorders>
            <w:shd w:val="clear" w:color="auto" w:fill="auto"/>
            <w:vAlign w:val="center"/>
          </w:tcPr>
          <w:p w14:paraId="446D04F6" w14:textId="77777777" w:rsidR="00C82951" w:rsidRPr="00A634FA" w:rsidRDefault="00C82951"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256421FE" w14:textId="3E74075B" w:rsidR="00C82951" w:rsidRPr="00C82951" w:rsidRDefault="00C82951" w:rsidP="00294AA0">
            <w:pPr>
              <w:jc w:val="center"/>
              <w:rPr>
                <w:rFonts w:ascii="Arial Narrow" w:hAnsi="Arial Narrow" w:cs="Arial"/>
                <w:b/>
                <w:bCs/>
                <w:color w:val="000000"/>
                <w:sz w:val="16"/>
                <w:szCs w:val="16"/>
              </w:rPr>
            </w:pPr>
            <w:r w:rsidRPr="00C82951">
              <w:rPr>
                <w:rFonts w:ascii="Arial Narrow" w:hAnsi="Arial Narrow" w:cs="Arial"/>
                <w:b/>
                <w:bCs/>
                <w:color w:val="000000"/>
                <w:sz w:val="16"/>
                <w:szCs w:val="16"/>
              </w:rPr>
              <w:t>7</w:t>
            </w: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0D78D1D6" w14:textId="77777777" w:rsidR="00C82951" w:rsidRPr="0012603B" w:rsidRDefault="00C82951" w:rsidP="00390B39">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6F16B9EF" w14:textId="77777777" w:rsidR="00C82951" w:rsidRPr="0012603B" w:rsidRDefault="00C82951" w:rsidP="00534C70">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auto"/>
            </w:tcBorders>
            <w:shd w:val="clear" w:color="auto" w:fill="auto"/>
            <w:vAlign w:val="center"/>
          </w:tcPr>
          <w:p w14:paraId="55E7F2B2" w14:textId="77777777" w:rsidR="00C82951" w:rsidRPr="00A634FA" w:rsidRDefault="00C82951" w:rsidP="00390B39">
            <w:pPr>
              <w:jc w:val="center"/>
              <w:rPr>
                <w:rFonts w:ascii="Arial Narrow" w:hAnsi="Arial Narrow" w:cs="Arial"/>
                <w:sz w:val="16"/>
                <w:szCs w:val="16"/>
                <w:highlight w:val="yellow"/>
              </w:rPr>
            </w:pPr>
          </w:p>
        </w:tc>
        <w:tc>
          <w:tcPr>
            <w:tcW w:w="3633" w:type="dxa"/>
            <w:vMerge/>
            <w:tcBorders>
              <w:left w:val="single" w:sz="18" w:space="0" w:color="auto"/>
              <w:bottom w:val="single" w:sz="18" w:space="0" w:color="C0C0C0"/>
              <w:right w:val="single" w:sz="18" w:space="0" w:color="auto"/>
            </w:tcBorders>
            <w:shd w:val="clear" w:color="auto" w:fill="auto"/>
            <w:vAlign w:val="center"/>
          </w:tcPr>
          <w:p w14:paraId="3E566DA8" w14:textId="77777777" w:rsidR="00C82951" w:rsidRPr="008805E5" w:rsidRDefault="00C82951" w:rsidP="008805E5">
            <w:pPr>
              <w:jc w:val="center"/>
              <w:rPr>
                <w:rFonts w:ascii="Arial Narrow" w:hAnsi="Arial Narrow"/>
                <w:color w:val="31849B"/>
                <w:sz w:val="16"/>
                <w:szCs w:val="16"/>
              </w:rPr>
            </w:pPr>
          </w:p>
        </w:tc>
      </w:tr>
      <w:tr w:rsidR="00C82951" w:rsidRPr="00BC2C5D" w14:paraId="6A282D96" w14:textId="77777777" w:rsidTr="00C82951">
        <w:trPr>
          <w:trHeight w:val="220"/>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D86D990" w14:textId="11CFF9C9" w:rsidR="00C82951" w:rsidRPr="00A634FA" w:rsidRDefault="00C82951" w:rsidP="00313AD9">
            <w:pPr>
              <w:jc w:val="center"/>
              <w:rPr>
                <w:rFonts w:ascii="Arial Narrow" w:hAnsi="Arial Narrow" w:cs="Arial"/>
                <w:sz w:val="16"/>
                <w:szCs w:val="16"/>
              </w:rPr>
            </w:pPr>
            <w:r>
              <w:rPr>
                <w:rFonts w:ascii="Arial Narrow" w:hAnsi="Arial Narrow" w:cs="Arial"/>
                <w:sz w:val="16"/>
                <w:szCs w:val="16"/>
              </w:rPr>
              <w:t>13 June</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695555CE" w14:textId="61BB7C07" w:rsidR="00C82951" w:rsidRPr="00A634FA" w:rsidRDefault="00C82951" w:rsidP="00313AD9">
            <w:pPr>
              <w:jc w:val="center"/>
              <w:rPr>
                <w:rFonts w:ascii="Arial Narrow" w:hAnsi="Arial Narrow" w:cs="Arial"/>
                <w:sz w:val="16"/>
                <w:szCs w:val="16"/>
                <w:highlight w:val="yellow"/>
              </w:rPr>
            </w:pPr>
          </w:p>
        </w:tc>
        <w:tc>
          <w:tcPr>
            <w:tcW w:w="1162" w:type="dxa"/>
            <w:vMerge w:val="restart"/>
            <w:tcBorders>
              <w:top w:val="single" w:sz="18" w:space="0" w:color="C0C0C0"/>
              <w:left w:val="single" w:sz="18" w:space="0" w:color="C0C0C0"/>
              <w:right w:val="single" w:sz="18" w:space="0" w:color="BFBFBF"/>
            </w:tcBorders>
            <w:shd w:val="clear" w:color="auto" w:fill="FF0000"/>
            <w:vAlign w:val="center"/>
          </w:tcPr>
          <w:p w14:paraId="09C9C0A4" w14:textId="294ABF1A" w:rsidR="00C82951" w:rsidRPr="00C82951" w:rsidRDefault="00C82951" w:rsidP="001F0A2E">
            <w:pPr>
              <w:jc w:val="center"/>
              <w:rPr>
                <w:rFonts w:ascii="Arial Narrow" w:hAnsi="Arial Narrow" w:cs="Arial"/>
                <w:b/>
                <w:bCs/>
                <w:color w:val="000000"/>
                <w:sz w:val="16"/>
                <w:szCs w:val="16"/>
              </w:rPr>
            </w:pPr>
            <w:r w:rsidRPr="00C82951">
              <w:rPr>
                <w:rFonts w:ascii="Arial Narrow" w:hAnsi="Arial Narrow" w:cs="Arial"/>
                <w:b/>
                <w:bCs/>
                <w:color w:val="000000"/>
                <w:sz w:val="16"/>
                <w:szCs w:val="16"/>
              </w:rPr>
              <w:t>14</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BF01046" w14:textId="048B469D" w:rsidR="00C82951" w:rsidRPr="00C82951" w:rsidRDefault="00C82951" w:rsidP="00534C70">
            <w:pPr>
              <w:jc w:val="center"/>
              <w:rPr>
                <w:rFonts w:ascii="Arial Narrow" w:hAnsi="Arial Narrow" w:cs="Arial"/>
                <w:b/>
                <w:bCs/>
                <w:color w:val="000000"/>
                <w:sz w:val="16"/>
                <w:szCs w:val="16"/>
              </w:rPr>
            </w:pPr>
            <w:r w:rsidRPr="00C82951">
              <w:rPr>
                <w:rFonts w:ascii="Arial Narrow" w:hAnsi="Arial Narrow" w:cs="Arial"/>
                <w:b/>
                <w:bCs/>
                <w:color w:val="000000"/>
                <w:sz w:val="16"/>
                <w:szCs w:val="16"/>
              </w:rPr>
              <w:t>15</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3AD05D9" w14:textId="77352C84" w:rsidR="00C82951" w:rsidRPr="00C82951" w:rsidRDefault="00C82951" w:rsidP="00313AD9">
            <w:pPr>
              <w:jc w:val="center"/>
              <w:rPr>
                <w:rFonts w:ascii="Arial Narrow" w:hAnsi="Arial Narrow" w:cs="Arial"/>
                <w:b/>
                <w:bCs/>
                <w:sz w:val="16"/>
                <w:szCs w:val="16"/>
              </w:rPr>
            </w:pPr>
            <w:r w:rsidRPr="00C82951">
              <w:rPr>
                <w:rFonts w:ascii="Arial Narrow" w:hAnsi="Arial Narrow" w:cs="Arial"/>
                <w:b/>
                <w:bCs/>
                <w:sz w:val="16"/>
                <w:szCs w:val="16"/>
              </w:rPr>
              <w:t>16</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FC64D6A" w14:textId="77777777" w:rsidR="00C82951" w:rsidRPr="00A634FA" w:rsidRDefault="00C82951" w:rsidP="00313AD9">
            <w:pPr>
              <w:jc w:val="center"/>
              <w:rPr>
                <w:rFonts w:ascii="Arial Narrow" w:hAnsi="Arial Narrow" w:cs="Arial"/>
                <w:sz w:val="16"/>
                <w:szCs w:val="16"/>
                <w:highlight w:val="yellow"/>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7721B08" w14:textId="739990CF" w:rsidR="000857D8" w:rsidRPr="000857D8" w:rsidRDefault="000857D8" w:rsidP="008805E5">
            <w:pPr>
              <w:jc w:val="center"/>
              <w:rPr>
                <w:rFonts w:ascii="Arial Narrow" w:hAnsi="Arial Narrow"/>
                <w:sz w:val="16"/>
                <w:szCs w:val="16"/>
              </w:rPr>
            </w:pPr>
            <w:r w:rsidRPr="000857D8">
              <w:rPr>
                <w:rFonts w:ascii="Arial Narrow" w:hAnsi="Arial Narrow"/>
                <w:sz w:val="16"/>
                <w:szCs w:val="16"/>
              </w:rPr>
              <w:t>17-18 Mount Isa Show</w:t>
            </w:r>
          </w:p>
          <w:p w14:paraId="0EA0BA43" w14:textId="40765A47" w:rsidR="000857D8" w:rsidRDefault="000857D8" w:rsidP="008805E5">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7594D7D0" w14:textId="4209D798" w:rsidR="00C82951" w:rsidRPr="008805E5" w:rsidRDefault="000857D8"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C82951" w:rsidRPr="00BC2C5D" w14:paraId="7F59A151" w14:textId="77777777" w:rsidTr="00C82951">
        <w:trPr>
          <w:trHeight w:val="220"/>
        </w:trPr>
        <w:tc>
          <w:tcPr>
            <w:tcW w:w="1526" w:type="dxa"/>
            <w:vMerge/>
            <w:tcBorders>
              <w:left w:val="single" w:sz="18" w:space="0" w:color="auto"/>
              <w:right w:val="single" w:sz="18" w:space="0" w:color="C0C0C0"/>
            </w:tcBorders>
            <w:shd w:val="clear" w:color="auto" w:fill="auto"/>
            <w:vAlign w:val="center"/>
          </w:tcPr>
          <w:p w14:paraId="56E06EA8" w14:textId="77777777" w:rsidR="00C82951" w:rsidRDefault="00C82951" w:rsidP="00313AD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B0217B1" w14:textId="77777777" w:rsidR="00C82951" w:rsidRPr="00A634FA" w:rsidRDefault="00C82951" w:rsidP="00313AD9">
            <w:pPr>
              <w:jc w:val="center"/>
              <w:rPr>
                <w:rFonts w:ascii="Arial Narrow" w:hAnsi="Arial Narrow" w:cs="Arial"/>
                <w:sz w:val="16"/>
                <w:szCs w:val="16"/>
                <w:highlight w:val="yellow"/>
              </w:rPr>
            </w:pPr>
          </w:p>
        </w:tc>
        <w:tc>
          <w:tcPr>
            <w:tcW w:w="1162" w:type="dxa"/>
            <w:vMerge/>
            <w:tcBorders>
              <w:left w:val="single" w:sz="18" w:space="0" w:color="C0C0C0"/>
              <w:right w:val="single" w:sz="18" w:space="0" w:color="BFBFBF"/>
            </w:tcBorders>
            <w:shd w:val="clear" w:color="auto" w:fill="FF0000"/>
            <w:vAlign w:val="center"/>
          </w:tcPr>
          <w:p w14:paraId="1A53DA63" w14:textId="77777777" w:rsidR="00C82951" w:rsidRPr="0012603B" w:rsidRDefault="00C82951" w:rsidP="001F0A2E">
            <w:pPr>
              <w:jc w:val="center"/>
              <w:rPr>
                <w:rFonts w:ascii="Arial Narrow" w:hAnsi="Arial Narrow" w:cs="Arial"/>
                <w:color w:val="000000"/>
                <w:sz w:val="16"/>
                <w:szCs w:val="16"/>
              </w:rPr>
            </w:pPr>
          </w:p>
        </w:tc>
        <w:tc>
          <w:tcPr>
            <w:tcW w:w="1162" w:type="dxa"/>
            <w:vMerge/>
            <w:tcBorders>
              <w:left w:val="single" w:sz="18" w:space="0" w:color="BFBFBF"/>
              <w:right w:val="single" w:sz="18" w:space="0" w:color="C0C0C0"/>
            </w:tcBorders>
            <w:shd w:val="clear" w:color="auto" w:fill="FF0000"/>
            <w:vAlign w:val="center"/>
          </w:tcPr>
          <w:p w14:paraId="1DEDCFD3" w14:textId="77777777" w:rsidR="00C82951" w:rsidRPr="0012603B" w:rsidRDefault="00C82951" w:rsidP="00534C70">
            <w:pPr>
              <w:jc w:val="center"/>
              <w:rPr>
                <w:rFonts w:ascii="Arial Narrow" w:hAnsi="Arial Narrow" w:cs="Arial"/>
                <w:color w:val="000000"/>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474A8C8C" w14:textId="006B955A" w:rsidR="00C82951" w:rsidRPr="00C82951" w:rsidRDefault="00C82951" w:rsidP="00313AD9">
            <w:pPr>
              <w:jc w:val="center"/>
              <w:rPr>
                <w:rFonts w:ascii="Arial Narrow" w:hAnsi="Arial Narrow" w:cs="Arial"/>
                <w:b/>
                <w:bCs/>
                <w:sz w:val="16"/>
                <w:szCs w:val="16"/>
              </w:rPr>
            </w:pPr>
            <w:r w:rsidRPr="00C82951">
              <w:rPr>
                <w:rFonts w:ascii="Arial Narrow" w:hAnsi="Arial Narrow" w:cs="Arial"/>
                <w:b/>
                <w:bCs/>
                <w:sz w:val="16"/>
                <w:szCs w:val="16"/>
              </w:rPr>
              <w:t>16</w:t>
            </w:r>
          </w:p>
        </w:tc>
        <w:tc>
          <w:tcPr>
            <w:tcW w:w="1162" w:type="dxa"/>
            <w:vMerge/>
            <w:tcBorders>
              <w:left w:val="single" w:sz="18" w:space="0" w:color="C0C0C0"/>
              <w:right w:val="single" w:sz="18" w:space="0" w:color="auto"/>
            </w:tcBorders>
            <w:shd w:val="clear" w:color="auto" w:fill="auto"/>
            <w:vAlign w:val="center"/>
          </w:tcPr>
          <w:p w14:paraId="11FEA7DC" w14:textId="77777777" w:rsidR="00C82951" w:rsidRPr="00A634FA" w:rsidRDefault="00C82951" w:rsidP="00313AD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717A63F5" w14:textId="77777777" w:rsidR="00C82951" w:rsidRDefault="00C82951" w:rsidP="008805E5">
            <w:pPr>
              <w:jc w:val="center"/>
              <w:rPr>
                <w:rFonts w:ascii="Arial Narrow" w:hAnsi="Arial Narrow"/>
                <w:sz w:val="16"/>
                <w:szCs w:val="16"/>
              </w:rPr>
            </w:pPr>
          </w:p>
        </w:tc>
      </w:tr>
      <w:tr w:rsidR="00C82951" w:rsidRPr="00BC2C5D" w14:paraId="20D6C259" w14:textId="77777777" w:rsidTr="00C82951">
        <w:trPr>
          <w:trHeight w:val="220"/>
        </w:trPr>
        <w:tc>
          <w:tcPr>
            <w:tcW w:w="1526" w:type="dxa"/>
            <w:vMerge/>
            <w:tcBorders>
              <w:left w:val="single" w:sz="18" w:space="0" w:color="auto"/>
              <w:right w:val="single" w:sz="18" w:space="0" w:color="C0C0C0"/>
            </w:tcBorders>
            <w:shd w:val="clear" w:color="auto" w:fill="auto"/>
            <w:vAlign w:val="center"/>
          </w:tcPr>
          <w:p w14:paraId="2C8E8F3F" w14:textId="77777777" w:rsidR="00C82951" w:rsidRDefault="00C82951" w:rsidP="00313AD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41A303C" w14:textId="77777777" w:rsidR="00C82951" w:rsidRPr="00A634FA" w:rsidRDefault="00C82951" w:rsidP="00313AD9">
            <w:pPr>
              <w:jc w:val="center"/>
              <w:rPr>
                <w:rFonts w:ascii="Arial Narrow" w:hAnsi="Arial Narrow" w:cs="Arial"/>
                <w:sz w:val="16"/>
                <w:szCs w:val="16"/>
                <w:highlight w:val="yellow"/>
              </w:rPr>
            </w:pPr>
          </w:p>
        </w:tc>
        <w:tc>
          <w:tcPr>
            <w:tcW w:w="1162" w:type="dxa"/>
            <w:vMerge/>
            <w:tcBorders>
              <w:left w:val="single" w:sz="18" w:space="0" w:color="C0C0C0"/>
              <w:right w:val="single" w:sz="18" w:space="0" w:color="BFBFBF"/>
            </w:tcBorders>
            <w:shd w:val="clear" w:color="auto" w:fill="FF0000"/>
            <w:vAlign w:val="center"/>
          </w:tcPr>
          <w:p w14:paraId="2BB97186" w14:textId="77777777" w:rsidR="00C82951" w:rsidRPr="0012603B" w:rsidRDefault="00C82951" w:rsidP="001F0A2E">
            <w:pPr>
              <w:jc w:val="center"/>
              <w:rPr>
                <w:rFonts w:ascii="Arial Narrow" w:hAnsi="Arial Narrow" w:cs="Arial"/>
                <w:color w:val="000000"/>
                <w:sz w:val="16"/>
                <w:szCs w:val="16"/>
              </w:rPr>
            </w:pPr>
          </w:p>
        </w:tc>
        <w:tc>
          <w:tcPr>
            <w:tcW w:w="1162" w:type="dxa"/>
            <w:vMerge/>
            <w:tcBorders>
              <w:left w:val="single" w:sz="18" w:space="0" w:color="BFBFBF"/>
              <w:right w:val="single" w:sz="18" w:space="0" w:color="C0C0C0"/>
            </w:tcBorders>
            <w:shd w:val="clear" w:color="auto" w:fill="FF0000"/>
            <w:vAlign w:val="center"/>
          </w:tcPr>
          <w:p w14:paraId="0444E1BF" w14:textId="77777777" w:rsidR="00C82951" w:rsidRPr="0012603B" w:rsidRDefault="00C82951" w:rsidP="00534C70">
            <w:pPr>
              <w:jc w:val="center"/>
              <w:rPr>
                <w:rFonts w:ascii="Arial Narrow" w:hAnsi="Arial Narrow" w:cs="Arial"/>
                <w:color w:val="000000"/>
                <w:sz w:val="16"/>
                <w:szCs w:val="16"/>
              </w:rPr>
            </w:pPr>
          </w:p>
        </w:tc>
        <w:tc>
          <w:tcPr>
            <w:tcW w:w="1162" w:type="dxa"/>
            <w:tcBorders>
              <w:top w:val="nil"/>
              <w:left w:val="single" w:sz="18" w:space="0" w:color="C0C0C0"/>
              <w:right w:val="single" w:sz="18" w:space="0" w:color="C0C0C0"/>
            </w:tcBorders>
            <w:shd w:val="clear" w:color="auto" w:fill="31849B"/>
            <w:vAlign w:val="center"/>
          </w:tcPr>
          <w:p w14:paraId="61951B7A" w14:textId="45325F82" w:rsidR="00C82951" w:rsidRPr="00C82951" w:rsidRDefault="00C82951" w:rsidP="00313AD9">
            <w:pPr>
              <w:jc w:val="center"/>
              <w:rPr>
                <w:rFonts w:ascii="Arial Narrow" w:hAnsi="Arial Narrow" w:cs="Arial"/>
                <w:b/>
                <w:bCs/>
                <w:sz w:val="16"/>
                <w:szCs w:val="16"/>
              </w:rPr>
            </w:pPr>
            <w:r w:rsidRPr="00C82951">
              <w:rPr>
                <w:rFonts w:ascii="Arial Narrow" w:hAnsi="Arial Narrow" w:cs="Arial"/>
                <w:b/>
                <w:bCs/>
                <w:sz w:val="16"/>
                <w:szCs w:val="16"/>
              </w:rPr>
              <w:t>16</w:t>
            </w:r>
          </w:p>
        </w:tc>
        <w:tc>
          <w:tcPr>
            <w:tcW w:w="1162" w:type="dxa"/>
            <w:vMerge/>
            <w:tcBorders>
              <w:left w:val="single" w:sz="18" w:space="0" w:color="C0C0C0"/>
              <w:right w:val="single" w:sz="18" w:space="0" w:color="auto"/>
            </w:tcBorders>
            <w:shd w:val="clear" w:color="auto" w:fill="auto"/>
            <w:vAlign w:val="center"/>
          </w:tcPr>
          <w:p w14:paraId="304BEEEA" w14:textId="77777777" w:rsidR="00C82951" w:rsidRPr="00A634FA" w:rsidRDefault="00C82951" w:rsidP="00313AD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6C194772" w14:textId="77777777" w:rsidR="00C82951" w:rsidRDefault="00C82951" w:rsidP="008805E5">
            <w:pPr>
              <w:jc w:val="center"/>
              <w:rPr>
                <w:rFonts w:ascii="Arial Narrow" w:hAnsi="Arial Narrow"/>
                <w:sz w:val="16"/>
                <w:szCs w:val="16"/>
              </w:rPr>
            </w:pPr>
          </w:p>
        </w:tc>
      </w:tr>
      <w:tr w:rsidR="00534C70" w:rsidRPr="00BC2C5D" w14:paraId="5AD4A603" w14:textId="77777777" w:rsidTr="0012603B">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06D2A91B" w:rsidR="00534C70" w:rsidRDefault="009159C4" w:rsidP="00313AD9">
            <w:pPr>
              <w:jc w:val="center"/>
              <w:rPr>
                <w:rFonts w:ascii="Arial Narrow" w:hAnsi="Arial Narrow" w:cs="Arial"/>
                <w:sz w:val="16"/>
                <w:szCs w:val="16"/>
              </w:rPr>
            </w:pPr>
            <w:r>
              <w:rPr>
                <w:rFonts w:ascii="Arial Narrow" w:hAnsi="Arial Narrow" w:cs="Arial"/>
                <w:sz w:val="16"/>
                <w:szCs w:val="16"/>
              </w:rPr>
              <w:t>20 June</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A972A9"/>
            <w:vAlign w:val="center"/>
          </w:tcPr>
          <w:p w14:paraId="6101D748" w14:textId="2A82A2FB" w:rsidR="00534C70" w:rsidRPr="00C82951" w:rsidRDefault="00C82951" w:rsidP="00534C70">
            <w:pPr>
              <w:jc w:val="center"/>
              <w:rPr>
                <w:rFonts w:ascii="Arial Narrow" w:hAnsi="Arial Narrow" w:cs="Arial"/>
                <w:b/>
                <w:bCs/>
                <w:color w:val="000000"/>
                <w:sz w:val="16"/>
                <w:szCs w:val="16"/>
              </w:rPr>
            </w:pPr>
            <w:r w:rsidRPr="00C82951">
              <w:rPr>
                <w:rFonts w:ascii="Arial Narrow" w:hAnsi="Arial Narrow" w:cs="Arial"/>
                <w:b/>
                <w:bCs/>
                <w:color w:val="000000"/>
                <w:sz w:val="16"/>
                <w:szCs w:val="16"/>
              </w:rPr>
              <w:t>21</w:t>
            </w:r>
          </w:p>
        </w:tc>
        <w:tc>
          <w:tcPr>
            <w:tcW w:w="1162" w:type="dxa"/>
            <w:tcBorders>
              <w:top w:val="single" w:sz="18" w:space="0" w:color="C0C0C0"/>
              <w:left w:val="single" w:sz="18" w:space="0" w:color="BFBFBF"/>
              <w:right w:val="single" w:sz="18" w:space="0" w:color="C0C0C0"/>
            </w:tcBorders>
            <w:shd w:val="clear" w:color="auto" w:fill="A972A9"/>
            <w:vAlign w:val="center"/>
          </w:tcPr>
          <w:p w14:paraId="1EACD015" w14:textId="29E1E8BC" w:rsidR="00534C70" w:rsidRPr="00C82951" w:rsidRDefault="00C82951" w:rsidP="00313AD9">
            <w:pPr>
              <w:jc w:val="center"/>
              <w:rPr>
                <w:rFonts w:ascii="Arial Narrow" w:hAnsi="Arial Narrow" w:cs="Arial"/>
                <w:b/>
                <w:bCs/>
                <w:color w:val="000000"/>
                <w:sz w:val="16"/>
                <w:szCs w:val="16"/>
              </w:rPr>
            </w:pPr>
            <w:r w:rsidRPr="00C82951">
              <w:rPr>
                <w:rFonts w:ascii="Arial Narrow" w:hAnsi="Arial Narrow" w:cs="Arial"/>
                <w:b/>
                <w:bCs/>
                <w:color w:val="000000"/>
                <w:sz w:val="16"/>
                <w:szCs w:val="16"/>
              </w:rPr>
              <w:t>22</w:t>
            </w:r>
          </w:p>
        </w:tc>
        <w:tc>
          <w:tcPr>
            <w:tcW w:w="1162" w:type="dxa"/>
            <w:tcBorders>
              <w:top w:val="single" w:sz="18" w:space="0" w:color="C0C0C0"/>
              <w:left w:val="single" w:sz="18" w:space="0" w:color="C0C0C0"/>
              <w:right w:val="single" w:sz="18" w:space="0" w:color="C0C0C0"/>
            </w:tcBorders>
            <w:shd w:val="clear" w:color="auto" w:fill="auto"/>
            <w:vAlign w:val="center"/>
          </w:tcPr>
          <w:p w14:paraId="66B770D2" w14:textId="5092AF46" w:rsidR="00534C70" w:rsidRPr="00534C70"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6BDAA42B" w:rsidR="00534C70" w:rsidRPr="008805E5" w:rsidRDefault="00534C70" w:rsidP="009E4A93">
            <w:pPr>
              <w:jc w:val="center"/>
              <w:rPr>
                <w:rFonts w:ascii="Arial Narrow" w:hAnsi="Arial Narrow"/>
                <w:sz w:val="16"/>
                <w:szCs w:val="16"/>
              </w:rPr>
            </w:pPr>
          </w:p>
        </w:tc>
      </w:tr>
      <w:tr w:rsidR="002B2062" w:rsidRPr="00BC2C5D" w14:paraId="358400C0" w14:textId="77777777" w:rsidTr="009159C4">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24CF4DA7" w:rsidR="002B2062" w:rsidRDefault="009159C4" w:rsidP="002B2062">
            <w:pPr>
              <w:jc w:val="center"/>
              <w:rPr>
                <w:rFonts w:ascii="Arial Narrow" w:hAnsi="Arial Narrow" w:cs="Arial"/>
                <w:sz w:val="16"/>
                <w:szCs w:val="16"/>
              </w:rPr>
            </w:pPr>
            <w:r>
              <w:rPr>
                <w:rFonts w:ascii="Arial Narrow" w:hAnsi="Arial Narrow" w:cs="Arial"/>
                <w:sz w:val="16"/>
                <w:szCs w:val="16"/>
              </w:rPr>
              <w:t>27 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4F6318A6" w:rsidR="002B2062" w:rsidRPr="008805E5" w:rsidRDefault="002B2062" w:rsidP="002B2062">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06D8F0CB" w:rsidR="00583BA9" w:rsidRPr="00583BA9" w:rsidRDefault="00583BA9" w:rsidP="00583BA9">
            <w:pPr>
              <w:rPr>
                <w:rFonts w:ascii="Arial" w:hAnsi="Arial" w:cs="Arial"/>
                <w:sz w:val="18"/>
                <w:szCs w:val="18"/>
              </w:rPr>
            </w:pPr>
            <w:r w:rsidRPr="00583BA9">
              <w:rPr>
                <w:rFonts w:ascii="Arial" w:hAnsi="Arial" w:cs="Arial"/>
                <w:sz w:val="18"/>
                <w:szCs w:val="18"/>
              </w:rPr>
              <w:t>Tracey Paterson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4B9E472C" w:rsidR="00583BA9" w:rsidRPr="00583BA9" w:rsidRDefault="00583BA9" w:rsidP="00583BA9">
            <w:pPr>
              <w:rPr>
                <w:rFonts w:ascii="Arial" w:hAnsi="Arial" w:cs="Arial"/>
                <w:sz w:val="18"/>
                <w:szCs w:val="18"/>
              </w:rPr>
            </w:pPr>
            <w:r w:rsidRPr="00583BA9">
              <w:rPr>
                <w:rFonts w:ascii="Arial" w:hAnsi="Arial" w:cs="Arial"/>
                <w:sz w:val="18"/>
                <w:szCs w:val="18"/>
              </w:rPr>
              <w:t>Cairns – Client Manager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620CC145"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538B9CA3" w14:textId="492B4FBB" w:rsidR="00583BA9" w:rsidRPr="00583BA9" w:rsidRDefault="00583BA9" w:rsidP="00583BA9">
            <w:pPr>
              <w:jc w:val="center"/>
              <w:rPr>
                <w:rFonts w:ascii="Arial" w:hAnsi="Arial" w:cs="Arial"/>
                <w:sz w:val="18"/>
                <w:szCs w:val="18"/>
              </w:rPr>
            </w:pPr>
            <w:r w:rsidRPr="00583BA9">
              <w:rPr>
                <w:rFonts w:ascii="Arial" w:hAnsi="Arial" w:cs="Arial"/>
                <w:sz w:val="18"/>
                <w:szCs w:val="18"/>
              </w:rPr>
              <w:t>0438 195 342</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2217E359" w:rsidR="00583BA9" w:rsidRPr="00583BA9" w:rsidRDefault="00583BA9" w:rsidP="00583BA9">
            <w:pPr>
              <w:rPr>
                <w:rFonts w:ascii="Arial" w:hAnsi="Arial" w:cs="Arial"/>
                <w:sz w:val="18"/>
                <w:szCs w:val="18"/>
              </w:rPr>
            </w:pPr>
            <w:r w:rsidRPr="00583BA9">
              <w:rPr>
                <w:rFonts w:ascii="Arial" w:hAnsi="Arial" w:cs="Arial"/>
                <w:sz w:val="18"/>
                <w:szCs w:val="18"/>
              </w:rPr>
              <w:t>Cairns – Acting Client Manager (Mon, Fri, Thu afternoon)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6F4965FA"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C3B30EA" w14:textId="77777777" w:rsidTr="00F10DE3">
        <w:trPr>
          <w:trHeight w:val="284"/>
        </w:trPr>
        <w:tc>
          <w:tcPr>
            <w:tcW w:w="3686" w:type="dxa"/>
            <w:shd w:val="clear" w:color="auto" w:fill="auto"/>
            <w:vAlign w:val="center"/>
          </w:tcPr>
          <w:p w14:paraId="673A69F4" w14:textId="027844B5" w:rsidR="00583BA9" w:rsidRPr="00583BA9" w:rsidRDefault="00583BA9" w:rsidP="00583BA9">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6FF9E77" w14:textId="59DF7B53" w:rsidR="00583BA9" w:rsidRPr="00583BA9" w:rsidRDefault="00583BA9" w:rsidP="00583BA9">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576F197D" w14:textId="0A113C55" w:rsidR="00583BA9" w:rsidRPr="00583BA9" w:rsidRDefault="00583BA9" w:rsidP="00583BA9">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5C31BD94" w14:textId="210B26DE" w:rsidR="00583BA9" w:rsidRPr="00583BA9" w:rsidRDefault="00583BA9" w:rsidP="00583BA9">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7B42C98D" w14:textId="574929EE"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28EF24F" w14:textId="77777777" w:rsidTr="00F10DE3">
        <w:trPr>
          <w:trHeight w:val="284"/>
        </w:trPr>
        <w:tc>
          <w:tcPr>
            <w:tcW w:w="3686" w:type="dxa"/>
            <w:shd w:val="clear" w:color="auto" w:fill="auto"/>
            <w:vAlign w:val="center"/>
          </w:tcPr>
          <w:p w14:paraId="33C11CF8" w14:textId="5398EE8A" w:rsidR="00583BA9" w:rsidRPr="00583BA9" w:rsidRDefault="00583BA9" w:rsidP="00583BA9">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12812C7D" w14:textId="0CE84E7F" w:rsidR="00583BA9" w:rsidRPr="00583BA9" w:rsidRDefault="00583BA9" w:rsidP="00583BA9">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00947B73" w14:textId="00269432" w:rsidR="00583BA9" w:rsidRPr="00583BA9" w:rsidRDefault="00583BA9" w:rsidP="00583BA9">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5B509B8E" w14:textId="572DC9AA" w:rsidR="00583BA9" w:rsidRPr="00583BA9" w:rsidRDefault="00583BA9" w:rsidP="00583BA9">
            <w:pPr>
              <w:jc w:val="center"/>
              <w:rPr>
                <w:rFonts w:ascii="Arial" w:hAnsi="Arial" w:cs="Arial"/>
                <w:sz w:val="18"/>
                <w:szCs w:val="18"/>
              </w:rPr>
            </w:pPr>
          </w:p>
        </w:tc>
        <w:tc>
          <w:tcPr>
            <w:tcW w:w="1275" w:type="dxa"/>
            <w:shd w:val="clear" w:color="auto" w:fill="auto"/>
            <w:vAlign w:val="center"/>
          </w:tcPr>
          <w:p w14:paraId="3E6C79F1" w14:textId="766C24F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AA468FE" w14:textId="77777777" w:rsidTr="00F10DE3">
        <w:trPr>
          <w:trHeight w:val="284"/>
        </w:trPr>
        <w:tc>
          <w:tcPr>
            <w:tcW w:w="3686" w:type="dxa"/>
            <w:shd w:val="clear" w:color="auto" w:fill="auto"/>
            <w:vAlign w:val="center"/>
          </w:tcPr>
          <w:p w14:paraId="3649648A" w14:textId="06B43114" w:rsidR="00583BA9" w:rsidRPr="00583BA9" w:rsidRDefault="00583BA9" w:rsidP="00583BA9">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38A2D5AE" w14:textId="207FFBB9" w:rsidR="00583BA9" w:rsidRPr="00583BA9" w:rsidRDefault="00583BA9" w:rsidP="00583BA9">
            <w:pPr>
              <w:rPr>
                <w:rFonts w:ascii="Arial" w:hAnsi="Arial" w:cs="Arial"/>
                <w:sz w:val="18"/>
                <w:szCs w:val="18"/>
              </w:rPr>
            </w:pPr>
            <w:r w:rsidRPr="00583BA9">
              <w:rPr>
                <w:rFonts w:ascii="Arial" w:hAnsi="Arial" w:cs="Arial"/>
                <w:sz w:val="18"/>
                <w:szCs w:val="18"/>
              </w:rPr>
              <w:t>Jeffrey Dela Cruz</w:t>
            </w:r>
          </w:p>
        </w:tc>
        <w:tc>
          <w:tcPr>
            <w:tcW w:w="1261" w:type="dxa"/>
            <w:shd w:val="clear" w:color="auto" w:fill="auto"/>
            <w:vAlign w:val="center"/>
          </w:tcPr>
          <w:p w14:paraId="59EC3BFE" w14:textId="3EFCB67F" w:rsidR="00583BA9" w:rsidRPr="00583BA9" w:rsidRDefault="00583BA9" w:rsidP="00583BA9">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56C65990" w14:textId="013B13E7" w:rsidR="00583BA9" w:rsidRPr="00583BA9" w:rsidRDefault="00583BA9" w:rsidP="00583BA9">
            <w:pPr>
              <w:jc w:val="center"/>
              <w:rPr>
                <w:rFonts w:ascii="Arial" w:hAnsi="Arial" w:cs="Arial"/>
                <w:sz w:val="18"/>
                <w:szCs w:val="18"/>
              </w:rPr>
            </w:pPr>
            <w:r w:rsidRPr="00583BA9">
              <w:rPr>
                <w:rFonts w:ascii="Arial" w:hAnsi="Arial" w:cs="Arial"/>
                <w:sz w:val="18"/>
                <w:szCs w:val="18"/>
              </w:rPr>
              <w:t>0419 890 770</w:t>
            </w:r>
          </w:p>
        </w:tc>
        <w:tc>
          <w:tcPr>
            <w:tcW w:w="1275" w:type="dxa"/>
            <w:shd w:val="clear" w:color="auto" w:fill="auto"/>
            <w:vAlign w:val="center"/>
          </w:tcPr>
          <w:p w14:paraId="1266BE6F" w14:textId="42930E2D"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215AA6F3"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3FCF9CD8" w:rsidR="00583BA9" w:rsidRPr="00583BA9" w:rsidRDefault="00583BA9" w:rsidP="00583BA9">
            <w:pPr>
              <w:rPr>
                <w:rFonts w:ascii="Arial" w:hAnsi="Arial" w:cs="Arial"/>
                <w:sz w:val="18"/>
                <w:szCs w:val="18"/>
              </w:rPr>
            </w:pPr>
            <w:r w:rsidRPr="00583BA9">
              <w:rPr>
                <w:rFonts w:ascii="Arial" w:hAnsi="Arial" w:cs="Arial"/>
                <w:sz w:val="18"/>
                <w:szCs w:val="18"/>
              </w:rPr>
              <w:t>Bryce Coxall</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23359219"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shd w:val="clear" w:color="auto" w:fill="auto"/>
            <w:vAlign w:val="center"/>
          </w:tcPr>
          <w:p w14:paraId="4D4CC50C" w14:textId="0664AC20"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2D0EB3EB" w:rsidR="00583BA9" w:rsidRPr="00583BA9" w:rsidRDefault="00583BA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shd w:val="clear" w:color="auto" w:fill="auto"/>
            <w:vAlign w:val="center"/>
          </w:tcPr>
          <w:p w14:paraId="46DA8975" w14:textId="28191A4F"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B1647F">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3D3453" w:rsidRPr="00504360" w:rsidRDefault="003D3453"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w:t>
      </w:r>
      <w:proofErr w:type="gramStart"/>
      <w:r w:rsidRPr="00504360">
        <w:rPr>
          <w:sz w:val="16"/>
          <w:szCs w:val="16"/>
        </w:rPr>
        <w:t>e.g.</w:t>
      </w:r>
      <w:proofErr w:type="gramEnd"/>
      <w:r w:rsidRPr="00504360">
        <w:rPr>
          <w:sz w:val="16"/>
          <w:szCs w:val="16"/>
        </w:rPr>
        <w:t xml:space="preserve"> a Child Safety and Welfare notice relating to two parents is counted as two notices</w:t>
      </w:r>
      <w:r w:rsidR="00C30143">
        <w:rPr>
          <w:sz w:val="16"/>
          <w:szCs w:val="16"/>
        </w:rPr>
        <w:t xml:space="preserve"> and</w:t>
      </w:r>
      <w:r w:rsidRPr="00504360">
        <w:rPr>
          <w:sz w:val="16"/>
          <w:szCs w:val="16"/>
        </w:rPr>
        <w:t xml:space="preserve"> </w:t>
      </w:r>
      <w:r w:rsidR="00C30143" w:rsidRPr="00504360">
        <w:rPr>
          <w:sz w:val="16"/>
          <w:szCs w:val="16"/>
        </w:rPr>
        <w:t xml:space="preserve">if three children from one family have an unexplained absence </w:t>
      </w:r>
      <w:r w:rsidR="00C30143">
        <w:rPr>
          <w:rFonts w:cs="Arial"/>
          <w:sz w:val="16"/>
          <w:szCs w:val="16"/>
        </w:rPr>
        <w:t>from school for all or part of any three school days during a school term</w:t>
      </w:r>
      <w:r w:rsidR="008F2A87">
        <w:rPr>
          <w:rFonts w:cs="Arial"/>
          <w:sz w:val="16"/>
          <w:szCs w:val="16"/>
        </w:rPr>
        <w:t>,</w:t>
      </w:r>
      <w:r w:rsidR="00C30143">
        <w:rPr>
          <w:rFonts w:cs="Arial"/>
          <w:sz w:val="16"/>
          <w:szCs w:val="16"/>
        </w:rPr>
        <w:t xml:space="preserve"> this</w:t>
      </w:r>
      <w:r w:rsidR="00C30143" w:rsidRPr="002E37C0">
        <w:rPr>
          <w:rFonts w:cs="Arial"/>
          <w:sz w:val="16"/>
          <w:szCs w:val="16"/>
        </w:rPr>
        <w:t xml:space="preserve"> count</w:t>
      </w:r>
      <w:r w:rsidR="00C30143">
        <w:rPr>
          <w:rFonts w:cs="Arial"/>
          <w:sz w:val="16"/>
          <w:szCs w:val="16"/>
        </w:rPr>
        <w:t>s</w:t>
      </w:r>
      <w:r w:rsidR="00C30143" w:rsidRPr="002E37C0">
        <w:rPr>
          <w:rFonts w:cs="Arial"/>
          <w:sz w:val="16"/>
          <w:szCs w:val="16"/>
        </w:rPr>
        <w:t xml:space="preserve"> as three </w:t>
      </w:r>
      <w:r w:rsidR="00C30143">
        <w:rPr>
          <w:rFonts w:cs="Arial"/>
          <w:sz w:val="16"/>
          <w:szCs w:val="16"/>
        </w:rPr>
        <w:t xml:space="preserve">individual School Attendance </w:t>
      </w:r>
      <w:r w:rsidR="00C30143" w:rsidRPr="00542602">
        <w:rPr>
          <w:rFonts w:cs="Arial"/>
          <w:sz w:val="16"/>
          <w:szCs w:val="16"/>
        </w:rPr>
        <w:t>notices</w:t>
      </w:r>
      <w:r w:rsidR="00C30143">
        <w:rPr>
          <w:rFonts w:cs="Arial"/>
          <w:sz w:val="16"/>
          <w:szCs w:val="16"/>
        </w:rPr>
        <w:t xml:space="preserve"> against each person listed on the notice</w:t>
      </w:r>
      <w:r w:rsidR="00C30143" w:rsidRPr="00504360">
        <w:rPr>
          <w:sz w:val="16"/>
          <w:szCs w:val="16"/>
        </w:rPr>
        <w:t>).</w:t>
      </w:r>
      <w:r w:rsidR="00C33C9D">
        <w:rPr>
          <w:sz w:val="16"/>
          <w:szCs w:val="16"/>
        </w:rPr>
        <w:t xml:space="preserve"> Counting rules also stipulate that where multiple charges are received on a court notice each charge is counted as an individual notice.</w:t>
      </w:r>
    </w:p>
  </w:footnote>
  <w:footnote w:id="4">
    <w:p w14:paraId="264E5477" w14:textId="1C824287" w:rsidR="003D3453" w:rsidRPr="00504360" w:rsidRDefault="003D3453"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1829C88B"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abbreviations on page </w:t>
      </w:r>
      <w:r w:rsidR="00DF299E">
        <w:rPr>
          <w:sz w:val="16"/>
          <w:szCs w:val="16"/>
        </w:rPr>
        <w:t>6</w:t>
      </w:r>
      <w:r w:rsidRPr="00993F41">
        <w:rPr>
          <w:sz w:val="16"/>
          <w:szCs w:val="16"/>
        </w:rPr>
        <w:t>.</w:t>
      </w:r>
    </w:p>
  </w:footnote>
  <w:footnote w:id="6">
    <w:p w14:paraId="255B35DE" w14:textId="15FF2C9A" w:rsidR="00324B7B" w:rsidRDefault="00324B7B">
      <w:pPr>
        <w:pStyle w:val="FootnoteText"/>
      </w:pPr>
      <w:r>
        <w:rPr>
          <w:rStyle w:val="FootnoteReference"/>
        </w:rPr>
        <w:footnoteRef/>
      </w:r>
      <w:r>
        <w:t xml:space="preserve"> </w:t>
      </w:r>
      <w:bookmarkStart w:id="9" w:name="_Hlk97300676"/>
      <w:r w:rsidRPr="00F106B3">
        <w:rPr>
          <w:sz w:val="16"/>
          <w:szCs w:val="16"/>
        </w:rPr>
        <w:t xml:space="preserve">Refer to the descriptions of abbreviations on page </w:t>
      </w:r>
      <w:r w:rsidR="00DF299E">
        <w:rPr>
          <w:sz w:val="16"/>
          <w:szCs w:val="16"/>
        </w:rPr>
        <w:t>6</w:t>
      </w:r>
      <w:r w:rsidRPr="00F106B3">
        <w:rPr>
          <w:sz w:val="16"/>
          <w:szCs w:val="16"/>
        </w:rPr>
        <w:t>.</w:t>
      </w:r>
      <w:bookmarkEnd w:id="9"/>
    </w:p>
  </w:footnote>
  <w:footnote w:id="7">
    <w:p w14:paraId="3413357A" w14:textId="795EDAF2" w:rsidR="00560109" w:rsidRDefault="00560109">
      <w:pPr>
        <w:pStyle w:val="FootnoteText"/>
      </w:pPr>
      <w:r>
        <w:rPr>
          <w:rStyle w:val="FootnoteReference"/>
        </w:rPr>
        <w:footnoteRef/>
      </w:r>
      <w:r>
        <w:t xml:space="preserve"> </w:t>
      </w:r>
      <w:r w:rsidRPr="00F106B3">
        <w:rPr>
          <w:sz w:val="16"/>
          <w:szCs w:val="16"/>
        </w:rPr>
        <w:t xml:space="preserve">Refer to the descriptions of abbreviations on page </w:t>
      </w:r>
      <w:r w:rsidR="00DF299E">
        <w:rPr>
          <w:sz w:val="16"/>
          <w:szCs w:val="16"/>
        </w:rPr>
        <w:t>6</w:t>
      </w:r>
      <w:r w:rsidRPr="00F106B3">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70C1A401" w14:textId="77777777" w:rsidR="00324B7B" w:rsidRPr="004B50DF" w:rsidRDefault="00324B7B"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DB33CA" w:rsidRDefault="00DB33C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DB33CA" w:rsidRDefault="00DB33C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DB33CA" w:rsidRDefault="00DB33CA"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DB33CA" w:rsidRPr="004C7880" w:rsidRDefault="00DB33CA"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DB33CA" w:rsidRDefault="00DB33C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DB33CA" w:rsidRDefault="00DB33CA">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DB33CA" w:rsidRDefault="00DB33C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26382896" w:rsidR="00324B7B" w:rsidRDefault="00324B7B"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19">
    <w:p w14:paraId="3BBC0E7E" w14:textId="41F30A76" w:rsidR="00324B7B" w:rsidRDefault="00324B7B"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0">
    <w:p w14:paraId="3884DA28" w14:textId="23E533ED" w:rsidR="00324B7B" w:rsidRDefault="00324B7B"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1">
    <w:p w14:paraId="5BB1F6F6" w14:textId="2B05C385" w:rsidR="00324B7B" w:rsidRDefault="00324B7B"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CF0E" w14:textId="72B102A4" w:rsidR="00324B7B" w:rsidRDefault="00324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8980" w14:textId="795D9FC9" w:rsidR="00324B7B" w:rsidRDefault="00324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1147C71"/>
    <w:multiLevelType w:val="hybridMultilevel"/>
    <w:tmpl w:val="B44655A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3E07C07"/>
    <w:multiLevelType w:val="hybridMultilevel"/>
    <w:tmpl w:val="042A1D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DF27CE"/>
    <w:multiLevelType w:val="hybridMultilevel"/>
    <w:tmpl w:val="83E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8039DB"/>
    <w:multiLevelType w:val="hybridMultilevel"/>
    <w:tmpl w:val="8AB233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C1C1862"/>
    <w:multiLevelType w:val="hybridMultilevel"/>
    <w:tmpl w:val="1EA0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6038228C"/>
    <w:multiLevelType w:val="hybridMultilevel"/>
    <w:tmpl w:val="1528E5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8"/>
  </w:num>
  <w:num w:numId="3">
    <w:abstractNumId w:val="4"/>
  </w:num>
  <w:num w:numId="4">
    <w:abstractNumId w:val="19"/>
  </w:num>
  <w:num w:numId="5">
    <w:abstractNumId w:val="20"/>
  </w:num>
  <w:num w:numId="6">
    <w:abstractNumId w:val="0"/>
  </w:num>
  <w:num w:numId="7">
    <w:abstractNumId w:val="7"/>
  </w:num>
  <w:num w:numId="8">
    <w:abstractNumId w:val="3"/>
  </w:num>
  <w:num w:numId="9">
    <w:abstractNumId w:val="14"/>
  </w:num>
  <w:num w:numId="10">
    <w:abstractNumId w:val="10"/>
  </w:num>
  <w:num w:numId="11">
    <w:abstractNumId w:val="17"/>
  </w:num>
  <w:num w:numId="12">
    <w:abstractNumId w:val="11"/>
  </w:num>
  <w:num w:numId="13">
    <w:abstractNumId w:val="12"/>
  </w:num>
  <w:num w:numId="14">
    <w:abstractNumId w:val="5"/>
  </w:num>
  <w:num w:numId="15">
    <w:abstractNumId w:val="16"/>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5"/>
  </w:num>
  <w:num w:numId="21">
    <w:abstractNumId w:val="9"/>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2D9"/>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930"/>
    <w:rsid w:val="00007A59"/>
    <w:rsid w:val="00007B00"/>
    <w:rsid w:val="00007BA5"/>
    <w:rsid w:val="00007BA9"/>
    <w:rsid w:val="000101BA"/>
    <w:rsid w:val="000102C9"/>
    <w:rsid w:val="00010328"/>
    <w:rsid w:val="000108AD"/>
    <w:rsid w:val="0001094E"/>
    <w:rsid w:val="00010BBF"/>
    <w:rsid w:val="00010EF3"/>
    <w:rsid w:val="000111F9"/>
    <w:rsid w:val="0001136D"/>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FD3"/>
    <w:rsid w:val="00021FED"/>
    <w:rsid w:val="00022690"/>
    <w:rsid w:val="000228CE"/>
    <w:rsid w:val="00022A61"/>
    <w:rsid w:val="0002304D"/>
    <w:rsid w:val="00023090"/>
    <w:rsid w:val="00023110"/>
    <w:rsid w:val="00023277"/>
    <w:rsid w:val="000232D9"/>
    <w:rsid w:val="0002375F"/>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0C3"/>
    <w:rsid w:val="000801CF"/>
    <w:rsid w:val="00080235"/>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AE"/>
    <w:rsid w:val="000875E5"/>
    <w:rsid w:val="0008767A"/>
    <w:rsid w:val="000876F7"/>
    <w:rsid w:val="00087B6F"/>
    <w:rsid w:val="00087B99"/>
    <w:rsid w:val="00087F9B"/>
    <w:rsid w:val="00087FB0"/>
    <w:rsid w:val="0009012F"/>
    <w:rsid w:val="000901A9"/>
    <w:rsid w:val="00090404"/>
    <w:rsid w:val="00090561"/>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BE8"/>
    <w:rsid w:val="00096C0B"/>
    <w:rsid w:val="00096C45"/>
    <w:rsid w:val="00096E3A"/>
    <w:rsid w:val="00096EFD"/>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CC8"/>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9E4"/>
    <w:rsid w:val="000D7A37"/>
    <w:rsid w:val="000E028F"/>
    <w:rsid w:val="000E0AD8"/>
    <w:rsid w:val="000E0C2F"/>
    <w:rsid w:val="000E0C5F"/>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53"/>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33B"/>
    <w:rsid w:val="0011234B"/>
    <w:rsid w:val="001123DA"/>
    <w:rsid w:val="00112614"/>
    <w:rsid w:val="00112797"/>
    <w:rsid w:val="0011298A"/>
    <w:rsid w:val="001129EF"/>
    <w:rsid w:val="00112D01"/>
    <w:rsid w:val="00112D16"/>
    <w:rsid w:val="00112D3E"/>
    <w:rsid w:val="00112EDE"/>
    <w:rsid w:val="00112EEC"/>
    <w:rsid w:val="00112EF3"/>
    <w:rsid w:val="00113244"/>
    <w:rsid w:val="001132B5"/>
    <w:rsid w:val="001133BC"/>
    <w:rsid w:val="001137B0"/>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F95"/>
    <w:rsid w:val="0011612A"/>
    <w:rsid w:val="001166B2"/>
    <w:rsid w:val="001166ED"/>
    <w:rsid w:val="00116758"/>
    <w:rsid w:val="00116D5F"/>
    <w:rsid w:val="00116DA0"/>
    <w:rsid w:val="00116E10"/>
    <w:rsid w:val="001173C9"/>
    <w:rsid w:val="00117573"/>
    <w:rsid w:val="001176F5"/>
    <w:rsid w:val="0011770D"/>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A24"/>
    <w:rsid w:val="00123D7E"/>
    <w:rsid w:val="00123F42"/>
    <w:rsid w:val="0012419C"/>
    <w:rsid w:val="00124281"/>
    <w:rsid w:val="00124579"/>
    <w:rsid w:val="00124720"/>
    <w:rsid w:val="001249B0"/>
    <w:rsid w:val="00124C4F"/>
    <w:rsid w:val="00124D97"/>
    <w:rsid w:val="00124DAC"/>
    <w:rsid w:val="00124E51"/>
    <w:rsid w:val="00124EAC"/>
    <w:rsid w:val="00124F98"/>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E7"/>
    <w:rsid w:val="001438AC"/>
    <w:rsid w:val="00143912"/>
    <w:rsid w:val="00143C4D"/>
    <w:rsid w:val="00143FBB"/>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4CF"/>
    <w:rsid w:val="001515F8"/>
    <w:rsid w:val="0015170A"/>
    <w:rsid w:val="00151C2B"/>
    <w:rsid w:val="00151DBD"/>
    <w:rsid w:val="00152128"/>
    <w:rsid w:val="00152476"/>
    <w:rsid w:val="001529B7"/>
    <w:rsid w:val="00152C1E"/>
    <w:rsid w:val="00152C24"/>
    <w:rsid w:val="00152CFB"/>
    <w:rsid w:val="00152D32"/>
    <w:rsid w:val="00153088"/>
    <w:rsid w:val="0015330B"/>
    <w:rsid w:val="00153584"/>
    <w:rsid w:val="00153630"/>
    <w:rsid w:val="001536CE"/>
    <w:rsid w:val="001539E7"/>
    <w:rsid w:val="00153D47"/>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9B3"/>
    <w:rsid w:val="00165A39"/>
    <w:rsid w:val="00165FAB"/>
    <w:rsid w:val="0016605D"/>
    <w:rsid w:val="00166102"/>
    <w:rsid w:val="00166D38"/>
    <w:rsid w:val="00166EDA"/>
    <w:rsid w:val="0016719F"/>
    <w:rsid w:val="00167496"/>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E5"/>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CB9"/>
    <w:rsid w:val="001A4012"/>
    <w:rsid w:val="001A4134"/>
    <w:rsid w:val="001A4284"/>
    <w:rsid w:val="001A4696"/>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B82"/>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B24"/>
    <w:rsid w:val="001E3C39"/>
    <w:rsid w:val="001E4163"/>
    <w:rsid w:val="001E448A"/>
    <w:rsid w:val="001E450A"/>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63FB"/>
    <w:rsid w:val="001E64A6"/>
    <w:rsid w:val="001E64D4"/>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6ED"/>
    <w:rsid w:val="002349F3"/>
    <w:rsid w:val="00234A37"/>
    <w:rsid w:val="00234ADD"/>
    <w:rsid w:val="00234D37"/>
    <w:rsid w:val="00235176"/>
    <w:rsid w:val="002353B3"/>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BB4"/>
    <w:rsid w:val="00266DA3"/>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5C5"/>
    <w:rsid w:val="00271729"/>
    <w:rsid w:val="00271824"/>
    <w:rsid w:val="00271A87"/>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626"/>
    <w:rsid w:val="002776FF"/>
    <w:rsid w:val="00277745"/>
    <w:rsid w:val="00277797"/>
    <w:rsid w:val="002777C5"/>
    <w:rsid w:val="002779FC"/>
    <w:rsid w:val="00277A66"/>
    <w:rsid w:val="00277D03"/>
    <w:rsid w:val="00277D11"/>
    <w:rsid w:val="00277E4B"/>
    <w:rsid w:val="00277EDF"/>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D1"/>
    <w:rsid w:val="002872AF"/>
    <w:rsid w:val="002872C7"/>
    <w:rsid w:val="002873CD"/>
    <w:rsid w:val="00287728"/>
    <w:rsid w:val="002878AC"/>
    <w:rsid w:val="00287BD6"/>
    <w:rsid w:val="00287C18"/>
    <w:rsid w:val="00287C56"/>
    <w:rsid w:val="00287CB5"/>
    <w:rsid w:val="00287EF7"/>
    <w:rsid w:val="00287FD5"/>
    <w:rsid w:val="00290202"/>
    <w:rsid w:val="002903D6"/>
    <w:rsid w:val="00290677"/>
    <w:rsid w:val="00290943"/>
    <w:rsid w:val="00290F7D"/>
    <w:rsid w:val="00290F99"/>
    <w:rsid w:val="0029104A"/>
    <w:rsid w:val="002911E2"/>
    <w:rsid w:val="002914BA"/>
    <w:rsid w:val="00291A00"/>
    <w:rsid w:val="00291B72"/>
    <w:rsid w:val="00291BB3"/>
    <w:rsid w:val="00291CC0"/>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3FA5"/>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FA3"/>
    <w:rsid w:val="002A0053"/>
    <w:rsid w:val="002A0093"/>
    <w:rsid w:val="002A01E9"/>
    <w:rsid w:val="002A0223"/>
    <w:rsid w:val="002A038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A7C"/>
    <w:rsid w:val="002B3B08"/>
    <w:rsid w:val="002B3B12"/>
    <w:rsid w:val="002B3C8B"/>
    <w:rsid w:val="002B3F3C"/>
    <w:rsid w:val="002B42EE"/>
    <w:rsid w:val="002B45D3"/>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70"/>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9C"/>
    <w:rsid w:val="002F55D0"/>
    <w:rsid w:val="002F55DA"/>
    <w:rsid w:val="002F57D9"/>
    <w:rsid w:val="002F5890"/>
    <w:rsid w:val="002F5BEA"/>
    <w:rsid w:val="002F5CAF"/>
    <w:rsid w:val="002F6241"/>
    <w:rsid w:val="002F65F0"/>
    <w:rsid w:val="002F6971"/>
    <w:rsid w:val="002F6AAA"/>
    <w:rsid w:val="002F6CF6"/>
    <w:rsid w:val="002F6EC9"/>
    <w:rsid w:val="002F6F70"/>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1"/>
    <w:rsid w:val="00312D63"/>
    <w:rsid w:val="00313383"/>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86C"/>
    <w:rsid w:val="00330989"/>
    <w:rsid w:val="003309E2"/>
    <w:rsid w:val="00330A43"/>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0B"/>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97BFC"/>
    <w:rsid w:val="003A02EA"/>
    <w:rsid w:val="003A03B6"/>
    <w:rsid w:val="003A081A"/>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6AA"/>
    <w:rsid w:val="003A2A3E"/>
    <w:rsid w:val="003A2B0D"/>
    <w:rsid w:val="003A2CA4"/>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2B2"/>
    <w:rsid w:val="003B33BE"/>
    <w:rsid w:val="003B3861"/>
    <w:rsid w:val="003B3B3B"/>
    <w:rsid w:val="003B3E22"/>
    <w:rsid w:val="003B40B7"/>
    <w:rsid w:val="003B40EF"/>
    <w:rsid w:val="003B41C2"/>
    <w:rsid w:val="003B4720"/>
    <w:rsid w:val="003B4754"/>
    <w:rsid w:val="003B4769"/>
    <w:rsid w:val="003B4817"/>
    <w:rsid w:val="003B48BD"/>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118"/>
    <w:rsid w:val="003C71F1"/>
    <w:rsid w:val="003C73C3"/>
    <w:rsid w:val="003C7545"/>
    <w:rsid w:val="003C76D8"/>
    <w:rsid w:val="003C7722"/>
    <w:rsid w:val="003C7736"/>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453"/>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4ECC"/>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937"/>
    <w:rsid w:val="003E4D5B"/>
    <w:rsid w:val="003E4DE0"/>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109"/>
    <w:rsid w:val="00427267"/>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BA"/>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D8D"/>
    <w:rsid w:val="00444F08"/>
    <w:rsid w:val="00445276"/>
    <w:rsid w:val="004452E4"/>
    <w:rsid w:val="00445392"/>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C4"/>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A1"/>
    <w:rsid w:val="00463C5D"/>
    <w:rsid w:val="00463DF6"/>
    <w:rsid w:val="00463E4B"/>
    <w:rsid w:val="0046401E"/>
    <w:rsid w:val="0046444F"/>
    <w:rsid w:val="00464609"/>
    <w:rsid w:val="004647A0"/>
    <w:rsid w:val="00464890"/>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2B70"/>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67D"/>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EA5"/>
    <w:rsid w:val="004C3F72"/>
    <w:rsid w:val="004C40A9"/>
    <w:rsid w:val="004C41EA"/>
    <w:rsid w:val="004C43E0"/>
    <w:rsid w:val="004C45F5"/>
    <w:rsid w:val="004C46CF"/>
    <w:rsid w:val="004C47B2"/>
    <w:rsid w:val="004C489F"/>
    <w:rsid w:val="004C48FC"/>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C0"/>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90"/>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A2B"/>
    <w:rsid w:val="00517B54"/>
    <w:rsid w:val="00517B76"/>
    <w:rsid w:val="00517B8D"/>
    <w:rsid w:val="00517C0A"/>
    <w:rsid w:val="0052024E"/>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86E"/>
    <w:rsid w:val="00532AE3"/>
    <w:rsid w:val="00532DE9"/>
    <w:rsid w:val="00533066"/>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47B"/>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78C"/>
    <w:rsid w:val="00585AE9"/>
    <w:rsid w:val="00585C22"/>
    <w:rsid w:val="00585CA0"/>
    <w:rsid w:val="00585CCD"/>
    <w:rsid w:val="00585CE5"/>
    <w:rsid w:val="00585D6C"/>
    <w:rsid w:val="00585D78"/>
    <w:rsid w:val="005861D2"/>
    <w:rsid w:val="0058625B"/>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72F"/>
    <w:rsid w:val="00590DC6"/>
    <w:rsid w:val="00590EC7"/>
    <w:rsid w:val="0059107E"/>
    <w:rsid w:val="005911A8"/>
    <w:rsid w:val="005911FB"/>
    <w:rsid w:val="0059137F"/>
    <w:rsid w:val="005913AD"/>
    <w:rsid w:val="005915E7"/>
    <w:rsid w:val="0059166C"/>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975"/>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C3F"/>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3F8"/>
    <w:rsid w:val="005B15CC"/>
    <w:rsid w:val="005B15FA"/>
    <w:rsid w:val="005B1811"/>
    <w:rsid w:val="005B1C36"/>
    <w:rsid w:val="005B1E97"/>
    <w:rsid w:val="005B1F91"/>
    <w:rsid w:val="005B20CF"/>
    <w:rsid w:val="005B2213"/>
    <w:rsid w:val="005B235C"/>
    <w:rsid w:val="005B255D"/>
    <w:rsid w:val="005B2590"/>
    <w:rsid w:val="005B293D"/>
    <w:rsid w:val="005B2AFE"/>
    <w:rsid w:val="005B2C52"/>
    <w:rsid w:val="005B2CE4"/>
    <w:rsid w:val="005B2D62"/>
    <w:rsid w:val="005B2E82"/>
    <w:rsid w:val="005B2E83"/>
    <w:rsid w:val="005B2EEF"/>
    <w:rsid w:val="005B2F74"/>
    <w:rsid w:val="005B3184"/>
    <w:rsid w:val="005B3811"/>
    <w:rsid w:val="005B38B1"/>
    <w:rsid w:val="005B3A84"/>
    <w:rsid w:val="005B3BB2"/>
    <w:rsid w:val="005B3D72"/>
    <w:rsid w:val="005B4075"/>
    <w:rsid w:val="005B4312"/>
    <w:rsid w:val="005B4404"/>
    <w:rsid w:val="005B47F9"/>
    <w:rsid w:val="005B4896"/>
    <w:rsid w:val="005B49DA"/>
    <w:rsid w:val="005B4EDF"/>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77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3FB2"/>
    <w:rsid w:val="005D41F0"/>
    <w:rsid w:val="005D4772"/>
    <w:rsid w:val="005D4916"/>
    <w:rsid w:val="005D49E8"/>
    <w:rsid w:val="005D4A57"/>
    <w:rsid w:val="005D4AAB"/>
    <w:rsid w:val="005D4F0A"/>
    <w:rsid w:val="005D5013"/>
    <w:rsid w:val="005D509B"/>
    <w:rsid w:val="005D5597"/>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FC"/>
    <w:rsid w:val="005E4720"/>
    <w:rsid w:val="005E489E"/>
    <w:rsid w:val="005E48F1"/>
    <w:rsid w:val="005E4C2E"/>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07E"/>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C3"/>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DE2"/>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E9A"/>
    <w:rsid w:val="00640469"/>
    <w:rsid w:val="0064060A"/>
    <w:rsid w:val="00640AFB"/>
    <w:rsid w:val="00640E37"/>
    <w:rsid w:val="00640F70"/>
    <w:rsid w:val="006410EA"/>
    <w:rsid w:val="006411F3"/>
    <w:rsid w:val="00641954"/>
    <w:rsid w:val="00641ABE"/>
    <w:rsid w:val="00641B56"/>
    <w:rsid w:val="00641D0E"/>
    <w:rsid w:val="00641D37"/>
    <w:rsid w:val="00641D72"/>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4C4B"/>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25A"/>
    <w:rsid w:val="006872D8"/>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2B4"/>
    <w:rsid w:val="006A1735"/>
    <w:rsid w:val="006A17CE"/>
    <w:rsid w:val="006A1948"/>
    <w:rsid w:val="006A1F70"/>
    <w:rsid w:val="006A22FF"/>
    <w:rsid w:val="006A23C5"/>
    <w:rsid w:val="006A24B0"/>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E3"/>
    <w:rsid w:val="006A59E1"/>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FD2"/>
    <w:rsid w:val="006D21B9"/>
    <w:rsid w:val="006D227C"/>
    <w:rsid w:val="006D24F9"/>
    <w:rsid w:val="006D2546"/>
    <w:rsid w:val="006D25F8"/>
    <w:rsid w:val="006D27D5"/>
    <w:rsid w:val="006D27FD"/>
    <w:rsid w:val="006D2A88"/>
    <w:rsid w:val="006D2DFF"/>
    <w:rsid w:val="006D3286"/>
    <w:rsid w:val="006D344D"/>
    <w:rsid w:val="006D359E"/>
    <w:rsid w:val="006D396E"/>
    <w:rsid w:val="006D3E99"/>
    <w:rsid w:val="006D4303"/>
    <w:rsid w:val="006D432A"/>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61B"/>
    <w:rsid w:val="006E06CF"/>
    <w:rsid w:val="006E0716"/>
    <w:rsid w:val="006E07D9"/>
    <w:rsid w:val="006E0855"/>
    <w:rsid w:val="006E0877"/>
    <w:rsid w:val="006E0A1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0F24"/>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9F5"/>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3D"/>
    <w:rsid w:val="00717B55"/>
    <w:rsid w:val="00717C4E"/>
    <w:rsid w:val="00717E97"/>
    <w:rsid w:val="00717F04"/>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B2D"/>
    <w:rsid w:val="00753C4D"/>
    <w:rsid w:val="00753C6D"/>
    <w:rsid w:val="00753D39"/>
    <w:rsid w:val="00753D46"/>
    <w:rsid w:val="00753D54"/>
    <w:rsid w:val="00753DBB"/>
    <w:rsid w:val="0075410C"/>
    <w:rsid w:val="007545ED"/>
    <w:rsid w:val="007548D4"/>
    <w:rsid w:val="00754A78"/>
    <w:rsid w:val="00754BCD"/>
    <w:rsid w:val="00754CCE"/>
    <w:rsid w:val="00754F94"/>
    <w:rsid w:val="007551CD"/>
    <w:rsid w:val="00755215"/>
    <w:rsid w:val="00755291"/>
    <w:rsid w:val="007557B6"/>
    <w:rsid w:val="00755AF9"/>
    <w:rsid w:val="00755CB2"/>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932"/>
    <w:rsid w:val="00781F47"/>
    <w:rsid w:val="00782013"/>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480"/>
    <w:rsid w:val="007A7493"/>
    <w:rsid w:val="007A7630"/>
    <w:rsid w:val="007A76DD"/>
    <w:rsid w:val="007A7708"/>
    <w:rsid w:val="007A772F"/>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7B"/>
    <w:rsid w:val="007B14DC"/>
    <w:rsid w:val="007B14EB"/>
    <w:rsid w:val="007B1A9C"/>
    <w:rsid w:val="007B1B1F"/>
    <w:rsid w:val="007B1D50"/>
    <w:rsid w:val="007B1D81"/>
    <w:rsid w:val="007B1F5A"/>
    <w:rsid w:val="007B1FCA"/>
    <w:rsid w:val="007B2054"/>
    <w:rsid w:val="007B2C74"/>
    <w:rsid w:val="007B2D95"/>
    <w:rsid w:val="007B2EB0"/>
    <w:rsid w:val="007B3062"/>
    <w:rsid w:val="007B3063"/>
    <w:rsid w:val="007B3114"/>
    <w:rsid w:val="007B353C"/>
    <w:rsid w:val="007B38F5"/>
    <w:rsid w:val="007B4165"/>
    <w:rsid w:val="007B43AD"/>
    <w:rsid w:val="007B43BC"/>
    <w:rsid w:val="007B43E3"/>
    <w:rsid w:val="007B461D"/>
    <w:rsid w:val="007B46DF"/>
    <w:rsid w:val="007B48AF"/>
    <w:rsid w:val="007B48ED"/>
    <w:rsid w:val="007B496F"/>
    <w:rsid w:val="007B4DBF"/>
    <w:rsid w:val="007B4E92"/>
    <w:rsid w:val="007B4F86"/>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AA9"/>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412"/>
    <w:rsid w:val="007D663A"/>
    <w:rsid w:val="007D6675"/>
    <w:rsid w:val="007D66C1"/>
    <w:rsid w:val="007D6D9C"/>
    <w:rsid w:val="007D6DBF"/>
    <w:rsid w:val="007D6EF8"/>
    <w:rsid w:val="007D70C3"/>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01D"/>
    <w:rsid w:val="00800175"/>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12D"/>
    <w:rsid w:val="0082456E"/>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D5B"/>
    <w:rsid w:val="00850FF3"/>
    <w:rsid w:val="008512B3"/>
    <w:rsid w:val="008514CA"/>
    <w:rsid w:val="00851842"/>
    <w:rsid w:val="0085191A"/>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35"/>
    <w:rsid w:val="00886949"/>
    <w:rsid w:val="008869EF"/>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A64"/>
    <w:rsid w:val="008A2C2E"/>
    <w:rsid w:val="008A2CC4"/>
    <w:rsid w:val="008A2D16"/>
    <w:rsid w:val="008A2DA6"/>
    <w:rsid w:val="008A2F8B"/>
    <w:rsid w:val="008A30F4"/>
    <w:rsid w:val="008A3669"/>
    <w:rsid w:val="008A3FF0"/>
    <w:rsid w:val="008A4167"/>
    <w:rsid w:val="008A4187"/>
    <w:rsid w:val="008A41C1"/>
    <w:rsid w:val="008A4257"/>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5CF"/>
    <w:rsid w:val="008D366A"/>
    <w:rsid w:val="008D370F"/>
    <w:rsid w:val="008D37D8"/>
    <w:rsid w:val="008D3A13"/>
    <w:rsid w:val="008D3A4C"/>
    <w:rsid w:val="008D3B1F"/>
    <w:rsid w:val="008D3C99"/>
    <w:rsid w:val="008D3D27"/>
    <w:rsid w:val="008D3EBF"/>
    <w:rsid w:val="008D3FD5"/>
    <w:rsid w:val="008D4139"/>
    <w:rsid w:val="008D4207"/>
    <w:rsid w:val="008D4374"/>
    <w:rsid w:val="008D44F0"/>
    <w:rsid w:val="008D4530"/>
    <w:rsid w:val="008D4963"/>
    <w:rsid w:val="008D4D8C"/>
    <w:rsid w:val="008D51A1"/>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76C"/>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D09"/>
    <w:rsid w:val="00901D28"/>
    <w:rsid w:val="009020FB"/>
    <w:rsid w:val="009023BD"/>
    <w:rsid w:val="0090260A"/>
    <w:rsid w:val="009026A5"/>
    <w:rsid w:val="00902773"/>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3BB"/>
    <w:rsid w:val="00904589"/>
    <w:rsid w:val="0090475A"/>
    <w:rsid w:val="0090496B"/>
    <w:rsid w:val="009049C2"/>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B0A"/>
    <w:rsid w:val="00906DF5"/>
    <w:rsid w:val="00906F39"/>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599"/>
    <w:rsid w:val="009C19A2"/>
    <w:rsid w:val="009C1CEA"/>
    <w:rsid w:val="009C1E53"/>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8F6"/>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CE7"/>
    <w:rsid w:val="00A00D9F"/>
    <w:rsid w:val="00A00E5A"/>
    <w:rsid w:val="00A00FEB"/>
    <w:rsid w:val="00A0102F"/>
    <w:rsid w:val="00A01407"/>
    <w:rsid w:val="00A01498"/>
    <w:rsid w:val="00A01626"/>
    <w:rsid w:val="00A0172D"/>
    <w:rsid w:val="00A018ED"/>
    <w:rsid w:val="00A01905"/>
    <w:rsid w:val="00A0193D"/>
    <w:rsid w:val="00A01A8E"/>
    <w:rsid w:val="00A01C15"/>
    <w:rsid w:val="00A01F1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C87"/>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0FE7"/>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BA5"/>
    <w:rsid w:val="00A97E1F"/>
    <w:rsid w:val="00AA0150"/>
    <w:rsid w:val="00AA01F9"/>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DE0"/>
    <w:rsid w:val="00AB3E97"/>
    <w:rsid w:val="00AB4188"/>
    <w:rsid w:val="00AB418B"/>
    <w:rsid w:val="00AB4445"/>
    <w:rsid w:val="00AB4634"/>
    <w:rsid w:val="00AB4910"/>
    <w:rsid w:val="00AB4BCF"/>
    <w:rsid w:val="00AB4C3A"/>
    <w:rsid w:val="00AB4CEF"/>
    <w:rsid w:val="00AB4D90"/>
    <w:rsid w:val="00AB511D"/>
    <w:rsid w:val="00AB55E8"/>
    <w:rsid w:val="00AB56E1"/>
    <w:rsid w:val="00AB5881"/>
    <w:rsid w:val="00AB5A88"/>
    <w:rsid w:val="00AB5AB7"/>
    <w:rsid w:val="00AB5C4A"/>
    <w:rsid w:val="00AB5CD4"/>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0F"/>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7D2"/>
    <w:rsid w:val="00AC6BFD"/>
    <w:rsid w:val="00AC6C31"/>
    <w:rsid w:val="00AC6DB5"/>
    <w:rsid w:val="00AC73F5"/>
    <w:rsid w:val="00AC7717"/>
    <w:rsid w:val="00AC7773"/>
    <w:rsid w:val="00AC791D"/>
    <w:rsid w:val="00AC7AB8"/>
    <w:rsid w:val="00AC7B51"/>
    <w:rsid w:val="00AC7BC2"/>
    <w:rsid w:val="00AC7C08"/>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870"/>
    <w:rsid w:val="00AE4A0C"/>
    <w:rsid w:val="00AE4D7D"/>
    <w:rsid w:val="00AE4E7A"/>
    <w:rsid w:val="00AE4E92"/>
    <w:rsid w:val="00AE4F7B"/>
    <w:rsid w:val="00AE52D3"/>
    <w:rsid w:val="00AE541A"/>
    <w:rsid w:val="00AE5461"/>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11"/>
    <w:rsid w:val="00AF0525"/>
    <w:rsid w:val="00AF05A8"/>
    <w:rsid w:val="00AF0656"/>
    <w:rsid w:val="00AF076D"/>
    <w:rsid w:val="00AF0796"/>
    <w:rsid w:val="00AF0F7E"/>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6BC"/>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E7"/>
    <w:rsid w:val="00B02155"/>
    <w:rsid w:val="00B02243"/>
    <w:rsid w:val="00B02C6E"/>
    <w:rsid w:val="00B02EEA"/>
    <w:rsid w:val="00B02F06"/>
    <w:rsid w:val="00B02F95"/>
    <w:rsid w:val="00B03668"/>
    <w:rsid w:val="00B03698"/>
    <w:rsid w:val="00B036D4"/>
    <w:rsid w:val="00B03744"/>
    <w:rsid w:val="00B03770"/>
    <w:rsid w:val="00B039E0"/>
    <w:rsid w:val="00B03BD3"/>
    <w:rsid w:val="00B03BFC"/>
    <w:rsid w:val="00B03EA2"/>
    <w:rsid w:val="00B040BC"/>
    <w:rsid w:val="00B0422A"/>
    <w:rsid w:val="00B043EB"/>
    <w:rsid w:val="00B04449"/>
    <w:rsid w:val="00B04486"/>
    <w:rsid w:val="00B044E6"/>
    <w:rsid w:val="00B04BF0"/>
    <w:rsid w:val="00B04D15"/>
    <w:rsid w:val="00B04E7D"/>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47F"/>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FC"/>
    <w:rsid w:val="00B2134A"/>
    <w:rsid w:val="00B21742"/>
    <w:rsid w:val="00B21A8F"/>
    <w:rsid w:val="00B21C57"/>
    <w:rsid w:val="00B21C8F"/>
    <w:rsid w:val="00B21D89"/>
    <w:rsid w:val="00B21DE7"/>
    <w:rsid w:val="00B21ECB"/>
    <w:rsid w:val="00B21F04"/>
    <w:rsid w:val="00B220F7"/>
    <w:rsid w:val="00B221B4"/>
    <w:rsid w:val="00B22249"/>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D1D"/>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D91"/>
    <w:rsid w:val="00B52F71"/>
    <w:rsid w:val="00B53396"/>
    <w:rsid w:val="00B53881"/>
    <w:rsid w:val="00B5399B"/>
    <w:rsid w:val="00B53F62"/>
    <w:rsid w:val="00B53FB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75"/>
    <w:rsid w:val="00B669C3"/>
    <w:rsid w:val="00B66BD7"/>
    <w:rsid w:val="00B66CB0"/>
    <w:rsid w:val="00B66EE5"/>
    <w:rsid w:val="00B66FD9"/>
    <w:rsid w:val="00B671BE"/>
    <w:rsid w:val="00B672D5"/>
    <w:rsid w:val="00B678EA"/>
    <w:rsid w:val="00B67A26"/>
    <w:rsid w:val="00B67BA3"/>
    <w:rsid w:val="00B67DAE"/>
    <w:rsid w:val="00B67E8C"/>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275"/>
    <w:rsid w:val="00B73322"/>
    <w:rsid w:val="00B73328"/>
    <w:rsid w:val="00B7355F"/>
    <w:rsid w:val="00B7369A"/>
    <w:rsid w:val="00B736B3"/>
    <w:rsid w:val="00B738ED"/>
    <w:rsid w:val="00B739E1"/>
    <w:rsid w:val="00B73A79"/>
    <w:rsid w:val="00B73A95"/>
    <w:rsid w:val="00B73AAF"/>
    <w:rsid w:val="00B73BB5"/>
    <w:rsid w:val="00B73E47"/>
    <w:rsid w:val="00B73FDF"/>
    <w:rsid w:val="00B740D4"/>
    <w:rsid w:val="00B740E7"/>
    <w:rsid w:val="00B7438B"/>
    <w:rsid w:val="00B74951"/>
    <w:rsid w:val="00B7504C"/>
    <w:rsid w:val="00B752B5"/>
    <w:rsid w:val="00B75395"/>
    <w:rsid w:val="00B753E8"/>
    <w:rsid w:val="00B75482"/>
    <w:rsid w:val="00B75781"/>
    <w:rsid w:val="00B757DF"/>
    <w:rsid w:val="00B75826"/>
    <w:rsid w:val="00B75908"/>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4E0"/>
    <w:rsid w:val="00B926E0"/>
    <w:rsid w:val="00B928F1"/>
    <w:rsid w:val="00B92A0A"/>
    <w:rsid w:val="00B92B90"/>
    <w:rsid w:val="00B92D00"/>
    <w:rsid w:val="00B92F78"/>
    <w:rsid w:val="00B93017"/>
    <w:rsid w:val="00B930DC"/>
    <w:rsid w:val="00B93141"/>
    <w:rsid w:val="00B9327A"/>
    <w:rsid w:val="00B9380B"/>
    <w:rsid w:val="00B93AD9"/>
    <w:rsid w:val="00B93B7A"/>
    <w:rsid w:val="00B93D37"/>
    <w:rsid w:val="00B93F0C"/>
    <w:rsid w:val="00B93F76"/>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6D8"/>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750"/>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AC"/>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E2"/>
    <w:rsid w:val="00BD5A95"/>
    <w:rsid w:val="00BD5B5D"/>
    <w:rsid w:val="00BD5C09"/>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BAC"/>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6F20"/>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DF5"/>
    <w:rsid w:val="00C20E95"/>
    <w:rsid w:val="00C20FCA"/>
    <w:rsid w:val="00C212CB"/>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31D"/>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37FA9"/>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20"/>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6E5"/>
    <w:rsid w:val="00C67816"/>
    <w:rsid w:val="00C678D4"/>
    <w:rsid w:val="00C6790C"/>
    <w:rsid w:val="00C67914"/>
    <w:rsid w:val="00C67E53"/>
    <w:rsid w:val="00C67EBE"/>
    <w:rsid w:val="00C700EC"/>
    <w:rsid w:val="00C70280"/>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B2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807"/>
    <w:rsid w:val="00CA18A7"/>
    <w:rsid w:val="00CA1B19"/>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D8F"/>
    <w:rsid w:val="00CA7E1A"/>
    <w:rsid w:val="00CA7F72"/>
    <w:rsid w:val="00CB0483"/>
    <w:rsid w:val="00CB0625"/>
    <w:rsid w:val="00CB0632"/>
    <w:rsid w:val="00CB0655"/>
    <w:rsid w:val="00CB0763"/>
    <w:rsid w:val="00CB0A53"/>
    <w:rsid w:val="00CB0AE2"/>
    <w:rsid w:val="00CB0BD0"/>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43"/>
    <w:rsid w:val="00CB3557"/>
    <w:rsid w:val="00CB3760"/>
    <w:rsid w:val="00CB376B"/>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86C"/>
    <w:rsid w:val="00CC0B83"/>
    <w:rsid w:val="00CC0DB5"/>
    <w:rsid w:val="00CC0E54"/>
    <w:rsid w:val="00CC100C"/>
    <w:rsid w:val="00CC10E8"/>
    <w:rsid w:val="00CC123D"/>
    <w:rsid w:val="00CC12B5"/>
    <w:rsid w:val="00CC1364"/>
    <w:rsid w:val="00CC1430"/>
    <w:rsid w:val="00CC1493"/>
    <w:rsid w:val="00CC14B5"/>
    <w:rsid w:val="00CC15A5"/>
    <w:rsid w:val="00CC15B3"/>
    <w:rsid w:val="00CC15D1"/>
    <w:rsid w:val="00CC1BE1"/>
    <w:rsid w:val="00CC1F56"/>
    <w:rsid w:val="00CC1F93"/>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4029"/>
    <w:rsid w:val="00CC41F3"/>
    <w:rsid w:val="00CC424A"/>
    <w:rsid w:val="00CC45F4"/>
    <w:rsid w:val="00CC47A9"/>
    <w:rsid w:val="00CC47FF"/>
    <w:rsid w:val="00CC493A"/>
    <w:rsid w:val="00CC4BEE"/>
    <w:rsid w:val="00CC4DF0"/>
    <w:rsid w:val="00CC4E60"/>
    <w:rsid w:val="00CC5254"/>
    <w:rsid w:val="00CC54D1"/>
    <w:rsid w:val="00CC5894"/>
    <w:rsid w:val="00CC5B0C"/>
    <w:rsid w:val="00CC5C17"/>
    <w:rsid w:val="00CC5DB8"/>
    <w:rsid w:val="00CC5DC8"/>
    <w:rsid w:val="00CC5FB6"/>
    <w:rsid w:val="00CC5FE8"/>
    <w:rsid w:val="00CC64AE"/>
    <w:rsid w:val="00CC688C"/>
    <w:rsid w:val="00CC68A9"/>
    <w:rsid w:val="00CC6B3E"/>
    <w:rsid w:val="00CC6B7A"/>
    <w:rsid w:val="00CC6E50"/>
    <w:rsid w:val="00CC6F69"/>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393"/>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D1"/>
    <w:rsid w:val="00CE5245"/>
    <w:rsid w:val="00CE525A"/>
    <w:rsid w:val="00CE5343"/>
    <w:rsid w:val="00CE57DE"/>
    <w:rsid w:val="00CE5828"/>
    <w:rsid w:val="00CE5A2E"/>
    <w:rsid w:val="00CE5B11"/>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B53"/>
    <w:rsid w:val="00CF3C13"/>
    <w:rsid w:val="00CF3CF1"/>
    <w:rsid w:val="00CF3F4C"/>
    <w:rsid w:val="00CF44DC"/>
    <w:rsid w:val="00CF46D0"/>
    <w:rsid w:val="00CF477E"/>
    <w:rsid w:val="00CF4A79"/>
    <w:rsid w:val="00CF4B6C"/>
    <w:rsid w:val="00CF4BFB"/>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DEA"/>
    <w:rsid w:val="00D64E5A"/>
    <w:rsid w:val="00D64F13"/>
    <w:rsid w:val="00D65215"/>
    <w:rsid w:val="00D65322"/>
    <w:rsid w:val="00D655BB"/>
    <w:rsid w:val="00D6580C"/>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D63"/>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447"/>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3B"/>
    <w:rsid w:val="00DA56D7"/>
    <w:rsid w:val="00DA57D4"/>
    <w:rsid w:val="00DA57D8"/>
    <w:rsid w:val="00DA5E35"/>
    <w:rsid w:val="00DA5E39"/>
    <w:rsid w:val="00DA5EE2"/>
    <w:rsid w:val="00DA6085"/>
    <w:rsid w:val="00DA61B0"/>
    <w:rsid w:val="00DA6226"/>
    <w:rsid w:val="00DA6365"/>
    <w:rsid w:val="00DA68A5"/>
    <w:rsid w:val="00DA6BA2"/>
    <w:rsid w:val="00DA6BE0"/>
    <w:rsid w:val="00DA6DC5"/>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3CA"/>
    <w:rsid w:val="00DB3707"/>
    <w:rsid w:val="00DB3724"/>
    <w:rsid w:val="00DB3770"/>
    <w:rsid w:val="00DB381F"/>
    <w:rsid w:val="00DB39D3"/>
    <w:rsid w:val="00DB3AD9"/>
    <w:rsid w:val="00DB409E"/>
    <w:rsid w:val="00DB41A3"/>
    <w:rsid w:val="00DB43B1"/>
    <w:rsid w:val="00DB43E4"/>
    <w:rsid w:val="00DB43EB"/>
    <w:rsid w:val="00DB4BA2"/>
    <w:rsid w:val="00DB4CC4"/>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BD8"/>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72"/>
    <w:rsid w:val="00DC3EE4"/>
    <w:rsid w:val="00DC4184"/>
    <w:rsid w:val="00DC4224"/>
    <w:rsid w:val="00DC440D"/>
    <w:rsid w:val="00DC4739"/>
    <w:rsid w:val="00DC4854"/>
    <w:rsid w:val="00DC4904"/>
    <w:rsid w:val="00DC4A35"/>
    <w:rsid w:val="00DC4AFD"/>
    <w:rsid w:val="00DC4D6D"/>
    <w:rsid w:val="00DC5145"/>
    <w:rsid w:val="00DC53C9"/>
    <w:rsid w:val="00DC5438"/>
    <w:rsid w:val="00DC54F2"/>
    <w:rsid w:val="00DC55EB"/>
    <w:rsid w:val="00DC5792"/>
    <w:rsid w:val="00DC5861"/>
    <w:rsid w:val="00DC586D"/>
    <w:rsid w:val="00DC597D"/>
    <w:rsid w:val="00DC5D96"/>
    <w:rsid w:val="00DC5E74"/>
    <w:rsid w:val="00DC633D"/>
    <w:rsid w:val="00DC6356"/>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C6D"/>
    <w:rsid w:val="00DD7E91"/>
    <w:rsid w:val="00DE007B"/>
    <w:rsid w:val="00DE04E3"/>
    <w:rsid w:val="00DE07BB"/>
    <w:rsid w:val="00DE0818"/>
    <w:rsid w:val="00DE0966"/>
    <w:rsid w:val="00DE0A4C"/>
    <w:rsid w:val="00DE0A6B"/>
    <w:rsid w:val="00DE0BB5"/>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35"/>
    <w:rsid w:val="00E126B0"/>
    <w:rsid w:val="00E1270E"/>
    <w:rsid w:val="00E1271C"/>
    <w:rsid w:val="00E12A02"/>
    <w:rsid w:val="00E12DA6"/>
    <w:rsid w:val="00E12DBD"/>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2E"/>
    <w:rsid w:val="00E2283A"/>
    <w:rsid w:val="00E2283D"/>
    <w:rsid w:val="00E2284B"/>
    <w:rsid w:val="00E2291A"/>
    <w:rsid w:val="00E22C5B"/>
    <w:rsid w:val="00E22F0B"/>
    <w:rsid w:val="00E22F4E"/>
    <w:rsid w:val="00E232D5"/>
    <w:rsid w:val="00E235D1"/>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0DF"/>
    <w:rsid w:val="00E33449"/>
    <w:rsid w:val="00E339AD"/>
    <w:rsid w:val="00E33A8C"/>
    <w:rsid w:val="00E33E63"/>
    <w:rsid w:val="00E34093"/>
    <w:rsid w:val="00E3413F"/>
    <w:rsid w:val="00E341AF"/>
    <w:rsid w:val="00E341E0"/>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A"/>
    <w:rsid w:val="00E36927"/>
    <w:rsid w:val="00E36AA7"/>
    <w:rsid w:val="00E36D8A"/>
    <w:rsid w:val="00E36E44"/>
    <w:rsid w:val="00E36FA2"/>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DB5"/>
    <w:rsid w:val="00E720CE"/>
    <w:rsid w:val="00E72373"/>
    <w:rsid w:val="00E724BF"/>
    <w:rsid w:val="00E72859"/>
    <w:rsid w:val="00E7286C"/>
    <w:rsid w:val="00E72A93"/>
    <w:rsid w:val="00E72FD5"/>
    <w:rsid w:val="00E731AE"/>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5F"/>
    <w:rsid w:val="00E92D6F"/>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02"/>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6FD3"/>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7187"/>
    <w:rsid w:val="00EE739F"/>
    <w:rsid w:val="00EE743A"/>
    <w:rsid w:val="00EE7484"/>
    <w:rsid w:val="00EE7493"/>
    <w:rsid w:val="00EE7A6A"/>
    <w:rsid w:val="00EE7BC3"/>
    <w:rsid w:val="00EE7D25"/>
    <w:rsid w:val="00EE7F05"/>
    <w:rsid w:val="00EF0001"/>
    <w:rsid w:val="00EF041C"/>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D9D"/>
    <w:rsid w:val="00F36E46"/>
    <w:rsid w:val="00F372E7"/>
    <w:rsid w:val="00F374F0"/>
    <w:rsid w:val="00F375D2"/>
    <w:rsid w:val="00F37604"/>
    <w:rsid w:val="00F377C3"/>
    <w:rsid w:val="00F37A46"/>
    <w:rsid w:val="00F37B73"/>
    <w:rsid w:val="00F37B76"/>
    <w:rsid w:val="00F37BA1"/>
    <w:rsid w:val="00F40075"/>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53A"/>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46"/>
    <w:rsid w:val="00F92265"/>
    <w:rsid w:val="00F922F9"/>
    <w:rsid w:val="00F92389"/>
    <w:rsid w:val="00F9293E"/>
    <w:rsid w:val="00F929FA"/>
    <w:rsid w:val="00F92AA4"/>
    <w:rsid w:val="00F92C5A"/>
    <w:rsid w:val="00F92DE6"/>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AF8"/>
    <w:rsid w:val="00FD4D58"/>
    <w:rsid w:val="00FD4DF9"/>
    <w:rsid w:val="00FD4FC4"/>
    <w:rsid w:val="00FD515E"/>
    <w:rsid w:val="00FD52E3"/>
    <w:rsid w:val="00FD58E1"/>
    <w:rsid w:val="00FD5A1A"/>
    <w:rsid w:val="00FD5A43"/>
    <w:rsid w:val="00FD5AA1"/>
    <w:rsid w:val="00FD5AB3"/>
    <w:rsid w:val="00FD5B97"/>
    <w:rsid w:val="00FD5CBF"/>
    <w:rsid w:val="00FD5EB3"/>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6E8"/>
    <w:rsid w:val="00FE49C5"/>
    <w:rsid w:val="00FE4A0D"/>
    <w:rsid w:val="00FE4E41"/>
    <w:rsid w:val="00FE4F7E"/>
    <w:rsid w:val="00FE5267"/>
    <w:rsid w:val="00FE53B5"/>
    <w:rsid w:val="00FE5409"/>
    <w:rsid w:val="00FE5446"/>
    <w:rsid w:val="00FE54D9"/>
    <w:rsid w:val="00FE55E7"/>
    <w:rsid w:val="00FE583D"/>
    <w:rsid w:val="00FE5856"/>
    <w:rsid w:val="00FE59DA"/>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6CB"/>
    <w:rsid w:val="00FF39EE"/>
    <w:rsid w:val="00FF3ED1"/>
    <w:rsid w:val="00FF40E6"/>
    <w:rsid w:val="00FF487B"/>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AE5461"/>
    <w:pPr>
      <w:ind w:left="-142"/>
      <w:outlineLvl w:val="1"/>
    </w:pPr>
    <w:rPr>
      <w:rFonts w:ascii="Verdana" w:hAnsi="Verdana" w:cs="Arial"/>
      <w:b/>
      <w:bCs/>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AE5461"/>
    <w:rPr>
      <w:rFonts w:ascii="Verdana" w:hAnsi="Verdana" w:cs="Arial"/>
      <w:b/>
      <w:bCs/>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74</TotalTime>
  <Pages>28</Pages>
  <Words>9634</Words>
  <Characters>50713</Characters>
  <Application>Microsoft Office Word</Application>
  <DocSecurity>0</DocSecurity>
  <Lines>422</Lines>
  <Paragraphs>120</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60227</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30</cp:revision>
  <cp:lastPrinted>2022-10-31T06:00:00Z</cp:lastPrinted>
  <dcterms:created xsi:type="dcterms:W3CDTF">2022-10-31T05:01:00Z</dcterms:created>
  <dcterms:modified xsi:type="dcterms:W3CDTF">2022-10-31T06:28:00Z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