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14BF3223"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93E0D">
        <w:rPr>
          <w:caps w:val="0"/>
        </w:rPr>
        <w:t>5</w:t>
      </w:r>
      <w:r w:rsidR="00951376">
        <w:rPr>
          <w:caps w:val="0"/>
        </w:rPr>
        <w:t>6</w:t>
      </w:r>
    </w:p>
    <w:p w14:paraId="0C6B487A" w14:textId="77777777" w:rsidR="00900037" w:rsidRPr="00013220" w:rsidRDefault="00900037" w:rsidP="002B6652">
      <w:pPr>
        <w:pStyle w:val="Subtitle"/>
        <w:ind w:left="-426" w:right="-623"/>
        <w:jc w:val="center"/>
        <w:rPr>
          <w:b/>
          <w:i w:val="0"/>
          <w:sz w:val="36"/>
          <w:szCs w:val="36"/>
        </w:rPr>
      </w:pPr>
    </w:p>
    <w:p w14:paraId="0AC82FDD" w14:textId="5D47D60C" w:rsidR="00900037" w:rsidRPr="006F7EC0" w:rsidRDefault="00951376" w:rsidP="006F7EC0">
      <w:pPr>
        <w:pStyle w:val="Title"/>
        <w:spacing w:before="200"/>
        <w:ind w:left="-426" w:right="-623"/>
        <w:jc w:val="center"/>
        <w:rPr>
          <w:caps w:val="0"/>
          <w:sz w:val="28"/>
          <w:szCs w:val="28"/>
        </w:rPr>
      </w:pPr>
      <w:r>
        <w:rPr>
          <w:caps w:val="0"/>
          <w:sz w:val="28"/>
          <w:szCs w:val="28"/>
        </w:rPr>
        <w:t xml:space="preserve">April </w:t>
      </w:r>
      <w:r w:rsidR="00960C5D">
        <w:rPr>
          <w:caps w:val="0"/>
          <w:sz w:val="28"/>
          <w:szCs w:val="28"/>
        </w:rPr>
        <w:t>202</w:t>
      </w:r>
      <w:r w:rsidR="00384772">
        <w:rPr>
          <w:caps w:val="0"/>
          <w:sz w:val="28"/>
          <w:szCs w:val="28"/>
        </w:rPr>
        <w:t>2</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June </w:t>
      </w:r>
      <w:r w:rsidR="00960C5D">
        <w:rPr>
          <w:caps w:val="0"/>
          <w:sz w:val="28"/>
          <w:szCs w:val="28"/>
        </w:rPr>
        <w:t>202</w:t>
      </w:r>
      <w:r w:rsidR="00384772">
        <w:rPr>
          <w:caps w:val="0"/>
          <w:sz w:val="28"/>
          <w:szCs w:val="28"/>
        </w:rPr>
        <w:t>2</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4A448929"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0B6F40">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57ED6E4F" w:rsidR="008A481F" w:rsidRPr="00ED55CD" w:rsidRDefault="00536924" w:rsidP="00EE5878">
      <w:pPr>
        <w:ind w:left="-142" w:right="-425"/>
        <w:jc w:val="both"/>
        <w:rPr>
          <w:rFonts w:cs="Arial"/>
        </w:rPr>
      </w:pPr>
      <w:r w:rsidRPr="00ED55CD">
        <w:rPr>
          <w:rFonts w:cs="Arial"/>
        </w:rPr>
        <w:t>The Families 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1FB7BFB3"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951376">
        <w:rPr>
          <w:rFonts w:cs="Arial"/>
        </w:rPr>
        <w:t>April</w:t>
      </w:r>
      <w:r w:rsidR="00951376" w:rsidRPr="00ED55CD">
        <w:rPr>
          <w:rFonts w:cs="Arial"/>
        </w:rPr>
        <w:t xml:space="preserve"> </w:t>
      </w:r>
      <w:r w:rsidR="003467B2" w:rsidRPr="00ED55CD">
        <w:rPr>
          <w:rFonts w:cs="Arial"/>
        </w:rPr>
        <w:t xml:space="preserve">to </w:t>
      </w:r>
      <w:r w:rsidR="00951376">
        <w:rPr>
          <w:rFonts w:cs="Arial"/>
        </w:rPr>
        <w:t>June</w:t>
      </w:r>
      <w:r w:rsidR="00951376" w:rsidRPr="00ED55CD">
        <w:rPr>
          <w:rFonts w:cs="Arial"/>
        </w:rPr>
        <w:t xml:space="preserve"> </w:t>
      </w:r>
      <w:r w:rsidR="003467B2" w:rsidRPr="00ED55CD">
        <w:rPr>
          <w:rFonts w:cs="Arial"/>
        </w:rPr>
        <w:t>202</w:t>
      </w:r>
      <w:r w:rsidR="003D3453">
        <w:rPr>
          <w:rFonts w:cs="Arial"/>
        </w:rPr>
        <w:t>2</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28AC52A1"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951376">
        <w:rPr>
          <w:rFonts w:cs="Arial"/>
        </w:rPr>
        <w:t>56</w:t>
      </w:r>
      <w:r w:rsidR="00281E08" w:rsidRPr="00ED55CD">
        <w:rPr>
          <w:rFonts w:cs="Arial"/>
        </w:rPr>
        <w:t xml:space="preserve"> </w:t>
      </w:r>
      <w:r w:rsidRPr="00ED55CD">
        <w:rPr>
          <w:rFonts w:cs="Arial"/>
        </w:rPr>
        <w:t>with comparisons shown to the previous quarter.</w:t>
      </w:r>
    </w:p>
    <w:p w14:paraId="0C420264" w14:textId="77777777" w:rsidR="0023544C" w:rsidRDefault="0023544C" w:rsidP="00C7128D">
      <w:pPr>
        <w:spacing w:after="120" w:line="240" w:lineRule="auto"/>
        <w:ind w:right="-425"/>
        <w:jc w:val="both"/>
        <w:rPr>
          <w:b/>
          <w:sz w:val="16"/>
          <w:szCs w:val="16"/>
        </w:rPr>
      </w:pPr>
      <w:bookmarkStart w:id="0" w:name="_Hlk38021442"/>
    </w:p>
    <w:p w14:paraId="7466B2AC" w14:textId="4E08829C"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DA70CA">
        <w:rPr>
          <w:sz w:val="16"/>
          <w:szCs w:val="16"/>
        </w:rPr>
        <w:t xml:space="preserve">January 2022 </w:t>
      </w:r>
      <w:r>
        <w:rPr>
          <w:sz w:val="16"/>
          <w:szCs w:val="16"/>
        </w:rPr>
        <w:t xml:space="preserve">to </w:t>
      </w:r>
      <w:r w:rsidR="00DA70CA">
        <w:rPr>
          <w:sz w:val="16"/>
          <w:szCs w:val="16"/>
        </w:rPr>
        <w:t>30 June</w:t>
      </w:r>
      <w:r w:rsidR="003D3453">
        <w:rPr>
          <w:sz w:val="16"/>
          <w:szCs w:val="16"/>
        </w:rPr>
        <w:t xml:space="preserve"> 2022</w:t>
      </w:r>
    </w:p>
    <w:tbl>
      <w:tblPr>
        <w:tblW w:w="9389" w:type="dxa"/>
        <w:tblInd w:w="103" w:type="dxa"/>
        <w:tblLook w:val="04A0" w:firstRow="1" w:lastRow="0" w:firstColumn="1" w:lastColumn="0" w:noHBand="0" w:noVBand="1"/>
      </w:tblPr>
      <w:tblGrid>
        <w:gridCol w:w="7405"/>
        <w:gridCol w:w="992"/>
        <w:gridCol w:w="992"/>
      </w:tblGrid>
      <w:tr w:rsidR="00D53637" w:rsidRPr="00504360" w14:paraId="0784B417" w14:textId="773E2A2D" w:rsidTr="001356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D53637" w:rsidRPr="00504360" w:rsidRDefault="00D53637" w:rsidP="00D53637">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47AEDC64"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951376">
              <w:rPr>
                <w:rFonts w:cs="Arial"/>
                <w:b/>
                <w:bCs/>
                <w:sz w:val="18"/>
                <w:szCs w:val="18"/>
                <w:lang w:eastAsia="en-AU"/>
              </w:rPr>
              <w:t>55</w:t>
            </w:r>
          </w:p>
        </w:tc>
        <w:tc>
          <w:tcPr>
            <w:tcW w:w="992" w:type="dxa"/>
            <w:tcBorders>
              <w:top w:val="single" w:sz="4" w:space="0" w:color="auto"/>
              <w:left w:val="single" w:sz="4" w:space="0" w:color="auto"/>
              <w:bottom w:val="single" w:sz="4" w:space="0" w:color="auto"/>
              <w:right w:val="single" w:sz="4" w:space="0" w:color="auto"/>
            </w:tcBorders>
          </w:tcPr>
          <w:p w14:paraId="26E501C0" w14:textId="19298EA0"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 xml:space="preserve">Qtr </w:t>
            </w:r>
            <w:r w:rsidR="00951376">
              <w:rPr>
                <w:rFonts w:cs="Arial"/>
                <w:b/>
                <w:bCs/>
                <w:sz w:val="18"/>
                <w:szCs w:val="18"/>
                <w:lang w:eastAsia="en-AU"/>
              </w:rPr>
              <w:t>56</w:t>
            </w:r>
          </w:p>
        </w:tc>
      </w:tr>
      <w:tr w:rsidR="00CD313B" w:rsidRPr="00504360" w14:paraId="2B1B5FCF" w14:textId="3A80F0E7"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CD313B" w:rsidRPr="00504360" w:rsidRDefault="00CD313B" w:rsidP="00CD313B">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517CD7D0" w:rsidR="00CD313B" w:rsidRPr="00733DE0" w:rsidRDefault="00CD313B" w:rsidP="00CD313B">
            <w:pPr>
              <w:spacing w:line="240" w:lineRule="auto"/>
              <w:jc w:val="right"/>
              <w:rPr>
                <w:rFonts w:cs="Arial"/>
                <w:sz w:val="18"/>
                <w:szCs w:val="18"/>
              </w:rPr>
            </w:pPr>
            <w:r>
              <w:rPr>
                <w:rFonts w:cs="Arial"/>
                <w:sz w:val="18"/>
                <w:szCs w:val="18"/>
              </w:rPr>
              <w:t>2,030</w:t>
            </w:r>
          </w:p>
        </w:tc>
        <w:tc>
          <w:tcPr>
            <w:tcW w:w="992" w:type="dxa"/>
            <w:tcBorders>
              <w:top w:val="single" w:sz="4" w:space="0" w:color="auto"/>
              <w:left w:val="single" w:sz="4" w:space="0" w:color="auto"/>
              <w:bottom w:val="single" w:sz="4" w:space="0" w:color="auto"/>
              <w:right w:val="single" w:sz="4" w:space="0" w:color="auto"/>
            </w:tcBorders>
          </w:tcPr>
          <w:p w14:paraId="7FA692B3" w14:textId="117BFF70" w:rsidR="00CD313B" w:rsidRPr="00733DE0" w:rsidRDefault="00CD313B" w:rsidP="00CD313B">
            <w:pPr>
              <w:spacing w:line="240" w:lineRule="auto"/>
              <w:jc w:val="right"/>
              <w:rPr>
                <w:rFonts w:cs="Arial"/>
                <w:sz w:val="18"/>
                <w:szCs w:val="18"/>
              </w:rPr>
            </w:pPr>
            <w:r>
              <w:rPr>
                <w:rFonts w:cs="Arial"/>
                <w:sz w:val="18"/>
                <w:szCs w:val="18"/>
              </w:rPr>
              <w:t>2,060</w:t>
            </w:r>
          </w:p>
        </w:tc>
      </w:tr>
      <w:tr w:rsidR="00CD313B" w:rsidRPr="00504360" w14:paraId="624B7E23" w14:textId="3456D37D"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384922C7" w:rsidR="00CD313B" w:rsidRPr="00504360" w:rsidRDefault="00CD313B" w:rsidP="00CD313B">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3D70377B" w:rsidR="00CD313B" w:rsidRPr="00733DE0" w:rsidRDefault="00CD313B" w:rsidP="00CD313B">
            <w:pPr>
              <w:spacing w:line="240" w:lineRule="auto"/>
              <w:jc w:val="right"/>
              <w:rPr>
                <w:rFonts w:cs="Arial"/>
                <w:sz w:val="18"/>
                <w:szCs w:val="18"/>
              </w:rPr>
            </w:pPr>
            <w:r>
              <w:rPr>
                <w:rFonts w:cs="Arial"/>
                <w:sz w:val="18"/>
                <w:szCs w:val="18"/>
              </w:rPr>
              <w:t>1,185</w:t>
            </w:r>
          </w:p>
        </w:tc>
        <w:tc>
          <w:tcPr>
            <w:tcW w:w="992" w:type="dxa"/>
            <w:tcBorders>
              <w:top w:val="single" w:sz="4" w:space="0" w:color="auto"/>
              <w:left w:val="single" w:sz="4" w:space="0" w:color="auto"/>
              <w:bottom w:val="single" w:sz="4" w:space="0" w:color="auto"/>
              <w:right w:val="single" w:sz="4" w:space="0" w:color="auto"/>
            </w:tcBorders>
          </w:tcPr>
          <w:p w14:paraId="01FC42FF" w14:textId="5F3EF85B" w:rsidR="00CD313B" w:rsidRPr="00733DE0" w:rsidRDefault="00CD313B" w:rsidP="00CD313B">
            <w:pPr>
              <w:spacing w:line="240" w:lineRule="auto"/>
              <w:jc w:val="right"/>
              <w:rPr>
                <w:rFonts w:cs="Arial"/>
                <w:sz w:val="18"/>
                <w:szCs w:val="18"/>
              </w:rPr>
            </w:pPr>
            <w:r>
              <w:rPr>
                <w:rFonts w:cs="Arial"/>
                <w:sz w:val="18"/>
                <w:szCs w:val="18"/>
              </w:rPr>
              <w:t>1,142</w:t>
            </w:r>
          </w:p>
        </w:tc>
      </w:tr>
      <w:tr w:rsidR="00CD313B" w:rsidRPr="00504360" w14:paraId="387F01C7" w14:textId="45A2E948"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72D55FA5" w:rsidR="00CD313B" w:rsidRPr="00504360" w:rsidRDefault="00CD313B" w:rsidP="00CD313B">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150D44B9" w:rsidR="00CD313B" w:rsidRPr="00733DE0" w:rsidRDefault="00CD313B" w:rsidP="00CD313B">
            <w:pPr>
              <w:spacing w:line="240" w:lineRule="auto"/>
              <w:jc w:val="right"/>
              <w:rPr>
                <w:rFonts w:cs="Arial"/>
                <w:sz w:val="18"/>
                <w:szCs w:val="18"/>
              </w:rPr>
            </w:pPr>
            <w:r>
              <w:rPr>
                <w:rFonts w:cs="Arial"/>
                <w:sz w:val="18"/>
                <w:szCs w:val="18"/>
              </w:rPr>
              <w:t>845</w:t>
            </w:r>
          </w:p>
        </w:tc>
        <w:tc>
          <w:tcPr>
            <w:tcW w:w="992" w:type="dxa"/>
            <w:tcBorders>
              <w:top w:val="single" w:sz="4" w:space="0" w:color="auto"/>
              <w:left w:val="single" w:sz="4" w:space="0" w:color="auto"/>
              <w:bottom w:val="single" w:sz="4" w:space="0" w:color="auto"/>
              <w:right w:val="single" w:sz="4" w:space="0" w:color="auto"/>
            </w:tcBorders>
          </w:tcPr>
          <w:p w14:paraId="15DC554A" w14:textId="306B8578" w:rsidR="00CD313B" w:rsidRPr="00733DE0" w:rsidRDefault="00CD313B" w:rsidP="00CD313B">
            <w:pPr>
              <w:spacing w:line="240" w:lineRule="auto"/>
              <w:jc w:val="right"/>
              <w:rPr>
                <w:rFonts w:cs="Arial"/>
                <w:sz w:val="18"/>
                <w:szCs w:val="18"/>
              </w:rPr>
            </w:pPr>
            <w:r>
              <w:rPr>
                <w:rFonts w:cs="Arial"/>
                <w:sz w:val="18"/>
                <w:szCs w:val="18"/>
              </w:rPr>
              <w:t>918</w:t>
            </w:r>
          </w:p>
        </w:tc>
      </w:tr>
      <w:tr w:rsidR="00CD313B" w:rsidRPr="00504360" w14:paraId="5B71472F" w14:textId="40C0B21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3B7AB833" w:rsidR="00CD313B" w:rsidRPr="00504360" w:rsidRDefault="00CD313B" w:rsidP="00CD313B">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39123B48" w:rsidR="00CD313B" w:rsidRPr="00733DE0" w:rsidRDefault="00CD313B" w:rsidP="00CD313B">
            <w:pPr>
              <w:spacing w:line="240" w:lineRule="auto"/>
              <w:jc w:val="right"/>
              <w:rPr>
                <w:rFonts w:cs="Arial"/>
                <w:sz w:val="18"/>
                <w:szCs w:val="18"/>
                <w:lang w:eastAsia="en-AU"/>
              </w:rPr>
            </w:pPr>
            <w:r>
              <w:rPr>
                <w:rFonts w:cs="Arial"/>
                <w:sz w:val="18"/>
                <w:szCs w:val="18"/>
              </w:rPr>
              <w:t>588</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26EAA043" w:rsidR="00CD313B" w:rsidRPr="00733DE0" w:rsidRDefault="00CD313B" w:rsidP="00CD313B">
            <w:pPr>
              <w:spacing w:line="240" w:lineRule="auto"/>
              <w:jc w:val="right"/>
              <w:rPr>
                <w:rFonts w:cs="Arial"/>
                <w:sz w:val="18"/>
                <w:szCs w:val="18"/>
              </w:rPr>
            </w:pPr>
            <w:r>
              <w:rPr>
                <w:rFonts w:cs="Arial"/>
                <w:sz w:val="18"/>
                <w:szCs w:val="18"/>
              </w:rPr>
              <w:t>609</w:t>
            </w:r>
          </w:p>
        </w:tc>
      </w:tr>
      <w:tr w:rsidR="00951376" w:rsidRPr="00504360" w14:paraId="5B70DF90" w14:textId="56033E44"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951376" w:rsidRPr="00504360" w:rsidRDefault="00951376" w:rsidP="00951376">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4F2F592A" w:rsidR="00951376" w:rsidRPr="00733DE0" w:rsidRDefault="00951376" w:rsidP="00951376">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1212EF7D" w:rsidR="00951376" w:rsidRPr="00733DE0" w:rsidRDefault="00951376" w:rsidP="00951376">
            <w:pPr>
              <w:spacing w:line="240" w:lineRule="auto"/>
              <w:jc w:val="right"/>
              <w:rPr>
                <w:rFonts w:cs="Arial"/>
                <w:sz w:val="18"/>
                <w:szCs w:val="18"/>
              </w:rPr>
            </w:pPr>
          </w:p>
        </w:tc>
      </w:tr>
      <w:tr w:rsidR="00951376" w:rsidRPr="00504360" w14:paraId="4598B5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19E82BF4" w:rsidR="00951376" w:rsidRPr="001E2C9A" w:rsidRDefault="00951376" w:rsidP="00951376">
            <w:pPr>
              <w:spacing w:line="240" w:lineRule="auto"/>
              <w:rPr>
                <w:rFonts w:cs="Arial"/>
                <w:b/>
                <w:bCs/>
                <w:sz w:val="18"/>
                <w:szCs w:val="18"/>
                <w:lang w:eastAsia="en-AU"/>
              </w:rPr>
            </w:pPr>
            <w:r w:rsidRPr="0041058E">
              <w:rPr>
                <w:rFonts w:cs="Arial"/>
                <w:b/>
                <w:bCs/>
                <w:sz w:val="18"/>
                <w:szCs w:val="18"/>
                <w:lang w:eastAsia="en-AU"/>
              </w:rPr>
              <w:t>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FF46B" w14:textId="77777777" w:rsidR="00951376" w:rsidRPr="00733DE0" w:rsidRDefault="00951376" w:rsidP="00951376">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77777777" w:rsidR="00951376" w:rsidRPr="00733DE0" w:rsidRDefault="00951376" w:rsidP="00951376">
            <w:pPr>
              <w:spacing w:line="240" w:lineRule="auto"/>
              <w:jc w:val="right"/>
              <w:rPr>
                <w:rFonts w:cs="Arial"/>
                <w:sz w:val="18"/>
                <w:szCs w:val="18"/>
              </w:rPr>
            </w:pPr>
          </w:p>
        </w:tc>
      </w:tr>
      <w:tr w:rsidR="00CD313B" w:rsidRPr="00504360" w14:paraId="357F6E2A"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CD2AEC3" w14:textId="72F76CB9" w:rsidR="00CD313B" w:rsidRPr="0041058E" w:rsidRDefault="00CD313B" w:rsidP="00CD313B">
            <w:pPr>
              <w:spacing w:line="240" w:lineRule="auto"/>
              <w:rPr>
                <w:rFonts w:cs="Arial"/>
                <w:b/>
                <w:bCs/>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76501" w14:textId="0B791D57" w:rsidR="00CD313B" w:rsidRPr="00733DE0" w:rsidRDefault="00CD313B" w:rsidP="00CD313B">
            <w:pPr>
              <w:spacing w:line="240" w:lineRule="auto"/>
              <w:jc w:val="right"/>
              <w:rPr>
                <w:rFonts w:cs="Arial"/>
                <w:sz w:val="18"/>
                <w:szCs w:val="18"/>
              </w:rPr>
            </w:pPr>
            <w:r>
              <w:rPr>
                <w:rFonts w:cs="Arial"/>
                <w:sz w:val="18"/>
                <w:szCs w:val="18"/>
              </w:rPr>
              <w:t>118</w:t>
            </w:r>
          </w:p>
        </w:tc>
        <w:tc>
          <w:tcPr>
            <w:tcW w:w="992" w:type="dxa"/>
            <w:tcBorders>
              <w:top w:val="single" w:sz="4" w:space="0" w:color="auto"/>
              <w:left w:val="single" w:sz="4" w:space="0" w:color="auto"/>
              <w:bottom w:val="single" w:sz="4" w:space="0" w:color="auto"/>
              <w:right w:val="single" w:sz="4" w:space="0" w:color="auto"/>
            </w:tcBorders>
            <w:vAlign w:val="center"/>
          </w:tcPr>
          <w:p w14:paraId="7A3A9BFF" w14:textId="77AFB454" w:rsidR="00CD313B" w:rsidRPr="002D2253" w:rsidRDefault="00CD313B" w:rsidP="00CD313B">
            <w:pPr>
              <w:spacing w:line="240" w:lineRule="auto"/>
              <w:jc w:val="right"/>
              <w:rPr>
                <w:rFonts w:cs="Arial"/>
                <w:sz w:val="18"/>
                <w:szCs w:val="18"/>
              </w:rPr>
            </w:pPr>
            <w:r>
              <w:rPr>
                <w:rFonts w:cs="Arial"/>
                <w:sz w:val="18"/>
                <w:szCs w:val="18"/>
              </w:rPr>
              <w:t>229</w:t>
            </w:r>
          </w:p>
        </w:tc>
      </w:tr>
      <w:tr w:rsidR="00CD313B" w:rsidRPr="00504360" w14:paraId="6640BF7C" w14:textId="109DF00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CD313B" w:rsidRPr="00504360" w:rsidRDefault="00CD313B" w:rsidP="00CD313B">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40674076" w:rsidR="00CD313B" w:rsidRPr="00733DE0" w:rsidRDefault="00CD313B" w:rsidP="00CD313B">
            <w:pPr>
              <w:spacing w:line="240" w:lineRule="auto"/>
              <w:jc w:val="right"/>
              <w:rPr>
                <w:rFonts w:cs="Arial"/>
                <w:sz w:val="18"/>
                <w:szCs w:val="18"/>
              </w:rPr>
            </w:pPr>
            <w:r>
              <w:rPr>
                <w:rFonts w:cs="Arial"/>
                <w:sz w:val="18"/>
                <w:szCs w:val="18"/>
              </w:rPr>
              <w:t>115</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390F5EF1" w:rsidR="00CD313B" w:rsidRPr="002D2253" w:rsidRDefault="00CD313B" w:rsidP="00CD313B">
            <w:pPr>
              <w:spacing w:line="240" w:lineRule="auto"/>
              <w:jc w:val="right"/>
              <w:rPr>
                <w:rFonts w:cs="Arial"/>
                <w:sz w:val="18"/>
                <w:szCs w:val="18"/>
              </w:rPr>
            </w:pPr>
            <w:r>
              <w:rPr>
                <w:rFonts w:cs="Arial"/>
                <w:sz w:val="18"/>
                <w:szCs w:val="18"/>
              </w:rPr>
              <w:t>192</w:t>
            </w:r>
          </w:p>
        </w:tc>
      </w:tr>
      <w:tr w:rsidR="00CD313B" w:rsidRPr="00504360" w14:paraId="5461BF2B" w14:textId="7F70F31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047EE781" w:rsidR="00CD313B" w:rsidRPr="00504360" w:rsidRDefault="00CD313B" w:rsidP="00CD313B">
            <w:pPr>
              <w:spacing w:line="240" w:lineRule="auto"/>
              <w:rPr>
                <w:rFonts w:cs="Arial"/>
                <w:sz w:val="18"/>
                <w:szCs w:val="18"/>
                <w:lang w:eastAsia="en-AU"/>
              </w:rPr>
            </w:pPr>
            <w:r w:rsidRPr="0041058E">
              <w:rPr>
                <w:rFonts w:cs="Arial"/>
                <w:sz w:val="18"/>
                <w:szCs w:val="18"/>
                <w:lang w:eastAsia="en-AU"/>
              </w:rPr>
              <w:t>Attendance percentage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5420CF00" w:rsidR="00CD313B" w:rsidRPr="00733DE0" w:rsidRDefault="00CD313B" w:rsidP="00CD313B">
            <w:pPr>
              <w:spacing w:line="240" w:lineRule="auto"/>
              <w:jc w:val="right"/>
              <w:rPr>
                <w:rFonts w:cs="Arial"/>
                <w:sz w:val="18"/>
                <w:szCs w:val="18"/>
                <w:lang w:eastAsia="en-AU"/>
              </w:rPr>
            </w:pPr>
            <w:r>
              <w:rPr>
                <w:rFonts w:cs="Arial"/>
                <w:sz w:val="18"/>
                <w:szCs w:val="18"/>
              </w:rPr>
              <w:t>71%</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06378BD3" w:rsidR="00CD313B" w:rsidRPr="002D2253" w:rsidRDefault="00CD313B" w:rsidP="00CD313B">
            <w:pPr>
              <w:spacing w:line="240" w:lineRule="auto"/>
              <w:jc w:val="right"/>
              <w:rPr>
                <w:rFonts w:cs="Arial"/>
                <w:sz w:val="18"/>
                <w:szCs w:val="18"/>
              </w:rPr>
            </w:pPr>
            <w:r>
              <w:rPr>
                <w:rFonts w:cs="Arial"/>
                <w:sz w:val="18"/>
                <w:szCs w:val="18"/>
              </w:rPr>
              <w:t>69%</w:t>
            </w:r>
          </w:p>
        </w:tc>
      </w:tr>
      <w:tr w:rsidR="00CD313B" w:rsidRPr="00504360" w14:paraId="71489B13" w14:textId="1902121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1383F4C4" w:rsidR="00CD313B" w:rsidRPr="00504360" w:rsidRDefault="00CD313B" w:rsidP="00CD313B">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 and amend/end application hearings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09B20E91" w:rsidR="00CD313B" w:rsidRPr="00733DE0" w:rsidRDefault="00CD313B" w:rsidP="00CD313B">
            <w:pPr>
              <w:spacing w:line="240" w:lineRule="auto"/>
              <w:jc w:val="right"/>
              <w:rPr>
                <w:rFonts w:cs="Arial"/>
                <w:sz w:val="18"/>
                <w:szCs w:val="18"/>
                <w:lang w:eastAsia="en-AU"/>
              </w:rPr>
            </w:pPr>
            <w:r>
              <w:rPr>
                <w:rFonts w:cs="Arial"/>
                <w:sz w:val="18"/>
                <w:szCs w:val="18"/>
                <w:lang w:eastAsia="en-AU"/>
              </w:rPr>
              <w:t>40%</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28337DE9" w:rsidR="00CD313B" w:rsidRPr="002D2253" w:rsidRDefault="00CD313B" w:rsidP="00CD313B">
            <w:pPr>
              <w:spacing w:line="240" w:lineRule="auto"/>
              <w:jc w:val="right"/>
              <w:rPr>
                <w:rFonts w:cs="Arial"/>
                <w:sz w:val="18"/>
                <w:szCs w:val="18"/>
                <w:lang w:eastAsia="en-AU"/>
              </w:rPr>
            </w:pPr>
            <w:r>
              <w:rPr>
                <w:rFonts w:cs="Arial"/>
                <w:sz w:val="18"/>
                <w:szCs w:val="18"/>
              </w:rPr>
              <w:t>30%</w:t>
            </w:r>
          </w:p>
        </w:tc>
      </w:tr>
      <w:tr w:rsidR="00951376" w:rsidRPr="00504360" w14:paraId="000DC7AD" w14:textId="54E3CAE3" w:rsidTr="00C30DB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951376" w:rsidRPr="00504360" w:rsidRDefault="00951376" w:rsidP="00951376">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951376" w:rsidRPr="00733DE0" w:rsidRDefault="00951376" w:rsidP="00951376">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7241B03E" w:rsidR="00951376" w:rsidRPr="00733DE0" w:rsidRDefault="00951376" w:rsidP="00951376">
            <w:pPr>
              <w:spacing w:line="240" w:lineRule="auto"/>
              <w:jc w:val="right"/>
              <w:rPr>
                <w:rFonts w:cs="Arial"/>
                <w:sz w:val="18"/>
                <w:szCs w:val="18"/>
                <w:lang w:eastAsia="en-AU"/>
              </w:rPr>
            </w:pPr>
          </w:p>
        </w:tc>
      </w:tr>
      <w:tr w:rsidR="00951376" w:rsidRPr="00504360" w14:paraId="242866B2" w14:textId="789BC72D"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951376" w:rsidRPr="00504360" w:rsidRDefault="00951376" w:rsidP="00951376">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951376" w:rsidRPr="00733DE0" w:rsidRDefault="00951376" w:rsidP="00951376">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43A45BA1" w:rsidR="00951376" w:rsidRPr="00733DE0" w:rsidRDefault="00951376" w:rsidP="00951376">
            <w:pPr>
              <w:spacing w:line="240" w:lineRule="auto"/>
              <w:jc w:val="right"/>
              <w:rPr>
                <w:rFonts w:cs="Arial"/>
                <w:sz w:val="18"/>
                <w:szCs w:val="18"/>
                <w:lang w:eastAsia="en-AU"/>
              </w:rPr>
            </w:pPr>
          </w:p>
        </w:tc>
      </w:tr>
      <w:tr w:rsidR="00CD313B" w:rsidRPr="00504360" w14:paraId="5D7BAD0E" w14:textId="0E5FE51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CD313B" w:rsidRPr="00504360" w:rsidRDefault="00CD313B" w:rsidP="00CD313B">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0EE582CE" w:rsidR="00CD313B" w:rsidRPr="00733DE0" w:rsidRDefault="00CD313B" w:rsidP="00CD313B">
            <w:pPr>
              <w:spacing w:line="240" w:lineRule="auto"/>
              <w:jc w:val="right"/>
              <w:rPr>
                <w:rFonts w:cs="Arial"/>
                <w:sz w:val="18"/>
                <w:szCs w:val="18"/>
                <w:lang w:eastAsia="en-AU"/>
              </w:rPr>
            </w:pPr>
            <w:r>
              <w:rPr>
                <w:rFonts w:cs="Arial"/>
                <w:sz w:val="18"/>
                <w:szCs w:val="18"/>
              </w:rPr>
              <w:t>37</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4E63CA47" w:rsidR="00CD313B" w:rsidRPr="002D2253" w:rsidRDefault="00CD313B" w:rsidP="00CD313B">
            <w:pPr>
              <w:spacing w:line="240" w:lineRule="auto"/>
              <w:jc w:val="right"/>
              <w:rPr>
                <w:rFonts w:cs="Arial"/>
                <w:sz w:val="18"/>
                <w:szCs w:val="18"/>
              </w:rPr>
            </w:pPr>
            <w:r>
              <w:rPr>
                <w:rFonts w:cs="Arial"/>
                <w:sz w:val="18"/>
                <w:szCs w:val="18"/>
              </w:rPr>
              <w:t>72</w:t>
            </w:r>
          </w:p>
        </w:tc>
      </w:tr>
      <w:tr w:rsidR="00CD313B" w:rsidRPr="00504360" w14:paraId="2EEF3859" w14:textId="48AFBAD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CD313B" w:rsidRPr="00504360" w:rsidRDefault="00CD313B" w:rsidP="00CD313B">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15D7E02C" w:rsidR="00CD313B" w:rsidRPr="00733DE0" w:rsidRDefault="00CD313B" w:rsidP="00CD313B">
            <w:pPr>
              <w:spacing w:line="240" w:lineRule="auto"/>
              <w:jc w:val="right"/>
              <w:rPr>
                <w:rFonts w:cs="Arial"/>
                <w:sz w:val="18"/>
                <w:szCs w:val="18"/>
                <w:lang w:eastAsia="en-AU"/>
              </w:rPr>
            </w:pPr>
            <w:r>
              <w:rPr>
                <w:rFonts w:cs="Arial"/>
                <w:sz w:val="18"/>
                <w:szCs w:val="18"/>
              </w:rPr>
              <w:t>28</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5E32B5F6" w:rsidR="00CD313B" w:rsidRPr="002D2253" w:rsidRDefault="00CD313B" w:rsidP="00CD313B">
            <w:pPr>
              <w:spacing w:line="240" w:lineRule="auto"/>
              <w:jc w:val="right"/>
              <w:rPr>
                <w:rFonts w:cs="Arial"/>
                <w:sz w:val="18"/>
                <w:szCs w:val="18"/>
              </w:rPr>
            </w:pPr>
            <w:r>
              <w:rPr>
                <w:rFonts w:cs="Arial"/>
                <w:sz w:val="18"/>
                <w:szCs w:val="18"/>
              </w:rPr>
              <w:t>40</w:t>
            </w:r>
          </w:p>
        </w:tc>
      </w:tr>
      <w:tr w:rsidR="00CD313B" w:rsidRPr="00504360" w14:paraId="6ABD7603" w14:textId="4C42584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CD313B" w:rsidRPr="00504360" w:rsidRDefault="00CD313B" w:rsidP="00CD313B">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15BFA877" w:rsidR="00CD313B" w:rsidRPr="00733DE0" w:rsidRDefault="00CD313B" w:rsidP="00CD313B">
            <w:pPr>
              <w:spacing w:line="240" w:lineRule="auto"/>
              <w:jc w:val="right"/>
              <w:rPr>
                <w:rFonts w:cs="Arial"/>
                <w:sz w:val="18"/>
                <w:szCs w:val="18"/>
              </w:rPr>
            </w:pPr>
            <w:r>
              <w:rPr>
                <w:rFonts w:cs="Arial"/>
                <w:sz w:val="18"/>
                <w:szCs w:val="18"/>
              </w:rPr>
              <w:t>74</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4FDEA27C" w:rsidR="00CD313B" w:rsidRPr="002D2253" w:rsidRDefault="00CD313B" w:rsidP="00CD313B">
            <w:pPr>
              <w:spacing w:line="240" w:lineRule="auto"/>
              <w:jc w:val="right"/>
              <w:rPr>
                <w:rFonts w:cs="Arial"/>
                <w:sz w:val="18"/>
                <w:szCs w:val="18"/>
              </w:rPr>
            </w:pPr>
            <w:r>
              <w:rPr>
                <w:rFonts w:cs="Arial"/>
                <w:sz w:val="18"/>
                <w:szCs w:val="18"/>
              </w:rPr>
              <w:t>128</w:t>
            </w:r>
          </w:p>
        </w:tc>
      </w:tr>
      <w:tr w:rsidR="00CD313B" w:rsidRPr="00504360" w14:paraId="2709F335"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5C9370F" w14:textId="6A13D77F" w:rsidR="00CD313B" w:rsidRDefault="00CD313B" w:rsidP="00CD313B">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1EF20" w14:textId="74AEA4B6" w:rsidR="00CD313B" w:rsidRPr="00733DE0" w:rsidRDefault="00CD313B" w:rsidP="00CD313B">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94F6CB3" w14:textId="0F8632F6" w:rsidR="00CD313B" w:rsidRPr="002D2253" w:rsidRDefault="00CD313B" w:rsidP="00CD313B">
            <w:pPr>
              <w:spacing w:line="240" w:lineRule="auto"/>
              <w:jc w:val="right"/>
              <w:rPr>
                <w:rFonts w:cs="Arial"/>
                <w:sz w:val="18"/>
                <w:szCs w:val="18"/>
              </w:rPr>
            </w:pPr>
            <w:r>
              <w:rPr>
                <w:rFonts w:cs="Arial"/>
                <w:sz w:val="18"/>
                <w:szCs w:val="18"/>
              </w:rPr>
              <w:t>1</w:t>
            </w:r>
          </w:p>
        </w:tc>
      </w:tr>
      <w:tr w:rsidR="00CD313B" w:rsidRPr="00504360" w14:paraId="72AB99E7" w14:textId="283639BC"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CD313B" w:rsidRPr="00504360" w:rsidRDefault="00CD313B" w:rsidP="00CD313B">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6AF1BEE5" w:rsidR="00CD313B" w:rsidRPr="00733DE0" w:rsidRDefault="00CD313B" w:rsidP="00CD313B">
            <w:pPr>
              <w:spacing w:line="240" w:lineRule="auto"/>
              <w:jc w:val="right"/>
              <w:rPr>
                <w:rFonts w:cs="Arial"/>
                <w:sz w:val="18"/>
                <w:szCs w:val="18"/>
                <w:lang w:eastAsia="en-AU"/>
              </w:rPr>
            </w:pPr>
            <w:r>
              <w:rPr>
                <w:rFonts w:cs="Arial"/>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6A768F63" w:rsidR="00CD313B" w:rsidRPr="002D2253" w:rsidRDefault="00CD313B" w:rsidP="00CD313B">
            <w:pPr>
              <w:spacing w:line="240" w:lineRule="auto"/>
              <w:jc w:val="right"/>
              <w:rPr>
                <w:rFonts w:cs="Arial"/>
                <w:sz w:val="18"/>
                <w:szCs w:val="18"/>
              </w:rPr>
            </w:pPr>
            <w:r>
              <w:rPr>
                <w:rFonts w:cs="Arial"/>
                <w:sz w:val="18"/>
                <w:szCs w:val="18"/>
              </w:rPr>
              <w:t>19</w:t>
            </w:r>
          </w:p>
        </w:tc>
      </w:tr>
    </w:tbl>
    <w:p w14:paraId="2FD0CBCB" w14:textId="5E5C658B" w:rsidR="000114A6" w:rsidRDefault="000114A6"/>
    <w:p w14:paraId="19B06170" w14:textId="77777777" w:rsidR="000114A6" w:rsidRDefault="000114A6">
      <w:pPr>
        <w:spacing w:line="240" w:lineRule="auto"/>
      </w:pPr>
      <w:r>
        <w:br w:type="page"/>
      </w:r>
    </w:p>
    <w:tbl>
      <w:tblPr>
        <w:tblW w:w="9389" w:type="dxa"/>
        <w:tblInd w:w="103" w:type="dxa"/>
        <w:tblLook w:val="04A0" w:firstRow="1" w:lastRow="0" w:firstColumn="1" w:lastColumn="0" w:noHBand="0" w:noVBand="1"/>
      </w:tblPr>
      <w:tblGrid>
        <w:gridCol w:w="7405"/>
        <w:gridCol w:w="992"/>
        <w:gridCol w:w="992"/>
      </w:tblGrid>
      <w:tr w:rsidR="000114A6" w:rsidRPr="00504360" w14:paraId="4B8C25F7" w14:textId="77777777" w:rsidTr="00F44B1B">
        <w:trPr>
          <w:trHeight w:val="30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0114A6" w:rsidRPr="00504360" w:rsidRDefault="000114A6" w:rsidP="000114A6">
            <w:pPr>
              <w:spacing w:line="240" w:lineRule="auto"/>
              <w:rPr>
                <w:rFonts w:cs="Arial"/>
                <w:sz w:val="18"/>
                <w:szCs w:val="18"/>
              </w:rPr>
            </w:pPr>
            <w:r w:rsidRPr="0041058E">
              <w:rPr>
                <w:rFonts w:cs="Arial"/>
                <w:b/>
                <w:sz w:val="18"/>
                <w:szCs w:val="18"/>
                <w:lang w:eastAsia="en-AU"/>
              </w:rPr>
              <w:lastRenderedPageBreak/>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FEB36" w14:textId="6CCA48D3" w:rsidR="000114A6" w:rsidRPr="00733DE0" w:rsidRDefault="000114A6" w:rsidP="000114A6">
            <w:pPr>
              <w:spacing w:line="240" w:lineRule="auto"/>
              <w:jc w:val="right"/>
              <w:rPr>
                <w:rFonts w:cs="Arial"/>
                <w:sz w:val="18"/>
                <w:szCs w:val="18"/>
              </w:rPr>
            </w:pPr>
            <w:r w:rsidRPr="00504360">
              <w:rPr>
                <w:rFonts w:cs="Arial"/>
                <w:b/>
                <w:bCs/>
                <w:sz w:val="18"/>
                <w:szCs w:val="18"/>
                <w:lang w:eastAsia="en-AU"/>
              </w:rPr>
              <w:t xml:space="preserve">Qtr </w:t>
            </w:r>
            <w:r w:rsidR="00951376">
              <w:rPr>
                <w:rFonts w:cs="Arial"/>
                <w:b/>
                <w:bCs/>
                <w:sz w:val="18"/>
                <w:szCs w:val="18"/>
                <w:lang w:eastAsia="en-AU"/>
              </w:rPr>
              <w:t>55</w:t>
            </w:r>
          </w:p>
        </w:tc>
        <w:tc>
          <w:tcPr>
            <w:tcW w:w="992" w:type="dxa"/>
            <w:tcBorders>
              <w:top w:val="single" w:sz="4" w:space="0" w:color="auto"/>
              <w:left w:val="single" w:sz="4" w:space="0" w:color="auto"/>
              <w:bottom w:val="single" w:sz="4" w:space="0" w:color="auto"/>
              <w:right w:val="single" w:sz="4" w:space="0" w:color="auto"/>
            </w:tcBorders>
          </w:tcPr>
          <w:p w14:paraId="4A5F7805" w14:textId="10DAB373" w:rsidR="000114A6" w:rsidRPr="00733DE0" w:rsidRDefault="000114A6" w:rsidP="000114A6">
            <w:pPr>
              <w:spacing w:line="240" w:lineRule="auto"/>
              <w:jc w:val="right"/>
              <w:rPr>
                <w:rFonts w:cs="Arial"/>
                <w:sz w:val="18"/>
                <w:szCs w:val="18"/>
              </w:rPr>
            </w:pPr>
            <w:r w:rsidRPr="00504360">
              <w:rPr>
                <w:rFonts w:cs="Arial"/>
                <w:b/>
                <w:bCs/>
                <w:sz w:val="18"/>
                <w:szCs w:val="18"/>
                <w:lang w:eastAsia="en-AU"/>
              </w:rPr>
              <w:t xml:space="preserve">Qtr </w:t>
            </w:r>
            <w:r w:rsidR="00951376">
              <w:rPr>
                <w:rFonts w:cs="Arial"/>
                <w:b/>
                <w:bCs/>
                <w:sz w:val="18"/>
                <w:szCs w:val="18"/>
                <w:lang w:eastAsia="en-AU"/>
              </w:rPr>
              <w:t>56</w:t>
            </w:r>
          </w:p>
        </w:tc>
      </w:tr>
      <w:tr w:rsidR="00CD313B" w:rsidRPr="00504360" w14:paraId="0F426218"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70D6C571" w:rsidR="00CD313B" w:rsidRPr="00504360" w:rsidRDefault="00CD313B" w:rsidP="00CD313B">
            <w:pPr>
              <w:spacing w:line="240" w:lineRule="auto"/>
              <w:rPr>
                <w:rFonts w:cs="Arial"/>
                <w:sz w:val="18"/>
                <w:szCs w:val="18"/>
              </w:rPr>
            </w:pPr>
            <w:r>
              <w:rPr>
                <w:rFonts w:cs="Arial"/>
                <w:sz w:val="18"/>
                <w:szCs w:val="18"/>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1D1B6" w14:textId="502F8951" w:rsidR="00CD313B" w:rsidRPr="00733DE0" w:rsidRDefault="00CD313B" w:rsidP="00CD313B">
            <w:pPr>
              <w:spacing w:line="240" w:lineRule="auto"/>
              <w:jc w:val="right"/>
              <w:rPr>
                <w:rFonts w:cs="Arial"/>
                <w:sz w:val="18"/>
                <w:szCs w:val="18"/>
              </w:rPr>
            </w:pPr>
            <w:r>
              <w:rPr>
                <w:rFonts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1906F85E" w:rsidR="00CD313B" w:rsidRPr="002D2253" w:rsidRDefault="00CD313B" w:rsidP="00CD313B">
            <w:pPr>
              <w:spacing w:line="240" w:lineRule="auto"/>
              <w:jc w:val="right"/>
              <w:rPr>
                <w:rFonts w:cs="Arial"/>
                <w:sz w:val="18"/>
                <w:szCs w:val="18"/>
              </w:rPr>
            </w:pPr>
            <w:r>
              <w:rPr>
                <w:rFonts w:cs="Arial"/>
                <w:sz w:val="18"/>
                <w:szCs w:val="18"/>
              </w:rPr>
              <w:t>100%</w:t>
            </w:r>
          </w:p>
        </w:tc>
      </w:tr>
      <w:tr w:rsidR="00CD313B" w:rsidRPr="00504360" w14:paraId="09FA7CF5"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6F6CD011" w:rsidR="00CD313B" w:rsidRPr="00504360" w:rsidRDefault="00CD313B" w:rsidP="00CD313B">
            <w:pPr>
              <w:spacing w:line="240" w:lineRule="auto"/>
              <w:rPr>
                <w:rFonts w:cs="Arial"/>
                <w:sz w:val="18"/>
                <w:szCs w:val="18"/>
              </w:rPr>
            </w:pPr>
            <w:r>
              <w:rPr>
                <w:rFonts w:cs="Arial"/>
                <w:sz w:val="18"/>
                <w:szCs w:val="18"/>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8B98E" w14:textId="4AB3B66D" w:rsidR="00CD313B" w:rsidRPr="00733DE0" w:rsidRDefault="00CD313B" w:rsidP="00CD313B">
            <w:pPr>
              <w:spacing w:line="240" w:lineRule="auto"/>
              <w:jc w:val="right"/>
              <w:rPr>
                <w:rFonts w:cs="Arial"/>
                <w:sz w:val="18"/>
                <w:szCs w:val="18"/>
              </w:rPr>
            </w:pPr>
            <w:r>
              <w:rPr>
                <w:rFonts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4403E93E" w:rsidR="00CD313B" w:rsidRPr="002D2253" w:rsidRDefault="00CD313B" w:rsidP="00CD313B">
            <w:pPr>
              <w:spacing w:line="240" w:lineRule="auto"/>
              <w:jc w:val="right"/>
              <w:rPr>
                <w:rFonts w:cs="Arial"/>
                <w:sz w:val="18"/>
                <w:szCs w:val="18"/>
              </w:rPr>
            </w:pPr>
            <w:r>
              <w:rPr>
                <w:rFonts w:cs="Arial"/>
                <w:sz w:val="18"/>
                <w:szCs w:val="18"/>
              </w:rPr>
              <w:t>0%</w:t>
            </w:r>
          </w:p>
        </w:tc>
      </w:tr>
      <w:tr w:rsidR="00EC4ED7" w:rsidRPr="00D157E2" w14:paraId="714A0FD4" w14:textId="2CDC150F" w:rsidTr="00D157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EC4ED7" w:rsidRPr="00504360" w:rsidRDefault="00EC4ED7" w:rsidP="00EC4ED7">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3B51A5F0" w:rsidR="00EC4ED7" w:rsidRPr="00733DE0" w:rsidRDefault="00EC4ED7" w:rsidP="00EC4ED7">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7B7A3D3D" w:rsidR="00EC4ED7" w:rsidRPr="002D2253" w:rsidRDefault="00EC4ED7" w:rsidP="00EC4ED7">
            <w:pPr>
              <w:spacing w:line="240" w:lineRule="auto"/>
              <w:rPr>
                <w:rFonts w:cs="Arial"/>
                <w:sz w:val="18"/>
                <w:szCs w:val="18"/>
                <w:lang w:eastAsia="en-AU"/>
              </w:rPr>
            </w:pPr>
          </w:p>
        </w:tc>
      </w:tr>
      <w:tr w:rsidR="00EC4ED7" w:rsidRPr="00504360" w14:paraId="148E7FF6"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401685D" w14:textId="77779C44" w:rsidR="00EC4ED7" w:rsidRPr="0041058E" w:rsidRDefault="00EC4ED7" w:rsidP="00EC4ED7">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0DA063" w14:textId="77777777" w:rsidR="00EC4ED7" w:rsidRPr="00733DE0" w:rsidRDefault="00EC4ED7" w:rsidP="00EC4ED7">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6CEBF53" w14:textId="77777777" w:rsidR="00EC4ED7" w:rsidRPr="002D2253" w:rsidRDefault="00EC4ED7" w:rsidP="00EC4ED7">
            <w:pPr>
              <w:spacing w:line="240" w:lineRule="auto"/>
              <w:jc w:val="right"/>
              <w:rPr>
                <w:rFonts w:cs="Arial"/>
                <w:sz w:val="18"/>
                <w:szCs w:val="18"/>
              </w:rPr>
            </w:pPr>
          </w:p>
        </w:tc>
      </w:tr>
      <w:tr w:rsidR="00CD313B" w:rsidRPr="00504360" w14:paraId="71FF2B6B"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EE9FCD2" w14:textId="574A3774" w:rsidR="00CD313B" w:rsidRPr="00B50123" w:rsidRDefault="00CD313B" w:rsidP="00CD313B">
            <w:pPr>
              <w:spacing w:line="240" w:lineRule="auto"/>
              <w:rPr>
                <w:rFonts w:cs="Arial"/>
                <w:sz w:val="18"/>
                <w:szCs w:val="18"/>
                <w:lang w:eastAsia="en-AU"/>
              </w:rPr>
            </w:pPr>
            <w:bookmarkStart w:id="1" w:name="_Hlk104985503"/>
            <w:r w:rsidRPr="0003283F">
              <w:rPr>
                <w:rFonts w:cs="Arial"/>
                <w:sz w:val="18"/>
                <w:szCs w:val="18"/>
              </w:rPr>
              <w:t>Voluntary agreements for a voluntary 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94D36A" w14:textId="6B6A50CE" w:rsidR="00CD313B" w:rsidRPr="00733DE0" w:rsidRDefault="00CD313B" w:rsidP="00CD313B">
            <w:pPr>
              <w:spacing w:line="240" w:lineRule="auto"/>
              <w:jc w:val="right"/>
              <w:rPr>
                <w:rFonts w:cs="Arial"/>
                <w:sz w:val="18"/>
                <w:szCs w:val="18"/>
                <w:lang w:eastAsia="en-AU"/>
              </w:rPr>
            </w:pPr>
            <w:r>
              <w:rPr>
                <w:rFonts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357F5C28" w14:textId="3AEAB318" w:rsidR="00CD313B" w:rsidRPr="002D2253" w:rsidRDefault="00CD313B" w:rsidP="00CD313B">
            <w:pPr>
              <w:spacing w:line="240" w:lineRule="auto"/>
              <w:jc w:val="right"/>
              <w:rPr>
                <w:rFonts w:cs="Arial"/>
                <w:sz w:val="18"/>
                <w:szCs w:val="18"/>
              </w:rPr>
            </w:pPr>
            <w:r>
              <w:rPr>
                <w:rFonts w:cs="Arial"/>
                <w:sz w:val="18"/>
                <w:szCs w:val="18"/>
              </w:rPr>
              <w:t>11</w:t>
            </w:r>
          </w:p>
        </w:tc>
      </w:tr>
      <w:bookmarkEnd w:id="1"/>
      <w:tr w:rsidR="00CD313B" w:rsidRPr="00504360" w14:paraId="16DEBA40"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556783DE" w14:textId="553E3B1A" w:rsidR="00CD313B" w:rsidRPr="00B50123" w:rsidRDefault="00CD313B" w:rsidP="00CD313B">
            <w:pPr>
              <w:spacing w:line="240" w:lineRule="auto"/>
              <w:rPr>
                <w:rFonts w:cs="Arial"/>
                <w:sz w:val="18"/>
                <w:szCs w:val="18"/>
                <w:lang w:eastAsia="en-AU"/>
              </w:rPr>
            </w:pPr>
            <w:r w:rsidRPr="0003283F">
              <w:rPr>
                <w:rFonts w:cs="Arial"/>
                <w:sz w:val="18"/>
                <w:szCs w:val="18"/>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3ACEBC" w14:textId="68AAED8A" w:rsidR="00CD313B" w:rsidRPr="00733DE0" w:rsidRDefault="00CD313B" w:rsidP="00CD313B">
            <w:pPr>
              <w:spacing w:line="240" w:lineRule="auto"/>
              <w:jc w:val="right"/>
              <w:rPr>
                <w:rFonts w:cs="Arial"/>
                <w:sz w:val="18"/>
                <w:szCs w:val="18"/>
                <w:lang w:eastAsia="en-AU"/>
              </w:rPr>
            </w:pPr>
            <w:r>
              <w:rPr>
                <w:rFonts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14:paraId="0E1A0281" w14:textId="756FB764" w:rsidR="00CD313B" w:rsidRPr="002D2253" w:rsidRDefault="00CD313B" w:rsidP="00CD313B">
            <w:pPr>
              <w:spacing w:line="240" w:lineRule="auto"/>
              <w:jc w:val="right"/>
              <w:rPr>
                <w:rFonts w:cs="Arial"/>
                <w:sz w:val="18"/>
                <w:szCs w:val="18"/>
              </w:rPr>
            </w:pPr>
            <w:r>
              <w:rPr>
                <w:rFonts w:cs="Arial"/>
                <w:sz w:val="18"/>
                <w:szCs w:val="18"/>
              </w:rPr>
              <w:t>13</w:t>
            </w:r>
          </w:p>
        </w:tc>
      </w:tr>
      <w:tr w:rsidR="00CD313B" w:rsidRPr="00504360" w14:paraId="7EB54823"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02AF3396" w14:textId="4F6E25BE" w:rsidR="00CD313B" w:rsidRPr="00B50123" w:rsidRDefault="00CD313B" w:rsidP="00CD313B">
            <w:pPr>
              <w:spacing w:line="240" w:lineRule="auto"/>
              <w:rPr>
                <w:rFonts w:cs="Arial"/>
                <w:sz w:val="18"/>
                <w:szCs w:val="18"/>
                <w:lang w:eastAsia="en-AU"/>
              </w:rPr>
            </w:pPr>
            <w:r w:rsidRPr="0003283F">
              <w:rPr>
                <w:rFonts w:cs="Arial"/>
                <w:sz w:val="18"/>
                <w:szCs w:val="18"/>
              </w:rPr>
              <w:t>Voluntary agreements for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5AAFCD" w14:textId="0067A6F8" w:rsidR="00CD313B" w:rsidRPr="00733DE0" w:rsidRDefault="00CD313B" w:rsidP="00CD313B">
            <w:pPr>
              <w:spacing w:line="240" w:lineRule="auto"/>
              <w:jc w:val="right"/>
              <w:rPr>
                <w:rFonts w:cs="Arial"/>
                <w:sz w:val="18"/>
                <w:szCs w:val="18"/>
                <w:lang w:eastAsia="en-AU"/>
              </w:rPr>
            </w:pPr>
            <w:r>
              <w:rPr>
                <w:rFonts w:cs="Arial"/>
                <w:sz w:val="18"/>
                <w:szCs w:val="18"/>
              </w:rPr>
              <w:t>16</w:t>
            </w:r>
          </w:p>
        </w:tc>
        <w:tc>
          <w:tcPr>
            <w:tcW w:w="992" w:type="dxa"/>
            <w:tcBorders>
              <w:top w:val="single" w:sz="4" w:space="0" w:color="auto"/>
              <w:left w:val="single" w:sz="4" w:space="0" w:color="auto"/>
              <w:bottom w:val="single" w:sz="4" w:space="0" w:color="auto"/>
              <w:right w:val="single" w:sz="4" w:space="0" w:color="auto"/>
            </w:tcBorders>
            <w:vAlign w:val="center"/>
          </w:tcPr>
          <w:p w14:paraId="301708B1" w14:textId="50CDCD73" w:rsidR="00CD313B" w:rsidRPr="002D2253" w:rsidRDefault="00CD313B" w:rsidP="00CD313B">
            <w:pPr>
              <w:spacing w:line="240" w:lineRule="auto"/>
              <w:jc w:val="right"/>
              <w:rPr>
                <w:rFonts w:cs="Arial"/>
                <w:sz w:val="18"/>
                <w:szCs w:val="18"/>
              </w:rPr>
            </w:pPr>
            <w:r>
              <w:rPr>
                <w:rFonts w:cs="Arial"/>
                <w:sz w:val="18"/>
                <w:szCs w:val="18"/>
              </w:rPr>
              <w:t>28</w:t>
            </w:r>
          </w:p>
        </w:tc>
      </w:tr>
      <w:tr w:rsidR="00EC4ED7" w:rsidRPr="00504360" w14:paraId="52C3F0C4" w14:textId="77777777" w:rsidTr="00D157E2">
        <w:trPr>
          <w:trHeight w:val="70"/>
        </w:trPr>
        <w:tc>
          <w:tcPr>
            <w:tcW w:w="7405" w:type="dxa"/>
            <w:tcBorders>
              <w:top w:val="nil"/>
              <w:left w:val="single" w:sz="4" w:space="0" w:color="auto"/>
              <w:bottom w:val="single" w:sz="4" w:space="0" w:color="auto"/>
              <w:right w:val="single" w:sz="4" w:space="0" w:color="auto"/>
            </w:tcBorders>
            <w:shd w:val="clear" w:color="auto" w:fill="auto"/>
            <w:vAlign w:val="center"/>
          </w:tcPr>
          <w:p w14:paraId="34797DFD" w14:textId="77777777" w:rsidR="00EC4ED7" w:rsidRPr="00504360" w:rsidRDefault="00EC4ED7" w:rsidP="00EC4ED7">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E332D2" w14:textId="77777777" w:rsidR="00EC4ED7" w:rsidRPr="00733DE0" w:rsidRDefault="00EC4ED7" w:rsidP="00EC4ED7">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E2168F3" w14:textId="77777777" w:rsidR="00EC4ED7" w:rsidRPr="002D2253" w:rsidRDefault="00EC4ED7" w:rsidP="00EC4ED7">
            <w:pPr>
              <w:spacing w:line="240" w:lineRule="auto"/>
              <w:jc w:val="right"/>
              <w:rPr>
                <w:rFonts w:cs="Arial"/>
                <w:sz w:val="18"/>
                <w:szCs w:val="18"/>
              </w:rPr>
            </w:pPr>
          </w:p>
        </w:tc>
      </w:tr>
      <w:tr w:rsidR="00EC4ED7" w:rsidRPr="00504360" w14:paraId="6E254E7A"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3597A5A4" w14:textId="49EF45A9" w:rsidR="00EC4ED7" w:rsidRPr="00E10506" w:rsidRDefault="00EC4ED7" w:rsidP="00EC4ED7">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A5B46" w14:textId="77777777" w:rsidR="00EC4ED7" w:rsidRPr="00733DE0" w:rsidRDefault="00EC4ED7" w:rsidP="00EC4ED7">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294C45FA" w14:textId="77777777" w:rsidR="00EC4ED7" w:rsidRPr="002D2253" w:rsidRDefault="00EC4ED7" w:rsidP="00EC4ED7">
            <w:pPr>
              <w:spacing w:line="240" w:lineRule="auto"/>
              <w:jc w:val="right"/>
              <w:rPr>
                <w:rFonts w:cs="Arial"/>
                <w:sz w:val="18"/>
                <w:szCs w:val="18"/>
              </w:rPr>
            </w:pPr>
          </w:p>
        </w:tc>
      </w:tr>
      <w:tr w:rsidR="00CD313B" w:rsidRPr="00504360" w14:paraId="53E5D51F" w14:textId="77777777" w:rsidTr="00D157E2">
        <w:trPr>
          <w:trHeight w:val="301"/>
        </w:trPr>
        <w:tc>
          <w:tcPr>
            <w:tcW w:w="7405" w:type="dxa"/>
            <w:tcBorders>
              <w:top w:val="nil"/>
              <w:left w:val="single" w:sz="4" w:space="0" w:color="auto"/>
              <w:bottom w:val="single" w:sz="4" w:space="0" w:color="auto"/>
              <w:right w:val="single" w:sz="4" w:space="0" w:color="auto"/>
            </w:tcBorders>
            <w:shd w:val="clear" w:color="auto" w:fill="auto"/>
            <w:vAlign w:val="center"/>
          </w:tcPr>
          <w:p w14:paraId="62B9F354" w14:textId="63E728CC" w:rsidR="00CD313B" w:rsidRPr="00504360" w:rsidRDefault="00CD313B" w:rsidP="00CD313B">
            <w:pPr>
              <w:spacing w:line="240" w:lineRule="auto"/>
              <w:rPr>
                <w:rFonts w:cs="Arial"/>
                <w:sz w:val="18"/>
                <w:szCs w:val="18"/>
                <w:lang w:eastAsia="en-AU"/>
              </w:rPr>
            </w:pPr>
            <w:r>
              <w:rPr>
                <w:rFonts w:cs="Arial"/>
                <w:sz w:val="18"/>
                <w:szCs w:val="18"/>
                <w:lang w:eastAsia="en-AU"/>
              </w:rPr>
              <w:t>Accepted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8D913" w14:textId="237D37C9" w:rsidR="00CD313B" w:rsidRPr="00733DE0" w:rsidRDefault="00CD313B" w:rsidP="00CD313B">
            <w:pPr>
              <w:spacing w:line="240" w:lineRule="auto"/>
              <w:jc w:val="right"/>
              <w:rPr>
                <w:rFonts w:cs="Arial"/>
                <w:sz w:val="18"/>
                <w:szCs w:val="18"/>
                <w:lang w:eastAsia="en-AU"/>
              </w:rPr>
            </w:pPr>
            <w:r>
              <w:rPr>
                <w:rFonts w:cs="Arial"/>
                <w:sz w:val="18"/>
                <w:szCs w:val="18"/>
              </w:rPr>
              <w:t>92%</w:t>
            </w:r>
          </w:p>
        </w:tc>
        <w:tc>
          <w:tcPr>
            <w:tcW w:w="992" w:type="dxa"/>
            <w:tcBorders>
              <w:top w:val="single" w:sz="4" w:space="0" w:color="auto"/>
              <w:left w:val="single" w:sz="4" w:space="0" w:color="auto"/>
              <w:bottom w:val="single" w:sz="4" w:space="0" w:color="auto"/>
              <w:right w:val="single" w:sz="4" w:space="0" w:color="auto"/>
            </w:tcBorders>
            <w:vAlign w:val="center"/>
          </w:tcPr>
          <w:p w14:paraId="586C7588" w14:textId="4164FAF0" w:rsidR="00CD313B" w:rsidRPr="002D2253" w:rsidRDefault="00CD313B" w:rsidP="00CD313B">
            <w:pPr>
              <w:spacing w:line="240" w:lineRule="auto"/>
              <w:jc w:val="right"/>
              <w:rPr>
                <w:rFonts w:cs="Arial"/>
                <w:sz w:val="18"/>
                <w:szCs w:val="18"/>
              </w:rPr>
            </w:pPr>
            <w:r>
              <w:rPr>
                <w:rFonts w:cs="Arial"/>
                <w:sz w:val="18"/>
                <w:szCs w:val="18"/>
              </w:rPr>
              <w:t>100%</w:t>
            </w:r>
          </w:p>
        </w:tc>
      </w:tr>
      <w:tr w:rsidR="00CD313B" w:rsidRPr="00504360" w14:paraId="4859A3E0"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CD313B" w:rsidRDefault="00CD313B" w:rsidP="00CD313B">
            <w:pPr>
              <w:spacing w:line="240" w:lineRule="auto"/>
              <w:rPr>
                <w:rFonts w:cs="Arial"/>
                <w:sz w:val="18"/>
                <w:szCs w:val="18"/>
                <w:lang w:eastAsia="en-AU"/>
              </w:rPr>
            </w:pPr>
            <w:r>
              <w:rPr>
                <w:rFonts w:cs="Arial"/>
                <w:sz w:val="18"/>
                <w:szCs w:val="18"/>
                <w:lang w:eastAsia="en-AU"/>
              </w:rPr>
              <w:t>Refused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EACDA" w14:textId="15D1DCA3" w:rsidR="00CD313B" w:rsidRPr="00733DE0" w:rsidRDefault="00CD313B" w:rsidP="00CD313B">
            <w:pPr>
              <w:spacing w:line="240" w:lineRule="auto"/>
              <w:jc w:val="right"/>
              <w:rPr>
                <w:rFonts w:cs="Arial"/>
                <w:sz w:val="18"/>
                <w:szCs w:val="18"/>
              </w:rPr>
            </w:pPr>
            <w:r>
              <w:rPr>
                <w:rFonts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10B9F0DA" w14:textId="24F4FD5D" w:rsidR="00CD313B" w:rsidRPr="002D2253" w:rsidRDefault="00CD313B" w:rsidP="00CD313B">
            <w:pPr>
              <w:spacing w:line="240" w:lineRule="auto"/>
              <w:jc w:val="right"/>
              <w:rPr>
                <w:rFonts w:cs="Arial"/>
                <w:sz w:val="18"/>
                <w:szCs w:val="18"/>
              </w:rPr>
            </w:pPr>
            <w:r>
              <w:rPr>
                <w:rFonts w:cs="Arial"/>
                <w:sz w:val="18"/>
                <w:szCs w:val="18"/>
              </w:rPr>
              <w:t>0%</w:t>
            </w:r>
          </w:p>
        </w:tc>
      </w:tr>
      <w:tr w:rsidR="00EC4ED7" w:rsidRPr="00504360" w14:paraId="23135AF5" w14:textId="77777777" w:rsidTr="00D157E2">
        <w:trPr>
          <w:trHeight w:val="119"/>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5796FB9" w14:textId="77777777" w:rsidR="00EC4ED7" w:rsidRDefault="00EC4ED7" w:rsidP="00EC4ED7">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BFF09C" w14:textId="77777777" w:rsidR="00EC4ED7" w:rsidRPr="00733DE0" w:rsidRDefault="00EC4ED7" w:rsidP="00EC4ED7">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47E79CC" w14:textId="77777777" w:rsidR="00EC4ED7" w:rsidRPr="002D2253" w:rsidRDefault="00EC4ED7" w:rsidP="00EC4ED7">
            <w:pPr>
              <w:spacing w:line="240" w:lineRule="auto"/>
              <w:jc w:val="right"/>
              <w:rPr>
                <w:rFonts w:cs="Arial"/>
                <w:sz w:val="18"/>
                <w:szCs w:val="18"/>
              </w:rPr>
            </w:pPr>
          </w:p>
        </w:tc>
      </w:tr>
      <w:tr w:rsidR="00EC4ED7" w:rsidRPr="00504360" w14:paraId="37C0A955"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38FF330" w14:textId="517A773E" w:rsidR="00EC4ED7" w:rsidRDefault="00EC4ED7" w:rsidP="00EC4ED7">
            <w:pPr>
              <w:spacing w:line="240" w:lineRule="auto"/>
              <w:rPr>
                <w:rFonts w:cs="Arial"/>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716DD9" w14:textId="2C58E0C2" w:rsidR="00EC4ED7" w:rsidRPr="00733DE0" w:rsidRDefault="00EC4ED7" w:rsidP="00EC4ED7">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E900FF3" w14:textId="6D1B63E8" w:rsidR="00EC4ED7" w:rsidRPr="002D2253" w:rsidRDefault="00EC4ED7" w:rsidP="00EC4ED7">
            <w:pPr>
              <w:spacing w:line="240" w:lineRule="auto"/>
              <w:jc w:val="right"/>
              <w:rPr>
                <w:rFonts w:cs="Arial"/>
                <w:sz w:val="18"/>
                <w:szCs w:val="18"/>
              </w:rPr>
            </w:pPr>
          </w:p>
        </w:tc>
      </w:tr>
      <w:tr w:rsidR="00EC4ED7" w:rsidRPr="00504360" w14:paraId="2926F0DE"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3EA9CFD1" w14:textId="563D5831" w:rsidR="00EC4ED7" w:rsidRDefault="00EC4ED7" w:rsidP="00EC4ED7">
            <w:pPr>
              <w:spacing w:line="240" w:lineRule="auto"/>
              <w:rPr>
                <w:rFonts w:cs="Arial"/>
                <w:sz w:val="18"/>
                <w:szCs w:val="18"/>
                <w:lang w:eastAsia="en-AU"/>
              </w:rPr>
            </w:pPr>
            <w:r>
              <w:rPr>
                <w:rFonts w:cs="Arial"/>
                <w:sz w:val="18"/>
                <w:szCs w:val="18"/>
                <w:lang w:eastAsia="en-AU"/>
              </w:rPr>
              <w:t>Applications to Amend or End received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66C68" w14:textId="2F0A0713" w:rsidR="00EC4ED7" w:rsidRPr="00733DE0" w:rsidRDefault="00EC4ED7" w:rsidP="00EC4ED7">
            <w:pPr>
              <w:spacing w:line="240" w:lineRule="auto"/>
              <w:jc w:val="right"/>
              <w:rPr>
                <w:rFonts w:cs="Arial"/>
                <w:sz w:val="18"/>
                <w:szCs w:val="18"/>
              </w:rPr>
            </w:pPr>
            <w:r>
              <w:rPr>
                <w:rFonts w:cs="Arial"/>
                <w:sz w:val="18"/>
                <w:szCs w:val="18"/>
              </w:rPr>
              <w:t>16</w:t>
            </w:r>
          </w:p>
        </w:tc>
        <w:tc>
          <w:tcPr>
            <w:tcW w:w="992" w:type="dxa"/>
            <w:tcBorders>
              <w:top w:val="single" w:sz="4" w:space="0" w:color="auto"/>
              <w:left w:val="single" w:sz="4" w:space="0" w:color="auto"/>
              <w:bottom w:val="single" w:sz="4" w:space="0" w:color="auto"/>
              <w:right w:val="single" w:sz="4" w:space="0" w:color="auto"/>
            </w:tcBorders>
            <w:vAlign w:val="center"/>
          </w:tcPr>
          <w:p w14:paraId="0CC97F57" w14:textId="1DD07398" w:rsidR="00EC4ED7" w:rsidRPr="003C7872" w:rsidRDefault="00CD313B" w:rsidP="00CD313B">
            <w:pPr>
              <w:spacing w:line="240" w:lineRule="auto"/>
              <w:jc w:val="right"/>
              <w:rPr>
                <w:rFonts w:cs="Arial"/>
                <w:sz w:val="18"/>
                <w:szCs w:val="18"/>
                <w:lang w:eastAsia="en-AU"/>
              </w:rPr>
            </w:pPr>
            <w:r>
              <w:rPr>
                <w:rFonts w:cs="Arial"/>
                <w:sz w:val="18"/>
                <w:szCs w:val="18"/>
              </w:rPr>
              <w:t>7</w:t>
            </w:r>
          </w:p>
        </w:tc>
      </w:tr>
      <w:tr w:rsidR="00EC4ED7" w:rsidRPr="00504360" w14:paraId="09CC1571" w14:textId="77777777" w:rsidTr="00D157E2">
        <w:trPr>
          <w:trHeight w:val="70"/>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77777777" w:rsidR="00EC4ED7" w:rsidRDefault="00EC4ED7" w:rsidP="00EC4ED7">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74FDA4" w14:textId="77777777" w:rsidR="00EC4ED7" w:rsidRPr="00733DE0" w:rsidRDefault="00EC4ED7" w:rsidP="00EC4ED7">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1335837" w14:textId="77777777" w:rsidR="00EC4ED7" w:rsidRPr="002D2253" w:rsidRDefault="00EC4ED7" w:rsidP="00EC4ED7">
            <w:pPr>
              <w:spacing w:line="240" w:lineRule="auto"/>
              <w:jc w:val="right"/>
              <w:rPr>
                <w:rFonts w:cs="Arial"/>
                <w:sz w:val="18"/>
                <w:szCs w:val="18"/>
              </w:rPr>
            </w:pPr>
          </w:p>
        </w:tc>
      </w:tr>
      <w:tr w:rsidR="00EC4ED7" w:rsidRPr="00504360" w14:paraId="716838D1"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EC4ED7" w:rsidRDefault="00EC4ED7" w:rsidP="00EC4ED7">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3A1D1" w14:textId="77777777" w:rsidR="00EC4ED7" w:rsidRPr="00733DE0" w:rsidRDefault="00EC4ED7" w:rsidP="00EC4ED7">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33C39642" w14:textId="77777777" w:rsidR="00EC4ED7" w:rsidRPr="002D2253" w:rsidRDefault="00EC4ED7" w:rsidP="00EC4ED7">
            <w:pPr>
              <w:spacing w:line="240" w:lineRule="auto"/>
              <w:jc w:val="right"/>
              <w:rPr>
                <w:rFonts w:cs="Arial"/>
                <w:sz w:val="18"/>
                <w:szCs w:val="18"/>
              </w:rPr>
            </w:pPr>
          </w:p>
        </w:tc>
      </w:tr>
      <w:tr w:rsidR="00CD313B" w:rsidRPr="00504360" w14:paraId="1562F8F8"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CD313B" w:rsidRDefault="00CD313B" w:rsidP="00CD313B">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3D3333" w14:textId="2EBE1DAC" w:rsidR="00CD313B" w:rsidRPr="00733DE0" w:rsidRDefault="00CD313B" w:rsidP="00CD313B">
            <w:pPr>
              <w:spacing w:line="240" w:lineRule="auto"/>
              <w:jc w:val="right"/>
              <w:rPr>
                <w:rFonts w:cs="Arial"/>
                <w:sz w:val="18"/>
                <w:szCs w:val="18"/>
              </w:rPr>
            </w:pPr>
            <w:r>
              <w:rPr>
                <w:rFonts w:cs="Arial"/>
                <w:sz w:val="18"/>
                <w:szCs w:val="18"/>
              </w:rPr>
              <w:t>164</w:t>
            </w:r>
          </w:p>
        </w:tc>
        <w:tc>
          <w:tcPr>
            <w:tcW w:w="992" w:type="dxa"/>
            <w:tcBorders>
              <w:top w:val="single" w:sz="4" w:space="0" w:color="auto"/>
              <w:left w:val="single" w:sz="4" w:space="0" w:color="auto"/>
              <w:bottom w:val="single" w:sz="4" w:space="0" w:color="auto"/>
              <w:right w:val="single" w:sz="4" w:space="0" w:color="auto"/>
            </w:tcBorders>
            <w:vAlign w:val="center"/>
          </w:tcPr>
          <w:p w14:paraId="15E1E034" w14:textId="7D206905" w:rsidR="00CD313B" w:rsidRPr="002D2253" w:rsidRDefault="00CD313B" w:rsidP="00CD313B">
            <w:pPr>
              <w:spacing w:line="240" w:lineRule="auto"/>
              <w:jc w:val="right"/>
              <w:rPr>
                <w:rFonts w:cs="Arial"/>
                <w:sz w:val="18"/>
                <w:szCs w:val="18"/>
              </w:rPr>
            </w:pPr>
            <w:r>
              <w:rPr>
                <w:rFonts w:cs="Arial"/>
                <w:sz w:val="18"/>
                <w:szCs w:val="18"/>
              </w:rPr>
              <w:t>200</w:t>
            </w:r>
          </w:p>
        </w:tc>
      </w:tr>
      <w:tr w:rsidR="00CD313B" w:rsidRPr="00504360" w14:paraId="559E0289"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CD313B" w:rsidRDefault="00CD313B" w:rsidP="00CD313B">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69D6E1" w14:textId="4E852B0C" w:rsidR="00CD313B" w:rsidRPr="00733DE0" w:rsidRDefault="00CD313B" w:rsidP="00CD313B">
            <w:pPr>
              <w:spacing w:line="240" w:lineRule="auto"/>
              <w:jc w:val="right"/>
              <w:rPr>
                <w:rFonts w:cs="Arial"/>
                <w:sz w:val="18"/>
                <w:szCs w:val="18"/>
              </w:rPr>
            </w:pPr>
            <w:r>
              <w:rPr>
                <w:rFonts w:cs="Arial"/>
                <w:sz w:val="18"/>
                <w:szCs w:val="18"/>
              </w:rPr>
              <w:t>35</w:t>
            </w:r>
          </w:p>
        </w:tc>
        <w:tc>
          <w:tcPr>
            <w:tcW w:w="992" w:type="dxa"/>
            <w:tcBorders>
              <w:top w:val="single" w:sz="4" w:space="0" w:color="auto"/>
              <w:left w:val="single" w:sz="4" w:space="0" w:color="auto"/>
              <w:bottom w:val="single" w:sz="4" w:space="0" w:color="auto"/>
              <w:right w:val="single" w:sz="4" w:space="0" w:color="auto"/>
            </w:tcBorders>
            <w:vAlign w:val="center"/>
          </w:tcPr>
          <w:p w14:paraId="49657DF5" w14:textId="79C21246" w:rsidR="00CD313B" w:rsidRPr="002D2253" w:rsidRDefault="00CD313B" w:rsidP="00CD313B">
            <w:pPr>
              <w:spacing w:line="240" w:lineRule="auto"/>
              <w:jc w:val="right"/>
              <w:rPr>
                <w:rFonts w:cs="Arial"/>
                <w:sz w:val="18"/>
                <w:szCs w:val="18"/>
              </w:rPr>
            </w:pPr>
            <w:r>
              <w:rPr>
                <w:rFonts w:cs="Arial"/>
                <w:sz w:val="18"/>
                <w:szCs w:val="18"/>
              </w:rPr>
              <w:t>33</w:t>
            </w:r>
          </w:p>
        </w:tc>
      </w:tr>
      <w:tr w:rsidR="00CD313B" w:rsidRPr="00504360" w14:paraId="3D917EA4" w14:textId="77777777" w:rsidTr="00D157E2">
        <w:trPr>
          <w:trHeight w:val="301"/>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CD313B" w:rsidRPr="00504360" w:rsidRDefault="00CD313B" w:rsidP="00CD313B">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08A31A" w14:textId="65D143D9" w:rsidR="00CD313B" w:rsidRPr="00733DE0" w:rsidRDefault="00CD313B" w:rsidP="00CD313B">
            <w:pPr>
              <w:spacing w:line="240" w:lineRule="auto"/>
              <w:jc w:val="right"/>
              <w:rPr>
                <w:rFonts w:cs="Arial"/>
                <w:sz w:val="18"/>
                <w:szCs w:val="18"/>
              </w:rPr>
            </w:pPr>
            <w:r>
              <w:rPr>
                <w:rFonts w:cs="Arial"/>
                <w:sz w:val="18"/>
                <w:szCs w:val="18"/>
              </w:rPr>
              <w:t>83</w:t>
            </w:r>
          </w:p>
        </w:tc>
        <w:tc>
          <w:tcPr>
            <w:tcW w:w="992" w:type="dxa"/>
            <w:tcBorders>
              <w:top w:val="single" w:sz="4" w:space="0" w:color="auto"/>
              <w:left w:val="single" w:sz="4" w:space="0" w:color="auto"/>
              <w:bottom w:val="single" w:sz="4" w:space="0" w:color="auto"/>
              <w:right w:val="single" w:sz="4" w:space="0" w:color="auto"/>
            </w:tcBorders>
            <w:vAlign w:val="center"/>
          </w:tcPr>
          <w:p w14:paraId="386609C4" w14:textId="3ABDE804" w:rsidR="00CD313B" w:rsidRDefault="00CD313B" w:rsidP="00CD313B">
            <w:pPr>
              <w:spacing w:line="240" w:lineRule="auto"/>
              <w:jc w:val="right"/>
              <w:rPr>
                <w:rFonts w:cs="Arial"/>
                <w:sz w:val="18"/>
                <w:szCs w:val="18"/>
              </w:rPr>
            </w:pPr>
            <w:r>
              <w:rPr>
                <w:rFonts w:cs="Arial"/>
                <w:sz w:val="18"/>
                <w:szCs w:val="18"/>
              </w:rPr>
              <w:t>75</w:t>
            </w:r>
          </w:p>
        </w:tc>
      </w:tr>
      <w:bookmarkEnd w:id="0"/>
    </w:tbl>
    <w:p w14:paraId="350C67ED" w14:textId="77777777" w:rsidR="004B60C0" w:rsidRDefault="004B60C0" w:rsidP="00C92D4E">
      <w:pPr>
        <w:ind w:left="-142" w:right="-425"/>
        <w:jc w:val="both"/>
        <w:rPr>
          <w:rFonts w:cs="Arial"/>
        </w:rPr>
      </w:pPr>
    </w:p>
    <w:p w14:paraId="46E11053" w14:textId="5A70F6EB" w:rsidR="00434C44" w:rsidRPr="00B61ECB" w:rsidRDefault="00434C44" w:rsidP="00A06016">
      <w:pPr>
        <w:ind w:left="-142" w:right="-425"/>
        <w:jc w:val="both"/>
        <w:rPr>
          <w:rFonts w:cs="Arial"/>
          <w:b/>
          <w:bCs/>
          <w:sz w:val="22"/>
          <w:szCs w:val="22"/>
        </w:rPr>
      </w:pPr>
      <w:r w:rsidRPr="00B61ECB">
        <w:rPr>
          <w:rFonts w:cs="Arial"/>
          <w:b/>
          <w:bCs/>
          <w:sz w:val="22"/>
          <w:szCs w:val="22"/>
        </w:rPr>
        <w:t>Quarterly Trends</w:t>
      </w:r>
    </w:p>
    <w:p w14:paraId="6264BC7D" w14:textId="0CD92C1D" w:rsidR="000709B9" w:rsidRDefault="00D5401B" w:rsidP="00A06016">
      <w:pPr>
        <w:ind w:left="-142" w:right="-425"/>
        <w:jc w:val="both"/>
        <w:rPr>
          <w:rFonts w:cs="Arial"/>
        </w:rPr>
      </w:pPr>
      <w:r>
        <w:rPr>
          <w:rFonts w:cs="Arial"/>
        </w:rPr>
        <w:t xml:space="preserve">The statistics reported above in table 1 for the quarter April to June 2022 reveal a quarter during which </w:t>
      </w:r>
      <w:r w:rsidR="0001141C">
        <w:rPr>
          <w:rFonts w:cs="Arial"/>
        </w:rPr>
        <w:t xml:space="preserve">there was strong growth in the number of conferences held compared to the previous quarter (increase of </w:t>
      </w:r>
      <w:r w:rsidR="000778EC">
        <w:rPr>
          <w:rFonts w:cs="Arial"/>
        </w:rPr>
        <w:t>94.0</w:t>
      </w:r>
      <w:r w:rsidR="009A3080">
        <w:rPr>
          <w:rFonts w:cs="Arial"/>
        </w:rPr>
        <w:t xml:space="preserve"> percent), along with resultant percentage increases in conference outcomes – notably 94.6 percent increase in agreements to attend community support services</w:t>
      </w:r>
      <w:r w:rsidR="00906A15">
        <w:rPr>
          <w:rFonts w:cs="Arial"/>
        </w:rPr>
        <w:t>. S</w:t>
      </w:r>
      <w:r w:rsidR="00C16E56">
        <w:rPr>
          <w:rFonts w:cs="Arial"/>
        </w:rPr>
        <w:t>mall increases were also seen in voluntary agreements.</w:t>
      </w:r>
      <w:r w:rsidR="008A43EF">
        <w:rPr>
          <w:rFonts w:cs="Arial"/>
        </w:rPr>
        <w:t xml:space="preserve"> The increase in the number of conferences and the number of agreements entered into for case plans </w:t>
      </w:r>
      <w:r w:rsidR="00906A15">
        <w:rPr>
          <w:rFonts w:cs="Arial"/>
        </w:rPr>
        <w:t>is reflective of conference suspensions during</w:t>
      </w:r>
      <w:r w:rsidR="00F92237">
        <w:rPr>
          <w:rFonts w:cs="Arial"/>
        </w:rPr>
        <w:t xml:space="preserve"> January </w:t>
      </w:r>
      <w:r w:rsidR="00F90B8F">
        <w:rPr>
          <w:rFonts w:cs="Arial"/>
        </w:rPr>
        <w:t xml:space="preserve">and February </w:t>
      </w:r>
      <w:r w:rsidR="00906A15">
        <w:rPr>
          <w:rFonts w:cs="Arial"/>
        </w:rPr>
        <w:t xml:space="preserve">of the previous quarter </w:t>
      </w:r>
      <w:r w:rsidR="00F92237">
        <w:rPr>
          <w:rFonts w:cs="Arial"/>
        </w:rPr>
        <w:t>due to the Omicron wave of COVID-19.</w:t>
      </w:r>
    </w:p>
    <w:p w14:paraId="4C2A65D7" w14:textId="7E0469BB" w:rsidR="00096869" w:rsidRDefault="00096869" w:rsidP="00A06016">
      <w:pPr>
        <w:ind w:left="-142" w:right="-425"/>
        <w:jc w:val="both"/>
        <w:rPr>
          <w:rFonts w:cs="Arial"/>
        </w:rPr>
      </w:pPr>
    </w:p>
    <w:p w14:paraId="625F292F" w14:textId="77777777" w:rsidR="00096869" w:rsidRPr="00BA2FA3" w:rsidRDefault="00096869" w:rsidP="00096869">
      <w:pPr>
        <w:ind w:left="-142" w:right="-425"/>
        <w:jc w:val="both"/>
        <w:rPr>
          <w:rFonts w:cs="Arial"/>
          <w:b/>
          <w:bCs/>
          <w:sz w:val="22"/>
          <w:szCs w:val="22"/>
        </w:rPr>
      </w:pPr>
      <w:r w:rsidRPr="00BA2FA3">
        <w:rPr>
          <w:rFonts w:cs="Arial"/>
          <w:b/>
          <w:bCs/>
          <w:sz w:val="22"/>
          <w:szCs w:val="22"/>
        </w:rPr>
        <w:t>Family Responsibilities Board</w:t>
      </w:r>
    </w:p>
    <w:p w14:paraId="54A4D494" w14:textId="45F5F07C" w:rsidR="00984C38" w:rsidRDefault="00096869" w:rsidP="00096869">
      <w:pPr>
        <w:ind w:left="-142" w:right="-425"/>
        <w:jc w:val="both"/>
        <w:rPr>
          <w:rFonts w:cs="Arial"/>
        </w:rPr>
      </w:pPr>
      <w:r w:rsidRPr="00096869">
        <w:rPr>
          <w:rFonts w:cs="Arial"/>
        </w:rPr>
        <w:t>The 4</w:t>
      </w:r>
      <w:r w:rsidR="00AB4BEA">
        <w:rPr>
          <w:rFonts w:cs="Arial"/>
        </w:rPr>
        <w:t>4th</w:t>
      </w:r>
      <w:r w:rsidRPr="00096869">
        <w:rPr>
          <w:rFonts w:cs="Arial"/>
        </w:rPr>
        <w:t xml:space="preserve"> meeting of the Family Responsibilities Board was held this quarter on </w:t>
      </w:r>
      <w:r w:rsidR="00AB4BEA">
        <w:rPr>
          <w:rFonts w:cs="Arial"/>
        </w:rPr>
        <w:t>21 April 2022</w:t>
      </w:r>
      <w:r w:rsidRPr="00096869">
        <w:rPr>
          <w:rFonts w:cs="Arial"/>
        </w:rPr>
        <w:t xml:space="preserve">. </w:t>
      </w:r>
      <w:r w:rsidR="00984C38">
        <w:rPr>
          <w:rFonts w:cs="Arial"/>
        </w:rPr>
        <w:t xml:space="preserve">The Commission operates as an entity from year to year, within a budget set by the Commissioner and the Executive Management Team </w:t>
      </w:r>
      <w:r w:rsidR="007A4CAC">
        <w:rPr>
          <w:rFonts w:cs="Arial"/>
        </w:rPr>
        <w:t xml:space="preserve">(EMT) </w:t>
      </w:r>
      <w:r w:rsidR="00984C38">
        <w:rPr>
          <w:rFonts w:cs="Arial"/>
        </w:rPr>
        <w:t>subject to the funding parameters provided by the Queensland and Australian Governments. The Commission has been operating in a continued state of uncertainty since 2014 due to a long series of relatively short funding extensions negotiated between the Queensland and Australian Govern</w:t>
      </w:r>
      <w:r w:rsidR="001A4C10">
        <w:rPr>
          <w:rFonts w:cs="Arial"/>
        </w:rPr>
        <w:t>ments</w:t>
      </w:r>
      <w:r w:rsidR="00984C38">
        <w:rPr>
          <w:rFonts w:cs="Arial"/>
        </w:rPr>
        <w:t xml:space="preserve"> under successive Memoranda of Understanding. This level of uncertainty has had serious ongoing impacts on the FRC over several years including an inability to under</w:t>
      </w:r>
      <w:r w:rsidR="001A4C10">
        <w:rPr>
          <w:rFonts w:cs="Arial"/>
        </w:rPr>
        <w:t>t</w:t>
      </w:r>
      <w:r w:rsidR="00984C38">
        <w:rPr>
          <w:rFonts w:cs="Arial"/>
        </w:rPr>
        <w:t>ake long-term strategic planning and certain operational activit</w:t>
      </w:r>
      <w:r w:rsidR="001A4C10">
        <w:rPr>
          <w:rFonts w:cs="Arial"/>
        </w:rPr>
        <w:t>i</w:t>
      </w:r>
      <w:r w:rsidR="00984C38">
        <w:rPr>
          <w:rFonts w:cs="Arial"/>
        </w:rPr>
        <w:t xml:space="preserve">es, or outlays </w:t>
      </w:r>
      <w:r w:rsidR="001A4C10">
        <w:rPr>
          <w:rFonts w:cs="Arial"/>
        </w:rPr>
        <w:t>f</w:t>
      </w:r>
      <w:r w:rsidR="00984C38">
        <w:rPr>
          <w:rFonts w:cs="Arial"/>
        </w:rPr>
        <w:t>or infrastructure that require a level of commitment beyond a short-to-medium term. As a result, the Commissioner and the EMT hav</w:t>
      </w:r>
      <w:r w:rsidR="001A4C10">
        <w:rPr>
          <w:rFonts w:cs="Arial"/>
        </w:rPr>
        <w:t>e</w:t>
      </w:r>
      <w:r w:rsidR="00984C38">
        <w:rPr>
          <w:rFonts w:cs="Arial"/>
        </w:rPr>
        <w:t xml:space="preserve"> maintained a conservative approach in relation to all expenditure and have also adopted a fiscally prudent approach to ensuring that the Commission’s retained surplus would be sufficient to cover necessary obligations. Clarification in regard to retained surpl</w:t>
      </w:r>
      <w:r w:rsidR="001A4C10">
        <w:rPr>
          <w:rFonts w:cs="Arial"/>
        </w:rPr>
        <w:t>u</w:t>
      </w:r>
      <w:r w:rsidR="00984C38">
        <w:rPr>
          <w:rFonts w:cs="Arial"/>
        </w:rPr>
        <w:t>s funds was sought from the Board.</w:t>
      </w:r>
    </w:p>
    <w:p w14:paraId="7AC21764" w14:textId="77777777" w:rsidR="00984C38" w:rsidRDefault="00984C38" w:rsidP="00096869">
      <w:pPr>
        <w:ind w:left="-142" w:right="-425"/>
        <w:jc w:val="both"/>
        <w:rPr>
          <w:rFonts w:cs="Arial"/>
        </w:rPr>
      </w:pPr>
    </w:p>
    <w:p w14:paraId="77BBD5F9" w14:textId="2FC10D0F" w:rsidR="00096869" w:rsidRPr="00096869" w:rsidRDefault="00956279" w:rsidP="00096869">
      <w:pPr>
        <w:ind w:left="-142" w:right="-425"/>
        <w:jc w:val="both"/>
        <w:rPr>
          <w:rFonts w:cs="Arial"/>
        </w:rPr>
      </w:pPr>
      <w:r>
        <w:rPr>
          <w:rFonts w:cs="Arial"/>
        </w:rPr>
        <w:t>Additional to the above advice sought, a financial forecast to 30 June 2022 was presented for the Board’s consideration, as well as community reports for the period 1 January to 31 March 2022 for Aurukun, Coen, Doomadgee, Hope Vale and Mossman Gorge, and Quarterly Report No 54 was presented for the Board’s endorsement.</w:t>
      </w:r>
    </w:p>
    <w:p w14:paraId="7C0CB2DB" w14:textId="77777777" w:rsidR="00096869" w:rsidRPr="00096869" w:rsidRDefault="00096869" w:rsidP="00096869">
      <w:pPr>
        <w:ind w:left="-142" w:right="-425"/>
        <w:jc w:val="both"/>
        <w:rPr>
          <w:rFonts w:cs="Arial"/>
        </w:rPr>
      </w:pPr>
    </w:p>
    <w:p w14:paraId="0E367013" w14:textId="24CC01CD" w:rsidR="00096869" w:rsidRPr="00BA2FA3" w:rsidRDefault="00096869" w:rsidP="00096869">
      <w:pPr>
        <w:ind w:left="-142" w:right="-425"/>
        <w:jc w:val="both"/>
        <w:rPr>
          <w:rFonts w:cs="Arial"/>
          <w:b/>
          <w:bCs/>
          <w:sz w:val="22"/>
          <w:szCs w:val="22"/>
        </w:rPr>
      </w:pPr>
      <w:r w:rsidRPr="00BA2FA3">
        <w:rPr>
          <w:rFonts w:cs="Arial"/>
          <w:b/>
          <w:bCs/>
          <w:sz w:val="22"/>
          <w:szCs w:val="22"/>
        </w:rPr>
        <w:lastRenderedPageBreak/>
        <w:t>Local Commissioner Development Week</w:t>
      </w:r>
    </w:p>
    <w:p w14:paraId="3E0291E3" w14:textId="4497D49D" w:rsidR="00E773E7" w:rsidRPr="00E773E7" w:rsidRDefault="00096869" w:rsidP="00E773E7">
      <w:pPr>
        <w:ind w:left="-142" w:right="-425"/>
        <w:jc w:val="both"/>
        <w:rPr>
          <w:rFonts w:cs="Arial"/>
          <w:lang w:val="en-GB"/>
        </w:rPr>
      </w:pPr>
      <w:r w:rsidRPr="00096869">
        <w:rPr>
          <w:rFonts w:cs="Arial"/>
        </w:rPr>
        <w:t>The Commission is committed to providing professional development to the Local Commissioners as required by the FRC Act under section 22 (Commissioner’s functions) and section 35 (Registrar’s functions). A Local Commissioner Development Week was conducted during the week commencing 2</w:t>
      </w:r>
      <w:r w:rsidR="00A816EB" w:rsidRPr="00E773E7">
        <w:rPr>
          <w:rFonts w:cs="Arial"/>
        </w:rPr>
        <w:t>3 May</w:t>
      </w:r>
      <w:r w:rsidRPr="00096869">
        <w:rPr>
          <w:rFonts w:cs="Arial"/>
        </w:rPr>
        <w:t xml:space="preserve"> 202</w:t>
      </w:r>
      <w:r w:rsidR="00A816EB" w:rsidRPr="00E773E7">
        <w:rPr>
          <w:rFonts w:cs="Arial"/>
        </w:rPr>
        <w:t>2</w:t>
      </w:r>
      <w:r w:rsidRPr="00096869">
        <w:rPr>
          <w:rFonts w:cs="Arial"/>
        </w:rPr>
        <w:t xml:space="preserve">. Local Commissioners from each community travelled to Cairns </w:t>
      </w:r>
      <w:r w:rsidR="006D4437">
        <w:rPr>
          <w:rFonts w:cs="Arial"/>
        </w:rPr>
        <w:t>to</w:t>
      </w:r>
      <w:r w:rsidRPr="00096869">
        <w:rPr>
          <w:rFonts w:cs="Arial"/>
        </w:rPr>
        <w:t xml:space="preserve"> participate in</w:t>
      </w:r>
      <w:r w:rsidR="00E773E7" w:rsidRPr="00E773E7">
        <w:rPr>
          <w:rFonts w:cs="Arial"/>
        </w:rPr>
        <w:t xml:space="preserve"> </w:t>
      </w:r>
      <w:r w:rsidR="00E773E7" w:rsidRPr="00E773E7">
        <w:rPr>
          <w:rFonts w:cs="Arial"/>
          <w:lang w:val="en-GB"/>
        </w:rPr>
        <w:t xml:space="preserve">motivation and empowerment training and </w:t>
      </w:r>
      <w:r w:rsidR="00E773E7">
        <w:rPr>
          <w:rFonts w:cs="Arial"/>
          <w:lang w:val="en-GB"/>
        </w:rPr>
        <w:t>m</w:t>
      </w:r>
      <w:r w:rsidR="00E773E7" w:rsidRPr="00E773E7">
        <w:rPr>
          <w:rFonts w:cs="Arial"/>
          <w:lang w:val="en-GB"/>
        </w:rPr>
        <w:t>otivational interviewing techniques</w:t>
      </w:r>
      <w:r w:rsidR="00410475">
        <w:rPr>
          <w:rFonts w:cs="Arial"/>
          <w:lang w:val="en-GB"/>
        </w:rPr>
        <w:t>.</w:t>
      </w:r>
    </w:p>
    <w:p w14:paraId="1A751636" w14:textId="77777777" w:rsidR="00E773E7" w:rsidRDefault="00E773E7" w:rsidP="0002719F">
      <w:pPr>
        <w:ind w:left="-142" w:right="-425"/>
        <w:jc w:val="both"/>
        <w:rPr>
          <w:rFonts w:cs="Arial"/>
          <w:lang w:val="en-GB"/>
        </w:rPr>
      </w:pPr>
    </w:p>
    <w:p w14:paraId="03A3847D" w14:textId="4B1D242C" w:rsidR="00E773E7" w:rsidRDefault="00E773E7" w:rsidP="00E773E7">
      <w:pPr>
        <w:ind w:left="-142" w:right="-425"/>
        <w:jc w:val="both"/>
        <w:rPr>
          <w:rFonts w:cs="Arial"/>
          <w:lang w:val="en-GB"/>
        </w:rPr>
      </w:pPr>
      <w:r w:rsidRPr="00E773E7">
        <w:rPr>
          <w:rFonts w:cs="Arial"/>
          <w:lang w:val="en-GB"/>
        </w:rPr>
        <w:t xml:space="preserve">Motivational interviewing is a communication style which sits between following (listening) and directing (giving </w:t>
      </w:r>
      <w:r w:rsidRPr="00E773E7">
        <w:rPr>
          <w:rFonts w:cs="Arial"/>
        </w:rPr>
        <w:t>advice</w:t>
      </w:r>
      <w:r w:rsidRPr="00E773E7">
        <w:rPr>
          <w:rFonts w:cs="Arial"/>
          <w:lang w:val="en-GB"/>
        </w:rPr>
        <w:t>) and is designed to empower people by drawing on their own capacity for change. The motivational interviewing technique is a valuable tool to assist the Local Commissioners to help people find the motivation to make a positive behaviour change. These skills are intrinsic to the Commissioners and fundamental to the conferencing process.</w:t>
      </w:r>
    </w:p>
    <w:p w14:paraId="38019988" w14:textId="77777777" w:rsidR="000E0C69" w:rsidRPr="00E773E7" w:rsidRDefault="000E0C69" w:rsidP="00E773E7">
      <w:pPr>
        <w:ind w:left="-142" w:right="-425"/>
        <w:jc w:val="both"/>
        <w:rPr>
          <w:rFonts w:cs="Arial"/>
          <w:lang w:val="en-GB"/>
        </w:rPr>
      </w:pPr>
    </w:p>
    <w:p w14:paraId="331E6CC7" w14:textId="6FA0E498" w:rsidR="00E773E7" w:rsidRDefault="00E773E7" w:rsidP="00E773E7">
      <w:pPr>
        <w:ind w:left="-142" w:right="-425"/>
        <w:jc w:val="both"/>
        <w:rPr>
          <w:rFonts w:cs="Arial"/>
          <w:lang w:val="en-GB"/>
        </w:rPr>
      </w:pPr>
      <w:r w:rsidRPr="00E773E7">
        <w:rPr>
          <w:rFonts w:cs="Arial"/>
          <w:lang w:val="en-GB"/>
        </w:rPr>
        <w:t>The Department of Social Services (DSS) held an information session on Income Management (IM) and the Cashless Debit Card, specifically in FRC communities. The presentation covered the background of income management, differences in IM models, and comparisons of the features of the CDC against the BasicsCard. Some meaningful information included the areas of responsibilities specific to DSS, Services Australia, Indue and the FRC.</w:t>
      </w:r>
    </w:p>
    <w:p w14:paraId="30972FCA" w14:textId="77777777" w:rsidR="000E0C69" w:rsidRPr="00E773E7" w:rsidRDefault="000E0C69" w:rsidP="00E773E7">
      <w:pPr>
        <w:ind w:left="-142" w:right="-425"/>
        <w:jc w:val="both"/>
        <w:rPr>
          <w:rFonts w:cs="Arial"/>
          <w:lang w:val="en-GB"/>
        </w:rPr>
      </w:pPr>
    </w:p>
    <w:p w14:paraId="313FDF11" w14:textId="2F19FB09" w:rsidR="00E773E7" w:rsidRDefault="00E773E7" w:rsidP="00E773E7">
      <w:pPr>
        <w:ind w:left="-142" w:right="-425"/>
        <w:jc w:val="both"/>
        <w:rPr>
          <w:rFonts w:cs="Arial"/>
          <w:lang w:val="en-GB"/>
        </w:rPr>
      </w:pPr>
      <w:r w:rsidRPr="00E773E7">
        <w:rPr>
          <w:rFonts w:cs="Arial"/>
          <w:lang w:val="en-GB"/>
        </w:rPr>
        <w:t>Transition Support Services (TSS) informed the Commissioners on assistance available for students who are required to leave home to complete secondary schooling. TSS is a service which assists students from remote communities in Cape York to transition into boarding school and residential facilities throughout Queensland. Services include assistance with placement at boarding school, support for families of students, including financial help for familiarisation visits to potential schools, and the support of a TSS presence at airports for transiting students.</w:t>
      </w:r>
    </w:p>
    <w:p w14:paraId="3187B702" w14:textId="77777777" w:rsidR="000E0C69" w:rsidRPr="00E773E7" w:rsidRDefault="000E0C69" w:rsidP="00E773E7">
      <w:pPr>
        <w:ind w:left="-142" w:right="-425"/>
        <w:jc w:val="both"/>
        <w:rPr>
          <w:rFonts w:cs="Arial"/>
          <w:lang w:val="en-GB"/>
        </w:rPr>
      </w:pPr>
    </w:p>
    <w:p w14:paraId="7A5D61AB" w14:textId="3E8489BD" w:rsidR="00E773E7" w:rsidRDefault="00E773E7" w:rsidP="00E773E7">
      <w:pPr>
        <w:ind w:left="-142" w:right="-425"/>
        <w:jc w:val="both"/>
        <w:rPr>
          <w:rFonts w:cs="Arial"/>
          <w:lang w:val="en-GB"/>
        </w:rPr>
      </w:pPr>
      <w:r w:rsidRPr="00E773E7">
        <w:rPr>
          <w:rFonts w:cs="Arial"/>
          <w:lang w:val="en-GB"/>
        </w:rPr>
        <w:t>Two experts in Criminology and Criminal Justice Studies from James Cook University delivered lectures separately addressing the over-representation of Indigenous young people in the juvenile justice system and the problem of youth crime in Far North Queensland, with a focus on Townsville as a current hot spot.</w:t>
      </w:r>
    </w:p>
    <w:p w14:paraId="7DA4F278" w14:textId="77777777" w:rsidR="000E0C69" w:rsidRPr="00E773E7" w:rsidRDefault="000E0C69" w:rsidP="00E773E7">
      <w:pPr>
        <w:ind w:left="-142" w:right="-425"/>
        <w:jc w:val="both"/>
        <w:rPr>
          <w:rFonts w:cs="Arial"/>
          <w:lang w:val="en-GB"/>
        </w:rPr>
      </w:pPr>
    </w:p>
    <w:p w14:paraId="6B78DCCC" w14:textId="3BF6EB7E" w:rsidR="00E773E7" w:rsidRDefault="00E773E7" w:rsidP="00E773E7">
      <w:pPr>
        <w:ind w:left="-142" w:right="-425"/>
        <w:jc w:val="both"/>
        <w:rPr>
          <w:rFonts w:cs="Arial"/>
          <w:lang w:val="en-GB"/>
        </w:rPr>
      </w:pPr>
      <w:r w:rsidRPr="00E773E7">
        <w:rPr>
          <w:rFonts w:cs="Arial"/>
          <w:lang w:val="en-GB"/>
        </w:rPr>
        <w:t>The Department of Justice and Attorney General held an information session on Domestic and Family Violence (DFV) services funded in Far North Queensland and what future funding could look like. Information was provided in regard to the Women’s Safety and Justice Taskforce’s report ‘Hear her voice’ and the Queensland Government’s response to some of the 89 recommendations. This presentation expanded awareness on DFV generally, its impact on the community and what support services are needed to address this increasing social problem.</w:t>
      </w:r>
    </w:p>
    <w:p w14:paraId="0AB50B08" w14:textId="77777777" w:rsidR="000E0C69" w:rsidRPr="00E773E7" w:rsidRDefault="000E0C69" w:rsidP="00E773E7">
      <w:pPr>
        <w:ind w:left="-142" w:right="-425"/>
        <w:jc w:val="both"/>
        <w:rPr>
          <w:rFonts w:cs="Arial"/>
          <w:lang w:val="en-GB"/>
        </w:rPr>
      </w:pPr>
    </w:p>
    <w:p w14:paraId="16BB6BBB" w14:textId="36910237" w:rsidR="00E773E7" w:rsidRDefault="00E773E7" w:rsidP="00E773E7">
      <w:pPr>
        <w:ind w:left="-142" w:right="-425"/>
        <w:jc w:val="both"/>
        <w:rPr>
          <w:rFonts w:cs="Arial"/>
          <w:lang w:val="en-GB"/>
        </w:rPr>
      </w:pPr>
      <w:r w:rsidRPr="00E773E7">
        <w:rPr>
          <w:rFonts w:cs="Arial"/>
          <w:lang w:val="en-GB"/>
        </w:rPr>
        <w:t>The final presentation was on Cape York Employment’s delivery of the National Indigenous Australians Agency (NIAA) funded Community Development Program (CDP) in Aurukun and Coen. The presentation also advised on employment pathways, training and job readiness programs in those two communities.</w:t>
      </w:r>
    </w:p>
    <w:p w14:paraId="459951E3" w14:textId="77777777" w:rsidR="000E0C69" w:rsidRPr="00E773E7" w:rsidRDefault="000E0C69" w:rsidP="00E773E7">
      <w:pPr>
        <w:ind w:left="-142" w:right="-425"/>
        <w:jc w:val="both"/>
        <w:rPr>
          <w:rFonts w:cs="Arial"/>
          <w:lang w:val="en-GB"/>
        </w:rPr>
      </w:pPr>
    </w:p>
    <w:p w14:paraId="2F20B4E2" w14:textId="25E73E7E" w:rsidR="00E773E7" w:rsidRDefault="00E773E7" w:rsidP="00E773E7">
      <w:pPr>
        <w:ind w:left="-142" w:right="-425"/>
        <w:jc w:val="both"/>
        <w:rPr>
          <w:rFonts w:cs="Arial"/>
          <w:lang w:val="en-GB"/>
        </w:rPr>
      </w:pPr>
      <w:r w:rsidRPr="00E773E7">
        <w:rPr>
          <w:rFonts w:cs="Arial"/>
          <w:lang w:val="en-GB"/>
        </w:rPr>
        <w:t xml:space="preserve">It is important in each Local Commissioner Development Week that time is set aside for the Commissioners to participate in a ‘round table’, a time when Commissioners come together to discuss current issues affecting the Commission and the FRC communities. It provides an opportunity for Commissioners to contribute their perspectives and ideas in a supportive environment. This year the Commissioners were joined by Mr Bob Gee, Director-General for the Department of Agriculture and Fisheries, Government Champion for Doomadgee and Chair of the Family Responsibilities Board. Mr Gee listened intently as Commissioners spoke of their frustration and despair at the ongoing high level of uncertainty around funding arrangements between the Australian and Queensland Governments for </w:t>
      </w:r>
      <w:r w:rsidRPr="00E773E7">
        <w:rPr>
          <w:rFonts w:cs="Arial"/>
          <w:lang w:val="en-GB"/>
        </w:rPr>
        <w:lastRenderedPageBreak/>
        <w:t>the FRC, and their sense of apprehension leading into the ‘FRC Future Directions Review’ into the role and future of the FRC.</w:t>
      </w:r>
    </w:p>
    <w:p w14:paraId="33553720" w14:textId="77777777" w:rsidR="000E0C69" w:rsidRPr="00E773E7" w:rsidRDefault="000E0C69" w:rsidP="00E773E7">
      <w:pPr>
        <w:ind w:left="-142" w:right="-425"/>
        <w:jc w:val="both"/>
        <w:rPr>
          <w:rFonts w:cs="Arial"/>
          <w:lang w:val="en-GB"/>
        </w:rPr>
      </w:pPr>
    </w:p>
    <w:p w14:paraId="14C814AD" w14:textId="5BEF4F8D" w:rsidR="00E773E7" w:rsidRPr="00E773E7" w:rsidRDefault="00E773E7" w:rsidP="00E773E7">
      <w:pPr>
        <w:ind w:left="-142" w:right="-425"/>
        <w:jc w:val="both"/>
        <w:rPr>
          <w:rFonts w:cs="Arial"/>
          <w:lang w:val="en-GB"/>
        </w:rPr>
      </w:pPr>
      <w:r w:rsidRPr="00E773E7">
        <w:rPr>
          <w:rFonts w:cs="Arial"/>
          <w:lang w:val="en-GB"/>
        </w:rPr>
        <w:t xml:space="preserve">The Local Commissioner Development Week is a highlight in the FRC calendar. It is the only time where Local Commissioners from the five widespread FRC communities are provided the opportunity to join together to receive training, share their experiences, support each other and build relationships. </w:t>
      </w:r>
      <w:r w:rsidR="00C83903">
        <w:rPr>
          <w:rFonts w:cs="Arial"/>
          <w:lang w:val="en-GB"/>
        </w:rPr>
        <w:t>Importantly</w:t>
      </w:r>
      <w:r w:rsidRPr="00E773E7">
        <w:rPr>
          <w:rFonts w:cs="Arial"/>
          <w:lang w:val="en-GB"/>
        </w:rPr>
        <w:t>, the Commissioners are afforded an opportunity to experience a brief respite from the burdens they carry every day in the communities in which they live.</w:t>
      </w:r>
    </w:p>
    <w:p w14:paraId="4541D686" w14:textId="58240A3A" w:rsidR="00096869" w:rsidRPr="00096869" w:rsidRDefault="00096869" w:rsidP="00096869">
      <w:pPr>
        <w:ind w:left="-142" w:right="-425"/>
        <w:jc w:val="both"/>
        <w:rPr>
          <w:rFonts w:cs="Arial"/>
        </w:rPr>
      </w:pPr>
    </w:p>
    <w:p w14:paraId="0095AAEC" w14:textId="5385C8AD" w:rsidR="00096869" w:rsidRPr="00BA2FA3" w:rsidRDefault="00096869" w:rsidP="00096869">
      <w:pPr>
        <w:ind w:left="-142" w:right="-425"/>
        <w:jc w:val="both"/>
        <w:rPr>
          <w:rFonts w:cs="Arial"/>
          <w:b/>
          <w:bCs/>
          <w:sz w:val="22"/>
          <w:szCs w:val="22"/>
        </w:rPr>
      </w:pPr>
      <w:r w:rsidRPr="00BA2FA3">
        <w:rPr>
          <w:rFonts w:cs="Arial"/>
          <w:b/>
          <w:bCs/>
          <w:sz w:val="22"/>
          <w:szCs w:val="22"/>
        </w:rPr>
        <w:t>Reappointment of Commissioners</w:t>
      </w:r>
      <w:r w:rsidR="008D027B" w:rsidRPr="00BA2FA3">
        <w:rPr>
          <w:rFonts w:cs="Arial"/>
          <w:b/>
          <w:bCs/>
          <w:sz w:val="22"/>
          <w:szCs w:val="22"/>
        </w:rPr>
        <w:t xml:space="preserve"> and FR Board Members</w:t>
      </w:r>
    </w:p>
    <w:p w14:paraId="33BEEC60" w14:textId="77777777" w:rsidR="008D027B" w:rsidRPr="008D027B" w:rsidRDefault="008D027B" w:rsidP="008D027B">
      <w:pPr>
        <w:ind w:left="-142" w:right="-425"/>
        <w:jc w:val="both"/>
        <w:rPr>
          <w:rFonts w:cs="Arial"/>
        </w:rPr>
      </w:pPr>
      <w:r w:rsidRPr="008D027B">
        <w:rPr>
          <w:rFonts w:cs="Arial"/>
        </w:rPr>
        <w:t xml:space="preserve">On 6 May 2022 the Commission was advised by DSDSATSIP that </w:t>
      </w:r>
      <w:r w:rsidRPr="008D027B">
        <w:rPr>
          <w:rFonts w:cs="Arial"/>
          <w:lang w:val="en-GB"/>
        </w:rPr>
        <w:t>the Governor in Council had approved the reappointment of Commissioner Williams as the FRC Commissioner for the period 1 July 2022 to 30 June 2023. Further, to support the Commissioner in her role, Mr Rodney Curtin was reappointed as Deputy Commissioner</w:t>
      </w:r>
      <w:r w:rsidRPr="008D027B">
        <w:rPr>
          <w:rFonts w:cs="Arial"/>
        </w:rPr>
        <w:t>, and all then current Local Commissioners for the communities of Aurukun, Coen, Doomadgee, Hope Vale and Mossman Gorge (with the exception of Local Commissioner Victor Gibson of Hope Vale who did not seek reappointment) were reappointed for the same period. Additionally, the chair of the Family Responsibilities Board Mr Robert (Bob) Gee, Director-General, Department of Agriculture and Fisheries and Mr Noel Pearson, Founder of the Cape York Institute were reappointed to the FR Board for the period 1 July 2022 to 30 June 2023. The third FR Board member, Mr Ray Griggs AO, CSC Secretary of the Department of Social Services, did not seek reappointment and was replaced by Ms Jody Broun, Chief Executive Officer, National Indigenous Australians Agency.</w:t>
      </w:r>
    </w:p>
    <w:p w14:paraId="14ECE317" w14:textId="77777777" w:rsidR="008D027B" w:rsidRDefault="008D027B" w:rsidP="00096869">
      <w:pPr>
        <w:ind w:left="-142" w:right="-425"/>
        <w:jc w:val="both"/>
        <w:rPr>
          <w:rFonts w:cs="Arial"/>
          <w:lang w:val="en-GB"/>
        </w:rPr>
      </w:pPr>
    </w:p>
    <w:p w14:paraId="6843DA53" w14:textId="77777777" w:rsidR="006E0531" w:rsidRPr="00BA2FA3" w:rsidRDefault="006E0531" w:rsidP="006E0531">
      <w:pPr>
        <w:ind w:left="-142" w:right="-425"/>
        <w:jc w:val="both"/>
        <w:rPr>
          <w:rFonts w:cs="Arial"/>
          <w:b/>
          <w:bCs/>
          <w:sz w:val="22"/>
          <w:szCs w:val="22"/>
        </w:rPr>
      </w:pPr>
      <w:r w:rsidRPr="00BA2FA3">
        <w:rPr>
          <w:rFonts w:cs="Arial"/>
          <w:b/>
          <w:bCs/>
          <w:sz w:val="22"/>
          <w:szCs w:val="22"/>
        </w:rPr>
        <w:t>New appointments</w:t>
      </w:r>
    </w:p>
    <w:p w14:paraId="545B984D" w14:textId="246CFB10" w:rsidR="006E0531" w:rsidRPr="006E0531" w:rsidRDefault="006E0531" w:rsidP="006E0531">
      <w:pPr>
        <w:ind w:left="-142" w:right="-425"/>
        <w:jc w:val="both"/>
        <w:rPr>
          <w:rFonts w:cs="Arial"/>
        </w:rPr>
      </w:pPr>
      <w:r w:rsidRPr="006E0531">
        <w:rPr>
          <w:rFonts w:cs="Arial"/>
        </w:rPr>
        <w:t>In March 2022 the Commission forwarded 12 new Local Commissioner applications for consideration for the communities of Aurukun, Doomadgee, Hope Vale and Mossman Gorge. On 30 May 2022, the Commission received advice from the Minister for Seniors and Disability Services and Minister for Aboriginal and Torres Strait Islander Partnerships that, in accordance with the FRC Act, 12 new Local Commissioners (three from Aurukun, three from Doomadgee, one from Hope Vale and five from Mossman Gorge) had been appointed by the Governor in Council effective from 5 May 2022</w:t>
      </w:r>
      <w:r>
        <w:rPr>
          <w:rFonts w:cs="Arial"/>
        </w:rPr>
        <w:t xml:space="preserve"> until 30 June 2023</w:t>
      </w:r>
      <w:r w:rsidRPr="006E0531">
        <w:rPr>
          <w:rFonts w:cs="Arial"/>
        </w:rPr>
        <w:t>. The new Local Commissioners will commence induction and training early in the 202</w:t>
      </w:r>
      <w:r w:rsidR="00C56D04">
        <w:rPr>
          <w:rFonts w:cs="Arial"/>
        </w:rPr>
        <w:t>2</w:t>
      </w:r>
      <w:r w:rsidRPr="006E0531">
        <w:rPr>
          <w:rFonts w:cs="Arial"/>
        </w:rPr>
        <w:t>-2</w:t>
      </w:r>
      <w:r w:rsidR="00C56D04">
        <w:rPr>
          <w:rFonts w:cs="Arial"/>
        </w:rPr>
        <w:t>3</w:t>
      </w:r>
      <w:r w:rsidRPr="006E0531">
        <w:rPr>
          <w:rFonts w:cs="Arial"/>
        </w:rPr>
        <w:t xml:space="preserve"> financial year.</w:t>
      </w:r>
    </w:p>
    <w:p w14:paraId="065A0A8C" w14:textId="77777777" w:rsidR="006E0531" w:rsidRPr="00096869" w:rsidRDefault="006E0531" w:rsidP="00096869">
      <w:pPr>
        <w:ind w:left="-142" w:right="-425"/>
        <w:jc w:val="both"/>
        <w:rPr>
          <w:rFonts w:cs="Arial"/>
        </w:rPr>
      </w:pPr>
    </w:p>
    <w:p w14:paraId="6806682B" w14:textId="77777777" w:rsidR="00782942" w:rsidRDefault="00782942">
      <w:pPr>
        <w:spacing w:line="240" w:lineRule="auto"/>
        <w:rPr>
          <w:rFonts w:cs="Arial"/>
          <w:b/>
          <w:bCs/>
        </w:rPr>
      </w:pPr>
      <w:r>
        <w:rPr>
          <w:rFonts w:cs="Arial"/>
          <w:b/>
          <w:bCs/>
        </w:rPr>
        <w:br w:type="page"/>
      </w:r>
    </w:p>
    <w:p w14:paraId="7B028457" w14:textId="77777777" w:rsidR="00A640CB" w:rsidRDefault="00A640CB" w:rsidP="00A06016">
      <w:pPr>
        <w:ind w:left="-142" w:right="-425"/>
        <w:jc w:val="both"/>
        <w:rPr>
          <w:rFonts w:cs="Arial"/>
        </w:rPr>
      </w:pPr>
    </w:p>
    <w:p w14:paraId="42C25446" w14:textId="569E51A5" w:rsidR="00A83C16" w:rsidRDefault="00A83C16">
      <w:pPr>
        <w:spacing w:line="240" w:lineRule="auto"/>
      </w:pPr>
    </w:p>
    <w:p w14:paraId="00DC229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7E559410"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5C7600">
        <w:rPr>
          <w:noProof/>
        </w:rPr>
        <w:t>7</w:t>
      </w:r>
      <w:r w:rsidR="00F058BE">
        <w:rPr>
          <w:noProof/>
        </w:rPr>
        <w:fldChar w:fldCharType="end"/>
      </w:r>
    </w:p>
    <w:p w14:paraId="62DF3D4A" w14:textId="03AC13B9"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5C7600">
        <w:rPr>
          <w:noProof/>
        </w:rPr>
        <w:t>20</w:t>
      </w:r>
      <w:r>
        <w:rPr>
          <w:noProof/>
        </w:rPr>
        <w:fldChar w:fldCharType="end"/>
      </w:r>
    </w:p>
    <w:p w14:paraId="293F38D2" w14:textId="14AF3357"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5C7600">
        <w:rPr>
          <w:noProof/>
        </w:rPr>
        <w:t>25</w:t>
      </w:r>
      <w:r>
        <w:rPr>
          <w:noProof/>
        </w:rPr>
        <w:fldChar w:fldCharType="end"/>
      </w:r>
    </w:p>
    <w:p w14:paraId="79738A35" w14:textId="6A7F5659"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5C7600">
        <w:rPr>
          <w:noProof/>
        </w:rPr>
        <w:t>26</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1ED894F9">
                <wp:simplePos x="0" y="0"/>
                <wp:positionH relativeFrom="column">
                  <wp:posOffset>-120015</wp:posOffset>
                </wp:positionH>
                <wp:positionV relativeFrom="paragraph">
                  <wp:posOffset>60960</wp:posOffset>
                </wp:positionV>
                <wp:extent cx="6412230" cy="5162550"/>
                <wp:effectExtent l="0" t="0" r="762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no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" stroked="f">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w:t>
                      </w:r>
                      <w:proofErr w:type="gramStart"/>
                      <w:r w:rsidRPr="00517C0A">
                        <w:rPr>
                          <w:rFonts w:cs="Arial"/>
                          <w:sz w:val="18"/>
                          <w:szCs w:val="18"/>
                        </w:rPr>
                        <w:t>Board)</w:t>
                      </w:r>
                      <w:proofErr w:type="gramEnd"/>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175DA322" w:rsidR="005A5B78" w:rsidRPr="00B04486" w:rsidRDefault="005A5B78" w:rsidP="005A5B78">
      <w:pPr>
        <w:spacing w:after="240" w:line="240" w:lineRule="auto"/>
        <w:ind w:left="-142"/>
        <w:rPr>
          <w:i/>
          <w:sz w:val="24"/>
          <w:szCs w:val="24"/>
        </w:rPr>
      </w:pPr>
      <w:r w:rsidRPr="00B04486">
        <w:rPr>
          <w:i/>
          <w:sz w:val="24"/>
          <w:szCs w:val="24"/>
        </w:rPr>
        <w:t xml:space="preserve">Report to </w:t>
      </w:r>
      <w:r w:rsidR="00DA70CA">
        <w:rPr>
          <w:i/>
          <w:sz w:val="24"/>
          <w:szCs w:val="24"/>
        </w:rPr>
        <w:t xml:space="preserve">30 June </w:t>
      </w:r>
      <w:r w:rsidR="00E53438">
        <w:rPr>
          <w:i/>
          <w:sz w:val="24"/>
          <w:szCs w:val="24"/>
        </w:rPr>
        <w:t>202</w:t>
      </w:r>
      <w:r w:rsidR="001A5C4C">
        <w:rPr>
          <w:i/>
          <w:sz w:val="24"/>
          <w:szCs w:val="24"/>
        </w:rPr>
        <w:t>2</w:t>
      </w:r>
      <w:r w:rsidRPr="00B04486">
        <w:rPr>
          <w:i/>
          <w:sz w:val="24"/>
          <w:szCs w:val="24"/>
        </w:rPr>
        <w:t>.</w:t>
      </w:r>
    </w:p>
    <w:p w14:paraId="3B63D598" w14:textId="77777777" w:rsidR="005A5B78" w:rsidRPr="00942B2C" w:rsidRDefault="005A5B78" w:rsidP="005A5B78">
      <w:pPr>
        <w:pStyle w:val="Heading1"/>
        <w:ind w:left="-142" w:right="-426"/>
      </w:pPr>
      <w:bookmarkStart w:id="2" w:name="_Toc222226581"/>
      <w:bookmarkStart w:id="3" w:name="_Toc304386230"/>
      <w:bookmarkStart w:id="4" w:name="_Toc304386307"/>
      <w:bookmarkStart w:id="5" w:name="_Toc306011180"/>
      <w:bookmarkStart w:id="6" w:name="_Toc39657991"/>
      <w:r>
        <w:t>1.  Activities and</w:t>
      </w:r>
      <w:r w:rsidRPr="00942B2C">
        <w:t xml:space="preserve"> </w:t>
      </w:r>
      <w:bookmarkEnd w:id="2"/>
      <w:bookmarkEnd w:id="3"/>
      <w:bookmarkEnd w:id="4"/>
      <w:bookmarkEnd w:id="5"/>
      <w:r>
        <w:t>Trends</w:t>
      </w:r>
      <w:bookmarkEnd w:id="6"/>
    </w:p>
    <w:p w14:paraId="2BAF545E" w14:textId="77E156F5" w:rsidR="009B2EF1" w:rsidRPr="00E6690B" w:rsidRDefault="009B2EF1" w:rsidP="00E6690B">
      <w:pPr>
        <w:tabs>
          <w:tab w:val="left" w:pos="1134"/>
        </w:tabs>
        <w:ind w:left="-142" w:right="-425"/>
        <w:jc w:val="both"/>
      </w:pPr>
    </w:p>
    <w:p w14:paraId="3D98B899" w14:textId="7F0B88B2" w:rsidR="00237AB1" w:rsidRPr="003E2C8D" w:rsidRDefault="00237AB1" w:rsidP="00091CFE">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The Commission delivers services to communities which are culturally unique and geographically remote. Each community is different,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Default="008F63D1" w:rsidP="0024013F">
      <w:pPr>
        <w:tabs>
          <w:tab w:val="left" w:pos="1134"/>
        </w:tabs>
        <w:ind w:left="-142" w:right="-425"/>
        <w:jc w:val="both"/>
        <w:rPr>
          <w:b/>
          <w:bCs/>
        </w:rPr>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765AAA2E"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7D7305">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951376">
        <w:t>56</w:t>
      </w:r>
      <w:r w:rsidR="005728FA">
        <w:t>,</w:t>
      </w:r>
      <w:r w:rsidR="007B68DE">
        <w:t xml:space="preserve"> </w:t>
      </w:r>
      <w:r w:rsidR="00C00E70">
        <w:t xml:space="preserve">531 </w:t>
      </w:r>
      <w:r w:rsidR="006648A1">
        <w:t xml:space="preserve">clients </w:t>
      </w:r>
      <w:r w:rsidR="00FE5409">
        <w:t>(</w:t>
      </w:r>
      <w:r w:rsidR="00D356CC">
        <w:t>8</w:t>
      </w:r>
      <w:r w:rsidR="00C00E70">
        <w:t>7</w:t>
      </w:r>
      <w:r w:rsidR="00D356CC">
        <w:t xml:space="preserve"> </w:t>
      </w:r>
      <w:r w:rsidR="00FE5409">
        <w:t>percen</w:t>
      </w:r>
      <w:r w:rsidR="00FC7C1D">
        <w:t>t</w:t>
      </w:r>
      <w:r w:rsidR="006648A1">
        <w:t>)</w:t>
      </w:r>
      <w:r w:rsidR="00FE5409">
        <w:t xml:space="preserve"> were notified to the Commission with only one type of trigger notice</w:t>
      </w:r>
      <w:r w:rsidR="003A48E8">
        <w:t>. T</w:t>
      </w:r>
      <w:r w:rsidR="00FE5409">
        <w:t xml:space="preserve">he remaining </w:t>
      </w:r>
      <w:r w:rsidR="00C00E70">
        <w:t xml:space="preserve">78 </w:t>
      </w:r>
      <w:r w:rsidR="006648A1">
        <w:t xml:space="preserve">clients </w:t>
      </w:r>
      <w:r w:rsidR="00FE5409">
        <w:t>(</w:t>
      </w:r>
      <w:r w:rsidR="00D356CC">
        <w:t>1</w:t>
      </w:r>
      <w:r w:rsidR="00C00E70">
        <w:t>3</w:t>
      </w:r>
      <w:r w:rsidR="00D356CC">
        <w:t xml:space="preserve"> </w:t>
      </w:r>
      <w:r w:rsidR="00FE5409">
        <w:t>percen</w:t>
      </w:r>
      <w:r w:rsidR="00FC7C1D">
        <w:t>t</w:t>
      </w:r>
      <w:r w:rsidR="00FE5409">
        <w:t>) received more than one type of trigger notice.</w:t>
      </w:r>
    </w:p>
    <w:p w14:paraId="613CE34C" w14:textId="7C2FF762" w:rsidR="004128E4" w:rsidRDefault="004128E4" w:rsidP="00106EA8">
      <w:pPr>
        <w:tabs>
          <w:tab w:val="left" w:pos="1134"/>
        </w:tabs>
        <w:ind w:left="-142" w:right="-425"/>
        <w:jc w:val="both"/>
      </w:pPr>
    </w:p>
    <w:p w14:paraId="1A1C5C25" w14:textId="310F02E0" w:rsidR="000B6F40" w:rsidRPr="00D925BE" w:rsidRDefault="000B6F40" w:rsidP="000B6F40">
      <w:pPr>
        <w:spacing w:after="120" w:line="240" w:lineRule="auto"/>
        <w:ind w:right="-425"/>
        <w:jc w:val="both"/>
        <w:rPr>
          <w:b/>
          <w:sz w:val="16"/>
          <w:szCs w:val="16"/>
        </w:rPr>
      </w:pPr>
      <w:r>
        <w:rPr>
          <w:b/>
          <w:sz w:val="16"/>
          <w:szCs w:val="16"/>
        </w:rPr>
        <w:t>T</w:t>
      </w:r>
      <w:r w:rsidRPr="00362EE1">
        <w:rPr>
          <w:b/>
          <w:sz w:val="16"/>
          <w:szCs w:val="16"/>
        </w:rPr>
        <w:t xml:space="preserve">able </w:t>
      </w:r>
      <w:r>
        <w:rPr>
          <w:b/>
          <w:sz w:val="16"/>
          <w:szCs w:val="16"/>
        </w:rPr>
        <w:t>2</w:t>
      </w:r>
      <w:r w:rsidRPr="00362EE1">
        <w:rPr>
          <w:b/>
          <w:sz w:val="16"/>
          <w:szCs w:val="16"/>
        </w:rPr>
        <w:t xml:space="preserve">: </w:t>
      </w:r>
      <w:r w:rsidRPr="00D61631">
        <w:rPr>
          <w:rFonts w:cs="Arial"/>
          <w:bCs/>
          <w:sz w:val="16"/>
          <w:szCs w:val="16"/>
        </w:rPr>
        <w:t>Number of</w:t>
      </w:r>
      <w:r w:rsidRPr="000A2D9F">
        <w:rPr>
          <w:rFonts w:cs="Arial"/>
          <w:bCs/>
          <w:sz w:val="16"/>
          <w:szCs w:val="16"/>
        </w:rPr>
        <w:t xml:space="preserve"> </w:t>
      </w:r>
      <w:r>
        <w:rPr>
          <w:rFonts w:cs="Arial"/>
          <w:sz w:val="16"/>
          <w:szCs w:val="16"/>
        </w:rPr>
        <w:t>clients by number of different types of agency notices received</w:t>
      </w:r>
      <w:r w:rsidRPr="00DA41D1">
        <w:rPr>
          <w:rFonts w:cs="Arial"/>
          <w:sz w:val="16"/>
          <w:szCs w:val="16"/>
        </w:rPr>
        <w:t xml:space="preserve"> </w:t>
      </w:r>
      <w:r>
        <w:rPr>
          <w:rFonts w:cs="Arial"/>
          <w:sz w:val="16"/>
          <w:szCs w:val="16"/>
        </w:rPr>
        <w:t>1 April 2022 to 30 June 2022</w:t>
      </w:r>
    </w:p>
    <w:tbl>
      <w:tblPr>
        <w:tblW w:w="5289" w:type="dxa"/>
        <w:tblInd w:w="93" w:type="dxa"/>
        <w:tblLook w:val="04A0" w:firstRow="1" w:lastRow="0" w:firstColumn="1" w:lastColumn="0" w:noHBand="0" w:noVBand="1"/>
      </w:tblPr>
      <w:tblGrid>
        <w:gridCol w:w="3446"/>
        <w:gridCol w:w="1843"/>
      </w:tblGrid>
      <w:tr w:rsidR="000B6F40" w:rsidRPr="006E764C" w14:paraId="0098A5F0" w14:textId="77777777" w:rsidTr="005D3292">
        <w:trPr>
          <w:trHeight w:val="510"/>
        </w:trPr>
        <w:tc>
          <w:tcPr>
            <w:tcW w:w="3446" w:type="dxa"/>
            <w:tcBorders>
              <w:top w:val="single" w:sz="4" w:space="0" w:color="auto"/>
              <w:left w:val="single" w:sz="4" w:space="0" w:color="auto"/>
              <w:bottom w:val="single" w:sz="4" w:space="0" w:color="auto"/>
              <w:right w:val="single" w:sz="4" w:space="0" w:color="auto"/>
            </w:tcBorders>
            <w:noWrap/>
            <w:hideMark/>
          </w:tcPr>
          <w:p w14:paraId="4D07AF56" w14:textId="77777777" w:rsidR="000B6F40" w:rsidRPr="0093030B" w:rsidRDefault="000B6F40" w:rsidP="005D3292">
            <w:pPr>
              <w:pStyle w:val="TableText"/>
              <w:rPr>
                <w:b/>
                <w:lang w:eastAsia="en-AU"/>
              </w:rPr>
            </w:pPr>
            <w:r w:rsidRPr="005B6887">
              <w:rPr>
                <w:b/>
                <w:lang w:eastAsia="en-AU"/>
              </w:rPr>
              <w:t>Number of Different Types of Agency Notices Received</w:t>
            </w:r>
          </w:p>
        </w:tc>
        <w:tc>
          <w:tcPr>
            <w:tcW w:w="1843" w:type="dxa"/>
            <w:tcBorders>
              <w:top w:val="single" w:sz="4" w:space="0" w:color="auto"/>
              <w:left w:val="nil"/>
              <w:bottom w:val="single" w:sz="4" w:space="0" w:color="auto"/>
              <w:right w:val="single" w:sz="4" w:space="0" w:color="auto"/>
            </w:tcBorders>
            <w:hideMark/>
          </w:tcPr>
          <w:p w14:paraId="3ADE636A" w14:textId="77777777" w:rsidR="000B6F40" w:rsidRPr="0093030B" w:rsidRDefault="000B6F40" w:rsidP="005D3292">
            <w:pPr>
              <w:pStyle w:val="TableText"/>
              <w:rPr>
                <w:b/>
                <w:lang w:eastAsia="en-AU"/>
              </w:rPr>
            </w:pPr>
            <w:r w:rsidRPr="0093030B">
              <w:rPr>
                <w:b/>
                <w:lang w:eastAsia="en-AU"/>
              </w:rPr>
              <w:t>Number of Clients</w:t>
            </w:r>
          </w:p>
        </w:tc>
      </w:tr>
      <w:tr w:rsidR="000B6F40" w:rsidRPr="006E764C" w14:paraId="55453B95" w14:textId="77777777" w:rsidTr="005D3292">
        <w:trPr>
          <w:trHeight w:val="255"/>
        </w:trPr>
        <w:tc>
          <w:tcPr>
            <w:tcW w:w="3446" w:type="dxa"/>
            <w:tcBorders>
              <w:top w:val="nil"/>
              <w:left w:val="single" w:sz="4" w:space="0" w:color="auto"/>
              <w:bottom w:val="single" w:sz="4" w:space="0" w:color="auto"/>
              <w:right w:val="single" w:sz="4" w:space="0" w:color="auto"/>
            </w:tcBorders>
            <w:noWrap/>
            <w:hideMark/>
          </w:tcPr>
          <w:p w14:paraId="7B22A626" w14:textId="77777777" w:rsidR="000B6F40" w:rsidRPr="006E764C" w:rsidRDefault="000B6F40" w:rsidP="005D3292">
            <w:pPr>
              <w:pStyle w:val="TableText"/>
              <w:jc w:val="center"/>
              <w:rPr>
                <w:lang w:eastAsia="en-AU"/>
              </w:rPr>
            </w:pPr>
            <w:r w:rsidRPr="006E764C">
              <w:rPr>
                <w:lang w:eastAsia="en-AU"/>
              </w:rPr>
              <w:t>1</w:t>
            </w:r>
          </w:p>
        </w:tc>
        <w:tc>
          <w:tcPr>
            <w:tcW w:w="1843" w:type="dxa"/>
            <w:tcBorders>
              <w:top w:val="nil"/>
              <w:left w:val="nil"/>
              <w:bottom w:val="single" w:sz="4" w:space="0" w:color="auto"/>
              <w:right w:val="single" w:sz="4" w:space="0" w:color="auto"/>
            </w:tcBorders>
            <w:vAlign w:val="bottom"/>
          </w:tcPr>
          <w:p w14:paraId="7B4D0852" w14:textId="57A4D67B" w:rsidR="000B6F40" w:rsidRPr="005B6887" w:rsidRDefault="000B6F40" w:rsidP="005D3292">
            <w:pPr>
              <w:jc w:val="right"/>
              <w:rPr>
                <w:rFonts w:cs="Arial"/>
              </w:rPr>
            </w:pPr>
            <w:r>
              <w:rPr>
                <w:rFonts w:cs="Arial"/>
              </w:rPr>
              <w:t>531</w:t>
            </w:r>
          </w:p>
        </w:tc>
      </w:tr>
      <w:tr w:rsidR="000B6F40" w:rsidRPr="006E764C" w14:paraId="405E2968" w14:textId="77777777" w:rsidTr="005D3292">
        <w:trPr>
          <w:trHeight w:val="255"/>
        </w:trPr>
        <w:tc>
          <w:tcPr>
            <w:tcW w:w="3446" w:type="dxa"/>
            <w:tcBorders>
              <w:top w:val="nil"/>
              <w:left w:val="single" w:sz="4" w:space="0" w:color="auto"/>
              <w:bottom w:val="single" w:sz="4" w:space="0" w:color="auto"/>
              <w:right w:val="single" w:sz="4" w:space="0" w:color="auto"/>
            </w:tcBorders>
            <w:noWrap/>
            <w:hideMark/>
          </w:tcPr>
          <w:p w14:paraId="5C0B9E77" w14:textId="77777777" w:rsidR="000B6F40" w:rsidRPr="006E764C" w:rsidRDefault="000B6F40" w:rsidP="005D3292">
            <w:pPr>
              <w:pStyle w:val="TableText"/>
              <w:jc w:val="center"/>
              <w:rPr>
                <w:lang w:eastAsia="en-AU"/>
              </w:rPr>
            </w:pPr>
            <w:r w:rsidRPr="006E764C">
              <w:rPr>
                <w:lang w:eastAsia="en-AU"/>
              </w:rPr>
              <w:t>2</w:t>
            </w:r>
          </w:p>
        </w:tc>
        <w:tc>
          <w:tcPr>
            <w:tcW w:w="1843" w:type="dxa"/>
            <w:tcBorders>
              <w:top w:val="nil"/>
              <w:left w:val="nil"/>
              <w:bottom w:val="single" w:sz="4" w:space="0" w:color="auto"/>
              <w:right w:val="single" w:sz="4" w:space="0" w:color="auto"/>
            </w:tcBorders>
            <w:vAlign w:val="bottom"/>
          </w:tcPr>
          <w:p w14:paraId="44CB252E" w14:textId="53519A15" w:rsidR="000B6F40" w:rsidRPr="005B6887" w:rsidRDefault="000B6F40" w:rsidP="005D3292">
            <w:pPr>
              <w:jc w:val="right"/>
              <w:rPr>
                <w:rFonts w:cs="Arial"/>
              </w:rPr>
            </w:pPr>
            <w:r>
              <w:rPr>
                <w:rFonts w:cs="Arial"/>
              </w:rPr>
              <w:t>66</w:t>
            </w:r>
          </w:p>
        </w:tc>
      </w:tr>
      <w:tr w:rsidR="000B6F40" w:rsidRPr="006E764C" w14:paraId="6BEFA0CD" w14:textId="77777777" w:rsidTr="005D3292">
        <w:trPr>
          <w:trHeight w:val="255"/>
        </w:trPr>
        <w:tc>
          <w:tcPr>
            <w:tcW w:w="3446" w:type="dxa"/>
            <w:tcBorders>
              <w:top w:val="nil"/>
              <w:left w:val="single" w:sz="4" w:space="0" w:color="auto"/>
              <w:bottom w:val="single" w:sz="4" w:space="0" w:color="auto"/>
              <w:right w:val="single" w:sz="4" w:space="0" w:color="auto"/>
            </w:tcBorders>
            <w:noWrap/>
            <w:hideMark/>
          </w:tcPr>
          <w:p w14:paraId="7767507F" w14:textId="77777777" w:rsidR="000B6F40" w:rsidRPr="006E764C" w:rsidRDefault="000B6F40" w:rsidP="005D3292">
            <w:pPr>
              <w:pStyle w:val="TableText"/>
              <w:jc w:val="center"/>
              <w:rPr>
                <w:lang w:eastAsia="en-AU"/>
              </w:rPr>
            </w:pPr>
            <w:r w:rsidRPr="006E764C">
              <w:rPr>
                <w:lang w:eastAsia="en-AU"/>
              </w:rPr>
              <w:t>3</w:t>
            </w:r>
          </w:p>
        </w:tc>
        <w:tc>
          <w:tcPr>
            <w:tcW w:w="1843" w:type="dxa"/>
            <w:tcBorders>
              <w:top w:val="nil"/>
              <w:left w:val="nil"/>
              <w:bottom w:val="single" w:sz="4" w:space="0" w:color="auto"/>
              <w:right w:val="single" w:sz="4" w:space="0" w:color="auto"/>
            </w:tcBorders>
            <w:vAlign w:val="bottom"/>
          </w:tcPr>
          <w:p w14:paraId="5188108C" w14:textId="638E8C18" w:rsidR="000B6F40" w:rsidRPr="005B6887" w:rsidRDefault="000B6F40" w:rsidP="005D3292">
            <w:pPr>
              <w:jc w:val="right"/>
              <w:rPr>
                <w:rFonts w:cs="Arial"/>
              </w:rPr>
            </w:pPr>
            <w:r>
              <w:rPr>
                <w:rFonts w:cs="Arial"/>
              </w:rPr>
              <w:t>11</w:t>
            </w:r>
          </w:p>
        </w:tc>
      </w:tr>
      <w:tr w:rsidR="000B6F40" w:rsidRPr="006E764C" w14:paraId="2295C04C" w14:textId="77777777" w:rsidTr="005D3292">
        <w:trPr>
          <w:trHeight w:val="255"/>
        </w:trPr>
        <w:tc>
          <w:tcPr>
            <w:tcW w:w="3446" w:type="dxa"/>
            <w:tcBorders>
              <w:top w:val="nil"/>
              <w:left w:val="single" w:sz="4" w:space="0" w:color="auto"/>
              <w:bottom w:val="single" w:sz="4" w:space="0" w:color="auto"/>
              <w:right w:val="single" w:sz="4" w:space="0" w:color="auto"/>
            </w:tcBorders>
            <w:noWrap/>
            <w:hideMark/>
          </w:tcPr>
          <w:p w14:paraId="62F8BF6C" w14:textId="77777777" w:rsidR="000B6F40" w:rsidRPr="006E764C" w:rsidRDefault="000B6F40" w:rsidP="005D3292">
            <w:pPr>
              <w:pStyle w:val="TableText"/>
              <w:jc w:val="center"/>
              <w:rPr>
                <w:lang w:eastAsia="en-AU"/>
              </w:rPr>
            </w:pPr>
            <w:r w:rsidRPr="006E764C">
              <w:rPr>
                <w:lang w:eastAsia="en-AU"/>
              </w:rPr>
              <w:t>4</w:t>
            </w:r>
          </w:p>
        </w:tc>
        <w:tc>
          <w:tcPr>
            <w:tcW w:w="1843" w:type="dxa"/>
            <w:tcBorders>
              <w:top w:val="nil"/>
              <w:left w:val="nil"/>
              <w:bottom w:val="single" w:sz="4" w:space="0" w:color="auto"/>
              <w:right w:val="single" w:sz="4" w:space="0" w:color="auto"/>
            </w:tcBorders>
            <w:vAlign w:val="bottom"/>
          </w:tcPr>
          <w:p w14:paraId="7BD48240" w14:textId="40FE6B34" w:rsidR="000B6F40" w:rsidRPr="005B6887" w:rsidRDefault="000B6F40" w:rsidP="005D3292">
            <w:pPr>
              <w:jc w:val="right"/>
              <w:rPr>
                <w:rFonts w:cs="Arial"/>
              </w:rPr>
            </w:pPr>
            <w:r>
              <w:rPr>
                <w:rFonts w:cs="Arial"/>
              </w:rPr>
              <w:t>1</w:t>
            </w:r>
          </w:p>
        </w:tc>
      </w:tr>
      <w:tr w:rsidR="000B6F40" w:rsidRPr="006E764C" w14:paraId="0AA20838" w14:textId="77777777" w:rsidTr="005D3292">
        <w:trPr>
          <w:trHeight w:val="255"/>
        </w:trPr>
        <w:tc>
          <w:tcPr>
            <w:tcW w:w="3446" w:type="dxa"/>
            <w:tcBorders>
              <w:top w:val="nil"/>
              <w:left w:val="single" w:sz="4" w:space="0" w:color="auto"/>
              <w:bottom w:val="single" w:sz="4" w:space="0" w:color="auto"/>
              <w:right w:val="single" w:sz="4" w:space="0" w:color="auto"/>
            </w:tcBorders>
            <w:noWrap/>
            <w:hideMark/>
          </w:tcPr>
          <w:p w14:paraId="65FEDE93" w14:textId="77777777" w:rsidR="000B6F40" w:rsidRPr="00645916" w:rsidRDefault="000B6F40" w:rsidP="005D3292">
            <w:pPr>
              <w:pStyle w:val="TableText"/>
              <w:jc w:val="center"/>
              <w:rPr>
                <w:b/>
                <w:lang w:eastAsia="en-AU"/>
              </w:rPr>
            </w:pPr>
            <w:r w:rsidRPr="00645916">
              <w:rPr>
                <w:b/>
                <w:lang w:eastAsia="en-AU"/>
              </w:rPr>
              <w:t>TOTAL</w:t>
            </w:r>
          </w:p>
        </w:tc>
        <w:tc>
          <w:tcPr>
            <w:tcW w:w="1843" w:type="dxa"/>
            <w:tcBorders>
              <w:top w:val="nil"/>
              <w:left w:val="nil"/>
              <w:bottom w:val="single" w:sz="4" w:space="0" w:color="auto"/>
              <w:right w:val="single" w:sz="4" w:space="0" w:color="auto"/>
            </w:tcBorders>
            <w:noWrap/>
            <w:vAlign w:val="bottom"/>
          </w:tcPr>
          <w:p w14:paraId="7DADABBA" w14:textId="6C6BE464" w:rsidR="000B6F40" w:rsidRPr="005B6887" w:rsidRDefault="000B6F40" w:rsidP="005D3292">
            <w:pPr>
              <w:jc w:val="right"/>
              <w:rPr>
                <w:rFonts w:cs="Arial"/>
                <w:b/>
                <w:bCs/>
              </w:rPr>
            </w:pPr>
            <w:r>
              <w:rPr>
                <w:rFonts w:cs="Arial"/>
                <w:b/>
                <w:bCs/>
              </w:rPr>
              <w:t>609</w:t>
            </w:r>
          </w:p>
        </w:tc>
      </w:tr>
    </w:tbl>
    <w:p w14:paraId="573270F2" w14:textId="4523E7FA" w:rsidR="000B6F40" w:rsidRDefault="000B6F40" w:rsidP="00106EA8">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2F3D3DFD" w:rsidR="003317A8" w:rsidRPr="002B14E8" w:rsidRDefault="00FB4106" w:rsidP="005C0A9F">
      <w:pPr>
        <w:tabs>
          <w:tab w:val="decimal" w:pos="720"/>
        </w:tabs>
        <w:ind w:left="-142" w:right="-425"/>
        <w:jc w:val="both"/>
      </w:pPr>
      <w:r>
        <w:tab/>
      </w:r>
      <w:r w:rsidR="00F9779C">
        <w:t>63</w:t>
      </w:r>
      <w:r w:rsidR="00F9779C" w:rsidRPr="002B14E8">
        <w:t xml:space="preserve"> </w:t>
      </w:r>
      <w:r w:rsidR="003317A8" w:rsidRPr="002B14E8">
        <w:t>percen</w:t>
      </w:r>
      <w:r w:rsidR="00FC7C1D" w:rsidRPr="002B14E8">
        <w:t>t</w:t>
      </w:r>
      <w:r w:rsidR="003317A8" w:rsidRPr="002B14E8">
        <w:t xml:space="preserve"> received a school attendance </w:t>
      </w:r>
      <w:r w:rsidR="00546F72" w:rsidRPr="002B14E8">
        <w:t xml:space="preserve">(EQ) </w:t>
      </w:r>
      <w:r w:rsidR="003317A8" w:rsidRPr="002B14E8">
        <w:t>notice</w:t>
      </w:r>
    </w:p>
    <w:p w14:paraId="148CD9E5" w14:textId="51F89DF8" w:rsidR="003317A8" w:rsidRPr="002B14E8" w:rsidRDefault="00FB4106" w:rsidP="005C0A9F">
      <w:pPr>
        <w:tabs>
          <w:tab w:val="decimal" w:pos="720"/>
        </w:tabs>
        <w:ind w:left="-142" w:right="-425"/>
        <w:jc w:val="both"/>
      </w:pPr>
      <w:r w:rsidRPr="002B14E8">
        <w:tab/>
      </w:r>
      <w:r w:rsidR="002B14E8">
        <w:t>1</w:t>
      </w:r>
      <w:r w:rsidR="00F9779C">
        <w:t>2</w:t>
      </w:r>
      <w:r w:rsidR="002B14E8" w:rsidRPr="002B14E8">
        <w:t xml:space="preserve"> </w:t>
      </w:r>
      <w:r w:rsidR="00FC7C1D" w:rsidRPr="002B14E8">
        <w:t xml:space="preserve">percent </w:t>
      </w:r>
      <w:r w:rsidR="00492241" w:rsidRPr="002B14E8">
        <w:t>received a Magistrate Co</w:t>
      </w:r>
      <w:r w:rsidR="00E364B4" w:rsidRPr="002B14E8">
        <w:t>u</w:t>
      </w:r>
      <w:r w:rsidR="00492241" w:rsidRPr="002B14E8">
        <w:t xml:space="preserve">rt </w:t>
      </w:r>
      <w:r w:rsidR="00546F72" w:rsidRPr="002B14E8">
        <w:t xml:space="preserve">(MAG) </w:t>
      </w:r>
      <w:r w:rsidR="00492241" w:rsidRPr="002B14E8">
        <w:t>notice</w:t>
      </w:r>
    </w:p>
    <w:p w14:paraId="35B9421A" w14:textId="75CFC8A3" w:rsidR="00384FFE" w:rsidRPr="002B14E8" w:rsidRDefault="00384FFE" w:rsidP="00384FFE">
      <w:pPr>
        <w:tabs>
          <w:tab w:val="decimal" w:pos="720"/>
        </w:tabs>
        <w:ind w:left="-142" w:right="-425"/>
        <w:jc w:val="both"/>
      </w:pPr>
      <w:r w:rsidRPr="002B14E8">
        <w:tab/>
      </w:r>
      <w:r w:rsidR="00F9779C">
        <w:t>4</w:t>
      </w:r>
      <w:r w:rsidRPr="002B14E8">
        <w:t xml:space="preserve"> percent received a child safety and welfare (CS) notice</w:t>
      </w:r>
    </w:p>
    <w:p w14:paraId="2F67FFD0" w14:textId="33598421" w:rsidR="003317A8" w:rsidRDefault="00FB4106" w:rsidP="005C0A9F">
      <w:pPr>
        <w:tabs>
          <w:tab w:val="decimal" w:pos="720"/>
        </w:tabs>
        <w:ind w:left="-142" w:right="-425"/>
        <w:jc w:val="both"/>
      </w:pPr>
      <w:r w:rsidRPr="002B14E8">
        <w:tab/>
      </w:r>
      <w:r w:rsidR="00F9779C">
        <w:t>3</w:t>
      </w:r>
      <w:r w:rsidR="00E364B4" w:rsidRPr="002B14E8">
        <w:t xml:space="preserve"> </w:t>
      </w:r>
      <w:r w:rsidR="00FC7C1D" w:rsidRPr="002B14E8">
        <w:t xml:space="preserve">percent </w:t>
      </w:r>
      <w:r w:rsidR="00E364B4" w:rsidRPr="002B14E8">
        <w:t xml:space="preserve">received a domestic violence order </w:t>
      </w:r>
      <w:r w:rsidR="00546F72" w:rsidRPr="002B14E8">
        <w:t xml:space="preserve">(DVO) </w:t>
      </w:r>
      <w:r w:rsidR="00E364B4" w:rsidRPr="002B14E8">
        <w:t>notice</w:t>
      </w:r>
    </w:p>
    <w:p w14:paraId="5AE5713C" w14:textId="72F84281" w:rsidR="00F9779C" w:rsidRDefault="00F9779C" w:rsidP="005C0A9F">
      <w:pPr>
        <w:tabs>
          <w:tab w:val="decimal" w:pos="720"/>
        </w:tabs>
        <w:ind w:left="-142" w:right="-425"/>
        <w:jc w:val="both"/>
      </w:pPr>
      <w:r>
        <w:tab/>
        <w:t>2 percent received a housing tenancy breach (HT) notice and</w:t>
      </w:r>
    </w:p>
    <w:p w14:paraId="69C516C4" w14:textId="56FCC89B" w:rsidR="00F9779C" w:rsidRPr="002B14E8" w:rsidRDefault="00F9779C" w:rsidP="005C0A9F">
      <w:pPr>
        <w:tabs>
          <w:tab w:val="decimal" w:pos="720"/>
        </w:tabs>
        <w:ind w:left="-142" w:right="-425"/>
        <w:jc w:val="both"/>
      </w:pPr>
      <w:r>
        <w:tab/>
        <w:t>2 percent received a school enrolment notice (SEN).</w:t>
      </w:r>
    </w:p>
    <w:p w14:paraId="74CFEB98" w14:textId="397967B5" w:rsidR="002B14E8" w:rsidRDefault="002B14E8" w:rsidP="001E5F23">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F9779C">
        <w:t>6</w:t>
      </w:r>
      <w:r w:rsidR="005E1684">
        <w:t xml:space="preserve"> </w:t>
      </w:r>
      <w:r w:rsidR="00C43C99">
        <w:t xml:space="preserve">clients with a </w:t>
      </w:r>
      <w:r w:rsidR="00F9779C">
        <w:t>domestic violence breach (DVB)</w:t>
      </w:r>
      <w:r w:rsidR="00C43C99">
        <w:t xml:space="preserve"> notice</w:t>
      </w:r>
      <w:r w:rsidR="005E1684">
        <w:t xml:space="preserve"> and </w:t>
      </w:r>
      <w:r w:rsidR="00F9779C">
        <w:t>4</w:t>
      </w:r>
      <w:r w:rsidR="005E1684">
        <w:t xml:space="preserve"> clients with a </w:t>
      </w:r>
      <w:r w:rsidR="00E211E5">
        <w:t>D</w:t>
      </w:r>
      <w:r w:rsidR="00F9779C">
        <w:t>istrict court</w:t>
      </w:r>
      <w:r w:rsidR="005E1684">
        <w:t xml:space="preserve"> notice (</w:t>
      </w:r>
      <w:r w:rsidR="00F9779C">
        <w:t>DIS</w:t>
      </w:r>
      <w:r w:rsidR="005E1684">
        <w:t>)</w:t>
      </w:r>
      <w:r>
        <w:t>.</w:t>
      </w:r>
    </w:p>
    <w:p w14:paraId="45C18E5D" w14:textId="77777777" w:rsidR="00085687" w:rsidRDefault="00085687" w:rsidP="004E36FE">
      <w:pPr>
        <w:tabs>
          <w:tab w:val="left" w:pos="1134"/>
        </w:tabs>
        <w:ind w:left="-142" w:right="-425"/>
        <w:jc w:val="both"/>
      </w:pPr>
    </w:p>
    <w:p w14:paraId="78ABBEEE" w14:textId="2B25B8C6" w:rsidR="004E36FE" w:rsidRDefault="00702AE8" w:rsidP="004E36FE">
      <w:pPr>
        <w:tabs>
          <w:tab w:val="left" w:pos="1134"/>
        </w:tabs>
        <w:ind w:left="-142" w:right="-425"/>
        <w:jc w:val="both"/>
      </w:pPr>
      <w:r>
        <w:t xml:space="preserve">Table </w:t>
      </w:r>
      <w:r w:rsidR="00236DEA">
        <w:t>3</w:t>
      </w:r>
      <w:r>
        <w:t xml:space="preserve"> shows t</w:t>
      </w:r>
      <w:r w:rsidR="00D87B74">
        <w:t xml:space="preserve">he </w:t>
      </w:r>
      <w:r w:rsidR="00D87B74" w:rsidRPr="00ED2A82">
        <w:t xml:space="preserve">combination of trigger notices received for </w:t>
      </w:r>
      <w:r w:rsidR="00A430B9">
        <w:t xml:space="preserve">the </w:t>
      </w:r>
      <w:r w:rsidR="00E211E5">
        <w:t>78</w:t>
      </w:r>
      <w:r w:rsidR="00E211E5"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One can see that predominantly </w:t>
      </w:r>
      <w:r w:rsidR="00E451BA" w:rsidRPr="00ED2A82">
        <w:t>there is a nexus between</w:t>
      </w:r>
      <w:r w:rsidR="00266BB4" w:rsidRPr="00ED2A82">
        <w:t xml:space="preserve"> </w:t>
      </w:r>
      <w:r w:rsidR="00D87B74" w:rsidRPr="00ED2A82">
        <w:t xml:space="preserve">Court convictions </w:t>
      </w:r>
      <w:r w:rsidR="00266BB4" w:rsidRPr="00ED2A82">
        <w:t xml:space="preserve">and domestic violence orders/breaches </w:t>
      </w:r>
      <w:r w:rsidR="00E451BA" w:rsidRPr="00ED2A82">
        <w:t>with</w:t>
      </w:r>
      <w:r w:rsidR="00D87B74" w:rsidRPr="00ED2A82">
        <w:t xml:space="preserve"> education </w:t>
      </w:r>
      <w:r w:rsidR="00E451BA" w:rsidRPr="00ED2A82">
        <w:t xml:space="preserve">notices </w:t>
      </w:r>
      <w:r w:rsidR="00D87B74" w:rsidRPr="00ED2A82">
        <w:t>and child safety issues</w:t>
      </w:r>
      <w:r w:rsidR="00A903B1" w:rsidRPr="00ED2A82">
        <w:t xml:space="preserve">, and </w:t>
      </w:r>
      <w:r w:rsidR="00E451BA" w:rsidRPr="00ED2A82">
        <w:t xml:space="preserve">also </w:t>
      </w:r>
      <w:r w:rsidR="00A903B1" w:rsidRPr="00ED2A82">
        <w:t>a strong nexus between child safety issues and education notices</w:t>
      </w:r>
      <w:r w:rsidR="00266BB4" w:rsidRPr="00ED2A82">
        <w:t>.</w:t>
      </w:r>
    </w:p>
    <w:p w14:paraId="4DF56508" w14:textId="6FC8AD83" w:rsidR="0030587D" w:rsidRDefault="0030587D" w:rsidP="00106EA8">
      <w:pPr>
        <w:tabs>
          <w:tab w:val="left" w:pos="1134"/>
        </w:tabs>
        <w:ind w:left="-142" w:right="-425"/>
        <w:jc w:val="both"/>
      </w:pPr>
    </w:p>
    <w:p w14:paraId="1AEFE2EF" w14:textId="77777777" w:rsidR="0007038F" w:rsidRDefault="0007038F">
      <w:pPr>
        <w:spacing w:line="240" w:lineRule="auto"/>
        <w:rPr>
          <w:b/>
          <w:sz w:val="16"/>
          <w:szCs w:val="16"/>
        </w:rPr>
      </w:pPr>
      <w:r>
        <w:rPr>
          <w:b/>
          <w:sz w:val="16"/>
          <w:szCs w:val="16"/>
        </w:rPr>
        <w:br w:type="page"/>
      </w:r>
    </w:p>
    <w:p w14:paraId="545211AE" w14:textId="0CE4A8C3"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07038F">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F83C14">
        <w:rPr>
          <w:bCs/>
          <w:sz w:val="16"/>
          <w:szCs w:val="16"/>
        </w:rPr>
        <w:t xml:space="preserve">1 </w:t>
      </w:r>
      <w:r w:rsidR="00DA70CA">
        <w:rPr>
          <w:bCs/>
          <w:sz w:val="16"/>
          <w:szCs w:val="16"/>
        </w:rPr>
        <w:t>April</w:t>
      </w:r>
      <w:r w:rsidR="00415BC8">
        <w:rPr>
          <w:bCs/>
          <w:sz w:val="16"/>
          <w:szCs w:val="16"/>
        </w:rPr>
        <w:t xml:space="preserve"> 2022</w:t>
      </w:r>
      <w:r w:rsidR="00352CA2" w:rsidRPr="00352CA2">
        <w:rPr>
          <w:bCs/>
          <w:sz w:val="16"/>
          <w:szCs w:val="16"/>
        </w:rPr>
        <w:t xml:space="preserve"> to </w:t>
      </w:r>
      <w:r w:rsidR="00DA70CA">
        <w:rPr>
          <w:bCs/>
          <w:sz w:val="16"/>
          <w:szCs w:val="16"/>
        </w:rPr>
        <w:t>30 June</w:t>
      </w:r>
      <w:r w:rsidR="001A5C4C">
        <w:rPr>
          <w:bCs/>
          <w:sz w:val="16"/>
          <w:szCs w:val="16"/>
        </w:rPr>
        <w:t xml:space="preserve"> 2022</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E211E5" w:rsidRPr="00FE5409" w14:paraId="4CC5A88B" w14:textId="77777777" w:rsidTr="002C0BEA">
        <w:trPr>
          <w:trHeight w:val="300"/>
        </w:trPr>
        <w:tc>
          <w:tcPr>
            <w:tcW w:w="2200" w:type="dxa"/>
            <w:shd w:val="clear" w:color="auto" w:fill="auto"/>
            <w:vAlign w:val="bottom"/>
          </w:tcPr>
          <w:p w14:paraId="61A9D4A5" w14:textId="168C98DD" w:rsidR="00E211E5" w:rsidRDefault="00E211E5" w:rsidP="00E211E5">
            <w:pPr>
              <w:spacing w:line="240" w:lineRule="auto"/>
              <w:rPr>
                <w:rFonts w:cs="Arial"/>
                <w:color w:val="000000"/>
              </w:rPr>
            </w:pPr>
            <w:r>
              <w:rPr>
                <w:rFonts w:ascii="Calibri" w:hAnsi="Calibri" w:cs="Calibri"/>
                <w:sz w:val="22"/>
                <w:szCs w:val="22"/>
              </w:rPr>
              <w:t>CS,DVO</w:t>
            </w:r>
          </w:p>
        </w:tc>
        <w:tc>
          <w:tcPr>
            <w:tcW w:w="1197" w:type="dxa"/>
            <w:shd w:val="clear" w:color="auto" w:fill="auto"/>
          </w:tcPr>
          <w:p w14:paraId="4B4FBAFF" w14:textId="716D8E31"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72A48ECB" w14:textId="77777777" w:rsidTr="002C0BEA">
        <w:trPr>
          <w:trHeight w:val="300"/>
        </w:trPr>
        <w:tc>
          <w:tcPr>
            <w:tcW w:w="2200" w:type="dxa"/>
            <w:shd w:val="clear" w:color="auto" w:fill="auto"/>
            <w:vAlign w:val="bottom"/>
          </w:tcPr>
          <w:p w14:paraId="5FB9CC03" w14:textId="4F42FEBB" w:rsidR="00E211E5" w:rsidRDefault="00E211E5" w:rsidP="00E211E5">
            <w:pPr>
              <w:spacing w:line="240" w:lineRule="auto"/>
              <w:rPr>
                <w:rFonts w:cs="Arial"/>
                <w:color w:val="000000"/>
              </w:rPr>
            </w:pPr>
            <w:r>
              <w:rPr>
                <w:rFonts w:ascii="Calibri" w:hAnsi="Calibri" w:cs="Calibri"/>
                <w:sz w:val="22"/>
                <w:szCs w:val="22"/>
              </w:rPr>
              <w:t>CS,DVO,EQ</w:t>
            </w:r>
          </w:p>
        </w:tc>
        <w:tc>
          <w:tcPr>
            <w:tcW w:w="1197" w:type="dxa"/>
            <w:shd w:val="clear" w:color="auto" w:fill="auto"/>
          </w:tcPr>
          <w:p w14:paraId="75D4754A" w14:textId="12F4F367"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37C0D2CE" w14:textId="77777777" w:rsidTr="002C0BEA">
        <w:trPr>
          <w:trHeight w:val="300"/>
        </w:trPr>
        <w:tc>
          <w:tcPr>
            <w:tcW w:w="2200" w:type="dxa"/>
            <w:shd w:val="clear" w:color="auto" w:fill="auto"/>
            <w:vAlign w:val="bottom"/>
          </w:tcPr>
          <w:p w14:paraId="0B6C9CC2" w14:textId="323567F7" w:rsidR="00E211E5" w:rsidRDefault="00E211E5" w:rsidP="00E211E5">
            <w:pPr>
              <w:spacing w:line="240" w:lineRule="auto"/>
              <w:rPr>
                <w:rFonts w:cs="Arial"/>
                <w:color w:val="000000"/>
              </w:rPr>
            </w:pPr>
            <w:r>
              <w:rPr>
                <w:rFonts w:ascii="Calibri" w:hAnsi="Calibri" w:cs="Calibri"/>
                <w:sz w:val="22"/>
                <w:szCs w:val="22"/>
              </w:rPr>
              <w:t>CS,DVO,MAG</w:t>
            </w:r>
          </w:p>
        </w:tc>
        <w:tc>
          <w:tcPr>
            <w:tcW w:w="1197" w:type="dxa"/>
            <w:shd w:val="clear" w:color="auto" w:fill="auto"/>
          </w:tcPr>
          <w:p w14:paraId="60C66FED" w14:textId="5A2A64CC"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45421862" w14:textId="77777777" w:rsidTr="002C0BEA">
        <w:trPr>
          <w:trHeight w:val="300"/>
        </w:trPr>
        <w:tc>
          <w:tcPr>
            <w:tcW w:w="2200" w:type="dxa"/>
            <w:shd w:val="clear" w:color="auto" w:fill="auto"/>
            <w:vAlign w:val="bottom"/>
          </w:tcPr>
          <w:p w14:paraId="2433043D" w14:textId="70928394" w:rsidR="00E211E5" w:rsidRPr="00FE5409" w:rsidRDefault="00E211E5" w:rsidP="00E211E5">
            <w:pPr>
              <w:spacing w:line="240" w:lineRule="auto"/>
              <w:rPr>
                <w:rFonts w:cs="Calibri"/>
                <w:color w:val="000000"/>
                <w:lang w:eastAsia="en-AU"/>
              </w:rPr>
            </w:pPr>
            <w:r>
              <w:rPr>
                <w:rFonts w:ascii="Calibri" w:hAnsi="Calibri" w:cs="Calibri"/>
                <w:sz w:val="22"/>
                <w:szCs w:val="22"/>
              </w:rPr>
              <w:t>CS,EQ</w:t>
            </w:r>
          </w:p>
        </w:tc>
        <w:tc>
          <w:tcPr>
            <w:tcW w:w="1197" w:type="dxa"/>
            <w:shd w:val="clear" w:color="auto" w:fill="auto"/>
          </w:tcPr>
          <w:p w14:paraId="5436615D" w14:textId="2769D0A9" w:rsidR="00E211E5" w:rsidRPr="00FE5409" w:rsidRDefault="00E211E5" w:rsidP="00E211E5">
            <w:pPr>
              <w:spacing w:line="240" w:lineRule="auto"/>
              <w:jc w:val="right"/>
              <w:rPr>
                <w:rFonts w:cs="Calibri"/>
                <w:color w:val="000000"/>
                <w:lang w:eastAsia="en-AU"/>
              </w:rPr>
            </w:pPr>
            <w:r>
              <w:rPr>
                <w:rFonts w:cs="Arial"/>
                <w:color w:val="000000"/>
              </w:rPr>
              <w:t>22</w:t>
            </w:r>
          </w:p>
        </w:tc>
      </w:tr>
      <w:tr w:rsidR="00E211E5" w:rsidRPr="00FE5409" w14:paraId="492A9CC8" w14:textId="77777777" w:rsidTr="002C0BEA">
        <w:trPr>
          <w:trHeight w:val="300"/>
        </w:trPr>
        <w:tc>
          <w:tcPr>
            <w:tcW w:w="2200" w:type="dxa"/>
            <w:shd w:val="clear" w:color="auto" w:fill="auto"/>
            <w:vAlign w:val="bottom"/>
          </w:tcPr>
          <w:p w14:paraId="13AE3B26" w14:textId="0FAAD0CC" w:rsidR="00E211E5" w:rsidRPr="00FE5409" w:rsidRDefault="00E211E5" w:rsidP="00E211E5">
            <w:pPr>
              <w:spacing w:line="240" w:lineRule="auto"/>
              <w:rPr>
                <w:rFonts w:cs="Calibri"/>
                <w:color w:val="000000"/>
                <w:lang w:eastAsia="en-AU"/>
              </w:rPr>
            </w:pPr>
            <w:r>
              <w:rPr>
                <w:rFonts w:ascii="Calibri" w:hAnsi="Calibri" w:cs="Calibri"/>
                <w:sz w:val="22"/>
                <w:szCs w:val="22"/>
              </w:rPr>
              <w:t>CS,EQ,HT</w:t>
            </w:r>
          </w:p>
        </w:tc>
        <w:tc>
          <w:tcPr>
            <w:tcW w:w="1197" w:type="dxa"/>
            <w:shd w:val="clear" w:color="auto" w:fill="auto"/>
          </w:tcPr>
          <w:p w14:paraId="1E1FE897" w14:textId="2176A21D"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5DD4E31E" w14:textId="77777777" w:rsidTr="002C0BEA">
        <w:trPr>
          <w:trHeight w:val="300"/>
        </w:trPr>
        <w:tc>
          <w:tcPr>
            <w:tcW w:w="2200" w:type="dxa"/>
            <w:shd w:val="clear" w:color="auto" w:fill="auto"/>
            <w:vAlign w:val="bottom"/>
          </w:tcPr>
          <w:p w14:paraId="4CAD65B0" w14:textId="40A07B55" w:rsidR="00E211E5" w:rsidRDefault="00E211E5" w:rsidP="00E211E5">
            <w:pPr>
              <w:spacing w:line="240" w:lineRule="auto"/>
              <w:rPr>
                <w:rFonts w:cs="Calibri"/>
                <w:color w:val="000000"/>
              </w:rPr>
            </w:pPr>
            <w:r>
              <w:rPr>
                <w:rFonts w:ascii="Calibri" w:hAnsi="Calibri" w:cs="Calibri"/>
                <w:sz w:val="22"/>
                <w:szCs w:val="22"/>
              </w:rPr>
              <w:t>CS,EQ,SEN</w:t>
            </w:r>
          </w:p>
        </w:tc>
        <w:tc>
          <w:tcPr>
            <w:tcW w:w="1197" w:type="dxa"/>
            <w:shd w:val="clear" w:color="auto" w:fill="auto"/>
          </w:tcPr>
          <w:p w14:paraId="3322EC6D" w14:textId="5F35E748" w:rsidR="00E211E5" w:rsidRDefault="00E211E5" w:rsidP="00E211E5">
            <w:pPr>
              <w:spacing w:line="240" w:lineRule="auto"/>
              <w:jc w:val="right"/>
              <w:rPr>
                <w:rFonts w:cs="Calibri"/>
                <w:color w:val="000000"/>
                <w:lang w:eastAsia="en-AU"/>
              </w:rPr>
            </w:pPr>
            <w:r>
              <w:rPr>
                <w:rFonts w:cs="Arial"/>
                <w:color w:val="000000"/>
              </w:rPr>
              <w:t>1</w:t>
            </w:r>
          </w:p>
        </w:tc>
      </w:tr>
      <w:tr w:rsidR="00E211E5" w:rsidRPr="00FE5409" w14:paraId="6FF59BF7" w14:textId="77777777" w:rsidTr="002C0BEA">
        <w:trPr>
          <w:trHeight w:val="300"/>
        </w:trPr>
        <w:tc>
          <w:tcPr>
            <w:tcW w:w="2200" w:type="dxa"/>
            <w:shd w:val="clear" w:color="auto" w:fill="auto"/>
            <w:vAlign w:val="bottom"/>
          </w:tcPr>
          <w:p w14:paraId="46C178A4" w14:textId="47A8ABA1" w:rsidR="00E211E5" w:rsidRDefault="00E211E5" w:rsidP="00E211E5">
            <w:pPr>
              <w:spacing w:line="240" w:lineRule="auto"/>
              <w:rPr>
                <w:rFonts w:cs="Calibri"/>
                <w:color w:val="000000"/>
                <w:lang w:eastAsia="en-AU"/>
              </w:rPr>
            </w:pPr>
            <w:r>
              <w:rPr>
                <w:rFonts w:ascii="Calibri" w:hAnsi="Calibri" w:cs="Calibri"/>
                <w:sz w:val="22"/>
                <w:szCs w:val="22"/>
              </w:rPr>
              <w:t>CS,SEN</w:t>
            </w:r>
          </w:p>
        </w:tc>
        <w:tc>
          <w:tcPr>
            <w:tcW w:w="1197" w:type="dxa"/>
            <w:shd w:val="clear" w:color="auto" w:fill="auto"/>
          </w:tcPr>
          <w:p w14:paraId="073DFBE8" w14:textId="31F6B090" w:rsidR="00E211E5" w:rsidRDefault="00E211E5" w:rsidP="00E211E5">
            <w:pPr>
              <w:spacing w:line="240" w:lineRule="auto"/>
              <w:jc w:val="right"/>
              <w:rPr>
                <w:rFonts w:cs="Calibri"/>
                <w:color w:val="000000"/>
                <w:lang w:eastAsia="en-AU"/>
              </w:rPr>
            </w:pPr>
            <w:r>
              <w:rPr>
                <w:rFonts w:cs="Arial"/>
                <w:color w:val="000000"/>
              </w:rPr>
              <w:t>1</w:t>
            </w:r>
          </w:p>
        </w:tc>
      </w:tr>
      <w:tr w:rsidR="00E211E5" w:rsidRPr="00FE5409" w14:paraId="1F7BFD3E" w14:textId="77777777" w:rsidTr="002C0BEA">
        <w:trPr>
          <w:trHeight w:val="300"/>
        </w:trPr>
        <w:tc>
          <w:tcPr>
            <w:tcW w:w="2200" w:type="dxa"/>
            <w:shd w:val="clear" w:color="auto" w:fill="auto"/>
            <w:vAlign w:val="bottom"/>
          </w:tcPr>
          <w:p w14:paraId="7F0F7750" w14:textId="398D3D2E" w:rsidR="00E211E5" w:rsidRPr="00FE5409" w:rsidRDefault="00E211E5" w:rsidP="00E211E5">
            <w:pPr>
              <w:spacing w:line="240" w:lineRule="auto"/>
              <w:rPr>
                <w:rFonts w:cs="Calibri"/>
                <w:color w:val="000000"/>
                <w:lang w:eastAsia="en-AU"/>
              </w:rPr>
            </w:pPr>
            <w:r>
              <w:rPr>
                <w:rFonts w:ascii="Calibri" w:hAnsi="Calibri" w:cs="Calibri"/>
                <w:sz w:val="22"/>
                <w:szCs w:val="22"/>
              </w:rPr>
              <w:t>DIS,DVB,EQ</w:t>
            </w:r>
          </w:p>
        </w:tc>
        <w:tc>
          <w:tcPr>
            <w:tcW w:w="1197" w:type="dxa"/>
            <w:shd w:val="clear" w:color="auto" w:fill="auto"/>
          </w:tcPr>
          <w:p w14:paraId="0F6136B2" w14:textId="5FE0645E"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7473681C" w14:textId="77777777" w:rsidTr="002C0BEA">
        <w:trPr>
          <w:trHeight w:val="300"/>
        </w:trPr>
        <w:tc>
          <w:tcPr>
            <w:tcW w:w="2200" w:type="dxa"/>
            <w:shd w:val="clear" w:color="auto" w:fill="auto"/>
            <w:vAlign w:val="bottom"/>
          </w:tcPr>
          <w:p w14:paraId="1EC80D89" w14:textId="7239D57A" w:rsidR="00E211E5" w:rsidRPr="00FE5409" w:rsidRDefault="00E211E5" w:rsidP="00E211E5">
            <w:pPr>
              <w:spacing w:line="240" w:lineRule="auto"/>
              <w:rPr>
                <w:rFonts w:cs="Calibri"/>
                <w:color w:val="000000"/>
                <w:lang w:eastAsia="en-AU"/>
              </w:rPr>
            </w:pPr>
            <w:r>
              <w:rPr>
                <w:rFonts w:ascii="Calibri" w:hAnsi="Calibri" w:cs="Calibri"/>
                <w:sz w:val="22"/>
                <w:szCs w:val="22"/>
              </w:rPr>
              <w:t>DIS,DVO</w:t>
            </w:r>
          </w:p>
        </w:tc>
        <w:tc>
          <w:tcPr>
            <w:tcW w:w="1197" w:type="dxa"/>
            <w:shd w:val="clear" w:color="auto" w:fill="auto"/>
          </w:tcPr>
          <w:p w14:paraId="7BBBF358" w14:textId="3E77651B"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0ACB3A1E" w14:textId="77777777" w:rsidTr="002C0BEA">
        <w:trPr>
          <w:trHeight w:val="300"/>
        </w:trPr>
        <w:tc>
          <w:tcPr>
            <w:tcW w:w="2200" w:type="dxa"/>
            <w:shd w:val="clear" w:color="auto" w:fill="auto"/>
            <w:vAlign w:val="bottom"/>
          </w:tcPr>
          <w:p w14:paraId="067DD967" w14:textId="50FE102F" w:rsidR="00E211E5" w:rsidRPr="00FE5409" w:rsidRDefault="00E211E5" w:rsidP="00E211E5">
            <w:pPr>
              <w:spacing w:line="240" w:lineRule="auto"/>
              <w:rPr>
                <w:rFonts w:cs="Calibri"/>
                <w:color w:val="000000"/>
                <w:lang w:eastAsia="en-AU"/>
              </w:rPr>
            </w:pPr>
            <w:r>
              <w:rPr>
                <w:rFonts w:ascii="Calibri" w:hAnsi="Calibri" w:cs="Calibri"/>
                <w:sz w:val="22"/>
                <w:szCs w:val="22"/>
              </w:rPr>
              <w:t>DVB,DVO</w:t>
            </w:r>
          </w:p>
        </w:tc>
        <w:tc>
          <w:tcPr>
            <w:tcW w:w="1197" w:type="dxa"/>
            <w:shd w:val="clear" w:color="auto" w:fill="auto"/>
          </w:tcPr>
          <w:p w14:paraId="2509FA12" w14:textId="056E996D" w:rsidR="00E211E5" w:rsidRPr="00FE5409" w:rsidRDefault="00E211E5" w:rsidP="00E211E5">
            <w:pPr>
              <w:spacing w:line="240" w:lineRule="auto"/>
              <w:jc w:val="right"/>
              <w:rPr>
                <w:rFonts w:cs="Calibri"/>
                <w:color w:val="000000"/>
                <w:lang w:eastAsia="en-AU"/>
              </w:rPr>
            </w:pPr>
            <w:r>
              <w:rPr>
                <w:rFonts w:cs="Arial"/>
                <w:color w:val="000000"/>
              </w:rPr>
              <w:t>2</w:t>
            </w:r>
          </w:p>
        </w:tc>
      </w:tr>
      <w:tr w:rsidR="00E211E5" w:rsidRPr="00FE5409" w14:paraId="1787C4F7" w14:textId="77777777" w:rsidTr="002C0BEA">
        <w:trPr>
          <w:trHeight w:val="300"/>
        </w:trPr>
        <w:tc>
          <w:tcPr>
            <w:tcW w:w="2200" w:type="dxa"/>
            <w:shd w:val="clear" w:color="auto" w:fill="auto"/>
            <w:vAlign w:val="bottom"/>
          </w:tcPr>
          <w:p w14:paraId="4FDE344B" w14:textId="430D2E62" w:rsidR="00E211E5" w:rsidRPr="00FE5409" w:rsidRDefault="00E211E5" w:rsidP="00E211E5">
            <w:pPr>
              <w:spacing w:line="240" w:lineRule="auto"/>
              <w:rPr>
                <w:rFonts w:cs="Calibri"/>
                <w:color w:val="000000"/>
                <w:lang w:eastAsia="en-AU"/>
              </w:rPr>
            </w:pPr>
            <w:r>
              <w:rPr>
                <w:rFonts w:ascii="Calibri" w:hAnsi="Calibri" w:cs="Calibri"/>
                <w:sz w:val="22"/>
                <w:szCs w:val="22"/>
              </w:rPr>
              <w:t>DVB,DVO,EQ</w:t>
            </w:r>
          </w:p>
        </w:tc>
        <w:tc>
          <w:tcPr>
            <w:tcW w:w="1197" w:type="dxa"/>
            <w:shd w:val="clear" w:color="auto" w:fill="auto"/>
          </w:tcPr>
          <w:p w14:paraId="1A891217" w14:textId="7F008B30"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18BBD4F7" w14:textId="77777777" w:rsidTr="002C0BEA">
        <w:trPr>
          <w:trHeight w:val="300"/>
        </w:trPr>
        <w:tc>
          <w:tcPr>
            <w:tcW w:w="2200" w:type="dxa"/>
            <w:shd w:val="clear" w:color="auto" w:fill="auto"/>
            <w:vAlign w:val="bottom"/>
          </w:tcPr>
          <w:p w14:paraId="39E361CB" w14:textId="30D1397E" w:rsidR="00E211E5" w:rsidRPr="00FE5409" w:rsidRDefault="00E211E5" w:rsidP="00E211E5">
            <w:pPr>
              <w:spacing w:line="240" w:lineRule="auto"/>
              <w:rPr>
                <w:rFonts w:cs="Calibri"/>
                <w:color w:val="000000"/>
                <w:lang w:eastAsia="en-AU"/>
              </w:rPr>
            </w:pPr>
            <w:r>
              <w:rPr>
                <w:rFonts w:ascii="Calibri" w:hAnsi="Calibri" w:cs="Calibri"/>
                <w:sz w:val="22"/>
                <w:szCs w:val="22"/>
              </w:rPr>
              <w:t>DVB,DVO,EQ,MAG</w:t>
            </w:r>
          </w:p>
        </w:tc>
        <w:tc>
          <w:tcPr>
            <w:tcW w:w="1197" w:type="dxa"/>
            <w:shd w:val="clear" w:color="auto" w:fill="auto"/>
          </w:tcPr>
          <w:p w14:paraId="632B8C8C" w14:textId="52E8B12A" w:rsidR="00E211E5" w:rsidRDefault="00E211E5" w:rsidP="00E211E5">
            <w:pPr>
              <w:spacing w:line="240" w:lineRule="auto"/>
              <w:jc w:val="right"/>
              <w:rPr>
                <w:rFonts w:cs="Calibri"/>
                <w:color w:val="000000"/>
                <w:lang w:eastAsia="en-AU"/>
              </w:rPr>
            </w:pPr>
            <w:r>
              <w:rPr>
                <w:rFonts w:cs="Arial"/>
                <w:color w:val="000000"/>
              </w:rPr>
              <w:t>1</w:t>
            </w:r>
          </w:p>
        </w:tc>
      </w:tr>
      <w:tr w:rsidR="00E211E5" w:rsidRPr="00FE5409" w14:paraId="3740FA89" w14:textId="77777777" w:rsidTr="002C0BEA">
        <w:trPr>
          <w:trHeight w:val="300"/>
        </w:trPr>
        <w:tc>
          <w:tcPr>
            <w:tcW w:w="2200" w:type="dxa"/>
            <w:shd w:val="clear" w:color="auto" w:fill="auto"/>
            <w:vAlign w:val="bottom"/>
          </w:tcPr>
          <w:p w14:paraId="51D24033" w14:textId="3F53AA7F" w:rsidR="00E211E5" w:rsidRDefault="00E211E5" w:rsidP="00E211E5">
            <w:pPr>
              <w:spacing w:line="240" w:lineRule="auto"/>
              <w:rPr>
                <w:rFonts w:cs="Calibri"/>
                <w:color w:val="000000"/>
                <w:lang w:eastAsia="en-AU"/>
              </w:rPr>
            </w:pPr>
            <w:r>
              <w:rPr>
                <w:rFonts w:ascii="Calibri" w:hAnsi="Calibri" w:cs="Calibri"/>
                <w:sz w:val="22"/>
                <w:szCs w:val="22"/>
              </w:rPr>
              <w:t>DVB,DVO,MAG</w:t>
            </w:r>
          </w:p>
        </w:tc>
        <w:tc>
          <w:tcPr>
            <w:tcW w:w="1197" w:type="dxa"/>
            <w:shd w:val="clear" w:color="auto" w:fill="auto"/>
          </w:tcPr>
          <w:p w14:paraId="09F5D6E0" w14:textId="43E1747F"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1CA3553C" w14:textId="77777777" w:rsidTr="002C0BEA">
        <w:trPr>
          <w:trHeight w:val="300"/>
        </w:trPr>
        <w:tc>
          <w:tcPr>
            <w:tcW w:w="2200" w:type="dxa"/>
            <w:shd w:val="clear" w:color="auto" w:fill="auto"/>
            <w:vAlign w:val="bottom"/>
          </w:tcPr>
          <w:p w14:paraId="2F839C82" w14:textId="7A443FE9" w:rsidR="00E211E5" w:rsidRDefault="00E211E5" w:rsidP="00E211E5">
            <w:pPr>
              <w:spacing w:line="240" w:lineRule="auto"/>
              <w:rPr>
                <w:rFonts w:cs="Calibri"/>
                <w:color w:val="000000"/>
                <w:lang w:eastAsia="en-AU"/>
              </w:rPr>
            </w:pPr>
            <w:r>
              <w:rPr>
                <w:rFonts w:ascii="Calibri" w:hAnsi="Calibri" w:cs="Calibri"/>
                <w:sz w:val="22"/>
                <w:szCs w:val="22"/>
              </w:rPr>
              <w:t>DVB,EQ</w:t>
            </w:r>
          </w:p>
        </w:tc>
        <w:tc>
          <w:tcPr>
            <w:tcW w:w="1197" w:type="dxa"/>
            <w:shd w:val="clear" w:color="auto" w:fill="auto"/>
          </w:tcPr>
          <w:p w14:paraId="6717F1C7" w14:textId="3B3EF69E" w:rsidR="00E211E5" w:rsidRPr="00FE5409" w:rsidRDefault="00E211E5" w:rsidP="00E211E5">
            <w:pPr>
              <w:spacing w:line="240" w:lineRule="auto"/>
              <w:jc w:val="right"/>
              <w:rPr>
                <w:rFonts w:cs="Calibri"/>
                <w:color w:val="000000"/>
                <w:lang w:eastAsia="en-AU"/>
              </w:rPr>
            </w:pPr>
            <w:r>
              <w:rPr>
                <w:rFonts w:cs="Arial"/>
                <w:color w:val="000000"/>
              </w:rPr>
              <w:t>2</w:t>
            </w:r>
          </w:p>
        </w:tc>
      </w:tr>
      <w:tr w:rsidR="00E211E5" w:rsidRPr="00FE5409" w14:paraId="3579CCAD" w14:textId="77777777" w:rsidTr="002C0BEA">
        <w:trPr>
          <w:trHeight w:val="300"/>
        </w:trPr>
        <w:tc>
          <w:tcPr>
            <w:tcW w:w="2200" w:type="dxa"/>
            <w:shd w:val="clear" w:color="auto" w:fill="auto"/>
            <w:vAlign w:val="bottom"/>
          </w:tcPr>
          <w:p w14:paraId="31A173C4" w14:textId="78C64DE4" w:rsidR="00E211E5" w:rsidRDefault="00E211E5" w:rsidP="00E211E5">
            <w:pPr>
              <w:spacing w:line="240" w:lineRule="auto"/>
              <w:rPr>
                <w:rFonts w:ascii="Calibri" w:hAnsi="Calibri" w:cs="Calibri"/>
                <w:sz w:val="22"/>
                <w:szCs w:val="22"/>
              </w:rPr>
            </w:pPr>
            <w:r>
              <w:rPr>
                <w:rFonts w:ascii="Calibri" w:hAnsi="Calibri" w:cs="Calibri"/>
                <w:sz w:val="22"/>
                <w:szCs w:val="22"/>
              </w:rPr>
              <w:t>DVB,MAG</w:t>
            </w:r>
          </w:p>
        </w:tc>
        <w:tc>
          <w:tcPr>
            <w:tcW w:w="1197" w:type="dxa"/>
            <w:shd w:val="clear" w:color="auto" w:fill="auto"/>
          </w:tcPr>
          <w:p w14:paraId="19E3066A" w14:textId="7987D400" w:rsidR="00E211E5" w:rsidRPr="00FE5409" w:rsidRDefault="00E211E5" w:rsidP="00E211E5">
            <w:pPr>
              <w:spacing w:line="240" w:lineRule="auto"/>
              <w:jc w:val="right"/>
              <w:rPr>
                <w:rFonts w:cs="Calibri"/>
                <w:color w:val="000000"/>
                <w:lang w:eastAsia="en-AU"/>
              </w:rPr>
            </w:pPr>
            <w:r>
              <w:rPr>
                <w:rFonts w:cs="Arial"/>
                <w:color w:val="000000"/>
              </w:rPr>
              <w:t>3</w:t>
            </w:r>
          </w:p>
        </w:tc>
      </w:tr>
      <w:tr w:rsidR="00E211E5" w:rsidRPr="00FE5409" w14:paraId="1909BAFB" w14:textId="77777777" w:rsidTr="002C0BEA">
        <w:trPr>
          <w:trHeight w:val="300"/>
        </w:trPr>
        <w:tc>
          <w:tcPr>
            <w:tcW w:w="2200" w:type="dxa"/>
            <w:shd w:val="clear" w:color="auto" w:fill="auto"/>
            <w:vAlign w:val="bottom"/>
          </w:tcPr>
          <w:p w14:paraId="7C712BC4" w14:textId="2A742957" w:rsidR="00E211E5" w:rsidRDefault="00E211E5" w:rsidP="00E211E5">
            <w:pPr>
              <w:spacing w:line="240" w:lineRule="auto"/>
              <w:rPr>
                <w:rFonts w:ascii="Calibri" w:hAnsi="Calibri" w:cs="Calibri"/>
                <w:sz w:val="22"/>
                <w:szCs w:val="22"/>
              </w:rPr>
            </w:pPr>
            <w:r>
              <w:rPr>
                <w:rFonts w:ascii="Calibri" w:hAnsi="Calibri" w:cs="Calibri"/>
                <w:sz w:val="22"/>
                <w:szCs w:val="22"/>
              </w:rPr>
              <w:t>DVO,EQ</w:t>
            </w:r>
          </w:p>
        </w:tc>
        <w:tc>
          <w:tcPr>
            <w:tcW w:w="1197" w:type="dxa"/>
            <w:shd w:val="clear" w:color="auto" w:fill="auto"/>
          </w:tcPr>
          <w:p w14:paraId="1CA8F69E" w14:textId="6ADD0493" w:rsidR="00E211E5" w:rsidRPr="00FE5409" w:rsidRDefault="00E211E5" w:rsidP="00E211E5">
            <w:pPr>
              <w:spacing w:line="240" w:lineRule="auto"/>
              <w:jc w:val="right"/>
              <w:rPr>
                <w:rFonts w:cs="Calibri"/>
                <w:color w:val="000000"/>
                <w:lang w:eastAsia="en-AU"/>
              </w:rPr>
            </w:pPr>
            <w:r>
              <w:rPr>
                <w:rFonts w:cs="Arial"/>
                <w:color w:val="000000"/>
              </w:rPr>
              <w:t>2</w:t>
            </w:r>
          </w:p>
        </w:tc>
      </w:tr>
      <w:tr w:rsidR="00E211E5" w:rsidRPr="00FE5409" w14:paraId="6DA7AF00" w14:textId="77777777" w:rsidTr="002C0BEA">
        <w:trPr>
          <w:trHeight w:val="300"/>
        </w:trPr>
        <w:tc>
          <w:tcPr>
            <w:tcW w:w="2200" w:type="dxa"/>
            <w:shd w:val="clear" w:color="auto" w:fill="auto"/>
            <w:vAlign w:val="bottom"/>
          </w:tcPr>
          <w:p w14:paraId="4BC6F598" w14:textId="77354BAA" w:rsidR="00E211E5" w:rsidRDefault="00E211E5" w:rsidP="00E211E5">
            <w:pPr>
              <w:spacing w:line="240" w:lineRule="auto"/>
              <w:rPr>
                <w:rFonts w:ascii="Calibri" w:hAnsi="Calibri" w:cs="Calibri"/>
                <w:sz w:val="22"/>
                <w:szCs w:val="22"/>
              </w:rPr>
            </w:pPr>
            <w:r>
              <w:rPr>
                <w:rFonts w:ascii="Calibri" w:hAnsi="Calibri" w:cs="Calibri"/>
                <w:sz w:val="22"/>
                <w:szCs w:val="22"/>
              </w:rPr>
              <w:t>DVO,EQ,HT</w:t>
            </w:r>
          </w:p>
        </w:tc>
        <w:tc>
          <w:tcPr>
            <w:tcW w:w="1197" w:type="dxa"/>
            <w:shd w:val="clear" w:color="auto" w:fill="auto"/>
          </w:tcPr>
          <w:p w14:paraId="2AC89FD0" w14:textId="3C056FEB"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1B08933F" w14:textId="77777777" w:rsidTr="002C0BEA">
        <w:trPr>
          <w:trHeight w:val="300"/>
        </w:trPr>
        <w:tc>
          <w:tcPr>
            <w:tcW w:w="2200" w:type="dxa"/>
            <w:shd w:val="clear" w:color="auto" w:fill="auto"/>
            <w:vAlign w:val="bottom"/>
          </w:tcPr>
          <w:p w14:paraId="179CAB6F" w14:textId="12C8F905" w:rsidR="00E211E5" w:rsidRDefault="00E211E5" w:rsidP="00E211E5">
            <w:pPr>
              <w:spacing w:line="240" w:lineRule="auto"/>
              <w:rPr>
                <w:rFonts w:ascii="Calibri" w:hAnsi="Calibri" w:cs="Calibri"/>
                <w:sz w:val="22"/>
                <w:szCs w:val="22"/>
              </w:rPr>
            </w:pPr>
            <w:r>
              <w:rPr>
                <w:rFonts w:ascii="Calibri" w:hAnsi="Calibri" w:cs="Calibri"/>
                <w:sz w:val="22"/>
                <w:szCs w:val="22"/>
              </w:rPr>
              <w:t>DVO,EQ,MAG</w:t>
            </w:r>
          </w:p>
        </w:tc>
        <w:tc>
          <w:tcPr>
            <w:tcW w:w="1197" w:type="dxa"/>
            <w:shd w:val="clear" w:color="auto" w:fill="auto"/>
          </w:tcPr>
          <w:p w14:paraId="70698462" w14:textId="37A34F3B" w:rsidR="00E211E5" w:rsidRPr="00FE5409" w:rsidRDefault="00E211E5" w:rsidP="00E211E5">
            <w:pPr>
              <w:spacing w:line="240" w:lineRule="auto"/>
              <w:jc w:val="right"/>
              <w:rPr>
                <w:rFonts w:cs="Calibri"/>
                <w:color w:val="000000"/>
                <w:lang w:eastAsia="en-AU"/>
              </w:rPr>
            </w:pPr>
            <w:r>
              <w:rPr>
                <w:rFonts w:cs="Arial"/>
                <w:color w:val="000000"/>
              </w:rPr>
              <w:t>2</w:t>
            </w:r>
          </w:p>
        </w:tc>
      </w:tr>
      <w:tr w:rsidR="00E211E5" w:rsidRPr="00FE5409" w14:paraId="3E0A1A22" w14:textId="77777777" w:rsidTr="002C0BEA">
        <w:trPr>
          <w:trHeight w:val="300"/>
        </w:trPr>
        <w:tc>
          <w:tcPr>
            <w:tcW w:w="2200" w:type="dxa"/>
            <w:shd w:val="clear" w:color="auto" w:fill="auto"/>
            <w:vAlign w:val="bottom"/>
          </w:tcPr>
          <w:p w14:paraId="4D9FAE7A" w14:textId="54377C38" w:rsidR="00E211E5" w:rsidRDefault="00E211E5" w:rsidP="00E211E5">
            <w:pPr>
              <w:spacing w:line="240" w:lineRule="auto"/>
              <w:rPr>
                <w:rFonts w:ascii="Calibri" w:hAnsi="Calibri" w:cs="Calibri"/>
                <w:sz w:val="22"/>
                <w:szCs w:val="22"/>
              </w:rPr>
            </w:pPr>
            <w:r>
              <w:rPr>
                <w:rFonts w:ascii="Calibri" w:hAnsi="Calibri" w:cs="Calibri"/>
                <w:sz w:val="22"/>
                <w:szCs w:val="22"/>
              </w:rPr>
              <w:t>DVO,MAG</w:t>
            </w:r>
          </w:p>
        </w:tc>
        <w:tc>
          <w:tcPr>
            <w:tcW w:w="1197" w:type="dxa"/>
            <w:shd w:val="clear" w:color="auto" w:fill="auto"/>
          </w:tcPr>
          <w:p w14:paraId="01F56401" w14:textId="0F236181" w:rsidR="00E211E5" w:rsidRPr="00FE5409" w:rsidRDefault="00E211E5" w:rsidP="00E211E5">
            <w:pPr>
              <w:spacing w:line="240" w:lineRule="auto"/>
              <w:jc w:val="right"/>
              <w:rPr>
                <w:rFonts w:cs="Calibri"/>
                <w:color w:val="000000"/>
                <w:lang w:eastAsia="en-AU"/>
              </w:rPr>
            </w:pPr>
            <w:r>
              <w:rPr>
                <w:rFonts w:cs="Arial"/>
                <w:color w:val="000000"/>
              </w:rPr>
              <w:t>8</w:t>
            </w:r>
          </w:p>
        </w:tc>
      </w:tr>
      <w:tr w:rsidR="00E211E5" w:rsidRPr="00FE5409" w14:paraId="2551EF5F" w14:textId="77777777" w:rsidTr="002C0BEA">
        <w:trPr>
          <w:trHeight w:val="300"/>
        </w:trPr>
        <w:tc>
          <w:tcPr>
            <w:tcW w:w="2200" w:type="dxa"/>
            <w:shd w:val="clear" w:color="auto" w:fill="auto"/>
            <w:vAlign w:val="bottom"/>
          </w:tcPr>
          <w:p w14:paraId="184C895A" w14:textId="355D84C1" w:rsidR="00E211E5" w:rsidRDefault="00E211E5" w:rsidP="00E211E5">
            <w:pPr>
              <w:spacing w:line="240" w:lineRule="auto"/>
              <w:rPr>
                <w:rFonts w:ascii="Calibri" w:hAnsi="Calibri" w:cs="Calibri"/>
                <w:sz w:val="22"/>
                <w:szCs w:val="22"/>
              </w:rPr>
            </w:pPr>
            <w:r>
              <w:rPr>
                <w:rFonts w:ascii="Calibri" w:hAnsi="Calibri" w:cs="Calibri"/>
                <w:sz w:val="22"/>
                <w:szCs w:val="22"/>
              </w:rPr>
              <w:t>EQ,HT</w:t>
            </w:r>
          </w:p>
        </w:tc>
        <w:tc>
          <w:tcPr>
            <w:tcW w:w="1197" w:type="dxa"/>
            <w:shd w:val="clear" w:color="auto" w:fill="auto"/>
          </w:tcPr>
          <w:p w14:paraId="4B3E04FB" w14:textId="5B6047E3" w:rsidR="00E211E5" w:rsidRPr="00FE5409" w:rsidRDefault="00E211E5" w:rsidP="00E211E5">
            <w:pPr>
              <w:spacing w:line="240" w:lineRule="auto"/>
              <w:jc w:val="right"/>
              <w:rPr>
                <w:rFonts w:cs="Calibri"/>
                <w:color w:val="000000"/>
                <w:lang w:eastAsia="en-AU"/>
              </w:rPr>
            </w:pPr>
            <w:r>
              <w:rPr>
                <w:rFonts w:cs="Arial"/>
                <w:color w:val="000000"/>
              </w:rPr>
              <w:t>4</w:t>
            </w:r>
          </w:p>
        </w:tc>
      </w:tr>
      <w:tr w:rsidR="00E211E5" w:rsidRPr="00FE5409" w14:paraId="123BBED1" w14:textId="77777777" w:rsidTr="002C0BEA">
        <w:trPr>
          <w:trHeight w:val="300"/>
        </w:trPr>
        <w:tc>
          <w:tcPr>
            <w:tcW w:w="2200" w:type="dxa"/>
            <w:shd w:val="clear" w:color="auto" w:fill="auto"/>
            <w:vAlign w:val="bottom"/>
          </w:tcPr>
          <w:p w14:paraId="11921F6D" w14:textId="16073F26" w:rsidR="00E211E5" w:rsidRDefault="00E211E5" w:rsidP="00E211E5">
            <w:pPr>
              <w:spacing w:line="240" w:lineRule="auto"/>
              <w:rPr>
                <w:rFonts w:ascii="Calibri" w:hAnsi="Calibri" w:cs="Calibri"/>
                <w:sz w:val="22"/>
                <w:szCs w:val="22"/>
              </w:rPr>
            </w:pPr>
            <w:r>
              <w:rPr>
                <w:rFonts w:ascii="Calibri" w:hAnsi="Calibri" w:cs="Calibri"/>
                <w:sz w:val="22"/>
                <w:szCs w:val="22"/>
              </w:rPr>
              <w:t>EQ,HT,MAG</w:t>
            </w:r>
          </w:p>
        </w:tc>
        <w:tc>
          <w:tcPr>
            <w:tcW w:w="1197" w:type="dxa"/>
            <w:shd w:val="clear" w:color="auto" w:fill="auto"/>
          </w:tcPr>
          <w:p w14:paraId="2DCC5092" w14:textId="17B2A7E2" w:rsidR="00E211E5" w:rsidRPr="00FE5409" w:rsidRDefault="00E211E5" w:rsidP="00E211E5">
            <w:pPr>
              <w:spacing w:line="240" w:lineRule="auto"/>
              <w:jc w:val="right"/>
              <w:rPr>
                <w:rFonts w:cs="Calibri"/>
                <w:color w:val="000000"/>
                <w:lang w:eastAsia="en-AU"/>
              </w:rPr>
            </w:pPr>
            <w:r>
              <w:rPr>
                <w:rFonts w:cs="Arial"/>
                <w:color w:val="000000"/>
              </w:rPr>
              <w:t>1</w:t>
            </w:r>
          </w:p>
        </w:tc>
      </w:tr>
      <w:tr w:rsidR="00E211E5" w:rsidRPr="00FE5409" w14:paraId="7A0F218D" w14:textId="77777777" w:rsidTr="002C0BEA">
        <w:trPr>
          <w:trHeight w:val="300"/>
        </w:trPr>
        <w:tc>
          <w:tcPr>
            <w:tcW w:w="2200" w:type="dxa"/>
            <w:shd w:val="clear" w:color="auto" w:fill="auto"/>
            <w:vAlign w:val="bottom"/>
          </w:tcPr>
          <w:p w14:paraId="65B32BC5" w14:textId="5264FEEA" w:rsidR="00E211E5" w:rsidRDefault="00E211E5" w:rsidP="00E211E5">
            <w:pPr>
              <w:spacing w:line="240" w:lineRule="auto"/>
              <w:rPr>
                <w:rFonts w:ascii="Calibri" w:hAnsi="Calibri" w:cs="Calibri"/>
                <w:sz w:val="22"/>
                <w:szCs w:val="22"/>
              </w:rPr>
            </w:pPr>
            <w:r>
              <w:rPr>
                <w:rFonts w:ascii="Calibri" w:hAnsi="Calibri" w:cs="Calibri"/>
                <w:sz w:val="22"/>
                <w:szCs w:val="22"/>
              </w:rPr>
              <w:t>EQ,MAG</w:t>
            </w:r>
          </w:p>
        </w:tc>
        <w:tc>
          <w:tcPr>
            <w:tcW w:w="1197" w:type="dxa"/>
            <w:shd w:val="clear" w:color="auto" w:fill="auto"/>
          </w:tcPr>
          <w:p w14:paraId="25A3054D" w14:textId="3BDF4977" w:rsidR="00E211E5" w:rsidRPr="00FE5409" w:rsidRDefault="00E211E5" w:rsidP="00E211E5">
            <w:pPr>
              <w:spacing w:line="240" w:lineRule="auto"/>
              <w:jc w:val="right"/>
              <w:rPr>
                <w:rFonts w:cs="Calibri"/>
                <w:color w:val="000000"/>
                <w:lang w:eastAsia="en-AU"/>
              </w:rPr>
            </w:pPr>
            <w:r>
              <w:rPr>
                <w:rFonts w:cs="Arial"/>
                <w:color w:val="000000"/>
              </w:rPr>
              <w:t>12</w:t>
            </w:r>
          </w:p>
        </w:tc>
      </w:tr>
      <w:tr w:rsidR="00E211E5" w:rsidRPr="00FE5409" w14:paraId="2581360F" w14:textId="77777777" w:rsidTr="002C0BEA">
        <w:trPr>
          <w:trHeight w:val="300"/>
        </w:trPr>
        <w:tc>
          <w:tcPr>
            <w:tcW w:w="2200" w:type="dxa"/>
            <w:shd w:val="clear" w:color="auto" w:fill="auto"/>
            <w:vAlign w:val="bottom"/>
          </w:tcPr>
          <w:p w14:paraId="7DAFC674" w14:textId="5A98CCB6" w:rsidR="00E211E5" w:rsidRDefault="00E211E5" w:rsidP="00E211E5">
            <w:pPr>
              <w:spacing w:line="240" w:lineRule="auto"/>
              <w:rPr>
                <w:rFonts w:ascii="Calibri" w:hAnsi="Calibri" w:cs="Calibri"/>
                <w:sz w:val="22"/>
                <w:szCs w:val="22"/>
              </w:rPr>
            </w:pPr>
            <w:r>
              <w:rPr>
                <w:rFonts w:ascii="Calibri" w:hAnsi="Calibri" w:cs="Calibri"/>
                <w:sz w:val="22"/>
                <w:szCs w:val="22"/>
              </w:rPr>
              <w:t>EQ,SEN</w:t>
            </w:r>
          </w:p>
        </w:tc>
        <w:tc>
          <w:tcPr>
            <w:tcW w:w="1197" w:type="dxa"/>
            <w:shd w:val="clear" w:color="auto" w:fill="auto"/>
          </w:tcPr>
          <w:p w14:paraId="5B5D4DDE" w14:textId="00123533" w:rsidR="00E211E5" w:rsidRPr="00FE5409" w:rsidRDefault="00E211E5" w:rsidP="00E211E5">
            <w:pPr>
              <w:spacing w:line="240" w:lineRule="auto"/>
              <w:jc w:val="right"/>
              <w:rPr>
                <w:rFonts w:cs="Calibri"/>
                <w:color w:val="000000"/>
                <w:lang w:eastAsia="en-AU"/>
              </w:rPr>
            </w:pPr>
            <w:r>
              <w:rPr>
                <w:rFonts w:cs="Arial"/>
                <w:color w:val="000000"/>
              </w:rPr>
              <w:t>7</w:t>
            </w:r>
          </w:p>
        </w:tc>
      </w:tr>
      <w:tr w:rsidR="00E211E5" w:rsidRPr="00FE5409" w14:paraId="4AA1C673" w14:textId="77777777" w:rsidTr="002C0BEA">
        <w:trPr>
          <w:trHeight w:val="300"/>
        </w:trPr>
        <w:tc>
          <w:tcPr>
            <w:tcW w:w="2200" w:type="dxa"/>
            <w:shd w:val="clear" w:color="auto" w:fill="auto"/>
            <w:vAlign w:val="bottom"/>
          </w:tcPr>
          <w:p w14:paraId="59F3470B" w14:textId="12C7AE1C" w:rsidR="00E211E5" w:rsidRDefault="00E211E5" w:rsidP="00E211E5">
            <w:pPr>
              <w:spacing w:line="240" w:lineRule="auto"/>
              <w:rPr>
                <w:rFonts w:ascii="Calibri" w:hAnsi="Calibri" w:cs="Calibri"/>
                <w:sz w:val="22"/>
                <w:szCs w:val="22"/>
              </w:rPr>
            </w:pPr>
            <w:r>
              <w:rPr>
                <w:rFonts w:ascii="Calibri" w:hAnsi="Calibri" w:cs="Calibri"/>
                <w:sz w:val="22"/>
                <w:szCs w:val="22"/>
              </w:rPr>
              <w:t>HT,MAG</w:t>
            </w:r>
          </w:p>
        </w:tc>
        <w:tc>
          <w:tcPr>
            <w:tcW w:w="1197" w:type="dxa"/>
            <w:shd w:val="clear" w:color="auto" w:fill="auto"/>
          </w:tcPr>
          <w:p w14:paraId="64F94A3C" w14:textId="558F8645" w:rsidR="00E211E5" w:rsidRPr="00FE5409" w:rsidRDefault="00E211E5" w:rsidP="00E211E5">
            <w:pPr>
              <w:spacing w:line="240" w:lineRule="auto"/>
              <w:jc w:val="right"/>
              <w:rPr>
                <w:rFonts w:cs="Calibri"/>
                <w:color w:val="000000"/>
                <w:lang w:eastAsia="en-AU"/>
              </w:rPr>
            </w:pPr>
            <w:r>
              <w:rPr>
                <w:rFonts w:cs="Arial"/>
                <w:color w:val="000000"/>
              </w:rPr>
              <w:t>1</w:t>
            </w:r>
          </w:p>
        </w:tc>
      </w:tr>
      <w:tr w:rsidR="00277E4B" w:rsidRPr="00FE5409" w14:paraId="50E20029" w14:textId="77777777" w:rsidTr="0063787B">
        <w:trPr>
          <w:trHeight w:val="300"/>
        </w:trPr>
        <w:tc>
          <w:tcPr>
            <w:tcW w:w="2200" w:type="dxa"/>
            <w:shd w:val="clear" w:color="auto" w:fill="auto"/>
            <w:hideMark/>
          </w:tcPr>
          <w:p w14:paraId="53704947" w14:textId="77777777" w:rsidR="00277E4B" w:rsidRPr="00FE5409" w:rsidRDefault="00277E4B" w:rsidP="00277E4B">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15B80D46" w14:textId="5C4E05BE" w:rsidR="00277E4B" w:rsidRPr="00FE5409" w:rsidRDefault="00E211E5" w:rsidP="00277E4B">
            <w:pPr>
              <w:spacing w:line="240" w:lineRule="auto"/>
              <w:jc w:val="right"/>
              <w:rPr>
                <w:rFonts w:cs="Calibri"/>
                <w:b/>
                <w:bCs/>
                <w:color w:val="000000"/>
                <w:lang w:eastAsia="en-AU"/>
              </w:rPr>
            </w:pPr>
            <w:r>
              <w:rPr>
                <w:rFonts w:cs="Calibri"/>
                <w:b/>
                <w:bCs/>
                <w:color w:val="000000"/>
                <w:lang w:eastAsia="en-AU"/>
              </w:rPr>
              <w:t>78</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33F3882A" w:rsidR="0056316C" w:rsidRDefault="00A73CA0" w:rsidP="00C16F20">
      <w:pPr>
        <w:ind w:left="-142" w:right="-425"/>
        <w:jc w:val="both"/>
        <w:rPr>
          <w:rFonts w:cs="Arial"/>
        </w:rPr>
      </w:pPr>
      <w:r>
        <w:rPr>
          <w:rFonts w:cs="Arial"/>
        </w:rPr>
        <w:t>The following data</w:t>
      </w:r>
      <w:r w:rsidR="00D85018">
        <w:rPr>
          <w:rFonts w:cs="Arial"/>
        </w:rPr>
        <w:t xml:space="preserve"> (tables </w:t>
      </w:r>
      <w:r w:rsidR="00085A55">
        <w:rPr>
          <w:rFonts w:cs="Arial"/>
        </w:rPr>
        <w:t>4</w:t>
      </w:r>
      <w:r w:rsidR="00D85018">
        <w:rPr>
          <w:rFonts w:cs="Arial"/>
        </w:rPr>
        <w:t xml:space="preserve"> to </w:t>
      </w:r>
      <w:r w:rsidR="00085A55">
        <w:rPr>
          <w:rFonts w:cs="Arial"/>
        </w:rPr>
        <w:t>8</w:t>
      </w:r>
      <w:r w:rsidR="00D85018">
        <w:rPr>
          <w:rFonts w:cs="Arial"/>
        </w:rPr>
        <w:t>)</w:t>
      </w:r>
      <w:r>
        <w:rPr>
          <w:rFonts w:cs="Arial"/>
        </w:rPr>
        <w:t xml:space="preserve"> provides an overview of interactions that have taken place with clients during this reporting period </w:t>
      </w:r>
      <w:r w:rsidR="00800631">
        <w:rPr>
          <w:rFonts w:cs="Arial"/>
        </w:rPr>
        <w:t xml:space="preserve">and </w:t>
      </w:r>
      <w:r w:rsidR="00190C1B">
        <w:rPr>
          <w:rFonts w:cs="Arial"/>
        </w:rPr>
        <w:t>consists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r w:rsidR="00DA38EC">
        <w:rPr>
          <w:rFonts w:cs="Arial"/>
        </w:rPr>
        <w:t xml:space="preserve">making </w:t>
      </w:r>
      <w:r w:rsidR="00342EBC">
        <w:rPr>
          <w:rFonts w:cs="Arial"/>
        </w:rPr>
        <w:t>a determination</w:t>
      </w:r>
      <w:r w:rsidR="00881438">
        <w:rPr>
          <w:rFonts w:cs="Arial"/>
        </w:rPr>
        <w:t>.</w:t>
      </w:r>
    </w:p>
    <w:p w14:paraId="33BB1B04" w14:textId="2C083555" w:rsidR="002D75CB" w:rsidRDefault="002D75CB" w:rsidP="00C16F20">
      <w:pPr>
        <w:ind w:left="-142" w:right="-425"/>
        <w:jc w:val="both"/>
        <w:rPr>
          <w:rFonts w:cs="Arial"/>
        </w:rPr>
      </w:pPr>
    </w:p>
    <w:p w14:paraId="68A169AC" w14:textId="769442F9"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small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2BBB63E8" w:rsidR="00237AB1" w:rsidRDefault="00696B4E" w:rsidP="0091685B">
      <w:pPr>
        <w:ind w:left="-142" w:right="-425"/>
        <w:jc w:val="both"/>
        <w:rPr>
          <w:rFonts w:cs="Arial"/>
        </w:rPr>
      </w:pPr>
      <w:r>
        <w:rPr>
          <w:rFonts w:cs="Arial"/>
        </w:rPr>
        <w:lastRenderedPageBreak/>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Pr>
          <w:rFonts w:cs="Arial"/>
        </w:rPr>
        <w:t xml:space="preserve">. </w:t>
      </w:r>
      <w:r w:rsidR="0030673F">
        <w:rPr>
          <w:rFonts w:cs="Arial"/>
        </w:rPr>
        <w:t>The Commission is still seeing a number</w:t>
      </w:r>
      <w:r w:rsidR="00237AB1">
        <w:rPr>
          <w:rFonts w:cs="Arial"/>
        </w:rPr>
        <w:t xml:space="preserve"> of </w:t>
      </w:r>
      <w:r w:rsidR="00B23523">
        <w:rPr>
          <w:rFonts w:cs="Arial"/>
        </w:rPr>
        <w:t>i</w:t>
      </w:r>
      <w:r w:rsidR="00237AB1">
        <w:rPr>
          <w:rFonts w:cs="Arial"/>
        </w:rPr>
        <w:t>nteractions by client</w:t>
      </w:r>
      <w:r w:rsidR="0030673F">
        <w:rPr>
          <w:rFonts w:cs="Arial"/>
        </w:rPr>
        <w:t>s</w:t>
      </w:r>
      <w:r w:rsidR="00237AB1">
        <w:rPr>
          <w:rFonts w:cs="Arial"/>
        </w:rPr>
        <w:t xml:space="preserve"> on a less intrusive and more proactive basis</w:t>
      </w:r>
      <w:r w:rsidR="00701EFB">
        <w:rPr>
          <w:rFonts w:cs="Arial"/>
        </w:rPr>
        <w:t>,</w:t>
      </w:r>
      <w:r w:rsidR="00B23523">
        <w:rPr>
          <w:rFonts w:cs="Arial"/>
        </w:rPr>
        <w:t xml:space="preserve"> </w:t>
      </w:r>
      <w:r w:rsidR="00237AB1">
        <w:rPr>
          <w:rFonts w:cs="Arial"/>
        </w:rPr>
        <w:t xml:space="preserve">i.e. where engagement is on a voluntary basis (Table </w:t>
      </w:r>
      <w:r w:rsidR="005E50F0">
        <w:rPr>
          <w:rFonts w:cs="Arial"/>
        </w:rPr>
        <w:t>4</w:t>
      </w:r>
      <w:r w:rsidR="00237AB1">
        <w:rPr>
          <w:rFonts w:cs="Arial"/>
        </w:rPr>
        <w:t>)</w:t>
      </w:r>
      <w:r w:rsidR="00AE549C">
        <w:rPr>
          <w:rFonts w:cs="Arial"/>
        </w:rPr>
        <w:t>,</w:t>
      </w:r>
      <w:r w:rsidR="00237AB1">
        <w:rPr>
          <w:rFonts w:cs="Arial"/>
        </w:rPr>
        <w:t xml:space="preserve"> or where acceptance of the Commission’s decision for a referral to </w:t>
      </w:r>
      <w:r w:rsidR="009D568A">
        <w:rPr>
          <w:rFonts w:cs="Arial"/>
        </w:rPr>
        <w:t xml:space="preserve">a </w:t>
      </w:r>
      <w:r w:rsidR="00237AB1">
        <w:rPr>
          <w:rFonts w:cs="Arial"/>
        </w:rPr>
        <w:t>support service or income management is by agreement with the client (</w:t>
      </w:r>
      <w:r w:rsidR="00237AB1" w:rsidRPr="001227EE">
        <w:rPr>
          <w:rFonts w:cs="Arial"/>
        </w:rPr>
        <w:t xml:space="preserve">Table </w:t>
      </w:r>
      <w:r w:rsidR="005E50F0">
        <w:rPr>
          <w:rFonts w:cs="Arial"/>
        </w:rPr>
        <w:t>5</w:t>
      </w:r>
      <w:r w:rsidR="00237AB1">
        <w:rPr>
          <w:rFonts w:cs="Arial"/>
        </w:rPr>
        <w:t>). The</w:t>
      </w:r>
      <w:r w:rsidR="00B23523">
        <w:rPr>
          <w:rFonts w:cs="Arial"/>
        </w:rPr>
        <w:t xml:space="preserve">se proactive interactions are </w:t>
      </w:r>
      <w:r w:rsidR="00D505F2">
        <w:rPr>
          <w:rFonts w:cs="Arial"/>
        </w:rPr>
        <w:t>c</w:t>
      </w:r>
      <w:r w:rsidR="00237AB1">
        <w:rPr>
          <w:rFonts w:cs="Arial"/>
        </w:rPr>
        <w:t>onsider</w:t>
      </w:r>
      <w:r w:rsidR="00B23523">
        <w:rPr>
          <w:rFonts w:cs="Arial"/>
        </w:rPr>
        <w:t>ed</w:t>
      </w:r>
      <w:r w:rsidR="00237AB1">
        <w:rPr>
          <w:rFonts w:cs="Arial"/>
        </w:rPr>
        <w:t xml:space="preserve"> to be a positive indication that community members have developed a consciousness of their actions and are demonstrating early insight into the effect those actions have on others.</w:t>
      </w:r>
    </w:p>
    <w:p w14:paraId="7459190E" w14:textId="77777777" w:rsidR="00237AB1" w:rsidRDefault="00237AB1" w:rsidP="00237AB1">
      <w:pPr>
        <w:ind w:left="-142" w:right="-425"/>
        <w:jc w:val="both"/>
        <w:rPr>
          <w:rFonts w:cs="Arial"/>
        </w:rPr>
      </w:pPr>
    </w:p>
    <w:p w14:paraId="19233629" w14:textId="6BE3DC93" w:rsidR="00237AB1" w:rsidRPr="0092015D" w:rsidRDefault="00237AB1" w:rsidP="00237AB1">
      <w:pPr>
        <w:spacing w:after="120" w:line="240" w:lineRule="auto"/>
        <w:ind w:left="794" w:hanging="794"/>
      </w:pPr>
      <w:r w:rsidRPr="006C6A65">
        <w:rPr>
          <w:b/>
          <w:sz w:val="16"/>
          <w:szCs w:val="16"/>
        </w:rPr>
        <w:t xml:space="preserve">Table </w:t>
      </w:r>
      <w:r w:rsidR="005E50F0">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7"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7"/>
      <w:r w:rsidRPr="00656C56">
        <w:rPr>
          <w:sz w:val="16"/>
          <w:szCs w:val="16"/>
        </w:rPr>
        <w:t>entered into</w:t>
      </w:r>
      <w:r>
        <w:rPr>
          <w:sz w:val="16"/>
          <w:szCs w:val="16"/>
        </w:rPr>
        <w:t xml:space="preserve"> </w:t>
      </w:r>
      <w:r w:rsidR="00397BFC">
        <w:rPr>
          <w:sz w:val="16"/>
          <w:szCs w:val="16"/>
        </w:rPr>
        <w:t xml:space="preserve">from </w:t>
      </w:r>
      <w:r w:rsidR="00F83C14">
        <w:rPr>
          <w:sz w:val="16"/>
          <w:szCs w:val="16"/>
        </w:rPr>
        <w:t xml:space="preserve">1 </w:t>
      </w:r>
      <w:r w:rsidR="00DA70CA">
        <w:rPr>
          <w:sz w:val="16"/>
          <w:szCs w:val="16"/>
        </w:rPr>
        <w:t>April</w:t>
      </w:r>
      <w:r w:rsidR="00415BC8">
        <w:rPr>
          <w:sz w:val="16"/>
          <w:szCs w:val="16"/>
        </w:rPr>
        <w:t xml:space="preserve"> 2022</w:t>
      </w:r>
      <w:r>
        <w:rPr>
          <w:sz w:val="16"/>
          <w:szCs w:val="16"/>
        </w:rPr>
        <w:t xml:space="preserve"> to </w:t>
      </w:r>
      <w:bookmarkStart w:id="8" w:name="_Ref74754019"/>
      <w:r w:rsidR="00DA70CA">
        <w:rPr>
          <w:sz w:val="16"/>
          <w:szCs w:val="16"/>
        </w:rPr>
        <w:t>30 June</w:t>
      </w:r>
      <w:r w:rsidR="001A5C4C">
        <w:rPr>
          <w:sz w:val="16"/>
          <w:szCs w:val="16"/>
        </w:rPr>
        <w:t xml:space="preserve"> 2022</w:t>
      </w:r>
      <w:r w:rsidR="00604429" w:rsidRPr="008F6888">
        <w:rPr>
          <w:rStyle w:val="FootnoteReference"/>
          <w:sz w:val="16"/>
          <w:szCs w:val="16"/>
        </w:rPr>
        <w:footnoteReference w:id="6"/>
      </w:r>
      <w:bookmarkEnd w:id="8"/>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34073B" w:rsidRPr="00776C26" w14:paraId="23E8C631" w14:textId="77777777" w:rsidTr="0034073B">
        <w:tc>
          <w:tcPr>
            <w:tcW w:w="1555" w:type="dxa"/>
          </w:tcPr>
          <w:p w14:paraId="08DA178D" w14:textId="77777777" w:rsidR="0034073B" w:rsidRPr="00776C26" w:rsidRDefault="0034073B" w:rsidP="0034073B">
            <w:pPr>
              <w:ind w:right="-425"/>
              <w:jc w:val="both"/>
              <w:rPr>
                <w:rFonts w:cs="Arial"/>
                <w:b/>
                <w:bCs/>
              </w:rPr>
            </w:pPr>
            <w:r w:rsidRPr="00776C26">
              <w:rPr>
                <w:rFonts w:cs="Arial"/>
                <w:b/>
                <w:bCs/>
              </w:rPr>
              <w:t>Total</w:t>
            </w:r>
          </w:p>
        </w:tc>
        <w:tc>
          <w:tcPr>
            <w:tcW w:w="992" w:type="dxa"/>
            <w:vAlign w:val="bottom"/>
          </w:tcPr>
          <w:p w14:paraId="31C63D09" w14:textId="31835492" w:rsidR="0034073B" w:rsidRPr="00776C26" w:rsidRDefault="0034073B" w:rsidP="0034073B">
            <w:pPr>
              <w:jc w:val="right"/>
              <w:rPr>
                <w:b/>
                <w:bCs/>
              </w:rPr>
            </w:pPr>
            <w:r>
              <w:rPr>
                <w:rFonts w:cs="Arial"/>
                <w:b/>
                <w:bCs/>
              </w:rPr>
              <w:t>11</w:t>
            </w:r>
          </w:p>
        </w:tc>
        <w:tc>
          <w:tcPr>
            <w:tcW w:w="1134" w:type="dxa"/>
            <w:vAlign w:val="bottom"/>
          </w:tcPr>
          <w:p w14:paraId="1D2060AE" w14:textId="1C97F14C" w:rsidR="0034073B" w:rsidRPr="00776C26" w:rsidRDefault="0034073B" w:rsidP="0034073B">
            <w:pPr>
              <w:jc w:val="right"/>
              <w:rPr>
                <w:b/>
                <w:bCs/>
              </w:rPr>
            </w:pPr>
            <w:r>
              <w:rPr>
                <w:rFonts w:cs="Arial"/>
                <w:b/>
                <w:bCs/>
              </w:rPr>
              <w:t>28</w:t>
            </w:r>
          </w:p>
        </w:tc>
        <w:tc>
          <w:tcPr>
            <w:tcW w:w="992" w:type="dxa"/>
            <w:vAlign w:val="bottom"/>
          </w:tcPr>
          <w:p w14:paraId="7E29C7F4" w14:textId="763728DE" w:rsidR="0034073B" w:rsidRPr="00776C26" w:rsidRDefault="0034073B" w:rsidP="0034073B">
            <w:pPr>
              <w:jc w:val="right"/>
              <w:rPr>
                <w:b/>
                <w:bCs/>
              </w:rPr>
            </w:pPr>
            <w:r>
              <w:rPr>
                <w:rFonts w:cs="Arial"/>
                <w:b/>
                <w:bCs/>
              </w:rPr>
              <w:t>39</w:t>
            </w:r>
          </w:p>
        </w:tc>
      </w:tr>
    </w:tbl>
    <w:p w14:paraId="340804AB" w14:textId="2011C4C9" w:rsidR="00C64787" w:rsidRDefault="00C64787" w:rsidP="00237AB1">
      <w:pPr>
        <w:ind w:left="-142" w:right="-425"/>
        <w:jc w:val="both"/>
        <w:rPr>
          <w:rFonts w:cs="Arial"/>
        </w:rPr>
      </w:pPr>
    </w:p>
    <w:p w14:paraId="32A7D6CF" w14:textId="1A42AAF3" w:rsidR="00237AB1" w:rsidRPr="0092015D" w:rsidRDefault="00237AB1" w:rsidP="00237AB1">
      <w:pPr>
        <w:spacing w:after="120" w:line="240" w:lineRule="auto"/>
        <w:ind w:left="794" w:hanging="794"/>
      </w:pPr>
      <w:r w:rsidRPr="006C6A65">
        <w:rPr>
          <w:b/>
          <w:sz w:val="16"/>
          <w:szCs w:val="16"/>
        </w:rPr>
        <w:t xml:space="preserve">Table </w:t>
      </w:r>
      <w:r w:rsidR="005E50F0">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0"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0"/>
      <w:r w:rsidRPr="00656C56">
        <w:rPr>
          <w:sz w:val="16"/>
          <w:szCs w:val="16"/>
        </w:rPr>
        <w:t>entered into</w:t>
      </w:r>
      <w:r>
        <w:rPr>
          <w:sz w:val="16"/>
          <w:szCs w:val="16"/>
        </w:rPr>
        <w:t xml:space="preserve"> </w:t>
      </w:r>
      <w:r w:rsidR="00397BFC">
        <w:rPr>
          <w:sz w:val="16"/>
          <w:szCs w:val="16"/>
        </w:rPr>
        <w:t xml:space="preserve">from </w:t>
      </w:r>
      <w:r w:rsidR="00F83C14">
        <w:rPr>
          <w:sz w:val="16"/>
          <w:szCs w:val="16"/>
        </w:rPr>
        <w:t xml:space="preserve">1 </w:t>
      </w:r>
      <w:r w:rsidR="00DA70CA">
        <w:rPr>
          <w:sz w:val="16"/>
          <w:szCs w:val="16"/>
        </w:rPr>
        <w:t>April</w:t>
      </w:r>
      <w:r w:rsidR="00415BC8">
        <w:rPr>
          <w:sz w:val="16"/>
          <w:szCs w:val="16"/>
        </w:rPr>
        <w:t xml:space="preserve"> 2022</w:t>
      </w:r>
      <w:r>
        <w:rPr>
          <w:sz w:val="16"/>
          <w:szCs w:val="16"/>
        </w:rPr>
        <w:t xml:space="preserve"> to </w:t>
      </w:r>
      <w:r w:rsidR="00DA70CA">
        <w:rPr>
          <w:sz w:val="16"/>
          <w:szCs w:val="16"/>
        </w:rPr>
        <w:t>30 June</w:t>
      </w:r>
      <w:r w:rsidR="001A5C4C">
        <w:rPr>
          <w:sz w:val="16"/>
          <w:szCs w:val="16"/>
        </w:rPr>
        <w:t xml:space="preserve"> 2022</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5C7600">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34073B" w14:paraId="604BDE97" w14:textId="77777777" w:rsidTr="00237AB1">
        <w:tc>
          <w:tcPr>
            <w:tcW w:w="1555" w:type="dxa"/>
          </w:tcPr>
          <w:p w14:paraId="16D39C9C" w14:textId="77777777" w:rsidR="0034073B" w:rsidRPr="00490B40" w:rsidRDefault="0034073B" w:rsidP="0034073B">
            <w:pPr>
              <w:ind w:right="-425"/>
              <w:jc w:val="both"/>
              <w:rPr>
                <w:rFonts w:cs="Arial"/>
              </w:rPr>
            </w:pPr>
            <w:r w:rsidRPr="00490B40">
              <w:rPr>
                <w:rFonts w:cs="Arial"/>
              </w:rPr>
              <w:t>AU</w:t>
            </w:r>
          </w:p>
        </w:tc>
        <w:tc>
          <w:tcPr>
            <w:tcW w:w="992" w:type="dxa"/>
            <w:vAlign w:val="bottom"/>
          </w:tcPr>
          <w:p w14:paraId="4F2BC6E4" w14:textId="73E1E8BD" w:rsidR="0034073B" w:rsidRPr="00900EA0" w:rsidRDefault="0034073B" w:rsidP="0034073B">
            <w:pPr>
              <w:jc w:val="right"/>
            </w:pPr>
            <w:r>
              <w:rPr>
                <w:rFonts w:cs="Arial"/>
              </w:rPr>
              <w:t>43</w:t>
            </w:r>
          </w:p>
        </w:tc>
        <w:tc>
          <w:tcPr>
            <w:tcW w:w="1134" w:type="dxa"/>
            <w:vAlign w:val="bottom"/>
          </w:tcPr>
          <w:p w14:paraId="5D79F7D6" w14:textId="3CAA9026" w:rsidR="0034073B" w:rsidRPr="00900EA0" w:rsidRDefault="0034073B" w:rsidP="0034073B">
            <w:pPr>
              <w:jc w:val="right"/>
            </w:pPr>
            <w:r>
              <w:rPr>
                <w:rFonts w:cs="Arial"/>
              </w:rPr>
              <w:t>0</w:t>
            </w:r>
          </w:p>
        </w:tc>
        <w:tc>
          <w:tcPr>
            <w:tcW w:w="992" w:type="dxa"/>
            <w:vAlign w:val="bottom"/>
          </w:tcPr>
          <w:p w14:paraId="2B25B2DF" w14:textId="7668D473" w:rsidR="0034073B" w:rsidRPr="00900EA0" w:rsidRDefault="0034073B" w:rsidP="0034073B">
            <w:pPr>
              <w:jc w:val="right"/>
              <w:rPr>
                <w:b/>
                <w:bCs/>
              </w:rPr>
            </w:pPr>
            <w:r>
              <w:rPr>
                <w:rFonts w:cs="Arial"/>
                <w:b/>
                <w:bCs/>
              </w:rPr>
              <w:t>43</w:t>
            </w:r>
          </w:p>
        </w:tc>
      </w:tr>
      <w:tr w:rsidR="0034073B" w14:paraId="1A905600" w14:textId="77777777" w:rsidTr="00237AB1">
        <w:tc>
          <w:tcPr>
            <w:tcW w:w="1555" w:type="dxa"/>
          </w:tcPr>
          <w:p w14:paraId="59A72EEE" w14:textId="77777777" w:rsidR="0034073B" w:rsidRPr="00490B40" w:rsidRDefault="0034073B" w:rsidP="0034073B">
            <w:pPr>
              <w:ind w:right="-425"/>
              <w:jc w:val="both"/>
              <w:rPr>
                <w:rFonts w:cs="Arial"/>
              </w:rPr>
            </w:pPr>
            <w:r w:rsidRPr="00490B40">
              <w:rPr>
                <w:rFonts w:cs="Arial"/>
              </w:rPr>
              <w:t>CO</w:t>
            </w:r>
          </w:p>
        </w:tc>
        <w:tc>
          <w:tcPr>
            <w:tcW w:w="992" w:type="dxa"/>
            <w:vAlign w:val="bottom"/>
          </w:tcPr>
          <w:p w14:paraId="7DC045C3" w14:textId="2EAB2708" w:rsidR="0034073B" w:rsidRPr="00900EA0" w:rsidRDefault="0034073B" w:rsidP="0034073B">
            <w:pPr>
              <w:jc w:val="right"/>
            </w:pPr>
            <w:r>
              <w:rPr>
                <w:rFonts w:cs="Arial"/>
              </w:rPr>
              <w:t>6</w:t>
            </w:r>
          </w:p>
        </w:tc>
        <w:tc>
          <w:tcPr>
            <w:tcW w:w="1134" w:type="dxa"/>
            <w:vAlign w:val="bottom"/>
          </w:tcPr>
          <w:p w14:paraId="544139DB" w14:textId="77051D11" w:rsidR="0034073B" w:rsidRPr="00900EA0" w:rsidRDefault="0034073B" w:rsidP="0034073B">
            <w:pPr>
              <w:jc w:val="right"/>
            </w:pPr>
            <w:r>
              <w:rPr>
                <w:rFonts w:cs="Arial"/>
              </w:rPr>
              <w:t>0</w:t>
            </w:r>
          </w:p>
        </w:tc>
        <w:tc>
          <w:tcPr>
            <w:tcW w:w="992" w:type="dxa"/>
            <w:vAlign w:val="bottom"/>
          </w:tcPr>
          <w:p w14:paraId="655575AD" w14:textId="1A391A1A" w:rsidR="0034073B" w:rsidRPr="00900EA0" w:rsidRDefault="0034073B" w:rsidP="0034073B">
            <w:pPr>
              <w:jc w:val="right"/>
              <w:rPr>
                <w:b/>
                <w:bCs/>
              </w:rPr>
            </w:pPr>
            <w:r>
              <w:rPr>
                <w:rFonts w:cs="Arial"/>
                <w:b/>
                <w:bCs/>
              </w:rPr>
              <w:t>6</w:t>
            </w:r>
          </w:p>
        </w:tc>
      </w:tr>
      <w:tr w:rsidR="0034073B" w14:paraId="577F7E12" w14:textId="77777777" w:rsidTr="00237AB1">
        <w:tc>
          <w:tcPr>
            <w:tcW w:w="1555" w:type="dxa"/>
          </w:tcPr>
          <w:p w14:paraId="2E4003E9" w14:textId="77777777" w:rsidR="0034073B" w:rsidRPr="00490B40" w:rsidRDefault="0034073B" w:rsidP="0034073B">
            <w:pPr>
              <w:ind w:right="-425"/>
              <w:jc w:val="both"/>
              <w:rPr>
                <w:rFonts w:cs="Arial"/>
              </w:rPr>
            </w:pPr>
            <w:r w:rsidRPr="00490B40">
              <w:rPr>
                <w:rFonts w:cs="Arial"/>
              </w:rPr>
              <w:t>DM</w:t>
            </w:r>
          </w:p>
        </w:tc>
        <w:tc>
          <w:tcPr>
            <w:tcW w:w="992" w:type="dxa"/>
            <w:vAlign w:val="bottom"/>
          </w:tcPr>
          <w:p w14:paraId="68E2C72D" w14:textId="1BAB13EA" w:rsidR="0034073B" w:rsidRPr="00900EA0" w:rsidRDefault="0034073B" w:rsidP="0034073B">
            <w:pPr>
              <w:jc w:val="right"/>
            </w:pPr>
            <w:r>
              <w:rPr>
                <w:rFonts w:cs="Arial"/>
              </w:rPr>
              <w:t>22</w:t>
            </w:r>
          </w:p>
        </w:tc>
        <w:tc>
          <w:tcPr>
            <w:tcW w:w="1134" w:type="dxa"/>
            <w:vAlign w:val="bottom"/>
          </w:tcPr>
          <w:p w14:paraId="5EFFF8C4" w14:textId="0D27C1E4" w:rsidR="0034073B" w:rsidRPr="00900EA0" w:rsidRDefault="0034073B" w:rsidP="0034073B">
            <w:pPr>
              <w:jc w:val="right"/>
            </w:pPr>
            <w:r>
              <w:rPr>
                <w:rFonts w:cs="Arial"/>
              </w:rPr>
              <w:t>0</w:t>
            </w:r>
          </w:p>
        </w:tc>
        <w:tc>
          <w:tcPr>
            <w:tcW w:w="992" w:type="dxa"/>
            <w:vAlign w:val="bottom"/>
          </w:tcPr>
          <w:p w14:paraId="1CF754DE" w14:textId="4945FF0D" w:rsidR="0034073B" w:rsidRPr="00900EA0" w:rsidRDefault="0034073B" w:rsidP="0034073B">
            <w:pPr>
              <w:jc w:val="right"/>
              <w:rPr>
                <w:b/>
                <w:bCs/>
              </w:rPr>
            </w:pPr>
            <w:r>
              <w:rPr>
                <w:rFonts w:cs="Arial"/>
                <w:b/>
                <w:bCs/>
              </w:rPr>
              <w:t>22</w:t>
            </w:r>
          </w:p>
        </w:tc>
      </w:tr>
      <w:tr w:rsidR="0034073B" w14:paraId="55AC2A32" w14:textId="77777777" w:rsidTr="00237AB1">
        <w:tc>
          <w:tcPr>
            <w:tcW w:w="1555" w:type="dxa"/>
          </w:tcPr>
          <w:p w14:paraId="511465EF" w14:textId="77777777" w:rsidR="0034073B" w:rsidRPr="00490B40" w:rsidRDefault="0034073B" w:rsidP="0034073B">
            <w:pPr>
              <w:ind w:right="-425"/>
              <w:jc w:val="both"/>
              <w:rPr>
                <w:rFonts w:cs="Arial"/>
              </w:rPr>
            </w:pPr>
            <w:r w:rsidRPr="00490B40">
              <w:rPr>
                <w:rFonts w:cs="Arial"/>
              </w:rPr>
              <w:t>HV</w:t>
            </w:r>
          </w:p>
        </w:tc>
        <w:tc>
          <w:tcPr>
            <w:tcW w:w="992" w:type="dxa"/>
            <w:vAlign w:val="bottom"/>
          </w:tcPr>
          <w:p w14:paraId="16976329" w14:textId="1D566A8B" w:rsidR="0034073B" w:rsidRPr="00900EA0" w:rsidRDefault="0034073B" w:rsidP="0034073B">
            <w:pPr>
              <w:jc w:val="right"/>
            </w:pPr>
            <w:r>
              <w:rPr>
                <w:rFonts w:cs="Arial"/>
              </w:rPr>
              <w:t>0</w:t>
            </w:r>
          </w:p>
        </w:tc>
        <w:tc>
          <w:tcPr>
            <w:tcW w:w="1134" w:type="dxa"/>
            <w:vAlign w:val="bottom"/>
          </w:tcPr>
          <w:p w14:paraId="48C3CD7F" w14:textId="174221A7" w:rsidR="0034073B" w:rsidRPr="00900EA0" w:rsidRDefault="0034073B" w:rsidP="0034073B">
            <w:pPr>
              <w:jc w:val="right"/>
            </w:pPr>
            <w:r>
              <w:rPr>
                <w:rFonts w:cs="Arial"/>
              </w:rPr>
              <w:t>1</w:t>
            </w:r>
          </w:p>
        </w:tc>
        <w:tc>
          <w:tcPr>
            <w:tcW w:w="992" w:type="dxa"/>
            <w:vAlign w:val="bottom"/>
          </w:tcPr>
          <w:p w14:paraId="1AAF646B" w14:textId="5F11BE43" w:rsidR="0034073B" w:rsidRPr="00900EA0" w:rsidRDefault="0034073B" w:rsidP="0034073B">
            <w:pPr>
              <w:jc w:val="right"/>
              <w:rPr>
                <w:b/>
                <w:bCs/>
              </w:rPr>
            </w:pPr>
            <w:r>
              <w:rPr>
                <w:rFonts w:cs="Arial"/>
                <w:b/>
                <w:bCs/>
              </w:rPr>
              <w:t>1</w:t>
            </w:r>
          </w:p>
        </w:tc>
      </w:tr>
      <w:tr w:rsidR="0034073B" w14:paraId="50F69E1F" w14:textId="77777777" w:rsidTr="00237AB1">
        <w:tc>
          <w:tcPr>
            <w:tcW w:w="1555" w:type="dxa"/>
          </w:tcPr>
          <w:p w14:paraId="48DBAB63" w14:textId="77777777" w:rsidR="0034073B" w:rsidRPr="00490B40" w:rsidRDefault="0034073B" w:rsidP="0034073B">
            <w:pPr>
              <w:ind w:right="-425"/>
              <w:jc w:val="both"/>
              <w:rPr>
                <w:rFonts w:cs="Arial"/>
              </w:rPr>
            </w:pPr>
            <w:r w:rsidRPr="00490B40">
              <w:rPr>
                <w:rFonts w:cs="Arial"/>
              </w:rPr>
              <w:t>MG</w:t>
            </w:r>
          </w:p>
        </w:tc>
        <w:tc>
          <w:tcPr>
            <w:tcW w:w="992" w:type="dxa"/>
            <w:vAlign w:val="bottom"/>
          </w:tcPr>
          <w:p w14:paraId="2E4ACC08" w14:textId="46BCEBD4" w:rsidR="0034073B" w:rsidRPr="00900EA0" w:rsidRDefault="0034073B" w:rsidP="0034073B">
            <w:pPr>
              <w:jc w:val="right"/>
            </w:pPr>
            <w:r>
              <w:rPr>
                <w:rFonts w:cs="Arial"/>
              </w:rPr>
              <w:t>1</w:t>
            </w:r>
          </w:p>
        </w:tc>
        <w:tc>
          <w:tcPr>
            <w:tcW w:w="1134" w:type="dxa"/>
            <w:vAlign w:val="bottom"/>
          </w:tcPr>
          <w:p w14:paraId="06822B4C" w14:textId="58AFF589" w:rsidR="0034073B" w:rsidRPr="00900EA0" w:rsidRDefault="0034073B" w:rsidP="0034073B">
            <w:pPr>
              <w:jc w:val="right"/>
            </w:pPr>
            <w:r>
              <w:rPr>
                <w:rFonts w:cs="Arial"/>
              </w:rPr>
              <w:t>0</w:t>
            </w:r>
          </w:p>
        </w:tc>
        <w:tc>
          <w:tcPr>
            <w:tcW w:w="992" w:type="dxa"/>
            <w:vAlign w:val="bottom"/>
          </w:tcPr>
          <w:p w14:paraId="4AC3B4A9" w14:textId="716B7A95" w:rsidR="0034073B" w:rsidRPr="00900EA0" w:rsidRDefault="0034073B" w:rsidP="0034073B">
            <w:pPr>
              <w:jc w:val="right"/>
              <w:rPr>
                <w:b/>
                <w:bCs/>
              </w:rPr>
            </w:pPr>
            <w:r>
              <w:rPr>
                <w:rFonts w:cs="Arial"/>
                <w:b/>
                <w:bCs/>
              </w:rPr>
              <w:t>1</w:t>
            </w:r>
          </w:p>
        </w:tc>
      </w:tr>
      <w:tr w:rsidR="0034073B" w14:paraId="7BC56D75" w14:textId="77777777" w:rsidTr="00237AB1">
        <w:tc>
          <w:tcPr>
            <w:tcW w:w="1555" w:type="dxa"/>
          </w:tcPr>
          <w:p w14:paraId="201CE63A" w14:textId="77777777" w:rsidR="0034073B" w:rsidRPr="00776C26" w:rsidRDefault="0034073B" w:rsidP="0034073B">
            <w:pPr>
              <w:ind w:right="-425"/>
              <w:jc w:val="both"/>
              <w:rPr>
                <w:rFonts w:cs="Arial"/>
                <w:b/>
                <w:bCs/>
              </w:rPr>
            </w:pPr>
            <w:r w:rsidRPr="00776C26">
              <w:rPr>
                <w:rFonts w:cs="Arial"/>
                <w:b/>
                <w:bCs/>
              </w:rPr>
              <w:t>Total</w:t>
            </w:r>
          </w:p>
        </w:tc>
        <w:tc>
          <w:tcPr>
            <w:tcW w:w="992" w:type="dxa"/>
            <w:vAlign w:val="bottom"/>
          </w:tcPr>
          <w:p w14:paraId="0FB9062E" w14:textId="434AA2F6" w:rsidR="0034073B" w:rsidRPr="00900EA0" w:rsidRDefault="0034073B" w:rsidP="0034073B">
            <w:pPr>
              <w:jc w:val="right"/>
              <w:rPr>
                <w:b/>
                <w:bCs/>
              </w:rPr>
            </w:pPr>
            <w:r>
              <w:rPr>
                <w:rFonts w:cs="Arial"/>
                <w:b/>
                <w:bCs/>
              </w:rPr>
              <w:t>72</w:t>
            </w:r>
          </w:p>
        </w:tc>
        <w:tc>
          <w:tcPr>
            <w:tcW w:w="1134" w:type="dxa"/>
            <w:vAlign w:val="bottom"/>
          </w:tcPr>
          <w:p w14:paraId="482ED4A6" w14:textId="215A8286" w:rsidR="0034073B" w:rsidRPr="00900EA0" w:rsidRDefault="0034073B" w:rsidP="0034073B">
            <w:pPr>
              <w:jc w:val="right"/>
              <w:rPr>
                <w:b/>
                <w:bCs/>
              </w:rPr>
            </w:pPr>
            <w:r>
              <w:rPr>
                <w:rFonts w:cs="Arial"/>
                <w:b/>
                <w:bCs/>
              </w:rPr>
              <w:t>1</w:t>
            </w:r>
          </w:p>
        </w:tc>
        <w:tc>
          <w:tcPr>
            <w:tcW w:w="992" w:type="dxa"/>
            <w:vAlign w:val="bottom"/>
          </w:tcPr>
          <w:p w14:paraId="47A0B826" w14:textId="284E0946" w:rsidR="0034073B" w:rsidRPr="00900EA0" w:rsidRDefault="0034073B" w:rsidP="0034073B">
            <w:pPr>
              <w:jc w:val="right"/>
              <w:rPr>
                <w:b/>
                <w:bCs/>
              </w:rPr>
            </w:pPr>
            <w:r>
              <w:rPr>
                <w:rFonts w:cs="Arial"/>
                <w:b/>
                <w:bCs/>
              </w:rPr>
              <w:t>73</w:t>
            </w:r>
          </w:p>
        </w:tc>
      </w:tr>
    </w:tbl>
    <w:p w14:paraId="600511AC" w14:textId="77777777" w:rsidR="00237AB1" w:rsidRDefault="00237AB1" w:rsidP="00237AB1">
      <w:pPr>
        <w:ind w:left="-142" w:right="-425"/>
        <w:jc w:val="both"/>
        <w:rPr>
          <w:rFonts w:cs="Arial"/>
        </w:rPr>
      </w:pPr>
    </w:p>
    <w:p w14:paraId="07242880" w14:textId="74452878" w:rsidR="00237AB1" w:rsidRPr="0002195A" w:rsidRDefault="00237AB1" w:rsidP="0002195A">
      <w:pPr>
        <w:spacing w:after="120" w:line="240" w:lineRule="auto"/>
        <w:ind w:left="794" w:hanging="794"/>
        <w:rPr>
          <w:b/>
          <w:sz w:val="16"/>
          <w:szCs w:val="16"/>
        </w:rPr>
      </w:pPr>
      <w:r w:rsidRPr="004B6F52">
        <w:rPr>
          <w:b/>
          <w:sz w:val="16"/>
          <w:szCs w:val="16"/>
        </w:rPr>
        <w:t xml:space="preserve">Table </w:t>
      </w:r>
      <w:r w:rsidR="005E50F0">
        <w:rPr>
          <w:b/>
          <w:sz w:val="16"/>
          <w:szCs w:val="16"/>
        </w:rPr>
        <w:t>6</w:t>
      </w:r>
      <w:r w:rsidRPr="004B6F52">
        <w:rPr>
          <w:b/>
          <w:sz w:val="16"/>
          <w:szCs w:val="16"/>
        </w:rPr>
        <w:t>:</w:t>
      </w:r>
      <w:r w:rsidRPr="0002195A">
        <w:rPr>
          <w:bCs/>
          <w:sz w:val="16"/>
          <w:szCs w:val="16"/>
        </w:rPr>
        <w:t xml:space="preserve"> Number of decisions by order</w:t>
      </w:r>
      <w:bookmarkStart w:id="11"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1"/>
      <w:r w:rsidRPr="0002195A">
        <w:rPr>
          <w:bCs/>
          <w:sz w:val="16"/>
          <w:szCs w:val="16"/>
        </w:rPr>
        <w:t xml:space="preserve">from </w:t>
      </w:r>
      <w:r w:rsidR="00F83C14">
        <w:rPr>
          <w:bCs/>
          <w:sz w:val="16"/>
          <w:szCs w:val="16"/>
        </w:rPr>
        <w:t xml:space="preserve">1 </w:t>
      </w:r>
      <w:r w:rsidR="00DA70CA">
        <w:rPr>
          <w:bCs/>
          <w:sz w:val="16"/>
          <w:szCs w:val="16"/>
        </w:rPr>
        <w:t>April</w:t>
      </w:r>
      <w:r w:rsidR="00415BC8">
        <w:rPr>
          <w:bCs/>
          <w:sz w:val="16"/>
          <w:szCs w:val="16"/>
        </w:rPr>
        <w:t xml:space="preserve"> 2022</w:t>
      </w:r>
      <w:r w:rsidRPr="0002195A">
        <w:rPr>
          <w:bCs/>
          <w:sz w:val="16"/>
          <w:szCs w:val="16"/>
        </w:rPr>
        <w:t xml:space="preserve"> to </w:t>
      </w:r>
      <w:r w:rsidR="00DA70CA">
        <w:rPr>
          <w:bCs/>
          <w:sz w:val="16"/>
          <w:szCs w:val="16"/>
        </w:rPr>
        <w:t>30 June</w:t>
      </w:r>
      <w:r w:rsidR="001A5C4C">
        <w:rPr>
          <w:bCs/>
          <w:sz w:val="16"/>
          <w:szCs w:val="16"/>
        </w:rPr>
        <w:t xml:space="preserve"> 2022</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5C7600">
        <w:rPr>
          <w:sz w:val="16"/>
          <w:szCs w:val="16"/>
          <w:vertAlign w:val="superscript"/>
        </w:rPr>
        <w:t>5</w:t>
      </w:r>
      <w:r w:rsidR="0002195A" w:rsidRPr="00152D32">
        <w:rPr>
          <w:sz w:val="16"/>
          <w:szCs w:val="16"/>
          <w:vertAlign w:val="superscript"/>
        </w:rPr>
        <w:fldChar w:fldCharType="end"/>
      </w:r>
    </w:p>
    <w:tbl>
      <w:tblPr>
        <w:tblStyle w:val="TableGrid"/>
        <w:tblW w:w="9526" w:type="dxa"/>
        <w:tblInd w:w="108" w:type="dxa"/>
        <w:tblLook w:val="04A0" w:firstRow="1" w:lastRow="0" w:firstColumn="1" w:lastColumn="0" w:noHBand="0" w:noVBand="1"/>
      </w:tblPr>
      <w:tblGrid>
        <w:gridCol w:w="1253"/>
        <w:gridCol w:w="501"/>
        <w:gridCol w:w="1524"/>
        <w:gridCol w:w="1356"/>
        <w:gridCol w:w="678"/>
        <w:gridCol w:w="941"/>
        <w:gridCol w:w="1323"/>
        <w:gridCol w:w="1253"/>
        <w:gridCol w:w="697"/>
      </w:tblGrid>
      <w:tr w:rsidR="00E65E47" w:rsidRPr="004B6F52" w14:paraId="53F08652" w14:textId="77777777" w:rsidTr="00E65E47">
        <w:tc>
          <w:tcPr>
            <w:tcW w:w="9526" w:type="dxa"/>
            <w:gridSpan w:val="9"/>
          </w:tcPr>
          <w:p w14:paraId="11325B98" w14:textId="39464D78" w:rsidR="00E65E47" w:rsidRPr="004B6F52" w:rsidRDefault="00E65E47" w:rsidP="00237AB1">
            <w:pPr>
              <w:ind w:right="-425"/>
              <w:jc w:val="center"/>
              <w:rPr>
                <w:rFonts w:cs="Arial"/>
                <w:b/>
                <w:bCs/>
              </w:rPr>
            </w:pPr>
            <w:r w:rsidRPr="004B6F52">
              <w:rPr>
                <w:rFonts w:cs="Arial"/>
                <w:b/>
                <w:bCs/>
              </w:rPr>
              <w:t>Decisions by Order</w:t>
            </w:r>
          </w:p>
        </w:tc>
      </w:tr>
      <w:tr w:rsidR="00E65E47" w14:paraId="00D64F33" w14:textId="77777777" w:rsidTr="00E65E47">
        <w:tc>
          <w:tcPr>
            <w:tcW w:w="1255" w:type="dxa"/>
          </w:tcPr>
          <w:p w14:paraId="4D5DE928" w14:textId="77777777" w:rsidR="0094728C" w:rsidRPr="00AE6690" w:rsidRDefault="0094728C" w:rsidP="00127D11">
            <w:pPr>
              <w:ind w:right="-425"/>
              <w:jc w:val="both"/>
              <w:rPr>
                <w:rFonts w:cs="Arial"/>
                <w:b/>
                <w:bCs/>
                <w:sz w:val="16"/>
                <w:szCs w:val="16"/>
              </w:rPr>
            </w:pPr>
            <w:r w:rsidRPr="00AE6690">
              <w:rPr>
                <w:rFonts w:cs="Arial"/>
                <w:b/>
                <w:bCs/>
                <w:sz w:val="16"/>
                <w:szCs w:val="16"/>
              </w:rPr>
              <w:t>Community</w:t>
            </w:r>
          </w:p>
        </w:tc>
        <w:tc>
          <w:tcPr>
            <w:tcW w:w="463" w:type="dxa"/>
          </w:tcPr>
          <w:p w14:paraId="26C6768E" w14:textId="2E14333C" w:rsidR="0094728C" w:rsidRPr="00AE6690" w:rsidRDefault="0094728C" w:rsidP="00127D11">
            <w:pPr>
              <w:jc w:val="center"/>
              <w:rPr>
                <w:rFonts w:cs="Arial"/>
                <w:b/>
                <w:bCs/>
                <w:sz w:val="16"/>
                <w:szCs w:val="16"/>
              </w:rPr>
            </w:pPr>
            <w:r w:rsidRPr="00AE6690">
              <w:rPr>
                <w:rFonts w:cs="Arial"/>
                <w:b/>
                <w:bCs/>
                <w:sz w:val="16"/>
                <w:szCs w:val="16"/>
              </w:rPr>
              <w:t>CP</w:t>
            </w:r>
          </w:p>
        </w:tc>
        <w:tc>
          <w:tcPr>
            <w:tcW w:w="1538" w:type="dxa"/>
          </w:tcPr>
          <w:p w14:paraId="26BEE2F4" w14:textId="3559A601" w:rsidR="0094728C" w:rsidRPr="00AE6690" w:rsidRDefault="0094728C" w:rsidP="00127D11">
            <w:pPr>
              <w:jc w:val="center"/>
              <w:rPr>
                <w:rFonts w:cs="Arial"/>
                <w:b/>
                <w:bCs/>
                <w:sz w:val="16"/>
                <w:szCs w:val="16"/>
              </w:rPr>
            </w:pPr>
            <w:r w:rsidRPr="00AE6690">
              <w:rPr>
                <w:rFonts w:cs="Arial"/>
                <w:b/>
                <w:bCs/>
                <w:sz w:val="16"/>
                <w:szCs w:val="16"/>
              </w:rPr>
              <w:t xml:space="preserve">CP &amp; CIM Concurrently </w:t>
            </w:r>
          </w:p>
        </w:tc>
        <w:tc>
          <w:tcPr>
            <w:tcW w:w="1356" w:type="dxa"/>
          </w:tcPr>
          <w:p w14:paraId="258F8267" w14:textId="072D8C59" w:rsidR="0094728C" w:rsidRPr="00AE6690" w:rsidRDefault="0094728C" w:rsidP="00127D11">
            <w:pPr>
              <w:jc w:val="center"/>
              <w:rPr>
                <w:rFonts w:cs="Arial"/>
                <w:b/>
                <w:bCs/>
                <w:sz w:val="16"/>
                <w:szCs w:val="16"/>
              </w:rPr>
            </w:pPr>
            <w:r w:rsidRPr="0094728C">
              <w:rPr>
                <w:rFonts w:cs="Arial"/>
                <w:b/>
                <w:bCs/>
                <w:sz w:val="16"/>
                <w:szCs w:val="16"/>
              </w:rPr>
              <w:t>CCP&amp; Rescheduled</w:t>
            </w:r>
          </w:p>
        </w:tc>
        <w:tc>
          <w:tcPr>
            <w:tcW w:w="688" w:type="dxa"/>
          </w:tcPr>
          <w:p w14:paraId="04157B6B" w14:textId="5B3F46E4" w:rsidR="0094728C" w:rsidRPr="00AE6690" w:rsidRDefault="0094728C" w:rsidP="00127D11">
            <w:pPr>
              <w:jc w:val="center"/>
              <w:rPr>
                <w:rFonts w:cs="Arial"/>
                <w:b/>
                <w:bCs/>
                <w:sz w:val="16"/>
                <w:szCs w:val="16"/>
              </w:rPr>
            </w:pPr>
            <w:r w:rsidRPr="00AE6690">
              <w:rPr>
                <w:rFonts w:cs="Arial"/>
                <w:b/>
                <w:bCs/>
                <w:sz w:val="16"/>
                <w:szCs w:val="16"/>
              </w:rPr>
              <w:t>CIM</w:t>
            </w:r>
          </w:p>
        </w:tc>
        <w:tc>
          <w:tcPr>
            <w:tcW w:w="946" w:type="dxa"/>
          </w:tcPr>
          <w:p w14:paraId="02F458D5" w14:textId="37EC28F9" w:rsidR="0094728C" w:rsidRPr="00AE6690" w:rsidRDefault="0094728C" w:rsidP="00127D11">
            <w:pPr>
              <w:jc w:val="center"/>
              <w:rPr>
                <w:rFonts w:cs="Arial"/>
                <w:b/>
                <w:bCs/>
                <w:sz w:val="16"/>
                <w:szCs w:val="16"/>
              </w:rPr>
            </w:pPr>
            <w:r w:rsidRPr="00AE6690">
              <w:rPr>
                <w:rFonts w:cs="Arial"/>
                <w:b/>
                <w:bCs/>
                <w:sz w:val="16"/>
                <w:szCs w:val="16"/>
              </w:rPr>
              <w:t>No Further Action</w:t>
            </w:r>
          </w:p>
        </w:tc>
        <w:tc>
          <w:tcPr>
            <w:tcW w:w="1323" w:type="dxa"/>
          </w:tcPr>
          <w:p w14:paraId="0D0553AE" w14:textId="0DFB7641" w:rsidR="0094728C" w:rsidRPr="00AE6690" w:rsidRDefault="0094728C" w:rsidP="00127D11">
            <w:pPr>
              <w:jc w:val="center"/>
              <w:rPr>
                <w:rFonts w:cs="Arial"/>
                <w:b/>
                <w:bCs/>
                <w:sz w:val="16"/>
                <w:szCs w:val="16"/>
              </w:rPr>
            </w:pPr>
            <w:r w:rsidRPr="00AE6690">
              <w:rPr>
                <w:rFonts w:cs="Arial"/>
                <w:b/>
                <w:bCs/>
                <w:sz w:val="16"/>
                <w:szCs w:val="16"/>
              </w:rPr>
              <w:t>Recommend Support Service</w:t>
            </w:r>
          </w:p>
        </w:tc>
        <w:tc>
          <w:tcPr>
            <w:tcW w:w="1258" w:type="dxa"/>
          </w:tcPr>
          <w:p w14:paraId="20680178" w14:textId="77777777" w:rsidR="0094728C" w:rsidRPr="00AE6690" w:rsidRDefault="0094728C" w:rsidP="00127D11">
            <w:pPr>
              <w:jc w:val="center"/>
              <w:rPr>
                <w:rFonts w:cs="Arial"/>
                <w:b/>
                <w:bCs/>
                <w:sz w:val="16"/>
                <w:szCs w:val="16"/>
              </w:rPr>
            </w:pPr>
            <w:r w:rsidRPr="00AE6690">
              <w:rPr>
                <w:rFonts w:cs="Arial"/>
                <w:b/>
                <w:bCs/>
                <w:sz w:val="16"/>
                <w:szCs w:val="16"/>
              </w:rPr>
              <w:t>Reprimand</w:t>
            </w:r>
          </w:p>
        </w:tc>
        <w:tc>
          <w:tcPr>
            <w:tcW w:w="699" w:type="dxa"/>
          </w:tcPr>
          <w:p w14:paraId="510D2877" w14:textId="77777777" w:rsidR="0094728C" w:rsidRPr="00AE6690" w:rsidRDefault="0094728C" w:rsidP="00127D11">
            <w:pPr>
              <w:jc w:val="right"/>
              <w:rPr>
                <w:rFonts w:cs="Arial"/>
                <w:b/>
                <w:bCs/>
                <w:sz w:val="16"/>
                <w:szCs w:val="16"/>
              </w:rPr>
            </w:pPr>
            <w:r w:rsidRPr="00AE6690">
              <w:rPr>
                <w:rFonts w:cs="Arial"/>
                <w:b/>
                <w:bCs/>
                <w:sz w:val="16"/>
                <w:szCs w:val="16"/>
              </w:rPr>
              <w:t>Total</w:t>
            </w:r>
          </w:p>
        </w:tc>
      </w:tr>
      <w:tr w:rsidR="0034073B" w14:paraId="1020AB47" w14:textId="77777777" w:rsidTr="00E65E47">
        <w:tc>
          <w:tcPr>
            <w:tcW w:w="1255" w:type="dxa"/>
          </w:tcPr>
          <w:p w14:paraId="38A91592" w14:textId="77777777" w:rsidR="0034073B" w:rsidRPr="00AE6690" w:rsidRDefault="0034073B" w:rsidP="0034073B">
            <w:pPr>
              <w:ind w:right="-425"/>
              <w:jc w:val="both"/>
              <w:rPr>
                <w:rFonts w:cs="Arial"/>
              </w:rPr>
            </w:pPr>
            <w:r w:rsidRPr="00AE6690">
              <w:rPr>
                <w:rFonts w:cs="Arial"/>
              </w:rPr>
              <w:t>AU</w:t>
            </w:r>
          </w:p>
        </w:tc>
        <w:tc>
          <w:tcPr>
            <w:tcW w:w="463" w:type="dxa"/>
          </w:tcPr>
          <w:p w14:paraId="49AD44CD" w14:textId="3BD8B497" w:rsidR="0034073B" w:rsidRPr="00AE6690" w:rsidRDefault="0034073B" w:rsidP="0034073B">
            <w:pPr>
              <w:jc w:val="right"/>
            </w:pPr>
            <w:r>
              <w:rPr>
                <w:rFonts w:cs="Arial"/>
                <w:color w:val="000000"/>
              </w:rPr>
              <w:t>5</w:t>
            </w:r>
          </w:p>
        </w:tc>
        <w:tc>
          <w:tcPr>
            <w:tcW w:w="1538" w:type="dxa"/>
          </w:tcPr>
          <w:p w14:paraId="17354BB6" w14:textId="0394E7FD" w:rsidR="0034073B" w:rsidRPr="00AE6690" w:rsidRDefault="0034073B" w:rsidP="0034073B">
            <w:pPr>
              <w:jc w:val="right"/>
            </w:pPr>
            <w:r>
              <w:rPr>
                <w:rFonts w:cs="Arial"/>
                <w:color w:val="000000"/>
              </w:rPr>
              <w:t>8</w:t>
            </w:r>
          </w:p>
        </w:tc>
        <w:tc>
          <w:tcPr>
            <w:tcW w:w="1356" w:type="dxa"/>
          </w:tcPr>
          <w:p w14:paraId="1575B12D" w14:textId="0294944E" w:rsidR="0034073B" w:rsidRDefault="0034073B" w:rsidP="0034073B">
            <w:pPr>
              <w:jc w:val="right"/>
              <w:rPr>
                <w:rFonts w:ascii="Arial" w:hAnsi="Arial" w:cs="Arial"/>
                <w:color w:val="000000"/>
              </w:rPr>
            </w:pPr>
            <w:r>
              <w:rPr>
                <w:rFonts w:cs="Arial"/>
                <w:color w:val="000000"/>
              </w:rPr>
              <w:t>0</w:t>
            </w:r>
          </w:p>
        </w:tc>
        <w:tc>
          <w:tcPr>
            <w:tcW w:w="688" w:type="dxa"/>
          </w:tcPr>
          <w:p w14:paraId="72A6336C" w14:textId="190A1B14" w:rsidR="0034073B" w:rsidRPr="00AE6690" w:rsidRDefault="0034073B" w:rsidP="0034073B">
            <w:pPr>
              <w:jc w:val="right"/>
            </w:pPr>
            <w:r>
              <w:rPr>
                <w:rFonts w:cs="Arial"/>
                <w:color w:val="000000"/>
              </w:rPr>
              <w:t>2</w:t>
            </w:r>
          </w:p>
        </w:tc>
        <w:tc>
          <w:tcPr>
            <w:tcW w:w="946" w:type="dxa"/>
          </w:tcPr>
          <w:p w14:paraId="7AF566B8" w14:textId="33BD7E39" w:rsidR="0034073B" w:rsidRPr="00AE6690" w:rsidRDefault="0034073B" w:rsidP="0034073B">
            <w:pPr>
              <w:jc w:val="right"/>
            </w:pPr>
            <w:r>
              <w:rPr>
                <w:rFonts w:cs="Arial"/>
                <w:color w:val="000000"/>
              </w:rPr>
              <w:t>10</w:t>
            </w:r>
          </w:p>
        </w:tc>
        <w:tc>
          <w:tcPr>
            <w:tcW w:w="1323" w:type="dxa"/>
          </w:tcPr>
          <w:p w14:paraId="0A8CA9D7" w14:textId="07A024C8" w:rsidR="0034073B" w:rsidRPr="00AE6690" w:rsidRDefault="0034073B" w:rsidP="0034073B">
            <w:pPr>
              <w:jc w:val="right"/>
            </w:pPr>
            <w:r>
              <w:rPr>
                <w:rFonts w:cs="Arial"/>
                <w:color w:val="000000"/>
              </w:rPr>
              <w:t>0</w:t>
            </w:r>
          </w:p>
        </w:tc>
        <w:tc>
          <w:tcPr>
            <w:tcW w:w="1258" w:type="dxa"/>
          </w:tcPr>
          <w:p w14:paraId="515C5886" w14:textId="25AFB87E" w:rsidR="0034073B" w:rsidRPr="00AE6690" w:rsidRDefault="0034073B" w:rsidP="0034073B">
            <w:pPr>
              <w:jc w:val="right"/>
            </w:pPr>
            <w:r>
              <w:rPr>
                <w:rFonts w:cs="Arial"/>
                <w:color w:val="000000"/>
              </w:rPr>
              <w:t>11</w:t>
            </w:r>
          </w:p>
        </w:tc>
        <w:tc>
          <w:tcPr>
            <w:tcW w:w="699" w:type="dxa"/>
            <w:vAlign w:val="bottom"/>
          </w:tcPr>
          <w:p w14:paraId="5EBCE817" w14:textId="61457737" w:rsidR="0034073B" w:rsidRPr="00AE6690" w:rsidRDefault="0034073B" w:rsidP="0034073B">
            <w:pPr>
              <w:jc w:val="right"/>
              <w:rPr>
                <w:b/>
                <w:bCs/>
              </w:rPr>
            </w:pPr>
            <w:r>
              <w:rPr>
                <w:rFonts w:cs="Arial"/>
                <w:b/>
                <w:bCs/>
              </w:rPr>
              <w:t>36</w:t>
            </w:r>
          </w:p>
        </w:tc>
      </w:tr>
      <w:tr w:rsidR="0034073B" w14:paraId="301C6385" w14:textId="77777777" w:rsidTr="00E65E47">
        <w:tc>
          <w:tcPr>
            <w:tcW w:w="1255" w:type="dxa"/>
          </w:tcPr>
          <w:p w14:paraId="50576C01" w14:textId="77777777" w:rsidR="0034073B" w:rsidRPr="00AE6690" w:rsidRDefault="0034073B" w:rsidP="0034073B">
            <w:pPr>
              <w:ind w:right="-425"/>
              <w:jc w:val="both"/>
              <w:rPr>
                <w:rFonts w:cs="Arial"/>
              </w:rPr>
            </w:pPr>
            <w:r w:rsidRPr="00AE6690">
              <w:rPr>
                <w:rFonts w:cs="Arial"/>
              </w:rPr>
              <w:t>CO</w:t>
            </w:r>
          </w:p>
        </w:tc>
        <w:tc>
          <w:tcPr>
            <w:tcW w:w="463" w:type="dxa"/>
          </w:tcPr>
          <w:p w14:paraId="44D73875" w14:textId="40FB50B9" w:rsidR="0034073B" w:rsidRPr="00AE6690" w:rsidRDefault="0034073B" w:rsidP="0034073B">
            <w:pPr>
              <w:jc w:val="right"/>
            </w:pPr>
            <w:r>
              <w:rPr>
                <w:rFonts w:cs="Arial"/>
                <w:color w:val="000000"/>
              </w:rPr>
              <w:t>3</w:t>
            </w:r>
          </w:p>
        </w:tc>
        <w:tc>
          <w:tcPr>
            <w:tcW w:w="1538" w:type="dxa"/>
          </w:tcPr>
          <w:p w14:paraId="0F9DAF08" w14:textId="04549796" w:rsidR="0034073B" w:rsidRPr="00AE6690" w:rsidRDefault="0034073B" w:rsidP="0034073B">
            <w:pPr>
              <w:jc w:val="right"/>
            </w:pPr>
            <w:r>
              <w:rPr>
                <w:rFonts w:cs="Arial"/>
                <w:color w:val="000000"/>
              </w:rPr>
              <w:t>0</w:t>
            </w:r>
          </w:p>
        </w:tc>
        <w:tc>
          <w:tcPr>
            <w:tcW w:w="1356" w:type="dxa"/>
          </w:tcPr>
          <w:p w14:paraId="246464CB" w14:textId="3C4808D2" w:rsidR="0034073B" w:rsidRDefault="0034073B" w:rsidP="0034073B">
            <w:pPr>
              <w:jc w:val="right"/>
              <w:rPr>
                <w:rFonts w:ascii="Arial" w:hAnsi="Arial" w:cs="Arial"/>
                <w:color w:val="000000"/>
              </w:rPr>
            </w:pPr>
            <w:r>
              <w:rPr>
                <w:rFonts w:cs="Arial"/>
                <w:color w:val="000000"/>
              </w:rPr>
              <w:t>0</w:t>
            </w:r>
          </w:p>
        </w:tc>
        <w:tc>
          <w:tcPr>
            <w:tcW w:w="688" w:type="dxa"/>
          </w:tcPr>
          <w:p w14:paraId="2F50872C" w14:textId="32872406" w:rsidR="0034073B" w:rsidRPr="00AE6690" w:rsidRDefault="0034073B" w:rsidP="0034073B">
            <w:pPr>
              <w:jc w:val="right"/>
            </w:pPr>
            <w:r>
              <w:rPr>
                <w:rFonts w:cs="Arial"/>
                <w:color w:val="000000"/>
              </w:rPr>
              <w:t>0</w:t>
            </w:r>
          </w:p>
        </w:tc>
        <w:tc>
          <w:tcPr>
            <w:tcW w:w="946" w:type="dxa"/>
          </w:tcPr>
          <w:p w14:paraId="4D1AF7D1" w14:textId="057DDBD1" w:rsidR="0034073B" w:rsidRPr="00AE6690" w:rsidRDefault="0034073B" w:rsidP="0034073B">
            <w:pPr>
              <w:jc w:val="right"/>
            </w:pPr>
            <w:r>
              <w:rPr>
                <w:rFonts w:cs="Arial"/>
                <w:color w:val="000000"/>
              </w:rPr>
              <w:t>0</w:t>
            </w:r>
          </w:p>
        </w:tc>
        <w:tc>
          <w:tcPr>
            <w:tcW w:w="1323" w:type="dxa"/>
          </w:tcPr>
          <w:p w14:paraId="225B50B4" w14:textId="4866880A" w:rsidR="0034073B" w:rsidRPr="00AE6690" w:rsidRDefault="0034073B" w:rsidP="0034073B">
            <w:pPr>
              <w:jc w:val="right"/>
            </w:pPr>
            <w:r>
              <w:rPr>
                <w:rFonts w:cs="Arial"/>
                <w:color w:val="000000"/>
              </w:rPr>
              <w:t>1</w:t>
            </w:r>
          </w:p>
        </w:tc>
        <w:tc>
          <w:tcPr>
            <w:tcW w:w="1258" w:type="dxa"/>
          </w:tcPr>
          <w:p w14:paraId="2433CFD3" w14:textId="207DBA6E" w:rsidR="0034073B" w:rsidRPr="00AE6690" w:rsidRDefault="0034073B" w:rsidP="0034073B">
            <w:pPr>
              <w:jc w:val="right"/>
            </w:pPr>
            <w:r>
              <w:rPr>
                <w:rFonts w:cs="Arial"/>
                <w:color w:val="000000"/>
              </w:rPr>
              <w:t>0</w:t>
            </w:r>
          </w:p>
        </w:tc>
        <w:tc>
          <w:tcPr>
            <w:tcW w:w="699" w:type="dxa"/>
            <w:vAlign w:val="bottom"/>
          </w:tcPr>
          <w:p w14:paraId="72B8A199" w14:textId="1265DCCA" w:rsidR="0034073B" w:rsidRPr="00AE6690" w:rsidRDefault="0034073B" w:rsidP="0034073B">
            <w:pPr>
              <w:jc w:val="right"/>
              <w:rPr>
                <w:b/>
                <w:bCs/>
              </w:rPr>
            </w:pPr>
            <w:r>
              <w:rPr>
                <w:rFonts w:cs="Arial"/>
                <w:b/>
                <w:bCs/>
              </w:rPr>
              <w:t>4</w:t>
            </w:r>
          </w:p>
        </w:tc>
      </w:tr>
      <w:tr w:rsidR="0034073B" w14:paraId="1AF88ED4" w14:textId="77777777" w:rsidTr="00E65E47">
        <w:tc>
          <w:tcPr>
            <w:tcW w:w="1255" w:type="dxa"/>
          </w:tcPr>
          <w:p w14:paraId="4C229F63" w14:textId="77777777" w:rsidR="0034073B" w:rsidRPr="00AE6690" w:rsidRDefault="0034073B" w:rsidP="0034073B">
            <w:pPr>
              <w:ind w:right="-425"/>
              <w:jc w:val="both"/>
              <w:rPr>
                <w:rFonts w:cs="Arial"/>
              </w:rPr>
            </w:pPr>
            <w:r w:rsidRPr="00AE6690">
              <w:rPr>
                <w:rFonts w:cs="Arial"/>
              </w:rPr>
              <w:t>DM</w:t>
            </w:r>
          </w:p>
        </w:tc>
        <w:tc>
          <w:tcPr>
            <w:tcW w:w="463" w:type="dxa"/>
          </w:tcPr>
          <w:p w14:paraId="67496A09" w14:textId="68D3E827" w:rsidR="0034073B" w:rsidRPr="00AE6690" w:rsidRDefault="0034073B" w:rsidP="0034073B">
            <w:pPr>
              <w:jc w:val="right"/>
            </w:pPr>
            <w:r>
              <w:rPr>
                <w:rFonts w:cs="Arial"/>
                <w:color w:val="000000"/>
              </w:rPr>
              <w:t>15</w:t>
            </w:r>
          </w:p>
        </w:tc>
        <w:tc>
          <w:tcPr>
            <w:tcW w:w="1538" w:type="dxa"/>
          </w:tcPr>
          <w:p w14:paraId="0675C9A5" w14:textId="247E17E8" w:rsidR="0034073B" w:rsidRPr="00AE6690" w:rsidRDefault="0034073B" w:rsidP="0034073B">
            <w:pPr>
              <w:jc w:val="right"/>
            </w:pPr>
            <w:r>
              <w:rPr>
                <w:rFonts w:cs="Arial"/>
                <w:color w:val="000000"/>
              </w:rPr>
              <w:t>4</w:t>
            </w:r>
          </w:p>
        </w:tc>
        <w:tc>
          <w:tcPr>
            <w:tcW w:w="1356" w:type="dxa"/>
          </w:tcPr>
          <w:p w14:paraId="31DCCB62" w14:textId="1467DCCD" w:rsidR="0034073B" w:rsidRDefault="0034073B" w:rsidP="0034073B">
            <w:pPr>
              <w:jc w:val="right"/>
              <w:rPr>
                <w:rFonts w:ascii="Arial" w:hAnsi="Arial" w:cs="Arial"/>
                <w:color w:val="000000"/>
              </w:rPr>
            </w:pPr>
            <w:r>
              <w:rPr>
                <w:rFonts w:cs="Arial"/>
                <w:color w:val="000000"/>
              </w:rPr>
              <w:t>1</w:t>
            </w:r>
          </w:p>
        </w:tc>
        <w:tc>
          <w:tcPr>
            <w:tcW w:w="688" w:type="dxa"/>
          </w:tcPr>
          <w:p w14:paraId="6FC56168" w14:textId="6F8E5CD1" w:rsidR="0034073B" w:rsidRPr="00AE6690" w:rsidRDefault="0034073B" w:rsidP="0034073B">
            <w:pPr>
              <w:jc w:val="right"/>
            </w:pPr>
            <w:r>
              <w:rPr>
                <w:rFonts w:cs="Arial"/>
                <w:color w:val="000000"/>
              </w:rPr>
              <w:t>2</w:t>
            </w:r>
          </w:p>
        </w:tc>
        <w:tc>
          <w:tcPr>
            <w:tcW w:w="946" w:type="dxa"/>
          </w:tcPr>
          <w:p w14:paraId="44389DB6" w14:textId="438BAE8B" w:rsidR="0034073B" w:rsidRPr="00AE6690" w:rsidRDefault="0034073B" w:rsidP="0034073B">
            <w:pPr>
              <w:jc w:val="right"/>
            </w:pPr>
            <w:r>
              <w:rPr>
                <w:rFonts w:cs="Arial"/>
                <w:color w:val="000000"/>
              </w:rPr>
              <w:t>10</w:t>
            </w:r>
          </w:p>
        </w:tc>
        <w:tc>
          <w:tcPr>
            <w:tcW w:w="1323" w:type="dxa"/>
          </w:tcPr>
          <w:p w14:paraId="09B97CC9" w14:textId="60B3E4A2" w:rsidR="0034073B" w:rsidRPr="00AE6690" w:rsidRDefault="0034073B" w:rsidP="0034073B">
            <w:pPr>
              <w:jc w:val="right"/>
            </w:pPr>
            <w:r>
              <w:rPr>
                <w:rFonts w:cs="Arial"/>
                <w:color w:val="000000"/>
              </w:rPr>
              <w:t>5</w:t>
            </w:r>
          </w:p>
        </w:tc>
        <w:tc>
          <w:tcPr>
            <w:tcW w:w="1258" w:type="dxa"/>
          </w:tcPr>
          <w:p w14:paraId="2BF4D189" w14:textId="70570865" w:rsidR="0034073B" w:rsidRPr="00AE6690" w:rsidRDefault="0034073B" w:rsidP="0034073B">
            <w:pPr>
              <w:jc w:val="right"/>
            </w:pPr>
            <w:r>
              <w:rPr>
                <w:rFonts w:cs="Arial"/>
                <w:color w:val="000000"/>
              </w:rPr>
              <w:t>0</w:t>
            </w:r>
          </w:p>
        </w:tc>
        <w:tc>
          <w:tcPr>
            <w:tcW w:w="699" w:type="dxa"/>
            <w:vAlign w:val="bottom"/>
          </w:tcPr>
          <w:p w14:paraId="6A174D2C" w14:textId="55E9F9F5" w:rsidR="0034073B" w:rsidRPr="00AE6690" w:rsidRDefault="0034073B" w:rsidP="0034073B">
            <w:pPr>
              <w:jc w:val="right"/>
              <w:rPr>
                <w:b/>
                <w:bCs/>
              </w:rPr>
            </w:pPr>
            <w:r>
              <w:rPr>
                <w:rFonts w:cs="Arial"/>
                <w:b/>
                <w:bCs/>
              </w:rPr>
              <w:t>37</w:t>
            </w:r>
          </w:p>
        </w:tc>
      </w:tr>
      <w:tr w:rsidR="0034073B" w14:paraId="0B079D3E" w14:textId="77777777" w:rsidTr="00E65E47">
        <w:tc>
          <w:tcPr>
            <w:tcW w:w="1255" w:type="dxa"/>
          </w:tcPr>
          <w:p w14:paraId="4C8C2425" w14:textId="77777777" w:rsidR="0034073B" w:rsidRPr="00AE6690" w:rsidRDefault="0034073B" w:rsidP="0034073B">
            <w:pPr>
              <w:ind w:right="-425"/>
              <w:jc w:val="both"/>
              <w:rPr>
                <w:rFonts w:cs="Arial"/>
              </w:rPr>
            </w:pPr>
            <w:r w:rsidRPr="00AE6690">
              <w:rPr>
                <w:rFonts w:cs="Arial"/>
              </w:rPr>
              <w:t>HV</w:t>
            </w:r>
          </w:p>
        </w:tc>
        <w:tc>
          <w:tcPr>
            <w:tcW w:w="463" w:type="dxa"/>
          </w:tcPr>
          <w:p w14:paraId="37538412" w14:textId="0C27222B" w:rsidR="0034073B" w:rsidRPr="00AE6690" w:rsidRDefault="0034073B" w:rsidP="0034073B">
            <w:pPr>
              <w:jc w:val="right"/>
            </w:pPr>
            <w:r>
              <w:rPr>
                <w:rFonts w:cs="Arial"/>
                <w:color w:val="000000"/>
              </w:rPr>
              <w:t>1</w:t>
            </w:r>
          </w:p>
        </w:tc>
        <w:tc>
          <w:tcPr>
            <w:tcW w:w="1538" w:type="dxa"/>
          </w:tcPr>
          <w:p w14:paraId="19FE7E35" w14:textId="54569041" w:rsidR="0034073B" w:rsidRPr="00AE6690" w:rsidRDefault="0034073B" w:rsidP="0034073B">
            <w:pPr>
              <w:jc w:val="right"/>
            </w:pPr>
            <w:r>
              <w:rPr>
                <w:rFonts w:cs="Arial"/>
                <w:color w:val="000000"/>
              </w:rPr>
              <w:t>2</w:t>
            </w:r>
          </w:p>
        </w:tc>
        <w:tc>
          <w:tcPr>
            <w:tcW w:w="1356" w:type="dxa"/>
          </w:tcPr>
          <w:p w14:paraId="24A9AB83" w14:textId="17E8F624" w:rsidR="0034073B" w:rsidRDefault="0034073B" w:rsidP="0034073B">
            <w:pPr>
              <w:jc w:val="right"/>
              <w:rPr>
                <w:rFonts w:ascii="Arial" w:hAnsi="Arial" w:cs="Arial"/>
                <w:color w:val="000000"/>
              </w:rPr>
            </w:pPr>
            <w:r>
              <w:rPr>
                <w:rFonts w:cs="Arial"/>
                <w:color w:val="000000"/>
              </w:rPr>
              <w:t>0</w:t>
            </w:r>
          </w:p>
        </w:tc>
        <w:tc>
          <w:tcPr>
            <w:tcW w:w="688" w:type="dxa"/>
          </w:tcPr>
          <w:p w14:paraId="533C7EA9" w14:textId="5F378577" w:rsidR="0034073B" w:rsidRPr="00AE6690" w:rsidRDefault="0034073B" w:rsidP="0034073B">
            <w:pPr>
              <w:jc w:val="right"/>
            </w:pPr>
            <w:r>
              <w:rPr>
                <w:rFonts w:cs="Arial"/>
                <w:color w:val="000000"/>
              </w:rPr>
              <w:t>0</w:t>
            </w:r>
          </w:p>
        </w:tc>
        <w:tc>
          <w:tcPr>
            <w:tcW w:w="946" w:type="dxa"/>
          </w:tcPr>
          <w:p w14:paraId="6CDAAF40" w14:textId="7007FD85" w:rsidR="0034073B" w:rsidRPr="00AE6690" w:rsidRDefault="0034073B" w:rsidP="0034073B">
            <w:pPr>
              <w:jc w:val="right"/>
            </w:pPr>
            <w:r>
              <w:rPr>
                <w:rFonts w:cs="Arial"/>
                <w:color w:val="000000"/>
              </w:rPr>
              <w:t>2</w:t>
            </w:r>
          </w:p>
        </w:tc>
        <w:tc>
          <w:tcPr>
            <w:tcW w:w="1323" w:type="dxa"/>
          </w:tcPr>
          <w:p w14:paraId="28BF6F9E" w14:textId="7D95C89B" w:rsidR="0034073B" w:rsidRPr="00AE6690" w:rsidRDefault="0034073B" w:rsidP="0034073B">
            <w:pPr>
              <w:jc w:val="right"/>
            </w:pPr>
            <w:r>
              <w:rPr>
                <w:rFonts w:cs="Arial"/>
                <w:color w:val="000000"/>
              </w:rPr>
              <w:t>0</w:t>
            </w:r>
          </w:p>
        </w:tc>
        <w:tc>
          <w:tcPr>
            <w:tcW w:w="1258" w:type="dxa"/>
          </w:tcPr>
          <w:p w14:paraId="5329BF30" w14:textId="763DD4B9" w:rsidR="0034073B" w:rsidRPr="00AE6690" w:rsidRDefault="0034073B" w:rsidP="0034073B">
            <w:pPr>
              <w:jc w:val="right"/>
            </w:pPr>
            <w:r>
              <w:rPr>
                <w:rFonts w:cs="Arial"/>
                <w:color w:val="000000"/>
              </w:rPr>
              <w:t>0</w:t>
            </w:r>
          </w:p>
        </w:tc>
        <w:tc>
          <w:tcPr>
            <w:tcW w:w="699" w:type="dxa"/>
            <w:vAlign w:val="bottom"/>
          </w:tcPr>
          <w:p w14:paraId="03987686" w14:textId="3D16A522" w:rsidR="0034073B" w:rsidRPr="00AE6690" w:rsidRDefault="0034073B" w:rsidP="0034073B">
            <w:pPr>
              <w:jc w:val="right"/>
              <w:rPr>
                <w:b/>
                <w:bCs/>
              </w:rPr>
            </w:pPr>
            <w:r>
              <w:rPr>
                <w:rFonts w:cs="Arial"/>
                <w:b/>
                <w:bCs/>
              </w:rPr>
              <w:t>5</w:t>
            </w:r>
          </w:p>
        </w:tc>
      </w:tr>
      <w:tr w:rsidR="0034073B" w14:paraId="1A110982" w14:textId="77777777" w:rsidTr="00E65E47">
        <w:tc>
          <w:tcPr>
            <w:tcW w:w="1255" w:type="dxa"/>
          </w:tcPr>
          <w:p w14:paraId="3E280D98" w14:textId="77777777" w:rsidR="0034073B" w:rsidRPr="00AE6690" w:rsidRDefault="0034073B" w:rsidP="0034073B">
            <w:pPr>
              <w:ind w:right="-425"/>
              <w:jc w:val="both"/>
              <w:rPr>
                <w:rFonts w:cs="Arial"/>
              </w:rPr>
            </w:pPr>
            <w:r w:rsidRPr="00AE6690">
              <w:rPr>
                <w:rFonts w:cs="Arial"/>
              </w:rPr>
              <w:t>MG</w:t>
            </w:r>
          </w:p>
        </w:tc>
        <w:tc>
          <w:tcPr>
            <w:tcW w:w="463" w:type="dxa"/>
          </w:tcPr>
          <w:p w14:paraId="219E514B" w14:textId="28C9E0CB" w:rsidR="0034073B" w:rsidRPr="00AE6690" w:rsidRDefault="0034073B" w:rsidP="0034073B">
            <w:pPr>
              <w:jc w:val="right"/>
            </w:pPr>
            <w:r>
              <w:rPr>
                <w:rFonts w:cs="Arial"/>
                <w:color w:val="000000"/>
              </w:rPr>
              <w:t>1</w:t>
            </w:r>
          </w:p>
        </w:tc>
        <w:tc>
          <w:tcPr>
            <w:tcW w:w="1538" w:type="dxa"/>
          </w:tcPr>
          <w:p w14:paraId="51A17240" w14:textId="63C1A49C" w:rsidR="0034073B" w:rsidRPr="00AE6690" w:rsidRDefault="0034073B" w:rsidP="0034073B">
            <w:pPr>
              <w:jc w:val="right"/>
            </w:pPr>
            <w:r>
              <w:rPr>
                <w:rFonts w:cs="Arial"/>
                <w:color w:val="000000"/>
              </w:rPr>
              <w:t>0</w:t>
            </w:r>
          </w:p>
        </w:tc>
        <w:tc>
          <w:tcPr>
            <w:tcW w:w="1356" w:type="dxa"/>
          </w:tcPr>
          <w:p w14:paraId="68FB8722" w14:textId="16D4DED9" w:rsidR="0034073B" w:rsidRDefault="0034073B" w:rsidP="0034073B">
            <w:pPr>
              <w:jc w:val="right"/>
              <w:rPr>
                <w:rFonts w:ascii="Arial" w:hAnsi="Arial" w:cs="Arial"/>
                <w:color w:val="000000"/>
              </w:rPr>
            </w:pPr>
            <w:r>
              <w:rPr>
                <w:rFonts w:cs="Arial"/>
                <w:color w:val="000000"/>
              </w:rPr>
              <w:t>0</w:t>
            </w:r>
          </w:p>
        </w:tc>
        <w:tc>
          <w:tcPr>
            <w:tcW w:w="688" w:type="dxa"/>
          </w:tcPr>
          <w:p w14:paraId="39A8F072" w14:textId="7F75ED11" w:rsidR="0034073B" w:rsidRPr="00AE6690" w:rsidRDefault="0034073B" w:rsidP="0034073B">
            <w:pPr>
              <w:jc w:val="right"/>
            </w:pPr>
            <w:r>
              <w:rPr>
                <w:rFonts w:cs="Arial"/>
                <w:color w:val="000000"/>
              </w:rPr>
              <w:t>1</w:t>
            </w:r>
          </w:p>
        </w:tc>
        <w:tc>
          <w:tcPr>
            <w:tcW w:w="946" w:type="dxa"/>
          </w:tcPr>
          <w:p w14:paraId="4786E29E" w14:textId="6A1494E4" w:rsidR="0034073B" w:rsidRPr="00AE6690" w:rsidRDefault="0034073B" w:rsidP="0034073B">
            <w:pPr>
              <w:jc w:val="right"/>
            </w:pPr>
            <w:r>
              <w:rPr>
                <w:rFonts w:cs="Arial"/>
                <w:color w:val="000000"/>
              </w:rPr>
              <w:t>1</w:t>
            </w:r>
          </w:p>
        </w:tc>
        <w:tc>
          <w:tcPr>
            <w:tcW w:w="1323" w:type="dxa"/>
          </w:tcPr>
          <w:p w14:paraId="72B56FC5" w14:textId="32A0E870" w:rsidR="0034073B" w:rsidRPr="00AE6690" w:rsidRDefault="0034073B" w:rsidP="0034073B">
            <w:pPr>
              <w:jc w:val="right"/>
            </w:pPr>
            <w:r>
              <w:rPr>
                <w:rFonts w:cs="Arial"/>
                <w:color w:val="000000"/>
              </w:rPr>
              <w:t>0</w:t>
            </w:r>
          </w:p>
        </w:tc>
        <w:tc>
          <w:tcPr>
            <w:tcW w:w="1258" w:type="dxa"/>
          </w:tcPr>
          <w:p w14:paraId="358DC4D7" w14:textId="6201E2F5" w:rsidR="0034073B" w:rsidRPr="00AE6690" w:rsidRDefault="0034073B" w:rsidP="0034073B">
            <w:pPr>
              <w:jc w:val="right"/>
            </w:pPr>
            <w:r>
              <w:rPr>
                <w:rFonts w:cs="Arial"/>
                <w:color w:val="000000"/>
              </w:rPr>
              <w:t>0</w:t>
            </w:r>
          </w:p>
        </w:tc>
        <w:tc>
          <w:tcPr>
            <w:tcW w:w="699" w:type="dxa"/>
            <w:vAlign w:val="bottom"/>
          </w:tcPr>
          <w:p w14:paraId="1AC531B7" w14:textId="7D6CBBC6" w:rsidR="0034073B" w:rsidRPr="00AE6690" w:rsidRDefault="0034073B" w:rsidP="0034073B">
            <w:pPr>
              <w:jc w:val="right"/>
              <w:rPr>
                <w:b/>
                <w:bCs/>
              </w:rPr>
            </w:pPr>
            <w:r>
              <w:rPr>
                <w:rFonts w:cs="Arial"/>
                <w:b/>
                <w:bCs/>
              </w:rPr>
              <w:t>3</w:t>
            </w:r>
          </w:p>
        </w:tc>
      </w:tr>
      <w:tr w:rsidR="0034073B" w14:paraId="7D295E1A" w14:textId="77777777" w:rsidTr="00E65E47">
        <w:tc>
          <w:tcPr>
            <w:tcW w:w="1255" w:type="dxa"/>
          </w:tcPr>
          <w:p w14:paraId="1AA67368" w14:textId="77777777" w:rsidR="0034073B" w:rsidRPr="00AE6690" w:rsidRDefault="0034073B" w:rsidP="0034073B">
            <w:pPr>
              <w:ind w:right="-425"/>
              <w:jc w:val="both"/>
              <w:rPr>
                <w:rFonts w:cs="Arial"/>
                <w:b/>
                <w:bCs/>
              </w:rPr>
            </w:pPr>
            <w:r w:rsidRPr="00AE6690">
              <w:rPr>
                <w:rFonts w:cs="Arial"/>
                <w:b/>
                <w:bCs/>
              </w:rPr>
              <w:t>Total</w:t>
            </w:r>
          </w:p>
        </w:tc>
        <w:tc>
          <w:tcPr>
            <w:tcW w:w="463" w:type="dxa"/>
            <w:vAlign w:val="bottom"/>
          </w:tcPr>
          <w:p w14:paraId="7EA61294" w14:textId="4F6C94EA" w:rsidR="0034073B" w:rsidRPr="00AE6690" w:rsidRDefault="0034073B" w:rsidP="0034073B">
            <w:pPr>
              <w:jc w:val="right"/>
              <w:rPr>
                <w:b/>
                <w:bCs/>
              </w:rPr>
            </w:pPr>
            <w:r>
              <w:rPr>
                <w:rFonts w:cs="Arial"/>
                <w:b/>
                <w:bCs/>
              </w:rPr>
              <w:t>25</w:t>
            </w:r>
          </w:p>
        </w:tc>
        <w:tc>
          <w:tcPr>
            <w:tcW w:w="1538" w:type="dxa"/>
            <w:vAlign w:val="bottom"/>
          </w:tcPr>
          <w:p w14:paraId="4423A1A4" w14:textId="1399A3C3" w:rsidR="0034073B" w:rsidRPr="00AE6690" w:rsidRDefault="0034073B" w:rsidP="0034073B">
            <w:pPr>
              <w:jc w:val="right"/>
              <w:rPr>
                <w:b/>
                <w:bCs/>
              </w:rPr>
            </w:pPr>
            <w:r>
              <w:rPr>
                <w:rFonts w:cs="Arial"/>
                <w:b/>
                <w:bCs/>
              </w:rPr>
              <w:t>14</w:t>
            </w:r>
          </w:p>
        </w:tc>
        <w:tc>
          <w:tcPr>
            <w:tcW w:w="1356" w:type="dxa"/>
            <w:vAlign w:val="bottom"/>
          </w:tcPr>
          <w:p w14:paraId="74EF03FC" w14:textId="082C1FA6" w:rsidR="0034073B" w:rsidRDefault="0034073B" w:rsidP="0034073B">
            <w:pPr>
              <w:jc w:val="right"/>
              <w:rPr>
                <w:rFonts w:ascii="Arial" w:hAnsi="Arial" w:cs="Arial"/>
                <w:b/>
                <w:bCs/>
              </w:rPr>
            </w:pPr>
            <w:r>
              <w:rPr>
                <w:rFonts w:cs="Arial"/>
                <w:b/>
                <w:bCs/>
              </w:rPr>
              <w:t>1</w:t>
            </w:r>
          </w:p>
        </w:tc>
        <w:tc>
          <w:tcPr>
            <w:tcW w:w="688" w:type="dxa"/>
            <w:vAlign w:val="bottom"/>
          </w:tcPr>
          <w:p w14:paraId="25FCDD62" w14:textId="1FC6D270" w:rsidR="0034073B" w:rsidRPr="00AE6690" w:rsidRDefault="0034073B" w:rsidP="0034073B">
            <w:pPr>
              <w:jc w:val="right"/>
              <w:rPr>
                <w:b/>
                <w:bCs/>
              </w:rPr>
            </w:pPr>
            <w:r>
              <w:rPr>
                <w:rFonts w:cs="Arial"/>
                <w:b/>
                <w:bCs/>
              </w:rPr>
              <w:t>5</w:t>
            </w:r>
          </w:p>
        </w:tc>
        <w:tc>
          <w:tcPr>
            <w:tcW w:w="946" w:type="dxa"/>
            <w:vAlign w:val="bottom"/>
          </w:tcPr>
          <w:p w14:paraId="3CFBABCB" w14:textId="2983CFD5" w:rsidR="0034073B" w:rsidRPr="00AE6690" w:rsidRDefault="0034073B" w:rsidP="0034073B">
            <w:pPr>
              <w:jc w:val="right"/>
              <w:rPr>
                <w:b/>
                <w:bCs/>
              </w:rPr>
            </w:pPr>
            <w:r>
              <w:rPr>
                <w:rFonts w:cs="Arial"/>
                <w:b/>
                <w:bCs/>
              </w:rPr>
              <w:t>23</w:t>
            </w:r>
          </w:p>
        </w:tc>
        <w:tc>
          <w:tcPr>
            <w:tcW w:w="1323" w:type="dxa"/>
            <w:vAlign w:val="bottom"/>
          </w:tcPr>
          <w:p w14:paraId="6B72A0E8" w14:textId="40C8DA3F" w:rsidR="0034073B" w:rsidRPr="00AE6690" w:rsidRDefault="0034073B" w:rsidP="0034073B">
            <w:pPr>
              <w:jc w:val="right"/>
              <w:rPr>
                <w:b/>
                <w:bCs/>
              </w:rPr>
            </w:pPr>
            <w:r>
              <w:rPr>
                <w:rFonts w:cs="Arial"/>
                <w:b/>
                <w:bCs/>
              </w:rPr>
              <w:t>6</w:t>
            </w:r>
          </w:p>
        </w:tc>
        <w:tc>
          <w:tcPr>
            <w:tcW w:w="1258" w:type="dxa"/>
            <w:vAlign w:val="bottom"/>
          </w:tcPr>
          <w:p w14:paraId="2793E47C" w14:textId="746981BE" w:rsidR="0034073B" w:rsidRPr="00AE6690" w:rsidRDefault="0034073B" w:rsidP="0034073B">
            <w:pPr>
              <w:jc w:val="right"/>
              <w:rPr>
                <w:b/>
                <w:bCs/>
              </w:rPr>
            </w:pPr>
            <w:r>
              <w:rPr>
                <w:rFonts w:cs="Arial"/>
                <w:b/>
                <w:bCs/>
              </w:rPr>
              <w:t>11</w:t>
            </w:r>
          </w:p>
        </w:tc>
        <w:tc>
          <w:tcPr>
            <w:tcW w:w="699" w:type="dxa"/>
            <w:vAlign w:val="bottom"/>
          </w:tcPr>
          <w:p w14:paraId="6FB13ACB" w14:textId="0EA35495" w:rsidR="0034073B" w:rsidRPr="00AE6690" w:rsidRDefault="0034073B" w:rsidP="0034073B">
            <w:pPr>
              <w:jc w:val="right"/>
              <w:rPr>
                <w:b/>
                <w:bCs/>
              </w:rPr>
            </w:pPr>
            <w:r>
              <w:rPr>
                <w:rFonts w:cs="Arial"/>
                <w:b/>
                <w:bCs/>
              </w:rPr>
              <w:t>85</w:t>
            </w:r>
          </w:p>
        </w:tc>
      </w:tr>
    </w:tbl>
    <w:p w14:paraId="370BFC10" w14:textId="6394BA5A" w:rsidR="00D505F2" w:rsidRDefault="00D505F2" w:rsidP="00237AB1">
      <w:pPr>
        <w:ind w:left="-142" w:right="-425"/>
        <w:jc w:val="both"/>
        <w:rPr>
          <w:rFonts w:cs="Arial"/>
        </w:rPr>
      </w:pPr>
    </w:p>
    <w:p w14:paraId="1C006F71" w14:textId="3E524891" w:rsidR="00270A6D" w:rsidRPr="004B6F52" w:rsidRDefault="00270A6D" w:rsidP="00270A6D">
      <w:pPr>
        <w:spacing w:after="120" w:line="240" w:lineRule="auto"/>
        <w:ind w:left="794" w:hanging="794"/>
      </w:pPr>
      <w:r w:rsidRPr="004B6F52">
        <w:rPr>
          <w:b/>
          <w:sz w:val="16"/>
          <w:szCs w:val="16"/>
        </w:rPr>
        <w:t xml:space="preserve">Table </w:t>
      </w:r>
      <w:r w:rsidR="005E50F0">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2"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2"/>
      <w:r w:rsidRPr="004B6F52">
        <w:rPr>
          <w:sz w:val="16"/>
          <w:szCs w:val="16"/>
        </w:rPr>
        <w:t xml:space="preserve">from </w:t>
      </w:r>
      <w:r w:rsidR="00F83C14">
        <w:rPr>
          <w:sz w:val="16"/>
          <w:szCs w:val="16"/>
        </w:rPr>
        <w:t xml:space="preserve">1 </w:t>
      </w:r>
      <w:r w:rsidR="00DA70CA">
        <w:rPr>
          <w:sz w:val="16"/>
          <w:szCs w:val="16"/>
        </w:rPr>
        <w:t>April</w:t>
      </w:r>
      <w:r w:rsidR="00415BC8">
        <w:rPr>
          <w:sz w:val="16"/>
          <w:szCs w:val="16"/>
        </w:rPr>
        <w:t xml:space="preserve"> 2022</w:t>
      </w:r>
      <w:r w:rsidRPr="004B6F52">
        <w:rPr>
          <w:sz w:val="16"/>
          <w:szCs w:val="16"/>
        </w:rPr>
        <w:t xml:space="preserve"> to </w:t>
      </w:r>
      <w:r w:rsidR="00DA70CA">
        <w:rPr>
          <w:sz w:val="16"/>
          <w:szCs w:val="16"/>
        </w:rPr>
        <w:t>30 June</w:t>
      </w:r>
      <w:r w:rsidR="001A5C4C">
        <w:rPr>
          <w:sz w:val="16"/>
          <w:szCs w:val="16"/>
        </w:rPr>
        <w:t xml:space="preserve"> 2022</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5C7600">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992"/>
        <w:gridCol w:w="992"/>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14:paraId="3B7805EC" w14:textId="77777777" w:rsidTr="0094728C">
        <w:trPr>
          <w:trHeight w:val="458"/>
        </w:trPr>
        <w:tc>
          <w:tcPr>
            <w:tcW w:w="1588" w:type="dxa"/>
          </w:tcPr>
          <w:p w14:paraId="2C3BEFA7" w14:textId="77777777" w:rsidR="002D2253" w:rsidRPr="004B6F52" w:rsidRDefault="002D2253" w:rsidP="00F961A8">
            <w:pPr>
              <w:ind w:right="-425"/>
              <w:jc w:val="both"/>
              <w:rPr>
                <w:rFonts w:cs="Arial"/>
                <w:b/>
                <w:bCs/>
              </w:rPr>
            </w:pPr>
            <w:r w:rsidRPr="004B6F52">
              <w:rPr>
                <w:rFonts w:cs="Arial"/>
                <w:b/>
                <w:bCs/>
              </w:rPr>
              <w:t>Community</w:t>
            </w:r>
          </w:p>
        </w:tc>
        <w:tc>
          <w:tcPr>
            <w:tcW w:w="992" w:type="dxa"/>
            <w:vAlign w:val="bottom"/>
          </w:tcPr>
          <w:p w14:paraId="0EC72F94" w14:textId="5CE669EE" w:rsidR="002D2253" w:rsidRPr="004B6F52" w:rsidRDefault="002D2253" w:rsidP="00F961A8">
            <w:pPr>
              <w:jc w:val="center"/>
              <w:rPr>
                <w:rFonts w:cs="Arial"/>
                <w:b/>
                <w:bCs/>
              </w:rPr>
            </w:pPr>
            <w:r>
              <w:rPr>
                <w:rFonts w:ascii="Arial" w:hAnsi="Arial" w:cs="Arial"/>
                <w:b/>
                <w:bCs/>
              </w:rPr>
              <w:t>CCP End</w:t>
            </w:r>
          </w:p>
        </w:tc>
        <w:tc>
          <w:tcPr>
            <w:tcW w:w="1418" w:type="dxa"/>
            <w:vAlign w:val="bottom"/>
          </w:tcPr>
          <w:p w14:paraId="12659BD5" w14:textId="13C9149F" w:rsidR="002D2253" w:rsidRPr="004B6F52" w:rsidRDefault="002D2253" w:rsidP="00F961A8">
            <w:pPr>
              <w:jc w:val="center"/>
              <w:rPr>
                <w:rFonts w:cs="Arial"/>
                <w:b/>
                <w:bCs/>
              </w:rPr>
            </w:pPr>
            <w:r>
              <w:rPr>
                <w:rFonts w:ascii="Arial" w:hAnsi="Arial" w:cs="Arial"/>
                <w:b/>
                <w:bCs/>
              </w:rPr>
              <w:t>CCP End &amp; CIM End</w:t>
            </w:r>
          </w:p>
        </w:tc>
        <w:tc>
          <w:tcPr>
            <w:tcW w:w="992" w:type="dxa"/>
            <w:vAlign w:val="bottom"/>
          </w:tcPr>
          <w:p w14:paraId="5F17FCC4" w14:textId="4C06D4F6" w:rsidR="002D2253" w:rsidRPr="004B6F52" w:rsidRDefault="002D2253" w:rsidP="00F961A8">
            <w:pPr>
              <w:jc w:val="center"/>
              <w:rPr>
                <w:rFonts w:cs="Arial"/>
                <w:b/>
                <w:bCs/>
              </w:rPr>
            </w:pPr>
            <w:r>
              <w:rPr>
                <w:rFonts w:ascii="Arial" w:hAnsi="Arial" w:cs="Arial"/>
                <w:b/>
                <w:bCs/>
              </w:rPr>
              <w:t>CIM Amend</w:t>
            </w:r>
          </w:p>
        </w:tc>
        <w:tc>
          <w:tcPr>
            <w:tcW w:w="992" w:type="dxa"/>
            <w:vAlign w:val="bottom"/>
          </w:tcPr>
          <w:p w14:paraId="3648C27F" w14:textId="45BB8B97" w:rsidR="002D2253" w:rsidRPr="004B6F52" w:rsidRDefault="002D2253" w:rsidP="00F961A8">
            <w:pPr>
              <w:jc w:val="center"/>
              <w:rPr>
                <w:rFonts w:cs="Arial"/>
                <w:b/>
                <w:bCs/>
              </w:rPr>
            </w:pPr>
            <w:r>
              <w:rPr>
                <w:rFonts w:ascii="Arial" w:hAnsi="Arial" w:cs="Arial"/>
                <w:b/>
                <w:bCs/>
              </w:rPr>
              <w:t>CIM End</w:t>
            </w:r>
          </w:p>
        </w:tc>
        <w:tc>
          <w:tcPr>
            <w:tcW w:w="1276" w:type="dxa"/>
            <w:vAlign w:val="bottom"/>
          </w:tcPr>
          <w:p w14:paraId="7D3258B0" w14:textId="46E6EF21" w:rsidR="002D2253" w:rsidRPr="004B6F52" w:rsidRDefault="002D2253" w:rsidP="00F961A8">
            <w:pPr>
              <w:jc w:val="right"/>
              <w:rPr>
                <w:rFonts w:cs="Arial"/>
                <w:b/>
                <w:bCs/>
              </w:rPr>
            </w:pPr>
            <w:r>
              <w:rPr>
                <w:rFonts w:ascii="Arial" w:hAnsi="Arial" w:cs="Arial"/>
                <w:b/>
                <w:bCs/>
              </w:rPr>
              <w:t>No Further Action</w:t>
            </w:r>
          </w:p>
        </w:tc>
        <w:tc>
          <w:tcPr>
            <w:tcW w:w="851" w:type="dxa"/>
          </w:tcPr>
          <w:p w14:paraId="434B513A" w14:textId="5D54118E" w:rsidR="002D2253" w:rsidRPr="00294D17" w:rsidRDefault="002D2253" w:rsidP="00F961A8">
            <w:pPr>
              <w:jc w:val="right"/>
              <w:rPr>
                <w:rFonts w:cs="Arial"/>
                <w:b/>
                <w:bCs/>
              </w:rPr>
            </w:pPr>
            <w:r w:rsidRPr="004B6F52">
              <w:rPr>
                <w:rFonts w:cs="Arial"/>
                <w:b/>
                <w:bCs/>
              </w:rPr>
              <w:t>Total</w:t>
            </w:r>
          </w:p>
        </w:tc>
      </w:tr>
      <w:tr w:rsidR="0034073B" w14:paraId="5A3BBB23" w14:textId="77777777" w:rsidTr="0094728C">
        <w:trPr>
          <w:trHeight w:val="222"/>
        </w:trPr>
        <w:tc>
          <w:tcPr>
            <w:tcW w:w="1588" w:type="dxa"/>
          </w:tcPr>
          <w:p w14:paraId="0687FF23" w14:textId="77777777" w:rsidR="0034073B" w:rsidRPr="00294D17" w:rsidRDefault="0034073B" w:rsidP="0034073B">
            <w:pPr>
              <w:ind w:right="-425"/>
              <w:jc w:val="both"/>
              <w:rPr>
                <w:rFonts w:cs="Arial"/>
                <w:b/>
                <w:bCs/>
              </w:rPr>
            </w:pPr>
            <w:r w:rsidRPr="00294D17">
              <w:rPr>
                <w:rFonts w:cs="Arial"/>
                <w:b/>
                <w:bCs/>
              </w:rPr>
              <w:t>Total</w:t>
            </w:r>
          </w:p>
        </w:tc>
        <w:tc>
          <w:tcPr>
            <w:tcW w:w="992" w:type="dxa"/>
            <w:vAlign w:val="bottom"/>
          </w:tcPr>
          <w:p w14:paraId="5B6FF504" w14:textId="32039A66" w:rsidR="0034073B" w:rsidRPr="008742B2" w:rsidRDefault="0034073B" w:rsidP="0034073B">
            <w:pPr>
              <w:jc w:val="right"/>
              <w:rPr>
                <w:b/>
                <w:bCs/>
              </w:rPr>
            </w:pPr>
            <w:r>
              <w:rPr>
                <w:rFonts w:cs="Arial"/>
                <w:b/>
                <w:bCs/>
              </w:rPr>
              <w:t>0</w:t>
            </w:r>
          </w:p>
        </w:tc>
        <w:tc>
          <w:tcPr>
            <w:tcW w:w="1418" w:type="dxa"/>
            <w:vAlign w:val="bottom"/>
          </w:tcPr>
          <w:p w14:paraId="2A53915F" w14:textId="4F471A70" w:rsidR="0034073B" w:rsidRPr="008742B2" w:rsidRDefault="0034073B" w:rsidP="0034073B">
            <w:pPr>
              <w:jc w:val="right"/>
              <w:rPr>
                <w:b/>
                <w:bCs/>
              </w:rPr>
            </w:pPr>
            <w:r>
              <w:rPr>
                <w:rFonts w:cs="Arial"/>
                <w:b/>
                <w:bCs/>
              </w:rPr>
              <w:t>0</w:t>
            </w:r>
          </w:p>
        </w:tc>
        <w:tc>
          <w:tcPr>
            <w:tcW w:w="992" w:type="dxa"/>
            <w:vAlign w:val="bottom"/>
          </w:tcPr>
          <w:p w14:paraId="62FCB111" w14:textId="75CE1D4A" w:rsidR="0034073B" w:rsidRPr="008742B2" w:rsidRDefault="0034073B" w:rsidP="0034073B">
            <w:pPr>
              <w:jc w:val="right"/>
              <w:rPr>
                <w:b/>
                <w:bCs/>
              </w:rPr>
            </w:pPr>
            <w:r>
              <w:rPr>
                <w:rFonts w:cs="Arial"/>
                <w:b/>
                <w:bCs/>
              </w:rPr>
              <w:t>0</w:t>
            </w:r>
          </w:p>
        </w:tc>
        <w:tc>
          <w:tcPr>
            <w:tcW w:w="992" w:type="dxa"/>
            <w:vAlign w:val="bottom"/>
          </w:tcPr>
          <w:p w14:paraId="1321C4ED" w14:textId="7F46A195" w:rsidR="0034073B" w:rsidRPr="008742B2" w:rsidRDefault="0034073B" w:rsidP="0034073B">
            <w:pPr>
              <w:jc w:val="right"/>
              <w:rPr>
                <w:b/>
                <w:bCs/>
              </w:rPr>
            </w:pPr>
            <w:r>
              <w:rPr>
                <w:rFonts w:cs="Arial"/>
                <w:b/>
                <w:bCs/>
              </w:rPr>
              <w:t>3</w:t>
            </w:r>
          </w:p>
        </w:tc>
        <w:tc>
          <w:tcPr>
            <w:tcW w:w="1276" w:type="dxa"/>
            <w:vAlign w:val="bottom"/>
          </w:tcPr>
          <w:p w14:paraId="70642BB8" w14:textId="53B1BB27" w:rsidR="0034073B" w:rsidRPr="008742B2" w:rsidRDefault="0034073B" w:rsidP="0034073B">
            <w:pPr>
              <w:jc w:val="right"/>
              <w:rPr>
                <w:b/>
                <w:bCs/>
              </w:rPr>
            </w:pPr>
            <w:r>
              <w:rPr>
                <w:rFonts w:cs="Arial"/>
                <w:b/>
                <w:bCs/>
              </w:rPr>
              <w:t>0</w:t>
            </w:r>
          </w:p>
        </w:tc>
        <w:tc>
          <w:tcPr>
            <w:tcW w:w="851" w:type="dxa"/>
            <w:vAlign w:val="bottom"/>
          </w:tcPr>
          <w:p w14:paraId="542CEAE2" w14:textId="6465A1E7" w:rsidR="0034073B" w:rsidRPr="008742B2" w:rsidRDefault="0034073B" w:rsidP="0034073B">
            <w:pPr>
              <w:jc w:val="right"/>
              <w:rPr>
                <w:b/>
                <w:bCs/>
              </w:rPr>
            </w:pPr>
            <w:r>
              <w:rPr>
                <w:rFonts w:cs="Arial"/>
                <w:b/>
                <w:bCs/>
              </w:rPr>
              <w:t>3</w:t>
            </w:r>
          </w:p>
        </w:tc>
      </w:tr>
    </w:tbl>
    <w:p w14:paraId="5681D27B" w14:textId="77777777" w:rsidR="00B23CEA" w:rsidRDefault="00B23CEA" w:rsidP="00CA7C48">
      <w:pPr>
        <w:spacing w:after="120" w:line="240" w:lineRule="auto"/>
        <w:ind w:left="794" w:hanging="794"/>
        <w:rPr>
          <w:b/>
          <w:sz w:val="16"/>
          <w:szCs w:val="16"/>
        </w:rPr>
      </w:pPr>
      <w:bookmarkStart w:id="13" w:name="_Hlk69483860"/>
    </w:p>
    <w:p w14:paraId="58CC2AE4" w14:textId="77777777" w:rsidR="005E50F0" w:rsidRDefault="005E50F0">
      <w:pPr>
        <w:spacing w:line="240" w:lineRule="auto"/>
        <w:rPr>
          <w:b/>
          <w:sz w:val="16"/>
          <w:szCs w:val="16"/>
        </w:rPr>
      </w:pPr>
      <w:r>
        <w:rPr>
          <w:b/>
          <w:sz w:val="16"/>
          <w:szCs w:val="16"/>
        </w:rPr>
        <w:br w:type="page"/>
      </w:r>
    </w:p>
    <w:p w14:paraId="1B8999AA" w14:textId="13AC6C87" w:rsidR="00CA7C48" w:rsidRPr="004B6F52" w:rsidRDefault="00CA7C48" w:rsidP="00CA7C48">
      <w:pPr>
        <w:spacing w:after="120" w:line="240" w:lineRule="auto"/>
        <w:ind w:left="794" w:hanging="794"/>
      </w:pPr>
      <w:r w:rsidRPr="004B6F52">
        <w:rPr>
          <w:b/>
          <w:sz w:val="16"/>
          <w:szCs w:val="16"/>
        </w:rPr>
        <w:lastRenderedPageBreak/>
        <w:t xml:space="preserve">Table </w:t>
      </w:r>
      <w:r w:rsidR="005E50F0">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F83C14">
        <w:rPr>
          <w:sz w:val="16"/>
          <w:szCs w:val="16"/>
        </w:rPr>
        <w:t xml:space="preserve">1 </w:t>
      </w:r>
      <w:r w:rsidR="00DA70CA">
        <w:rPr>
          <w:sz w:val="16"/>
          <w:szCs w:val="16"/>
        </w:rPr>
        <w:t>April</w:t>
      </w:r>
      <w:r w:rsidR="00415BC8">
        <w:rPr>
          <w:sz w:val="16"/>
          <w:szCs w:val="16"/>
        </w:rPr>
        <w:t xml:space="preserve"> 2022</w:t>
      </w:r>
      <w:r w:rsidRPr="004B6F52">
        <w:rPr>
          <w:sz w:val="16"/>
          <w:szCs w:val="16"/>
        </w:rPr>
        <w:t xml:space="preserve"> to </w:t>
      </w:r>
      <w:r w:rsidR="00DA70CA">
        <w:rPr>
          <w:sz w:val="16"/>
          <w:szCs w:val="16"/>
        </w:rPr>
        <w:t>30 June</w:t>
      </w:r>
      <w:r w:rsidR="001A5C4C">
        <w:rPr>
          <w:sz w:val="16"/>
          <w:szCs w:val="16"/>
        </w:rPr>
        <w:t xml:space="preserve"> 2022</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3B4B45" w14:paraId="16A64130" w14:textId="77777777" w:rsidTr="00E65E47">
        <w:tc>
          <w:tcPr>
            <w:tcW w:w="1496" w:type="dxa"/>
          </w:tcPr>
          <w:p w14:paraId="11A0DFEF" w14:textId="77777777" w:rsidR="003B4B45" w:rsidRPr="00294D17" w:rsidRDefault="003B4B45" w:rsidP="003B4B45">
            <w:pPr>
              <w:ind w:right="-425"/>
              <w:jc w:val="both"/>
              <w:rPr>
                <w:rFonts w:cs="Arial"/>
                <w:b/>
                <w:bCs/>
              </w:rPr>
            </w:pPr>
            <w:r w:rsidRPr="00294D17">
              <w:rPr>
                <w:rFonts w:cs="Arial"/>
                <w:b/>
                <w:bCs/>
              </w:rPr>
              <w:t>Total</w:t>
            </w:r>
          </w:p>
        </w:tc>
        <w:tc>
          <w:tcPr>
            <w:tcW w:w="1793" w:type="dxa"/>
            <w:vAlign w:val="bottom"/>
          </w:tcPr>
          <w:p w14:paraId="171714C6" w14:textId="2907B695" w:rsidR="003B4B45" w:rsidRPr="00900EA0" w:rsidRDefault="003B4B45" w:rsidP="003B4B45">
            <w:pPr>
              <w:jc w:val="right"/>
              <w:rPr>
                <w:b/>
                <w:bCs/>
              </w:rPr>
            </w:pPr>
            <w:r>
              <w:rPr>
                <w:rFonts w:cs="Arial"/>
                <w:b/>
                <w:bCs/>
              </w:rPr>
              <w:t>1</w:t>
            </w:r>
          </w:p>
        </w:tc>
        <w:tc>
          <w:tcPr>
            <w:tcW w:w="1227" w:type="dxa"/>
            <w:vAlign w:val="bottom"/>
          </w:tcPr>
          <w:p w14:paraId="3DCD9CB4" w14:textId="27F447B3" w:rsidR="003B4B45" w:rsidRPr="00900EA0" w:rsidRDefault="003B4B45" w:rsidP="003B4B45">
            <w:pPr>
              <w:jc w:val="right"/>
              <w:rPr>
                <w:b/>
                <w:bCs/>
              </w:rPr>
            </w:pPr>
            <w:r>
              <w:rPr>
                <w:rFonts w:cs="Arial"/>
                <w:b/>
                <w:bCs/>
              </w:rPr>
              <w:t>4</w:t>
            </w:r>
          </w:p>
        </w:tc>
        <w:tc>
          <w:tcPr>
            <w:tcW w:w="2742" w:type="dxa"/>
            <w:vAlign w:val="bottom"/>
          </w:tcPr>
          <w:p w14:paraId="1EDA8F9D" w14:textId="616F6223" w:rsidR="003B4B45" w:rsidRPr="00900EA0" w:rsidRDefault="003B4B45" w:rsidP="003B4B45">
            <w:pPr>
              <w:jc w:val="right"/>
              <w:rPr>
                <w:b/>
                <w:bCs/>
              </w:rPr>
            </w:pPr>
            <w:r>
              <w:rPr>
                <w:rFonts w:cs="Arial"/>
                <w:b/>
                <w:bCs/>
              </w:rPr>
              <w:t>0</w:t>
            </w:r>
          </w:p>
        </w:tc>
        <w:tc>
          <w:tcPr>
            <w:tcW w:w="851" w:type="dxa"/>
            <w:vAlign w:val="bottom"/>
          </w:tcPr>
          <w:p w14:paraId="14017305" w14:textId="0914B6D4" w:rsidR="003B4B45" w:rsidRPr="00900EA0" w:rsidRDefault="003B4B45" w:rsidP="003B4B45">
            <w:pPr>
              <w:jc w:val="right"/>
              <w:rPr>
                <w:b/>
                <w:bCs/>
              </w:rPr>
            </w:pPr>
            <w:r>
              <w:rPr>
                <w:rFonts w:cs="Arial"/>
                <w:b/>
                <w:bCs/>
              </w:rPr>
              <w:t>5</w:t>
            </w:r>
          </w:p>
        </w:tc>
      </w:tr>
    </w:tbl>
    <w:p w14:paraId="24FB8F05" w14:textId="77777777" w:rsidR="001E1BF3" w:rsidRDefault="001E1BF3" w:rsidP="00A42818">
      <w:pPr>
        <w:ind w:left="-142" w:right="-425"/>
        <w:jc w:val="both"/>
        <w:rPr>
          <w:rFonts w:cs="Arial"/>
        </w:rPr>
      </w:pPr>
    </w:p>
    <w:p w14:paraId="27F37C5D" w14:textId="31568ECA" w:rsidR="00152C1E" w:rsidRDefault="00237AB1" w:rsidP="00A42818">
      <w:pPr>
        <w:ind w:left="-142" w:right="-425"/>
        <w:jc w:val="both"/>
        <w:rPr>
          <w:rFonts w:cs="Arial"/>
        </w:rPr>
      </w:pPr>
      <w:r w:rsidRPr="00CE1294">
        <w:rPr>
          <w:rFonts w:cs="Arial"/>
        </w:rPr>
        <w:t xml:space="preserve">During quarter </w:t>
      </w:r>
      <w:r w:rsidR="00951376">
        <w:rPr>
          <w:rFonts w:cs="Arial"/>
        </w:rPr>
        <w:t>56</w:t>
      </w:r>
      <w:r w:rsidRPr="00CE1294">
        <w:rPr>
          <w:rFonts w:cs="Arial"/>
        </w:rPr>
        <w:t xml:space="preserve"> the number of interactions highlighted in tables </w:t>
      </w:r>
      <w:r w:rsidR="00A42818">
        <w:rPr>
          <w:rFonts w:cs="Arial"/>
        </w:rPr>
        <w:t>4</w:t>
      </w:r>
      <w:r w:rsidR="00A242DD" w:rsidRPr="00CE1294">
        <w:rPr>
          <w:rFonts w:cs="Arial"/>
        </w:rPr>
        <w:t xml:space="preserve">, </w:t>
      </w:r>
      <w:r w:rsidR="00A42818">
        <w:rPr>
          <w:rFonts w:cs="Arial"/>
        </w:rPr>
        <w:t>5</w:t>
      </w:r>
      <w:r w:rsidR="0077183E">
        <w:rPr>
          <w:rFonts w:cs="Arial"/>
        </w:rPr>
        <w:t>,</w:t>
      </w:r>
      <w:r w:rsidR="00A242DD" w:rsidRPr="00CE1294">
        <w:rPr>
          <w:rFonts w:cs="Arial"/>
        </w:rPr>
        <w:t xml:space="preserve"> </w:t>
      </w:r>
      <w:r w:rsidR="00A42818">
        <w:rPr>
          <w:rFonts w:cs="Arial"/>
        </w:rPr>
        <w:t>6</w:t>
      </w:r>
      <w:r w:rsidR="005E50F0">
        <w:rPr>
          <w:rFonts w:cs="Arial"/>
        </w:rPr>
        <w:t>, 7</w:t>
      </w:r>
      <w:r w:rsidR="00A242DD" w:rsidRPr="00CE1294">
        <w:rPr>
          <w:rFonts w:cs="Arial"/>
        </w:rPr>
        <w:t xml:space="preserve"> </w:t>
      </w:r>
      <w:r w:rsidR="0077183E">
        <w:rPr>
          <w:rFonts w:cs="Arial"/>
        </w:rPr>
        <w:t xml:space="preserve">and </w:t>
      </w:r>
      <w:r w:rsidR="005E50F0">
        <w:rPr>
          <w:rFonts w:cs="Arial"/>
        </w:rPr>
        <w:t>8</w:t>
      </w:r>
      <w:r w:rsidR="0077183E">
        <w:rPr>
          <w:rFonts w:cs="Arial"/>
        </w:rPr>
        <w:t xml:space="preserve"> </w:t>
      </w:r>
      <w:r w:rsidRPr="00CE1294">
        <w:rPr>
          <w:rFonts w:cs="Arial"/>
        </w:rPr>
        <w:t xml:space="preserve">related to a total </w:t>
      </w:r>
      <w:r w:rsidRPr="00F922F9">
        <w:rPr>
          <w:rFonts w:cs="Arial"/>
        </w:rPr>
        <w:t xml:space="preserve">of </w:t>
      </w:r>
      <w:r w:rsidR="002C1B53">
        <w:rPr>
          <w:rFonts w:cs="Arial"/>
        </w:rPr>
        <w:t>185</w:t>
      </w:r>
      <w:r w:rsidR="002C1B53" w:rsidRPr="00F922F9">
        <w:rPr>
          <w:rFonts w:cs="Arial"/>
        </w:rPr>
        <w:t xml:space="preserve"> </w:t>
      </w:r>
      <w:r w:rsidRPr="00F922F9">
        <w:rPr>
          <w:rFonts w:cs="Arial"/>
        </w:rPr>
        <w:t>clients (</w:t>
      </w:r>
      <w:r w:rsidR="002C1B53">
        <w:rPr>
          <w:rFonts w:cs="Arial"/>
        </w:rPr>
        <w:t>124</w:t>
      </w:r>
      <w:r w:rsidR="002C1B53" w:rsidRPr="00F922F9">
        <w:rPr>
          <w:rFonts w:cs="Arial"/>
        </w:rPr>
        <w:t xml:space="preserve"> </w:t>
      </w:r>
      <w:r w:rsidRPr="00F922F9">
        <w:rPr>
          <w:rFonts w:cs="Arial"/>
        </w:rPr>
        <w:t xml:space="preserve">female and </w:t>
      </w:r>
      <w:r w:rsidR="002C1B53">
        <w:rPr>
          <w:rFonts w:cs="Arial"/>
        </w:rPr>
        <w:t>61</w:t>
      </w:r>
      <w:r w:rsidR="002C1B53" w:rsidRPr="00F922F9">
        <w:rPr>
          <w:rFonts w:cs="Arial"/>
        </w:rPr>
        <w:t xml:space="preserve"> </w:t>
      </w:r>
      <w:r w:rsidRPr="00F922F9">
        <w:rPr>
          <w:rFonts w:cs="Arial"/>
        </w:rPr>
        <w:t>male)</w:t>
      </w:r>
      <w:r w:rsidR="00A42818" w:rsidRPr="00F922F9">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144F6A80" w14:textId="77777777" w:rsidR="00152C1E" w:rsidRDefault="00152C1E" w:rsidP="00A42818">
      <w:pPr>
        <w:ind w:left="-142" w:right="-425"/>
        <w:jc w:val="both"/>
        <w:rPr>
          <w:rFonts w:cs="Arial"/>
        </w:rPr>
      </w:pP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452E20B0"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at 60%, 75% or 90% 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280D75E1" w:rsidR="00B9722A" w:rsidRPr="001B0466" w:rsidRDefault="00B9722A" w:rsidP="00C34899">
      <w:pPr>
        <w:tabs>
          <w:tab w:val="left" w:pos="1134"/>
        </w:tabs>
        <w:ind w:left="-142" w:right="-425"/>
        <w:jc w:val="both"/>
      </w:pPr>
      <w:r w:rsidRPr="001B0466">
        <w:t xml:space="preserve">The types of client interactions evident during quarter </w:t>
      </w:r>
      <w:r w:rsidR="00951376" w:rsidRPr="001B0466">
        <w:t>56</w:t>
      </w:r>
      <w:r w:rsidRPr="001B0466">
        <w:t xml:space="preserve"> reinforce the Commission’s belief that 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F83C14" w:rsidRPr="001B0466">
        <w:t xml:space="preserve">1 </w:t>
      </w:r>
      <w:r w:rsidR="00DA70CA" w:rsidRPr="001B0466">
        <w:t>April</w:t>
      </w:r>
      <w:r w:rsidR="00415BC8" w:rsidRPr="001B0466">
        <w:t xml:space="preserve"> 2022</w:t>
      </w:r>
      <w:r w:rsidRPr="001B0466">
        <w:t xml:space="preserve"> to </w:t>
      </w:r>
      <w:r w:rsidR="00DA70CA" w:rsidRPr="001B0466">
        <w:t>30 June</w:t>
      </w:r>
      <w:r w:rsidR="001A5C4C" w:rsidRPr="001B0466">
        <w:t xml:space="preserve"> 2022</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31167FCB" w:rsidR="00B9722A" w:rsidRPr="001B0466" w:rsidRDefault="00921F28" w:rsidP="00D552BE">
      <w:pPr>
        <w:pStyle w:val="ListParagraph"/>
        <w:numPr>
          <w:ilvl w:val="0"/>
          <w:numId w:val="10"/>
        </w:numPr>
        <w:spacing w:after="120"/>
        <w:ind w:left="284" w:right="-425"/>
        <w:jc w:val="both"/>
        <w:rPr>
          <w:rFonts w:ascii="Verdana" w:hAnsi="Verdana" w:cs="Arial"/>
          <w:sz w:val="20"/>
          <w:szCs w:val="20"/>
        </w:rPr>
      </w:pPr>
      <w:r w:rsidRPr="001B0466">
        <w:rPr>
          <w:rFonts w:ascii="Verdana" w:hAnsi="Verdana" w:cs="Arial"/>
          <w:sz w:val="20"/>
          <w:szCs w:val="20"/>
        </w:rPr>
        <w:t xml:space="preserve">54 </w:t>
      </w:r>
      <w:r w:rsidR="00B9722A" w:rsidRPr="001B0466">
        <w:rPr>
          <w:rFonts w:ascii="Verdana" w:hAnsi="Verdana" w:cs="Arial"/>
          <w:sz w:val="20"/>
          <w:szCs w:val="20"/>
        </w:rPr>
        <w:t xml:space="preserve">percent of clients </w:t>
      </w:r>
      <w:r w:rsidR="00887699" w:rsidRPr="001B0466">
        <w:t xml:space="preserve">at some point during the quarter </w:t>
      </w:r>
      <w:r w:rsidR="0031338E" w:rsidRPr="001B0466">
        <w:t xml:space="preserve">may have done one or more of the following: </w:t>
      </w:r>
      <w:r w:rsidR="00DE0E94" w:rsidRPr="001B0466">
        <w:rPr>
          <w:rFonts w:ascii="Verdana" w:hAnsi="Verdana" w:cs="Arial"/>
          <w:sz w:val="20"/>
          <w:szCs w:val="20"/>
        </w:rPr>
        <w:t>self-referr</w:t>
      </w:r>
      <w:r w:rsidR="0031338E" w:rsidRPr="001B0466">
        <w:rPr>
          <w:rFonts w:ascii="Verdana" w:hAnsi="Verdana" w:cs="Arial"/>
          <w:sz w:val="20"/>
          <w:szCs w:val="20"/>
        </w:rPr>
        <w:t>ed</w:t>
      </w:r>
      <w:r w:rsidR="00DE0E94" w:rsidRPr="001B0466">
        <w:rPr>
          <w:rFonts w:ascii="Verdana" w:hAnsi="Verdana" w:cs="Arial"/>
          <w:sz w:val="20"/>
          <w:szCs w:val="20"/>
        </w:rPr>
        <w:t xml:space="preserve"> to the FRC</w:t>
      </w:r>
      <w:r w:rsidR="0031338E" w:rsidRPr="001B0466">
        <w:rPr>
          <w:rFonts w:ascii="Verdana" w:hAnsi="Verdana" w:cs="Arial"/>
          <w:sz w:val="20"/>
          <w:szCs w:val="20"/>
        </w:rPr>
        <w:t xml:space="preserve"> </w:t>
      </w:r>
      <w:r w:rsidR="00F76774" w:rsidRPr="001B0466">
        <w:rPr>
          <w:rFonts w:ascii="Verdana" w:hAnsi="Verdana" w:cs="Arial"/>
          <w:sz w:val="20"/>
          <w:szCs w:val="20"/>
        </w:rPr>
        <w:t xml:space="preserve">for a VCP or a </w:t>
      </w:r>
      <w:r w:rsidR="0031338E" w:rsidRPr="001B0466">
        <w:rPr>
          <w:rFonts w:ascii="Verdana" w:hAnsi="Verdana" w:cs="Arial"/>
          <w:sz w:val="20"/>
          <w:szCs w:val="20"/>
        </w:rPr>
        <w:t>VIM</w:t>
      </w:r>
      <w:r w:rsidR="00177928" w:rsidRPr="001B0466">
        <w:rPr>
          <w:rFonts w:ascii="Verdana" w:hAnsi="Verdana" w:cs="Arial"/>
          <w:sz w:val="20"/>
          <w:szCs w:val="20"/>
        </w:rPr>
        <w:t xml:space="preserve">; </w:t>
      </w:r>
      <w:r w:rsidR="00B9722A" w:rsidRPr="001B0466">
        <w:rPr>
          <w:rFonts w:ascii="Verdana" w:hAnsi="Verdana" w:cs="Arial"/>
          <w:sz w:val="20"/>
          <w:szCs w:val="20"/>
        </w:rPr>
        <w:t>enter</w:t>
      </w:r>
      <w:r w:rsidR="0031338E" w:rsidRPr="001B0466">
        <w:rPr>
          <w:rFonts w:ascii="Verdana" w:hAnsi="Verdana" w:cs="Arial"/>
          <w:sz w:val="20"/>
          <w:szCs w:val="20"/>
        </w:rPr>
        <w:t>ed</w:t>
      </w:r>
      <w:r w:rsidR="00B9722A" w:rsidRPr="001B0466">
        <w:rPr>
          <w:rFonts w:ascii="Verdana" w:hAnsi="Verdana" w:cs="Arial"/>
          <w:sz w:val="20"/>
          <w:szCs w:val="20"/>
        </w:rPr>
        <w:t xml:space="preserve"> into a Family Responsibilities Agreement</w:t>
      </w:r>
      <w:r w:rsidR="00177928" w:rsidRPr="001B0466">
        <w:rPr>
          <w:rFonts w:ascii="Verdana" w:hAnsi="Verdana" w:cs="Arial"/>
          <w:sz w:val="20"/>
          <w:szCs w:val="20"/>
        </w:rPr>
        <w:t>;</w:t>
      </w:r>
      <w:r w:rsidR="005B7F9C" w:rsidRPr="001B0466">
        <w:rPr>
          <w:rFonts w:ascii="Verdana" w:hAnsi="Verdana" w:cs="Arial"/>
          <w:sz w:val="20"/>
          <w:szCs w:val="20"/>
        </w:rPr>
        <w:t xml:space="preserve"> </w:t>
      </w:r>
      <w:r w:rsidR="00DE0E94" w:rsidRPr="001B0466">
        <w:rPr>
          <w:rFonts w:ascii="Verdana" w:hAnsi="Verdana" w:cs="Arial"/>
          <w:sz w:val="20"/>
          <w:szCs w:val="20"/>
        </w:rPr>
        <w:t>successfully appl</w:t>
      </w:r>
      <w:r w:rsidR="0031338E" w:rsidRPr="001B0466">
        <w:rPr>
          <w:rFonts w:ascii="Verdana" w:hAnsi="Verdana" w:cs="Arial"/>
          <w:sz w:val="20"/>
          <w:szCs w:val="20"/>
        </w:rPr>
        <w:t>ied</w:t>
      </w:r>
      <w:r w:rsidR="00DE0E94" w:rsidRPr="001B0466">
        <w:rPr>
          <w:rFonts w:ascii="Verdana" w:hAnsi="Verdana" w:cs="Arial"/>
          <w:sz w:val="20"/>
          <w:szCs w:val="20"/>
        </w:rPr>
        <w:t xml:space="preserve"> to end or amend their decision by order or a</w:t>
      </w:r>
      <w:r w:rsidR="002A33C4" w:rsidRPr="001B0466">
        <w:rPr>
          <w:rFonts w:ascii="Verdana" w:hAnsi="Verdana" w:cs="Arial"/>
          <w:sz w:val="20"/>
          <w:szCs w:val="20"/>
        </w:rPr>
        <w:t>greement</w:t>
      </w:r>
      <w:r w:rsidR="00C34899" w:rsidRPr="001B0466">
        <w:rPr>
          <w:rFonts w:ascii="Verdana" w:hAnsi="Verdana" w:cs="Arial"/>
          <w:sz w:val="20"/>
          <w:szCs w:val="20"/>
        </w:rPr>
        <w:t>;</w:t>
      </w:r>
    </w:p>
    <w:p w14:paraId="0B6EF2B3" w14:textId="1B56FB16"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07447B" w:rsidRPr="001B0466">
        <w:rPr>
          <w:rFonts w:ascii="Verdana" w:hAnsi="Verdana" w:cs="Arial"/>
          <w:sz w:val="20"/>
          <w:szCs w:val="20"/>
        </w:rPr>
        <w:t xml:space="preserve">22 </w:t>
      </w:r>
      <w:r w:rsidR="00B9722A" w:rsidRPr="001B0466">
        <w:rPr>
          <w:rFonts w:ascii="Verdana" w:hAnsi="Verdana" w:cs="Arial"/>
          <w:sz w:val="20"/>
          <w:szCs w:val="20"/>
        </w:rPr>
        <w:t xml:space="preserve">percent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
    <w:p w14:paraId="3A616BEF" w14:textId="7F00B810" w:rsidR="00B9722A" w:rsidRPr="001B0466" w:rsidRDefault="00CD2393" w:rsidP="00D552BE">
      <w:pPr>
        <w:pStyle w:val="ListParagraph"/>
        <w:numPr>
          <w:ilvl w:val="0"/>
          <w:numId w:val="10"/>
        </w:numPr>
        <w:spacing w:after="120"/>
        <w:ind w:left="284" w:right="-425"/>
        <w:jc w:val="both"/>
        <w:rPr>
          <w:rFonts w:ascii="Verdana" w:hAnsi="Verdana" w:cs="Arial"/>
          <w:sz w:val="20"/>
          <w:szCs w:val="20"/>
        </w:rPr>
      </w:pPr>
      <w:r w:rsidRPr="001B0466">
        <w:rPr>
          <w:rFonts w:ascii="Verdana" w:hAnsi="Verdana" w:cs="Arial"/>
          <w:sz w:val="20"/>
          <w:szCs w:val="20"/>
        </w:rPr>
        <w:t>1</w:t>
      </w:r>
      <w:r w:rsidR="005551E4" w:rsidRPr="001B0466">
        <w:rPr>
          <w:rFonts w:ascii="Verdana" w:hAnsi="Verdana" w:cs="Arial"/>
          <w:sz w:val="20"/>
          <w:szCs w:val="20"/>
        </w:rPr>
        <w:t>4</w:t>
      </w:r>
      <w:r w:rsidRPr="001B0466">
        <w:rPr>
          <w:rFonts w:ascii="Verdana" w:hAnsi="Verdana" w:cs="Arial"/>
          <w:sz w:val="20"/>
          <w:szCs w:val="20"/>
        </w:rPr>
        <w:t xml:space="preserve"> </w:t>
      </w:r>
      <w:r w:rsidR="00B9722A" w:rsidRPr="001B0466">
        <w:rPr>
          <w:rFonts w:ascii="Verdana" w:hAnsi="Verdana" w:cs="Arial"/>
          <w:sz w:val="20"/>
          <w:szCs w:val="20"/>
        </w:rPr>
        <w:t xml:space="preserve">percent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types</w:t>
      </w:r>
      <w:r w:rsidR="00C34899" w:rsidRPr="001B0466">
        <w:rPr>
          <w:rFonts w:ascii="Verdana" w:hAnsi="Verdana" w:cs="Arial"/>
          <w:sz w:val="20"/>
          <w:szCs w:val="20"/>
        </w:rPr>
        <w:t>;</w:t>
      </w:r>
      <w:r w:rsidR="00826269" w:rsidRPr="001B0466">
        <w:rPr>
          <w:rFonts w:ascii="Verdana" w:hAnsi="Verdana" w:cs="Arial"/>
          <w:sz w:val="20"/>
          <w:szCs w:val="20"/>
        </w:rPr>
        <w:t xml:space="preserve"> and</w:t>
      </w:r>
    </w:p>
    <w:p w14:paraId="46767E6D" w14:textId="3DDEEBE5" w:rsidR="00B9722A" w:rsidRPr="001B0466" w:rsidRDefault="005551E4" w:rsidP="00D552BE">
      <w:pPr>
        <w:pStyle w:val="ListParagraph"/>
        <w:numPr>
          <w:ilvl w:val="0"/>
          <w:numId w:val="10"/>
        </w:numPr>
        <w:spacing w:after="120"/>
        <w:ind w:left="284" w:right="-425"/>
        <w:jc w:val="both"/>
        <w:rPr>
          <w:rFonts w:ascii="Verdana" w:hAnsi="Verdana" w:cs="Arial"/>
          <w:sz w:val="20"/>
          <w:szCs w:val="20"/>
        </w:rPr>
      </w:pPr>
      <w:r w:rsidRPr="001B0466">
        <w:rPr>
          <w:rFonts w:ascii="Verdana" w:hAnsi="Verdana" w:cs="Arial"/>
          <w:sz w:val="20"/>
          <w:szCs w:val="20"/>
        </w:rPr>
        <w:lastRenderedPageBreak/>
        <w:t>5</w:t>
      </w:r>
      <w:r w:rsidR="00CD2393" w:rsidRPr="001B0466">
        <w:rPr>
          <w:rFonts w:ascii="Verdana" w:hAnsi="Verdana" w:cs="Arial"/>
          <w:sz w:val="20"/>
          <w:szCs w:val="20"/>
        </w:rPr>
        <w:t xml:space="preserve"> </w:t>
      </w:r>
      <w:r w:rsidR="00B9722A" w:rsidRPr="001B0466">
        <w:rPr>
          <w:rFonts w:ascii="Verdana" w:hAnsi="Verdana" w:cs="Arial"/>
          <w:sz w:val="20"/>
          <w:szCs w:val="20"/>
        </w:rPr>
        <w:t xml:space="preserve">percent of clients were </w:t>
      </w:r>
      <w:r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Pr="001B0466">
        <w:rPr>
          <w:rFonts w:ascii="Verdana" w:hAnsi="Verdana" w:cs="Arial"/>
          <w:sz w:val="20"/>
          <w:szCs w:val="20"/>
        </w:rPr>
        <w:t>no further action or recommend</w:t>
      </w:r>
      <w:r w:rsidR="00E6519A" w:rsidRPr="001B0466">
        <w:rPr>
          <w:rFonts w:ascii="Verdana" w:hAnsi="Verdana" w:cs="Arial"/>
          <w:sz w:val="20"/>
          <w:szCs w:val="20"/>
        </w:rPr>
        <w:t>ation</w:t>
      </w:r>
      <w:r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78EF6562" w14:textId="266D0B31" w:rsidR="00240AAF" w:rsidRPr="001B0466" w:rsidRDefault="00106839" w:rsidP="00585AE9">
      <w:pPr>
        <w:tabs>
          <w:tab w:val="decimal" w:pos="284"/>
        </w:tabs>
        <w:ind w:left="-142" w:right="-425"/>
        <w:jc w:val="both"/>
      </w:pPr>
      <w:bookmarkStart w:id="14" w:name="_Hlk97302962"/>
      <w:r w:rsidRPr="001B0466">
        <w:rPr>
          <w:rFonts w:cs="Arial"/>
        </w:rPr>
        <w:t xml:space="preserve">There </w:t>
      </w:r>
      <w:r w:rsidR="0032035F" w:rsidRPr="001B0466">
        <w:rPr>
          <w:rFonts w:cs="Arial"/>
        </w:rPr>
        <w:t>remains</w:t>
      </w:r>
      <w:r w:rsidRPr="001B0466">
        <w:rPr>
          <w:rFonts w:cs="Arial"/>
        </w:rPr>
        <w:t xml:space="preserve"> a </w:t>
      </w:r>
      <w:r w:rsidR="005D6EF0" w:rsidRPr="001B0466">
        <w:rPr>
          <w:rFonts w:cs="Arial"/>
        </w:rPr>
        <w:t xml:space="preserve">small </w:t>
      </w:r>
      <w:r w:rsidRPr="001B0466">
        <w:rPr>
          <w:rFonts w:cs="Arial"/>
        </w:rPr>
        <w:t xml:space="preserve">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 xml:space="preserve">if they are responsible for children). </w:t>
      </w:r>
      <w:bookmarkEnd w:id="14"/>
      <w:r w:rsidR="00CD0A5A"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5F330D" w:rsidRPr="001B0466">
        <w:rPr>
          <w:rFonts w:cs="Arial"/>
        </w:rPr>
        <w:t xml:space="preserve">those </w:t>
      </w:r>
      <w:r w:rsidR="004D5CBF" w:rsidRPr="001B0466">
        <w:t xml:space="preserve">recalcitrant </w:t>
      </w:r>
      <w:r w:rsidR="004D5CBF" w:rsidRPr="001B0466">
        <w:rPr>
          <w:rFonts w:cs="Arial"/>
        </w:rPr>
        <w:t>clients who refuse to change their behaviour</w:t>
      </w:r>
      <w:r w:rsidR="005F330D" w:rsidRPr="001B0466">
        <w:rPr>
          <w:rFonts w:cs="Arial"/>
        </w:rPr>
        <w:t>:</w:t>
      </w:r>
    </w:p>
    <w:p w14:paraId="0D7D4F20" w14:textId="3084A686" w:rsidR="0099478F" w:rsidRPr="001B0466" w:rsidRDefault="0099478F" w:rsidP="005D6EF0">
      <w:pPr>
        <w:tabs>
          <w:tab w:val="decimal" w:pos="284"/>
        </w:tabs>
        <w:ind w:left="-142" w:right="-425"/>
        <w:jc w:val="both"/>
        <w:rPr>
          <w:rFonts w:cs="Arial"/>
        </w:rPr>
      </w:pPr>
    </w:p>
    <w:p w14:paraId="431EED9F" w14:textId="06EECBE2" w:rsidR="007B1F5A" w:rsidRPr="001B0466" w:rsidRDefault="00B43DA5" w:rsidP="007B1F5A">
      <w:pPr>
        <w:tabs>
          <w:tab w:val="decimal" w:pos="720"/>
        </w:tabs>
        <w:ind w:left="-142" w:right="-425"/>
        <w:jc w:val="both"/>
        <w:rPr>
          <w:rFonts w:cs="Arial"/>
        </w:rPr>
      </w:pPr>
      <w:r w:rsidRPr="001B0466">
        <w:rPr>
          <w:rFonts w:cs="Arial"/>
        </w:rPr>
        <w:tab/>
      </w:r>
      <w:r w:rsidR="00992DE1" w:rsidRPr="001B0466">
        <w:rPr>
          <w:rFonts w:cs="Arial"/>
        </w:rPr>
        <w:t xml:space="preserve">14 </w:t>
      </w:r>
      <w:r w:rsidR="007B1F5A" w:rsidRPr="001B0466">
        <w:rPr>
          <w:rFonts w:cs="Arial"/>
        </w:rPr>
        <w:t xml:space="preserve">percent of clients </w:t>
      </w:r>
      <w:r w:rsidR="007B1F5A" w:rsidRPr="001B0466">
        <w:rPr>
          <w:lang w:val="en-US"/>
        </w:rPr>
        <w:t>were ordered to attend a support service under a case plan;</w:t>
      </w:r>
    </w:p>
    <w:p w14:paraId="039AEB9E" w14:textId="3630317E" w:rsidR="00EB52B2" w:rsidRPr="001B0466" w:rsidRDefault="007B1F5A" w:rsidP="00EB52B2">
      <w:pPr>
        <w:tabs>
          <w:tab w:val="decimal" w:pos="720"/>
        </w:tabs>
        <w:ind w:left="-142" w:right="-425"/>
        <w:jc w:val="both"/>
        <w:rPr>
          <w:rFonts w:cs="Arial"/>
        </w:rPr>
      </w:pPr>
      <w:r w:rsidRPr="001B0466">
        <w:rPr>
          <w:rFonts w:cs="Arial"/>
        </w:rPr>
        <w:tab/>
      </w:r>
      <w:r w:rsidR="00992DE1" w:rsidRPr="001B0466">
        <w:rPr>
          <w:rFonts w:cs="Arial"/>
        </w:rPr>
        <w:t>3</w:t>
      </w:r>
      <w:r w:rsidR="00CD2393" w:rsidRPr="001B0466">
        <w:rPr>
          <w:rFonts w:cs="Arial"/>
        </w:rPr>
        <w:t xml:space="preserve"> </w:t>
      </w:r>
      <w:r w:rsidR="00EB52B2" w:rsidRPr="001B0466">
        <w:rPr>
          <w:rFonts w:cs="Arial"/>
        </w:rPr>
        <w:t xml:space="preserve">percent of clients </w:t>
      </w:r>
      <w:r w:rsidR="00EB52B2" w:rsidRPr="001B0466">
        <w:rPr>
          <w:lang w:val="en-US"/>
        </w:rPr>
        <w:t>were placed on a CIM order</w:t>
      </w:r>
      <w:r w:rsidR="00EB52B2" w:rsidRPr="001B0466">
        <w:rPr>
          <w:rFonts w:cs="Arial"/>
        </w:rPr>
        <w:t>;</w:t>
      </w:r>
      <w:r w:rsidRPr="001B0466">
        <w:rPr>
          <w:rFonts w:cs="Arial"/>
        </w:rPr>
        <w:t xml:space="preserve"> and</w:t>
      </w:r>
    </w:p>
    <w:p w14:paraId="19F8E19F" w14:textId="45074C0A" w:rsidR="00334048" w:rsidRPr="005C0A9F" w:rsidRDefault="001B3846" w:rsidP="00334048">
      <w:pPr>
        <w:tabs>
          <w:tab w:val="decimal" w:pos="720"/>
        </w:tabs>
        <w:ind w:left="-142" w:right="-425"/>
        <w:jc w:val="both"/>
        <w:rPr>
          <w:rFonts w:cs="Arial"/>
        </w:rPr>
      </w:pPr>
      <w:r w:rsidRPr="001B0466">
        <w:rPr>
          <w:rFonts w:cs="Arial"/>
        </w:rPr>
        <w:tab/>
      </w:r>
      <w:r w:rsidR="00992DE1" w:rsidRPr="001B0466">
        <w:rPr>
          <w:rFonts w:cs="Arial"/>
        </w:rPr>
        <w:t>7</w:t>
      </w:r>
      <w:r w:rsidR="00334048" w:rsidRPr="001B0466">
        <w:rPr>
          <w:rFonts w:cs="Arial"/>
        </w:rPr>
        <w:t xml:space="preserve"> percent of clients </w:t>
      </w:r>
      <w:r w:rsidR="00334048" w:rsidRPr="001B0466">
        <w:rPr>
          <w:lang w:val="en-US"/>
        </w:rPr>
        <w:t>were placed on a CIM order and ordered to attend a support service</w:t>
      </w:r>
      <w:r w:rsidR="00B43DA5" w:rsidRPr="001B0466">
        <w:rPr>
          <w:lang w:val="en-US"/>
        </w:rPr>
        <w:t>.</w:t>
      </w:r>
    </w:p>
    <w:p w14:paraId="218C2B05" w14:textId="50F7BA61" w:rsidR="00334048" w:rsidRPr="009F26E9" w:rsidRDefault="00334048" w:rsidP="009F26E9">
      <w:pPr>
        <w:tabs>
          <w:tab w:val="decimal" w:pos="284"/>
        </w:tabs>
        <w:ind w:left="-142" w:right="-425"/>
        <w:jc w:val="both"/>
        <w:rPr>
          <w:rFonts w:cs="Arial"/>
        </w:rPr>
      </w:pPr>
    </w:p>
    <w:bookmarkEnd w:id="13"/>
    <w:p w14:paraId="01840B62" w14:textId="0DBCD506" w:rsidR="00986092" w:rsidRPr="00143FBB" w:rsidRDefault="00986092" w:rsidP="00091CFE">
      <w:pPr>
        <w:pStyle w:val="Heading2"/>
      </w:pPr>
      <w:r w:rsidRPr="00143FBB">
        <w:t>Notices</w:t>
      </w:r>
    </w:p>
    <w:p w14:paraId="41B569DF" w14:textId="44198DA6"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951376">
        <w:rPr>
          <w:rFonts w:cs="Arial"/>
        </w:rPr>
        <w:t>56</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3D78AF">
        <w:rPr>
          <w:rFonts w:cs="Arial"/>
        </w:rPr>
        <w:t>2,0</w:t>
      </w:r>
      <w:r w:rsidR="00823AC6">
        <w:rPr>
          <w:rFonts w:cs="Arial"/>
        </w:rPr>
        <w:t>6</w:t>
      </w:r>
      <w:r w:rsidR="00D563C8">
        <w:rPr>
          <w:rFonts w:cs="Arial"/>
        </w:rPr>
        <w:t>0</w:t>
      </w:r>
      <w:r w:rsidR="00E31BD5"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1,1</w:t>
      </w:r>
      <w:r w:rsidR="00823AC6">
        <w:rPr>
          <w:rFonts w:cs="Arial"/>
        </w:rPr>
        <w:t>42</w:t>
      </w:r>
      <w:r w:rsidR="005174DF" w:rsidRPr="006042AF">
        <w:rPr>
          <w:rFonts w:cs="Arial"/>
        </w:rPr>
        <w:t xml:space="preserve"> </w:t>
      </w:r>
      <w:r w:rsidRPr="006042AF">
        <w:rPr>
          <w:rFonts w:cs="Arial"/>
        </w:rPr>
        <w:t>notices (</w:t>
      </w:r>
      <w:r w:rsidR="00BD5C09">
        <w:rPr>
          <w:rFonts w:cs="Arial"/>
        </w:rPr>
        <w:t>5</w:t>
      </w:r>
      <w:r w:rsidR="00823AC6">
        <w:rPr>
          <w:rFonts w:cs="Arial"/>
        </w:rPr>
        <w:t>5</w:t>
      </w:r>
      <w:r w:rsidR="00BD5C09">
        <w:rPr>
          <w:rFonts w:cs="Arial"/>
        </w:rPr>
        <w:t xml:space="preserve"> </w:t>
      </w:r>
      <w:r w:rsidRPr="006042AF">
        <w:rPr>
          <w:rFonts w:cs="Arial"/>
        </w:rPr>
        <w:t>percent)</w:t>
      </w:r>
      <w:r w:rsidR="00F257B3" w:rsidRPr="006042AF">
        <w:rPr>
          <w:rFonts w:cs="Arial"/>
        </w:rPr>
        <w:t xml:space="preserve"> relating to </w:t>
      </w:r>
      <w:r w:rsidR="00CD3FDC">
        <w:rPr>
          <w:rFonts w:cs="Arial"/>
        </w:rPr>
        <w:t>609</w:t>
      </w:r>
      <w:r w:rsidR="00CD3FDC"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823AC6">
        <w:rPr>
          <w:rFonts w:cs="Arial"/>
        </w:rPr>
        <w:t xml:space="preserve">918 </w:t>
      </w:r>
      <w:r w:rsidRPr="006042AF">
        <w:rPr>
          <w:rFonts w:cs="Arial"/>
        </w:rPr>
        <w:t>notices (</w:t>
      </w:r>
      <w:r w:rsidR="00BD5C09">
        <w:rPr>
          <w:rFonts w:cs="Arial"/>
        </w:rPr>
        <w:t>4</w:t>
      </w:r>
      <w:r w:rsidR="00823AC6">
        <w:rPr>
          <w:rFonts w:cs="Arial"/>
        </w:rPr>
        <w:t>5</w:t>
      </w:r>
      <w:r w:rsidR="00BD5C09">
        <w:rPr>
          <w:rFonts w:cs="Arial"/>
        </w:rPr>
        <w:t xml:space="preserve"> </w:t>
      </w:r>
      <w:r w:rsidRPr="006042AF">
        <w:rPr>
          <w:rFonts w:cs="Arial"/>
        </w:rPr>
        <w:t>percent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1491F7C2" w:rsidR="005A5B78" w:rsidRDefault="00C7128D" w:rsidP="00C7128D">
      <w:pPr>
        <w:spacing w:after="120" w:line="240" w:lineRule="auto"/>
        <w:ind w:right="-425"/>
        <w:rPr>
          <w:rFonts w:cs="Arial"/>
          <w:b/>
        </w:rPr>
      </w:pPr>
      <w:r>
        <w:rPr>
          <w:b/>
          <w:sz w:val="16"/>
          <w:szCs w:val="16"/>
        </w:rPr>
        <w:t xml:space="preserve">Table </w:t>
      </w:r>
      <w:r w:rsidR="007D7305">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F83C14">
        <w:rPr>
          <w:sz w:val="16"/>
          <w:szCs w:val="16"/>
        </w:rPr>
        <w:t xml:space="preserve">1 </w:t>
      </w:r>
      <w:r w:rsidR="00DA70CA">
        <w:rPr>
          <w:sz w:val="16"/>
          <w:szCs w:val="16"/>
        </w:rPr>
        <w:t>April</w:t>
      </w:r>
      <w:r w:rsidR="00415BC8">
        <w:rPr>
          <w:sz w:val="16"/>
          <w:szCs w:val="16"/>
        </w:rPr>
        <w:t xml:space="preserve"> 2022</w:t>
      </w:r>
      <w:r w:rsidR="00A41820">
        <w:rPr>
          <w:sz w:val="16"/>
          <w:szCs w:val="16"/>
        </w:rPr>
        <w:t xml:space="preserve"> to </w:t>
      </w:r>
      <w:r w:rsidR="00DA70CA">
        <w:rPr>
          <w:sz w:val="16"/>
          <w:szCs w:val="16"/>
        </w:rPr>
        <w:t>30 June</w:t>
      </w:r>
      <w:r w:rsidR="001A5C4C">
        <w:rPr>
          <w:sz w:val="16"/>
          <w:szCs w:val="16"/>
        </w:rPr>
        <w:t xml:space="preserve"> 2022</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D563C8" w:rsidRPr="00650B45" w14:paraId="34AFEA3C"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D563C8" w:rsidRPr="005E0531" w:rsidRDefault="00D563C8" w:rsidP="00D563C8">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5F75FEFC" w:rsidR="00D563C8" w:rsidRPr="003D78AF" w:rsidRDefault="00D563C8" w:rsidP="00D563C8">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4CC3ED33" w:rsidR="00D563C8" w:rsidRPr="003D78AF" w:rsidRDefault="00D563C8" w:rsidP="00D563C8">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136FADB3" w:rsidR="00D563C8" w:rsidRPr="003D78AF" w:rsidRDefault="00D563C8" w:rsidP="00D563C8">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3E675C48" w:rsidR="00D563C8" w:rsidRPr="003D78AF" w:rsidRDefault="00D563C8" w:rsidP="00D563C8">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1E4C0F19" w:rsidR="00D563C8" w:rsidRPr="003D78AF" w:rsidRDefault="00D563C8" w:rsidP="00D563C8">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66EBFCDC" w:rsidR="00D563C8" w:rsidRPr="003D78AF" w:rsidRDefault="00D563C8" w:rsidP="00D563C8">
            <w:pPr>
              <w:spacing w:line="240" w:lineRule="auto"/>
              <w:jc w:val="right"/>
              <w:rPr>
                <w:rFonts w:cs="Arial"/>
                <w:b/>
                <w:bCs/>
                <w:lang w:eastAsia="en-AU"/>
              </w:rPr>
            </w:pPr>
            <w:r>
              <w:rPr>
                <w:rFonts w:cs="Arial"/>
                <w:b/>
                <w:bCs/>
              </w:rPr>
              <w:t>0</w:t>
            </w:r>
          </w:p>
        </w:tc>
      </w:tr>
      <w:tr w:rsidR="00CD3FDC" w:rsidRPr="00650B45" w14:paraId="440532E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CD3FDC" w:rsidRPr="0040594D" w:rsidRDefault="00CD3FDC" w:rsidP="00CD3FDC">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258CCAAB" w:rsidR="00CD3FDC" w:rsidRPr="003D78AF" w:rsidRDefault="00CD3FDC" w:rsidP="00CD3FDC">
            <w:pPr>
              <w:spacing w:line="240" w:lineRule="auto"/>
              <w:jc w:val="right"/>
              <w:rPr>
                <w:rFonts w:cs="Arial"/>
                <w:lang w:eastAsia="en-AU"/>
              </w:rPr>
            </w:pPr>
            <w:r>
              <w:rPr>
                <w:rFonts w:cs="Arial"/>
              </w:rPr>
              <w:t>12</w:t>
            </w:r>
          </w:p>
        </w:tc>
        <w:tc>
          <w:tcPr>
            <w:tcW w:w="850" w:type="dxa"/>
            <w:tcBorders>
              <w:top w:val="nil"/>
              <w:left w:val="nil"/>
              <w:bottom w:val="single" w:sz="4" w:space="0" w:color="auto"/>
              <w:right w:val="single" w:sz="4" w:space="0" w:color="auto"/>
            </w:tcBorders>
            <w:shd w:val="clear" w:color="auto" w:fill="auto"/>
            <w:vAlign w:val="center"/>
          </w:tcPr>
          <w:p w14:paraId="2545D481" w14:textId="2547DA50" w:rsidR="00CD3FDC" w:rsidRPr="003D78AF" w:rsidRDefault="00CD3FDC" w:rsidP="00CD3FDC">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508F00E2" w:rsidR="00CD3FDC" w:rsidRPr="003D78AF" w:rsidRDefault="00CD3FDC" w:rsidP="00CD3FDC">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1921C56E" w:rsidR="00CD3FDC" w:rsidRPr="003D78AF" w:rsidRDefault="00CD3FDC" w:rsidP="00CD3FDC">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3F9FD2F2" w:rsidR="00CD3FDC" w:rsidRPr="003D78AF" w:rsidRDefault="00CD3FDC" w:rsidP="00CD3FDC">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716C5A6A" w:rsidR="00CD3FDC" w:rsidRPr="003D78AF" w:rsidRDefault="00CD3FDC" w:rsidP="00CD3FDC">
            <w:pPr>
              <w:spacing w:line="240" w:lineRule="auto"/>
              <w:jc w:val="right"/>
              <w:rPr>
                <w:rFonts w:cs="Arial"/>
                <w:b/>
                <w:lang w:eastAsia="en-AU"/>
              </w:rPr>
            </w:pPr>
            <w:r>
              <w:rPr>
                <w:rFonts w:cs="Arial"/>
                <w:b/>
                <w:bCs/>
              </w:rPr>
              <w:t>12</w:t>
            </w:r>
          </w:p>
        </w:tc>
      </w:tr>
      <w:tr w:rsidR="00CD3FDC" w:rsidRPr="00650B45" w14:paraId="606D952D"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CD3FDC" w:rsidRDefault="00CD3FDC" w:rsidP="00CD3FDC">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64D57FCE" w:rsidR="00CD3FDC" w:rsidRPr="003D78AF" w:rsidRDefault="00CD3FDC" w:rsidP="00CD3FDC">
            <w:pPr>
              <w:spacing w:line="240" w:lineRule="auto"/>
              <w:jc w:val="right"/>
              <w:rPr>
                <w:rFonts w:cs="Arial"/>
                <w:lang w:eastAsia="en-AU"/>
              </w:rPr>
            </w:pPr>
            <w:r>
              <w:rPr>
                <w:rFonts w:cs="Arial"/>
              </w:rPr>
              <w:t>208</w:t>
            </w:r>
          </w:p>
        </w:tc>
        <w:tc>
          <w:tcPr>
            <w:tcW w:w="850" w:type="dxa"/>
            <w:tcBorders>
              <w:top w:val="nil"/>
              <w:left w:val="nil"/>
              <w:bottom w:val="single" w:sz="4" w:space="0" w:color="auto"/>
              <w:right w:val="single" w:sz="4" w:space="0" w:color="auto"/>
            </w:tcBorders>
            <w:shd w:val="clear" w:color="auto" w:fill="auto"/>
            <w:vAlign w:val="center"/>
          </w:tcPr>
          <w:p w14:paraId="42DE6DE7" w14:textId="6D94DFDE" w:rsidR="00CD3FDC" w:rsidRPr="003D78AF" w:rsidRDefault="00CD3FDC" w:rsidP="00CD3FDC">
            <w:pPr>
              <w:spacing w:line="240" w:lineRule="auto"/>
              <w:jc w:val="right"/>
              <w:rPr>
                <w:rFonts w:cs="Arial"/>
                <w:lang w:eastAsia="en-AU"/>
              </w:rPr>
            </w:pPr>
            <w:r>
              <w:rPr>
                <w:rFonts w:cs="Arial"/>
              </w:rPr>
              <w:t>8</w:t>
            </w:r>
          </w:p>
        </w:tc>
        <w:tc>
          <w:tcPr>
            <w:tcW w:w="779" w:type="dxa"/>
            <w:tcBorders>
              <w:top w:val="nil"/>
              <w:left w:val="nil"/>
              <w:bottom w:val="single" w:sz="4" w:space="0" w:color="auto"/>
              <w:right w:val="single" w:sz="4" w:space="0" w:color="auto"/>
            </w:tcBorders>
            <w:vAlign w:val="center"/>
          </w:tcPr>
          <w:p w14:paraId="6A2B0F8E" w14:textId="035D4648" w:rsidR="00CD3FDC" w:rsidRPr="003D78AF" w:rsidRDefault="00CD3FDC" w:rsidP="00CD3FDC">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2C5DEABC" w:rsidR="00CD3FDC" w:rsidRPr="003D78AF" w:rsidRDefault="00CD3FDC" w:rsidP="00CD3FDC">
            <w:pPr>
              <w:spacing w:line="240" w:lineRule="auto"/>
              <w:jc w:val="right"/>
              <w:rPr>
                <w:rFonts w:cs="Arial"/>
                <w:lang w:eastAsia="en-AU"/>
              </w:rPr>
            </w:pPr>
            <w:r>
              <w:rPr>
                <w:rFonts w:cs="Arial"/>
              </w:rPr>
              <w:t>48</w:t>
            </w:r>
          </w:p>
        </w:tc>
        <w:tc>
          <w:tcPr>
            <w:tcW w:w="706" w:type="dxa"/>
            <w:tcBorders>
              <w:top w:val="nil"/>
              <w:left w:val="nil"/>
              <w:bottom w:val="single" w:sz="4" w:space="0" w:color="auto"/>
              <w:right w:val="single" w:sz="4" w:space="0" w:color="auto"/>
            </w:tcBorders>
            <w:vAlign w:val="center"/>
          </w:tcPr>
          <w:p w14:paraId="635B50F1" w14:textId="2A02F914" w:rsidR="00CD3FDC" w:rsidRPr="003D78AF" w:rsidRDefault="00CD3FDC" w:rsidP="00CD3FDC">
            <w:pPr>
              <w:spacing w:line="240" w:lineRule="auto"/>
              <w:jc w:val="right"/>
              <w:rPr>
                <w:rFonts w:cs="Arial"/>
                <w:lang w:eastAsia="en-AU"/>
              </w:rPr>
            </w:pPr>
            <w:r>
              <w:rPr>
                <w:rFonts w:cs="Arial"/>
              </w:rPr>
              <w:t>9</w:t>
            </w:r>
          </w:p>
        </w:tc>
        <w:tc>
          <w:tcPr>
            <w:tcW w:w="849" w:type="dxa"/>
            <w:tcBorders>
              <w:top w:val="nil"/>
              <w:left w:val="nil"/>
              <w:bottom w:val="single" w:sz="4" w:space="0" w:color="auto"/>
              <w:right w:val="single" w:sz="4" w:space="0" w:color="auto"/>
            </w:tcBorders>
            <w:vAlign w:val="center"/>
          </w:tcPr>
          <w:p w14:paraId="413D1C25" w14:textId="4F1A3261" w:rsidR="00CD3FDC" w:rsidRPr="003D78AF" w:rsidRDefault="00CD3FDC" w:rsidP="00CD3FDC">
            <w:pPr>
              <w:spacing w:line="240" w:lineRule="auto"/>
              <w:jc w:val="right"/>
              <w:rPr>
                <w:rFonts w:cs="Arial"/>
                <w:b/>
                <w:lang w:eastAsia="en-AU"/>
              </w:rPr>
            </w:pPr>
            <w:r>
              <w:rPr>
                <w:rFonts w:cs="Arial"/>
                <w:b/>
                <w:bCs/>
              </w:rPr>
              <w:t>273</w:t>
            </w:r>
          </w:p>
        </w:tc>
      </w:tr>
      <w:tr w:rsidR="00CD3FDC" w:rsidRPr="00650B45" w14:paraId="326E9032"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CD3FDC" w:rsidRDefault="00CD3FDC" w:rsidP="00CD3FDC">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3B0BA355" w:rsidR="00CD3FDC" w:rsidRPr="003D78AF" w:rsidRDefault="00CD3FDC" w:rsidP="00CD3FDC">
            <w:pPr>
              <w:spacing w:line="240" w:lineRule="auto"/>
              <w:jc w:val="right"/>
              <w:rPr>
                <w:rFonts w:cs="Arial"/>
                <w:lang w:eastAsia="en-AU"/>
              </w:rPr>
            </w:pPr>
            <w:r>
              <w:rPr>
                <w:rFonts w:cs="Arial"/>
              </w:rPr>
              <w:t>8</w:t>
            </w:r>
          </w:p>
        </w:tc>
        <w:tc>
          <w:tcPr>
            <w:tcW w:w="850" w:type="dxa"/>
            <w:tcBorders>
              <w:top w:val="nil"/>
              <w:left w:val="nil"/>
              <w:bottom w:val="single" w:sz="4" w:space="0" w:color="auto"/>
              <w:right w:val="single" w:sz="4" w:space="0" w:color="auto"/>
            </w:tcBorders>
            <w:shd w:val="clear" w:color="auto" w:fill="auto"/>
            <w:vAlign w:val="center"/>
          </w:tcPr>
          <w:p w14:paraId="1BA99C8E" w14:textId="4885C387" w:rsidR="00CD3FDC" w:rsidRPr="003D78AF" w:rsidRDefault="00CD3FDC" w:rsidP="00CD3FDC">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54E7A1AA" w14:textId="4EAAEF1A" w:rsidR="00CD3FDC" w:rsidRPr="003D78AF" w:rsidRDefault="00CD3FDC" w:rsidP="00CD3FDC">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0EA3A937" w:rsidR="00CD3FDC" w:rsidRPr="003D78AF" w:rsidRDefault="00CD3FDC" w:rsidP="00CD3FDC">
            <w:pPr>
              <w:spacing w:line="240" w:lineRule="auto"/>
              <w:jc w:val="right"/>
              <w:rPr>
                <w:rFonts w:cs="Arial"/>
                <w:lang w:eastAsia="en-AU"/>
              </w:rPr>
            </w:pPr>
            <w:r>
              <w:rPr>
                <w:rFonts w:cs="Arial"/>
              </w:rPr>
              <w:t>7</w:t>
            </w:r>
          </w:p>
        </w:tc>
        <w:tc>
          <w:tcPr>
            <w:tcW w:w="706" w:type="dxa"/>
            <w:tcBorders>
              <w:top w:val="nil"/>
              <w:left w:val="nil"/>
              <w:bottom w:val="single" w:sz="4" w:space="0" w:color="auto"/>
              <w:right w:val="single" w:sz="4" w:space="0" w:color="auto"/>
            </w:tcBorders>
            <w:vAlign w:val="center"/>
          </w:tcPr>
          <w:p w14:paraId="772FC04E" w14:textId="379F649E" w:rsidR="00CD3FDC" w:rsidRPr="003D78AF" w:rsidRDefault="00CD3FDC" w:rsidP="00CD3FDC">
            <w:pPr>
              <w:spacing w:line="240" w:lineRule="auto"/>
              <w:jc w:val="right"/>
              <w:rPr>
                <w:rFonts w:cs="Arial"/>
                <w:lang w:eastAsia="en-AU"/>
              </w:rPr>
            </w:pPr>
            <w:r>
              <w:rPr>
                <w:rFonts w:cs="Arial"/>
              </w:rPr>
              <w:t>5</w:t>
            </w:r>
          </w:p>
        </w:tc>
        <w:tc>
          <w:tcPr>
            <w:tcW w:w="849" w:type="dxa"/>
            <w:tcBorders>
              <w:top w:val="nil"/>
              <w:left w:val="nil"/>
              <w:bottom w:val="single" w:sz="4" w:space="0" w:color="auto"/>
              <w:right w:val="single" w:sz="4" w:space="0" w:color="auto"/>
            </w:tcBorders>
            <w:vAlign w:val="center"/>
          </w:tcPr>
          <w:p w14:paraId="7DF1704F" w14:textId="78E3DFBB" w:rsidR="00CD3FDC" w:rsidRPr="003D78AF" w:rsidRDefault="00CD3FDC" w:rsidP="00CD3FDC">
            <w:pPr>
              <w:spacing w:line="240" w:lineRule="auto"/>
              <w:jc w:val="right"/>
              <w:rPr>
                <w:rFonts w:cs="Arial"/>
                <w:b/>
                <w:lang w:eastAsia="en-AU"/>
              </w:rPr>
            </w:pPr>
            <w:r>
              <w:rPr>
                <w:rFonts w:cs="Arial"/>
                <w:b/>
                <w:bCs/>
              </w:rPr>
              <w:t>21</w:t>
            </w:r>
          </w:p>
        </w:tc>
      </w:tr>
      <w:tr w:rsidR="00CD3FDC" w:rsidRPr="00650B45" w14:paraId="4D04E998"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CD3FDC" w:rsidRDefault="00CD3FDC" w:rsidP="00CD3FDC">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590AFD12" w:rsidR="00CD3FDC" w:rsidRPr="003D78AF" w:rsidRDefault="00CD3FDC" w:rsidP="00CD3FDC">
            <w:pPr>
              <w:spacing w:line="240" w:lineRule="auto"/>
              <w:jc w:val="right"/>
              <w:rPr>
                <w:rFonts w:cs="Arial"/>
                <w:lang w:eastAsia="en-AU"/>
              </w:rPr>
            </w:pPr>
            <w:r>
              <w:rPr>
                <w:rFonts w:cs="Arial"/>
              </w:rPr>
              <w:t>33</w:t>
            </w:r>
          </w:p>
        </w:tc>
        <w:tc>
          <w:tcPr>
            <w:tcW w:w="850" w:type="dxa"/>
            <w:tcBorders>
              <w:top w:val="nil"/>
              <w:left w:val="nil"/>
              <w:bottom w:val="single" w:sz="4" w:space="0" w:color="auto"/>
              <w:right w:val="single" w:sz="4" w:space="0" w:color="auto"/>
            </w:tcBorders>
            <w:shd w:val="clear" w:color="auto" w:fill="auto"/>
            <w:vAlign w:val="center"/>
          </w:tcPr>
          <w:p w14:paraId="375C9925" w14:textId="159B8A5C" w:rsidR="00CD3FDC" w:rsidRPr="003D78AF" w:rsidRDefault="00CD3FDC" w:rsidP="00CD3FDC">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766C043E" w14:textId="0B17B7B4" w:rsidR="00CD3FDC" w:rsidRPr="003D78AF" w:rsidRDefault="00CD3FDC" w:rsidP="00CD3FDC">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27EF246C" w:rsidR="00CD3FDC" w:rsidRPr="003D78AF" w:rsidRDefault="00CD3FDC" w:rsidP="00CD3FDC">
            <w:pPr>
              <w:spacing w:line="240" w:lineRule="auto"/>
              <w:jc w:val="right"/>
              <w:rPr>
                <w:rFonts w:cs="Arial"/>
                <w:lang w:eastAsia="en-AU"/>
              </w:rPr>
            </w:pPr>
            <w:r>
              <w:rPr>
                <w:rFonts w:cs="Arial"/>
              </w:rPr>
              <w:t>10</w:t>
            </w:r>
          </w:p>
        </w:tc>
        <w:tc>
          <w:tcPr>
            <w:tcW w:w="706" w:type="dxa"/>
            <w:tcBorders>
              <w:top w:val="nil"/>
              <w:left w:val="nil"/>
              <w:bottom w:val="single" w:sz="4" w:space="0" w:color="auto"/>
              <w:right w:val="single" w:sz="4" w:space="0" w:color="auto"/>
            </w:tcBorders>
            <w:vAlign w:val="center"/>
          </w:tcPr>
          <w:p w14:paraId="76B03AEF" w14:textId="1C550746" w:rsidR="00CD3FDC" w:rsidRPr="003D78AF" w:rsidRDefault="00CD3FDC" w:rsidP="00CD3FDC">
            <w:pPr>
              <w:spacing w:line="240" w:lineRule="auto"/>
              <w:jc w:val="right"/>
              <w:rPr>
                <w:rFonts w:cs="Arial"/>
                <w:lang w:eastAsia="en-AU"/>
              </w:rPr>
            </w:pPr>
            <w:r>
              <w:rPr>
                <w:rFonts w:cs="Arial"/>
              </w:rPr>
              <w:t>1</w:t>
            </w:r>
          </w:p>
        </w:tc>
        <w:tc>
          <w:tcPr>
            <w:tcW w:w="849" w:type="dxa"/>
            <w:tcBorders>
              <w:top w:val="nil"/>
              <w:left w:val="nil"/>
              <w:bottom w:val="single" w:sz="4" w:space="0" w:color="auto"/>
              <w:right w:val="single" w:sz="4" w:space="0" w:color="auto"/>
            </w:tcBorders>
            <w:vAlign w:val="center"/>
          </w:tcPr>
          <w:p w14:paraId="61D1E9D8" w14:textId="0504B936" w:rsidR="00CD3FDC" w:rsidRPr="003D78AF" w:rsidRDefault="00CD3FDC" w:rsidP="00CD3FDC">
            <w:pPr>
              <w:spacing w:line="240" w:lineRule="auto"/>
              <w:jc w:val="right"/>
              <w:rPr>
                <w:rFonts w:cs="Arial"/>
                <w:b/>
                <w:lang w:eastAsia="en-AU"/>
              </w:rPr>
            </w:pPr>
            <w:r>
              <w:rPr>
                <w:rFonts w:cs="Arial"/>
                <w:b/>
                <w:bCs/>
              </w:rPr>
              <w:t>45</w:t>
            </w:r>
          </w:p>
        </w:tc>
      </w:tr>
      <w:tr w:rsidR="00CD3FDC" w:rsidRPr="00650B45" w14:paraId="725BA5E1"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CD3FDC" w:rsidRPr="0040594D" w:rsidRDefault="00CD3FDC" w:rsidP="00CD3FDC">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2142099C" w:rsidR="00CD3FDC" w:rsidRPr="003D78AF" w:rsidRDefault="00CD3FDC" w:rsidP="00CD3FDC">
            <w:pPr>
              <w:spacing w:line="240" w:lineRule="auto"/>
              <w:jc w:val="right"/>
              <w:rPr>
                <w:rFonts w:cs="Arial"/>
                <w:lang w:eastAsia="en-AU"/>
              </w:rPr>
            </w:pPr>
            <w:r>
              <w:rPr>
                <w:rFonts w:cs="Arial"/>
              </w:rPr>
              <w:t>206</w:t>
            </w:r>
          </w:p>
        </w:tc>
        <w:tc>
          <w:tcPr>
            <w:tcW w:w="850" w:type="dxa"/>
            <w:tcBorders>
              <w:top w:val="nil"/>
              <w:left w:val="nil"/>
              <w:bottom w:val="single" w:sz="4" w:space="0" w:color="auto"/>
              <w:right w:val="single" w:sz="4" w:space="0" w:color="auto"/>
            </w:tcBorders>
            <w:shd w:val="clear" w:color="auto" w:fill="auto"/>
            <w:vAlign w:val="center"/>
          </w:tcPr>
          <w:p w14:paraId="5D2BA765" w14:textId="7D7779F6" w:rsidR="00CD3FDC" w:rsidRPr="003D78AF" w:rsidRDefault="00CD3FDC" w:rsidP="00CD3FDC">
            <w:pPr>
              <w:spacing w:line="240" w:lineRule="auto"/>
              <w:jc w:val="right"/>
              <w:rPr>
                <w:rFonts w:cs="Arial"/>
                <w:lang w:eastAsia="en-AU"/>
              </w:rPr>
            </w:pPr>
            <w:r>
              <w:rPr>
                <w:rFonts w:cs="Arial"/>
              </w:rPr>
              <w:t>4</w:t>
            </w:r>
          </w:p>
        </w:tc>
        <w:tc>
          <w:tcPr>
            <w:tcW w:w="779" w:type="dxa"/>
            <w:tcBorders>
              <w:top w:val="nil"/>
              <w:left w:val="nil"/>
              <w:bottom w:val="single" w:sz="4" w:space="0" w:color="auto"/>
              <w:right w:val="single" w:sz="4" w:space="0" w:color="auto"/>
            </w:tcBorders>
            <w:vAlign w:val="center"/>
          </w:tcPr>
          <w:p w14:paraId="6EC1BDB5" w14:textId="6B8EDFD4" w:rsidR="00CD3FDC" w:rsidRPr="003D78AF" w:rsidRDefault="00CD3FDC" w:rsidP="00CD3FDC">
            <w:pPr>
              <w:spacing w:line="240" w:lineRule="auto"/>
              <w:jc w:val="right"/>
              <w:rPr>
                <w:rFonts w:cs="Arial"/>
                <w:lang w:eastAsia="en-AU"/>
              </w:rPr>
            </w:pPr>
            <w:r>
              <w:rPr>
                <w:rFonts w:cs="Arial"/>
              </w:rPr>
              <w:t>327</w:t>
            </w:r>
          </w:p>
        </w:tc>
        <w:tc>
          <w:tcPr>
            <w:tcW w:w="643" w:type="dxa"/>
            <w:tcBorders>
              <w:top w:val="nil"/>
              <w:left w:val="nil"/>
              <w:bottom w:val="single" w:sz="4" w:space="0" w:color="auto"/>
              <w:right w:val="single" w:sz="4" w:space="0" w:color="auto"/>
            </w:tcBorders>
            <w:vAlign w:val="center"/>
          </w:tcPr>
          <w:p w14:paraId="1997B7CD" w14:textId="632DC5D2" w:rsidR="00CD3FDC" w:rsidRPr="003D78AF" w:rsidRDefault="00CD3FDC" w:rsidP="00CD3FDC">
            <w:pPr>
              <w:spacing w:line="240" w:lineRule="auto"/>
              <w:jc w:val="right"/>
              <w:rPr>
                <w:rFonts w:cs="Arial"/>
                <w:lang w:eastAsia="en-AU"/>
              </w:rPr>
            </w:pPr>
            <w:r>
              <w:rPr>
                <w:rFonts w:cs="Arial"/>
              </w:rPr>
              <w:t>127</w:t>
            </w:r>
          </w:p>
        </w:tc>
        <w:tc>
          <w:tcPr>
            <w:tcW w:w="706" w:type="dxa"/>
            <w:tcBorders>
              <w:top w:val="nil"/>
              <w:left w:val="nil"/>
              <w:bottom w:val="single" w:sz="4" w:space="0" w:color="auto"/>
              <w:right w:val="single" w:sz="4" w:space="0" w:color="auto"/>
            </w:tcBorders>
            <w:vAlign w:val="center"/>
          </w:tcPr>
          <w:p w14:paraId="6C72EE70" w14:textId="6E0AE23A" w:rsidR="00CD3FDC" w:rsidRPr="003D78AF" w:rsidRDefault="00CD3FDC" w:rsidP="00CD3FDC">
            <w:pPr>
              <w:spacing w:line="240" w:lineRule="auto"/>
              <w:jc w:val="right"/>
              <w:rPr>
                <w:rFonts w:cs="Arial"/>
                <w:lang w:eastAsia="en-AU"/>
              </w:rPr>
            </w:pPr>
            <w:r>
              <w:rPr>
                <w:rFonts w:cs="Arial"/>
              </w:rPr>
              <w:t>26</w:t>
            </w:r>
          </w:p>
        </w:tc>
        <w:tc>
          <w:tcPr>
            <w:tcW w:w="849" w:type="dxa"/>
            <w:tcBorders>
              <w:top w:val="nil"/>
              <w:left w:val="nil"/>
              <w:bottom w:val="single" w:sz="4" w:space="0" w:color="auto"/>
              <w:right w:val="single" w:sz="4" w:space="0" w:color="auto"/>
            </w:tcBorders>
            <w:vAlign w:val="center"/>
          </w:tcPr>
          <w:p w14:paraId="10323D05" w14:textId="3295BC37" w:rsidR="00CD3FDC" w:rsidRPr="003D78AF" w:rsidRDefault="00CD3FDC" w:rsidP="00CD3FDC">
            <w:pPr>
              <w:spacing w:line="240" w:lineRule="auto"/>
              <w:jc w:val="right"/>
              <w:rPr>
                <w:rFonts w:cs="Arial"/>
                <w:b/>
                <w:lang w:eastAsia="en-AU"/>
              </w:rPr>
            </w:pPr>
            <w:r>
              <w:rPr>
                <w:rFonts w:cs="Arial"/>
                <w:b/>
                <w:bCs/>
              </w:rPr>
              <w:t>690</w:t>
            </w:r>
          </w:p>
        </w:tc>
      </w:tr>
      <w:tr w:rsidR="00CD3FDC" w:rsidRPr="00650B45" w14:paraId="427883C4"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CD3FDC" w:rsidRPr="0040594D" w:rsidRDefault="00CD3FDC" w:rsidP="00CD3FDC">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3562483F" w:rsidR="00CD3FDC" w:rsidRPr="003D78AF" w:rsidRDefault="00CD3FDC" w:rsidP="00CD3FDC">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167A708E" w:rsidR="00CD3FDC" w:rsidRPr="003D78AF" w:rsidRDefault="00CD3FDC" w:rsidP="00CD3FDC">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3CD99817" w14:textId="723CBEFD" w:rsidR="00CD3FDC" w:rsidRPr="003D78AF" w:rsidRDefault="00CD3FDC" w:rsidP="00CD3FDC">
            <w:pPr>
              <w:spacing w:line="240" w:lineRule="auto"/>
              <w:jc w:val="right"/>
              <w:rPr>
                <w:rFonts w:cs="Arial"/>
                <w:lang w:eastAsia="en-AU"/>
              </w:rPr>
            </w:pPr>
            <w:r>
              <w:rPr>
                <w:rFonts w:cs="Arial"/>
              </w:rPr>
              <w:t>8</w:t>
            </w:r>
          </w:p>
        </w:tc>
        <w:tc>
          <w:tcPr>
            <w:tcW w:w="643" w:type="dxa"/>
            <w:tcBorders>
              <w:top w:val="nil"/>
              <w:left w:val="nil"/>
              <w:bottom w:val="single" w:sz="4" w:space="0" w:color="auto"/>
              <w:right w:val="single" w:sz="4" w:space="0" w:color="auto"/>
            </w:tcBorders>
            <w:vAlign w:val="center"/>
          </w:tcPr>
          <w:p w14:paraId="02AC8E9D" w14:textId="1F77F416" w:rsidR="00CD3FDC" w:rsidRPr="003D78AF" w:rsidRDefault="00CD3FDC" w:rsidP="00CD3FDC">
            <w:pPr>
              <w:spacing w:line="240" w:lineRule="auto"/>
              <w:jc w:val="right"/>
              <w:rPr>
                <w:rFonts w:cs="Arial"/>
                <w:lang w:eastAsia="en-AU"/>
              </w:rPr>
            </w:pPr>
            <w:r>
              <w:rPr>
                <w:rFonts w:cs="Arial"/>
              </w:rPr>
              <w:t>13</w:t>
            </w:r>
          </w:p>
        </w:tc>
        <w:tc>
          <w:tcPr>
            <w:tcW w:w="706" w:type="dxa"/>
            <w:tcBorders>
              <w:top w:val="nil"/>
              <w:left w:val="nil"/>
              <w:bottom w:val="single" w:sz="4" w:space="0" w:color="auto"/>
              <w:right w:val="single" w:sz="4" w:space="0" w:color="auto"/>
            </w:tcBorders>
            <w:vAlign w:val="center"/>
          </w:tcPr>
          <w:p w14:paraId="30E7D1DC" w14:textId="57DBB35A" w:rsidR="00CD3FDC" w:rsidRPr="003D78AF" w:rsidRDefault="00CD3FDC" w:rsidP="00CD3FDC">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227C68DA" w:rsidR="00CD3FDC" w:rsidRPr="003D78AF" w:rsidRDefault="00CD3FDC" w:rsidP="00CD3FDC">
            <w:pPr>
              <w:spacing w:line="240" w:lineRule="auto"/>
              <w:jc w:val="right"/>
              <w:rPr>
                <w:rFonts w:cs="Arial"/>
                <w:b/>
                <w:lang w:eastAsia="en-AU"/>
              </w:rPr>
            </w:pPr>
            <w:r>
              <w:rPr>
                <w:rFonts w:cs="Arial"/>
                <w:b/>
                <w:bCs/>
              </w:rPr>
              <w:t>22</w:t>
            </w:r>
          </w:p>
        </w:tc>
      </w:tr>
      <w:tr w:rsidR="003D78AF"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3D78AF" w:rsidRPr="00371BE2" w:rsidRDefault="003D78AF" w:rsidP="003D78AF">
            <w:pPr>
              <w:spacing w:line="240" w:lineRule="auto"/>
              <w:rPr>
                <w:rFonts w:cs="Arial"/>
                <w:lang w:eastAsia="en-AU"/>
              </w:rPr>
            </w:pPr>
            <w:bookmarkStart w:id="15"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27A797AA" w:rsidR="003D78AF" w:rsidRPr="003D78AF" w:rsidRDefault="003D78AF" w:rsidP="003D78AF">
            <w:pPr>
              <w:spacing w:line="240" w:lineRule="auto"/>
              <w:jc w:val="right"/>
              <w:rPr>
                <w:rFonts w:cs="Arial"/>
                <w:lang w:eastAsia="en-AU"/>
              </w:rPr>
            </w:pPr>
          </w:p>
        </w:tc>
        <w:tc>
          <w:tcPr>
            <w:tcW w:w="850" w:type="dxa"/>
            <w:tcBorders>
              <w:top w:val="nil"/>
              <w:left w:val="nil"/>
              <w:bottom w:val="single" w:sz="4" w:space="0" w:color="auto"/>
              <w:right w:val="single" w:sz="4" w:space="0" w:color="auto"/>
            </w:tcBorders>
            <w:shd w:val="clear" w:color="auto" w:fill="auto"/>
            <w:vAlign w:val="center"/>
          </w:tcPr>
          <w:p w14:paraId="68D714D8" w14:textId="2EA2691F" w:rsidR="003D78AF" w:rsidRPr="003D78AF" w:rsidRDefault="003D78AF" w:rsidP="003D78AF">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4CC4A2B2" w:rsidR="003D78AF" w:rsidRPr="003D78AF" w:rsidRDefault="003D78AF" w:rsidP="003D78AF">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0B7619B3" w:rsidR="003D78AF" w:rsidRPr="003D78AF" w:rsidRDefault="003D78AF" w:rsidP="003D78AF">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39EB1AF6" w:rsidR="003D78AF" w:rsidRPr="003D78AF" w:rsidRDefault="003D78AF" w:rsidP="003D78AF">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3C1CDA2F" w:rsidR="003D78AF" w:rsidRPr="003D78AF" w:rsidRDefault="003D78AF" w:rsidP="003D78AF">
            <w:pPr>
              <w:spacing w:line="240" w:lineRule="auto"/>
              <w:jc w:val="right"/>
              <w:rPr>
                <w:rFonts w:cs="Arial"/>
                <w:b/>
                <w:lang w:eastAsia="en-AU"/>
              </w:rPr>
            </w:pPr>
          </w:p>
        </w:tc>
      </w:tr>
      <w:bookmarkEnd w:id="15"/>
      <w:tr w:rsidR="00CD3FDC" w:rsidRPr="00650B45" w14:paraId="1804ED43"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CD3FDC" w:rsidRPr="00371BE2" w:rsidRDefault="00CD3FDC" w:rsidP="00CD3FDC">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47E98418" w:rsidR="00CD3FDC" w:rsidRPr="003D78AF" w:rsidRDefault="00CD3FDC" w:rsidP="00CD3FDC">
            <w:pPr>
              <w:spacing w:line="240" w:lineRule="auto"/>
              <w:jc w:val="right"/>
              <w:rPr>
                <w:rFonts w:cs="Arial"/>
              </w:rPr>
            </w:pPr>
            <w:r>
              <w:rPr>
                <w:rFonts w:cs="Arial"/>
              </w:rPr>
              <w:t>12</w:t>
            </w:r>
          </w:p>
        </w:tc>
        <w:tc>
          <w:tcPr>
            <w:tcW w:w="850" w:type="dxa"/>
            <w:tcBorders>
              <w:top w:val="nil"/>
              <w:left w:val="nil"/>
              <w:bottom w:val="single" w:sz="4" w:space="0" w:color="auto"/>
              <w:right w:val="single" w:sz="4" w:space="0" w:color="auto"/>
            </w:tcBorders>
            <w:shd w:val="clear" w:color="auto" w:fill="auto"/>
            <w:vAlign w:val="center"/>
          </w:tcPr>
          <w:p w14:paraId="503CD381" w14:textId="647D5A6B" w:rsidR="00CD3FDC" w:rsidRPr="003D78AF" w:rsidRDefault="00CD3FDC" w:rsidP="00CD3FDC">
            <w:pPr>
              <w:spacing w:line="240" w:lineRule="auto"/>
              <w:jc w:val="right"/>
              <w:rPr>
                <w:rFonts w:cs="Arial"/>
              </w:rPr>
            </w:pPr>
            <w:r>
              <w:rPr>
                <w:rFonts w:cs="Arial"/>
              </w:rPr>
              <w:t>6</w:t>
            </w:r>
          </w:p>
        </w:tc>
        <w:tc>
          <w:tcPr>
            <w:tcW w:w="779" w:type="dxa"/>
            <w:tcBorders>
              <w:top w:val="nil"/>
              <w:left w:val="nil"/>
              <w:bottom w:val="single" w:sz="4" w:space="0" w:color="auto"/>
              <w:right w:val="single" w:sz="4" w:space="0" w:color="auto"/>
            </w:tcBorders>
            <w:vAlign w:val="center"/>
          </w:tcPr>
          <w:p w14:paraId="488ACCDC" w14:textId="3802A293" w:rsidR="00CD3FDC" w:rsidRPr="003D78AF" w:rsidRDefault="00CD3FDC" w:rsidP="00CD3FDC">
            <w:pPr>
              <w:spacing w:line="240" w:lineRule="auto"/>
              <w:jc w:val="right"/>
              <w:rPr>
                <w:rFonts w:cs="Arial"/>
              </w:rPr>
            </w:pPr>
            <w:r>
              <w:rPr>
                <w:rFonts w:cs="Arial"/>
              </w:rPr>
              <w:t>18</w:t>
            </w:r>
          </w:p>
        </w:tc>
        <w:tc>
          <w:tcPr>
            <w:tcW w:w="643" w:type="dxa"/>
            <w:tcBorders>
              <w:top w:val="nil"/>
              <w:left w:val="nil"/>
              <w:bottom w:val="single" w:sz="4" w:space="0" w:color="auto"/>
              <w:right w:val="single" w:sz="4" w:space="0" w:color="auto"/>
            </w:tcBorders>
            <w:vAlign w:val="center"/>
          </w:tcPr>
          <w:p w14:paraId="0FE1FB54" w14:textId="5823A3DD" w:rsidR="00CD3FDC" w:rsidRPr="003D78AF" w:rsidRDefault="00CD3FDC" w:rsidP="00CD3FDC">
            <w:pPr>
              <w:spacing w:line="240" w:lineRule="auto"/>
              <w:jc w:val="right"/>
              <w:rPr>
                <w:rFonts w:cs="Arial"/>
              </w:rPr>
            </w:pPr>
            <w:r>
              <w:rPr>
                <w:rFonts w:cs="Arial"/>
              </w:rPr>
              <w:t>5</w:t>
            </w:r>
          </w:p>
        </w:tc>
        <w:tc>
          <w:tcPr>
            <w:tcW w:w="706" w:type="dxa"/>
            <w:tcBorders>
              <w:top w:val="nil"/>
              <w:left w:val="nil"/>
              <w:bottom w:val="single" w:sz="4" w:space="0" w:color="auto"/>
              <w:right w:val="single" w:sz="4" w:space="0" w:color="auto"/>
            </w:tcBorders>
            <w:vAlign w:val="center"/>
          </w:tcPr>
          <w:p w14:paraId="6B736C1A" w14:textId="6A52338B" w:rsidR="00CD3FDC" w:rsidRPr="003D78AF" w:rsidRDefault="00CD3FDC" w:rsidP="00CD3FDC">
            <w:pPr>
              <w:spacing w:line="240" w:lineRule="auto"/>
              <w:jc w:val="right"/>
              <w:rPr>
                <w:rFonts w:cs="Arial"/>
              </w:rPr>
            </w:pPr>
            <w:r>
              <w:rPr>
                <w:rFonts w:cs="Arial"/>
              </w:rPr>
              <w:t>5</w:t>
            </w:r>
          </w:p>
        </w:tc>
        <w:tc>
          <w:tcPr>
            <w:tcW w:w="849" w:type="dxa"/>
            <w:tcBorders>
              <w:top w:val="nil"/>
              <w:left w:val="nil"/>
              <w:bottom w:val="single" w:sz="4" w:space="0" w:color="auto"/>
              <w:right w:val="single" w:sz="4" w:space="0" w:color="auto"/>
            </w:tcBorders>
            <w:vAlign w:val="center"/>
          </w:tcPr>
          <w:p w14:paraId="46071030" w14:textId="6E9048AA" w:rsidR="00CD3FDC" w:rsidRPr="003D78AF" w:rsidRDefault="00CD3FDC" w:rsidP="00CD3FDC">
            <w:pPr>
              <w:spacing w:line="240" w:lineRule="auto"/>
              <w:jc w:val="right"/>
              <w:rPr>
                <w:rFonts w:cs="Arial"/>
                <w:b/>
                <w:bCs/>
              </w:rPr>
            </w:pPr>
            <w:r>
              <w:rPr>
                <w:rFonts w:cs="Arial"/>
                <w:b/>
                <w:bCs/>
              </w:rPr>
              <w:t>46</w:t>
            </w:r>
          </w:p>
        </w:tc>
      </w:tr>
      <w:tr w:rsidR="00CD3FDC" w:rsidRPr="00650B45" w14:paraId="2A2A6B6B"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CD3FDC" w:rsidRPr="00371BE2" w:rsidRDefault="00CD3FDC" w:rsidP="00CD3FDC">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3040948D" w:rsidR="00CD3FDC" w:rsidRPr="003D78AF" w:rsidRDefault="00CD3FDC" w:rsidP="00CD3FDC">
            <w:pPr>
              <w:spacing w:line="240" w:lineRule="auto"/>
              <w:jc w:val="right"/>
              <w:rPr>
                <w:rFonts w:cs="Arial"/>
              </w:rPr>
            </w:pPr>
            <w:r>
              <w:rPr>
                <w:rFonts w:cs="Arial"/>
              </w:rPr>
              <w:t>2</w:t>
            </w:r>
          </w:p>
        </w:tc>
        <w:tc>
          <w:tcPr>
            <w:tcW w:w="850" w:type="dxa"/>
            <w:tcBorders>
              <w:top w:val="nil"/>
              <w:left w:val="nil"/>
              <w:bottom w:val="single" w:sz="4" w:space="0" w:color="auto"/>
              <w:right w:val="single" w:sz="4" w:space="0" w:color="auto"/>
            </w:tcBorders>
            <w:shd w:val="clear" w:color="auto" w:fill="auto"/>
            <w:vAlign w:val="center"/>
          </w:tcPr>
          <w:p w14:paraId="0611116F" w14:textId="388FA330" w:rsidR="00CD3FDC" w:rsidRPr="003D78AF" w:rsidRDefault="00CD3FDC" w:rsidP="00CD3FDC">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79744A97" w:rsidR="00CD3FDC" w:rsidRPr="003D78AF" w:rsidRDefault="00CD3FDC" w:rsidP="00CD3FDC">
            <w:pPr>
              <w:spacing w:line="240" w:lineRule="auto"/>
              <w:jc w:val="right"/>
              <w:rPr>
                <w:rFonts w:cs="Arial"/>
              </w:rPr>
            </w:pPr>
            <w:r>
              <w:rPr>
                <w:rFonts w:cs="Arial"/>
              </w:rPr>
              <w:t>11</w:t>
            </w:r>
          </w:p>
        </w:tc>
        <w:tc>
          <w:tcPr>
            <w:tcW w:w="643" w:type="dxa"/>
            <w:tcBorders>
              <w:top w:val="nil"/>
              <w:left w:val="nil"/>
              <w:bottom w:val="single" w:sz="4" w:space="0" w:color="auto"/>
              <w:right w:val="single" w:sz="4" w:space="0" w:color="auto"/>
            </w:tcBorders>
            <w:vAlign w:val="center"/>
          </w:tcPr>
          <w:p w14:paraId="5E3C036C" w14:textId="7D5E811B" w:rsidR="00CD3FDC" w:rsidRPr="003D78AF" w:rsidRDefault="00CD3FDC" w:rsidP="00CD3FDC">
            <w:pPr>
              <w:spacing w:line="240" w:lineRule="auto"/>
              <w:jc w:val="right"/>
              <w:rPr>
                <w:rFonts w:cs="Arial"/>
              </w:rPr>
            </w:pPr>
            <w:r>
              <w:rPr>
                <w:rFonts w:cs="Arial"/>
              </w:rPr>
              <w:t>1</w:t>
            </w:r>
          </w:p>
        </w:tc>
        <w:tc>
          <w:tcPr>
            <w:tcW w:w="706" w:type="dxa"/>
            <w:tcBorders>
              <w:top w:val="nil"/>
              <w:left w:val="nil"/>
              <w:bottom w:val="single" w:sz="4" w:space="0" w:color="auto"/>
              <w:right w:val="single" w:sz="4" w:space="0" w:color="auto"/>
            </w:tcBorders>
            <w:vAlign w:val="center"/>
          </w:tcPr>
          <w:p w14:paraId="3F5C3F2B" w14:textId="2D8BEB8F" w:rsidR="00CD3FDC" w:rsidRPr="003D78AF" w:rsidRDefault="00CD3FDC" w:rsidP="00CD3FDC">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6BD8A570" w:rsidR="00CD3FDC" w:rsidRPr="003D78AF" w:rsidRDefault="00CD3FDC" w:rsidP="00CD3FDC">
            <w:pPr>
              <w:spacing w:line="240" w:lineRule="auto"/>
              <w:jc w:val="right"/>
              <w:rPr>
                <w:rFonts w:cs="Arial"/>
                <w:b/>
                <w:bCs/>
              </w:rPr>
            </w:pPr>
            <w:r>
              <w:rPr>
                <w:rFonts w:cs="Arial"/>
                <w:b/>
                <w:bCs/>
              </w:rPr>
              <w:t>14</w:t>
            </w:r>
          </w:p>
        </w:tc>
      </w:tr>
      <w:tr w:rsidR="00CD3FDC" w:rsidRPr="00650B45" w14:paraId="4C455349"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CD3FDC" w:rsidRPr="00371BE2" w:rsidRDefault="00CD3FDC" w:rsidP="00CD3FDC">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714FA761" w:rsidR="00CD3FDC" w:rsidRPr="003D78AF" w:rsidRDefault="00CD3FDC" w:rsidP="00CD3FDC">
            <w:pPr>
              <w:spacing w:line="240" w:lineRule="auto"/>
              <w:jc w:val="right"/>
              <w:rPr>
                <w:rFonts w:cs="Arial"/>
                <w:lang w:eastAsia="en-AU"/>
              </w:rPr>
            </w:pPr>
            <w:r>
              <w:rPr>
                <w:rFonts w:cs="Arial"/>
              </w:rPr>
              <w:t>17</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17D53172" w:rsidR="00CD3FDC" w:rsidRPr="003D78AF" w:rsidRDefault="00CD3FDC" w:rsidP="00CD3FDC">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68D6A9F8" w:rsidR="00CD3FDC" w:rsidRPr="003D78AF" w:rsidRDefault="00CD3FDC" w:rsidP="00CD3FDC">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0E437AD8" w:rsidR="00CD3FDC" w:rsidRPr="003D78AF" w:rsidRDefault="00CD3FDC" w:rsidP="00CD3FDC">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4DCC6B96" w:rsidR="00CD3FDC" w:rsidRPr="003D78AF" w:rsidRDefault="00CD3FDC" w:rsidP="00CD3FDC">
            <w:pPr>
              <w:spacing w:line="240" w:lineRule="auto"/>
              <w:jc w:val="right"/>
              <w:rPr>
                <w:rFonts w:cs="Arial"/>
                <w:lang w:eastAsia="en-AU"/>
              </w:rPr>
            </w:pPr>
            <w:r>
              <w:rPr>
                <w:rFonts w:cs="Arial"/>
              </w:rPr>
              <w:t>2</w:t>
            </w:r>
          </w:p>
        </w:tc>
        <w:tc>
          <w:tcPr>
            <w:tcW w:w="849" w:type="dxa"/>
            <w:tcBorders>
              <w:top w:val="single" w:sz="4" w:space="0" w:color="auto"/>
              <w:left w:val="nil"/>
              <w:bottom w:val="single" w:sz="4" w:space="0" w:color="auto"/>
              <w:right w:val="single" w:sz="4" w:space="0" w:color="auto"/>
            </w:tcBorders>
            <w:vAlign w:val="center"/>
          </w:tcPr>
          <w:p w14:paraId="37F1A4A0" w14:textId="36483F65" w:rsidR="00CD3FDC" w:rsidRPr="003D78AF" w:rsidRDefault="00CD3FDC" w:rsidP="00CD3FDC">
            <w:pPr>
              <w:spacing w:line="240" w:lineRule="auto"/>
              <w:jc w:val="right"/>
              <w:rPr>
                <w:rFonts w:cs="Arial"/>
                <w:b/>
                <w:lang w:eastAsia="en-AU"/>
              </w:rPr>
            </w:pPr>
            <w:r>
              <w:rPr>
                <w:rFonts w:cs="Arial"/>
                <w:b/>
                <w:bCs/>
              </w:rPr>
              <w:t>19</w:t>
            </w:r>
          </w:p>
        </w:tc>
      </w:tr>
      <w:tr w:rsidR="00CD3FDC" w:rsidRPr="00557E24" w14:paraId="3F20CE90" w14:textId="77777777" w:rsidTr="003D78AF">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CD3FDC" w:rsidRPr="00371BE2" w:rsidRDefault="00CD3FDC" w:rsidP="00CD3FDC">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0CB4E0BC" w:rsidR="00CD3FDC" w:rsidRPr="003D78AF" w:rsidRDefault="00CD3FDC" w:rsidP="00CD3FDC">
            <w:pPr>
              <w:spacing w:line="240" w:lineRule="auto"/>
              <w:jc w:val="right"/>
              <w:rPr>
                <w:rFonts w:cs="Arial"/>
                <w:b/>
                <w:lang w:eastAsia="en-AU"/>
              </w:rPr>
            </w:pPr>
            <w:r>
              <w:rPr>
                <w:rFonts w:cs="Arial"/>
                <w:b/>
                <w:bCs/>
              </w:rPr>
              <w:t>498</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121E3403" w:rsidR="00CD3FDC" w:rsidRPr="003D78AF" w:rsidRDefault="00CD3FDC" w:rsidP="00CD3FDC">
            <w:pPr>
              <w:spacing w:line="240" w:lineRule="auto"/>
              <w:jc w:val="right"/>
              <w:rPr>
                <w:rFonts w:cs="Arial"/>
                <w:b/>
                <w:lang w:eastAsia="en-AU"/>
              </w:rPr>
            </w:pPr>
            <w:r>
              <w:rPr>
                <w:rFonts w:cs="Arial"/>
                <w:b/>
                <w:bCs/>
              </w:rPr>
              <w:t>21</w:t>
            </w:r>
          </w:p>
        </w:tc>
        <w:tc>
          <w:tcPr>
            <w:tcW w:w="779" w:type="dxa"/>
            <w:tcBorders>
              <w:top w:val="single" w:sz="4" w:space="0" w:color="auto"/>
              <w:left w:val="nil"/>
              <w:bottom w:val="single" w:sz="4" w:space="0" w:color="auto"/>
              <w:right w:val="single" w:sz="4" w:space="0" w:color="auto"/>
            </w:tcBorders>
            <w:vAlign w:val="center"/>
          </w:tcPr>
          <w:p w14:paraId="4ECA5E82" w14:textId="2BBE14E8" w:rsidR="00CD3FDC" w:rsidRPr="003D78AF" w:rsidRDefault="00CD3FDC" w:rsidP="00CD3FDC">
            <w:pPr>
              <w:spacing w:line="240" w:lineRule="auto"/>
              <w:jc w:val="right"/>
              <w:rPr>
                <w:rFonts w:cs="Arial"/>
                <w:b/>
                <w:lang w:eastAsia="en-AU"/>
              </w:rPr>
            </w:pPr>
            <w:r>
              <w:rPr>
                <w:rFonts w:cs="Arial"/>
                <w:b/>
                <w:bCs/>
              </w:rPr>
              <w:t>364</w:t>
            </w:r>
          </w:p>
        </w:tc>
        <w:tc>
          <w:tcPr>
            <w:tcW w:w="643" w:type="dxa"/>
            <w:tcBorders>
              <w:top w:val="single" w:sz="4" w:space="0" w:color="auto"/>
              <w:left w:val="nil"/>
              <w:bottom w:val="single" w:sz="4" w:space="0" w:color="auto"/>
              <w:right w:val="single" w:sz="4" w:space="0" w:color="auto"/>
            </w:tcBorders>
            <w:vAlign w:val="center"/>
          </w:tcPr>
          <w:p w14:paraId="4498767F" w14:textId="3634DC80" w:rsidR="00CD3FDC" w:rsidRPr="003D78AF" w:rsidRDefault="00CD3FDC" w:rsidP="00CD3FDC">
            <w:pPr>
              <w:spacing w:line="240" w:lineRule="auto"/>
              <w:jc w:val="right"/>
              <w:rPr>
                <w:rFonts w:cs="Arial"/>
                <w:b/>
                <w:lang w:eastAsia="en-AU"/>
              </w:rPr>
            </w:pPr>
            <w:r>
              <w:rPr>
                <w:rFonts w:cs="Arial"/>
                <w:b/>
                <w:bCs/>
              </w:rPr>
              <w:t>211</w:t>
            </w:r>
          </w:p>
        </w:tc>
        <w:tc>
          <w:tcPr>
            <w:tcW w:w="706" w:type="dxa"/>
            <w:tcBorders>
              <w:top w:val="single" w:sz="4" w:space="0" w:color="auto"/>
              <w:left w:val="nil"/>
              <w:bottom w:val="single" w:sz="4" w:space="0" w:color="auto"/>
              <w:right w:val="single" w:sz="4" w:space="0" w:color="auto"/>
            </w:tcBorders>
            <w:vAlign w:val="center"/>
          </w:tcPr>
          <w:p w14:paraId="2806B4BD" w14:textId="24FBFAA3" w:rsidR="00CD3FDC" w:rsidRPr="003D78AF" w:rsidRDefault="00CD3FDC" w:rsidP="00CD3FDC">
            <w:pPr>
              <w:spacing w:line="240" w:lineRule="auto"/>
              <w:jc w:val="right"/>
              <w:rPr>
                <w:rFonts w:cs="Arial"/>
                <w:b/>
                <w:lang w:eastAsia="en-AU"/>
              </w:rPr>
            </w:pPr>
            <w:r>
              <w:rPr>
                <w:rFonts w:cs="Arial"/>
                <w:b/>
                <w:bCs/>
              </w:rPr>
              <w:t>48</w:t>
            </w:r>
          </w:p>
        </w:tc>
        <w:tc>
          <w:tcPr>
            <w:tcW w:w="849" w:type="dxa"/>
            <w:tcBorders>
              <w:top w:val="single" w:sz="4" w:space="0" w:color="auto"/>
              <w:left w:val="nil"/>
              <w:bottom w:val="single" w:sz="4" w:space="0" w:color="auto"/>
              <w:right w:val="single" w:sz="4" w:space="0" w:color="auto"/>
            </w:tcBorders>
            <w:vAlign w:val="center"/>
          </w:tcPr>
          <w:p w14:paraId="24507EE5" w14:textId="71CAF469" w:rsidR="00CD3FDC" w:rsidRPr="003D78AF" w:rsidRDefault="00CD3FDC" w:rsidP="00CD3FDC">
            <w:pPr>
              <w:spacing w:line="240" w:lineRule="auto"/>
              <w:jc w:val="right"/>
              <w:rPr>
                <w:rFonts w:cs="Arial"/>
                <w:b/>
                <w:lang w:eastAsia="en-AU"/>
              </w:rPr>
            </w:pPr>
            <w:r>
              <w:rPr>
                <w:rFonts w:cs="Arial"/>
                <w:b/>
                <w:bCs/>
              </w:rPr>
              <w:t>1142</w:t>
            </w:r>
          </w:p>
        </w:tc>
      </w:tr>
    </w:tbl>
    <w:p w14:paraId="68A14D11" w14:textId="77777777" w:rsidR="00557E24" w:rsidRDefault="00557E24" w:rsidP="008D3D27">
      <w:pPr>
        <w:spacing w:line="240" w:lineRule="auto"/>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6C0D3415"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CD3FDC">
        <w:rPr>
          <w:rFonts w:ascii="Verdana" w:hAnsi="Verdana" w:cs="Arial"/>
          <w:sz w:val="20"/>
          <w:szCs w:val="20"/>
        </w:rPr>
        <w:t>498</w:t>
      </w:r>
      <w:r w:rsidR="00CD3FDC"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D563C8">
        <w:rPr>
          <w:rFonts w:ascii="Verdana" w:hAnsi="Verdana" w:cs="Arial"/>
          <w:sz w:val="20"/>
          <w:szCs w:val="20"/>
        </w:rPr>
        <w:t>240</w:t>
      </w:r>
      <w:r w:rsidR="00D563C8"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CD3FDC">
        <w:rPr>
          <w:rFonts w:ascii="Verdana" w:hAnsi="Verdana" w:cs="Arial"/>
          <w:sz w:val="20"/>
          <w:szCs w:val="20"/>
        </w:rPr>
        <w:t>142</w:t>
      </w:r>
      <w:r w:rsidR="00CD3FDC"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CD3FDC">
        <w:rPr>
          <w:rFonts w:ascii="Verdana" w:hAnsi="Verdana" w:cs="Arial"/>
          <w:sz w:val="20"/>
          <w:szCs w:val="20"/>
        </w:rPr>
        <w:t>98</w:t>
      </w:r>
      <w:r w:rsidR="00CD3FDC"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51940A81"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D563C8">
        <w:rPr>
          <w:rFonts w:ascii="Verdana" w:hAnsi="Verdana" w:cs="Arial"/>
          <w:sz w:val="20"/>
          <w:szCs w:val="20"/>
        </w:rPr>
        <w:t>2</w:t>
      </w:r>
      <w:r w:rsidR="00CD3FDC">
        <w:rPr>
          <w:rFonts w:ascii="Verdana" w:hAnsi="Verdana" w:cs="Arial"/>
          <w:sz w:val="20"/>
          <w:szCs w:val="20"/>
        </w:rPr>
        <w:t>1</w:t>
      </w:r>
      <w:r w:rsidR="00D563C8"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D563C8">
        <w:rPr>
          <w:rFonts w:ascii="Verdana" w:hAnsi="Verdana" w:cs="Arial"/>
          <w:sz w:val="20"/>
          <w:szCs w:val="20"/>
        </w:rPr>
        <w:t>1</w:t>
      </w:r>
      <w:r w:rsidR="00CD3FDC">
        <w:rPr>
          <w:rFonts w:ascii="Verdana" w:hAnsi="Verdana" w:cs="Arial"/>
          <w:sz w:val="20"/>
          <w:szCs w:val="20"/>
        </w:rPr>
        <w:t>3</w:t>
      </w:r>
      <w:r w:rsidR="00D563C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1</w:t>
      </w:r>
      <w:r w:rsidR="00D563C8">
        <w:rPr>
          <w:rFonts w:ascii="Verdana" w:hAnsi="Verdana" w:cs="Arial"/>
          <w:sz w:val="20"/>
          <w:szCs w:val="20"/>
        </w:rPr>
        <w:t>0</w:t>
      </w:r>
      <w:r w:rsidR="00ED4D69"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CD3FDC">
        <w:rPr>
          <w:rFonts w:ascii="Verdana" w:hAnsi="Verdana" w:cs="Arial"/>
          <w:sz w:val="20"/>
          <w:szCs w:val="20"/>
        </w:rPr>
        <w:t>3</w:t>
      </w:r>
      <w:r w:rsidR="00D563C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0DB73F22"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CD3FDC">
        <w:rPr>
          <w:rFonts w:ascii="Verdana" w:hAnsi="Verdana" w:cs="Arial"/>
          <w:sz w:val="20"/>
          <w:szCs w:val="20"/>
        </w:rPr>
        <w:t>364</w:t>
      </w:r>
      <w:r w:rsidR="00CD3FDC"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D563C8">
        <w:rPr>
          <w:rFonts w:ascii="Verdana" w:hAnsi="Verdana" w:cs="Arial"/>
          <w:sz w:val="20"/>
          <w:szCs w:val="20"/>
        </w:rPr>
        <w:t>20</w:t>
      </w:r>
      <w:r w:rsidR="00CD3FDC">
        <w:rPr>
          <w:rFonts w:ascii="Verdana" w:hAnsi="Verdana" w:cs="Arial"/>
          <w:sz w:val="20"/>
          <w:szCs w:val="20"/>
        </w:rPr>
        <w:t>7</w:t>
      </w:r>
      <w:r w:rsidR="00D563C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D563C8">
        <w:rPr>
          <w:rFonts w:ascii="Verdana" w:hAnsi="Verdana" w:cs="Arial"/>
          <w:sz w:val="20"/>
          <w:szCs w:val="20"/>
        </w:rPr>
        <w:t>15</w:t>
      </w:r>
      <w:r w:rsidR="00CD3FDC">
        <w:rPr>
          <w:rFonts w:ascii="Verdana" w:hAnsi="Verdana" w:cs="Arial"/>
          <w:sz w:val="20"/>
          <w:szCs w:val="20"/>
        </w:rPr>
        <w:t>5</w:t>
      </w:r>
      <w:r w:rsidR="00D563C8"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D563C8">
        <w:rPr>
          <w:rFonts w:ascii="Verdana" w:hAnsi="Verdana" w:cs="Arial"/>
          <w:sz w:val="20"/>
          <w:szCs w:val="20"/>
        </w:rPr>
        <w:t>5</w:t>
      </w:r>
      <w:r w:rsidR="00CD3FDC">
        <w:rPr>
          <w:rFonts w:ascii="Verdana" w:hAnsi="Verdana" w:cs="Arial"/>
          <w:sz w:val="20"/>
          <w:szCs w:val="20"/>
        </w:rPr>
        <w:t>2</w:t>
      </w:r>
      <w:r w:rsidR="00D563C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16A8CF70" w:rsidR="00214C68" w:rsidRPr="00106853" w:rsidRDefault="00214C68" w:rsidP="00D552BE">
      <w:pPr>
        <w:pStyle w:val="ListParagraph"/>
        <w:numPr>
          <w:ilvl w:val="0"/>
          <w:numId w:val="8"/>
        </w:numPr>
        <w:spacing w:line="288" w:lineRule="auto"/>
        <w:ind w:left="284" w:right="-425" w:hanging="357"/>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CD3FDC">
        <w:rPr>
          <w:rFonts w:ascii="Verdana" w:hAnsi="Verdana" w:cs="Arial"/>
          <w:sz w:val="20"/>
          <w:szCs w:val="20"/>
        </w:rPr>
        <w:t>211</w:t>
      </w:r>
      <w:r w:rsidR="00CD3FDC"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CD3FDC">
        <w:rPr>
          <w:rFonts w:ascii="Verdana" w:hAnsi="Verdana" w:cs="Arial"/>
          <w:sz w:val="20"/>
          <w:szCs w:val="20"/>
        </w:rPr>
        <w:t>122</w:t>
      </w:r>
      <w:r w:rsidR="00CD3FDC"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CD3FDC">
        <w:rPr>
          <w:rFonts w:ascii="Verdana" w:hAnsi="Verdana" w:cs="Arial"/>
          <w:sz w:val="20"/>
          <w:szCs w:val="20"/>
        </w:rPr>
        <w:t>75</w:t>
      </w:r>
      <w:r w:rsidR="00CD3FDC"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CD3FDC">
        <w:rPr>
          <w:rFonts w:ascii="Verdana" w:hAnsi="Verdana" w:cs="Arial"/>
          <w:sz w:val="20"/>
          <w:szCs w:val="20"/>
        </w:rPr>
        <w:t>47</w:t>
      </w:r>
      <w:r w:rsidR="00CD3FDC"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35C1BF90" w:rsidR="00F80FC4" w:rsidRPr="00106853" w:rsidRDefault="00214C68" w:rsidP="00D552BE">
      <w:pPr>
        <w:pStyle w:val="ListParagraph"/>
        <w:numPr>
          <w:ilvl w:val="0"/>
          <w:numId w:val="8"/>
        </w:numPr>
        <w:ind w:left="284" w:right="-425" w:hanging="357"/>
        <w:jc w:val="both"/>
        <w:rPr>
          <w:rFonts w:cs="Arial"/>
          <w:b/>
        </w:rPr>
      </w:pPr>
      <w:r w:rsidRPr="00106853">
        <w:rPr>
          <w:rFonts w:ascii="Verdana" w:hAnsi="Verdana" w:cs="Arial"/>
          <w:sz w:val="20"/>
          <w:szCs w:val="20"/>
        </w:rPr>
        <w:t>Mossman Gorge</w:t>
      </w:r>
      <w:r w:rsidR="00322C7B" w:rsidRPr="00106853">
        <w:rPr>
          <w:rFonts w:ascii="Verdana" w:hAnsi="Verdana" w:cs="Arial"/>
          <w:sz w:val="20"/>
          <w:szCs w:val="20"/>
        </w:rPr>
        <w:t xml:space="preserve"> received </w:t>
      </w:r>
      <w:r w:rsidR="00CD3FDC">
        <w:rPr>
          <w:rFonts w:ascii="Verdana" w:hAnsi="Verdana" w:cs="Arial"/>
          <w:sz w:val="20"/>
          <w:szCs w:val="20"/>
        </w:rPr>
        <w:t>48</w:t>
      </w:r>
      <w:r w:rsidR="00CD3FDC"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CD3FDC">
        <w:rPr>
          <w:rFonts w:ascii="Verdana" w:hAnsi="Verdana" w:cs="Arial"/>
          <w:sz w:val="20"/>
          <w:szCs w:val="20"/>
        </w:rPr>
        <w:t>27</w:t>
      </w:r>
      <w:r w:rsidR="00CD3FDC"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D4D69">
        <w:rPr>
          <w:rFonts w:ascii="Verdana" w:hAnsi="Verdana" w:cs="Arial"/>
          <w:sz w:val="20"/>
          <w:szCs w:val="20"/>
        </w:rPr>
        <w:t>1</w:t>
      </w:r>
      <w:r w:rsidR="00CD3FDC">
        <w:rPr>
          <w:rFonts w:ascii="Verdana" w:hAnsi="Verdana" w:cs="Arial"/>
          <w:sz w:val="20"/>
          <w:szCs w:val="20"/>
        </w:rPr>
        <w:t>6</w:t>
      </w:r>
      <w:r w:rsidR="00ED4D69"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D563C8">
        <w:rPr>
          <w:rFonts w:ascii="Verdana" w:hAnsi="Verdana" w:cs="Arial"/>
          <w:sz w:val="20"/>
          <w:szCs w:val="20"/>
        </w:rPr>
        <w:t>1</w:t>
      </w:r>
      <w:r w:rsidR="00CD3FDC">
        <w:rPr>
          <w:rFonts w:ascii="Verdana" w:hAnsi="Verdana" w:cs="Arial"/>
          <w:sz w:val="20"/>
          <w:szCs w:val="20"/>
        </w:rPr>
        <w:t>1</w:t>
      </w:r>
      <w:r w:rsidR="00D022E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r w:rsidR="00490D4B" w:rsidRPr="00106853">
        <w:rPr>
          <w:rFonts w:ascii="Verdana" w:hAnsi="Verdana" w:cs="Arial"/>
          <w:sz w:val="20"/>
          <w:szCs w:val="20"/>
        </w:rPr>
        <w:t>.</w:t>
      </w:r>
    </w:p>
    <w:p w14:paraId="48607A65" w14:textId="77777777" w:rsidR="00322A26" w:rsidRDefault="00322A26" w:rsidP="005A5B78">
      <w:pPr>
        <w:ind w:left="-142" w:right="-425"/>
        <w:jc w:val="both"/>
        <w:rPr>
          <w:rFonts w:cs="Arial"/>
        </w:rPr>
      </w:pPr>
    </w:p>
    <w:p w14:paraId="45AF99AA" w14:textId="77777777" w:rsidR="00BE2D0B" w:rsidRPr="008B2178" w:rsidRDefault="00BE2D0B" w:rsidP="005A5B78">
      <w:pPr>
        <w:ind w:left="-142" w:right="-425"/>
        <w:rPr>
          <w:rFonts w:cs="Arial"/>
        </w:rPr>
      </w:pPr>
    </w:p>
    <w:p w14:paraId="775D31C1" w14:textId="32DAC6F0" w:rsidR="004B3140" w:rsidRPr="00D925BE" w:rsidRDefault="004B3140" w:rsidP="004B3140">
      <w:pPr>
        <w:spacing w:after="120" w:line="240" w:lineRule="auto"/>
        <w:ind w:right="-425"/>
        <w:jc w:val="both"/>
        <w:rPr>
          <w:sz w:val="16"/>
          <w:szCs w:val="16"/>
        </w:rPr>
      </w:pPr>
      <w:r w:rsidRPr="008451D3">
        <w:rPr>
          <w:b/>
          <w:sz w:val="16"/>
          <w:szCs w:val="16"/>
        </w:rPr>
        <w:lastRenderedPageBreak/>
        <w:t xml:space="preserve">Table </w:t>
      </w:r>
      <w:r>
        <w:rPr>
          <w:b/>
          <w:sz w:val="16"/>
          <w:szCs w:val="16"/>
        </w:rPr>
        <w:t>10</w:t>
      </w:r>
      <w:r w:rsidRPr="008451D3">
        <w:rPr>
          <w:b/>
          <w:sz w:val="16"/>
          <w:szCs w:val="16"/>
        </w:rPr>
        <w:t xml:space="preserve">: </w:t>
      </w:r>
      <w:r w:rsidRPr="008451D3">
        <w:rPr>
          <w:sz w:val="16"/>
          <w:szCs w:val="16"/>
        </w:rPr>
        <w:t xml:space="preserve">In jurisdiction notices by type and quarter 1 </w:t>
      </w:r>
      <w:r>
        <w:rPr>
          <w:sz w:val="16"/>
          <w:szCs w:val="16"/>
        </w:rPr>
        <w:t>April 2021 to 30 June 2022</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D83DB8" w:rsidRPr="0093030B" w14:paraId="6C4064AA" w14:textId="77777777" w:rsidTr="005D3292">
        <w:trPr>
          <w:trHeight w:val="480"/>
        </w:trPr>
        <w:tc>
          <w:tcPr>
            <w:tcW w:w="3460" w:type="dxa"/>
            <w:tcBorders>
              <w:top w:val="single" w:sz="4" w:space="0" w:color="auto"/>
              <w:left w:val="single" w:sz="4" w:space="0" w:color="auto"/>
              <w:bottom w:val="single" w:sz="4" w:space="0" w:color="auto"/>
              <w:right w:val="single" w:sz="4" w:space="0" w:color="auto"/>
            </w:tcBorders>
            <w:hideMark/>
          </w:tcPr>
          <w:p w14:paraId="4D4AB1F9" w14:textId="77777777" w:rsidR="00D83DB8" w:rsidRPr="0093030B" w:rsidRDefault="00D83DB8" w:rsidP="00D83DB8">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459A76D9" w14:textId="4F8F2FCC" w:rsidR="00D83DB8" w:rsidRDefault="00D83DB8" w:rsidP="00D83DB8">
            <w:pPr>
              <w:pStyle w:val="TableText"/>
              <w:jc w:val="right"/>
              <w:rPr>
                <w:b/>
                <w:lang w:eastAsia="en-AU"/>
              </w:rPr>
            </w:pPr>
            <w:r>
              <w:rPr>
                <w:b/>
                <w:lang w:eastAsia="en-AU"/>
              </w:rPr>
              <w:t>Qtr 52</w:t>
            </w:r>
          </w:p>
        </w:tc>
        <w:tc>
          <w:tcPr>
            <w:tcW w:w="1012" w:type="dxa"/>
            <w:tcBorders>
              <w:top w:val="single" w:sz="4" w:space="0" w:color="auto"/>
              <w:left w:val="nil"/>
              <w:bottom w:val="single" w:sz="4" w:space="0" w:color="auto"/>
              <w:right w:val="single" w:sz="4" w:space="0" w:color="auto"/>
            </w:tcBorders>
          </w:tcPr>
          <w:p w14:paraId="51CE310E" w14:textId="2BF7AAEE" w:rsidR="00D83DB8" w:rsidRDefault="00D83DB8" w:rsidP="00D83DB8">
            <w:pPr>
              <w:pStyle w:val="TableText"/>
              <w:jc w:val="right"/>
              <w:rPr>
                <w:b/>
                <w:lang w:eastAsia="en-AU"/>
              </w:rPr>
            </w:pPr>
            <w:r>
              <w:rPr>
                <w:b/>
                <w:lang w:eastAsia="en-AU"/>
              </w:rPr>
              <w:t>Qtr 53</w:t>
            </w:r>
          </w:p>
        </w:tc>
        <w:tc>
          <w:tcPr>
            <w:tcW w:w="1012" w:type="dxa"/>
            <w:tcBorders>
              <w:top w:val="single" w:sz="4" w:space="0" w:color="auto"/>
              <w:left w:val="nil"/>
              <w:bottom w:val="single" w:sz="4" w:space="0" w:color="auto"/>
              <w:right w:val="single" w:sz="4" w:space="0" w:color="auto"/>
            </w:tcBorders>
          </w:tcPr>
          <w:p w14:paraId="6E3CD833" w14:textId="62835270" w:rsidR="00D83DB8" w:rsidRDefault="00D83DB8" w:rsidP="00D83DB8">
            <w:pPr>
              <w:pStyle w:val="TableText"/>
              <w:jc w:val="right"/>
              <w:rPr>
                <w:b/>
                <w:lang w:eastAsia="en-AU"/>
              </w:rPr>
            </w:pPr>
            <w:r>
              <w:rPr>
                <w:b/>
                <w:lang w:eastAsia="en-AU"/>
              </w:rPr>
              <w:t>Qtr 54</w:t>
            </w:r>
          </w:p>
        </w:tc>
        <w:tc>
          <w:tcPr>
            <w:tcW w:w="1012" w:type="dxa"/>
            <w:tcBorders>
              <w:top w:val="single" w:sz="4" w:space="0" w:color="auto"/>
              <w:left w:val="nil"/>
              <w:bottom w:val="single" w:sz="4" w:space="0" w:color="auto"/>
              <w:right w:val="single" w:sz="4" w:space="0" w:color="auto"/>
            </w:tcBorders>
          </w:tcPr>
          <w:p w14:paraId="2F3F0EDF" w14:textId="57457551" w:rsidR="00D83DB8" w:rsidRDefault="00D83DB8" w:rsidP="00D83DB8">
            <w:pPr>
              <w:pStyle w:val="TableText"/>
              <w:jc w:val="right"/>
              <w:rPr>
                <w:b/>
                <w:lang w:eastAsia="en-AU"/>
              </w:rPr>
            </w:pPr>
            <w:r>
              <w:rPr>
                <w:b/>
                <w:lang w:eastAsia="en-AU"/>
              </w:rPr>
              <w:t>Qtr 55</w:t>
            </w:r>
          </w:p>
        </w:tc>
        <w:tc>
          <w:tcPr>
            <w:tcW w:w="1012" w:type="dxa"/>
            <w:tcBorders>
              <w:top w:val="single" w:sz="4" w:space="0" w:color="auto"/>
              <w:left w:val="nil"/>
              <w:bottom w:val="single" w:sz="4" w:space="0" w:color="auto"/>
              <w:right w:val="single" w:sz="4" w:space="0" w:color="auto"/>
            </w:tcBorders>
          </w:tcPr>
          <w:p w14:paraId="212A3BAF" w14:textId="70014512" w:rsidR="00D83DB8" w:rsidRDefault="00D83DB8" w:rsidP="00D83DB8">
            <w:pPr>
              <w:pStyle w:val="TableText"/>
              <w:jc w:val="right"/>
              <w:rPr>
                <w:b/>
                <w:lang w:eastAsia="en-AU"/>
              </w:rPr>
            </w:pPr>
            <w:r>
              <w:rPr>
                <w:b/>
                <w:lang w:eastAsia="en-AU"/>
              </w:rPr>
              <w:t>Qtr 56</w:t>
            </w:r>
          </w:p>
        </w:tc>
      </w:tr>
      <w:tr w:rsidR="00D83DB8" w:rsidRPr="0093030B" w14:paraId="3A3185E8" w14:textId="77777777" w:rsidTr="005D3292">
        <w:trPr>
          <w:trHeight w:val="255"/>
        </w:trPr>
        <w:tc>
          <w:tcPr>
            <w:tcW w:w="3460" w:type="dxa"/>
            <w:tcBorders>
              <w:top w:val="nil"/>
              <w:left w:val="single" w:sz="4" w:space="0" w:color="auto"/>
              <w:bottom w:val="single" w:sz="4" w:space="0" w:color="auto"/>
              <w:right w:val="single" w:sz="4" w:space="0" w:color="auto"/>
            </w:tcBorders>
            <w:noWrap/>
            <w:vAlign w:val="bottom"/>
          </w:tcPr>
          <w:p w14:paraId="7D62C185" w14:textId="77777777" w:rsidR="00D83DB8" w:rsidRDefault="00D83DB8" w:rsidP="00D83DB8">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50A6FD95" w14:textId="3FEAD0A7" w:rsidR="00D83DB8" w:rsidRDefault="00D83DB8" w:rsidP="00D83DB8">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15B171E" w14:textId="5146C5F3" w:rsidR="00D83DB8" w:rsidRDefault="00D83DB8" w:rsidP="00D83DB8">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0E92B983" w14:textId="59FC0FF2" w:rsidR="00D83DB8" w:rsidRDefault="00D83DB8" w:rsidP="00D83DB8">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2DE38160" w14:textId="35A049E8" w:rsidR="00D83DB8" w:rsidRDefault="00D83DB8" w:rsidP="00D83DB8">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0BE70EDA" w14:textId="42305386" w:rsidR="00D83DB8" w:rsidRDefault="00D83DB8" w:rsidP="00D83DB8">
            <w:pPr>
              <w:jc w:val="right"/>
              <w:rPr>
                <w:rFonts w:cs="Arial"/>
              </w:rPr>
            </w:pPr>
            <w:r>
              <w:rPr>
                <w:rFonts w:cs="Arial"/>
              </w:rPr>
              <w:t>0</w:t>
            </w:r>
          </w:p>
        </w:tc>
      </w:tr>
      <w:tr w:rsidR="00D83DB8" w:rsidRPr="0093030B" w14:paraId="35152FD4" w14:textId="77777777" w:rsidTr="005D3292">
        <w:trPr>
          <w:trHeight w:val="255"/>
        </w:trPr>
        <w:tc>
          <w:tcPr>
            <w:tcW w:w="3460" w:type="dxa"/>
            <w:tcBorders>
              <w:top w:val="nil"/>
              <w:left w:val="single" w:sz="4" w:space="0" w:color="auto"/>
              <w:bottom w:val="single" w:sz="4" w:space="0" w:color="auto"/>
              <w:right w:val="single" w:sz="4" w:space="0" w:color="auto"/>
            </w:tcBorders>
            <w:noWrap/>
            <w:vAlign w:val="bottom"/>
          </w:tcPr>
          <w:p w14:paraId="18EADE6A" w14:textId="77777777" w:rsidR="00D83DB8" w:rsidRPr="0093030B" w:rsidRDefault="00D83DB8" w:rsidP="00D83DB8">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056346C7" w14:textId="73373D73" w:rsidR="00D83DB8" w:rsidRDefault="00D83DB8" w:rsidP="00D83DB8">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4C9EF198" w14:textId="32A58AF3" w:rsidR="00D83DB8" w:rsidRDefault="00D83DB8" w:rsidP="00D83DB8">
            <w:pPr>
              <w:jc w:val="right"/>
              <w:rPr>
                <w:rFonts w:cs="Arial"/>
              </w:rPr>
            </w:pPr>
            <w:r>
              <w:rPr>
                <w:rFonts w:cs="Arial"/>
              </w:rPr>
              <w:t>12</w:t>
            </w:r>
          </w:p>
        </w:tc>
        <w:tc>
          <w:tcPr>
            <w:tcW w:w="1012" w:type="dxa"/>
            <w:tcBorders>
              <w:top w:val="nil"/>
              <w:left w:val="nil"/>
              <w:bottom w:val="single" w:sz="4" w:space="0" w:color="auto"/>
              <w:right w:val="single" w:sz="4" w:space="0" w:color="auto"/>
            </w:tcBorders>
          </w:tcPr>
          <w:p w14:paraId="08A741FE" w14:textId="3BF049D2" w:rsidR="00D83DB8" w:rsidRDefault="00D83DB8" w:rsidP="00D83DB8">
            <w:pPr>
              <w:jc w:val="right"/>
              <w:rPr>
                <w:rFonts w:cs="Arial"/>
              </w:rPr>
            </w:pPr>
            <w:r>
              <w:rPr>
                <w:rFonts w:cs="Arial"/>
              </w:rPr>
              <w:t>3</w:t>
            </w:r>
          </w:p>
        </w:tc>
        <w:tc>
          <w:tcPr>
            <w:tcW w:w="1012" w:type="dxa"/>
            <w:tcBorders>
              <w:top w:val="nil"/>
              <w:left w:val="nil"/>
              <w:bottom w:val="single" w:sz="4" w:space="0" w:color="auto"/>
              <w:right w:val="single" w:sz="4" w:space="0" w:color="auto"/>
            </w:tcBorders>
          </w:tcPr>
          <w:p w14:paraId="139B64B9" w14:textId="7CD1688B" w:rsidR="00D83DB8" w:rsidRDefault="00D83DB8" w:rsidP="00D83DB8">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4B73D091" w14:textId="6D19102C" w:rsidR="00D83DB8" w:rsidRDefault="00D83DB8" w:rsidP="00D83DB8">
            <w:pPr>
              <w:jc w:val="right"/>
              <w:rPr>
                <w:rFonts w:cs="Arial"/>
              </w:rPr>
            </w:pPr>
            <w:r>
              <w:rPr>
                <w:rFonts w:cs="Arial"/>
              </w:rPr>
              <w:t>12</w:t>
            </w:r>
          </w:p>
        </w:tc>
      </w:tr>
      <w:tr w:rsidR="00D83DB8" w:rsidRPr="0093030B" w14:paraId="6A7C37D3" w14:textId="77777777" w:rsidTr="008B50DE">
        <w:trPr>
          <w:trHeight w:val="255"/>
        </w:trPr>
        <w:tc>
          <w:tcPr>
            <w:tcW w:w="3460" w:type="dxa"/>
            <w:tcBorders>
              <w:top w:val="nil"/>
              <w:left w:val="single" w:sz="4" w:space="0" w:color="auto"/>
              <w:bottom w:val="single" w:sz="4" w:space="0" w:color="auto"/>
              <w:right w:val="single" w:sz="4" w:space="0" w:color="auto"/>
            </w:tcBorders>
            <w:noWrap/>
            <w:vAlign w:val="bottom"/>
            <w:hideMark/>
          </w:tcPr>
          <w:p w14:paraId="08D8BA1A" w14:textId="77777777" w:rsidR="00D83DB8" w:rsidRPr="0093030B" w:rsidRDefault="00D83DB8" w:rsidP="00D83DB8">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vAlign w:val="bottom"/>
          </w:tcPr>
          <w:p w14:paraId="7D682200" w14:textId="2BEBC9EB" w:rsidR="00D83DB8" w:rsidRDefault="00D83DB8" w:rsidP="00D83DB8">
            <w:pPr>
              <w:jc w:val="right"/>
              <w:rPr>
                <w:rFonts w:cs="Arial"/>
              </w:rPr>
            </w:pPr>
            <w:r w:rsidRPr="001F4FDB">
              <w:rPr>
                <w:rFonts w:cs="Arial"/>
              </w:rPr>
              <w:t>378</w:t>
            </w:r>
          </w:p>
        </w:tc>
        <w:tc>
          <w:tcPr>
            <w:tcW w:w="1012" w:type="dxa"/>
            <w:tcBorders>
              <w:top w:val="nil"/>
              <w:left w:val="nil"/>
              <w:bottom w:val="single" w:sz="4" w:space="0" w:color="auto"/>
              <w:right w:val="single" w:sz="4" w:space="0" w:color="auto"/>
            </w:tcBorders>
          </w:tcPr>
          <w:p w14:paraId="1EED60CC" w14:textId="24380B8F" w:rsidR="00D83DB8" w:rsidRDefault="00D83DB8" w:rsidP="00D83DB8">
            <w:pPr>
              <w:jc w:val="right"/>
              <w:rPr>
                <w:rFonts w:cs="Arial"/>
              </w:rPr>
            </w:pPr>
            <w:r>
              <w:rPr>
                <w:rFonts w:cs="Arial"/>
              </w:rPr>
              <w:t>276</w:t>
            </w:r>
          </w:p>
        </w:tc>
        <w:tc>
          <w:tcPr>
            <w:tcW w:w="1012" w:type="dxa"/>
            <w:tcBorders>
              <w:top w:val="nil"/>
              <w:left w:val="nil"/>
              <w:bottom w:val="single" w:sz="4" w:space="0" w:color="auto"/>
              <w:right w:val="single" w:sz="4" w:space="0" w:color="auto"/>
            </w:tcBorders>
          </w:tcPr>
          <w:p w14:paraId="13A74342" w14:textId="0F9983F8" w:rsidR="00D83DB8" w:rsidRPr="001F4FDB" w:rsidRDefault="00D83DB8" w:rsidP="00D83DB8">
            <w:pPr>
              <w:jc w:val="right"/>
              <w:rPr>
                <w:rFonts w:cs="Arial"/>
              </w:rPr>
            </w:pPr>
            <w:r>
              <w:rPr>
                <w:rFonts w:cs="Arial"/>
              </w:rPr>
              <w:t>326</w:t>
            </w:r>
          </w:p>
        </w:tc>
        <w:tc>
          <w:tcPr>
            <w:tcW w:w="1012" w:type="dxa"/>
            <w:tcBorders>
              <w:top w:val="nil"/>
              <w:left w:val="nil"/>
              <w:bottom w:val="single" w:sz="4" w:space="0" w:color="auto"/>
              <w:right w:val="single" w:sz="4" w:space="0" w:color="auto"/>
            </w:tcBorders>
          </w:tcPr>
          <w:p w14:paraId="12CC09F4" w14:textId="335B8D16" w:rsidR="00D83DB8" w:rsidRDefault="00D83DB8" w:rsidP="00D83DB8">
            <w:pPr>
              <w:jc w:val="right"/>
              <w:rPr>
                <w:rFonts w:cs="Arial"/>
              </w:rPr>
            </w:pPr>
            <w:r>
              <w:rPr>
                <w:rFonts w:cs="Arial"/>
              </w:rPr>
              <w:t>388</w:t>
            </w:r>
          </w:p>
        </w:tc>
        <w:tc>
          <w:tcPr>
            <w:tcW w:w="1012" w:type="dxa"/>
            <w:tcBorders>
              <w:top w:val="nil"/>
              <w:left w:val="nil"/>
              <w:bottom w:val="single" w:sz="4" w:space="0" w:color="auto"/>
              <w:right w:val="single" w:sz="4" w:space="0" w:color="auto"/>
            </w:tcBorders>
          </w:tcPr>
          <w:p w14:paraId="38A69A5A" w14:textId="736249A1" w:rsidR="00D83DB8" w:rsidRDefault="00D83DB8" w:rsidP="00D83DB8">
            <w:pPr>
              <w:jc w:val="right"/>
              <w:rPr>
                <w:rFonts w:cs="Arial"/>
              </w:rPr>
            </w:pPr>
            <w:r>
              <w:rPr>
                <w:rFonts w:cs="Arial"/>
              </w:rPr>
              <w:t>273</w:t>
            </w:r>
          </w:p>
        </w:tc>
      </w:tr>
      <w:tr w:rsidR="00D83DB8" w:rsidRPr="0093030B" w14:paraId="46A915FF" w14:textId="77777777" w:rsidTr="008B50DE">
        <w:trPr>
          <w:trHeight w:val="255"/>
        </w:trPr>
        <w:tc>
          <w:tcPr>
            <w:tcW w:w="3460" w:type="dxa"/>
            <w:tcBorders>
              <w:top w:val="nil"/>
              <w:left w:val="single" w:sz="4" w:space="0" w:color="auto"/>
              <w:bottom w:val="single" w:sz="4" w:space="0" w:color="auto"/>
              <w:right w:val="single" w:sz="4" w:space="0" w:color="auto"/>
            </w:tcBorders>
            <w:noWrap/>
            <w:vAlign w:val="bottom"/>
          </w:tcPr>
          <w:p w14:paraId="3A767E48" w14:textId="77777777" w:rsidR="00D83DB8" w:rsidRPr="0093030B" w:rsidRDefault="00D83DB8" w:rsidP="00D83DB8">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vAlign w:val="bottom"/>
          </w:tcPr>
          <w:p w14:paraId="6ED767D2" w14:textId="700D5F5F" w:rsidR="00D83DB8" w:rsidRDefault="00D83DB8" w:rsidP="00D83DB8">
            <w:pPr>
              <w:jc w:val="right"/>
              <w:rPr>
                <w:rFonts w:cs="Arial"/>
              </w:rPr>
            </w:pPr>
            <w:r w:rsidRPr="001F4FDB">
              <w:rPr>
                <w:rFonts w:cs="Arial"/>
              </w:rPr>
              <w:t>45</w:t>
            </w:r>
          </w:p>
        </w:tc>
        <w:tc>
          <w:tcPr>
            <w:tcW w:w="1012" w:type="dxa"/>
            <w:tcBorders>
              <w:top w:val="nil"/>
              <w:left w:val="nil"/>
              <w:bottom w:val="single" w:sz="4" w:space="0" w:color="auto"/>
              <w:right w:val="single" w:sz="4" w:space="0" w:color="auto"/>
            </w:tcBorders>
          </w:tcPr>
          <w:p w14:paraId="58B6D10F" w14:textId="36CBE181" w:rsidR="00D83DB8" w:rsidRDefault="00D83DB8" w:rsidP="00D83DB8">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787F0A55" w14:textId="276FC378" w:rsidR="00D83DB8" w:rsidRPr="001F4FDB" w:rsidRDefault="00D83DB8" w:rsidP="00D83DB8">
            <w:pPr>
              <w:jc w:val="right"/>
              <w:rPr>
                <w:rFonts w:cs="Arial"/>
              </w:rPr>
            </w:pPr>
            <w:r>
              <w:rPr>
                <w:rFonts w:cs="Arial"/>
              </w:rPr>
              <w:t>45</w:t>
            </w:r>
          </w:p>
        </w:tc>
        <w:tc>
          <w:tcPr>
            <w:tcW w:w="1012" w:type="dxa"/>
            <w:tcBorders>
              <w:top w:val="nil"/>
              <w:left w:val="nil"/>
              <w:bottom w:val="single" w:sz="4" w:space="0" w:color="auto"/>
              <w:right w:val="single" w:sz="4" w:space="0" w:color="auto"/>
            </w:tcBorders>
          </w:tcPr>
          <w:p w14:paraId="3CBC4F92" w14:textId="7CD47074" w:rsidR="00D83DB8" w:rsidRDefault="00D83DB8" w:rsidP="00D83DB8">
            <w:pPr>
              <w:jc w:val="right"/>
              <w:rPr>
                <w:rFonts w:cs="Arial"/>
              </w:rPr>
            </w:pPr>
            <w:r>
              <w:rPr>
                <w:rFonts w:cs="Arial"/>
              </w:rPr>
              <w:t>39</w:t>
            </w:r>
          </w:p>
        </w:tc>
        <w:tc>
          <w:tcPr>
            <w:tcW w:w="1012" w:type="dxa"/>
            <w:tcBorders>
              <w:top w:val="nil"/>
              <w:left w:val="nil"/>
              <w:bottom w:val="single" w:sz="4" w:space="0" w:color="auto"/>
              <w:right w:val="single" w:sz="4" w:space="0" w:color="auto"/>
            </w:tcBorders>
          </w:tcPr>
          <w:p w14:paraId="1F457513" w14:textId="18C7D0CF" w:rsidR="00D83DB8" w:rsidRDefault="00D83DB8" w:rsidP="00D83DB8">
            <w:pPr>
              <w:jc w:val="right"/>
              <w:rPr>
                <w:rFonts w:cs="Arial"/>
              </w:rPr>
            </w:pPr>
            <w:r>
              <w:rPr>
                <w:rFonts w:cs="Arial"/>
              </w:rPr>
              <w:t>21</w:t>
            </w:r>
          </w:p>
        </w:tc>
      </w:tr>
      <w:tr w:rsidR="00D83DB8" w:rsidRPr="0093030B" w14:paraId="4279E385" w14:textId="77777777" w:rsidTr="008B50DE">
        <w:trPr>
          <w:trHeight w:val="255"/>
        </w:trPr>
        <w:tc>
          <w:tcPr>
            <w:tcW w:w="3460" w:type="dxa"/>
            <w:tcBorders>
              <w:top w:val="nil"/>
              <w:left w:val="single" w:sz="4" w:space="0" w:color="auto"/>
              <w:bottom w:val="single" w:sz="4" w:space="0" w:color="auto"/>
              <w:right w:val="single" w:sz="4" w:space="0" w:color="auto"/>
            </w:tcBorders>
            <w:noWrap/>
            <w:vAlign w:val="bottom"/>
          </w:tcPr>
          <w:p w14:paraId="5FBDA509" w14:textId="77777777" w:rsidR="00D83DB8" w:rsidRPr="0093030B" w:rsidRDefault="00D83DB8" w:rsidP="00D83DB8">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vAlign w:val="bottom"/>
          </w:tcPr>
          <w:p w14:paraId="09713C77" w14:textId="60E3AF06" w:rsidR="00D83DB8" w:rsidRDefault="00D83DB8" w:rsidP="00D83DB8">
            <w:pPr>
              <w:jc w:val="right"/>
              <w:rPr>
                <w:rFonts w:cs="Arial"/>
              </w:rPr>
            </w:pPr>
            <w:r w:rsidRPr="001F4FDB">
              <w:rPr>
                <w:rFonts w:cs="Arial"/>
              </w:rPr>
              <w:t>50</w:t>
            </w:r>
          </w:p>
        </w:tc>
        <w:tc>
          <w:tcPr>
            <w:tcW w:w="1012" w:type="dxa"/>
            <w:tcBorders>
              <w:top w:val="nil"/>
              <w:left w:val="nil"/>
              <w:bottom w:val="single" w:sz="4" w:space="0" w:color="auto"/>
              <w:right w:val="single" w:sz="4" w:space="0" w:color="auto"/>
            </w:tcBorders>
          </w:tcPr>
          <w:p w14:paraId="58294DD0" w14:textId="35BD35E7" w:rsidR="00D83DB8" w:rsidRDefault="00D83DB8" w:rsidP="00D83DB8">
            <w:pPr>
              <w:jc w:val="right"/>
              <w:rPr>
                <w:rFonts w:cs="Arial"/>
              </w:rPr>
            </w:pPr>
            <w:r>
              <w:rPr>
                <w:rFonts w:cs="Arial"/>
              </w:rPr>
              <w:t>56</w:t>
            </w:r>
          </w:p>
        </w:tc>
        <w:tc>
          <w:tcPr>
            <w:tcW w:w="1012" w:type="dxa"/>
            <w:tcBorders>
              <w:top w:val="nil"/>
              <w:left w:val="nil"/>
              <w:bottom w:val="single" w:sz="4" w:space="0" w:color="auto"/>
              <w:right w:val="single" w:sz="4" w:space="0" w:color="auto"/>
            </w:tcBorders>
          </w:tcPr>
          <w:p w14:paraId="439B0153" w14:textId="72D606C0" w:rsidR="00D83DB8" w:rsidRPr="001F4FDB" w:rsidRDefault="00D83DB8" w:rsidP="00D83DB8">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2C8EA20C" w14:textId="51E9B6D6" w:rsidR="00D83DB8" w:rsidRDefault="00D83DB8" w:rsidP="00D83DB8">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76EB787A" w14:textId="24545DC9" w:rsidR="00D83DB8" w:rsidRDefault="00D83DB8" w:rsidP="00D83DB8">
            <w:pPr>
              <w:jc w:val="right"/>
              <w:rPr>
                <w:rFonts w:cs="Arial"/>
              </w:rPr>
            </w:pPr>
            <w:r>
              <w:rPr>
                <w:rFonts w:cs="Arial"/>
              </w:rPr>
              <w:t>45</w:t>
            </w:r>
          </w:p>
        </w:tc>
      </w:tr>
      <w:tr w:rsidR="00D83DB8" w:rsidRPr="0093030B" w14:paraId="58C0B77A" w14:textId="77777777" w:rsidTr="008B50DE">
        <w:trPr>
          <w:trHeight w:val="255"/>
        </w:trPr>
        <w:tc>
          <w:tcPr>
            <w:tcW w:w="3460" w:type="dxa"/>
            <w:tcBorders>
              <w:top w:val="nil"/>
              <w:left w:val="single" w:sz="4" w:space="0" w:color="auto"/>
              <w:bottom w:val="single" w:sz="4" w:space="0" w:color="auto"/>
              <w:right w:val="single" w:sz="4" w:space="0" w:color="auto"/>
            </w:tcBorders>
            <w:noWrap/>
            <w:vAlign w:val="bottom"/>
            <w:hideMark/>
          </w:tcPr>
          <w:p w14:paraId="591A4141" w14:textId="77777777" w:rsidR="00D83DB8" w:rsidRPr="0093030B" w:rsidRDefault="00D83DB8" w:rsidP="00D83DB8">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vAlign w:val="bottom"/>
          </w:tcPr>
          <w:p w14:paraId="5F462F95" w14:textId="4D2B742B" w:rsidR="00D83DB8" w:rsidRDefault="00D83DB8" w:rsidP="00D83DB8">
            <w:pPr>
              <w:jc w:val="right"/>
              <w:rPr>
                <w:rFonts w:cs="Arial"/>
              </w:rPr>
            </w:pPr>
            <w:r w:rsidRPr="001F4FDB">
              <w:rPr>
                <w:rFonts w:cs="Arial"/>
              </w:rPr>
              <w:t>581</w:t>
            </w:r>
          </w:p>
        </w:tc>
        <w:tc>
          <w:tcPr>
            <w:tcW w:w="1012" w:type="dxa"/>
            <w:tcBorders>
              <w:top w:val="nil"/>
              <w:left w:val="nil"/>
              <w:bottom w:val="single" w:sz="4" w:space="0" w:color="auto"/>
              <w:right w:val="single" w:sz="4" w:space="0" w:color="auto"/>
            </w:tcBorders>
          </w:tcPr>
          <w:p w14:paraId="229C4039" w14:textId="071BA700" w:rsidR="00D83DB8" w:rsidRDefault="00D83DB8" w:rsidP="00D83DB8">
            <w:pPr>
              <w:jc w:val="right"/>
              <w:rPr>
                <w:rFonts w:cs="Arial"/>
              </w:rPr>
            </w:pPr>
            <w:r>
              <w:rPr>
                <w:rFonts w:cs="Arial"/>
              </w:rPr>
              <w:t>637</w:t>
            </w:r>
          </w:p>
        </w:tc>
        <w:tc>
          <w:tcPr>
            <w:tcW w:w="1012" w:type="dxa"/>
            <w:tcBorders>
              <w:top w:val="nil"/>
              <w:left w:val="nil"/>
              <w:bottom w:val="single" w:sz="4" w:space="0" w:color="auto"/>
              <w:right w:val="single" w:sz="4" w:space="0" w:color="auto"/>
            </w:tcBorders>
          </w:tcPr>
          <w:p w14:paraId="5F587D0F" w14:textId="66D3FC92" w:rsidR="00D83DB8" w:rsidRPr="001F4FDB" w:rsidRDefault="00D83DB8" w:rsidP="00D83DB8">
            <w:pPr>
              <w:jc w:val="right"/>
              <w:rPr>
                <w:rFonts w:cs="Arial"/>
              </w:rPr>
            </w:pPr>
            <w:r>
              <w:rPr>
                <w:rFonts w:cs="Arial"/>
              </w:rPr>
              <w:t>604</w:t>
            </w:r>
          </w:p>
        </w:tc>
        <w:tc>
          <w:tcPr>
            <w:tcW w:w="1012" w:type="dxa"/>
            <w:tcBorders>
              <w:top w:val="nil"/>
              <w:left w:val="nil"/>
              <w:bottom w:val="single" w:sz="4" w:space="0" w:color="auto"/>
              <w:right w:val="single" w:sz="4" w:space="0" w:color="auto"/>
            </w:tcBorders>
          </w:tcPr>
          <w:p w14:paraId="60C284AF" w14:textId="6415272B" w:rsidR="00D83DB8" w:rsidRDefault="00D83DB8" w:rsidP="00D83DB8">
            <w:pPr>
              <w:jc w:val="right"/>
              <w:rPr>
                <w:rFonts w:cs="Arial"/>
              </w:rPr>
            </w:pPr>
            <w:r>
              <w:rPr>
                <w:rFonts w:cs="Arial"/>
              </w:rPr>
              <w:t>612</w:t>
            </w:r>
          </w:p>
        </w:tc>
        <w:tc>
          <w:tcPr>
            <w:tcW w:w="1012" w:type="dxa"/>
            <w:tcBorders>
              <w:top w:val="nil"/>
              <w:left w:val="nil"/>
              <w:bottom w:val="single" w:sz="4" w:space="0" w:color="auto"/>
              <w:right w:val="single" w:sz="4" w:space="0" w:color="auto"/>
            </w:tcBorders>
          </w:tcPr>
          <w:p w14:paraId="21691E6B" w14:textId="079D7EDB" w:rsidR="00D83DB8" w:rsidRDefault="00D83DB8" w:rsidP="00D83DB8">
            <w:pPr>
              <w:jc w:val="right"/>
              <w:rPr>
                <w:rFonts w:cs="Arial"/>
              </w:rPr>
            </w:pPr>
            <w:r>
              <w:rPr>
                <w:rFonts w:cs="Arial"/>
              </w:rPr>
              <w:t>690</w:t>
            </w:r>
          </w:p>
        </w:tc>
      </w:tr>
      <w:tr w:rsidR="00D83DB8" w:rsidRPr="0093030B" w14:paraId="373C4964" w14:textId="77777777" w:rsidTr="008B50DE">
        <w:trPr>
          <w:trHeight w:val="255"/>
        </w:trPr>
        <w:tc>
          <w:tcPr>
            <w:tcW w:w="3460" w:type="dxa"/>
            <w:tcBorders>
              <w:top w:val="nil"/>
              <w:left w:val="single" w:sz="4" w:space="0" w:color="auto"/>
              <w:bottom w:val="single" w:sz="4" w:space="0" w:color="auto"/>
              <w:right w:val="single" w:sz="4" w:space="0" w:color="auto"/>
            </w:tcBorders>
            <w:noWrap/>
            <w:vAlign w:val="bottom"/>
          </w:tcPr>
          <w:p w14:paraId="744B9D88" w14:textId="77777777" w:rsidR="00D83DB8" w:rsidRPr="0093030B" w:rsidRDefault="00D83DB8" w:rsidP="00D83DB8">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vAlign w:val="bottom"/>
          </w:tcPr>
          <w:p w14:paraId="13E75EEC" w14:textId="1EF62180" w:rsidR="00D83DB8" w:rsidRDefault="00D83DB8" w:rsidP="00D83DB8">
            <w:pPr>
              <w:jc w:val="right"/>
              <w:rPr>
                <w:rFonts w:cs="Arial"/>
              </w:rPr>
            </w:pPr>
            <w:r w:rsidRPr="001F4FDB">
              <w:rPr>
                <w:rFonts w:cs="Arial"/>
              </w:rPr>
              <w:t>4</w:t>
            </w:r>
          </w:p>
        </w:tc>
        <w:tc>
          <w:tcPr>
            <w:tcW w:w="1012" w:type="dxa"/>
            <w:tcBorders>
              <w:top w:val="nil"/>
              <w:left w:val="nil"/>
              <w:bottom w:val="single" w:sz="4" w:space="0" w:color="auto"/>
              <w:right w:val="single" w:sz="4" w:space="0" w:color="auto"/>
            </w:tcBorders>
          </w:tcPr>
          <w:p w14:paraId="2E314898" w14:textId="576D9B9C" w:rsidR="00D83DB8" w:rsidRDefault="00D83DB8" w:rsidP="00D83DB8">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3BAC649" w14:textId="0F23A417" w:rsidR="00D83DB8" w:rsidRPr="001F4FDB" w:rsidRDefault="00D83DB8" w:rsidP="00D83DB8">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1F55BAE9" w14:textId="65EB22CA" w:rsidR="00D83DB8" w:rsidRDefault="00D83DB8" w:rsidP="00D83DB8">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36F02EB3" w14:textId="7D629CB1" w:rsidR="00D83DB8" w:rsidRDefault="00D83DB8" w:rsidP="00D83DB8">
            <w:pPr>
              <w:jc w:val="right"/>
              <w:rPr>
                <w:rFonts w:cs="Arial"/>
              </w:rPr>
            </w:pPr>
            <w:r>
              <w:rPr>
                <w:rFonts w:cs="Arial"/>
              </w:rPr>
              <w:t>22</w:t>
            </w:r>
          </w:p>
        </w:tc>
      </w:tr>
      <w:tr w:rsidR="00D83DB8" w:rsidRPr="0093030B" w14:paraId="509521C3" w14:textId="77777777" w:rsidTr="008B50DE">
        <w:trPr>
          <w:trHeight w:val="255"/>
        </w:trPr>
        <w:tc>
          <w:tcPr>
            <w:tcW w:w="3460" w:type="dxa"/>
            <w:tcBorders>
              <w:top w:val="nil"/>
              <w:left w:val="single" w:sz="4" w:space="0" w:color="auto"/>
              <w:bottom w:val="single" w:sz="4" w:space="0" w:color="auto"/>
              <w:right w:val="single" w:sz="4" w:space="0" w:color="auto"/>
            </w:tcBorders>
            <w:noWrap/>
            <w:vAlign w:val="bottom"/>
            <w:hideMark/>
          </w:tcPr>
          <w:p w14:paraId="1ED85C4B" w14:textId="77777777" w:rsidR="00D83DB8" w:rsidRPr="0093030B" w:rsidRDefault="00D83DB8" w:rsidP="00D83DB8">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vAlign w:val="bottom"/>
          </w:tcPr>
          <w:p w14:paraId="6D59705A" w14:textId="5DDD3CAF" w:rsidR="00D83DB8" w:rsidRDefault="00D83DB8" w:rsidP="00D83DB8">
            <w:pPr>
              <w:jc w:val="right"/>
              <w:rPr>
                <w:rFonts w:cs="Arial"/>
              </w:rPr>
            </w:pPr>
            <w:r w:rsidRPr="001F4FDB">
              <w:rPr>
                <w:rFonts w:cs="Arial"/>
              </w:rPr>
              <w:t>48</w:t>
            </w:r>
          </w:p>
        </w:tc>
        <w:tc>
          <w:tcPr>
            <w:tcW w:w="1012" w:type="dxa"/>
            <w:tcBorders>
              <w:top w:val="nil"/>
              <w:left w:val="nil"/>
              <w:bottom w:val="single" w:sz="4" w:space="0" w:color="auto"/>
              <w:right w:val="single" w:sz="4" w:space="0" w:color="auto"/>
            </w:tcBorders>
          </w:tcPr>
          <w:p w14:paraId="1B381500" w14:textId="15BB4229" w:rsidR="00D83DB8" w:rsidRDefault="00D83DB8" w:rsidP="00D83DB8">
            <w:pPr>
              <w:jc w:val="right"/>
              <w:rPr>
                <w:rFonts w:cs="Arial"/>
              </w:rPr>
            </w:pPr>
            <w:r>
              <w:rPr>
                <w:rFonts w:cs="Arial"/>
              </w:rPr>
              <w:t>66</w:t>
            </w:r>
          </w:p>
        </w:tc>
        <w:tc>
          <w:tcPr>
            <w:tcW w:w="1012" w:type="dxa"/>
            <w:tcBorders>
              <w:top w:val="nil"/>
              <w:left w:val="nil"/>
              <w:bottom w:val="single" w:sz="4" w:space="0" w:color="auto"/>
              <w:right w:val="single" w:sz="4" w:space="0" w:color="auto"/>
            </w:tcBorders>
          </w:tcPr>
          <w:p w14:paraId="518A4E7B" w14:textId="4A73DBCE" w:rsidR="00D83DB8" w:rsidRPr="001F4FDB" w:rsidRDefault="00D83DB8" w:rsidP="00D83DB8">
            <w:pPr>
              <w:jc w:val="right"/>
              <w:rPr>
                <w:rFonts w:cs="Arial"/>
              </w:rPr>
            </w:pPr>
            <w:r>
              <w:rPr>
                <w:rFonts w:cs="Arial"/>
              </w:rPr>
              <w:t>73</w:t>
            </w:r>
          </w:p>
        </w:tc>
        <w:tc>
          <w:tcPr>
            <w:tcW w:w="1012" w:type="dxa"/>
            <w:tcBorders>
              <w:top w:val="nil"/>
              <w:left w:val="nil"/>
              <w:bottom w:val="single" w:sz="4" w:space="0" w:color="auto"/>
              <w:right w:val="single" w:sz="4" w:space="0" w:color="auto"/>
            </w:tcBorders>
          </w:tcPr>
          <w:p w14:paraId="41F1A857" w14:textId="59F8C9C7" w:rsidR="00D83DB8" w:rsidRDefault="00D83DB8" w:rsidP="00D83DB8">
            <w:pPr>
              <w:jc w:val="right"/>
              <w:rPr>
                <w:rFonts w:cs="Arial"/>
              </w:rPr>
            </w:pPr>
            <w:r>
              <w:rPr>
                <w:rFonts w:cs="Arial"/>
              </w:rPr>
              <w:t>74</w:t>
            </w:r>
          </w:p>
        </w:tc>
        <w:tc>
          <w:tcPr>
            <w:tcW w:w="1012" w:type="dxa"/>
            <w:tcBorders>
              <w:top w:val="nil"/>
              <w:left w:val="nil"/>
              <w:bottom w:val="single" w:sz="4" w:space="0" w:color="auto"/>
              <w:right w:val="single" w:sz="4" w:space="0" w:color="auto"/>
            </w:tcBorders>
          </w:tcPr>
          <w:p w14:paraId="6ED3DB68" w14:textId="77774D5F" w:rsidR="00D83DB8" w:rsidRDefault="00D83DB8" w:rsidP="00D83DB8">
            <w:pPr>
              <w:jc w:val="right"/>
              <w:rPr>
                <w:rFonts w:cs="Arial"/>
              </w:rPr>
            </w:pPr>
            <w:r>
              <w:rPr>
                <w:rFonts w:cs="Arial"/>
              </w:rPr>
              <w:t>60</w:t>
            </w:r>
          </w:p>
        </w:tc>
      </w:tr>
      <w:tr w:rsidR="00D83DB8" w:rsidRPr="0093030B" w14:paraId="3AF3EE89" w14:textId="77777777" w:rsidTr="008B50DE">
        <w:trPr>
          <w:trHeight w:val="255"/>
        </w:trPr>
        <w:tc>
          <w:tcPr>
            <w:tcW w:w="3460" w:type="dxa"/>
            <w:tcBorders>
              <w:top w:val="nil"/>
              <w:left w:val="single" w:sz="4" w:space="0" w:color="auto"/>
              <w:bottom w:val="single" w:sz="4" w:space="0" w:color="auto"/>
              <w:right w:val="single" w:sz="4" w:space="0" w:color="auto"/>
            </w:tcBorders>
            <w:noWrap/>
            <w:vAlign w:val="bottom"/>
            <w:hideMark/>
          </w:tcPr>
          <w:p w14:paraId="043D0EC9" w14:textId="77777777" w:rsidR="00D83DB8" w:rsidRPr="0093030B" w:rsidRDefault="00D83DB8" w:rsidP="00D83DB8">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vAlign w:val="bottom"/>
          </w:tcPr>
          <w:p w14:paraId="356CD970" w14:textId="18002994" w:rsidR="00D83DB8" w:rsidRDefault="00D83DB8" w:rsidP="00D83DB8">
            <w:pPr>
              <w:jc w:val="right"/>
              <w:rPr>
                <w:rFonts w:cs="Arial"/>
              </w:rPr>
            </w:pPr>
            <w:r w:rsidRPr="001F4FDB">
              <w:rPr>
                <w:rFonts w:cs="Arial"/>
              </w:rPr>
              <w:t>27</w:t>
            </w:r>
          </w:p>
        </w:tc>
        <w:tc>
          <w:tcPr>
            <w:tcW w:w="1012" w:type="dxa"/>
            <w:tcBorders>
              <w:top w:val="nil"/>
              <w:left w:val="nil"/>
              <w:bottom w:val="single" w:sz="4" w:space="0" w:color="auto"/>
              <w:right w:val="single" w:sz="4" w:space="0" w:color="auto"/>
            </w:tcBorders>
          </w:tcPr>
          <w:p w14:paraId="2BDE5BCE" w14:textId="307ED65A" w:rsidR="00D83DB8" w:rsidRDefault="00D83DB8" w:rsidP="00D83DB8">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0C74B792" w14:textId="3E8917C0" w:rsidR="00D83DB8" w:rsidRPr="001F4FDB" w:rsidRDefault="00D83DB8" w:rsidP="00D83DB8">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74B30552" w14:textId="20FB7333" w:rsidR="00D83DB8" w:rsidRDefault="00D83DB8" w:rsidP="00D83DB8">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12E01E37" w14:textId="5226230D" w:rsidR="00D83DB8" w:rsidRDefault="00D83DB8" w:rsidP="00D83DB8">
            <w:pPr>
              <w:jc w:val="right"/>
              <w:rPr>
                <w:rFonts w:cs="Arial"/>
              </w:rPr>
            </w:pPr>
            <w:r>
              <w:rPr>
                <w:rFonts w:cs="Arial"/>
              </w:rPr>
              <w:t>19</w:t>
            </w:r>
          </w:p>
        </w:tc>
      </w:tr>
      <w:tr w:rsidR="00D83DB8" w:rsidRPr="0093030B" w14:paraId="35CFC110" w14:textId="77777777" w:rsidTr="005D3292">
        <w:trPr>
          <w:trHeight w:val="255"/>
        </w:trPr>
        <w:tc>
          <w:tcPr>
            <w:tcW w:w="3460" w:type="dxa"/>
            <w:tcBorders>
              <w:top w:val="nil"/>
              <w:left w:val="single" w:sz="4" w:space="0" w:color="auto"/>
              <w:bottom w:val="single" w:sz="4" w:space="0" w:color="auto"/>
              <w:right w:val="single" w:sz="4" w:space="0" w:color="auto"/>
            </w:tcBorders>
            <w:noWrap/>
            <w:hideMark/>
          </w:tcPr>
          <w:p w14:paraId="3B12CD58" w14:textId="77777777" w:rsidR="00D83DB8" w:rsidRPr="0093030B" w:rsidRDefault="00D83DB8" w:rsidP="00D83DB8">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B5C7F0F" w14:textId="503F13B8" w:rsidR="00D83DB8" w:rsidRDefault="00D83DB8" w:rsidP="00D83DB8">
            <w:pPr>
              <w:jc w:val="right"/>
              <w:rPr>
                <w:rFonts w:cs="Arial"/>
                <w:b/>
                <w:bCs/>
              </w:rPr>
            </w:pPr>
            <w:r>
              <w:rPr>
                <w:rFonts w:cs="Arial"/>
                <w:b/>
                <w:bCs/>
              </w:rPr>
              <w:t>1144</w:t>
            </w:r>
          </w:p>
        </w:tc>
        <w:tc>
          <w:tcPr>
            <w:tcW w:w="1012" w:type="dxa"/>
            <w:tcBorders>
              <w:top w:val="nil"/>
              <w:left w:val="nil"/>
              <w:bottom w:val="single" w:sz="4" w:space="0" w:color="auto"/>
              <w:right w:val="single" w:sz="4" w:space="0" w:color="auto"/>
            </w:tcBorders>
          </w:tcPr>
          <w:p w14:paraId="06835757" w14:textId="3A53DC43" w:rsidR="00D83DB8" w:rsidRDefault="00D83DB8" w:rsidP="00D83DB8">
            <w:pPr>
              <w:jc w:val="right"/>
              <w:rPr>
                <w:rFonts w:cs="Arial"/>
                <w:b/>
                <w:bCs/>
              </w:rPr>
            </w:pPr>
            <w:r>
              <w:rPr>
                <w:rFonts w:cs="Arial"/>
                <w:b/>
                <w:bCs/>
              </w:rPr>
              <w:t>1096</w:t>
            </w:r>
          </w:p>
        </w:tc>
        <w:tc>
          <w:tcPr>
            <w:tcW w:w="1012" w:type="dxa"/>
            <w:tcBorders>
              <w:top w:val="nil"/>
              <w:left w:val="nil"/>
              <w:bottom w:val="single" w:sz="4" w:space="0" w:color="auto"/>
              <w:right w:val="single" w:sz="4" w:space="0" w:color="auto"/>
            </w:tcBorders>
          </w:tcPr>
          <w:p w14:paraId="77BA65DD" w14:textId="2FEDD87D" w:rsidR="00D83DB8" w:rsidRDefault="00D83DB8" w:rsidP="00D83DB8">
            <w:pPr>
              <w:jc w:val="right"/>
              <w:rPr>
                <w:rFonts w:cs="Arial"/>
                <w:b/>
                <w:bCs/>
              </w:rPr>
            </w:pPr>
            <w:r>
              <w:rPr>
                <w:rFonts w:cs="Arial"/>
                <w:b/>
                <w:bCs/>
              </w:rPr>
              <w:t>1110</w:t>
            </w:r>
          </w:p>
        </w:tc>
        <w:tc>
          <w:tcPr>
            <w:tcW w:w="1012" w:type="dxa"/>
            <w:tcBorders>
              <w:top w:val="nil"/>
              <w:left w:val="nil"/>
              <w:bottom w:val="single" w:sz="4" w:space="0" w:color="auto"/>
              <w:right w:val="single" w:sz="4" w:space="0" w:color="auto"/>
            </w:tcBorders>
          </w:tcPr>
          <w:p w14:paraId="44E2D781" w14:textId="080C601D" w:rsidR="00D83DB8" w:rsidRDefault="00D83DB8" w:rsidP="00D83DB8">
            <w:pPr>
              <w:jc w:val="right"/>
              <w:rPr>
                <w:rFonts w:cs="Arial"/>
                <w:b/>
                <w:bCs/>
              </w:rPr>
            </w:pPr>
            <w:r>
              <w:rPr>
                <w:rFonts w:cs="Arial"/>
                <w:b/>
                <w:bCs/>
              </w:rPr>
              <w:t>1185</w:t>
            </w:r>
          </w:p>
        </w:tc>
        <w:tc>
          <w:tcPr>
            <w:tcW w:w="1012" w:type="dxa"/>
            <w:tcBorders>
              <w:top w:val="nil"/>
              <w:left w:val="nil"/>
              <w:bottom w:val="single" w:sz="4" w:space="0" w:color="auto"/>
              <w:right w:val="single" w:sz="4" w:space="0" w:color="auto"/>
            </w:tcBorders>
          </w:tcPr>
          <w:p w14:paraId="4D725265" w14:textId="6941FE13" w:rsidR="00D83DB8" w:rsidRDefault="00D83DB8" w:rsidP="00D83DB8">
            <w:pPr>
              <w:jc w:val="right"/>
              <w:rPr>
                <w:rFonts w:cs="Arial"/>
                <w:b/>
                <w:bCs/>
              </w:rPr>
            </w:pPr>
            <w:r>
              <w:rPr>
                <w:rFonts w:cs="Arial"/>
                <w:b/>
                <w:bCs/>
              </w:rPr>
              <w:t>1142</w:t>
            </w:r>
          </w:p>
        </w:tc>
      </w:tr>
    </w:tbl>
    <w:p w14:paraId="7E2E4A84" w14:textId="77777777" w:rsidR="004B3140" w:rsidRDefault="004B3140" w:rsidP="004B3140">
      <w:pPr>
        <w:spacing w:line="240" w:lineRule="auto"/>
        <w:ind w:left="-142" w:right="-425"/>
        <w:jc w:val="both"/>
        <w:rPr>
          <w:rFonts w:cs="Arial"/>
        </w:rPr>
      </w:pPr>
    </w:p>
    <w:p w14:paraId="50EDA3A3" w14:textId="66A4FA97" w:rsidR="004B3140" w:rsidRDefault="004B3140" w:rsidP="004B3140">
      <w:pPr>
        <w:spacing w:after="120" w:line="240" w:lineRule="auto"/>
        <w:ind w:right="-425"/>
        <w:jc w:val="both"/>
        <w:rPr>
          <w:sz w:val="16"/>
          <w:szCs w:val="16"/>
        </w:rPr>
      </w:pPr>
      <w:r w:rsidRPr="008451D3">
        <w:rPr>
          <w:b/>
          <w:sz w:val="16"/>
          <w:szCs w:val="16"/>
        </w:rPr>
        <w:t xml:space="preserve">Table </w:t>
      </w:r>
      <w:r>
        <w:rPr>
          <w:b/>
          <w:sz w:val="16"/>
          <w:szCs w:val="16"/>
        </w:rPr>
        <w:t>11</w:t>
      </w:r>
      <w:r w:rsidRPr="008451D3">
        <w:rPr>
          <w:b/>
          <w:sz w:val="16"/>
          <w:szCs w:val="16"/>
        </w:rPr>
        <w:t xml:space="preserve">: </w:t>
      </w:r>
      <w:r w:rsidRPr="008451D3">
        <w:rPr>
          <w:sz w:val="16"/>
          <w:szCs w:val="16"/>
        </w:rPr>
        <w:t xml:space="preserve">In jurisdiction notices by community and quarter 1 </w:t>
      </w:r>
      <w:r>
        <w:rPr>
          <w:sz w:val="16"/>
          <w:szCs w:val="16"/>
        </w:rPr>
        <w:t>April 2021 to 30 June 2022</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D83DB8" w:rsidRPr="0093030B" w14:paraId="4E9DB660" w14:textId="77777777" w:rsidTr="005D3292">
        <w:trPr>
          <w:trHeight w:val="480"/>
        </w:trPr>
        <w:tc>
          <w:tcPr>
            <w:tcW w:w="3460" w:type="dxa"/>
            <w:tcBorders>
              <w:top w:val="single" w:sz="4" w:space="0" w:color="auto"/>
              <w:left w:val="single" w:sz="4" w:space="0" w:color="auto"/>
              <w:bottom w:val="single" w:sz="4" w:space="0" w:color="auto"/>
              <w:right w:val="single" w:sz="4" w:space="0" w:color="auto"/>
            </w:tcBorders>
            <w:hideMark/>
          </w:tcPr>
          <w:p w14:paraId="47AB7D74" w14:textId="77777777" w:rsidR="00D83DB8" w:rsidRPr="0093030B" w:rsidRDefault="00D83DB8" w:rsidP="00D83DB8">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18F8B1CC" w14:textId="657FB2BE" w:rsidR="00D83DB8" w:rsidRDefault="00D83DB8" w:rsidP="00D83DB8">
            <w:pPr>
              <w:pStyle w:val="TableText"/>
              <w:jc w:val="right"/>
              <w:rPr>
                <w:b/>
                <w:lang w:eastAsia="en-AU"/>
              </w:rPr>
            </w:pPr>
            <w:r>
              <w:rPr>
                <w:b/>
                <w:lang w:eastAsia="en-AU"/>
              </w:rPr>
              <w:t>Qtr 52</w:t>
            </w:r>
          </w:p>
        </w:tc>
        <w:tc>
          <w:tcPr>
            <w:tcW w:w="1012" w:type="dxa"/>
            <w:tcBorders>
              <w:top w:val="single" w:sz="4" w:space="0" w:color="auto"/>
              <w:left w:val="nil"/>
              <w:bottom w:val="single" w:sz="4" w:space="0" w:color="auto"/>
              <w:right w:val="single" w:sz="4" w:space="0" w:color="auto"/>
            </w:tcBorders>
          </w:tcPr>
          <w:p w14:paraId="17C98CBE" w14:textId="6196559E" w:rsidR="00D83DB8" w:rsidRDefault="00D83DB8" w:rsidP="00D83DB8">
            <w:pPr>
              <w:pStyle w:val="TableText"/>
              <w:jc w:val="right"/>
              <w:rPr>
                <w:b/>
                <w:lang w:eastAsia="en-AU"/>
              </w:rPr>
            </w:pPr>
            <w:r>
              <w:rPr>
                <w:b/>
                <w:lang w:eastAsia="en-AU"/>
              </w:rPr>
              <w:t>Qtr 53</w:t>
            </w:r>
          </w:p>
        </w:tc>
        <w:tc>
          <w:tcPr>
            <w:tcW w:w="1012" w:type="dxa"/>
            <w:tcBorders>
              <w:top w:val="single" w:sz="4" w:space="0" w:color="auto"/>
              <w:left w:val="nil"/>
              <w:bottom w:val="single" w:sz="4" w:space="0" w:color="auto"/>
              <w:right w:val="single" w:sz="4" w:space="0" w:color="auto"/>
            </w:tcBorders>
          </w:tcPr>
          <w:p w14:paraId="2A292041" w14:textId="6E5C0DB8" w:rsidR="00D83DB8" w:rsidRDefault="00D83DB8" w:rsidP="00D83DB8">
            <w:pPr>
              <w:pStyle w:val="TableText"/>
              <w:jc w:val="right"/>
              <w:rPr>
                <w:b/>
                <w:lang w:eastAsia="en-AU"/>
              </w:rPr>
            </w:pPr>
            <w:r>
              <w:rPr>
                <w:b/>
                <w:lang w:eastAsia="en-AU"/>
              </w:rPr>
              <w:t>Qtr 54</w:t>
            </w:r>
          </w:p>
        </w:tc>
        <w:tc>
          <w:tcPr>
            <w:tcW w:w="1012" w:type="dxa"/>
            <w:tcBorders>
              <w:top w:val="single" w:sz="4" w:space="0" w:color="auto"/>
              <w:left w:val="nil"/>
              <w:bottom w:val="single" w:sz="4" w:space="0" w:color="auto"/>
              <w:right w:val="single" w:sz="4" w:space="0" w:color="auto"/>
            </w:tcBorders>
          </w:tcPr>
          <w:p w14:paraId="06C71F2E" w14:textId="4DA5784C" w:rsidR="00D83DB8" w:rsidRDefault="00D83DB8" w:rsidP="00D83DB8">
            <w:pPr>
              <w:pStyle w:val="TableText"/>
              <w:jc w:val="right"/>
              <w:rPr>
                <w:b/>
                <w:lang w:eastAsia="en-AU"/>
              </w:rPr>
            </w:pPr>
            <w:r>
              <w:rPr>
                <w:b/>
                <w:lang w:eastAsia="en-AU"/>
              </w:rPr>
              <w:t>Qtr 55</w:t>
            </w:r>
          </w:p>
        </w:tc>
        <w:tc>
          <w:tcPr>
            <w:tcW w:w="1012" w:type="dxa"/>
            <w:tcBorders>
              <w:top w:val="single" w:sz="4" w:space="0" w:color="auto"/>
              <w:left w:val="nil"/>
              <w:bottom w:val="single" w:sz="4" w:space="0" w:color="auto"/>
              <w:right w:val="single" w:sz="4" w:space="0" w:color="auto"/>
            </w:tcBorders>
          </w:tcPr>
          <w:p w14:paraId="2003D8B7" w14:textId="1D9E3FC7" w:rsidR="00D83DB8" w:rsidRDefault="00D83DB8" w:rsidP="00D83DB8">
            <w:pPr>
              <w:pStyle w:val="TableText"/>
              <w:jc w:val="right"/>
              <w:rPr>
                <w:b/>
                <w:lang w:eastAsia="en-AU"/>
              </w:rPr>
            </w:pPr>
            <w:r>
              <w:rPr>
                <w:b/>
                <w:lang w:eastAsia="en-AU"/>
              </w:rPr>
              <w:t>Qtr 56</w:t>
            </w:r>
          </w:p>
        </w:tc>
      </w:tr>
      <w:tr w:rsidR="00D83DB8" w:rsidRPr="0093030B" w14:paraId="25FD8895" w14:textId="77777777" w:rsidTr="00D908AE">
        <w:trPr>
          <w:trHeight w:val="255"/>
        </w:trPr>
        <w:tc>
          <w:tcPr>
            <w:tcW w:w="3460" w:type="dxa"/>
            <w:tcBorders>
              <w:top w:val="nil"/>
              <w:left w:val="single" w:sz="4" w:space="0" w:color="auto"/>
              <w:bottom w:val="single" w:sz="4" w:space="0" w:color="auto"/>
              <w:right w:val="single" w:sz="4" w:space="0" w:color="auto"/>
            </w:tcBorders>
            <w:noWrap/>
            <w:vAlign w:val="bottom"/>
          </w:tcPr>
          <w:p w14:paraId="136A6F2C" w14:textId="77777777" w:rsidR="00D83DB8" w:rsidRPr="0093030B" w:rsidRDefault="00D83DB8" w:rsidP="00D83DB8">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vAlign w:val="bottom"/>
          </w:tcPr>
          <w:p w14:paraId="7537ACD8" w14:textId="3291E491" w:rsidR="00D83DB8" w:rsidRDefault="00D83DB8" w:rsidP="00D83DB8">
            <w:pPr>
              <w:jc w:val="right"/>
              <w:rPr>
                <w:rFonts w:cs="Arial"/>
              </w:rPr>
            </w:pPr>
            <w:r w:rsidRPr="001F4FDB">
              <w:rPr>
                <w:rFonts w:cs="Arial"/>
              </w:rPr>
              <w:t>513</w:t>
            </w:r>
          </w:p>
        </w:tc>
        <w:tc>
          <w:tcPr>
            <w:tcW w:w="1012" w:type="dxa"/>
            <w:tcBorders>
              <w:top w:val="nil"/>
              <w:left w:val="nil"/>
              <w:bottom w:val="single" w:sz="4" w:space="0" w:color="auto"/>
              <w:right w:val="single" w:sz="4" w:space="0" w:color="auto"/>
            </w:tcBorders>
          </w:tcPr>
          <w:p w14:paraId="73EECDB5" w14:textId="1AD6AC2D" w:rsidR="00D83DB8" w:rsidRDefault="00D83DB8" w:rsidP="00D83DB8">
            <w:pPr>
              <w:jc w:val="right"/>
              <w:rPr>
                <w:rFonts w:cs="Arial"/>
              </w:rPr>
            </w:pPr>
            <w:r>
              <w:rPr>
                <w:rFonts w:cs="Arial"/>
              </w:rPr>
              <w:t>439</w:t>
            </w:r>
          </w:p>
        </w:tc>
        <w:tc>
          <w:tcPr>
            <w:tcW w:w="1012" w:type="dxa"/>
            <w:tcBorders>
              <w:top w:val="nil"/>
              <w:left w:val="nil"/>
              <w:bottom w:val="single" w:sz="4" w:space="0" w:color="auto"/>
              <w:right w:val="single" w:sz="4" w:space="0" w:color="auto"/>
            </w:tcBorders>
          </w:tcPr>
          <w:p w14:paraId="2B5680AE" w14:textId="39715378" w:rsidR="00D83DB8" w:rsidRPr="001F4FDB" w:rsidRDefault="00D83DB8" w:rsidP="00D83DB8">
            <w:pPr>
              <w:jc w:val="right"/>
              <w:rPr>
                <w:rFonts w:cs="Arial"/>
              </w:rPr>
            </w:pPr>
            <w:r>
              <w:rPr>
                <w:rFonts w:cs="Arial"/>
              </w:rPr>
              <w:t>506</w:t>
            </w:r>
          </w:p>
        </w:tc>
        <w:tc>
          <w:tcPr>
            <w:tcW w:w="1012" w:type="dxa"/>
            <w:tcBorders>
              <w:top w:val="nil"/>
              <w:left w:val="nil"/>
              <w:bottom w:val="single" w:sz="4" w:space="0" w:color="auto"/>
              <w:right w:val="single" w:sz="4" w:space="0" w:color="auto"/>
            </w:tcBorders>
          </w:tcPr>
          <w:p w14:paraId="30936AA7" w14:textId="393BAAFD" w:rsidR="00D83DB8" w:rsidRDefault="00D83DB8" w:rsidP="00D83DB8">
            <w:pPr>
              <w:jc w:val="right"/>
              <w:rPr>
                <w:rFonts w:cs="Arial"/>
              </w:rPr>
            </w:pPr>
            <w:r>
              <w:rPr>
                <w:rFonts w:cs="Arial"/>
              </w:rPr>
              <w:t>608</w:t>
            </w:r>
          </w:p>
        </w:tc>
        <w:tc>
          <w:tcPr>
            <w:tcW w:w="1012" w:type="dxa"/>
            <w:tcBorders>
              <w:top w:val="nil"/>
              <w:left w:val="nil"/>
              <w:bottom w:val="single" w:sz="4" w:space="0" w:color="auto"/>
              <w:right w:val="single" w:sz="4" w:space="0" w:color="auto"/>
            </w:tcBorders>
          </w:tcPr>
          <w:p w14:paraId="226F6189" w14:textId="3CAE457C" w:rsidR="00D83DB8" w:rsidRDefault="00D83DB8" w:rsidP="00D83DB8">
            <w:pPr>
              <w:jc w:val="right"/>
              <w:rPr>
                <w:rFonts w:cs="Arial"/>
              </w:rPr>
            </w:pPr>
            <w:r>
              <w:rPr>
                <w:rFonts w:cs="Arial"/>
              </w:rPr>
              <w:t>498</w:t>
            </w:r>
          </w:p>
        </w:tc>
      </w:tr>
      <w:tr w:rsidR="00D83DB8" w:rsidRPr="0093030B" w14:paraId="3FF626B4" w14:textId="77777777" w:rsidTr="00D908AE">
        <w:trPr>
          <w:trHeight w:val="255"/>
        </w:trPr>
        <w:tc>
          <w:tcPr>
            <w:tcW w:w="3460" w:type="dxa"/>
            <w:tcBorders>
              <w:top w:val="nil"/>
              <w:left w:val="single" w:sz="4" w:space="0" w:color="auto"/>
              <w:bottom w:val="single" w:sz="4" w:space="0" w:color="auto"/>
              <w:right w:val="single" w:sz="4" w:space="0" w:color="auto"/>
            </w:tcBorders>
            <w:noWrap/>
            <w:vAlign w:val="bottom"/>
            <w:hideMark/>
          </w:tcPr>
          <w:p w14:paraId="0A6D7E5E" w14:textId="77777777" w:rsidR="00D83DB8" w:rsidRPr="0093030B" w:rsidRDefault="00D83DB8" w:rsidP="00D83DB8">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vAlign w:val="bottom"/>
          </w:tcPr>
          <w:p w14:paraId="2595A581" w14:textId="58964088" w:rsidR="00D83DB8" w:rsidRDefault="00D83DB8" w:rsidP="00D83DB8">
            <w:pPr>
              <w:jc w:val="right"/>
              <w:rPr>
                <w:rFonts w:cs="Arial"/>
              </w:rPr>
            </w:pPr>
            <w:r w:rsidRPr="001F4FDB">
              <w:rPr>
                <w:rFonts w:cs="Arial"/>
              </w:rPr>
              <w:t>37</w:t>
            </w:r>
          </w:p>
        </w:tc>
        <w:tc>
          <w:tcPr>
            <w:tcW w:w="1012" w:type="dxa"/>
            <w:tcBorders>
              <w:top w:val="nil"/>
              <w:left w:val="nil"/>
              <w:bottom w:val="single" w:sz="4" w:space="0" w:color="auto"/>
              <w:right w:val="single" w:sz="4" w:space="0" w:color="auto"/>
            </w:tcBorders>
          </w:tcPr>
          <w:p w14:paraId="78FB1908" w14:textId="22A3F4B9" w:rsidR="00D83DB8" w:rsidRDefault="00D83DB8" w:rsidP="00D83DB8">
            <w:pPr>
              <w:jc w:val="right"/>
              <w:rPr>
                <w:rFonts w:cs="Arial"/>
              </w:rPr>
            </w:pPr>
            <w:r>
              <w:rPr>
                <w:rFonts w:cs="Arial"/>
              </w:rPr>
              <w:t>60</w:t>
            </w:r>
          </w:p>
        </w:tc>
        <w:tc>
          <w:tcPr>
            <w:tcW w:w="1012" w:type="dxa"/>
            <w:tcBorders>
              <w:top w:val="nil"/>
              <w:left w:val="nil"/>
              <w:bottom w:val="single" w:sz="4" w:space="0" w:color="auto"/>
              <w:right w:val="single" w:sz="4" w:space="0" w:color="auto"/>
            </w:tcBorders>
          </w:tcPr>
          <w:p w14:paraId="53FC3992" w14:textId="42EDB90C" w:rsidR="00D83DB8" w:rsidRPr="001F4FDB" w:rsidRDefault="00D83DB8" w:rsidP="00D83DB8">
            <w:pPr>
              <w:jc w:val="right"/>
              <w:rPr>
                <w:rFonts w:cs="Arial"/>
              </w:rPr>
            </w:pPr>
            <w:r>
              <w:rPr>
                <w:rFonts w:cs="Arial"/>
              </w:rPr>
              <w:t>48</w:t>
            </w:r>
          </w:p>
        </w:tc>
        <w:tc>
          <w:tcPr>
            <w:tcW w:w="1012" w:type="dxa"/>
            <w:tcBorders>
              <w:top w:val="nil"/>
              <w:left w:val="nil"/>
              <w:bottom w:val="single" w:sz="4" w:space="0" w:color="auto"/>
              <w:right w:val="single" w:sz="4" w:space="0" w:color="auto"/>
            </w:tcBorders>
          </w:tcPr>
          <w:p w14:paraId="0E398503" w14:textId="32349A77" w:rsidR="00D83DB8" w:rsidRDefault="00D83DB8" w:rsidP="00D83DB8">
            <w:pPr>
              <w:jc w:val="right"/>
              <w:rPr>
                <w:rFonts w:cs="Arial"/>
              </w:rPr>
            </w:pPr>
            <w:r>
              <w:rPr>
                <w:rFonts w:cs="Arial"/>
              </w:rPr>
              <w:t>26</w:t>
            </w:r>
          </w:p>
        </w:tc>
        <w:tc>
          <w:tcPr>
            <w:tcW w:w="1012" w:type="dxa"/>
            <w:tcBorders>
              <w:top w:val="nil"/>
              <w:left w:val="nil"/>
              <w:bottom w:val="single" w:sz="4" w:space="0" w:color="auto"/>
              <w:right w:val="single" w:sz="4" w:space="0" w:color="auto"/>
            </w:tcBorders>
          </w:tcPr>
          <w:p w14:paraId="4FB077F1" w14:textId="69037583" w:rsidR="00D83DB8" w:rsidRDefault="00D83DB8" w:rsidP="00D83DB8">
            <w:pPr>
              <w:jc w:val="right"/>
              <w:rPr>
                <w:rFonts w:cs="Arial"/>
              </w:rPr>
            </w:pPr>
            <w:r>
              <w:rPr>
                <w:rFonts w:cs="Arial"/>
              </w:rPr>
              <w:t>21</w:t>
            </w:r>
          </w:p>
        </w:tc>
      </w:tr>
      <w:tr w:rsidR="00D83DB8" w:rsidRPr="0093030B" w14:paraId="0B21CB9C" w14:textId="77777777" w:rsidTr="00D908AE">
        <w:trPr>
          <w:trHeight w:val="255"/>
        </w:trPr>
        <w:tc>
          <w:tcPr>
            <w:tcW w:w="3460" w:type="dxa"/>
            <w:tcBorders>
              <w:top w:val="nil"/>
              <w:left w:val="single" w:sz="4" w:space="0" w:color="auto"/>
              <w:bottom w:val="single" w:sz="4" w:space="0" w:color="auto"/>
              <w:right w:val="single" w:sz="4" w:space="0" w:color="auto"/>
            </w:tcBorders>
            <w:noWrap/>
            <w:vAlign w:val="bottom"/>
          </w:tcPr>
          <w:p w14:paraId="61378C2C" w14:textId="77777777" w:rsidR="00D83DB8" w:rsidRPr="0093030B" w:rsidRDefault="00D83DB8" w:rsidP="00D83DB8">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vAlign w:val="bottom"/>
          </w:tcPr>
          <w:p w14:paraId="2B096A73" w14:textId="2A985C6D" w:rsidR="00D83DB8" w:rsidRDefault="00D83DB8" w:rsidP="00D83DB8">
            <w:pPr>
              <w:jc w:val="right"/>
              <w:rPr>
                <w:rFonts w:cs="Arial"/>
              </w:rPr>
            </w:pPr>
            <w:r w:rsidRPr="001F4FDB">
              <w:rPr>
                <w:rFonts w:cs="Arial"/>
              </w:rPr>
              <w:t>297</w:t>
            </w:r>
          </w:p>
        </w:tc>
        <w:tc>
          <w:tcPr>
            <w:tcW w:w="1012" w:type="dxa"/>
            <w:tcBorders>
              <w:top w:val="nil"/>
              <w:left w:val="nil"/>
              <w:bottom w:val="single" w:sz="4" w:space="0" w:color="auto"/>
              <w:right w:val="single" w:sz="4" w:space="0" w:color="auto"/>
            </w:tcBorders>
          </w:tcPr>
          <w:p w14:paraId="234577EC" w14:textId="5B520874" w:rsidR="00D83DB8" w:rsidRDefault="00D83DB8" w:rsidP="00D83DB8">
            <w:pPr>
              <w:jc w:val="right"/>
              <w:rPr>
                <w:rFonts w:cs="Arial"/>
              </w:rPr>
            </w:pPr>
            <w:r>
              <w:rPr>
                <w:rFonts w:cs="Arial"/>
              </w:rPr>
              <w:t>307</w:t>
            </w:r>
          </w:p>
        </w:tc>
        <w:tc>
          <w:tcPr>
            <w:tcW w:w="1012" w:type="dxa"/>
            <w:tcBorders>
              <w:top w:val="nil"/>
              <w:left w:val="nil"/>
              <w:bottom w:val="single" w:sz="4" w:space="0" w:color="auto"/>
              <w:right w:val="single" w:sz="4" w:space="0" w:color="auto"/>
            </w:tcBorders>
          </w:tcPr>
          <w:p w14:paraId="3B1670C7" w14:textId="2E9BF635" w:rsidR="00D83DB8" w:rsidRPr="001F4FDB" w:rsidRDefault="00D83DB8" w:rsidP="00D83DB8">
            <w:pPr>
              <w:jc w:val="right"/>
              <w:rPr>
                <w:rFonts w:cs="Arial"/>
              </w:rPr>
            </w:pPr>
            <w:r>
              <w:rPr>
                <w:rFonts w:cs="Arial"/>
              </w:rPr>
              <w:t>297</w:t>
            </w:r>
          </w:p>
        </w:tc>
        <w:tc>
          <w:tcPr>
            <w:tcW w:w="1012" w:type="dxa"/>
            <w:tcBorders>
              <w:top w:val="nil"/>
              <w:left w:val="nil"/>
              <w:bottom w:val="single" w:sz="4" w:space="0" w:color="auto"/>
              <w:right w:val="single" w:sz="4" w:space="0" w:color="auto"/>
            </w:tcBorders>
          </w:tcPr>
          <w:p w14:paraId="66F1462D" w14:textId="4EC6CFE8" w:rsidR="00D83DB8" w:rsidRDefault="00D83DB8" w:rsidP="00D83DB8">
            <w:pPr>
              <w:jc w:val="right"/>
              <w:rPr>
                <w:rFonts w:cs="Arial"/>
              </w:rPr>
            </w:pPr>
            <w:r>
              <w:rPr>
                <w:rFonts w:cs="Arial"/>
              </w:rPr>
              <w:t>349</w:t>
            </w:r>
          </w:p>
        </w:tc>
        <w:tc>
          <w:tcPr>
            <w:tcW w:w="1012" w:type="dxa"/>
            <w:tcBorders>
              <w:top w:val="nil"/>
              <w:left w:val="nil"/>
              <w:bottom w:val="single" w:sz="4" w:space="0" w:color="auto"/>
              <w:right w:val="single" w:sz="4" w:space="0" w:color="auto"/>
            </w:tcBorders>
          </w:tcPr>
          <w:p w14:paraId="511E1BEA" w14:textId="19E6D8B7" w:rsidR="00D83DB8" w:rsidRDefault="00D83DB8" w:rsidP="00D83DB8">
            <w:pPr>
              <w:jc w:val="right"/>
              <w:rPr>
                <w:rFonts w:cs="Arial"/>
              </w:rPr>
            </w:pPr>
            <w:r>
              <w:rPr>
                <w:rFonts w:cs="Arial"/>
              </w:rPr>
              <w:t>364</w:t>
            </w:r>
          </w:p>
        </w:tc>
      </w:tr>
      <w:tr w:rsidR="00D83DB8" w:rsidRPr="0093030B" w14:paraId="5A5DCA2F" w14:textId="77777777" w:rsidTr="00D908AE">
        <w:trPr>
          <w:trHeight w:val="255"/>
        </w:trPr>
        <w:tc>
          <w:tcPr>
            <w:tcW w:w="3460" w:type="dxa"/>
            <w:tcBorders>
              <w:top w:val="nil"/>
              <w:left w:val="single" w:sz="4" w:space="0" w:color="auto"/>
              <w:bottom w:val="single" w:sz="4" w:space="0" w:color="auto"/>
              <w:right w:val="single" w:sz="4" w:space="0" w:color="auto"/>
            </w:tcBorders>
            <w:noWrap/>
            <w:vAlign w:val="bottom"/>
          </w:tcPr>
          <w:p w14:paraId="2A8CCCDB" w14:textId="77777777" w:rsidR="00D83DB8" w:rsidRPr="0093030B" w:rsidRDefault="00D83DB8" w:rsidP="00D83DB8">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vAlign w:val="bottom"/>
          </w:tcPr>
          <w:p w14:paraId="769BB556" w14:textId="21248843" w:rsidR="00D83DB8" w:rsidRDefault="00D83DB8" w:rsidP="00D83DB8">
            <w:pPr>
              <w:jc w:val="right"/>
              <w:rPr>
                <w:rFonts w:cs="Arial"/>
              </w:rPr>
            </w:pPr>
            <w:r w:rsidRPr="001F4FDB">
              <w:rPr>
                <w:rFonts w:cs="Arial"/>
              </w:rPr>
              <w:t>234</w:t>
            </w:r>
          </w:p>
        </w:tc>
        <w:tc>
          <w:tcPr>
            <w:tcW w:w="1012" w:type="dxa"/>
            <w:tcBorders>
              <w:top w:val="nil"/>
              <w:left w:val="nil"/>
              <w:bottom w:val="single" w:sz="4" w:space="0" w:color="auto"/>
              <w:right w:val="single" w:sz="4" w:space="0" w:color="auto"/>
            </w:tcBorders>
          </w:tcPr>
          <w:p w14:paraId="4E88A4E5" w14:textId="48939499" w:rsidR="00D83DB8" w:rsidRDefault="00D83DB8" w:rsidP="00D83DB8">
            <w:pPr>
              <w:jc w:val="right"/>
              <w:rPr>
                <w:rFonts w:cs="Arial"/>
              </w:rPr>
            </w:pPr>
            <w:r>
              <w:rPr>
                <w:rFonts w:cs="Arial"/>
              </w:rPr>
              <w:t>260</w:t>
            </w:r>
          </w:p>
        </w:tc>
        <w:tc>
          <w:tcPr>
            <w:tcW w:w="1012" w:type="dxa"/>
            <w:tcBorders>
              <w:top w:val="nil"/>
              <w:left w:val="nil"/>
              <w:bottom w:val="single" w:sz="4" w:space="0" w:color="auto"/>
              <w:right w:val="single" w:sz="4" w:space="0" w:color="auto"/>
            </w:tcBorders>
          </w:tcPr>
          <w:p w14:paraId="6B2ABA62" w14:textId="22B840AF" w:rsidR="00D83DB8" w:rsidRPr="001F4FDB" w:rsidRDefault="00D83DB8" w:rsidP="00D83DB8">
            <w:pPr>
              <w:jc w:val="right"/>
              <w:rPr>
                <w:rFonts w:cs="Arial"/>
              </w:rPr>
            </w:pPr>
            <w:r>
              <w:rPr>
                <w:rFonts w:cs="Arial"/>
              </w:rPr>
              <w:t>207</w:t>
            </w:r>
          </w:p>
        </w:tc>
        <w:tc>
          <w:tcPr>
            <w:tcW w:w="1012" w:type="dxa"/>
            <w:tcBorders>
              <w:top w:val="nil"/>
              <w:left w:val="nil"/>
              <w:bottom w:val="single" w:sz="4" w:space="0" w:color="auto"/>
              <w:right w:val="single" w:sz="4" w:space="0" w:color="auto"/>
            </w:tcBorders>
          </w:tcPr>
          <w:p w14:paraId="613D2F98" w14:textId="4CEE737E" w:rsidR="00D83DB8" w:rsidRDefault="00D83DB8" w:rsidP="00D83DB8">
            <w:pPr>
              <w:jc w:val="right"/>
              <w:rPr>
                <w:rFonts w:cs="Arial"/>
              </w:rPr>
            </w:pPr>
            <w:r>
              <w:rPr>
                <w:rFonts w:cs="Arial"/>
              </w:rPr>
              <w:t>144</w:t>
            </w:r>
          </w:p>
        </w:tc>
        <w:tc>
          <w:tcPr>
            <w:tcW w:w="1012" w:type="dxa"/>
            <w:tcBorders>
              <w:top w:val="nil"/>
              <w:left w:val="nil"/>
              <w:bottom w:val="single" w:sz="4" w:space="0" w:color="auto"/>
              <w:right w:val="single" w:sz="4" w:space="0" w:color="auto"/>
            </w:tcBorders>
          </w:tcPr>
          <w:p w14:paraId="0357CCF0" w14:textId="59725F89" w:rsidR="00D83DB8" w:rsidRDefault="00D83DB8" w:rsidP="00D83DB8">
            <w:pPr>
              <w:jc w:val="right"/>
              <w:rPr>
                <w:rFonts w:cs="Arial"/>
              </w:rPr>
            </w:pPr>
            <w:r>
              <w:rPr>
                <w:rFonts w:cs="Arial"/>
              </w:rPr>
              <w:t>211</w:t>
            </w:r>
          </w:p>
        </w:tc>
      </w:tr>
      <w:tr w:rsidR="00D83DB8" w:rsidRPr="0093030B" w14:paraId="0AD38E9C" w14:textId="77777777" w:rsidTr="00D908AE">
        <w:trPr>
          <w:trHeight w:val="255"/>
        </w:trPr>
        <w:tc>
          <w:tcPr>
            <w:tcW w:w="3460" w:type="dxa"/>
            <w:tcBorders>
              <w:top w:val="nil"/>
              <w:left w:val="single" w:sz="4" w:space="0" w:color="auto"/>
              <w:bottom w:val="single" w:sz="4" w:space="0" w:color="auto"/>
              <w:right w:val="single" w:sz="4" w:space="0" w:color="auto"/>
            </w:tcBorders>
            <w:noWrap/>
            <w:vAlign w:val="bottom"/>
            <w:hideMark/>
          </w:tcPr>
          <w:p w14:paraId="5B22535A" w14:textId="77777777" w:rsidR="00D83DB8" w:rsidRPr="0093030B" w:rsidRDefault="00D83DB8" w:rsidP="00D83DB8">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vAlign w:val="bottom"/>
          </w:tcPr>
          <w:p w14:paraId="4EE47B36" w14:textId="6B9AC68C" w:rsidR="00D83DB8" w:rsidRDefault="00D83DB8" w:rsidP="00D83DB8">
            <w:pPr>
              <w:jc w:val="right"/>
              <w:rPr>
                <w:rFonts w:cs="Arial"/>
              </w:rPr>
            </w:pPr>
            <w:r w:rsidRPr="001F4FDB">
              <w:rPr>
                <w:rFonts w:cs="Arial"/>
              </w:rPr>
              <w:t>63</w:t>
            </w:r>
          </w:p>
        </w:tc>
        <w:tc>
          <w:tcPr>
            <w:tcW w:w="1012" w:type="dxa"/>
            <w:tcBorders>
              <w:top w:val="nil"/>
              <w:left w:val="nil"/>
              <w:bottom w:val="single" w:sz="4" w:space="0" w:color="auto"/>
              <w:right w:val="single" w:sz="4" w:space="0" w:color="auto"/>
            </w:tcBorders>
          </w:tcPr>
          <w:p w14:paraId="2E57A674" w14:textId="7BBBE3CC" w:rsidR="00D83DB8" w:rsidRDefault="00D83DB8" w:rsidP="00D83DB8">
            <w:pPr>
              <w:jc w:val="right"/>
              <w:rPr>
                <w:rFonts w:cs="Arial"/>
              </w:rPr>
            </w:pPr>
            <w:r>
              <w:rPr>
                <w:rFonts w:cs="Arial"/>
              </w:rPr>
              <w:t>30</w:t>
            </w:r>
          </w:p>
        </w:tc>
        <w:tc>
          <w:tcPr>
            <w:tcW w:w="1012" w:type="dxa"/>
            <w:tcBorders>
              <w:top w:val="nil"/>
              <w:left w:val="nil"/>
              <w:bottom w:val="single" w:sz="4" w:space="0" w:color="auto"/>
              <w:right w:val="single" w:sz="4" w:space="0" w:color="auto"/>
            </w:tcBorders>
          </w:tcPr>
          <w:p w14:paraId="73996FD4" w14:textId="2CC6279A" w:rsidR="00D83DB8" w:rsidRPr="001F4FDB" w:rsidRDefault="00D83DB8" w:rsidP="00D83DB8">
            <w:pPr>
              <w:jc w:val="right"/>
              <w:rPr>
                <w:rFonts w:cs="Arial"/>
              </w:rPr>
            </w:pPr>
            <w:r>
              <w:rPr>
                <w:rFonts w:cs="Arial"/>
              </w:rPr>
              <w:t>52</w:t>
            </w:r>
          </w:p>
        </w:tc>
        <w:tc>
          <w:tcPr>
            <w:tcW w:w="1012" w:type="dxa"/>
            <w:tcBorders>
              <w:top w:val="nil"/>
              <w:left w:val="nil"/>
              <w:bottom w:val="single" w:sz="4" w:space="0" w:color="auto"/>
              <w:right w:val="single" w:sz="4" w:space="0" w:color="auto"/>
            </w:tcBorders>
          </w:tcPr>
          <w:p w14:paraId="606400FD" w14:textId="52E06114" w:rsidR="00D83DB8" w:rsidRDefault="00D83DB8" w:rsidP="00D83DB8">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7786D62E" w14:textId="79C4A1DF" w:rsidR="00D83DB8" w:rsidRDefault="00D83DB8" w:rsidP="00D83DB8">
            <w:pPr>
              <w:jc w:val="right"/>
              <w:rPr>
                <w:rFonts w:cs="Arial"/>
              </w:rPr>
            </w:pPr>
            <w:r>
              <w:rPr>
                <w:rFonts w:cs="Arial"/>
              </w:rPr>
              <w:t>48</w:t>
            </w:r>
          </w:p>
        </w:tc>
      </w:tr>
      <w:tr w:rsidR="00D83DB8" w:rsidRPr="0093030B" w14:paraId="1688B162" w14:textId="77777777" w:rsidTr="00D908AE">
        <w:trPr>
          <w:trHeight w:val="255"/>
        </w:trPr>
        <w:tc>
          <w:tcPr>
            <w:tcW w:w="3460" w:type="dxa"/>
            <w:tcBorders>
              <w:top w:val="nil"/>
              <w:left w:val="single" w:sz="4" w:space="0" w:color="auto"/>
              <w:bottom w:val="single" w:sz="4" w:space="0" w:color="auto"/>
              <w:right w:val="single" w:sz="4" w:space="0" w:color="auto"/>
            </w:tcBorders>
            <w:noWrap/>
            <w:hideMark/>
          </w:tcPr>
          <w:p w14:paraId="7112BFB9" w14:textId="77777777" w:rsidR="00D83DB8" w:rsidRPr="0093030B" w:rsidRDefault="00D83DB8" w:rsidP="00D83DB8">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vAlign w:val="bottom"/>
          </w:tcPr>
          <w:p w14:paraId="7752203A" w14:textId="61CF271E" w:rsidR="00D83DB8" w:rsidRDefault="00D83DB8" w:rsidP="00D83DB8">
            <w:pPr>
              <w:jc w:val="right"/>
              <w:rPr>
                <w:rFonts w:cs="Arial"/>
                <w:b/>
                <w:bCs/>
              </w:rPr>
            </w:pPr>
            <w:r w:rsidRPr="001F4FDB">
              <w:rPr>
                <w:rFonts w:cs="Arial"/>
                <w:b/>
                <w:bCs/>
              </w:rPr>
              <w:t>1144</w:t>
            </w:r>
          </w:p>
        </w:tc>
        <w:tc>
          <w:tcPr>
            <w:tcW w:w="1012" w:type="dxa"/>
            <w:tcBorders>
              <w:top w:val="nil"/>
              <w:left w:val="nil"/>
              <w:bottom w:val="single" w:sz="4" w:space="0" w:color="auto"/>
              <w:right w:val="single" w:sz="4" w:space="0" w:color="auto"/>
            </w:tcBorders>
          </w:tcPr>
          <w:p w14:paraId="24AB535F" w14:textId="5BBC8FE1" w:rsidR="00D83DB8" w:rsidRDefault="00D83DB8" w:rsidP="00D83DB8">
            <w:pPr>
              <w:jc w:val="right"/>
              <w:rPr>
                <w:rFonts w:cs="Arial"/>
                <w:b/>
                <w:bCs/>
              </w:rPr>
            </w:pPr>
            <w:r>
              <w:rPr>
                <w:rFonts w:cs="Arial"/>
                <w:b/>
                <w:bCs/>
              </w:rPr>
              <w:t>1096</w:t>
            </w:r>
          </w:p>
        </w:tc>
        <w:tc>
          <w:tcPr>
            <w:tcW w:w="1012" w:type="dxa"/>
            <w:tcBorders>
              <w:top w:val="nil"/>
              <w:left w:val="nil"/>
              <w:bottom w:val="single" w:sz="4" w:space="0" w:color="auto"/>
              <w:right w:val="single" w:sz="4" w:space="0" w:color="auto"/>
            </w:tcBorders>
          </w:tcPr>
          <w:p w14:paraId="5BAA388E" w14:textId="5197BA6C" w:rsidR="00D83DB8" w:rsidRPr="001F4FDB" w:rsidRDefault="00D83DB8" w:rsidP="00D83DB8">
            <w:pPr>
              <w:jc w:val="right"/>
              <w:rPr>
                <w:rFonts w:cs="Arial"/>
                <w:b/>
                <w:bCs/>
              </w:rPr>
            </w:pPr>
            <w:r>
              <w:rPr>
                <w:rFonts w:cs="Arial"/>
                <w:b/>
                <w:bCs/>
              </w:rPr>
              <w:t>1110</w:t>
            </w:r>
          </w:p>
        </w:tc>
        <w:tc>
          <w:tcPr>
            <w:tcW w:w="1012" w:type="dxa"/>
            <w:tcBorders>
              <w:top w:val="nil"/>
              <w:left w:val="nil"/>
              <w:bottom w:val="single" w:sz="4" w:space="0" w:color="auto"/>
              <w:right w:val="single" w:sz="4" w:space="0" w:color="auto"/>
            </w:tcBorders>
          </w:tcPr>
          <w:p w14:paraId="2C487FA5" w14:textId="1D2E878B" w:rsidR="00D83DB8" w:rsidRDefault="00D83DB8" w:rsidP="00D83DB8">
            <w:pPr>
              <w:jc w:val="right"/>
              <w:rPr>
                <w:rFonts w:cs="Arial"/>
                <w:b/>
                <w:bCs/>
              </w:rPr>
            </w:pPr>
            <w:r>
              <w:rPr>
                <w:rFonts w:cs="Arial"/>
                <w:b/>
                <w:bCs/>
              </w:rPr>
              <w:t>1185</w:t>
            </w:r>
          </w:p>
        </w:tc>
        <w:tc>
          <w:tcPr>
            <w:tcW w:w="1012" w:type="dxa"/>
            <w:tcBorders>
              <w:top w:val="nil"/>
              <w:left w:val="nil"/>
              <w:bottom w:val="single" w:sz="4" w:space="0" w:color="auto"/>
              <w:right w:val="single" w:sz="4" w:space="0" w:color="auto"/>
            </w:tcBorders>
          </w:tcPr>
          <w:p w14:paraId="7455B188" w14:textId="4252EBE7" w:rsidR="00D83DB8" w:rsidRDefault="00D83DB8" w:rsidP="00D83DB8">
            <w:pPr>
              <w:jc w:val="right"/>
              <w:rPr>
                <w:rFonts w:cs="Arial"/>
                <w:b/>
                <w:bCs/>
              </w:rPr>
            </w:pPr>
            <w:r>
              <w:rPr>
                <w:rFonts w:cs="Arial"/>
                <w:b/>
                <w:bCs/>
              </w:rPr>
              <w:t>1142</w:t>
            </w:r>
          </w:p>
        </w:tc>
      </w:tr>
    </w:tbl>
    <w:p w14:paraId="1509C390" w14:textId="77777777" w:rsidR="004B3140" w:rsidRDefault="004B3140" w:rsidP="004B3140">
      <w:pPr>
        <w:ind w:left="-142" w:right="-425"/>
        <w:jc w:val="both"/>
        <w:rPr>
          <w:rFonts w:cs="Arial"/>
        </w:rPr>
      </w:pPr>
    </w:p>
    <w:p w14:paraId="6B7E9BDC" w14:textId="1546F6C3" w:rsidR="005A5B78" w:rsidRDefault="007E65A1" w:rsidP="005A5B78">
      <w:pPr>
        <w:ind w:left="-142" w:right="-425"/>
        <w:jc w:val="both"/>
        <w:rPr>
          <w:rFonts w:cs="Arial"/>
        </w:rPr>
      </w:pPr>
      <w:r>
        <w:rPr>
          <w:rFonts w:cs="Arial"/>
        </w:rPr>
        <w:t xml:space="preserve">For quarter </w:t>
      </w:r>
      <w:r w:rsidR="00951376">
        <w:rPr>
          <w:rFonts w:cs="Arial"/>
        </w:rPr>
        <w:t>56</w:t>
      </w:r>
      <w:r w:rsidR="00D4333F">
        <w:rPr>
          <w:rFonts w:cs="Arial"/>
        </w:rPr>
        <w:t>,</w:t>
      </w:r>
      <w:r>
        <w:rPr>
          <w:rFonts w:cs="Arial"/>
        </w:rPr>
        <w:t xml:space="preserve"> </w:t>
      </w:r>
      <w:r w:rsidR="00D04D5B">
        <w:rPr>
          <w:rFonts w:cs="Arial"/>
        </w:rPr>
        <w:t>4</w:t>
      </w:r>
      <w:r w:rsidR="00205371">
        <w:rPr>
          <w:rFonts w:cs="Arial"/>
        </w:rPr>
        <w:t>5</w:t>
      </w:r>
      <w:r w:rsidR="00D04D5B" w:rsidRPr="004A208F">
        <w:rPr>
          <w:rFonts w:cs="Arial"/>
        </w:rPr>
        <w:t xml:space="preserve"> </w:t>
      </w:r>
      <w:r w:rsidR="005A5B78" w:rsidRPr="004A208F">
        <w:rPr>
          <w:rFonts w:cs="Arial"/>
        </w:rPr>
        <w:t>percent</w:t>
      </w:r>
      <w:r w:rsidR="00AF4062">
        <w:rPr>
          <w:rFonts w:cs="Arial"/>
        </w:rPr>
        <w:t xml:space="preserve"> </w:t>
      </w:r>
      <w:r w:rsidR="005A5B78" w:rsidRPr="004A208F">
        <w:rPr>
          <w:rFonts w:cs="Arial"/>
        </w:rPr>
        <w:t>of clients received more than one notice</w:t>
      </w:r>
      <w:r w:rsidR="008D6624" w:rsidRPr="004A208F">
        <w:rPr>
          <w:rFonts w:cs="Arial"/>
        </w:rPr>
        <w:t xml:space="preserve">.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02417B">
        <w:rPr>
          <w:rFonts w:cs="Arial"/>
        </w:rPr>
        <w:t xml:space="preserve">This may also be suggestive of the complexity of behaviours experienced by a significant proportion of our clients. </w:t>
      </w:r>
      <w:r w:rsidR="0002417B" w:rsidRPr="004A208F">
        <w:rPr>
          <w:rFonts w:cs="Arial"/>
        </w:rPr>
        <w:t xml:space="preserve">Conversely, </w:t>
      </w:r>
      <w:r w:rsidR="0002417B">
        <w:rPr>
          <w:rFonts w:cs="Arial"/>
        </w:rPr>
        <w:t>it is important to note the majority of FRC clients (</w:t>
      </w:r>
      <w:r w:rsidR="00D04D5B">
        <w:rPr>
          <w:rFonts w:cs="Arial"/>
        </w:rPr>
        <w:t>5</w:t>
      </w:r>
      <w:r w:rsidR="00205371">
        <w:rPr>
          <w:rFonts w:cs="Arial"/>
        </w:rPr>
        <w:t>5</w:t>
      </w:r>
      <w:r w:rsidR="00D04D5B" w:rsidRPr="004A208F">
        <w:rPr>
          <w:rFonts w:cs="Arial"/>
        </w:rPr>
        <w:t xml:space="preserve"> </w:t>
      </w:r>
      <w:r w:rsidR="00FC7C1D">
        <w:rPr>
          <w:rFonts w:cs="Arial"/>
        </w:rPr>
        <w:t>percent</w:t>
      </w:r>
      <w:r w:rsidR="0002417B">
        <w:rPr>
          <w:rFonts w:cs="Arial"/>
        </w:rPr>
        <w:t>)</w:t>
      </w:r>
      <w:r w:rsidR="0002417B" w:rsidRPr="004A208F">
        <w:rPr>
          <w:rFonts w:cs="Arial"/>
        </w:rPr>
        <w:t xml:space="preserve"> have received only one notice</w:t>
      </w:r>
      <w:r w:rsidR="0002417B">
        <w:rPr>
          <w:rFonts w:cs="Arial"/>
        </w:rPr>
        <w:t xml:space="preserve"> during the reporting period. </w:t>
      </w:r>
      <w:r w:rsidR="00205371">
        <w:rPr>
          <w:rFonts w:cs="Arial"/>
        </w:rPr>
        <w:t>Twenty-five</w:t>
      </w:r>
      <w:r w:rsidR="00D04D5B">
        <w:rPr>
          <w:rFonts w:cs="Arial"/>
        </w:rPr>
        <w:t xml:space="preserve"> </w:t>
      </w:r>
      <w:r w:rsidR="00CA73A5" w:rsidRPr="00626560">
        <w:rPr>
          <w:rFonts w:cs="Arial"/>
        </w:rPr>
        <w:t>new</w:t>
      </w:r>
      <w:r w:rsidR="00CA73A5">
        <w:rPr>
          <w:rFonts w:cs="Arial"/>
        </w:rPr>
        <w:t xml:space="preserve"> clients were added to the Commission’s database during the quarter.</w:t>
      </w:r>
    </w:p>
    <w:p w14:paraId="4A179C19" w14:textId="38B84799" w:rsidR="00E66A2E" w:rsidRDefault="00E66A2E" w:rsidP="005A5B78">
      <w:pPr>
        <w:ind w:left="-142" w:right="-425"/>
        <w:jc w:val="both"/>
        <w:rPr>
          <w:rFonts w:cs="Arial"/>
        </w:rPr>
      </w:pPr>
    </w:p>
    <w:p w14:paraId="55CF3EC0" w14:textId="7D053053" w:rsidR="00D83DB8" w:rsidRPr="00D925BE" w:rsidRDefault="00D83DB8" w:rsidP="00D83DB8">
      <w:pPr>
        <w:spacing w:after="120" w:line="240" w:lineRule="auto"/>
        <w:ind w:right="-425"/>
        <w:jc w:val="both"/>
        <w:rPr>
          <w:b/>
          <w:sz w:val="16"/>
          <w:szCs w:val="16"/>
        </w:rPr>
      </w:pPr>
      <w:r w:rsidRPr="00362EE1">
        <w:rPr>
          <w:b/>
          <w:sz w:val="16"/>
          <w:szCs w:val="16"/>
        </w:rPr>
        <w:t xml:space="preserve">Table </w:t>
      </w:r>
      <w:r>
        <w:rPr>
          <w:b/>
          <w:sz w:val="16"/>
          <w:szCs w:val="16"/>
        </w:rPr>
        <w:t>12</w:t>
      </w:r>
      <w:r w:rsidRPr="00362EE1">
        <w:rPr>
          <w:b/>
          <w:sz w:val="16"/>
          <w:szCs w:val="16"/>
        </w:rPr>
        <w:t xml:space="preserve">: </w:t>
      </w:r>
      <w:r w:rsidRPr="00362EE1">
        <w:rPr>
          <w:sz w:val="16"/>
          <w:szCs w:val="16"/>
        </w:rPr>
        <w:t>FRC clients by numb</w:t>
      </w:r>
      <w:r>
        <w:rPr>
          <w:sz w:val="16"/>
          <w:szCs w:val="16"/>
        </w:rPr>
        <w:t>er of notices 1 April 2022 to 30 June 2022</w:t>
      </w:r>
    </w:p>
    <w:tbl>
      <w:tblPr>
        <w:tblW w:w="4693" w:type="dxa"/>
        <w:tblInd w:w="93" w:type="dxa"/>
        <w:tblLook w:val="04A0" w:firstRow="1" w:lastRow="0" w:firstColumn="1" w:lastColumn="0" w:noHBand="0" w:noVBand="1"/>
      </w:tblPr>
      <w:tblGrid>
        <w:gridCol w:w="3220"/>
        <w:gridCol w:w="1473"/>
      </w:tblGrid>
      <w:tr w:rsidR="00D83DB8" w:rsidRPr="006E764C" w14:paraId="7913618D" w14:textId="77777777" w:rsidTr="005D3292">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0AA72166" w14:textId="77777777" w:rsidR="00D83DB8" w:rsidRPr="0093030B" w:rsidRDefault="00D83DB8" w:rsidP="005D3292">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48B8EAC5" w14:textId="77777777" w:rsidR="00D83DB8" w:rsidRPr="0093030B" w:rsidRDefault="00D83DB8" w:rsidP="005D3292">
            <w:pPr>
              <w:pStyle w:val="TableText"/>
              <w:rPr>
                <w:b/>
                <w:lang w:eastAsia="en-AU"/>
              </w:rPr>
            </w:pPr>
            <w:r w:rsidRPr="0093030B">
              <w:rPr>
                <w:b/>
                <w:lang w:eastAsia="en-AU"/>
              </w:rPr>
              <w:t>Number of Clients</w:t>
            </w:r>
          </w:p>
        </w:tc>
      </w:tr>
      <w:tr w:rsidR="00D83DB8" w:rsidRPr="006E764C" w14:paraId="06F8031E" w14:textId="77777777" w:rsidTr="007A2808">
        <w:trPr>
          <w:trHeight w:val="255"/>
        </w:trPr>
        <w:tc>
          <w:tcPr>
            <w:tcW w:w="3220" w:type="dxa"/>
            <w:tcBorders>
              <w:top w:val="nil"/>
              <w:left w:val="single" w:sz="4" w:space="0" w:color="auto"/>
              <w:bottom w:val="single" w:sz="4" w:space="0" w:color="auto"/>
              <w:right w:val="single" w:sz="4" w:space="0" w:color="auto"/>
            </w:tcBorders>
            <w:noWrap/>
            <w:hideMark/>
          </w:tcPr>
          <w:p w14:paraId="77926431" w14:textId="77777777" w:rsidR="00D83DB8" w:rsidRPr="006E764C" w:rsidRDefault="00D83DB8" w:rsidP="00D83DB8">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tcPr>
          <w:p w14:paraId="461AA350" w14:textId="4417C7C8" w:rsidR="00D83DB8" w:rsidRPr="00D83DB8" w:rsidRDefault="00D83DB8" w:rsidP="00D83DB8">
            <w:pPr>
              <w:jc w:val="right"/>
              <w:rPr>
                <w:rFonts w:cs="Arial"/>
              </w:rPr>
            </w:pPr>
            <w:r w:rsidRPr="00D83DB8">
              <w:rPr>
                <w:rFonts w:cs="Arial"/>
              </w:rPr>
              <w:t>334</w:t>
            </w:r>
          </w:p>
        </w:tc>
      </w:tr>
      <w:tr w:rsidR="00D83DB8" w:rsidRPr="006E764C" w14:paraId="3259DBFD" w14:textId="77777777" w:rsidTr="007A2808">
        <w:trPr>
          <w:trHeight w:val="255"/>
        </w:trPr>
        <w:tc>
          <w:tcPr>
            <w:tcW w:w="3220" w:type="dxa"/>
            <w:tcBorders>
              <w:top w:val="nil"/>
              <w:left w:val="single" w:sz="4" w:space="0" w:color="auto"/>
              <w:bottom w:val="single" w:sz="4" w:space="0" w:color="auto"/>
              <w:right w:val="single" w:sz="4" w:space="0" w:color="auto"/>
            </w:tcBorders>
            <w:noWrap/>
            <w:hideMark/>
          </w:tcPr>
          <w:p w14:paraId="739C3B36" w14:textId="77777777" w:rsidR="00D83DB8" w:rsidRPr="006E764C" w:rsidRDefault="00D83DB8" w:rsidP="00D83DB8">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tcPr>
          <w:p w14:paraId="4B9871FD" w14:textId="4FE6C009" w:rsidR="00D83DB8" w:rsidRPr="00D83DB8" w:rsidRDefault="00D83DB8" w:rsidP="00D83DB8">
            <w:pPr>
              <w:jc w:val="right"/>
              <w:rPr>
                <w:rFonts w:cs="Arial"/>
              </w:rPr>
            </w:pPr>
            <w:r w:rsidRPr="00D83DB8">
              <w:rPr>
                <w:rFonts w:cs="Arial"/>
              </w:rPr>
              <w:t>146</w:t>
            </w:r>
          </w:p>
        </w:tc>
      </w:tr>
      <w:tr w:rsidR="00D83DB8" w:rsidRPr="006E764C" w14:paraId="79FB4DC3" w14:textId="77777777" w:rsidTr="007A2808">
        <w:trPr>
          <w:trHeight w:val="255"/>
        </w:trPr>
        <w:tc>
          <w:tcPr>
            <w:tcW w:w="3220" w:type="dxa"/>
            <w:tcBorders>
              <w:top w:val="nil"/>
              <w:left w:val="single" w:sz="4" w:space="0" w:color="auto"/>
              <w:bottom w:val="single" w:sz="4" w:space="0" w:color="auto"/>
              <w:right w:val="single" w:sz="4" w:space="0" w:color="auto"/>
            </w:tcBorders>
            <w:noWrap/>
            <w:hideMark/>
          </w:tcPr>
          <w:p w14:paraId="3C595406" w14:textId="77777777" w:rsidR="00D83DB8" w:rsidRPr="006E764C" w:rsidRDefault="00D83DB8" w:rsidP="00D83DB8">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tcPr>
          <w:p w14:paraId="49F93F39" w14:textId="643F3941" w:rsidR="00D83DB8" w:rsidRPr="00D83DB8" w:rsidRDefault="00D83DB8" w:rsidP="00D83DB8">
            <w:pPr>
              <w:jc w:val="right"/>
              <w:rPr>
                <w:rFonts w:cs="Arial"/>
              </w:rPr>
            </w:pPr>
            <w:r w:rsidRPr="00D83DB8">
              <w:rPr>
                <w:rFonts w:cs="Arial"/>
              </w:rPr>
              <w:t>77</w:t>
            </w:r>
          </w:p>
        </w:tc>
      </w:tr>
      <w:tr w:rsidR="00D83DB8" w:rsidRPr="006E764C" w14:paraId="221FE209" w14:textId="77777777" w:rsidTr="007A2808">
        <w:trPr>
          <w:trHeight w:val="255"/>
        </w:trPr>
        <w:tc>
          <w:tcPr>
            <w:tcW w:w="3220" w:type="dxa"/>
            <w:tcBorders>
              <w:top w:val="nil"/>
              <w:left w:val="single" w:sz="4" w:space="0" w:color="auto"/>
              <w:bottom w:val="single" w:sz="4" w:space="0" w:color="auto"/>
              <w:right w:val="single" w:sz="4" w:space="0" w:color="auto"/>
            </w:tcBorders>
            <w:noWrap/>
            <w:hideMark/>
          </w:tcPr>
          <w:p w14:paraId="38E32CCC" w14:textId="77777777" w:rsidR="00D83DB8" w:rsidRPr="006E764C" w:rsidRDefault="00D83DB8" w:rsidP="00D83DB8">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tcPr>
          <w:p w14:paraId="7E3A6ACB" w14:textId="38A376B9" w:rsidR="00D83DB8" w:rsidRPr="00D83DB8" w:rsidRDefault="00D83DB8" w:rsidP="00D83DB8">
            <w:pPr>
              <w:jc w:val="right"/>
              <w:rPr>
                <w:rFonts w:cs="Arial"/>
              </w:rPr>
            </w:pPr>
            <w:r w:rsidRPr="00D83DB8">
              <w:rPr>
                <w:rFonts w:cs="Arial"/>
              </w:rPr>
              <w:t>28</w:t>
            </w:r>
          </w:p>
        </w:tc>
      </w:tr>
      <w:tr w:rsidR="00D83DB8" w:rsidRPr="006E764C" w14:paraId="6995E91B" w14:textId="77777777" w:rsidTr="007A2808">
        <w:trPr>
          <w:trHeight w:val="255"/>
        </w:trPr>
        <w:tc>
          <w:tcPr>
            <w:tcW w:w="3220" w:type="dxa"/>
            <w:tcBorders>
              <w:top w:val="nil"/>
              <w:left w:val="single" w:sz="4" w:space="0" w:color="auto"/>
              <w:bottom w:val="single" w:sz="4" w:space="0" w:color="auto"/>
              <w:right w:val="single" w:sz="4" w:space="0" w:color="auto"/>
            </w:tcBorders>
            <w:noWrap/>
            <w:hideMark/>
          </w:tcPr>
          <w:p w14:paraId="3C2F4983" w14:textId="77777777" w:rsidR="00D83DB8" w:rsidRPr="006E764C" w:rsidRDefault="00D83DB8" w:rsidP="00D83DB8">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tcPr>
          <w:p w14:paraId="7D24030C" w14:textId="2FEE2134" w:rsidR="00D83DB8" w:rsidRPr="00D83DB8" w:rsidRDefault="00D83DB8" w:rsidP="00D83DB8">
            <w:pPr>
              <w:jc w:val="right"/>
              <w:rPr>
                <w:rFonts w:cs="Arial"/>
              </w:rPr>
            </w:pPr>
            <w:r w:rsidRPr="00D83DB8">
              <w:rPr>
                <w:rFonts w:cs="Arial"/>
              </w:rPr>
              <w:t>11</w:t>
            </w:r>
          </w:p>
        </w:tc>
      </w:tr>
      <w:tr w:rsidR="00D83DB8" w:rsidRPr="006E764C" w14:paraId="31E8C64F" w14:textId="77777777" w:rsidTr="007A2808">
        <w:trPr>
          <w:trHeight w:val="255"/>
        </w:trPr>
        <w:tc>
          <w:tcPr>
            <w:tcW w:w="3220" w:type="dxa"/>
            <w:tcBorders>
              <w:top w:val="nil"/>
              <w:left w:val="single" w:sz="4" w:space="0" w:color="auto"/>
              <w:bottom w:val="single" w:sz="4" w:space="0" w:color="auto"/>
              <w:right w:val="single" w:sz="4" w:space="0" w:color="auto"/>
            </w:tcBorders>
            <w:noWrap/>
            <w:hideMark/>
          </w:tcPr>
          <w:p w14:paraId="371C937D" w14:textId="77777777" w:rsidR="00D83DB8" w:rsidRPr="006E764C" w:rsidRDefault="00D83DB8" w:rsidP="00D83DB8">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tcPr>
          <w:p w14:paraId="5E5304B7" w14:textId="10585FFD" w:rsidR="00D83DB8" w:rsidRPr="00D83DB8" w:rsidRDefault="00D83DB8" w:rsidP="00D83DB8">
            <w:pPr>
              <w:jc w:val="right"/>
              <w:rPr>
                <w:rFonts w:cs="Arial"/>
              </w:rPr>
            </w:pPr>
            <w:r w:rsidRPr="00D83DB8">
              <w:rPr>
                <w:rFonts w:cs="Arial"/>
              </w:rPr>
              <w:t>13</w:t>
            </w:r>
          </w:p>
        </w:tc>
      </w:tr>
      <w:tr w:rsidR="00D83DB8" w:rsidRPr="006E764C" w14:paraId="1A910FA6" w14:textId="77777777" w:rsidTr="007A2808">
        <w:trPr>
          <w:trHeight w:val="255"/>
        </w:trPr>
        <w:tc>
          <w:tcPr>
            <w:tcW w:w="3220" w:type="dxa"/>
            <w:tcBorders>
              <w:top w:val="nil"/>
              <w:left w:val="single" w:sz="4" w:space="0" w:color="auto"/>
              <w:bottom w:val="single" w:sz="4" w:space="0" w:color="auto"/>
              <w:right w:val="single" w:sz="4" w:space="0" w:color="auto"/>
            </w:tcBorders>
            <w:noWrap/>
            <w:hideMark/>
          </w:tcPr>
          <w:p w14:paraId="4A0C98C5" w14:textId="77777777" w:rsidR="00D83DB8" w:rsidRPr="00645916" w:rsidRDefault="00D83DB8" w:rsidP="00D83DB8">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tcPr>
          <w:p w14:paraId="604D8FC3" w14:textId="76DBEA68" w:rsidR="00D83DB8" w:rsidRPr="00D83DB8" w:rsidRDefault="00D83DB8" w:rsidP="00D83DB8">
            <w:pPr>
              <w:jc w:val="right"/>
              <w:rPr>
                <w:rFonts w:cs="Arial"/>
                <w:b/>
                <w:bCs/>
              </w:rPr>
            </w:pPr>
            <w:r w:rsidRPr="00D83DB8">
              <w:rPr>
                <w:rFonts w:cs="Arial"/>
                <w:b/>
                <w:bCs/>
              </w:rPr>
              <w:t>609</w:t>
            </w:r>
          </w:p>
        </w:tc>
      </w:tr>
    </w:tbl>
    <w:p w14:paraId="0EE1B7F6" w14:textId="77777777" w:rsidR="001E5F23" w:rsidRDefault="001E5F23" w:rsidP="005A5B78">
      <w:pPr>
        <w:ind w:left="-142" w:right="-425"/>
        <w:jc w:val="both"/>
        <w:rPr>
          <w:rFonts w:cs="Arial"/>
        </w:rPr>
      </w:pPr>
    </w:p>
    <w:p w14:paraId="5D53EAA0" w14:textId="77777777" w:rsidR="005A5B78" w:rsidRPr="00143FBB" w:rsidRDefault="005A5B78" w:rsidP="00091CFE">
      <w:pPr>
        <w:pStyle w:val="Heading2"/>
      </w:pPr>
      <w:r w:rsidRPr="00143FBB">
        <w:t>Conferences</w:t>
      </w:r>
    </w:p>
    <w:p w14:paraId="3E20F69A" w14:textId="12D2F970" w:rsidR="00F81024" w:rsidRDefault="00477E0E" w:rsidP="00233EAC">
      <w:pPr>
        <w:ind w:left="-142" w:right="-425"/>
        <w:jc w:val="both"/>
        <w:rPr>
          <w:rFonts w:cs="Arial"/>
        </w:rPr>
      </w:pPr>
      <w:r>
        <w:rPr>
          <w:rFonts w:cs="Arial"/>
        </w:rPr>
        <w:t>The</w:t>
      </w:r>
      <w:r w:rsidR="00AE1804">
        <w:rPr>
          <w:rFonts w:cs="Arial"/>
        </w:rPr>
        <w:t xml:space="preserve"> total </w:t>
      </w:r>
      <w:r w:rsidR="00562176">
        <w:rPr>
          <w:rFonts w:cs="Arial"/>
        </w:rPr>
        <w:t xml:space="preserve">number of conferences </w:t>
      </w:r>
      <w:r w:rsidR="00A46793" w:rsidRPr="0098569F">
        <w:rPr>
          <w:rFonts w:cs="Arial"/>
        </w:rPr>
        <w:t xml:space="preserve">held </w:t>
      </w:r>
      <w:r w:rsidR="00A46793">
        <w:rPr>
          <w:rFonts w:cs="Arial"/>
        </w:rPr>
        <w:t xml:space="preserve">across the five communities in quarter </w:t>
      </w:r>
      <w:r w:rsidR="00951376">
        <w:rPr>
          <w:rFonts w:cs="Arial"/>
        </w:rPr>
        <w:t>56</w:t>
      </w:r>
      <w:r w:rsidR="00A46793">
        <w:rPr>
          <w:rFonts w:cs="Arial"/>
        </w:rPr>
        <w:t xml:space="preserve"> </w:t>
      </w:r>
      <w:r w:rsidR="00205371">
        <w:rPr>
          <w:rFonts w:cs="Arial"/>
        </w:rPr>
        <w:t xml:space="preserve">increased </w:t>
      </w:r>
      <w:r w:rsidR="00562176">
        <w:rPr>
          <w:rFonts w:cs="Arial"/>
        </w:rPr>
        <w:t xml:space="preserve">from </w:t>
      </w:r>
      <w:r w:rsidR="00205371">
        <w:rPr>
          <w:rFonts w:cs="Arial"/>
        </w:rPr>
        <w:t xml:space="preserve">118 </w:t>
      </w:r>
      <w:r w:rsidR="00562176">
        <w:rPr>
          <w:rFonts w:cs="Arial"/>
        </w:rPr>
        <w:t xml:space="preserve">in quarter </w:t>
      </w:r>
      <w:r w:rsidR="00951376">
        <w:rPr>
          <w:rFonts w:cs="Arial"/>
        </w:rPr>
        <w:t>55</w:t>
      </w:r>
      <w:r w:rsidR="00562176">
        <w:rPr>
          <w:rFonts w:cs="Arial"/>
        </w:rPr>
        <w:t xml:space="preserve"> to</w:t>
      </w:r>
      <w:r w:rsidR="00AE1804">
        <w:rPr>
          <w:rFonts w:cs="Arial"/>
        </w:rPr>
        <w:t xml:space="preserve"> </w:t>
      </w:r>
      <w:r w:rsidR="00205371">
        <w:rPr>
          <w:rFonts w:cs="Arial"/>
        </w:rPr>
        <w:t xml:space="preserve">229 </w:t>
      </w:r>
      <w:r w:rsidR="005A5B78" w:rsidRPr="00213E4C">
        <w:rPr>
          <w:rFonts w:cs="Arial"/>
        </w:rPr>
        <w:t>conferences</w:t>
      </w:r>
      <w:r w:rsidR="005A5B78" w:rsidRPr="0081647B">
        <w:rPr>
          <w:rStyle w:val="FootnoteReference"/>
        </w:rPr>
        <w:footnoteReference w:id="10"/>
      </w:r>
      <w:r w:rsidR="0051235F">
        <w:rPr>
          <w:rFonts w:cs="Arial"/>
        </w:rPr>
        <w:t xml:space="preserve"> </w:t>
      </w:r>
      <w:r w:rsidR="00E44EBF">
        <w:rPr>
          <w:rFonts w:cs="Arial"/>
        </w:rPr>
        <w:t>(</w:t>
      </w:r>
      <w:r w:rsidR="0051235F">
        <w:rPr>
          <w:rFonts w:cs="Arial"/>
        </w:rPr>
        <w:t xml:space="preserve">relating to </w:t>
      </w:r>
      <w:r w:rsidR="00205371">
        <w:rPr>
          <w:rFonts w:cs="Arial"/>
        </w:rPr>
        <w:t xml:space="preserve">192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w:t>
      </w:r>
      <w:r w:rsidR="005A5B78" w:rsidRPr="006220E1">
        <w:rPr>
          <w:rFonts w:cs="Arial"/>
        </w:rPr>
        <w:t>in</w:t>
      </w:r>
      <w:r w:rsidR="0042279A" w:rsidRPr="006220E1">
        <w:rPr>
          <w:rFonts w:cs="Arial"/>
        </w:rPr>
        <w:t xml:space="preserve"> </w:t>
      </w:r>
      <w:r w:rsidR="00347D3E">
        <w:rPr>
          <w:rFonts w:cs="Arial"/>
        </w:rPr>
        <w:t>72</w:t>
      </w:r>
      <w:r w:rsidR="00347D3E" w:rsidRPr="006220E1">
        <w:rPr>
          <w:rFonts w:cs="Arial"/>
        </w:rPr>
        <w:t xml:space="preserve"> </w:t>
      </w:r>
      <w:r w:rsidR="0070023D" w:rsidRPr="006220E1">
        <w:rPr>
          <w:rFonts w:cs="Arial"/>
        </w:rPr>
        <w:t xml:space="preserve">agreements to </w:t>
      </w:r>
      <w:r w:rsidR="007727B0" w:rsidRPr="006220E1">
        <w:rPr>
          <w:rFonts w:cs="Arial"/>
        </w:rPr>
        <w:t>attend community support services</w:t>
      </w:r>
      <w:r w:rsidR="00671B7B">
        <w:rPr>
          <w:rFonts w:cs="Arial"/>
        </w:rPr>
        <w:t xml:space="preserve">, </w:t>
      </w:r>
      <w:r w:rsidR="00347D3E">
        <w:rPr>
          <w:rFonts w:cs="Arial"/>
        </w:rPr>
        <w:t>1 CIM agreement, 40</w:t>
      </w:r>
      <w:r w:rsidR="00347D3E" w:rsidRPr="006220E1">
        <w:rPr>
          <w:rFonts w:cs="Arial"/>
        </w:rPr>
        <w:t xml:space="preserve"> </w:t>
      </w:r>
      <w:r w:rsidR="005A5B78" w:rsidRPr="006220E1">
        <w:rPr>
          <w:rFonts w:cs="Arial"/>
        </w:rPr>
        <w:t>orders to attend community support services</w:t>
      </w:r>
      <w:r w:rsidR="00CC41F3">
        <w:rPr>
          <w:rFonts w:cs="Arial"/>
        </w:rPr>
        <w:t xml:space="preserve"> </w:t>
      </w:r>
      <w:r w:rsidR="005A5B78" w:rsidRPr="006220E1">
        <w:rPr>
          <w:rFonts w:cs="Arial"/>
        </w:rPr>
        <w:t xml:space="preserve">and </w:t>
      </w:r>
      <w:r w:rsidR="00347D3E">
        <w:rPr>
          <w:rFonts w:cs="Arial"/>
        </w:rPr>
        <w:t>19</w:t>
      </w:r>
      <w:r w:rsidR="00671B7B" w:rsidRPr="006220E1">
        <w:rPr>
          <w:rFonts w:cs="Arial"/>
        </w:rPr>
        <w:t xml:space="preserve"> </w:t>
      </w:r>
      <w:r w:rsidR="00CC68A9">
        <w:rPr>
          <w:rFonts w:cs="Arial"/>
        </w:rPr>
        <w:t xml:space="preserve">new </w:t>
      </w:r>
      <w:r w:rsidR="005A5B78" w:rsidRPr="006220E1">
        <w:rPr>
          <w:rFonts w:cs="Arial"/>
        </w:rPr>
        <w:t>CIM orders</w:t>
      </w:r>
      <w:r w:rsidR="0034344C" w:rsidRPr="006220E1">
        <w:rPr>
          <w:rFonts w:cs="Arial"/>
        </w:rPr>
        <w:t xml:space="preserve"> </w:t>
      </w:r>
      <w:r w:rsidR="00057A8F" w:rsidRPr="006220E1">
        <w:rPr>
          <w:rFonts w:cs="Arial"/>
        </w:rPr>
        <w:t>issued</w:t>
      </w:r>
      <w:r w:rsidR="00D544BC" w:rsidRPr="006220E1">
        <w:rPr>
          <w:rFonts w:cs="Arial"/>
        </w:rPr>
        <w:t>.</w:t>
      </w:r>
      <w:r w:rsidR="00143FBB">
        <w:rPr>
          <w:rFonts w:cs="Arial"/>
        </w:rPr>
        <w:t xml:space="preserve"> </w:t>
      </w:r>
      <w:r w:rsidR="009E2936" w:rsidRPr="006220E1">
        <w:rPr>
          <w:rFonts w:cs="Arial"/>
        </w:rPr>
        <w:t>When compared to last quarter</w:t>
      </w:r>
      <w:r w:rsidR="000806FF" w:rsidRPr="006220E1">
        <w:rPr>
          <w:rFonts w:cs="Arial"/>
        </w:rPr>
        <w:t xml:space="preserve"> there was</w:t>
      </w:r>
      <w:r w:rsidR="0042279A" w:rsidRPr="006220E1">
        <w:rPr>
          <w:rFonts w:cs="Arial"/>
        </w:rPr>
        <w:t xml:space="preserve"> a</w:t>
      </w:r>
      <w:r w:rsidR="00347D3E">
        <w:rPr>
          <w:rFonts w:cs="Arial"/>
        </w:rPr>
        <w:t xml:space="preserve">n increase </w:t>
      </w:r>
      <w:r w:rsidR="00E53D2A" w:rsidRPr="006220E1">
        <w:rPr>
          <w:rFonts w:cs="Arial"/>
        </w:rPr>
        <w:t xml:space="preserve">of </w:t>
      </w:r>
      <w:r w:rsidR="00671B7B">
        <w:rPr>
          <w:rFonts w:cs="Arial"/>
        </w:rPr>
        <w:t>3</w:t>
      </w:r>
      <w:r w:rsidR="00347D3E">
        <w:rPr>
          <w:rFonts w:cs="Arial"/>
        </w:rPr>
        <w:t>5</w:t>
      </w:r>
      <w:r w:rsidR="00671B7B">
        <w:rPr>
          <w:rFonts w:cs="Arial"/>
        </w:rPr>
        <w:t xml:space="preserve"> </w:t>
      </w:r>
      <w:r w:rsidR="007727B0" w:rsidRPr="006220E1">
        <w:rPr>
          <w:rFonts w:cs="Arial"/>
        </w:rPr>
        <w:t>agreements to attend community support services</w:t>
      </w:r>
      <w:r w:rsidR="00F172D6">
        <w:rPr>
          <w:rFonts w:cs="Arial"/>
        </w:rPr>
        <w:t xml:space="preserve">, </w:t>
      </w:r>
      <w:r w:rsidR="00CC41F3">
        <w:rPr>
          <w:rFonts w:cs="Arial"/>
        </w:rPr>
        <w:t>a</w:t>
      </w:r>
      <w:r w:rsidR="00347D3E">
        <w:rPr>
          <w:rFonts w:cs="Arial"/>
        </w:rPr>
        <w:t>n increase</w:t>
      </w:r>
      <w:r w:rsidR="00671B7B">
        <w:rPr>
          <w:rFonts w:cs="Arial"/>
        </w:rPr>
        <w:t xml:space="preserve"> </w:t>
      </w:r>
      <w:r w:rsidR="00CC41F3">
        <w:rPr>
          <w:rFonts w:cs="Arial"/>
        </w:rPr>
        <w:t xml:space="preserve">of 1 agreement for </w:t>
      </w:r>
      <w:r w:rsidR="00CC41F3">
        <w:rPr>
          <w:rFonts w:cs="Arial"/>
        </w:rPr>
        <w:lastRenderedPageBreak/>
        <w:t xml:space="preserve">CIM, </w:t>
      </w:r>
      <w:r w:rsidR="00F172D6">
        <w:rPr>
          <w:rFonts w:cs="Arial"/>
        </w:rPr>
        <w:t>a</w:t>
      </w:r>
      <w:r w:rsidR="00671B7B">
        <w:rPr>
          <w:rFonts w:cs="Arial"/>
        </w:rPr>
        <w:t xml:space="preserve">n increase </w:t>
      </w:r>
      <w:r w:rsidR="006D359E" w:rsidRPr="006220E1">
        <w:rPr>
          <w:rFonts w:cs="Arial"/>
        </w:rPr>
        <w:t xml:space="preserve">of </w:t>
      </w:r>
      <w:r w:rsidR="00347D3E">
        <w:rPr>
          <w:rFonts w:cs="Arial"/>
        </w:rPr>
        <w:t>12</w:t>
      </w:r>
      <w:r w:rsidR="00B36790" w:rsidRPr="006220E1">
        <w:rPr>
          <w:rFonts w:cs="Arial"/>
        </w:rPr>
        <w:t xml:space="preserve"> </w:t>
      </w:r>
      <w:r w:rsidR="0034344C" w:rsidRPr="006220E1">
        <w:rPr>
          <w:rFonts w:cs="Arial"/>
        </w:rPr>
        <w:t xml:space="preserve">orders to attend community support services and </w:t>
      </w:r>
      <w:r w:rsidR="00E53D2A" w:rsidRPr="006220E1">
        <w:rPr>
          <w:rFonts w:cs="Arial"/>
        </w:rPr>
        <w:t>a</w:t>
      </w:r>
      <w:r w:rsidR="00347D3E">
        <w:rPr>
          <w:rFonts w:cs="Arial"/>
        </w:rPr>
        <w:t xml:space="preserve">n increase </w:t>
      </w:r>
      <w:r w:rsidR="006D359E" w:rsidRPr="006220E1">
        <w:rPr>
          <w:rFonts w:cs="Arial"/>
        </w:rPr>
        <w:t xml:space="preserve">of </w:t>
      </w:r>
      <w:r w:rsidR="00347D3E">
        <w:rPr>
          <w:rFonts w:cs="Arial"/>
        </w:rPr>
        <w:t>13</w:t>
      </w:r>
      <w:r w:rsidR="00347D3E" w:rsidRPr="006220E1">
        <w:rPr>
          <w:rFonts w:cs="Arial"/>
        </w:rPr>
        <w:t xml:space="preserve"> </w:t>
      </w:r>
      <w:r w:rsidR="009E2936" w:rsidRPr="006220E1">
        <w:rPr>
          <w:rFonts w:cs="Arial"/>
        </w:rPr>
        <w:t>CIM order</w:t>
      </w:r>
      <w:r w:rsidR="008E6D71" w:rsidRPr="006220E1">
        <w:rPr>
          <w:rFonts w:cs="Arial"/>
        </w:rPr>
        <w:t>s</w:t>
      </w:r>
      <w:r w:rsidR="00352196" w:rsidRPr="006220E1">
        <w:rPr>
          <w:rFonts w:cs="Arial"/>
        </w:rPr>
        <w:t>.</w:t>
      </w:r>
      <w:r w:rsidR="00352196">
        <w:rPr>
          <w:rFonts w:cs="Arial"/>
        </w:rPr>
        <w:t xml:space="preserve"> </w:t>
      </w:r>
      <w:r w:rsidR="000C4D78">
        <w:rPr>
          <w:rFonts w:cs="Arial"/>
        </w:rPr>
        <w:t>It should be noted</w:t>
      </w:r>
      <w:r w:rsidR="003F3BC6">
        <w:rPr>
          <w:rFonts w:cs="Arial"/>
        </w:rPr>
        <w:t xml:space="preserve"> that a decision by order </w:t>
      </w:r>
      <w:r w:rsidR="00352196">
        <w:rPr>
          <w:rFonts w:cs="Arial"/>
        </w:rPr>
        <w:t xml:space="preserve">in conference </w:t>
      </w:r>
      <w:r w:rsidR="003F3BC6">
        <w:rPr>
          <w:rFonts w:cs="Arial"/>
        </w:rPr>
        <w:t xml:space="preserve">may include </w:t>
      </w:r>
      <w:r w:rsidR="00352196">
        <w:rPr>
          <w:rFonts w:cs="Arial"/>
        </w:rPr>
        <w:t>a number of outcomes for a client</w:t>
      </w:r>
      <w:r w:rsidR="00D808C5">
        <w:rPr>
          <w:rFonts w:cs="Arial"/>
        </w:rPr>
        <w:t>. F</w:t>
      </w:r>
      <w:r w:rsidR="00352196">
        <w:rPr>
          <w:rFonts w:cs="Arial"/>
        </w:rPr>
        <w:t>or example</w:t>
      </w:r>
      <w:r w:rsidR="00D808C5">
        <w:rPr>
          <w:rFonts w:cs="Arial"/>
        </w:rPr>
        <w:t>,</w:t>
      </w:r>
      <w:r w:rsidR="00352196">
        <w:rPr>
          <w:rFonts w:cs="Arial"/>
        </w:rPr>
        <w:t xml:space="preserve"> </w:t>
      </w:r>
      <w:r w:rsidR="003F3BC6">
        <w:rPr>
          <w:rFonts w:cs="Arial"/>
        </w:rPr>
        <w:t xml:space="preserve">a </w:t>
      </w:r>
      <w:r w:rsidR="00352196">
        <w:rPr>
          <w:rFonts w:cs="Arial"/>
        </w:rPr>
        <w:t xml:space="preserve">client may be placed on a </w:t>
      </w:r>
      <w:r w:rsidR="003F3BC6">
        <w:rPr>
          <w:rFonts w:cs="Arial"/>
        </w:rPr>
        <w:t>case plan and an income management at the same</w:t>
      </w:r>
      <w:r w:rsidR="00352196">
        <w:rPr>
          <w:rFonts w:cs="Arial"/>
        </w:rPr>
        <w:t xml:space="preserve"> </w:t>
      </w:r>
      <w:r w:rsidR="003F3BC6">
        <w:rPr>
          <w:rFonts w:cs="Arial"/>
        </w:rPr>
        <w:t>time</w:t>
      </w:r>
      <w:r w:rsidR="00057A8F">
        <w:rPr>
          <w:rFonts w:cs="Arial"/>
        </w:rPr>
        <w:t>.</w:t>
      </w:r>
    </w:p>
    <w:p w14:paraId="71AEE92A" w14:textId="77777777" w:rsidR="00F81024" w:rsidRDefault="00F81024" w:rsidP="00233EAC">
      <w:pPr>
        <w:ind w:left="-142" w:right="-425"/>
        <w:jc w:val="both"/>
        <w:rPr>
          <w:rFonts w:cs="Arial"/>
        </w:rPr>
      </w:pPr>
    </w:p>
    <w:p w14:paraId="775CD6DC" w14:textId="0785DCBE" w:rsidR="00DD1B0A" w:rsidRDefault="005645FD" w:rsidP="00233EAC">
      <w:pPr>
        <w:ind w:left="-142" w:right="-425"/>
        <w:jc w:val="both"/>
        <w:rPr>
          <w:rFonts w:cs="Arial"/>
        </w:rPr>
      </w:pPr>
      <w:r>
        <w:rPr>
          <w:rFonts w:cs="Arial"/>
        </w:rPr>
        <w:t xml:space="preserve">Other outcomes as a result of conferencing during the quarter </w:t>
      </w:r>
      <w:r w:rsidR="000C4D78">
        <w:rPr>
          <w:rFonts w:cs="Arial"/>
        </w:rPr>
        <w:t>included</w:t>
      </w:r>
      <w:r>
        <w:rPr>
          <w:rFonts w:cs="Arial"/>
        </w:rPr>
        <w:t xml:space="preserve"> decisions for </w:t>
      </w:r>
      <w:r w:rsidR="005A5B78" w:rsidRPr="00DA470C">
        <w:rPr>
          <w:rFonts w:cs="Arial"/>
        </w:rPr>
        <w:t xml:space="preserve">no further action, </w:t>
      </w:r>
      <w:r w:rsidR="00B8453F">
        <w:rPr>
          <w:rFonts w:cs="Arial"/>
        </w:rPr>
        <w:t>reprimand,</w:t>
      </w:r>
      <w:r w:rsidR="00F172D6">
        <w:rPr>
          <w:rFonts w:cs="Arial"/>
        </w:rPr>
        <w:t xml:space="preserve"> recommending a support service,</w:t>
      </w:r>
      <w:r w:rsidR="00B8453F">
        <w:rPr>
          <w:rFonts w:cs="Arial"/>
        </w:rPr>
        <w:t xml:space="preserve">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 xml:space="preserve">for the purpose of determining if any parties of the adjourned conference have addressed the matter/s in question during the adjournment period. </w:t>
      </w:r>
      <w:r w:rsidR="00803D0A">
        <w:t xml:space="preserve">Attendance at conference </w:t>
      </w:r>
      <w:r w:rsidR="00347D3E">
        <w:t xml:space="preserve">decreased </w:t>
      </w:r>
      <w:r w:rsidR="00803D0A">
        <w:t xml:space="preserve">from </w:t>
      </w:r>
      <w:r w:rsidR="00347D3E">
        <w:t>70.3</w:t>
      </w:r>
      <w:r w:rsidR="00E720CE">
        <w:t xml:space="preserve"> </w:t>
      </w:r>
      <w:r w:rsidR="00FC7C1D">
        <w:rPr>
          <w:rFonts w:cs="Arial"/>
        </w:rPr>
        <w:t xml:space="preserve">percent </w:t>
      </w:r>
      <w:r w:rsidR="00803D0A">
        <w:t xml:space="preserve">in quarter </w:t>
      </w:r>
      <w:r w:rsidR="00951376">
        <w:t>55</w:t>
      </w:r>
      <w:r w:rsidR="00803D0A">
        <w:t xml:space="preserve"> to </w:t>
      </w:r>
      <w:r w:rsidR="00347D3E">
        <w:t>69.0</w:t>
      </w:r>
      <w:r w:rsidR="00E720CE">
        <w:t xml:space="preserve"> </w:t>
      </w:r>
      <w:r w:rsidR="00FC7C1D">
        <w:rPr>
          <w:rFonts w:cs="Arial"/>
        </w:rPr>
        <w:t xml:space="preserve">percent </w:t>
      </w:r>
      <w:r w:rsidR="00803D0A">
        <w:t xml:space="preserve">in quarter </w:t>
      </w:r>
      <w:r w:rsidR="00951376">
        <w:t>56</w:t>
      </w:r>
      <w:r w:rsidR="00803D0A">
        <w:t xml:space="preserve">, and non-attendance with what the Commissioners considered a reasonable justification </w:t>
      </w:r>
      <w:r w:rsidR="00347D3E">
        <w:t xml:space="preserve">decreased </w:t>
      </w:r>
      <w:r w:rsidR="00803D0A">
        <w:t xml:space="preserve">from </w:t>
      </w:r>
      <w:r w:rsidR="00347D3E">
        <w:t>40.0</w:t>
      </w:r>
      <w:r w:rsidR="00E720CE">
        <w:t xml:space="preserve"> </w:t>
      </w:r>
      <w:r w:rsidR="00FC7C1D">
        <w:rPr>
          <w:rFonts w:cs="Arial"/>
        </w:rPr>
        <w:t xml:space="preserve">percent </w:t>
      </w:r>
      <w:r w:rsidR="00803D0A">
        <w:t xml:space="preserve">in the previous quarter to </w:t>
      </w:r>
      <w:r w:rsidR="00347D3E">
        <w:t>29.6</w:t>
      </w:r>
      <w:r w:rsidR="00E720CE">
        <w:t xml:space="preserve"> </w:t>
      </w:r>
      <w:r w:rsidR="00FC7C1D">
        <w:rPr>
          <w:rFonts w:cs="Arial"/>
        </w:rPr>
        <w:t xml:space="preserve">percent </w:t>
      </w:r>
      <w:r w:rsidR="00803D0A">
        <w:t>during this reporting period.</w:t>
      </w:r>
      <w:r w:rsidR="002534A2">
        <w:t xml:space="preserve"> </w:t>
      </w:r>
      <w:r w:rsidR="002534A2" w:rsidRPr="001F0A2E">
        <w:t xml:space="preserve">Reasons for </w:t>
      </w:r>
      <w:r w:rsidR="007D4490">
        <w:t xml:space="preserve">non-attendance </w:t>
      </w:r>
      <w:r w:rsidR="002534A2" w:rsidRPr="001F0A2E">
        <w:t xml:space="preserve">at conference </w:t>
      </w:r>
      <w:r w:rsidR="007D4490">
        <w:t xml:space="preserve">generally </w:t>
      </w:r>
      <w:r w:rsidR="002534A2" w:rsidRPr="001F0A2E">
        <w:t xml:space="preserve">include </w:t>
      </w:r>
      <w:r w:rsidR="007D4490">
        <w:t xml:space="preserve">the effects of </w:t>
      </w:r>
      <w:r w:rsidR="002534A2" w:rsidRPr="001F0A2E">
        <w:t>community unrest</w:t>
      </w:r>
      <w:r w:rsidR="007D4490">
        <w:t xml:space="preserve">, the occurrence of </w:t>
      </w:r>
      <w:r w:rsidR="002534A2" w:rsidRPr="001F0A2E">
        <w:t>funerals</w:t>
      </w:r>
      <w:r w:rsidR="00D85A77" w:rsidRPr="001F0A2E">
        <w:t xml:space="preserve"> and associated Sorry Business</w:t>
      </w:r>
      <w:r w:rsidR="007978B1">
        <w:t xml:space="preserve">, illness, </w:t>
      </w:r>
      <w:r w:rsidR="00FB4B1F">
        <w:t>carer</w:t>
      </w:r>
      <w:r w:rsidR="007978B1">
        <w:t xml:space="preserve"> responsibilities and absence from community.</w:t>
      </w:r>
      <w:r w:rsidR="00114AA4">
        <w:rPr>
          <w:rFonts w:cs="Arial"/>
        </w:rPr>
        <w:t xml:space="preserve"> Refer to the application outcomes section of this report for matters heard under an amend/end application hearing process.</w:t>
      </w:r>
    </w:p>
    <w:p w14:paraId="6C2986ED" w14:textId="0751F4CC" w:rsidR="0051235F" w:rsidRDefault="0051235F" w:rsidP="00233EAC">
      <w:pPr>
        <w:ind w:left="-142" w:right="-425"/>
        <w:jc w:val="both"/>
        <w:rPr>
          <w:rFonts w:cs="Arial"/>
        </w:rPr>
      </w:pPr>
    </w:p>
    <w:p w14:paraId="5C7AA14F" w14:textId="17B93B4C" w:rsidR="00D83DB8" w:rsidRPr="00D925BE" w:rsidRDefault="00D83DB8" w:rsidP="00D83DB8">
      <w:pPr>
        <w:spacing w:after="120" w:line="240" w:lineRule="auto"/>
        <w:ind w:right="-425"/>
        <w:jc w:val="both"/>
        <w:rPr>
          <w:b/>
          <w:sz w:val="16"/>
          <w:szCs w:val="16"/>
        </w:rPr>
      </w:pPr>
      <w:r w:rsidRPr="00D93672">
        <w:rPr>
          <w:b/>
          <w:sz w:val="16"/>
          <w:szCs w:val="16"/>
        </w:rPr>
        <w:t xml:space="preserve">Table </w:t>
      </w:r>
      <w:r>
        <w:rPr>
          <w:b/>
          <w:sz w:val="16"/>
          <w:szCs w:val="16"/>
        </w:rPr>
        <w:t>13</w:t>
      </w:r>
      <w:r w:rsidRPr="00D93672">
        <w:rPr>
          <w:b/>
          <w:sz w:val="16"/>
          <w:szCs w:val="16"/>
        </w:rPr>
        <w:t xml:space="preserve">: </w:t>
      </w:r>
      <w:r w:rsidRPr="00D93672">
        <w:rPr>
          <w:sz w:val="16"/>
          <w:szCs w:val="16"/>
        </w:rPr>
        <w:t xml:space="preserve">Conferences by community and quarter 1 </w:t>
      </w:r>
      <w:r>
        <w:rPr>
          <w:sz w:val="16"/>
          <w:szCs w:val="16"/>
        </w:rPr>
        <w:t>April 2021 to 30 June 2022</w:t>
      </w:r>
    </w:p>
    <w:tbl>
      <w:tblPr>
        <w:tblW w:w="6880" w:type="dxa"/>
        <w:tblInd w:w="93" w:type="dxa"/>
        <w:tblLook w:val="04A0" w:firstRow="1" w:lastRow="0" w:firstColumn="1" w:lastColumn="0" w:noHBand="0" w:noVBand="1"/>
      </w:tblPr>
      <w:tblGrid>
        <w:gridCol w:w="2080"/>
        <w:gridCol w:w="960"/>
        <w:gridCol w:w="960"/>
        <w:gridCol w:w="960"/>
        <w:gridCol w:w="960"/>
        <w:gridCol w:w="960"/>
      </w:tblGrid>
      <w:tr w:rsidR="00D83DB8" w:rsidRPr="00C5395B" w14:paraId="7073C315" w14:textId="77777777" w:rsidTr="005D3292">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678B413E" w14:textId="77777777" w:rsidR="00D83DB8" w:rsidRPr="00C5395B" w:rsidRDefault="00D83DB8" w:rsidP="00D83DB8">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452D6CA" w14:textId="7B8ACBA1" w:rsidR="00D83DB8" w:rsidRDefault="00D83DB8" w:rsidP="00D83DB8">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5906F978" w14:textId="679E16A6" w:rsidR="00D83DB8" w:rsidRDefault="00D83DB8" w:rsidP="00D83DB8">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7B9D549F" w14:textId="0FB9F2D8" w:rsidR="00D83DB8" w:rsidRDefault="00D83DB8" w:rsidP="00D83DB8">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5DC44468" w14:textId="5CBEC20E" w:rsidR="00D83DB8" w:rsidRDefault="00D83DB8" w:rsidP="00D83DB8">
            <w:pPr>
              <w:pStyle w:val="TableText"/>
              <w:jc w:val="right"/>
              <w:rPr>
                <w:b/>
                <w:lang w:eastAsia="en-AU"/>
              </w:rPr>
            </w:pPr>
            <w:r>
              <w:rPr>
                <w:b/>
                <w:lang w:eastAsia="en-AU"/>
              </w:rPr>
              <w:t>Qtr 55</w:t>
            </w:r>
          </w:p>
        </w:tc>
        <w:tc>
          <w:tcPr>
            <w:tcW w:w="960" w:type="dxa"/>
            <w:tcBorders>
              <w:top w:val="single" w:sz="4" w:space="0" w:color="auto"/>
              <w:left w:val="nil"/>
              <w:bottom w:val="single" w:sz="4" w:space="0" w:color="auto"/>
              <w:right w:val="single" w:sz="4" w:space="0" w:color="auto"/>
            </w:tcBorders>
          </w:tcPr>
          <w:p w14:paraId="4D81324E" w14:textId="2203AB72" w:rsidR="00D83DB8" w:rsidRDefault="00D83DB8" w:rsidP="00D83DB8">
            <w:pPr>
              <w:pStyle w:val="TableText"/>
              <w:jc w:val="right"/>
              <w:rPr>
                <w:b/>
                <w:lang w:eastAsia="en-AU"/>
              </w:rPr>
            </w:pPr>
            <w:r>
              <w:rPr>
                <w:b/>
                <w:lang w:eastAsia="en-AU"/>
              </w:rPr>
              <w:t>Qtr 56</w:t>
            </w:r>
          </w:p>
        </w:tc>
      </w:tr>
      <w:tr w:rsidR="00D83DB8" w:rsidRPr="00C5395B" w14:paraId="351D86B4" w14:textId="77777777" w:rsidTr="00660431">
        <w:trPr>
          <w:trHeight w:val="255"/>
        </w:trPr>
        <w:tc>
          <w:tcPr>
            <w:tcW w:w="2080" w:type="dxa"/>
            <w:tcBorders>
              <w:top w:val="nil"/>
              <w:left w:val="single" w:sz="4" w:space="0" w:color="auto"/>
              <w:bottom w:val="single" w:sz="4" w:space="0" w:color="auto"/>
              <w:right w:val="single" w:sz="4" w:space="0" w:color="auto"/>
            </w:tcBorders>
            <w:noWrap/>
            <w:hideMark/>
          </w:tcPr>
          <w:p w14:paraId="240FFA49" w14:textId="77777777" w:rsidR="00D83DB8" w:rsidRPr="00C5395B" w:rsidRDefault="00D83DB8" w:rsidP="00D83DB8">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14018D87" w14:textId="0E50BD57" w:rsidR="00D83DB8" w:rsidRDefault="00D83DB8" w:rsidP="00D83DB8">
            <w:pPr>
              <w:jc w:val="right"/>
              <w:rPr>
                <w:rFonts w:cs="Arial"/>
              </w:rPr>
            </w:pPr>
            <w:r w:rsidRPr="0078302F">
              <w:rPr>
                <w:rFonts w:cs="Arial"/>
              </w:rPr>
              <w:t>145</w:t>
            </w:r>
          </w:p>
        </w:tc>
        <w:tc>
          <w:tcPr>
            <w:tcW w:w="960" w:type="dxa"/>
            <w:tcBorders>
              <w:top w:val="nil"/>
              <w:left w:val="nil"/>
              <w:bottom w:val="single" w:sz="4" w:space="0" w:color="auto"/>
              <w:right w:val="single" w:sz="4" w:space="0" w:color="auto"/>
            </w:tcBorders>
          </w:tcPr>
          <w:p w14:paraId="1A9F20B4" w14:textId="217C0445" w:rsidR="00D83DB8" w:rsidRPr="00B8398E" w:rsidRDefault="00D83DB8" w:rsidP="00D83DB8">
            <w:pPr>
              <w:jc w:val="right"/>
              <w:rPr>
                <w:rFonts w:cs="Arial"/>
              </w:rPr>
            </w:pPr>
            <w:r w:rsidRPr="003A524F">
              <w:rPr>
                <w:rFonts w:cs="Arial"/>
              </w:rPr>
              <w:t>162</w:t>
            </w:r>
          </w:p>
        </w:tc>
        <w:tc>
          <w:tcPr>
            <w:tcW w:w="960" w:type="dxa"/>
            <w:tcBorders>
              <w:top w:val="nil"/>
              <w:left w:val="nil"/>
              <w:bottom w:val="single" w:sz="4" w:space="0" w:color="auto"/>
              <w:right w:val="single" w:sz="4" w:space="0" w:color="auto"/>
            </w:tcBorders>
          </w:tcPr>
          <w:p w14:paraId="65B656C1" w14:textId="340D23A2" w:rsidR="00D83DB8" w:rsidRPr="0078302F" w:rsidRDefault="00D83DB8" w:rsidP="00D83DB8">
            <w:pPr>
              <w:jc w:val="right"/>
              <w:rPr>
                <w:rFonts w:cs="Arial"/>
              </w:rPr>
            </w:pPr>
            <w:r>
              <w:rPr>
                <w:rFonts w:cs="Arial"/>
              </w:rPr>
              <w:t>128</w:t>
            </w:r>
          </w:p>
        </w:tc>
        <w:tc>
          <w:tcPr>
            <w:tcW w:w="960" w:type="dxa"/>
            <w:tcBorders>
              <w:top w:val="nil"/>
              <w:left w:val="nil"/>
              <w:bottom w:val="single" w:sz="4" w:space="0" w:color="auto"/>
              <w:right w:val="single" w:sz="4" w:space="0" w:color="auto"/>
            </w:tcBorders>
          </w:tcPr>
          <w:p w14:paraId="1F2B2140" w14:textId="27F5F9B3" w:rsidR="00D83DB8" w:rsidRPr="003A524F" w:rsidRDefault="00D83DB8" w:rsidP="00D83DB8">
            <w:pPr>
              <w:jc w:val="right"/>
              <w:rPr>
                <w:rFonts w:cs="Arial"/>
              </w:rPr>
            </w:pPr>
            <w:r>
              <w:rPr>
                <w:rFonts w:cs="Arial"/>
              </w:rPr>
              <w:t>39</w:t>
            </w:r>
          </w:p>
        </w:tc>
        <w:tc>
          <w:tcPr>
            <w:tcW w:w="960" w:type="dxa"/>
            <w:tcBorders>
              <w:top w:val="nil"/>
              <w:left w:val="nil"/>
              <w:bottom w:val="single" w:sz="4" w:space="0" w:color="auto"/>
              <w:right w:val="single" w:sz="4" w:space="0" w:color="auto"/>
            </w:tcBorders>
          </w:tcPr>
          <w:p w14:paraId="54A766BF" w14:textId="0F80F42E" w:rsidR="00D83DB8" w:rsidRDefault="00D83DB8" w:rsidP="00D83DB8">
            <w:pPr>
              <w:jc w:val="right"/>
              <w:rPr>
                <w:rFonts w:cs="Arial"/>
              </w:rPr>
            </w:pPr>
            <w:r>
              <w:rPr>
                <w:rFonts w:cs="Arial"/>
              </w:rPr>
              <w:t>109</w:t>
            </w:r>
          </w:p>
        </w:tc>
      </w:tr>
      <w:tr w:rsidR="00D83DB8" w:rsidRPr="00C5395B" w14:paraId="2BA970B4" w14:textId="77777777" w:rsidTr="00660431">
        <w:trPr>
          <w:trHeight w:val="255"/>
        </w:trPr>
        <w:tc>
          <w:tcPr>
            <w:tcW w:w="2080" w:type="dxa"/>
            <w:tcBorders>
              <w:top w:val="nil"/>
              <w:left w:val="single" w:sz="4" w:space="0" w:color="auto"/>
              <w:bottom w:val="single" w:sz="4" w:space="0" w:color="auto"/>
              <w:right w:val="single" w:sz="4" w:space="0" w:color="auto"/>
            </w:tcBorders>
            <w:noWrap/>
            <w:hideMark/>
          </w:tcPr>
          <w:p w14:paraId="48C56EA6" w14:textId="77777777" w:rsidR="00D83DB8" w:rsidRPr="00C5395B" w:rsidRDefault="00D83DB8" w:rsidP="00D83DB8">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932A62D" w14:textId="19A82F42" w:rsidR="00D83DB8" w:rsidRDefault="00D83DB8" w:rsidP="00D83DB8">
            <w:pPr>
              <w:jc w:val="right"/>
              <w:rPr>
                <w:rFonts w:cs="Arial"/>
              </w:rPr>
            </w:pPr>
            <w:r w:rsidRPr="0078302F">
              <w:rPr>
                <w:rFonts w:cs="Arial"/>
              </w:rPr>
              <w:t>26</w:t>
            </w:r>
          </w:p>
        </w:tc>
        <w:tc>
          <w:tcPr>
            <w:tcW w:w="960" w:type="dxa"/>
            <w:tcBorders>
              <w:top w:val="nil"/>
              <w:left w:val="nil"/>
              <w:bottom w:val="single" w:sz="4" w:space="0" w:color="auto"/>
              <w:right w:val="single" w:sz="4" w:space="0" w:color="auto"/>
            </w:tcBorders>
          </w:tcPr>
          <w:p w14:paraId="071DFE51" w14:textId="2E96A924" w:rsidR="00D83DB8" w:rsidRPr="00B8398E" w:rsidRDefault="00D83DB8" w:rsidP="00D83DB8">
            <w:pPr>
              <w:jc w:val="right"/>
              <w:rPr>
                <w:rFonts w:cs="Arial"/>
              </w:rPr>
            </w:pPr>
            <w:r w:rsidRPr="003A524F">
              <w:rPr>
                <w:rFonts w:cs="Arial"/>
              </w:rPr>
              <w:t>22</w:t>
            </w:r>
          </w:p>
        </w:tc>
        <w:tc>
          <w:tcPr>
            <w:tcW w:w="960" w:type="dxa"/>
            <w:tcBorders>
              <w:top w:val="nil"/>
              <w:left w:val="nil"/>
              <w:bottom w:val="single" w:sz="4" w:space="0" w:color="auto"/>
              <w:right w:val="single" w:sz="4" w:space="0" w:color="auto"/>
            </w:tcBorders>
          </w:tcPr>
          <w:p w14:paraId="24B22778" w14:textId="08FAE3BE" w:rsidR="00D83DB8" w:rsidRPr="0078302F" w:rsidRDefault="00D83DB8" w:rsidP="00D83DB8">
            <w:pPr>
              <w:jc w:val="right"/>
              <w:rPr>
                <w:rFonts w:cs="Arial"/>
              </w:rPr>
            </w:pPr>
            <w:r>
              <w:rPr>
                <w:rFonts w:cs="Arial"/>
              </w:rPr>
              <w:t>28</w:t>
            </w:r>
          </w:p>
        </w:tc>
        <w:tc>
          <w:tcPr>
            <w:tcW w:w="960" w:type="dxa"/>
            <w:tcBorders>
              <w:top w:val="nil"/>
              <w:left w:val="nil"/>
              <w:bottom w:val="single" w:sz="4" w:space="0" w:color="auto"/>
              <w:right w:val="single" w:sz="4" w:space="0" w:color="auto"/>
            </w:tcBorders>
          </w:tcPr>
          <w:p w14:paraId="61A0E95A" w14:textId="37198F3A" w:rsidR="00D83DB8" w:rsidRPr="003A524F" w:rsidRDefault="00D83DB8" w:rsidP="00D83DB8">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75251BD3" w14:textId="51AA005A" w:rsidR="00D83DB8" w:rsidRDefault="00DB5C23" w:rsidP="00D83DB8">
            <w:pPr>
              <w:jc w:val="right"/>
              <w:rPr>
                <w:rFonts w:cs="Arial"/>
              </w:rPr>
            </w:pPr>
            <w:r>
              <w:rPr>
                <w:rFonts w:cs="Arial"/>
              </w:rPr>
              <w:t>14</w:t>
            </w:r>
          </w:p>
        </w:tc>
      </w:tr>
      <w:tr w:rsidR="00D83DB8" w:rsidRPr="00C5395B" w14:paraId="57A5309A" w14:textId="77777777" w:rsidTr="00660431">
        <w:trPr>
          <w:trHeight w:val="255"/>
        </w:trPr>
        <w:tc>
          <w:tcPr>
            <w:tcW w:w="2080" w:type="dxa"/>
            <w:tcBorders>
              <w:top w:val="nil"/>
              <w:left w:val="single" w:sz="4" w:space="0" w:color="auto"/>
              <w:bottom w:val="single" w:sz="4" w:space="0" w:color="auto"/>
              <w:right w:val="single" w:sz="4" w:space="0" w:color="auto"/>
            </w:tcBorders>
            <w:noWrap/>
          </w:tcPr>
          <w:p w14:paraId="1E557765" w14:textId="77777777" w:rsidR="00D83DB8" w:rsidRPr="00C5395B" w:rsidRDefault="00D83DB8" w:rsidP="00D83DB8">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4FD2148A" w14:textId="76F52762" w:rsidR="00D83DB8" w:rsidRDefault="00D83DB8" w:rsidP="00D83DB8">
            <w:pPr>
              <w:jc w:val="right"/>
              <w:rPr>
                <w:rFonts w:cs="Arial"/>
              </w:rPr>
            </w:pPr>
            <w:r w:rsidRPr="0078302F">
              <w:rPr>
                <w:rFonts w:cs="Arial"/>
              </w:rPr>
              <w:t>93</w:t>
            </w:r>
          </w:p>
        </w:tc>
        <w:tc>
          <w:tcPr>
            <w:tcW w:w="960" w:type="dxa"/>
            <w:tcBorders>
              <w:top w:val="nil"/>
              <w:left w:val="nil"/>
              <w:bottom w:val="single" w:sz="4" w:space="0" w:color="auto"/>
              <w:right w:val="single" w:sz="4" w:space="0" w:color="auto"/>
            </w:tcBorders>
          </w:tcPr>
          <w:p w14:paraId="496ACA79" w14:textId="0BCBB5FC" w:rsidR="00D83DB8" w:rsidRPr="00B8398E" w:rsidRDefault="00D83DB8" w:rsidP="00D83DB8">
            <w:pPr>
              <w:jc w:val="right"/>
              <w:rPr>
                <w:rFonts w:cs="Arial"/>
              </w:rPr>
            </w:pPr>
            <w:r w:rsidRPr="003A524F">
              <w:rPr>
                <w:rFonts w:cs="Arial"/>
              </w:rPr>
              <w:t>140</w:t>
            </w:r>
          </w:p>
        </w:tc>
        <w:tc>
          <w:tcPr>
            <w:tcW w:w="960" w:type="dxa"/>
            <w:tcBorders>
              <w:top w:val="nil"/>
              <w:left w:val="nil"/>
              <w:bottom w:val="single" w:sz="4" w:space="0" w:color="auto"/>
              <w:right w:val="single" w:sz="4" w:space="0" w:color="auto"/>
            </w:tcBorders>
          </w:tcPr>
          <w:p w14:paraId="20E663B8" w14:textId="2E3FDD1A" w:rsidR="00D83DB8" w:rsidRPr="0078302F" w:rsidRDefault="00D83DB8" w:rsidP="00D83DB8">
            <w:pPr>
              <w:jc w:val="right"/>
              <w:rPr>
                <w:rFonts w:cs="Arial"/>
              </w:rPr>
            </w:pPr>
            <w:r>
              <w:rPr>
                <w:rFonts w:cs="Arial"/>
              </w:rPr>
              <w:t>122</w:t>
            </w:r>
          </w:p>
        </w:tc>
        <w:tc>
          <w:tcPr>
            <w:tcW w:w="960" w:type="dxa"/>
            <w:tcBorders>
              <w:top w:val="nil"/>
              <w:left w:val="nil"/>
              <w:bottom w:val="single" w:sz="4" w:space="0" w:color="auto"/>
              <w:right w:val="single" w:sz="4" w:space="0" w:color="auto"/>
            </w:tcBorders>
          </w:tcPr>
          <w:p w14:paraId="418C4291" w14:textId="4273711E" w:rsidR="00D83DB8" w:rsidRPr="003A524F" w:rsidRDefault="00D83DB8" w:rsidP="00D83DB8">
            <w:pPr>
              <w:jc w:val="right"/>
              <w:rPr>
                <w:rFonts w:cs="Arial"/>
              </w:rPr>
            </w:pPr>
            <w:r>
              <w:rPr>
                <w:rFonts w:cs="Arial"/>
              </w:rPr>
              <w:t>40</w:t>
            </w:r>
          </w:p>
        </w:tc>
        <w:tc>
          <w:tcPr>
            <w:tcW w:w="960" w:type="dxa"/>
            <w:tcBorders>
              <w:top w:val="nil"/>
              <w:left w:val="nil"/>
              <w:bottom w:val="single" w:sz="4" w:space="0" w:color="auto"/>
              <w:right w:val="single" w:sz="4" w:space="0" w:color="auto"/>
            </w:tcBorders>
          </w:tcPr>
          <w:p w14:paraId="3CE27B69" w14:textId="6F8D3648" w:rsidR="00D83DB8" w:rsidRDefault="00DB5C23" w:rsidP="00D83DB8">
            <w:pPr>
              <w:jc w:val="right"/>
              <w:rPr>
                <w:rFonts w:cs="Arial"/>
              </w:rPr>
            </w:pPr>
            <w:r>
              <w:rPr>
                <w:rFonts w:cs="Arial"/>
              </w:rPr>
              <w:t>84</w:t>
            </w:r>
          </w:p>
        </w:tc>
      </w:tr>
      <w:tr w:rsidR="00D83DB8" w:rsidRPr="00C5395B" w14:paraId="2AC1B65D" w14:textId="77777777" w:rsidTr="00660431">
        <w:trPr>
          <w:trHeight w:val="255"/>
        </w:trPr>
        <w:tc>
          <w:tcPr>
            <w:tcW w:w="2080" w:type="dxa"/>
            <w:tcBorders>
              <w:top w:val="nil"/>
              <w:left w:val="single" w:sz="4" w:space="0" w:color="auto"/>
              <w:bottom w:val="single" w:sz="4" w:space="0" w:color="auto"/>
              <w:right w:val="single" w:sz="4" w:space="0" w:color="auto"/>
            </w:tcBorders>
            <w:noWrap/>
            <w:hideMark/>
          </w:tcPr>
          <w:p w14:paraId="77466C64" w14:textId="77777777" w:rsidR="00D83DB8" w:rsidRPr="00C5395B" w:rsidRDefault="00D83DB8" w:rsidP="00D83DB8">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63B94079" w14:textId="3B711FFE" w:rsidR="00D83DB8" w:rsidRDefault="00D83DB8" w:rsidP="00D83DB8">
            <w:pPr>
              <w:jc w:val="right"/>
              <w:rPr>
                <w:rFonts w:cs="Arial"/>
              </w:rPr>
            </w:pPr>
            <w:r w:rsidRPr="0078302F">
              <w:rPr>
                <w:rFonts w:cs="Arial"/>
              </w:rPr>
              <w:t>60</w:t>
            </w:r>
          </w:p>
        </w:tc>
        <w:tc>
          <w:tcPr>
            <w:tcW w:w="960" w:type="dxa"/>
            <w:tcBorders>
              <w:top w:val="nil"/>
              <w:left w:val="nil"/>
              <w:bottom w:val="single" w:sz="4" w:space="0" w:color="auto"/>
              <w:right w:val="single" w:sz="4" w:space="0" w:color="auto"/>
            </w:tcBorders>
          </w:tcPr>
          <w:p w14:paraId="54EB3D72" w14:textId="5D8491BF" w:rsidR="00D83DB8" w:rsidRPr="00B8398E" w:rsidRDefault="00D83DB8" w:rsidP="00D83DB8">
            <w:pPr>
              <w:jc w:val="right"/>
              <w:rPr>
                <w:rFonts w:cs="Arial"/>
              </w:rPr>
            </w:pPr>
            <w:r w:rsidRPr="003A524F">
              <w:rPr>
                <w:rFonts w:cs="Arial"/>
              </w:rPr>
              <w:t>50</w:t>
            </w:r>
          </w:p>
        </w:tc>
        <w:tc>
          <w:tcPr>
            <w:tcW w:w="960" w:type="dxa"/>
            <w:tcBorders>
              <w:top w:val="nil"/>
              <w:left w:val="nil"/>
              <w:bottom w:val="single" w:sz="4" w:space="0" w:color="auto"/>
              <w:right w:val="single" w:sz="4" w:space="0" w:color="auto"/>
            </w:tcBorders>
          </w:tcPr>
          <w:p w14:paraId="5FA10FEF" w14:textId="1F0DF06A" w:rsidR="00D83DB8" w:rsidRPr="0078302F" w:rsidRDefault="00D83DB8" w:rsidP="00D83DB8">
            <w:pPr>
              <w:jc w:val="right"/>
              <w:rPr>
                <w:rFonts w:cs="Arial"/>
              </w:rPr>
            </w:pPr>
            <w:r>
              <w:rPr>
                <w:rFonts w:cs="Arial"/>
              </w:rPr>
              <w:t>43</w:t>
            </w:r>
          </w:p>
        </w:tc>
        <w:tc>
          <w:tcPr>
            <w:tcW w:w="960" w:type="dxa"/>
            <w:tcBorders>
              <w:top w:val="nil"/>
              <w:left w:val="nil"/>
              <w:bottom w:val="single" w:sz="4" w:space="0" w:color="auto"/>
              <w:right w:val="single" w:sz="4" w:space="0" w:color="auto"/>
            </w:tcBorders>
          </w:tcPr>
          <w:p w14:paraId="40ED35A4" w14:textId="6F979D6C" w:rsidR="00D83DB8" w:rsidRPr="003A524F" w:rsidRDefault="00D83DB8" w:rsidP="00D83DB8">
            <w:pPr>
              <w:jc w:val="right"/>
              <w:rPr>
                <w:rFonts w:cs="Arial"/>
              </w:rPr>
            </w:pPr>
            <w:r>
              <w:rPr>
                <w:rFonts w:cs="Arial"/>
              </w:rPr>
              <w:t>21</w:t>
            </w:r>
          </w:p>
        </w:tc>
        <w:tc>
          <w:tcPr>
            <w:tcW w:w="960" w:type="dxa"/>
            <w:tcBorders>
              <w:top w:val="nil"/>
              <w:left w:val="nil"/>
              <w:bottom w:val="single" w:sz="4" w:space="0" w:color="auto"/>
              <w:right w:val="single" w:sz="4" w:space="0" w:color="auto"/>
            </w:tcBorders>
          </w:tcPr>
          <w:p w14:paraId="672FAB0B" w14:textId="4BC5824F" w:rsidR="00D83DB8" w:rsidRDefault="00DB5C23" w:rsidP="00D83DB8">
            <w:pPr>
              <w:jc w:val="right"/>
              <w:rPr>
                <w:rFonts w:cs="Arial"/>
              </w:rPr>
            </w:pPr>
            <w:r>
              <w:rPr>
                <w:rFonts w:cs="Arial"/>
              </w:rPr>
              <w:t>11</w:t>
            </w:r>
          </w:p>
        </w:tc>
      </w:tr>
      <w:tr w:rsidR="00D83DB8" w:rsidRPr="00C5395B" w14:paraId="4C56C2B5" w14:textId="77777777" w:rsidTr="00660431">
        <w:trPr>
          <w:trHeight w:val="255"/>
        </w:trPr>
        <w:tc>
          <w:tcPr>
            <w:tcW w:w="2080" w:type="dxa"/>
            <w:tcBorders>
              <w:top w:val="nil"/>
              <w:left w:val="single" w:sz="4" w:space="0" w:color="auto"/>
              <w:bottom w:val="single" w:sz="4" w:space="0" w:color="auto"/>
              <w:right w:val="single" w:sz="4" w:space="0" w:color="auto"/>
            </w:tcBorders>
            <w:noWrap/>
            <w:hideMark/>
          </w:tcPr>
          <w:p w14:paraId="647DE0CE" w14:textId="77777777" w:rsidR="00D83DB8" w:rsidRPr="00C5395B" w:rsidRDefault="00D83DB8" w:rsidP="00D83DB8">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4C262291" w14:textId="77D90720" w:rsidR="00D83DB8" w:rsidRDefault="00D83DB8" w:rsidP="00D83DB8">
            <w:pPr>
              <w:jc w:val="right"/>
              <w:rPr>
                <w:rFonts w:cs="Arial"/>
              </w:rPr>
            </w:pPr>
            <w:r w:rsidRPr="0078302F">
              <w:rPr>
                <w:rFonts w:cs="Arial"/>
              </w:rPr>
              <w:t>41</w:t>
            </w:r>
          </w:p>
        </w:tc>
        <w:tc>
          <w:tcPr>
            <w:tcW w:w="960" w:type="dxa"/>
            <w:tcBorders>
              <w:top w:val="nil"/>
              <w:left w:val="nil"/>
              <w:bottom w:val="single" w:sz="4" w:space="0" w:color="auto"/>
              <w:right w:val="single" w:sz="4" w:space="0" w:color="auto"/>
            </w:tcBorders>
          </w:tcPr>
          <w:p w14:paraId="6E08E572" w14:textId="1DA51F63" w:rsidR="00D83DB8" w:rsidRPr="00B8398E" w:rsidRDefault="00D83DB8" w:rsidP="00D83DB8">
            <w:pPr>
              <w:jc w:val="right"/>
              <w:rPr>
                <w:rFonts w:cs="Arial"/>
              </w:rPr>
            </w:pPr>
            <w:r w:rsidRPr="003A524F">
              <w:rPr>
                <w:rFonts w:cs="Arial"/>
              </w:rPr>
              <w:t>22</w:t>
            </w:r>
          </w:p>
        </w:tc>
        <w:tc>
          <w:tcPr>
            <w:tcW w:w="960" w:type="dxa"/>
            <w:tcBorders>
              <w:top w:val="nil"/>
              <w:left w:val="nil"/>
              <w:bottom w:val="single" w:sz="4" w:space="0" w:color="auto"/>
              <w:right w:val="single" w:sz="4" w:space="0" w:color="auto"/>
            </w:tcBorders>
          </w:tcPr>
          <w:p w14:paraId="66573F45" w14:textId="5DF94ECF" w:rsidR="00D83DB8" w:rsidRPr="0078302F" w:rsidRDefault="00D83DB8" w:rsidP="00D83DB8">
            <w:pPr>
              <w:jc w:val="right"/>
              <w:rPr>
                <w:rFonts w:cs="Arial"/>
              </w:rPr>
            </w:pPr>
            <w:r>
              <w:rPr>
                <w:rFonts w:cs="Arial"/>
              </w:rPr>
              <w:t>14</w:t>
            </w:r>
          </w:p>
        </w:tc>
        <w:tc>
          <w:tcPr>
            <w:tcW w:w="960" w:type="dxa"/>
            <w:tcBorders>
              <w:top w:val="nil"/>
              <w:left w:val="nil"/>
              <w:bottom w:val="single" w:sz="4" w:space="0" w:color="auto"/>
              <w:right w:val="single" w:sz="4" w:space="0" w:color="auto"/>
            </w:tcBorders>
          </w:tcPr>
          <w:p w14:paraId="3C2339D2" w14:textId="0B54B9CB" w:rsidR="00D83DB8" w:rsidRPr="003A524F" w:rsidRDefault="00D83DB8" w:rsidP="00D83DB8">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2E6DFB84" w14:textId="77777777" w:rsidR="00D83DB8" w:rsidRDefault="00D83DB8" w:rsidP="00D83DB8">
            <w:pPr>
              <w:jc w:val="right"/>
              <w:rPr>
                <w:rFonts w:cs="Arial"/>
              </w:rPr>
            </w:pPr>
            <w:r>
              <w:rPr>
                <w:rFonts w:cs="Arial"/>
              </w:rPr>
              <w:t>11</w:t>
            </w:r>
          </w:p>
        </w:tc>
      </w:tr>
      <w:tr w:rsidR="00D83DB8" w:rsidRPr="00C5395B" w14:paraId="307AF584" w14:textId="77777777" w:rsidTr="00660431">
        <w:trPr>
          <w:trHeight w:val="255"/>
        </w:trPr>
        <w:tc>
          <w:tcPr>
            <w:tcW w:w="2080" w:type="dxa"/>
            <w:tcBorders>
              <w:top w:val="nil"/>
              <w:left w:val="single" w:sz="4" w:space="0" w:color="auto"/>
              <w:bottom w:val="single" w:sz="4" w:space="0" w:color="auto"/>
              <w:right w:val="single" w:sz="4" w:space="0" w:color="auto"/>
            </w:tcBorders>
            <w:noWrap/>
            <w:hideMark/>
          </w:tcPr>
          <w:p w14:paraId="377865BB" w14:textId="77777777" w:rsidR="00D83DB8" w:rsidRPr="00C5395B" w:rsidRDefault="00D83DB8" w:rsidP="00D83DB8">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0E397D1" w14:textId="59B5FD67" w:rsidR="00D83DB8" w:rsidRDefault="00D83DB8" w:rsidP="00D83DB8">
            <w:pPr>
              <w:jc w:val="right"/>
              <w:rPr>
                <w:rFonts w:cs="Arial"/>
                <w:b/>
                <w:bCs/>
              </w:rPr>
            </w:pPr>
            <w:r w:rsidRPr="0078302F">
              <w:rPr>
                <w:rFonts w:cs="Arial"/>
                <w:b/>
                <w:bCs/>
              </w:rPr>
              <w:t>365</w:t>
            </w:r>
          </w:p>
        </w:tc>
        <w:tc>
          <w:tcPr>
            <w:tcW w:w="960" w:type="dxa"/>
            <w:tcBorders>
              <w:top w:val="nil"/>
              <w:left w:val="nil"/>
              <w:bottom w:val="single" w:sz="4" w:space="0" w:color="auto"/>
              <w:right w:val="single" w:sz="4" w:space="0" w:color="auto"/>
            </w:tcBorders>
          </w:tcPr>
          <w:p w14:paraId="56440172" w14:textId="38D99D61" w:rsidR="00D83DB8" w:rsidRPr="00B8398E" w:rsidRDefault="00D83DB8" w:rsidP="00D83DB8">
            <w:pPr>
              <w:jc w:val="right"/>
              <w:rPr>
                <w:rFonts w:cs="Arial"/>
                <w:b/>
                <w:bCs/>
              </w:rPr>
            </w:pPr>
            <w:r w:rsidRPr="003A524F">
              <w:rPr>
                <w:rFonts w:cs="Arial"/>
                <w:b/>
                <w:bCs/>
              </w:rPr>
              <w:t>396</w:t>
            </w:r>
          </w:p>
        </w:tc>
        <w:tc>
          <w:tcPr>
            <w:tcW w:w="960" w:type="dxa"/>
            <w:tcBorders>
              <w:top w:val="nil"/>
              <w:left w:val="nil"/>
              <w:bottom w:val="single" w:sz="4" w:space="0" w:color="auto"/>
              <w:right w:val="single" w:sz="4" w:space="0" w:color="auto"/>
            </w:tcBorders>
          </w:tcPr>
          <w:p w14:paraId="09F84810" w14:textId="70B9CC9F" w:rsidR="00D83DB8" w:rsidRPr="003A524F" w:rsidRDefault="00D83DB8" w:rsidP="00D83DB8">
            <w:pPr>
              <w:jc w:val="right"/>
              <w:rPr>
                <w:rFonts w:cs="Arial"/>
                <w:b/>
                <w:bCs/>
              </w:rPr>
            </w:pPr>
            <w:r>
              <w:rPr>
                <w:rFonts w:cs="Arial"/>
                <w:b/>
                <w:bCs/>
              </w:rPr>
              <w:t>335</w:t>
            </w:r>
          </w:p>
        </w:tc>
        <w:tc>
          <w:tcPr>
            <w:tcW w:w="960" w:type="dxa"/>
            <w:tcBorders>
              <w:top w:val="nil"/>
              <w:left w:val="nil"/>
              <w:bottom w:val="single" w:sz="4" w:space="0" w:color="auto"/>
              <w:right w:val="single" w:sz="4" w:space="0" w:color="auto"/>
            </w:tcBorders>
          </w:tcPr>
          <w:p w14:paraId="14F13288" w14:textId="4C653650" w:rsidR="00D83DB8" w:rsidRPr="003A524F" w:rsidRDefault="00D83DB8" w:rsidP="00D83DB8">
            <w:pPr>
              <w:jc w:val="right"/>
              <w:rPr>
                <w:rFonts w:cs="Arial"/>
                <w:b/>
                <w:bCs/>
              </w:rPr>
            </w:pPr>
            <w:r>
              <w:rPr>
                <w:rFonts w:cs="Arial"/>
                <w:b/>
                <w:bCs/>
              </w:rPr>
              <w:t>118</w:t>
            </w:r>
          </w:p>
        </w:tc>
        <w:tc>
          <w:tcPr>
            <w:tcW w:w="960" w:type="dxa"/>
            <w:tcBorders>
              <w:top w:val="nil"/>
              <w:left w:val="nil"/>
              <w:bottom w:val="single" w:sz="4" w:space="0" w:color="auto"/>
              <w:right w:val="single" w:sz="4" w:space="0" w:color="auto"/>
            </w:tcBorders>
          </w:tcPr>
          <w:p w14:paraId="042C3F09" w14:textId="6A006B0F" w:rsidR="00D83DB8" w:rsidRDefault="00DB5C23" w:rsidP="00D83DB8">
            <w:pPr>
              <w:jc w:val="right"/>
              <w:rPr>
                <w:rFonts w:cs="Arial"/>
                <w:b/>
                <w:bCs/>
              </w:rPr>
            </w:pPr>
            <w:r>
              <w:rPr>
                <w:rFonts w:cs="Arial"/>
                <w:b/>
                <w:bCs/>
              </w:rPr>
              <w:t>229</w:t>
            </w:r>
          </w:p>
        </w:tc>
      </w:tr>
    </w:tbl>
    <w:p w14:paraId="6E28F785" w14:textId="77777777" w:rsidR="00D83DB8" w:rsidRDefault="00D83DB8" w:rsidP="00233EAC">
      <w:pPr>
        <w:ind w:left="-142" w:right="-425"/>
        <w:jc w:val="both"/>
        <w:rPr>
          <w:rFonts w:cs="Arial"/>
        </w:rPr>
      </w:pPr>
    </w:p>
    <w:p w14:paraId="1BB531F5" w14:textId="77777777" w:rsidR="00DD1B0A" w:rsidRPr="006524B7" w:rsidRDefault="00DD1B0A" w:rsidP="00091CFE">
      <w:pPr>
        <w:pStyle w:val="Heading2"/>
      </w:pPr>
      <w:r w:rsidRPr="006524B7">
        <w:t>Conferences for Domestic Violence</w:t>
      </w:r>
      <w:r w:rsidR="00970A79" w:rsidRPr="006524B7">
        <w:t xml:space="preserve"> related matters</w:t>
      </w:r>
    </w:p>
    <w:p w14:paraId="114A4DF6" w14:textId="2630CAA5" w:rsidR="00DD1B0A" w:rsidRDefault="00AE1804" w:rsidP="006524B7">
      <w:pPr>
        <w:ind w:left="-142" w:right="-425"/>
        <w:jc w:val="both"/>
        <w:rPr>
          <w:rFonts w:cs="Arial"/>
        </w:rPr>
      </w:pPr>
      <w:r>
        <w:rPr>
          <w:rFonts w:cs="Arial"/>
        </w:rPr>
        <w:t xml:space="preserve">As a subset of the total number of conferences conducted for the quarter, </w:t>
      </w:r>
      <w:r w:rsidR="00CB0681">
        <w:rPr>
          <w:rFonts w:cs="Arial"/>
        </w:rPr>
        <w:t>50</w:t>
      </w:r>
      <w:r w:rsidR="00CB0681" w:rsidRPr="006524B7">
        <w:rPr>
          <w:rFonts w:cs="Arial"/>
        </w:rPr>
        <w:t xml:space="preserve"> </w:t>
      </w:r>
      <w:r w:rsidR="00FA47B4" w:rsidRPr="006524B7">
        <w:rPr>
          <w:rFonts w:cs="Arial"/>
        </w:rPr>
        <w:t>domestic violence conferences were conducted in Aurukun, Coen, Hope Vale and Mossman Gorge</w:t>
      </w:r>
      <w:r w:rsidR="007A156D" w:rsidRPr="006524B7">
        <w:rPr>
          <w:rFonts w:cs="Arial"/>
        </w:rPr>
        <w:t>, a</w:t>
      </w:r>
      <w:r w:rsidR="00CB0681">
        <w:rPr>
          <w:rFonts w:cs="Arial"/>
        </w:rPr>
        <w:t xml:space="preserve">n increase </w:t>
      </w:r>
      <w:r w:rsidR="007A156D" w:rsidRPr="006524B7">
        <w:rPr>
          <w:rFonts w:cs="Arial"/>
        </w:rPr>
        <w:t xml:space="preserve">of </w:t>
      </w:r>
      <w:r w:rsidR="0087228F">
        <w:rPr>
          <w:rFonts w:cs="Arial"/>
        </w:rPr>
        <w:t>2</w:t>
      </w:r>
      <w:r w:rsidR="00CB0681">
        <w:rPr>
          <w:rFonts w:cs="Arial"/>
        </w:rPr>
        <w:t>4</w:t>
      </w:r>
      <w:r w:rsidR="0087228F" w:rsidRPr="006524B7">
        <w:rPr>
          <w:rFonts w:cs="Arial"/>
        </w:rPr>
        <w:t xml:space="preserve"> </w:t>
      </w:r>
      <w:r w:rsidR="007A156D" w:rsidRPr="006524B7">
        <w:rPr>
          <w:rFonts w:cs="Arial"/>
        </w:rPr>
        <w:t>from the previous quarter</w:t>
      </w:r>
      <w:r w:rsidR="00B73322">
        <w:rPr>
          <w:rFonts w:cs="Arial"/>
        </w:rPr>
        <w:t xml:space="preserve">. </w:t>
      </w:r>
      <w:r w:rsidR="00AA43DD" w:rsidRPr="006524B7">
        <w:rPr>
          <w:rFonts w:cs="Arial"/>
        </w:rPr>
        <w:t xml:space="preserve">Domestic violence conferences in the communities during the quarter were as follows: Aurukun </w:t>
      </w:r>
      <w:r w:rsidR="00CB0681">
        <w:rPr>
          <w:rFonts w:cs="Arial"/>
        </w:rPr>
        <w:t>increased</w:t>
      </w:r>
      <w:r w:rsidR="00CB0681" w:rsidRPr="006524B7">
        <w:rPr>
          <w:rFonts w:cs="Arial"/>
        </w:rPr>
        <w:t xml:space="preserve"> </w:t>
      </w:r>
      <w:r w:rsidR="00AA43DD" w:rsidRPr="006524B7">
        <w:rPr>
          <w:rFonts w:cs="Arial"/>
        </w:rPr>
        <w:t xml:space="preserve">by </w:t>
      </w:r>
      <w:r w:rsidR="00CB0681">
        <w:rPr>
          <w:rFonts w:cs="Arial"/>
        </w:rPr>
        <w:t>29</w:t>
      </w:r>
      <w:r w:rsidR="00AA43DD" w:rsidRPr="006524B7">
        <w:rPr>
          <w:rFonts w:cs="Arial"/>
        </w:rPr>
        <w:t xml:space="preserve">, Coen </w:t>
      </w:r>
      <w:r w:rsidR="00CB0681">
        <w:rPr>
          <w:rFonts w:cs="Arial"/>
        </w:rPr>
        <w:t>increased</w:t>
      </w:r>
      <w:r w:rsidR="00CB0681" w:rsidRPr="006524B7">
        <w:rPr>
          <w:rFonts w:cs="Arial"/>
        </w:rPr>
        <w:t xml:space="preserve"> </w:t>
      </w:r>
      <w:r w:rsidR="00AA43DD" w:rsidRPr="006524B7">
        <w:rPr>
          <w:rFonts w:cs="Arial"/>
        </w:rPr>
        <w:t xml:space="preserve">by </w:t>
      </w:r>
      <w:r w:rsidR="00CB0681">
        <w:rPr>
          <w:rFonts w:cs="Arial"/>
        </w:rPr>
        <w:t>1</w:t>
      </w:r>
      <w:r w:rsidR="001E2D68">
        <w:rPr>
          <w:rFonts w:cs="Arial"/>
        </w:rPr>
        <w:t>,</w:t>
      </w:r>
      <w:r w:rsidR="00F7181C">
        <w:rPr>
          <w:rFonts w:cs="Arial"/>
        </w:rPr>
        <w:t xml:space="preserve"> </w:t>
      </w:r>
      <w:r w:rsidR="00A524DA">
        <w:rPr>
          <w:rFonts w:cs="Arial"/>
        </w:rPr>
        <w:t>Hope Vale</w:t>
      </w:r>
      <w:r w:rsidR="001E2D68">
        <w:rPr>
          <w:rFonts w:cs="Arial"/>
        </w:rPr>
        <w:t xml:space="preserve"> </w:t>
      </w:r>
      <w:r w:rsidR="0021306E">
        <w:rPr>
          <w:rFonts w:cs="Arial"/>
        </w:rPr>
        <w:t xml:space="preserve">decreased by </w:t>
      </w:r>
      <w:r w:rsidR="00CB0681">
        <w:rPr>
          <w:rFonts w:cs="Arial"/>
        </w:rPr>
        <w:t>4</w:t>
      </w:r>
      <w:r w:rsidR="0021306E">
        <w:rPr>
          <w:rFonts w:cs="Arial"/>
        </w:rPr>
        <w:t xml:space="preserve"> </w:t>
      </w:r>
      <w:r w:rsidR="0043313C">
        <w:rPr>
          <w:rFonts w:cs="Arial"/>
        </w:rPr>
        <w:t xml:space="preserve">and Mossman Gorge </w:t>
      </w:r>
      <w:r w:rsidR="00CB0681">
        <w:rPr>
          <w:rFonts w:cs="Arial"/>
        </w:rPr>
        <w:t xml:space="preserve">decreased </w:t>
      </w:r>
      <w:r w:rsidR="001E2D68">
        <w:rPr>
          <w:rFonts w:cs="Arial"/>
        </w:rPr>
        <w:t xml:space="preserve">by </w:t>
      </w:r>
      <w:r w:rsidR="00CB0681">
        <w:rPr>
          <w:rFonts w:cs="Arial"/>
        </w:rPr>
        <w:t>2</w:t>
      </w:r>
      <w:r w:rsidR="0043313C">
        <w:rPr>
          <w:rFonts w:cs="Arial"/>
        </w:rPr>
        <w:t xml:space="preserve"> </w:t>
      </w:r>
      <w:r w:rsidR="00995105">
        <w:rPr>
          <w:rFonts w:cs="Arial"/>
        </w:rPr>
        <w:t>conferences for DV related matters</w:t>
      </w:r>
      <w:r w:rsidR="007A156D" w:rsidRPr="006524B7">
        <w:rPr>
          <w:rFonts w:cs="Arial"/>
        </w:rPr>
        <w:t>.</w:t>
      </w:r>
    </w:p>
    <w:p w14:paraId="6E219F52" w14:textId="77777777" w:rsidR="00A56789" w:rsidRDefault="00A56789" w:rsidP="006524B7">
      <w:pPr>
        <w:ind w:left="-142" w:right="-425"/>
        <w:jc w:val="both"/>
        <w:rPr>
          <w:rFonts w:cs="Arial"/>
        </w:rPr>
      </w:pPr>
    </w:p>
    <w:p w14:paraId="1FB96155" w14:textId="3E177659" w:rsidR="00A56789" w:rsidRPr="00D925BE" w:rsidRDefault="00A56789" w:rsidP="00A56789">
      <w:pPr>
        <w:pStyle w:val="TableCaption"/>
        <w:spacing w:before="0"/>
        <w:ind w:left="0" w:right="-425"/>
        <w:rPr>
          <w:b/>
          <w:i w:val="0"/>
          <w:sz w:val="16"/>
        </w:rPr>
      </w:pPr>
      <w:r>
        <w:rPr>
          <w:b/>
          <w:i w:val="0"/>
          <w:sz w:val="16"/>
        </w:rPr>
        <w:t>Table 14</w:t>
      </w:r>
      <w:r w:rsidRPr="00310F76">
        <w:rPr>
          <w:b/>
          <w:i w:val="0"/>
          <w:sz w:val="16"/>
        </w:rPr>
        <w:t xml:space="preserve">: </w:t>
      </w:r>
      <w:r w:rsidRPr="00A1458E">
        <w:rPr>
          <w:i w:val="0"/>
          <w:sz w:val="16"/>
        </w:rPr>
        <w:t xml:space="preserve">DV conferences by community and quarter 1 </w:t>
      </w:r>
      <w:r>
        <w:rPr>
          <w:i w:val="0"/>
          <w:sz w:val="16"/>
        </w:rPr>
        <w:t>April 2021 to 30 June 2022</w:t>
      </w:r>
    </w:p>
    <w:tbl>
      <w:tblPr>
        <w:tblW w:w="6992" w:type="dxa"/>
        <w:tblInd w:w="93" w:type="dxa"/>
        <w:tblLook w:val="04A0" w:firstRow="1" w:lastRow="0" w:firstColumn="1" w:lastColumn="0" w:noHBand="0" w:noVBand="1"/>
      </w:tblPr>
      <w:tblGrid>
        <w:gridCol w:w="2029"/>
        <w:gridCol w:w="992"/>
        <w:gridCol w:w="992"/>
        <w:gridCol w:w="993"/>
        <w:gridCol w:w="993"/>
        <w:gridCol w:w="993"/>
      </w:tblGrid>
      <w:tr w:rsidR="00A56789" w:rsidRPr="00C5395B" w14:paraId="5193E8CF" w14:textId="77777777" w:rsidTr="005D3292">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25D7AEC8" w14:textId="77777777" w:rsidR="00A56789" w:rsidRPr="00C5395B" w:rsidRDefault="00A56789" w:rsidP="00A56789">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5E58EB46" w14:textId="5A997501" w:rsidR="00A56789" w:rsidRDefault="00A56789" w:rsidP="00A56789">
            <w:pPr>
              <w:pStyle w:val="TableText"/>
              <w:jc w:val="right"/>
              <w:rPr>
                <w:b/>
                <w:lang w:eastAsia="en-AU"/>
              </w:rPr>
            </w:pPr>
            <w:r>
              <w:rPr>
                <w:b/>
                <w:lang w:eastAsia="en-AU"/>
              </w:rPr>
              <w:t>Qtr 52</w:t>
            </w:r>
          </w:p>
        </w:tc>
        <w:tc>
          <w:tcPr>
            <w:tcW w:w="992" w:type="dxa"/>
            <w:tcBorders>
              <w:top w:val="single" w:sz="4" w:space="0" w:color="auto"/>
              <w:left w:val="nil"/>
              <w:bottom w:val="single" w:sz="4" w:space="0" w:color="auto"/>
              <w:right w:val="single" w:sz="4" w:space="0" w:color="auto"/>
            </w:tcBorders>
          </w:tcPr>
          <w:p w14:paraId="1446B440" w14:textId="1A09A742" w:rsidR="00A56789" w:rsidRDefault="00A56789" w:rsidP="00A56789">
            <w:pPr>
              <w:pStyle w:val="TableText"/>
              <w:jc w:val="right"/>
              <w:rPr>
                <w:b/>
                <w:lang w:eastAsia="en-AU"/>
              </w:rPr>
            </w:pPr>
            <w:r>
              <w:rPr>
                <w:b/>
                <w:lang w:eastAsia="en-AU"/>
              </w:rPr>
              <w:t>Qtr 53</w:t>
            </w:r>
          </w:p>
        </w:tc>
        <w:tc>
          <w:tcPr>
            <w:tcW w:w="993" w:type="dxa"/>
            <w:tcBorders>
              <w:top w:val="single" w:sz="4" w:space="0" w:color="auto"/>
              <w:left w:val="nil"/>
              <w:bottom w:val="single" w:sz="4" w:space="0" w:color="auto"/>
              <w:right w:val="single" w:sz="4" w:space="0" w:color="auto"/>
            </w:tcBorders>
          </w:tcPr>
          <w:p w14:paraId="777DAA3A" w14:textId="78C4407D" w:rsidR="00A56789" w:rsidRDefault="00A56789" w:rsidP="00A56789">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2AF86F01" w14:textId="20564CB3" w:rsidR="00A56789" w:rsidRDefault="00A56789" w:rsidP="00A56789">
            <w:pPr>
              <w:pStyle w:val="TableText"/>
              <w:jc w:val="right"/>
              <w:rPr>
                <w:b/>
                <w:lang w:eastAsia="en-AU"/>
              </w:rPr>
            </w:pPr>
            <w:r>
              <w:rPr>
                <w:b/>
                <w:lang w:eastAsia="en-AU"/>
              </w:rPr>
              <w:t>Qtr 55</w:t>
            </w:r>
          </w:p>
        </w:tc>
        <w:tc>
          <w:tcPr>
            <w:tcW w:w="993" w:type="dxa"/>
            <w:tcBorders>
              <w:top w:val="single" w:sz="4" w:space="0" w:color="auto"/>
              <w:left w:val="nil"/>
              <w:bottom w:val="single" w:sz="4" w:space="0" w:color="auto"/>
              <w:right w:val="single" w:sz="4" w:space="0" w:color="auto"/>
            </w:tcBorders>
          </w:tcPr>
          <w:p w14:paraId="17C73DA0" w14:textId="661A5358" w:rsidR="00A56789" w:rsidRDefault="00A56789" w:rsidP="00A56789">
            <w:pPr>
              <w:pStyle w:val="TableText"/>
              <w:jc w:val="right"/>
              <w:rPr>
                <w:b/>
                <w:lang w:eastAsia="en-AU"/>
              </w:rPr>
            </w:pPr>
            <w:r>
              <w:rPr>
                <w:b/>
                <w:lang w:eastAsia="en-AU"/>
              </w:rPr>
              <w:t>Qtr 56</w:t>
            </w:r>
          </w:p>
        </w:tc>
      </w:tr>
      <w:tr w:rsidR="00A56789" w:rsidRPr="00C5395B" w14:paraId="612B725A" w14:textId="77777777" w:rsidTr="007B54F6">
        <w:trPr>
          <w:trHeight w:val="255"/>
        </w:trPr>
        <w:tc>
          <w:tcPr>
            <w:tcW w:w="2029" w:type="dxa"/>
            <w:tcBorders>
              <w:top w:val="nil"/>
              <w:left w:val="single" w:sz="4" w:space="0" w:color="auto"/>
              <w:bottom w:val="single" w:sz="4" w:space="0" w:color="auto"/>
              <w:right w:val="single" w:sz="4" w:space="0" w:color="auto"/>
            </w:tcBorders>
            <w:noWrap/>
            <w:hideMark/>
          </w:tcPr>
          <w:p w14:paraId="32572431" w14:textId="77777777" w:rsidR="00A56789" w:rsidRPr="00C5395B" w:rsidRDefault="00A56789" w:rsidP="00A56789">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54144138" w14:textId="25B04FDB" w:rsidR="00A56789" w:rsidRDefault="00A56789" w:rsidP="00A56789">
            <w:pPr>
              <w:jc w:val="right"/>
              <w:rPr>
                <w:rFonts w:cs="Arial"/>
              </w:rPr>
            </w:pPr>
            <w:r w:rsidRPr="0078302F">
              <w:rPr>
                <w:rFonts w:cs="Arial"/>
              </w:rPr>
              <w:t>27</w:t>
            </w:r>
          </w:p>
        </w:tc>
        <w:tc>
          <w:tcPr>
            <w:tcW w:w="992" w:type="dxa"/>
            <w:tcBorders>
              <w:top w:val="nil"/>
              <w:left w:val="nil"/>
              <w:bottom w:val="single" w:sz="4" w:space="0" w:color="auto"/>
              <w:right w:val="single" w:sz="4" w:space="0" w:color="auto"/>
            </w:tcBorders>
            <w:vAlign w:val="bottom"/>
          </w:tcPr>
          <w:p w14:paraId="2816DDE2" w14:textId="6FD71A46" w:rsidR="00A56789" w:rsidRPr="00B8398E" w:rsidRDefault="00A56789" w:rsidP="00A56789">
            <w:pPr>
              <w:jc w:val="right"/>
              <w:rPr>
                <w:rFonts w:cs="Arial"/>
              </w:rPr>
            </w:pPr>
            <w:r>
              <w:rPr>
                <w:rFonts w:cs="Arial"/>
              </w:rPr>
              <w:t>39</w:t>
            </w:r>
          </w:p>
        </w:tc>
        <w:tc>
          <w:tcPr>
            <w:tcW w:w="993" w:type="dxa"/>
            <w:tcBorders>
              <w:top w:val="nil"/>
              <w:left w:val="nil"/>
              <w:bottom w:val="single" w:sz="4" w:space="0" w:color="auto"/>
              <w:right w:val="single" w:sz="4" w:space="0" w:color="auto"/>
            </w:tcBorders>
          </w:tcPr>
          <w:p w14:paraId="104AE718" w14:textId="7220394E" w:rsidR="00A56789" w:rsidRPr="0078302F" w:rsidRDefault="00A56789" w:rsidP="00A56789">
            <w:pPr>
              <w:jc w:val="right"/>
              <w:rPr>
                <w:rFonts w:cs="Arial"/>
              </w:rPr>
            </w:pPr>
            <w:r>
              <w:rPr>
                <w:rFonts w:cs="Arial"/>
              </w:rPr>
              <w:t>30</w:t>
            </w:r>
          </w:p>
        </w:tc>
        <w:tc>
          <w:tcPr>
            <w:tcW w:w="993" w:type="dxa"/>
            <w:tcBorders>
              <w:top w:val="nil"/>
              <w:left w:val="nil"/>
              <w:bottom w:val="single" w:sz="4" w:space="0" w:color="auto"/>
              <w:right w:val="single" w:sz="4" w:space="0" w:color="auto"/>
            </w:tcBorders>
          </w:tcPr>
          <w:p w14:paraId="24903BD8" w14:textId="070EAE2A" w:rsidR="00A56789" w:rsidRDefault="00A56789" w:rsidP="00A56789">
            <w:pPr>
              <w:jc w:val="right"/>
              <w:rPr>
                <w:rFonts w:cs="Arial"/>
              </w:rPr>
            </w:pPr>
            <w:r>
              <w:rPr>
                <w:rFonts w:cs="Arial"/>
              </w:rPr>
              <w:t>13</w:t>
            </w:r>
          </w:p>
        </w:tc>
        <w:tc>
          <w:tcPr>
            <w:tcW w:w="993" w:type="dxa"/>
            <w:tcBorders>
              <w:top w:val="nil"/>
              <w:left w:val="nil"/>
              <w:bottom w:val="single" w:sz="4" w:space="0" w:color="auto"/>
              <w:right w:val="single" w:sz="4" w:space="0" w:color="auto"/>
            </w:tcBorders>
          </w:tcPr>
          <w:p w14:paraId="4C5482D1" w14:textId="257AF621" w:rsidR="00A56789" w:rsidRDefault="00A56789" w:rsidP="00A56789">
            <w:pPr>
              <w:jc w:val="right"/>
              <w:rPr>
                <w:rFonts w:cs="Arial"/>
              </w:rPr>
            </w:pPr>
            <w:r>
              <w:rPr>
                <w:rFonts w:cs="Arial"/>
              </w:rPr>
              <w:t>42</w:t>
            </w:r>
          </w:p>
        </w:tc>
      </w:tr>
      <w:tr w:rsidR="00A56789" w:rsidRPr="00C5395B" w14:paraId="3F307D91" w14:textId="77777777" w:rsidTr="007B54F6">
        <w:trPr>
          <w:trHeight w:val="255"/>
        </w:trPr>
        <w:tc>
          <w:tcPr>
            <w:tcW w:w="2029" w:type="dxa"/>
            <w:tcBorders>
              <w:top w:val="nil"/>
              <w:left w:val="single" w:sz="4" w:space="0" w:color="auto"/>
              <w:bottom w:val="single" w:sz="4" w:space="0" w:color="auto"/>
              <w:right w:val="single" w:sz="4" w:space="0" w:color="auto"/>
            </w:tcBorders>
            <w:noWrap/>
            <w:hideMark/>
          </w:tcPr>
          <w:p w14:paraId="5ACECC26" w14:textId="77777777" w:rsidR="00A56789" w:rsidRPr="00C5395B" w:rsidRDefault="00A56789" w:rsidP="00A56789">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4A7AA565" w14:textId="77E4E944" w:rsidR="00A56789" w:rsidRDefault="00A56789" w:rsidP="00A56789">
            <w:pPr>
              <w:jc w:val="right"/>
              <w:rPr>
                <w:rFonts w:cs="Arial"/>
              </w:rPr>
            </w:pPr>
            <w:r w:rsidRPr="0078302F">
              <w:rPr>
                <w:rFonts w:cs="Arial"/>
              </w:rPr>
              <w:t>13</w:t>
            </w:r>
          </w:p>
        </w:tc>
        <w:tc>
          <w:tcPr>
            <w:tcW w:w="992" w:type="dxa"/>
            <w:tcBorders>
              <w:top w:val="nil"/>
              <w:left w:val="nil"/>
              <w:bottom w:val="single" w:sz="4" w:space="0" w:color="auto"/>
              <w:right w:val="single" w:sz="4" w:space="0" w:color="auto"/>
            </w:tcBorders>
            <w:vAlign w:val="bottom"/>
          </w:tcPr>
          <w:p w14:paraId="5E27FA7E" w14:textId="5A70FA00" w:rsidR="00A56789" w:rsidRPr="00B8398E" w:rsidRDefault="00A56789" w:rsidP="00A56789">
            <w:pPr>
              <w:jc w:val="right"/>
              <w:rPr>
                <w:rFonts w:cs="Arial"/>
              </w:rPr>
            </w:pPr>
            <w:r>
              <w:rPr>
                <w:rFonts w:cs="Arial"/>
              </w:rPr>
              <w:t>7</w:t>
            </w:r>
          </w:p>
        </w:tc>
        <w:tc>
          <w:tcPr>
            <w:tcW w:w="993" w:type="dxa"/>
            <w:tcBorders>
              <w:top w:val="nil"/>
              <w:left w:val="nil"/>
              <w:bottom w:val="single" w:sz="4" w:space="0" w:color="auto"/>
              <w:right w:val="single" w:sz="4" w:space="0" w:color="auto"/>
            </w:tcBorders>
          </w:tcPr>
          <w:p w14:paraId="3EC195B5" w14:textId="48E6C22E" w:rsidR="00A56789" w:rsidRPr="0078302F" w:rsidRDefault="00A56789" w:rsidP="00A56789">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239903BE" w14:textId="3AD88924" w:rsidR="00A56789" w:rsidRDefault="00A56789" w:rsidP="00A56789">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40315256" w14:textId="50C3E028" w:rsidR="00A56789" w:rsidRDefault="00A56789" w:rsidP="00A56789">
            <w:pPr>
              <w:jc w:val="right"/>
              <w:rPr>
                <w:rFonts w:cs="Arial"/>
              </w:rPr>
            </w:pPr>
            <w:r>
              <w:rPr>
                <w:rFonts w:cs="Arial"/>
              </w:rPr>
              <w:t>5</w:t>
            </w:r>
          </w:p>
        </w:tc>
      </w:tr>
      <w:tr w:rsidR="00A56789" w:rsidRPr="00C5395B" w14:paraId="2D53F3E5" w14:textId="77777777" w:rsidTr="007B54F6">
        <w:trPr>
          <w:trHeight w:val="255"/>
        </w:trPr>
        <w:tc>
          <w:tcPr>
            <w:tcW w:w="2029" w:type="dxa"/>
            <w:tcBorders>
              <w:top w:val="nil"/>
              <w:left w:val="single" w:sz="4" w:space="0" w:color="auto"/>
              <w:bottom w:val="single" w:sz="4" w:space="0" w:color="auto"/>
              <w:right w:val="single" w:sz="4" w:space="0" w:color="auto"/>
            </w:tcBorders>
            <w:noWrap/>
          </w:tcPr>
          <w:p w14:paraId="424DF2BA" w14:textId="77777777" w:rsidR="00A56789" w:rsidRPr="00C5395B" w:rsidRDefault="00A56789" w:rsidP="00A56789">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4365953F" w14:textId="6DE54346" w:rsidR="00A56789" w:rsidRDefault="00A56789" w:rsidP="00A56789">
            <w:pPr>
              <w:jc w:val="right"/>
              <w:rPr>
                <w:rFonts w:cs="Arial"/>
              </w:rPr>
            </w:pPr>
            <w:r w:rsidRPr="0078302F">
              <w:rPr>
                <w:rFonts w:cs="Arial"/>
              </w:rPr>
              <w:t>5</w:t>
            </w:r>
          </w:p>
        </w:tc>
        <w:tc>
          <w:tcPr>
            <w:tcW w:w="992" w:type="dxa"/>
            <w:tcBorders>
              <w:top w:val="nil"/>
              <w:left w:val="nil"/>
              <w:bottom w:val="single" w:sz="4" w:space="0" w:color="auto"/>
              <w:right w:val="single" w:sz="4" w:space="0" w:color="auto"/>
            </w:tcBorders>
            <w:vAlign w:val="bottom"/>
          </w:tcPr>
          <w:p w14:paraId="2B1B7D43" w14:textId="75D4121E" w:rsidR="00A56789" w:rsidRPr="00B8398E" w:rsidRDefault="00A56789" w:rsidP="00A56789">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58A131FB" w14:textId="0BA7A10E" w:rsidR="00A56789" w:rsidRPr="0078302F" w:rsidRDefault="00A56789" w:rsidP="00A56789">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3B073E54" w14:textId="2B24F563" w:rsidR="00A56789" w:rsidRDefault="00A56789" w:rsidP="00A56789">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1FEEF5AF" w14:textId="64CC538F" w:rsidR="00A56789" w:rsidRDefault="00A56789" w:rsidP="00A56789">
            <w:pPr>
              <w:jc w:val="right"/>
              <w:rPr>
                <w:rFonts w:cs="Arial"/>
              </w:rPr>
            </w:pPr>
            <w:r>
              <w:rPr>
                <w:rFonts w:cs="Arial"/>
              </w:rPr>
              <w:t>0</w:t>
            </w:r>
          </w:p>
        </w:tc>
      </w:tr>
      <w:tr w:rsidR="00A56789" w:rsidRPr="00C5395B" w14:paraId="728F6779" w14:textId="77777777" w:rsidTr="007B54F6">
        <w:trPr>
          <w:trHeight w:val="255"/>
        </w:trPr>
        <w:tc>
          <w:tcPr>
            <w:tcW w:w="2029" w:type="dxa"/>
            <w:tcBorders>
              <w:top w:val="nil"/>
              <w:left w:val="single" w:sz="4" w:space="0" w:color="auto"/>
              <w:bottom w:val="single" w:sz="4" w:space="0" w:color="auto"/>
              <w:right w:val="single" w:sz="4" w:space="0" w:color="auto"/>
            </w:tcBorders>
            <w:noWrap/>
            <w:hideMark/>
          </w:tcPr>
          <w:p w14:paraId="08C07050" w14:textId="77777777" w:rsidR="00A56789" w:rsidRPr="00C5395B" w:rsidRDefault="00A56789" w:rsidP="00A56789">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59A1518D" w14:textId="04617D47" w:rsidR="00A56789" w:rsidRDefault="00A56789" w:rsidP="00A56789">
            <w:pPr>
              <w:jc w:val="right"/>
              <w:rPr>
                <w:rFonts w:cs="Arial"/>
              </w:rPr>
            </w:pPr>
            <w:r w:rsidRPr="0078302F">
              <w:rPr>
                <w:rFonts w:cs="Arial"/>
              </w:rPr>
              <w:t>9</w:t>
            </w:r>
          </w:p>
        </w:tc>
        <w:tc>
          <w:tcPr>
            <w:tcW w:w="992" w:type="dxa"/>
            <w:tcBorders>
              <w:top w:val="nil"/>
              <w:left w:val="nil"/>
              <w:bottom w:val="single" w:sz="4" w:space="0" w:color="auto"/>
              <w:right w:val="single" w:sz="4" w:space="0" w:color="auto"/>
            </w:tcBorders>
            <w:vAlign w:val="bottom"/>
          </w:tcPr>
          <w:p w14:paraId="1CC279AC" w14:textId="180D74B2" w:rsidR="00A56789" w:rsidRPr="00B8398E" w:rsidRDefault="00A56789" w:rsidP="00A56789">
            <w:pPr>
              <w:jc w:val="right"/>
              <w:rPr>
                <w:rFonts w:cs="Arial"/>
              </w:rPr>
            </w:pPr>
            <w:r w:rsidRPr="0078302F">
              <w:rPr>
                <w:rFonts w:cs="Arial"/>
              </w:rPr>
              <w:t>9</w:t>
            </w:r>
          </w:p>
        </w:tc>
        <w:tc>
          <w:tcPr>
            <w:tcW w:w="993" w:type="dxa"/>
            <w:tcBorders>
              <w:top w:val="nil"/>
              <w:left w:val="nil"/>
              <w:bottom w:val="single" w:sz="4" w:space="0" w:color="auto"/>
              <w:right w:val="single" w:sz="4" w:space="0" w:color="auto"/>
            </w:tcBorders>
          </w:tcPr>
          <w:p w14:paraId="6BC28117" w14:textId="2FC57461" w:rsidR="00A56789" w:rsidRPr="0078302F" w:rsidRDefault="00A56789" w:rsidP="00A56789">
            <w:pPr>
              <w:jc w:val="right"/>
              <w:rPr>
                <w:rFonts w:cs="Arial"/>
              </w:rPr>
            </w:pPr>
            <w:r>
              <w:rPr>
                <w:rFonts w:cs="Arial"/>
              </w:rPr>
              <w:t>1</w:t>
            </w:r>
          </w:p>
        </w:tc>
        <w:tc>
          <w:tcPr>
            <w:tcW w:w="993" w:type="dxa"/>
            <w:tcBorders>
              <w:top w:val="nil"/>
              <w:left w:val="nil"/>
              <w:bottom w:val="single" w:sz="4" w:space="0" w:color="auto"/>
              <w:right w:val="single" w:sz="4" w:space="0" w:color="auto"/>
            </w:tcBorders>
          </w:tcPr>
          <w:p w14:paraId="1FDF45BF" w14:textId="55F42361" w:rsidR="00A56789" w:rsidRPr="0078302F" w:rsidRDefault="00A56789" w:rsidP="00A56789">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53836390" w14:textId="7AD9AAA7" w:rsidR="00A56789" w:rsidRDefault="00A56789" w:rsidP="00A56789">
            <w:pPr>
              <w:jc w:val="right"/>
              <w:rPr>
                <w:rFonts w:cs="Arial"/>
              </w:rPr>
            </w:pPr>
            <w:r>
              <w:rPr>
                <w:rFonts w:cs="Arial"/>
              </w:rPr>
              <w:t>3</w:t>
            </w:r>
          </w:p>
        </w:tc>
      </w:tr>
      <w:tr w:rsidR="00A56789" w:rsidRPr="00C5395B" w14:paraId="263DC440" w14:textId="77777777" w:rsidTr="007B54F6">
        <w:trPr>
          <w:trHeight w:val="255"/>
        </w:trPr>
        <w:tc>
          <w:tcPr>
            <w:tcW w:w="2029" w:type="dxa"/>
            <w:tcBorders>
              <w:top w:val="nil"/>
              <w:left w:val="single" w:sz="4" w:space="0" w:color="auto"/>
              <w:bottom w:val="single" w:sz="4" w:space="0" w:color="auto"/>
              <w:right w:val="single" w:sz="4" w:space="0" w:color="auto"/>
            </w:tcBorders>
            <w:noWrap/>
            <w:hideMark/>
          </w:tcPr>
          <w:p w14:paraId="028176D6" w14:textId="77777777" w:rsidR="00A56789" w:rsidRPr="00C5395B" w:rsidRDefault="00A56789" w:rsidP="00A56789">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3BB8962E" w14:textId="608DF125" w:rsidR="00A56789" w:rsidRDefault="00A56789" w:rsidP="00A56789">
            <w:pPr>
              <w:pStyle w:val="TableText"/>
              <w:jc w:val="right"/>
              <w:rPr>
                <w:b/>
                <w:lang w:eastAsia="en-AU"/>
              </w:rPr>
            </w:pPr>
            <w:r w:rsidRPr="0078302F">
              <w:rPr>
                <w:rFonts w:cs="Arial"/>
                <w:b/>
                <w:bCs/>
              </w:rPr>
              <w:t>54</w:t>
            </w:r>
          </w:p>
        </w:tc>
        <w:tc>
          <w:tcPr>
            <w:tcW w:w="992" w:type="dxa"/>
            <w:tcBorders>
              <w:top w:val="nil"/>
              <w:left w:val="nil"/>
              <w:bottom w:val="single" w:sz="4" w:space="0" w:color="auto"/>
              <w:right w:val="single" w:sz="4" w:space="0" w:color="auto"/>
            </w:tcBorders>
            <w:vAlign w:val="bottom"/>
          </w:tcPr>
          <w:p w14:paraId="33664386" w14:textId="18C3FC0F" w:rsidR="00A56789" w:rsidRPr="00B8398E" w:rsidRDefault="00A56789" w:rsidP="00A56789">
            <w:pPr>
              <w:pStyle w:val="TableText"/>
              <w:jc w:val="right"/>
              <w:rPr>
                <w:rFonts w:cs="Arial"/>
                <w:b/>
                <w:bCs/>
              </w:rPr>
            </w:pPr>
            <w:r>
              <w:rPr>
                <w:rFonts w:cs="Arial"/>
                <w:b/>
                <w:bCs/>
              </w:rPr>
              <w:t>72</w:t>
            </w:r>
          </w:p>
        </w:tc>
        <w:tc>
          <w:tcPr>
            <w:tcW w:w="993" w:type="dxa"/>
            <w:tcBorders>
              <w:top w:val="nil"/>
              <w:left w:val="nil"/>
              <w:bottom w:val="single" w:sz="4" w:space="0" w:color="auto"/>
              <w:right w:val="single" w:sz="4" w:space="0" w:color="auto"/>
            </w:tcBorders>
          </w:tcPr>
          <w:p w14:paraId="753929DE" w14:textId="50236880" w:rsidR="00A56789" w:rsidRPr="0078302F" w:rsidRDefault="00A56789" w:rsidP="00A56789">
            <w:pPr>
              <w:pStyle w:val="TableText"/>
              <w:jc w:val="right"/>
              <w:rPr>
                <w:rFonts w:cs="Arial"/>
                <w:b/>
                <w:bCs/>
              </w:rPr>
            </w:pPr>
            <w:r>
              <w:rPr>
                <w:rFonts w:cs="Arial"/>
                <w:b/>
                <w:bCs/>
              </w:rPr>
              <w:t>52</w:t>
            </w:r>
          </w:p>
        </w:tc>
        <w:tc>
          <w:tcPr>
            <w:tcW w:w="993" w:type="dxa"/>
            <w:tcBorders>
              <w:top w:val="nil"/>
              <w:left w:val="nil"/>
              <w:bottom w:val="single" w:sz="4" w:space="0" w:color="auto"/>
              <w:right w:val="single" w:sz="4" w:space="0" w:color="auto"/>
            </w:tcBorders>
          </w:tcPr>
          <w:p w14:paraId="2D0820B6" w14:textId="5E678C71" w:rsidR="00A56789" w:rsidRDefault="00A56789" w:rsidP="00A56789">
            <w:pPr>
              <w:pStyle w:val="TableText"/>
              <w:jc w:val="right"/>
              <w:rPr>
                <w:rFonts w:cs="Arial"/>
                <w:b/>
                <w:bCs/>
              </w:rPr>
            </w:pPr>
            <w:r>
              <w:rPr>
                <w:rFonts w:cs="Arial"/>
                <w:b/>
                <w:bCs/>
              </w:rPr>
              <w:t>26</w:t>
            </w:r>
          </w:p>
        </w:tc>
        <w:tc>
          <w:tcPr>
            <w:tcW w:w="993" w:type="dxa"/>
            <w:tcBorders>
              <w:top w:val="nil"/>
              <w:left w:val="nil"/>
              <w:bottom w:val="single" w:sz="4" w:space="0" w:color="auto"/>
              <w:right w:val="single" w:sz="4" w:space="0" w:color="auto"/>
            </w:tcBorders>
          </w:tcPr>
          <w:p w14:paraId="2BDBB1B9" w14:textId="16EC8B8F" w:rsidR="00A56789" w:rsidRDefault="00A56789" w:rsidP="00A56789">
            <w:pPr>
              <w:pStyle w:val="TableText"/>
              <w:jc w:val="right"/>
              <w:rPr>
                <w:rFonts w:cs="Arial"/>
                <w:b/>
                <w:bCs/>
              </w:rPr>
            </w:pPr>
            <w:r>
              <w:rPr>
                <w:rFonts w:cs="Arial"/>
                <w:b/>
                <w:bCs/>
              </w:rPr>
              <w:t>50</w:t>
            </w:r>
          </w:p>
        </w:tc>
      </w:tr>
    </w:tbl>
    <w:p w14:paraId="2A9E8E03" w14:textId="77777777" w:rsidR="00A56789" w:rsidRDefault="00A56789" w:rsidP="00A56789">
      <w:pPr>
        <w:spacing w:after="120" w:line="240" w:lineRule="auto"/>
        <w:ind w:left="794" w:hanging="794"/>
        <w:rPr>
          <w:b/>
          <w:sz w:val="16"/>
          <w:szCs w:val="16"/>
        </w:rPr>
      </w:pPr>
    </w:p>
    <w:p w14:paraId="3A5902A6" w14:textId="4272F4F1" w:rsidR="001748A5" w:rsidRDefault="001748A5" w:rsidP="001748A5">
      <w:pPr>
        <w:spacing w:after="120" w:line="240" w:lineRule="auto"/>
        <w:ind w:left="794" w:hanging="794"/>
        <w:rPr>
          <w:sz w:val="16"/>
          <w:szCs w:val="16"/>
        </w:rPr>
      </w:pPr>
      <w:r w:rsidRPr="006C6A65">
        <w:rPr>
          <w:b/>
          <w:sz w:val="16"/>
          <w:szCs w:val="16"/>
        </w:rPr>
        <w:t xml:space="preserve">Table </w:t>
      </w:r>
      <w:r w:rsidR="00085A55">
        <w:rPr>
          <w:b/>
          <w:sz w:val="16"/>
          <w:szCs w:val="16"/>
        </w:rPr>
        <w:t>15</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00F83C14">
        <w:rPr>
          <w:sz w:val="16"/>
          <w:szCs w:val="16"/>
        </w:rPr>
        <w:t xml:space="preserve">1 </w:t>
      </w:r>
      <w:r w:rsidR="00DA70CA">
        <w:rPr>
          <w:sz w:val="16"/>
          <w:szCs w:val="16"/>
        </w:rPr>
        <w:t>April</w:t>
      </w:r>
      <w:r w:rsidR="00415BC8">
        <w:rPr>
          <w:sz w:val="16"/>
          <w:szCs w:val="16"/>
        </w:rPr>
        <w:t xml:space="preserve"> 2022</w:t>
      </w:r>
      <w:r w:rsidR="00A41820">
        <w:rPr>
          <w:sz w:val="16"/>
          <w:szCs w:val="16"/>
        </w:rPr>
        <w:t xml:space="preserve"> to </w:t>
      </w:r>
      <w:r w:rsidR="00DA70CA">
        <w:rPr>
          <w:sz w:val="16"/>
          <w:szCs w:val="16"/>
        </w:rPr>
        <w:t>30 June</w:t>
      </w:r>
      <w:r w:rsidR="001A5C4C">
        <w:rPr>
          <w:sz w:val="16"/>
          <w:szCs w:val="16"/>
        </w:rPr>
        <w:t xml:space="preserve"> 2022</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1748A5" w:rsidRPr="00650B45" w14:paraId="1769125C"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84"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84"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84"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784"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F526E1" w:rsidRPr="0094558B" w14:paraId="2A713E69" w14:textId="77777777" w:rsidTr="00F526E1">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F526E1" w:rsidRPr="00640E37" w:rsidRDefault="00F526E1" w:rsidP="00F526E1">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center"/>
          </w:tcPr>
          <w:p w14:paraId="4707944F" w14:textId="6F1C550B" w:rsidR="00F526E1" w:rsidRPr="0094558B" w:rsidRDefault="00F526E1" w:rsidP="00F526E1">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shd w:val="clear" w:color="auto" w:fill="auto"/>
            <w:vAlign w:val="center"/>
          </w:tcPr>
          <w:p w14:paraId="08D173F1" w14:textId="2F7D7C1A" w:rsidR="00F526E1" w:rsidRPr="0094558B" w:rsidRDefault="00F526E1" w:rsidP="00F526E1">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vAlign w:val="center"/>
          </w:tcPr>
          <w:p w14:paraId="6659A4D6" w14:textId="5DDEA999" w:rsidR="00F526E1" w:rsidRPr="0094558B" w:rsidRDefault="00F526E1" w:rsidP="00F526E1">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1815A01A" w14:textId="7415BEB7" w:rsidR="00F526E1" w:rsidRPr="0094558B" w:rsidRDefault="00F526E1" w:rsidP="00F526E1">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10ABD0AD" w14:textId="6A4B16F2" w:rsidR="00F526E1" w:rsidRPr="0094558B" w:rsidRDefault="00F526E1" w:rsidP="00F526E1">
            <w:pPr>
              <w:spacing w:line="240" w:lineRule="auto"/>
              <w:jc w:val="right"/>
              <w:rPr>
                <w:rFonts w:cs="Arial"/>
                <w:b/>
                <w:bCs/>
                <w:lang w:eastAsia="en-AU"/>
              </w:rPr>
            </w:pPr>
            <w:r>
              <w:rPr>
                <w:rFonts w:cs="Arial"/>
                <w:b/>
                <w:bCs/>
              </w:rPr>
              <w:t>2</w:t>
            </w:r>
          </w:p>
        </w:tc>
      </w:tr>
      <w:tr w:rsidR="00F526E1" w:rsidRPr="00650B45" w14:paraId="5725BEC2" w14:textId="77777777" w:rsidTr="00F526E1">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F526E1" w:rsidRPr="00640E37" w:rsidRDefault="00F526E1" w:rsidP="00F526E1">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6203887C" w14:textId="151431A8" w:rsidR="00F526E1" w:rsidRPr="0040594D" w:rsidRDefault="00F526E1" w:rsidP="00F526E1">
            <w:pPr>
              <w:spacing w:line="240" w:lineRule="auto"/>
              <w:jc w:val="right"/>
              <w:rPr>
                <w:rFonts w:cs="Arial"/>
                <w:lang w:eastAsia="en-AU"/>
              </w:rPr>
            </w:pPr>
            <w:r>
              <w:rPr>
                <w:rFonts w:cs="Arial"/>
              </w:rPr>
              <w:t>18</w:t>
            </w:r>
          </w:p>
        </w:tc>
        <w:tc>
          <w:tcPr>
            <w:tcW w:w="784" w:type="dxa"/>
            <w:tcBorders>
              <w:top w:val="nil"/>
              <w:left w:val="nil"/>
              <w:bottom w:val="single" w:sz="4" w:space="0" w:color="auto"/>
              <w:right w:val="single" w:sz="4" w:space="0" w:color="auto"/>
            </w:tcBorders>
            <w:shd w:val="clear" w:color="auto" w:fill="auto"/>
            <w:vAlign w:val="center"/>
          </w:tcPr>
          <w:p w14:paraId="3C97EB58" w14:textId="1CE4D1FC" w:rsidR="00F526E1" w:rsidRPr="0040594D" w:rsidRDefault="00F526E1" w:rsidP="00F526E1">
            <w:pPr>
              <w:spacing w:line="240" w:lineRule="auto"/>
              <w:jc w:val="right"/>
              <w:rPr>
                <w:rFonts w:cs="Arial"/>
                <w:lang w:eastAsia="en-AU"/>
              </w:rPr>
            </w:pPr>
            <w:r>
              <w:rPr>
                <w:rFonts w:cs="Arial"/>
              </w:rPr>
              <w:t>3</w:t>
            </w:r>
          </w:p>
        </w:tc>
        <w:tc>
          <w:tcPr>
            <w:tcW w:w="784" w:type="dxa"/>
            <w:tcBorders>
              <w:top w:val="nil"/>
              <w:left w:val="nil"/>
              <w:bottom w:val="single" w:sz="4" w:space="0" w:color="auto"/>
              <w:right w:val="single" w:sz="4" w:space="0" w:color="auto"/>
            </w:tcBorders>
            <w:vAlign w:val="center"/>
          </w:tcPr>
          <w:p w14:paraId="2B2C50D5" w14:textId="09916E5E" w:rsidR="00F526E1" w:rsidRDefault="00F526E1" w:rsidP="00F526E1">
            <w:pPr>
              <w:spacing w:line="240" w:lineRule="auto"/>
              <w:jc w:val="right"/>
              <w:rPr>
                <w:rFonts w:cs="Arial"/>
                <w:lang w:eastAsia="en-AU"/>
              </w:rPr>
            </w:pPr>
            <w:r>
              <w:rPr>
                <w:rFonts w:cs="Arial"/>
              </w:rPr>
              <w:t>0</w:t>
            </w:r>
          </w:p>
        </w:tc>
        <w:tc>
          <w:tcPr>
            <w:tcW w:w="784" w:type="dxa"/>
            <w:tcBorders>
              <w:top w:val="nil"/>
              <w:left w:val="nil"/>
              <w:bottom w:val="single" w:sz="4" w:space="0" w:color="auto"/>
              <w:right w:val="single" w:sz="4" w:space="0" w:color="auto"/>
            </w:tcBorders>
            <w:vAlign w:val="center"/>
          </w:tcPr>
          <w:p w14:paraId="5E25C841" w14:textId="63F54DF2" w:rsidR="00F526E1" w:rsidRDefault="00F526E1" w:rsidP="00F526E1">
            <w:pPr>
              <w:spacing w:line="240" w:lineRule="auto"/>
              <w:jc w:val="right"/>
              <w:rPr>
                <w:rFonts w:cs="Arial"/>
                <w:lang w:eastAsia="en-AU"/>
              </w:rPr>
            </w:pPr>
            <w:r>
              <w:rPr>
                <w:rFonts w:cs="Arial"/>
              </w:rPr>
              <w:t>0</w:t>
            </w:r>
          </w:p>
        </w:tc>
        <w:tc>
          <w:tcPr>
            <w:tcW w:w="784" w:type="dxa"/>
            <w:tcBorders>
              <w:top w:val="nil"/>
              <w:left w:val="nil"/>
              <w:bottom w:val="single" w:sz="4" w:space="0" w:color="auto"/>
              <w:right w:val="single" w:sz="4" w:space="0" w:color="auto"/>
            </w:tcBorders>
            <w:vAlign w:val="center"/>
          </w:tcPr>
          <w:p w14:paraId="6A804D63" w14:textId="52CC8D3A" w:rsidR="00F526E1" w:rsidRPr="0094558B" w:rsidRDefault="00F526E1" w:rsidP="00F526E1">
            <w:pPr>
              <w:spacing w:line="240" w:lineRule="auto"/>
              <w:jc w:val="right"/>
              <w:rPr>
                <w:rFonts w:cs="Arial"/>
                <w:b/>
                <w:lang w:eastAsia="en-AU"/>
              </w:rPr>
            </w:pPr>
            <w:r>
              <w:rPr>
                <w:rFonts w:cs="Arial"/>
                <w:b/>
                <w:bCs/>
              </w:rPr>
              <w:t>21</w:t>
            </w:r>
          </w:p>
        </w:tc>
      </w:tr>
      <w:tr w:rsidR="00F526E1" w:rsidRPr="00650B45" w14:paraId="6D0F82C5" w14:textId="77777777" w:rsidTr="00F526E1">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F526E1" w:rsidRPr="00640E37" w:rsidRDefault="00F526E1" w:rsidP="00F526E1">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3E4F5E95" w14:textId="60043E5D" w:rsidR="00F526E1" w:rsidRPr="0040594D" w:rsidRDefault="00F526E1" w:rsidP="00F526E1">
            <w:pPr>
              <w:spacing w:line="240" w:lineRule="auto"/>
              <w:jc w:val="right"/>
              <w:rPr>
                <w:rFonts w:cs="Arial"/>
                <w:lang w:eastAsia="en-AU"/>
              </w:rPr>
            </w:pPr>
            <w:r>
              <w:rPr>
                <w:rFonts w:cs="Arial"/>
              </w:rPr>
              <w:t>23</w:t>
            </w:r>
          </w:p>
        </w:tc>
        <w:tc>
          <w:tcPr>
            <w:tcW w:w="784" w:type="dxa"/>
            <w:tcBorders>
              <w:top w:val="nil"/>
              <w:left w:val="nil"/>
              <w:bottom w:val="single" w:sz="4" w:space="0" w:color="auto"/>
              <w:right w:val="single" w:sz="4" w:space="0" w:color="auto"/>
            </w:tcBorders>
            <w:shd w:val="clear" w:color="auto" w:fill="auto"/>
            <w:vAlign w:val="center"/>
          </w:tcPr>
          <w:p w14:paraId="05EC430A" w14:textId="382ED800" w:rsidR="00F526E1" w:rsidRDefault="00F526E1" w:rsidP="00F526E1">
            <w:pPr>
              <w:spacing w:line="240" w:lineRule="auto"/>
              <w:jc w:val="right"/>
              <w:rPr>
                <w:rFonts w:cs="Arial"/>
                <w:lang w:eastAsia="en-AU"/>
              </w:rPr>
            </w:pPr>
            <w:r>
              <w:rPr>
                <w:rFonts w:cs="Arial"/>
              </w:rPr>
              <w:t>1</w:t>
            </w:r>
          </w:p>
        </w:tc>
        <w:tc>
          <w:tcPr>
            <w:tcW w:w="784" w:type="dxa"/>
            <w:tcBorders>
              <w:top w:val="nil"/>
              <w:left w:val="nil"/>
              <w:bottom w:val="single" w:sz="4" w:space="0" w:color="auto"/>
              <w:right w:val="single" w:sz="4" w:space="0" w:color="auto"/>
            </w:tcBorders>
            <w:vAlign w:val="center"/>
          </w:tcPr>
          <w:p w14:paraId="53D47FFE" w14:textId="2FEEC68E" w:rsidR="00F526E1" w:rsidRDefault="00F526E1" w:rsidP="00F526E1">
            <w:pPr>
              <w:spacing w:line="240" w:lineRule="auto"/>
              <w:jc w:val="right"/>
              <w:rPr>
                <w:rFonts w:cs="Arial"/>
                <w:lang w:eastAsia="en-AU"/>
              </w:rPr>
            </w:pPr>
            <w:r>
              <w:rPr>
                <w:rFonts w:cs="Arial"/>
              </w:rPr>
              <w:t>0</w:t>
            </w:r>
          </w:p>
        </w:tc>
        <w:tc>
          <w:tcPr>
            <w:tcW w:w="784" w:type="dxa"/>
            <w:tcBorders>
              <w:top w:val="nil"/>
              <w:left w:val="nil"/>
              <w:bottom w:val="single" w:sz="4" w:space="0" w:color="auto"/>
              <w:right w:val="single" w:sz="4" w:space="0" w:color="auto"/>
            </w:tcBorders>
            <w:vAlign w:val="center"/>
          </w:tcPr>
          <w:p w14:paraId="1A3F174E" w14:textId="2C9A9410" w:rsidR="00F526E1" w:rsidRDefault="00F526E1" w:rsidP="00F526E1">
            <w:pPr>
              <w:spacing w:line="240" w:lineRule="auto"/>
              <w:jc w:val="right"/>
              <w:rPr>
                <w:rFonts w:cs="Arial"/>
                <w:lang w:eastAsia="en-AU"/>
              </w:rPr>
            </w:pPr>
            <w:r>
              <w:rPr>
                <w:rFonts w:cs="Arial"/>
              </w:rPr>
              <w:t>3</w:t>
            </w:r>
          </w:p>
        </w:tc>
        <w:tc>
          <w:tcPr>
            <w:tcW w:w="784" w:type="dxa"/>
            <w:tcBorders>
              <w:top w:val="nil"/>
              <w:left w:val="nil"/>
              <w:bottom w:val="single" w:sz="4" w:space="0" w:color="auto"/>
              <w:right w:val="single" w:sz="4" w:space="0" w:color="auto"/>
            </w:tcBorders>
            <w:vAlign w:val="center"/>
          </w:tcPr>
          <w:p w14:paraId="016DD19F" w14:textId="42BA7A34" w:rsidR="00F526E1" w:rsidRPr="0094558B" w:rsidRDefault="00F526E1" w:rsidP="00F526E1">
            <w:pPr>
              <w:spacing w:line="240" w:lineRule="auto"/>
              <w:jc w:val="right"/>
              <w:rPr>
                <w:rFonts w:cs="Arial"/>
                <w:b/>
                <w:lang w:eastAsia="en-AU"/>
              </w:rPr>
            </w:pPr>
            <w:r>
              <w:rPr>
                <w:rFonts w:cs="Arial"/>
                <w:b/>
                <w:bCs/>
              </w:rPr>
              <w:t>27</w:t>
            </w:r>
          </w:p>
        </w:tc>
      </w:tr>
      <w:tr w:rsidR="00F526E1" w:rsidRPr="00557E24" w14:paraId="63F8D415" w14:textId="77777777" w:rsidTr="00F526E1">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F526E1" w:rsidRPr="00557E24" w:rsidRDefault="00F526E1" w:rsidP="00F526E1">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center"/>
          </w:tcPr>
          <w:p w14:paraId="5BA72418" w14:textId="188D74D5" w:rsidR="00F526E1" w:rsidRPr="00557E24" w:rsidRDefault="00F526E1" w:rsidP="00F526E1">
            <w:pPr>
              <w:spacing w:line="240" w:lineRule="auto"/>
              <w:jc w:val="right"/>
              <w:rPr>
                <w:rFonts w:cs="Arial"/>
                <w:b/>
                <w:lang w:eastAsia="en-AU"/>
              </w:rPr>
            </w:pPr>
            <w:r>
              <w:rPr>
                <w:rFonts w:cs="Arial"/>
                <w:b/>
                <w:bCs/>
              </w:rPr>
              <w:t>42</w:t>
            </w:r>
          </w:p>
        </w:tc>
        <w:tc>
          <w:tcPr>
            <w:tcW w:w="784" w:type="dxa"/>
            <w:tcBorders>
              <w:top w:val="single" w:sz="4" w:space="0" w:color="auto"/>
              <w:left w:val="nil"/>
              <w:bottom w:val="single" w:sz="4" w:space="0" w:color="auto"/>
              <w:right w:val="single" w:sz="4" w:space="0" w:color="auto"/>
            </w:tcBorders>
            <w:shd w:val="clear" w:color="auto" w:fill="auto"/>
            <w:vAlign w:val="center"/>
          </w:tcPr>
          <w:p w14:paraId="36209C37" w14:textId="5D850678" w:rsidR="00F526E1" w:rsidRPr="00557E24" w:rsidRDefault="00F526E1" w:rsidP="00F526E1">
            <w:pPr>
              <w:spacing w:line="240" w:lineRule="auto"/>
              <w:jc w:val="right"/>
              <w:rPr>
                <w:rFonts w:cs="Arial"/>
                <w:b/>
                <w:lang w:eastAsia="en-AU"/>
              </w:rPr>
            </w:pPr>
            <w:r>
              <w:rPr>
                <w:rFonts w:cs="Arial"/>
                <w:b/>
                <w:bCs/>
              </w:rPr>
              <w:t>5</w:t>
            </w:r>
          </w:p>
        </w:tc>
        <w:tc>
          <w:tcPr>
            <w:tcW w:w="784" w:type="dxa"/>
            <w:tcBorders>
              <w:top w:val="single" w:sz="4" w:space="0" w:color="auto"/>
              <w:left w:val="nil"/>
              <w:bottom w:val="single" w:sz="4" w:space="0" w:color="auto"/>
              <w:right w:val="single" w:sz="4" w:space="0" w:color="auto"/>
            </w:tcBorders>
            <w:vAlign w:val="center"/>
          </w:tcPr>
          <w:p w14:paraId="1C15A840" w14:textId="26474591" w:rsidR="00F526E1" w:rsidRPr="00557E24" w:rsidRDefault="00F526E1" w:rsidP="00F526E1">
            <w:pPr>
              <w:spacing w:line="240" w:lineRule="auto"/>
              <w:jc w:val="right"/>
              <w:rPr>
                <w:rFonts w:cs="Arial"/>
                <w:b/>
                <w:lang w:eastAsia="en-AU"/>
              </w:rPr>
            </w:pPr>
            <w:r>
              <w:rPr>
                <w:rFonts w:cs="Arial"/>
                <w:b/>
                <w:bCs/>
              </w:rPr>
              <w:t>0</w:t>
            </w:r>
          </w:p>
        </w:tc>
        <w:tc>
          <w:tcPr>
            <w:tcW w:w="784" w:type="dxa"/>
            <w:tcBorders>
              <w:top w:val="single" w:sz="4" w:space="0" w:color="auto"/>
              <w:left w:val="nil"/>
              <w:bottom w:val="single" w:sz="4" w:space="0" w:color="auto"/>
              <w:right w:val="single" w:sz="4" w:space="0" w:color="auto"/>
            </w:tcBorders>
            <w:vAlign w:val="center"/>
          </w:tcPr>
          <w:p w14:paraId="05E4508F" w14:textId="3C8C2D49" w:rsidR="00F526E1" w:rsidRPr="00557E24" w:rsidRDefault="00F526E1" w:rsidP="00F526E1">
            <w:pPr>
              <w:spacing w:line="240" w:lineRule="auto"/>
              <w:jc w:val="right"/>
              <w:rPr>
                <w:rFonts w:cs="Arial"/>
                <w:b/>
                <w:lang w:eastAsia="en-AU"/>
              </w:rPr>
            </w:pPr>
            <w:r>
              <w:rPr>
                <w:rFonts w:cs="Arial"/>
                <w:b/>
                <w:bCs/>
              </w:rPr>
              <w:t>3</w:t>
            </w:r>
          </w:p>
        </w:tc>
        <w:tc>
          <w:tcPr>
            <w:tcW w:w="784" w:type="dxa"/>
            <w:tcBorders>
              <w:top w:val="single" w:sz="4" w:space="0" w:color="auto"/>
              <w:left w:val="nil"/>
              <w:bottom w:val="single" w:sz="4" w:space="0" w:color="auto"/>
              <w:right w:val="single" w:sz="4" w:space="0" w:color="auto"/>
            </w:tcBorders>
            <w:vAlign w:val="center"/>
          </w:tcPr>
          <w:p w14:paraId="22F31EFF" w14:textId="13BBA0D7" w:rsidR="00F526E1" w:rsidRPr="0094558B" w:rsidRDefault="00F526E1" w:rsidP="00F526E1">
            <w:pPr>
              <w:spacing w:line="240" w:lineRule="auto"/>
              <w:jc w:val="right"/>
              <w:rPr>
                <w:rFonts w:cs="Arial"/>
                <w:b/>
                <w:lang w:eastAsia="en-AU"/>
              </w:rPr>
            </w:pPr>
            <w:r>
              <w:rPr>
                <w:rFonts w:cs="Arial"/>
                <w:b/>
                <w:bCs/>
              </w:rPr>
              <w:t>50</w:t>
            </w:r>
          </w:p>
        </w:tc>
      </w:tr>
    </w:tbl>
    <w:p w14:paraId="5BED135A" w14:textId="0E7B4F66" w:rsidR="001748A5" w:rsidRDefault="001748A5" w:rsidP="001748A5">
      <w:pPr>
        <w:ind w:left="-142" w:right="-425"/>
        <w:jc w:val="both"/>
        <w:rPr>
          <w:rFonts w:cs="Arial"/>
          <w:noProof/>
          <w:lang w:eastAsia="en-AU"/>
        </w:rPr>
      </w:pPr>
    </w:p>
    <w:p w14:paraId="61E4AFDA" w14:textId="77777777" w:rsidR="00085A55" w:rsidRDefault="00085A55">
      <w:pPr>
        <w:spacing w:line="240" w:lineRule="auto"/>
        <w:rPr>
          <w:b/>
          <w:sz w:val="16"/>
          <w:szCs w:val="16"/>
        </w:rPr>
      </w:pPr>
      <w:r>
        <w:rPr>
          <w:b/>
          <w:sz w:val="16"/>
          <w:szCs w:val="16"/>
        </w:rPr>
        <w:br w:type="page"/>
      </w:r>
    </w:p>
    <w:p w14:paraId="17CBBA45" w14:textId="1C9D842F" w:rsidR="00BA361D" w:rsidRPr="00BA361D" w:rsidRDefault="00BA361D" w:rsidP="00BA361D">
      <w:pPr>
        <w:spacing w:after="120" w:line="240" w:lineRule="auto"/>
        <w:ind w:left="794" w:hanging="794"/>
        <w:rPr>
          <w:sz w:val="16"/>
          <w:szCs w:val="16"/>
        </w:rPr>
      </w:pPr>
      <w:r w:rsidRPr="006C6A65">
        <w:rPr>
          <w:b/>
          <w:sz w:val="16"/>
          <w:szCs w:val="16"/>
        </w:rPr>
        <w:lastRenderedPageBreak/>
        <w:t xml:space="preserve">Table </w:t>
      </w:r>
      <w:r w:rsidR="00B03744">
        <w:rPr>
          <w:b/>
          <w:sz w:val="16"/>
          <w:szCs w:val="16"/>
        </w:rPr>
        <w:t>1</w:t>
      </w:r>
      <w:r w:rsidR="00085A55">
        <w:rPr>
          <w:b/>
          <w:sz w:val="16"/>
          <w:szCs w:val="16"/>
        </w:rPr>
        <w:t>6</w:t>
      </w:r>
      <w:r w:rsidRPr="006C6A65">
        <w:rPr>
          <w:b/>
          <w:sz w:val="16"/>
          <w:szCs w:val="16"/>
        </w:rPr>
        <w:t>:</w:t>
      </w:r>
      <w:r w:rsidRPr="006C6A65">
        <w:rPr>
          <w:sz w:val="16"/>
          <w:szCs w:val="16"/>
        </w:rPr>
        <w:t xml:space="preserve"> </w:t>
      </w:r>
      <w:r>
        <w:rPr>
          <w:rFonts w:cs="Arial"/>
          <w:sz w:val="16"/>
          <w:szCs w:val="16"/>
        </w:rPr>
        <w:t>Domestic violence c</w:t>
      </w:r>
      <w:r w:rsidRPr="00122C57">
        <w:rPr>
          <w:rFonts w:cs="Arial"/>
          <w:sz w:val="16"/>
          <w:szCs w:val="16"/>
        </w:rPr>
        <w:t xml:space="preserve">onferences by </w:t>
      </w:r>
      <w:r>
        <w:rPr>
          <w:rFonts w:cs="Arial"/>
          <w:sz w:val="16"/>
          <w:szCs w:val="16"/>
        </w:rPr>
        <w:t>type</w:t>
      </w:r>
      <w:r w:rsidRPr="00122C57">
        <w:rPr>
          <w:rFonts w:cs="Arial"/>
          <w:sz w:val="16"/>
          <w:szCs w:val="16"/>
        </w:rPr>
        <w:t xml:space="preserve"> and quarter </w:t>
      </w:r>
      <w:r w:rsidR="00F83C14">
        <w:rPr>
          <w:rFonts w:cs="Arial"/>
          <w:sz w:val="16"/>
          <w:szCs w:val="16"/>
        </w:rPr>
        <w:t xml:space="preserve">1 </w:t>
      </w:r>
      <w:r w:rsidR="00DA70CA">
        <w:rPr>
          <w:rFonts w:cs="Arial"/>
          <w:sz w:val="16"/>
          <w:szCs w:val="16"/>
        </w:rPr>
        <w:t>April</w:t>
      </w:r>
      <w:r w:rsidR="00DF103B">
        <w:rPr>
          <w:rFonts w:cs="Arial"/>
          <w:sz w:val="16"/>
          <w:szCs w:val="16"/>
        </w:rPr>
        <w:t xml:space="preserve"> 2021</w:t>
      </w:r>
      <w:r>
        <w:rPr>
          <w:rFonts w:cs="Arial"/>
          <w:sz w:val="16"/>
          <w:szCs w:val="16"/>
        </w:rPr>
        <w:t xml:space="preserve"> to </w:t>
      </w:r>
      <w:r w:rsidR="00DA70CA">
        <w:rPr>
          <w:rFonts w:cs="Arial"/>
          <w:sz w:val="16"/>
          <w:szCs w:val="16"/>
        </w:rPr>
        <w:t>30 June</w:t>
      </w:r>
      <w:r w:rsidR="001A5C4C">
        <w:rPr>
          <w:rFonts w:cs="Arial"/>
          <w:sz w:val="16"/>
          <w:szCs w:val="16"/>
        </w:rPr>
        <w:t xml:space="preserve"> 2022</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9A6570" w:rsidRPr="00650B45" w14:paraId="4E475097"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3366C94A" w14:textId="77777777" w:rsidR="009A6570" w:rsidRPr="0040594D" w:rsidRDefault="009A6570" w:rsidP="009A6570">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0944EA43" w14:textId="00703004" w:rsidR="009A6570" w:rsidRPr="0040594D" w:rsidRDefault="009A6570" w:rsidP="009A6570">
            <w:pPr>
              <w:spacing w:line="240" w:lineRule="auto"/>
              <w:jc w:val="right"/>
              <w:rPr>
                <w:rFonts w:cs="Arial"/>
                <w:b/>
                <w:bCs/>
                <w:lang w:eastAsia="en-AU"/>
              </w:rPr>
            </w:pPr>
            <w:r>
              <w:rPr>
                <w:b/>
                <w:lang w:eastAsia="en-AU"/>
              </w:rPr>
              <w:t>Qtr 5</w:t>
            </w:r>
            <w:r w:rsidR="003E713B">
              <w:rPr>
                <w:b/>
                <w:lang w:eastAsia="en-AU"/>
              </w:rPr>
              <w:t>2</w:t>
            </w:r>
          </w:p>
        </w:tc>
        <w:tc>
          <w:tcPr>
            <w:tcW w:w="784" w:type="dxa"/>
            <w:tcBorders>
              <w:top w:val="single" w:sz="4" w:space="0" w:color="auto"/>
              <w:left w:val="nil"/>
              <w:bottom w:val="single" w:sz="4" w:space="0" w:color="auto"/>
              <w:right w:val="single" w:sz="4" w:space="0" w:color="auto"/>
            </w:tcBorders>
            <w:shd w:val="clear" w:color="auto" w:fill="auto"/>
            <w:hideMark/>
          </w:tcPr>
          <w:p w14:paraId="33DBBFAB" w14:textId="6AEECB03" w:rsidR="009A6570" w:rsidRPr="0040594D" w:rsidRDefault="009A6570" w:rsidP="009A6570">
            <w:pPr>
              <w:spacing w:line="240" w:lineRule="auto"/>
              <w:jc w:val="right"/>
              <w:rPr>
                <w:rFonts w:cs="Arial"/>
                <w:b/>
                <w:bCs/>
                <w:lang w:eastAsia="en-AU"/>
              </w:rPr>
            </w:pPr>
            <w:r>
              <w:rPr>
                <w:b/>
                <w:lang w:eastAsia="en-AU"/>
              </w:rPr>
              <w:t>Qtr 5</w:t>
            </w:r>
            <w:r w:rsidR="003E713B">
              <w:rPr>
                <w:b/>
                <w:lang w:eastAsia="en-AU"/>
              </w:rPr>
              <w:t>3</w:t>
            </w:r>
          </w:p>
        </w:tc>
        <w:tc>
          <w:tcPr>
            <w:tcW w:w="784" w:type="dxa"/>
            <w:tcBorders>
              <w:top w:val="single" w:sz="4" w:space="0" w:color="auto"/>
              <w:left w:val="nil"/>
              <w:bottom w:val="single" w:sz="4" w:space="0" w:color="auto"/>
              <w:right w:val="single" w:sz="4" w:space="0" w:color="auto"/>
            </w:tcBorders>
          </w:tcPr>
          <w:p w14:paraId="1054C6DC" w14:textId="65EF2FD2" w:rsidR="009A6570" w:rsidRPr="0040594D" w:rsidRDefault="009A6570" w:rsidP="009A6570">
            <w:pPr>
              <w:spacing w:line="240" w:lineRule="auto"/>
              <w:jc w:val="right"/>
              <w:rPr>
                <w:rFonts w:cs="Arial"/>
                <w:b/>
                <w:bCs/>
                <w:lang w:eastAsia="en-AU"/>
              </w:rPr>
            </w:pPr>
            <w:r>
              <w:rPr>
                <w:b/>
                <w:lang w:eastAsia="en-AU"/>
              </w:rPr>
              <w:t>Qtr 5</w:t>
            </w:r>
            <w:r w:rsidR="003E713B">
              <w:rPr>
                <w:b/>
                <w:lang w:eastAsia="en-AU"/>
              </w:rPr>
              <w:t>4</w:t>
            </w:r>
          </w:p>
        </w:tc>
        <w:tc>
          <w:tcPr>
            <w:tcW w:w="784" w:type="dxa"/>
            <w:tcBorders>
              <w:top w:val="single" w:sz="4" w:space="0" w:color="auto"/>
              <w:left w:val="nil"/>
              <w:bottom w:val="single" w:sz="4" w:space="0" w:color="auto"/>
              <w:right w:val="single" w:sz="4" w:space="0" w:color="auto"/>
            </w:tcBorders>
          </w:tcPr>
          <w:p w14:paraId="1F5DA131" w14:textId="3357394F" w:rsidR="009A6570" w:rsidRPr="0040594D" w:rsidRDefault="009A6570" w:rsidP="009A6570">
            <w:pPr>
              <w:spacing w:line="240" w:lineRule="auto"/>
              <w:jc w:val="right"/>
              <w:rPr>
                <w:rFonts w:cs="Arial"/>
                <w:b/>
                <w:bCs/>
                <w:lang w:eastAsia="en-AU"/>
              </w:rPr>
            </w:pPr>
            <w:r>
              <w:rPr>
                <w:b/>
                <w:lang w:eastAsia="en-AU"/>
              </w:rPr>
              <w:t xml:space="preserve">Qtr </w:t>
            </w:r>
            <w:r w:rsidR="00951376">
              <w:rPr>
                <w:b/>
                <w:lang w:eastAsia="en-AU"/>
              </w:rPr>
              <w:t>55</w:t>
            </w:r>
          </w:p>
        </w:tc>
        <w:tc>
          <w:tcPr>
            <w:tcW w:w="784" w:type="dxa"/>
            <w:tcBorders>
              <w:top w:val="single" w:sz="4" w:space="0" w:color="auto"/>
              <w:left w:val="nil"/>
              <w:bottom w:val="single" w:sz="4" w:space="0" w:color="auto"/>
              <w:right w:val="single" w:sz="4" w:space="0" w:color="auto"/>
            </w:tcBorders>
          </w:tcPr>
          <w:p w14:paraId="65FDA246" w14:textId="343E6DB5" w:rsidR="009A6570" w:rsidRPr="0040594D" w:rsidRDefault="009A6570" w:rsidP="009A6570">
            <w:pPr>
              <w:spacing w:line="240" w:lineRule="auto"/>
              <w:jc w:val="right"/>
              <w:rPr>
                <w:rFonts w:cs="Arial"/>
                <w:b/>
                <w:bCs/>
                <w:lang w:eastAsia="en-AU"/>
              </w:rPr>
            </w:pPr>
            <w:r>
              <w:rPr>
                <w:b/>
                <w:lang w:eastAsia="en-AU"/>
              </w:rPr>
              <w:t xml:space="preserve">Qtr </w:t>
            </w:r>
            <w:r w:rsidR="00951376">
              <w:rPr>
                <w:b/>
                <w:lang w:eastAsia="en-AU"/>
              </w:rPr>
              <w:t>56</w:t>
            </w:r>
          </w:p>
        </w:tc>
      </w:tr>
      <w:tr w:rsidR="00F526E1" w:rsidRPr="0094558B" w14:paraId="7D13DCEB" w14:textId="77777777" w:rsidTr="00127A30">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20EB7FAF" w14:textId="77777777" w:rsidR="00F526E1" w:rsidRPr="00640E37" w:rsidRDefault="00F526E1" w:rsidP="00F526E1">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bottom"/>
          </w:tcPr>
          <w:p w14:paraId="058E135A" w14:textId="2D691F44" w:rsidR="00F526E1" w:rsidRPr="00BF08AE" w:rsidRDefault="00F526E1" w:rsidP="00F526E1">
            <w:pPr>
              <w:spacing w:line="240" w:lineRule="auto"/>
              <w:jc w:val="right"/>
              <w:rPr>
                <w:rFonts w:cs="Arial"/>
                <w:bCs/>
                <w:lang w:eastAsia="en-AU"/>
              </w:rPr>
            </w:pPr>
            <w:r>
              <w:rPr>
                <w:rFonts w:cs="Arial"/>
              </w:rPr>
              <w:t>2</w:t>
            </w:r>
          </w:p>
        </w:tc>
        <w:tc>
          <w:tcPr>
            <w:tcW w:w="784" w:type="dxa"/>
            <w:tcBorders>
              <w:top w:val="single" w:sz="4" w:space="0" w:color="auto"/>
              <w:left w:val="nil"/>
              <w:bottom w:val="single" w:sz="4" w:space="0" w:color="auto"/>
              <w:right w:val="single" w:sz="4" w:space="0" w:color="auto"/>
            </w:tcBorders>
            <w:shd w:val="clear" w:color="auto" w:fill="auto"/>
            <w:vAlign w:val="bottom"/>
          </w:tcPr>
          <w:p w14:paraId="36890EB4" w14:textId="4109EEF2" w:rsidR="00F526E1" w:rsidRPr="00BF08AE" w:rsidRDefault="00F526E1" w:rsidP="00F526E1">
            <w:pPr>
              <w:spacing w:line="240" w:lineRule="auto"/>
              <w:jc w:val="right"/>
              <w:rPr>
                <w:rFonts w:cs="Arial"/>
                <w:bCs/>
                <w:lang w:eastAsia="en-AU"/>
              </w:rPr>
            </w:pPr>
            <w:r>
              <w:rPr>
                <w:rFonts w:cs="Arial"/>
              </w:rPr>
              <w:t>9</w:t>
            </w:r>
          </w:p>
        </w:tc>
        <w:tc>
          <w:tcPr>
            <w:tcW w:w="784" w:type="dxa"/>
            <w:tcBorders>
              <w:top w:val="single" w:sz="4" w:space="0" w:color="auto"/>
              <w:left w:val="nil"/>
              <w:bottom w:val="single" w:sz="4" w:space="0" w:color="auto"/>
              <w:right w:val="single" w:sz="4" w:space="0" w:color="auto"/>
            </w:tcBorders>
            <w:vAlign w:val="bottom"/>
          </w:tcPr>
          <w:p w14:paraId="4305F345" w14:textId="3E5B1E94" w:rsidR="00F526E1" w:rsidRPr="00BF08AE" w:rsidRDefault="00F526E1" w:rsidP="00F526E1">
            <w:pPr>
              <w:spacing w:line="240" w:lineRule="auto"/>
              <w:jc w:val="right"/>
              <w:rPr>
                <w:rFonts w:cs="Arial"/>
                <w:bCs/>
                <w:lang w:eastAsia="en-AU"/>
              </w:rPr>
            </w:pPr>
            <w:r>
              <w:rPr>
                <w:rFonts w:cs="Arial"/>
              </w:rPr>
              <w:t>3</w:t>
            </w:r>
          </w:p>
        </w:tc>
        <w:tc>
          <w:tcPr>
            <w:tcW w:w="784" w:type="dxa"/>
            <w:tcBorders>
              <w:top w:val="single" w:sz="4" w:space="0" w:color="auto"/>
              <w:left w:val="nil"/>
              <w:bottom w:val="single" w:sz="4" w:space="0" w:color="auto"/>
              <w:right w:val="single" w:sz="4" w:space="0" w:color="auto"/>
            </w:tcBorders>
            <w:vAlign w:val="bottom"/>
          </w:tcPr>
          <w:p w14:paraId="56527CC6" w14:textId="45A0F01A" w:rsidR="00F526E1" w:rsidRPr="00BF08AE" w:rsidRDefault="00F526E1" w:rsidP="00F526E1">
            <w:pPr>
              <w:spacing w:line="240" w:lineRule="auto"/>
              <w:jc w:val="right"/>
              <w:rPr>
                <w:rFonts w:cs="Arial"/>
                <w:bCs/>
                <w:lang w:eastAsia="en-AU"/>
              </w:rPr>
            </w:pPr>
            <w:r>
              <w:rPr>
                <w:rFonts w:cs="Arial"/>
              </w:rPr>
              <w:t>2</w:t>
            </w:r>
          </w:p>
        </w:tc>
        <w:tc>
          <w:tcPr>
            <w:tcW w:w="784" w:type="dxa"/>
            <w:tcBorders>
              <w:top w:val="single" w:sz="4" w:space="0" w:color="auto"/>
              <w:left w:val="nil"/>
              <w:bottom w:val="single" w:sz="4" w:space="0" w:color="auto"/>
              <w:right w:val="single" w:sz="4" w:space="0" w:color="auto"/>
            </w:tcBorders>
            <w:vAlign w:val="bottom"/>
          </w:tcPr>
          <w:p w14:paraId="3589A88C" w14:textId="7A610630" w:rsidR="00F526E1" w:rsidRPr="00C02800" w:rsidRDefault="00F526E1" w:rsidP="00F526E1">
            <w:pPr>
              <w:spacing w:line="240" w:lineRule="auto"/>
              <w:jc w:val="right"/>
              <w:rPr>
                <w:rFonts w:cs="Arial"/>
              </w:rPr>
            </w:pPr>
            <w:r>
              <w:rPr>
                <w:rFonts w:cs="Arial"/>
              </w:rPr>
              <w:t>2</w:t>
            </w:r>
          </w:p>
        </w:tc>
      </w:tr>
      <w:tr w:rsidR="00F526E1" w:rsidRPr="00650B45" w14:paraId="72658614" w14:textId="77777777" w:rsidTr="00127A30">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0F304F" w14:textId="77777777" w:rsidR="00F526E1" w:rsidRPr="00640E37" w:rsidRDefault="00F526E1" w:rsidP="00F526E1">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27BD3A2A" w14:textId="1FA547A0" w:rsidR="00F526E1" w:rsidRPr="00BF08AE" w:rsidRDefault="00F526E1" w:rsidP="00F526E1">
            <w:pPr>
              <w:spacing w:line="240" w:lineRule="auto"/>
              <w:jc w:val="right"/>
              <w:rPr>
                <w:rFonts w:cs="Arial"/>
                <w:lang w:eastAsia="en-AU"/>
              </w:rPr>
            </w:pPr>
            <w:r>
              <w:rPr>
                <w:rFonts w:cs="Arial"/>
              </w:rPr>
              <w:t>18</w:t>
            </w:r>
          </w:p>
        </w:tc>
        <w:tc>
          <w:tcPr>
            <w:tcW w:w="784" w:type="dxa"/>
            <w:tcBorders>
              <w:top w:val="nil"/>
              <w:left w:val="nil"/>
              <w:bottom w:val="single" w:sz="4" w:space="0" w:color="auto"/>
              <w:right w:val="single" w:sz="4" w:space="0" w:color="auto"/>
            </w:tcBorders>
            <w:shd w:val="clear" w:color="auto" w:fill="auto"/>
            <w:vAlign w:val="bottom"/>
          </w:tcPr>
          <w:p w14:paraId="216D33A7" w14:textId="414BB27F" w:rsidR="00F526E1" w:rsidRPr="00BF08AE" w:rsidRDefault="00F526E1" w:rsidP="00F526E1">
            <w:pPr>
              <w:spacing w:line="240" w:lineRule="auto"/>
              <w:jc w:val="right"/>
              <w:rPr>
                <w:rFonts w:cs="Arial"/>
                <w:lang w:eastAsia="en-AU"/>
              </w:rPr>
            </w:pPr>
            <w:r>
              <w:rPr>
                <w:rFonts w:cs="Arial"/>
              </w:rPr>
              <w:t>21</w:t>
            </w:r>
          </w:p>
        </w:tc>
        <w:tc>
          <w:tcPr>
            <w:tcW w:w="784" w:type="dxa"/>
            <w:tcBorders>
              <w:top w:val="nil"/>
              <w:left w:val="nil"/>
              <w:bottom w:val="single" w:sz="4" w:space="0" w:color="auto"/>
              <w:right w:val="single" w:sz="4" w:space="0" w:color="auto"/>
            </w:tcBorders>
            <w:vAlign w:val="bottom"/>
          </w:tcPr>
          <w:p w14:paraId="756351B3" w14:textId="2495D80C" w:rsidR="00F526E1" w:rsidRPr="00BF08AE" w:rsidRDefault="00F526E1" w:rsidP="00F526E1">
            <w:pPr>
              <w:spacing w:line="240" w:lineRule="auto"/>
              <w:jc w:val="right"/>
              <w:rPr>
                <w:rFonts w:cs="Arial"/>
                <w:lang w:eastAsia="en-AU"/>
              </w:rPr>
            </w:pPr>
            <w:r>
              <w:rPr>
                <w:rFonts w:cs="Arial"/>
              </w:rPr>
              <w:t>19</w:t>
            </w:r>
          </w:p>
        </w:tc>
        <w:tc>
          <w:tcPr>
            <w:tcW w:w="784" w:type="dxa"/>
            <w:tcBorders>
              <w:top w:val="nil"/>
              <w:left w:val="nil"/>
              <w:bottom w:val="single" w:sz="4" w:space="0" w:color="auto"/>
              <w:right w:val="single" w:sz="4" w:space="0" w:color="auto"/>
            </w:tcBorders>
            <w:vAlign w:val="bottom"/>
          </w:tcPr>
          <w:p w14:paraId="7E423D87" w14:textId="1CA82D88" w:rsidR="00F526E1" w:rsidRPr="00BF08AE" w:rsidRDefault="00F526E1" w:rsidP="00F526E1">
            <w:pPr>
              <w:spacing w:line="240" w:lineRule="auto"/>
              <w:jc w:val="right"/>
              <w:rPr>
                <w:rFonts w:cs="Arial"/>
                <w:lang w:eastAsia="en-AU"/>
              </w:rPr>
            </w:pPr>
            <w:r>
              <w:rPr>
                <w:rFonts w:cs="Arial"/>
              </w:rPr>
              <w:t>7</w:t>
            </w:r>
          </w:p>
        </w:tc>
        <w:tc>
          <w:tcPr>
            <w:tcW w:w="784" w:type="dxa"/>
            <w:tcBorders>
              <w:top w:val="nil"/>
              <w:left w:val="nil"/>
              <w:bottom w:val="single" w:sz="4" w:space="0" w:color="auto"/>
              <w:right w:val="single" w:sz="4" w:space="0" w:color="auto"/>
            </w:tcBorders>
            <w:vAlign w:val="bottom"/>
          </w:tcPr>
          <w:p w14:paraId="4E3F6DD6" w14:textId="1DA2AF6E" w:rsidR="00F526E1" w:rsidRPr="00C02800" w:rsidRDefault="00F526E1" w:rsidP="00F526E1">
            <w:pPr>
              <w:spacing w:line="240" w:lineRule="auto"/>
              <w:jc w:val="right"/>
              <w:rPr>
                <w:rFonts w:cs="Arial"/>
              </w:rPr>
            </w:pPr>
            <w:r>
              <w:rPr>
                <w:rFonts w:cs="Arial"/>
              </w:rPr>
              <w:t>21</w:t>
            </w:r>
          </w:p>
        </w:tc>
      </w:tr>
      <w:tr w:rsidR="00F526E1" w:rsidRPr="00650B45" w14:paraId="25B410FB" w14:textId="77777777" w:rsidTr="00127A30">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3BD59737" w14:textId="77777777" w:rsidR="00F526E1" w:rsidRPr="00640E37" w:rsidRDefault="00F526E1" w:rsidP="00F526E1">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0C16ECD4" w14:textId="3A441880" w:rsidR="00F526E1" w:rsidRPr="00BF08AE" w:rsidRDefault="00F526E1" w:rsidP="00F526E1">
            <w:pPr>
              <w:spacing w:line="240" w:lineRule="auto"/>
              <w:jc w:val="right"/>
              <w:rPr>
                <w:rFonts w:cs="Arial"/>
                <w:lang w:eastAsia="en-AU"/>
              </w:rPr>
            </w:pPr>
            <w:r>
              <w:rPr>
                <w:rFonts w:cs="Arial"/>
              </w:rPr>
              <w:t>34</w:t>
            </w:r>
          </w:p>
        </w:tc>
        <w:tc>
          <w:tcPr>
            <w:tcW w:w="784" w:type="dxa"/>
            <w:tcBorders>
              <w:top w:val="nil"/>
              <w:left w:val="nil"/>
              <w:bottom w:val="single" w:sz="4" w:space="0" w:color="auto"/>
              <w:right w:val="single" w:sz="4" w:space="0" w:color="auto"/>
            </w:tcBorders>
            <w:shd w:val="clear" w:color="auto" w:fill="auto"/>
            <w:vAlign w:val="bottom"/>
          </w:tcPr>
          <w:p w14:paraId="66883E4E" w14:textId="20CE814D" w:rsidR="00F526E1" w:rsidRPr="00BF08AE" w:rsidRDefault="00F526E1" w:rsidP="00F526E1">
            <w:pPr>
              <w:spacing w:line="240" w:lineRule="auto"/>
              <w:jc w:val="right"/>
              <w:rPr>
                <w:rFonts w:cs="Arial"/>
                <w:lang w:eastAsia="en-AU"/>
              </w:rPr>
            </w:pPr>
            <w:r>
              <w:rPr>
                <w:rFonts w:cs="Arial"/>
              </w:rPr>
              <w:t>42</w:t>
            </w:r>
          </w:p>
        </w:tc>
        <w:tc>
          <w:tcPr>
            <w:tcW w:w="784" w:type="dxa"/>
            <w:tcBorders>
              <w:top w:val="nil"/>
              <w:left w:val="nil"/>
              <w:bottom w:val="single" w:sz="4" w:space="0" w:color="auto"/>
              <w:right w:val="single" w:sz="4" w:space="0" w:color="auto"/>
            </w:tcBorders>
            <w:vAlign w:val="bottom"/>
          </w:tcPr>
          <w:p w14:paraId="13CB2682" w14:textId="05A1D9B1" w:rsidR="00F526E1" w:rsidRPr="00BF08AE" w:rsidRDefault="00F526E1" w:rsidP="00F526E1">
            <w:pPr>
              <w:spacing w:line="240" w:lineRule="auto"/>
              <w:jc w:val="right"/>
              <w:rPr>
                <w:rFonts w:cs="Arial"/>
                <w:lang w:eastAsia="en-AU"/>
              </w:rPr>
            </w:pPr>
            <w:r>
              <w:rPr>
                <w:rFonts w:cs="Arial"/>
              </w:rPr>
              <w:t>30</w:t>
            </w:r>
          </w:p>
        </w:tc>
        <w:tc>
          <w:tcPr>
            <w:tcW w:w="784" w:type="dxa"/>
            <w:tcBorders>
              <w:top w:val="nil"/>
              <w:left w:val="nil"/>
              <w:bottom w:val="single" w:sz="4" w:space="0" w:color="auto"/>
              <w:right w:val="single" w:sz="4" w:space="0" w:color="auto"/>
            </w:tcBorders>
            <w:vAlign w:val="bottom"/>
          </w:tcPr>
          <w:p w14:paraId="7390F97A" w14:textId="18FB130F" w:rsidR="00F526E1" w:rsidRPr="00BF08AE" w:rsidRDefault="00F526E1" w:rsidP="00F526E1">
            <w:pPr>
              <w:spacing w:line="240" w:lineRule="auto"/>
              <w:jc w:val="right"/>
              <w:rPr>
                <w:rFonts w:cs="Arial"/>
                <w:lang w:eastAsia="en-AU"/>
              </w:rPr>
            </w:pPr>
            <w:r>
              <w:rPr>
                <w:rFonts w:cs="Arial"/>
              </w:rPr>
              <w:t>17</w:t>
            </w:r>
          </w:p>
        </w:tc>
        <w:tc>
          <w:tcPr>
            <w:tcW w:w="784" w:type="dxa"/>
            <w:tcBorders>
              <w:top w:val="nil"/>
              <w:left w:val="nil"/>
              <w:bottom w:val="single" w:sz="4" w:space="0" w:color="auto"/>
              <w:right w:val="single" w:sz="4" w:space="0" w:color="auto"/>
            </w:tcBorders>
            <w:vAlign w:val="bottom"/>
          </w:tcPr>
          <w:p w14:paraId="1BBFBCA0" w14:textId="4DB63626" w:rsidR="00F526E1" w:rsidRPr="00C02800" w:rsidRDefault="00F526E1" w:rsidP="00F526E1">
            <w:pPr>
              <w:spacing w:line="240" w:lineRule="auto"/>
              <w:jc w:val="right"/>
              <w:rPr>
                <w:rFonts w:cs="Arial"/>
              </w:rPr>
            </w:pPr>
            <w:r>
              <w:rPr>
                <w:rFonts w:cs="Arial"/>
              </w:rPr>
              <w:t>27</w:t>
            </w:r>
          </w:p>
        </w:tc>
      </w:tr>
      <w:tr w:rsidR="00F526E1" w:rsidRPr="00557E24" w14:paraId="6DD4ED1F" w14:textId="77777777" w:rsidTr="00127A30">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FC3245" w14:textId="77777777" w:rsidR="00F526E1" w:rsidRPr="00557E24" w:rsidRDefault="00F526E1" w:rsidP="00F526E1">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bottom"/>
          </w:tcPr>
          <w:p w14:paraId="712146AC" w14:textId="0801D321" w:rsidR="00F526E1" w:rsidRPr="00BF08AE" w:rsidRDefault="00F526E1" w:rsidP="00F526E1">
            <w:pPr>
              <w:spacing w:line="240" w:lineRule="auto"/>
              <w:jc w:val="right"/>
              <w:rPr>
                <w:rFonts w:cs="Arial"/>
                <w:b/>
                <w:lang w:eastAsia="en-AU"/>
              </w:rPr>
            </w:pPr>
            <w:r>
              <w:rPr>
                <w:rFonts w:cs="Arial"/>
                <w:b/>
                <w:bCs/>
              </w:rPr>
              <w:t>54</w:t>
            </w:r>
          </w:p>
        </w:tc>
        <w:tc>
          <w:tcPr>
            <w:tcW w:w="784" w:type="dxa"/>
            <w:tcBorders>
              <w:top w:val="single" w:sz="4" w:space="0" w:color="auto"/>
              <w:left w:val="nil"/>
              <w:bottom w:val="single" w:sz="4" w:space="0" w:color="auto"/>
              <w:right w:val="single" w:sz="4" w:space="0" w:color="auto"/>
            </w:tcBorders>
            <w:shd w:val="clear" w:color="auto" w:fill="auto"/>
            <w:vAlign w:val="bottom"/>
          </w:tcPr>
          <w:p w14:paraId="24A12AE0" w14:textId="2115620E" w:rsidR="00F526E1" w:rsidRPr="00BF08AE" w:rsidRDefault="00F526E1" w:rsidP="00F526E1">
            <w:pPr>
              <w:spacing w:line="240" w:lineRule="auto"/>
              <w:jc w:val="right"/>
              <w:rPr>
                <w:rFonts w:cs="Arial"/>
                <w:b/>
                <w:lang w:eastAsia="en-AU"/>
              </w:rPr>
            </w:pPr>
            <w:r>
              <w:rPr>
                <w:rFonts w:cs="Arial"/>
                <w:b/>
                <w:bCs/>
              </w:rPr>
              <w:t>72</w:t>
            </w:r>
          </w:p>
        </w:tc>
        <w:tc>
          <w:tcPr>
            <w:tcW w:w="784" w:type="dxa"/>
            <w:tcBorders>
              <w:top w:val="single" w:sz="4" w:space="0" w:color="auto"/>
              <w:left w:val="nil"/>
              <w:bottom w:val="single" w:sz="4" w:space="0" w:color="auto"/>
              <w:right w:val="single" w:sz="4" w:space="0" w:color="auto"/>
            </w:tcBorders>
            <w:vAlign w:val="bottom"/>
          </w:tcPr>
          <w:p w14:paraId="55F6868D" w14:textId="06F9456E" w:rsidR="00F526E1" w:rsidRPr="00BF08AE" w:rsidRDefault="00F526E1" w:rsidP="00F526E1">
            <w:pPr>
              <w:spacing w:line="240" w:lineRule="auto"/>
              <w:jc w:val="right"/>
              <w:rPr>
                <w:rFonts w:cs="Arial"/>
                <w:b/>
                <w:lang w:eastAsia="en-AU"/>
              </w:rPr>
            </w:pPr>
            <w:r>
              <w:rPr>
                <w:rFonts w:cs="Arial"/>
                <w:b/>
                <w:bCs/>
              </w:rPr>
              <w:t>52</w:t>
            </w:r>
          </w:p>
        </w:tc>
        <w:tc>
          <w:tcPr>
            <w:tcW w:w="784" w:type="dxa"/>
            <w:tcBorders>
              <w:top w:val="single" w:sz="4" w:space="0" w:color="auto"/>
              <w:left w:val="nil"/>
              <w:bottom w:val="single" w:sz="4" w:space="0" w:color="auto"/>
              <w:right w:val="single" w:sz="4" w:space="0" w:color="auto"/>
            </w:tcBorders>
            <w:vAlign w:val="bottom"/>
          </w:tcPr>
          <w:p w14:paraId="6D94AB62" w14:textId="482B8569" w:rsidR="00F526E1" w:rsidRPr="00BF08AE" w:rsidRDefault="00F526E1" w:rsidP="00F526E1">
            <w:pPr>
              <w:spacing w:line="240" w:lineRule="auto"/>
              <w:jc w:val="right"/>
              <w:rPr>
                <w:rFonts w:cs="Arial"/>
                <w:b/>
                <w:lang w:eastAsia="en-AU"/>
              </w:rPr>
            </w:pPr>
            <w:r>
              <w:rPr>
                <w:rFonts w:cs="Arial"/>
                <w:b/>
                <w:bCs/>
              </w:rPr>
              <w:t>26</w:t>
            </w:r>
          </w:p>
        </w:tc>
        <w:tc>
          <w:tcPr>
            <w:tcW w:w="784" w:type="dxa"/>
            <w:tcBorders>
              <w:top w:val="single" w:sz="4" w:space="0" w:color="auto"/>
              <w:left w:val="nil"/>
              <w:bottom w:val="single" w:sz="4" w:space="0" w:color="auto"/>
              <w:right w:val="single" w:sz="4" w:space="0" w:color="auto"/>
            </w:tcBorders>
            <w:vAlign w:val="bottom"/>
          </w:tcPr>
          <w:p w14:paraId="7B7FB879" w14:textId="36ADBEA3" w:rsidR="00F526E1" w:rsidRPr="00C02800" w:rsidRDefault="00F526E1" w:rsidP="00F526E1">
            <w:pPr>
              <w:spacing w:line="240" w:lineRule="auto"/>
              <w:jc w:val="right"/>
              <w:rPr>
                <w:rFonts w:cs="Arial"/>
                <w:b/>
                <w:bCs/>
              </w:rPr>
            </w:pPr>
            <w:r>
              <w:rPr>
                <w:rFonts w:cs="Arial"/>
                <w:b/>
                <w:bCs/>
              </w:rPr>
              <w:t>50</w:t>
            </w:r>
          </w:p>
        </w:tc>
      </w:tr>
    </w:tbl>
    <w:p w14:paraId="19D7B370" w14:textId="18EEF851" w:rsidR="006F3C25" w:rsidRDefault="006F3C25" w:rsidP="00DD1B0A">
      <w:pPr>
        <w:ind w:left="-142" w:right="-425"/>
        <w:jc w:val="both"/>
        <w:rPr>
          <w:rFonts w:cs="Arial"/>
        </w:rPr>
      </w:pPr>
    </w:p>
    <w:p w14:paraId="7BAE3B75" w14:textId="0EC2B52B" w:rsidR="005A5B78" w:rsidRPr="002D4651" w:rsidRDefault="005A5B78" w:rsidP="00091CFE">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2DACE648" w:rsidR="00C872F0" w:rsidRDefault="006F3F88" w:rsidP="00964A63">
      <w:pPr>
        <w:ind w:left="-142" w:right="-425"/>
        <w:jc w:val="both"/>
        <w:rPr>
          <w:rFonts w:cs="Arial"/>
        </w:rPr>
      </w:pPr>
      <w:r>
        <w:rPr>
          <w:rFonts w:cs="Arial"/>
        </w:rPr>
        <w:t xml:space="preserve">A total of </w:t>
      </w:r>
      <w:r w:rsidR="00697703">
        <w:rPr>
          <w:rFonts w:cs="Arial"/>
        </w:rPr>
        <w:t xml:space="preserve">128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697703">
        <w:rPr>
          <w:rFonts w:cs="Arial"/>
        </w:rPr>
        <w:t>112</w:t>
      </w:r>
      <w:r w:rsidR="00697703" w:rsidRPr="003573E3">
        <w:rPr>
          <w:rFonts w:cs="Arial"/>
        </w:rPr>
        <w:t xml:space="preserve"> </w:t>
      </w:r>
      <w:r w:rsidR="001E5AFF" w:rsidRPr="003573E3">
        <w:rPr>
          <w:rFonts w:cs="Arial"/>
        </w:rPr>
        <w:t xml:space="preserve">clients </w:t>
      </w:r>
      <w:r>
        <w:rPr>
          <w:rFonts w:cs="Arial"/>
        </w:rPr>
        <w:t xml:space="preserve">were made in quarter </w:t>
      </w:r>
      <w:r w:rsidR="00951376">
        <w:rPr>
          <w:rFonts w:cs="Arial"/>
        </w:rPr>
        <w:t>56</w:t>
      </w:r>
      <w:r>
        <w:rPr>
          <w:rFonts w:cs="Arial"/>
        </w:rPr>
        <w:t>, a</w:t>
      </w:r>
      <w:r w:rsidR="00697703">
        <w:rPr>
          <w:rFonts w:cs="Arial"/>
        </w:rPr>
        <w:t xml:space="preserve">n increase </w:t>
      </w:r>
      <w:r w:rsidR="00FE0076" w:rsidRPr="003573E3">
        <w:rPr>
          <w:rFonts w:cs="Arial"/>
        </w:rPr>
        <w:t xml:space="preserve">from </w:t>
      </w:r>
      <w:r w:rsidR="00697703">
        <w:rPr>
          <w:rFonts w:cs="Arial"/>
        </w:rPr>
        <w:t>54</w:t>
      </w:r>
      <w:r w:rsidR="00697703" w:rsidRPr="003573E3">
        <w:rPr>
          <w:rFonts w:cs="Arial"/>
        </w:rPr>
        <w:t xml:space="preserve"> </w:t>
      </w:r>
      <w:r>
        <w:rPr>
          <w:rFonts w:cs="Arial"/>
        </w:rPr>
        <w:t xml:space="preserve">referrals </w:t>
      </w:r>
      <w:r w:rsidR="00FE0076" w:rsidRPr="003573E3">
        <w:rPr>
          <w:rFonts w:cs="Arial"/>
        </w:rPr>
        <w:t xml:space="preserve">in </w:t>
      </w:r>
      <w:r w:rsidR="000257CF" w:rsidRPr="003573E3">
        <w:rPr>
          <w:rFonts w:cs="Arial"/>
        </w:rPr>
        <w:t xml:space="preserve">quarter </w:t>
      </w:r>
      <w:r w:rsidR="00951376">
        <w:rPr>
          <w:rFonts w:cs="Arial"/>
        </w:rPr>
        <w:t>55</w:t>
      </w:r>
      <w:r w:rsidR="00C66FEE" w:rsidRPr="003573E3">
        <w:rPr>
          <w:rFonts w:cs="Arial"/>
        </w:rPr>
        <w:t xml:space="preserve">. </w:t>
      </w:r>
      <w:r w:rsidR="00633907" w:rsidRPr="003573E3">
        <w:rPr>
          <w:rFonts w:cs="Arial"/>
        </w:rPr>
        <w:t xml:space="preserve">Since </w:t>
      </w:r>
      <w:r w:rsidR="007E6EC6" w:rsidRPr="003573E3">
        <w:rPr>
          <w:rFonts w:cs="Arial"/>
        </w:rPr>
        <w:t>2008</w:t>
      </w:r>
      <w:r w:rsidR="00633907" w:rsidRPr="003573E3">
        <w:rPr>
          <w:rFonts w:cs="Arial"/>
        </w:rPr>
        <w:t xml:space="preserve"> the Commission has referred 1,</w:t>
      </w:r>
      <w:r w:rsidR="00B166A2">
        <w:rPr>
          <w:rFonts w:cs="Arial"/>
        </w:rPr>
        <w:t>3</w:t>
      </w:r>
      <w:r w:rsidR="00697703">
        <w:rPr>
          <w:rFonts w:cs="Arial"/>
        </w:rPr>
        <w:t>59</w:t>
      </w:r>
      <w:r w:rsidR="00B166A2" w:rsidRPr="003573E3">
        <w:rPr>
          <w:rFonts w:cs="Arial"/>
        </w:rPr>
        <w:t xml:space="preserve"> </w:t>
      </w:r>
      <w:r w:rsidR="00633907" w:rsidRPr="003573E3">
        <w:rPr>
          <w:rFonts w:cs="Arial"/>
        </w:rPr>
        <w:t>clients</w:t>
      </w:r>
      <w:r w:rsidR="007E6EC6" w:rsidRPr="003573E3">
        <w:rPr>
          <w:rFonts w:cs="Arial"/>
        </w:rPr>
        <w:t xml:space="preserve"> </w:t>
      </w:r>
      <w:r w:rsidR="00EE3BD8" w:rsidRPr="003573E3">
        <w:rPr>
          <w:rFonts w:cs="Arial"/>
        </w:rPr>
        <w:t>(</w:t>
      </w:r>
      <w:r w:rsidR="00B166A2">
        <w:rPr>
          <w:rFonts w:cs="Arial"/>
        </w:rPr>
        <w:t>70</w:t>
      </w:r>
      <w:r w:rsidR="00697703">
        <w:rPr>
          <w:rFonts w:cs="Arial"/>
        </w:rPr>
        <w:t>6</w:t>
      </w:r>
      <w:r w:rsidR="00B166A2" w:rsidRPr="003573E3">
        <w:rPr>
          <w:rFonts w:cs="Arial"/>
        </w:rPr>
        <w:t xml:space="preserve"> </w:t>
      </w:r>
      <w:r w:rsidR="00EE3BD8" w:rsidRPr="003573E3">
        <w:rPr>
          <w:rFonts w:cs="Arial"/>
        </w:rPr>
        <w:t xml:space="preserve">female and </w:t>
      </w:r>
      <w:r w:rsidR="00111D8A">
        <w:rPr>
          <w:rFonts w:cs="Arial"/>
        </w:rPr>
        <w:t>6</w:t>
      </w:r>
      <w:r w:rsidR="00697703">
        <w:rPr>
          <w:rFonts w:cs="Arial"/>
        </w:rPr>
        <w:t>53</w:t>
      </w:r>
      <w:r w:rsidR="00111D8A" w:rsidRPr="003573E3">
        <w:rPr>
          <w:rFonts w:cs="Arial"/>
        </w:rPr>
        <w:t xml:space="preserve"> </w:t>
      </w:r>
      <w:r w:rsidR="00EE3BD8" w:rsidRPr="003573E3">
        <w:rPr>
          <w:rFonts w:cs="Arial"/>
        </w:rPr>
        <w:t xml:space="preserve">male) </w:t>
      </w:r>
      <w:r w:rsidR="007E6EC6" w:rsidRPr="003573E3">
        <w:rPr>
          <w:rFonts w:cs="Arial"/>
        </w:rPr>
        <w:t>to service providers for assistance</w:t>
      </w:r>
      <w:r w:rsidR="00010BBF">
        <w:rPr>
          <w:rFonts w:cs="Arial"/>
        </w:rPr>
        <w:t xml:space="preserve"> under a </w:t>
      </w:r>
      <w:r w:rsidR="00F20A3E">
        <w:rPr>
          <w:rFonts w:cs="Arial"/>
        </w:rPr>
        <w:t>‘</w:t>
      </w:r>
      <w:r w:rsidR="00010BBF">
        <w:rPr>
          <w:rFonts w:cs="Arial"/>
        </w:rPr>
        <w:t>Family Responsibilities</w:t>
      </w:r>
      <w:r w:rsidR="00F20A3E">
        <w:rPr>
          <w:rFonts w:cs="Arial"/>
        </w:rPr>
        <w:t>’</w:t>
      </w:r>
      <w:r w:rsidR="00010BBF">
        <w:rPr>
          <w:rFonts w:cs="Arial"/>
        </w:rPr>
        <w:t xml:space="preserve"> Agreement or Order</w:t>
      </w:r>
      <w:r w:rsidR="00633907" w:rsidRPr="003573E3">
        <w:rPr>
          <w:rFonts w:cs="Arial"/>
        </w:rPr>
        <w:t xml:space="preserve">. </w:t>
      </w:r>
      <w:r w:rsidR="005A5B78" w:rsidRPr="003573E3">
        <w:rPr>
          <w:rFonts w:cs="Arial"/>
        </w:rPr>
        <w:t>Referrals in the communities</w:t>
      </w:r>
      <w:r w:rsidR="005A5B78" w:rsidRPr="00A27155">
        <w:rPr>
          <w:rFonts w:cs="Arial"/>
        </w:rPr>
        <w:t xml:space="preserve"> </w:t>
      </w:r>
      <w:r w:rsidR="008136E8">
        <w:rPr>
          <w:rFonts w:cs="Arial"/>
        </w:rPr>
        <w:t xml:space="preserve">for </w:t>
      </w:r>
      <w:r w:rsidR="008136E8">
        <w:t>decisions by agreement and order</w:t>
      </w:r>
      <w:r w:rsidR="008136E8">
        <w:rPr>
          <w:rFonts w:cs="Arial"/>
        </w:rPr>
        <w:t xml:space="preserve"> </w:t>
      </w:r>
      <w:r w:rsidR="005A5B78" w:rsidRPr="00A27155">
        <w:rPr>
          <w:rFonts w:cs="Arial"/>
        </w:rPr>
        <w:t xml:space="preserve">during </w:t>
      </w:r>
      <w:r w:rsidR="005A5B78" w:rsidRPr="0040025B">
        <w:rPr>
          <w:rFonts w:cs="Arial"/>
        </w:rPr>
        <w:t xml:space="preserve">the quarter were as follows: Aurukun </w:t>
      </w:r>
      <w:r w:rsidR="00697703">
        <w:rPr>
          <w:rFonts w:cs="Arial"/>
        </w:rPr>
        <w:t>increased</w:t>
      </w:r>
      <w:r w:rsidR="00697703" w:rsidRPr="0040025B">
        <w:rPr>
          <w:rFonts w:cs="Arial"/>
        </w:rPr>
        <w:t xml:space="preserve"> </w:t>
      </w:r>
      <w:r w:rsidR="00A27155" w:rsidRPr="0040025B">
        <w:rPr>
          <w:rFonts w:cs="Arial"/>
        </w:rPr>
        <w:t xml:space="preserve">by </w:t>
      </w:r>
      <w:r w:rsidR="00697703">
        <w:rPr>
          <w:rFonts w:cs="Arial"/>
        </w:rPr>
        <w:t>38</w:t>
      </w:r>
      <w:r w:rsidR="001E5AFF">
        <w:rPr>
          <w:rFonts w:cs="Arial"/>
        </w:rPr>
        <w:t>,</w:t>
      </w:r>
      <w:r w:rsidR="005A5B78" w:rsidRPr="0040025B">
        <w:rPr>
          <w:rFonts w:cs="Arial"/>
        </w:rPr>
        <w:t xml:space="preserve"> Coen </w:t>
      </w:r>
      <w:r w:rsidR="00697703">
        <w:rPr>
          <w:rFonts w:cs="Arial"/>
        </w:rPr>
        <w:t xml:space="preserve">increased </w:t>
      </w:r>
      <w:r w:rsidR="00F751CA">
        <w:rPr>
          <w:rFonts w:cs="Arial"/>
        </w:rPr>
        <w:t xml:space="preserve">by </w:t>
      </w:r>
      <w:r w:rsidR="00697703">
        <w:rPr>
          <w:rFonts w:cs="Arial"/>
        </w:rPr>
        <w:t>5</w:t>
      </w:r>
      <w:r w:rsidR="001E5AFF">
        <w:rPr>
          <w:rFonts w:cs="Arial"/>
        </w:rPr>
        <w:t>,</w:t>
      </w:r>
      <w:r w:rsidR="005A5B78" w:rsidRPr="0040025B">
        <w:rPr>
          <w:rFonts w:cs="Arial"/>
        </w:rPr>
        <w:t xml:space="preserve"> </w:t>
      </w:r>
      <w:r w:rsidR="00CB55CE" w:rsidRPr="0040025B">
        <w:rPr>
          <w:rFonts w:cs="Arial"/>
        </w:rPr>
        <w:t xml:space="preserve">Doomadgee </w:t>
      </w:r>
      <w:r w:rsidR="00697703">
        <w:rPr>
          <w:rFonts w:cs="Arial"/>
        </w:rPr>
        <w:t xml:space="preserve">increased </w:t>
      </w:r>
      <w:r w:rsidR="00533727">
        <w:rPr>
          <w:rFonts w:cs="Arial"/>
        </w:rPr>
        <w:t xml:space="preserve">by </w:t>
      </w:r>
      <w:r w:rsidR="00697703">
        <w:rPr>
          <w:rFonts w:cs="Arial"/>
        </w:rPr>
        <w:t>2</w:t>
      </w:r>
      <w:r w:rsidR="00B166A2">
        <w:rPr>
          <w:rFonts w:cs="Arial"/>
        </w:rPr>
        <w:t>4</w:t>
      </w:r>
      <w:r w:rsidR="001E5AFF">
        <w:rPr>
          <w:rFonts w:cs="Arial"/>
        </w:rPr>
        <w:t>,</w:t>
      </w:r>
      <w:r w:rsidR="00533727">
        <w:rPr>
          <w:rFonts w:cs="Arial"/>
        </w:rPr>
        <w:t xml:space="preserve"> </w:t>
      </w:r>
      <w:r w:rsidR="003C0891">
        <w:rPr>
          <w:rFonts w:cs="Arial"/>
        </w:rPr>
        <w:t xml:space="preserve">Hope Vale </w:t>
      </w:r>
      <w:r w:rsidR="009E1EDC">
        <w:rPr>
          <w:rFonts w:cs="Arial"/>
        </w:rPr>
        <w:t xml:space="preserve">decreased </w:t>
      </w:r>
      <w:r w:rsidR="00F45AA8">
        <w:rPr>
          <w:rFonts w:cs="Arial"/>
        </w:rPr>
        <w:t xml:space="preserve">by </w:t>
      </w:r>
      <w:r w:rsidR="008B2178">
        <w:rPr>
          <w:rFonts w:cs="Arial"/>
        </w:rPr>
        <w:t>6</w:t>
      </w:r>
      <w:r w:rsidR="00B0165E">
        <w:rPr>
          <w:rFonts w:cs="Arial"/>
        </w:rPr>
        <w:t xml:space="preserve"> </w:t>
      </w:r>
      <w:r w:rsidR="00604D65">
        <w:rPr>
          <w:rFonts w:cs="Arial"/>
        </w:rPr>
        <w:t xml:space="preserve">and Mossman Gorge </w:t>
      </w:r>
      <w:r w:rsidR="008B2178">
        <w:rPr>
          <w:rFonts w:cs="Arial"/>
        </w:rPr>
        <w:t>decreased by 7</w:t>
      </w:r>
      <w:r w:rsidR="00B166A2">
        <w:rPr>
          <w:rFonts w:cs="Arial"/>
        </w:rPr>
        <w:t xml:space="preserve"> referrals for the quarter</w:t>
      </w:r>
      <w:r w:rsidR="00604D65">
        <w:rPr>
          <w:rFonts w:cs="Arial"/>
        </w:rPr>
        <w:t>.</w:t>
      </w:r>
    </w:p>
    <w:p w14:paraId="57176A3D" w14:textId="33F28143" w:rsidR="00683630" w:rsidRDefault="00683630" w:rsidP="002E156B">
      <w:pPr>
        <w:tabs>
          <w:tab w:val="left" w:pos="0"/>
        </w:tabs>
        <w:ind w:left="426" w:right="-425" w:hanging="568"/>
        <w:jc w:val="both"/>
        <w:rPr>
          <w:rFonts w:cs="Arial"/>
        </w:rPr>
      </w:pPr>
    </w:p>
    <w:p w14:paraId="73BBC2B2" w14:textId="6EE159D1" w:rsidR="00085A55" w:rsidRPr="00D925BE" w:rsidRDefault="00085A55" w:rsidP="00085A55">
      <w:pPr>
        <w:pStyle w:val="TableCaption"/>
        <w:spacing w:before="0"/>
        <w:ind w:left="0" w:right="-425"/>
        <w:rPr>
          <w:b/>
          <w:i w:val="0"/>
          <w:sz w:val="16"/>
        </w:rPr>
      </w:pPr>
      <w:r>
        <w:rPr>
          <w:b/>
          <w:i w:val="0"/>
          <w:sz w:val="16"/>
        </w:rPr>
        <w:t>Table 17</w:t>
      </w:r>
      <w:r w:rsidRPr="00F85AA1">
        <w:rPr>
          <w:b/>
          <w:i w:val="0"/>
          <w:sz w:val="16"/>
        </w:rPr>
        <w:t xml:space="preserve">: </w:t>
      </w:r>
      <w:r w:rsidRPr="00F85AA1">
        <w:rPr>
          <w:i w:val="0"/>
          <w:sz w:val="16"/>
        </w:rPr>
        <w:t xml:space="preserve">Referral pathways by referral type and quarter 1 </w:t>
      </w:r>
      <w:r>
        <w:rPr>
          <w:i w:val="0"/>
          <w:sz w:val="16"/>
        </w:rPr>
        <w:t>April 2021 to 30 June 2022</w:t>
      </w:r>
    </w:p>
    <w:tbl>
      <w:tblPr>
        <w:tblW w:w="7134" w:type="dxa"/>
        <w:tblInd w:w="93" w:type="dxa"/>
        <w:tblLook w:val="04A0" w:firstRow="1" w:lastRow="0" w:firstColumn="1" w:lastColumn="0" w:noHBand="0" w:noVBand="1"/>
      </w:tblPr>
      <w:tblGrid>
        <w:gridCol w:w="2029"/>
        <w:gridCol w:w="1134"/>
        <w:gridCol w:w="992"/>
        <w:gridCol w:w="993"/>
        <w:gridCol w:w="993"/>
        <w:gridCol w:w="993"/>
      </w:tblGrid>
      <w:tr w:rsidR="00085A55" w:rsidRPr="00C5395B" w14:paraId="4006BDBB" w14:textId="77777777" w:rsidTr="005D3292">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052909B9" w14:textId="77777777" w:rsidR="00085A55" w:rsidRPr="00C5395B" w:rsidRDefault="00085A55" w:rsidP="00085A55">
            <w:pPr>
              <w:pStyle w:val="TableText"/>
              <w:rPr>
                <w:b/>
                <w:lang w:eastAsia="en-AU"/>
              </w:rPr>
            </w:pPr>
            <w:r w:rsidRPr="00C5395B">
              <w:rPr>
                <w:b/>
                <w:lang w:eastAsia="en-AU"/>
              </w:rPr>
              <w:t>Community</w:t>
            </w:r>
          </w:p>
        </w:tc>
        <w:tc>
          <w:tcPr>
            <w:tcW w:w="1134" w:type="dxa"/>
            <w:tcBorders>
              <w:top w:val="single" w:sz="4" w:space="0" w:color="auto"/>
              <w:left w:val="nil"/>
              <w:bottom w:val="single" w:sz="4" w:space="0" w:color="auto"/>
              <w:right w:val="single" w:sz="4" w:space="0" w:color="auto"/>
            </w:tcBorders>
          </w:tcPr>
          <w:p w14:paraId="1266B6C8" w14:textId="603E15C7" w:rsidR="00085A55" w:rsidRDefault="00085A55" w:rsidP="00085A55">
            <w:pPr>
              <w:pStyle w:val="TableText"/>
              <w:jc w:val="right"/>
              <w:rPr>
                <w:b/>
                <w:lang w:eastAsia="en-AU"/>
              </w:rPr>
            </w:pPr>
            <w:r>
              <w:rPr>
                <w:b/>
                <w:lang w:eastAsia="en-AU"/>
              </w:rPr>
              <w:t>Qtr 52</w:t>
            </w:r>
          </w:p>
        </w:tc>
        <w:tc>
          <w:tcPr>
            <w:tcW w:w="992" w:type="dxa"/>
            <w:tcBorders>
              <w:top w:val="single" w:sz="4" w:space="0" w:color="auto"/>
              <w:left w:val="nil"/>
              <w:bottom w:val="single" w:sz="4" w:space="0" w:color="auto"/>
              <w:right w:val="single" w:sz="4" w:space="0" w:color="auto"/>
            </w:tcBorders>
          </w:tcPr>
          <w:p w14:paraId="097ECF75" w14:textId="62EC2568" w:rsidR="00085A55" w:rsidRDefault="00085A55" w:rsidP="00085A55">
            <w:pPr>
              <w:pStyle w:val="TableText"/>
              <w:jc w:val="right"/>
              <w:rPr>
                <w:b/>
                <w:lang w:eastAsia="en-AU"/>
              </w:rPr>
            </w:pPr>
            <w:r>
              <w:rPr>
                <w:b/>
                <w:lang w:eastAsia="en-AU"/>
              </w:rPr>
              <w:t>Qtr 53</w:t>
            </w:r>
          </w:p>
        </w:tc>
        <w:tc>
          <w:tcPr>
            <w:tcW w:w="993" w:type="dxa"/>
            <w:tcBorders>
              <w:top w:val="single" w:sz="4" w:space="0" w:color="auto"/>
              <w:left w:val="nil"/>
              <w:bottom w:val="single" w:sz="4" w:space="0" w:color="auto"/>
              <w:right w:val="single" w:sz="4" w:space="0" w:color="auto"/>
            </w:tcBorders>
          </w:tcPr>
          <w:p w14:paraId="60E962D7" w14:textId="4CE90BB2" w:rsidR="00085A55" w:rsidRDefault="00085A55" w:rsidP="00085A55">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7481B9CE" w14:textId="7EFC2F0D" w:rsidR="00085A55" w:rsidRDefault="00085A55" w:rsidP="00085A55">
            <w:pPr>
              <w:pStyle w:val="TableText"/>
              <w:jc w:val="right"/>
              <w:rPr>
                <w:b/>
                <w:lang w:eastAsia="en-AU"/>
              </w:rPr>
            </w:pPr>
            <w:r>
              <w:rPr>
                <w:b/>
                <w:lang w:eastAsia="en-AU"/>
              </w:rPr>
              <w:t>Qtr 55</w:t>
            </w:r>
          </w:p>
        </w:tc>
        <w:tc>
          <w:tcPr>
            <w:tcW w:w="993" w:type="dxa"/>
            <w:tcBorders>
              <w:top w:val="single" w:sz="4" w:space="0" w:color="auto"/>
              <w:left w:val="nil"/>
              <w:bottom w:val="single" w:sz="4" w:space="0" w:color="auto"/>
              <w:right w:val="single" w:sz="4" w:space="0" w:color="auto"/>
            </w:tcBorders>
          </w:tcPr>
          <w:p w14:paraId="2FC1FCA9" w14:textId="4FDB65E6" w:rsidR="00085A55" w:rsidRDefault="00085A55" w:rsidP="00085A55">
            <w:pPr>
              <w:pStyle w:val="TableText"/>
              <w:jc w:val="right"/>
              <w:rPr>
                <w:b/>
                <w:lang w:eastAsia="en-AU"/>
              </w:rPr>
            </w:pPr>
            <w:r>
              <w:rPr>
                <w:b/>
                <w:lang w:eastAsia="en-AU"/>
              </w:rPr>
              <w:t>Qtr 56</w:t>
            </w:r>
          </w:p>
        </w:tc>
      </w:tr>
      <w:tr w:rsidR="00085A55" w:rsidRPr="00C5395B" w14:paraId="7F536AB6" w14:textId="77777777" w:rsidTr="00D943E0">
        <w:trPr>
          <w:trHeight w:val="255"/>
        </w:trPr>
        <w:tc>
          <w:tcPr>
            <w:tcW w:w="2029" w:type="dxa"/>
            <w:tcBorders>
              <w:top w:val="nil"/>
              <w:left w:val="single" w:sz="4" w:space="0" w:color="auto"/>
              <w:bottom w:val="single" w:sz="4" w:space="0" w:color="auto"/>
              <w:right w:val="single" w:sz="4" w:space="0" w:color="auto"/>
            </w:tcBorders>
            <w:noWrap/>
            <w:hideMark/>
          </w:tcPr>
          <w:p w14:paraId="5DA97CB5" w14:textId="77777777" w:rsidR="00085A55" w:rsidRPr="00C5395B" w:rsidRDefault="00085A55" w:rsidP="00085A55">
            <w:pPr>
              <w:pStyle w:val="TableText"/>
              <w:rPr>
                <w:lang w:eastAsia="en-AU"/>
              </w:rPr>
            </w:pPr>
            <w:r w:rsidRPr="00C5395B">
              <w:rPr>
                <w:lang w:eastAsia="en-AU"/>
              </w:rPr>
              <w:t>Aurukun</w:t>
            </w:r>
          </w:p>
        </w:tc>
        <w:tc>
          <w:tcPr>
            <w:tcW w:w="1134" w:type="dxa"/>
            <w:tcBorders>
              <w:top w:val="nil"/>
              <w:left w:val="nil"/>
              <w:bottom w:val="single" w:sz="4" w:space="0" w:color="auto"/>
              <w:right w:val="single" w:sz="4" w:space="0" w:color="auto"/>
            </w:tcBorders>
            <w:vAlign w:val="bottom"/>
          </w:tcPr>
          <w:p w14:paraId="4A221A6C" w14:textId="1D57AEBD" w:rsidR="00085A55" w:rsidRPr="00AA5933" w:rsidRDefault="00085A55" w:rsidP="00085A55">
            <w:pPr>
              <w:jc w:val="right"/>
              <w:rPr>
                <w:rFonts w:cs="Arial"/>
              </w:rPr>
            </w:pPr>
            <w:r w:rsidRPr="007E5A38">
              <w:rPr>
                <w:rFonts w:cs="Arial"/>
              </w:rPr>
              <w:t>56</w:t>
            </w:r>
          </w:p>
        </w:tc>
        <w:tc>
          <w:tcPr>
            <w:tcW w:w="992" w:type="dxa"/>
            <w:tcBorders>
              <w:top w:val="nil"/>
              <w:left w:val="nil"/>
              <w:bottom w:val="single" w:sz="4" w:space="0" w:color="auto"/>
              <w:right w:val="single" w:sz="4" w:space="0" w:color="auto"/>
            </w:tcBorders>
          </w:tcPr>
          <w:p w14:paraId="195C85F1" w14:textId="28AEEAEE" w:rsidR="00085A55" w:rsidRPr="00DF7212" w:rsidRDefault="00085A55" w:rsidP="00085A55">
            <w:pPr>
              <w:jc w:val="right"/>
              <w:rPr>
                <w:rFonts w:cs="Arial"/>
              </w:rPr>
            </w:pPr>
            <w:r w:rsidRPr="003069C4">
              <w:rPr>
                <w:rFonts w:cs="Arial"/>
              </w:rPr>
              <w:t>75</w:t>
            </w:r>
          </w:p>
        </w:tc>
        <w:tc>
          <w:tcPr>
            <w:tcW w:w="993" w:type="dxa"/>
            <w:tcBorders>
              <w:top w:val="nil"/>
              <w:left w:val="nil"/>
              <w:bottom w:val="single" w:sz="4" w:space="0" w:color="auto"/>
              <w:right w:val="single" w:sz="4" w:space="0" w:color="auto"/>
            </w:tcBorders>
          </w:tcPr>
          <w:p w14:paraId="0D8B26D3" w14:textId="56740BA8" w:rsidR="00085A55" w:rsidRPr="007E5A38" w:rsidRDefault="00085A55" w:rsidP="00085A55">
            <w:pPr>
              <w:jc w:val="right"/>
              <w:rPr>
                <w:rFonts w:cs="Arial"/>
              </w:rPr>
            </w:pPr>
            <w:r>
              <w:rPr>
                <w:rFonts w:cs="Arial"/>
              </w:rPr>
              <w:t>38</w:t>
            </w:r>
          </w:p>
        </w:tc>
        <w:tc>
          <w:tcPr>
            <w:tcW w:w="993" w:type="dxa"/>
            <w:tcBorders>
              <w:top w:val="nil"/>
              <w:left w:val="nil"/>
              <w:bottom w:val="single" w:sz="4" w:space="0" w:color="auto"/>
              <w:right w:val="single" w:sz="4" w:space="0" w:color="auto"/>
            </w:tcBorders>
          </w:tcPr>
          <w:p w14:paraId="2E5D2FF0" w14:textId="607F9DC6" w:rsidR="00085A55" w:rsidRPr="003069C4" w:rsidRDefault="00085A55" w:rsidP="00085A55">
            <w:pPr>
              <w:jc w:val="right"/>
              <w:rPr>
                <w:rFonts w:cs="Arial"/>
              </w:rPr>
            </w:pPr>
            <w:r>
              <w:rPr>
                <w:rFonts w:cs="Arial"/>
              </w:rPr>
              <w:t>22</w:t>
            </w:r>
          </w:p>
        </w:tc>
        <w:tc>
          <w:tcPr>
            <w:tcW w:w="993" w:type="dxa"/>
            <w:tcBorders>
              <w:top w:val="nil"/>
              <w:left w:val="nil"/>
              <w:bottom w:val="single" w:sz="4" w:space="0" w:color="auto"/>
              <w:right w:val="single" w:sz="4" w:space="0" w:color="auto"/>
            </w:tcBorders>
          </w:tcPr>
          <w:p w14:paraId="4804E85F" w14:textId="79DC618E" w:rsidR="00085A55" w:rsidRDefault="00085A55" w:rsidP="00085A55">
            <w:pPr>
              <w:jc w:val="right"/>
              <w:rPr>
                <w:rFonts w:cs="Arial"/>
              </w:rPr>
            </w:pPr>
            <w:r>
              <w:rPr>
                <w:rFonts w:cs="Arial"/>
              </w:rPr>
              <w:t>60</w:t>
            </w:r>
          </w:p>
        </w:tc>
      </w:tr>
      <w:tr w:rsidR="00085A55" w:rsidRPr="00C5395B" w14:paraId="46656802" w14:textId="77777777" w:rsidTr="00D943E0">
        <w:trPr>
          <w:trHeight w:val="255"/>
        </w:trPr>
        <w:tc>
          <w:tcPr>
            <w:tcW w:w="2029" w:type="dxa"/>
            <w:tcBorders>
              <w:top w:val="nil"/>
              <w:left w:val="single" w:sz="4" w:space="0" w:color="auto"/>
              <w:bottom w:val="single" w:sz="4" w:space="0" w:color="auto"/>
              <w:right w:val="single" w:sz="4" w:space="0" w:color="auto"/>
            </w:tcBorders>
            <w:noWrap/>
            <w:hideMark/>
          </w:tcPr>
          <w:p w14:paraId="3E31BF07" w14:textId="77777777" w:rsidR="00085A55" w:rsidRPr="00C5395B" w:rsidRDefault="00085A55" w:rsidP="00085A55">
            <w:pPr>
              <w:pStyle w:val="TableText"/>
              <w:rPr>
                <w:lang w:eastAsia="en-AU"/>
              </w:rPr>
            </w:pPr>
            <w:r w:rsidRPr="00C5395B">
              <w:rPr>
                <w:lang w:eastAsia="en-AU"/>
              </w:rPr>
              <w:t>Coen</w:t>
            </w:r>
          </w:p>
        </w:tc>
        <w:tc>
          <w:tcPr>
            <w:tcW w:w="1134" w:type="dxa"/>
            <w:tcBorders>
              <w:top w:val="nil"/>
              <w:left w:val="nil"/>
              <w:bottom w:val="single" w:sz="4" w:space="0" w:color="auto"/>
              <w:right w:val="single" w:sz="4" w:space="0" w:color="auto"/>
            </w:tcBorders>
            <w:vAlign w:val="bottom"/>
          </w:tcPr>
          <w:p w14:paraId="157A5393" w14:textId="6BEB19E5" w:rsidR="00085A55" w:rsidRPr="00AA5933" w:rsidRDefault="00085A55" w:rsidP="00085A55">
            <w:pPr>
              <w:jc w:val="right"/>
              <w:rPr>
                <w:rFonts w:cs="Arial"/>
              </w:rPr>
            </w:pPr>
            <w:r w:rsidRPr="007E5A38">
              <w:rPr>
                <w:rFonts w:cs="Arial"/>
              </w:rPr>
              <w:t>13</w:t>
            </w:r>
          </w:p>
        </w:tc>
        <w:tc>
          <w:tcPr>
            <w:tcW w:w="992" w:type="dxa"/>
            <w:tcBorders>
              <w:top w:val="nil"/>
              <w:left w:val="nil"/>
              <w:bottom w:val="single" w:sz="4" w:space="0" w:color="auto"/>
              <w:right w:val="single" w:sz="4" w:space="0" w:color="auto"/>
            </w:tcBorders>
          </w:tcPr>
          <w:p w14:paraId="10E4F4B0" w14:textId="71954E18" w:rsidR="00085A55" w:rsidRPr="00DF7212" w:rsidRDefault="00085A55" w:rsidP="00085A55">
            <w:pPr>
              <w:jc w:val="right"/>
              <w:rPr>
                <w:rFonts w:cs="Arial"/>
              </w:rPr>
            </w:pPr>
            <w:r w:rsidRPr="003069C4">
              <w:rPr>
                <w:rFonts w:cs="Arial"/>
              </w:rPr>
              <w:t>11</w:t>
            </w:r>
          </w:p>
        </w:tc>
        <w:tc>
          <w:tcPr>
            <w:tcW w:w="993" w:type="dxa"/>
            <w:tcBorders>
              <w:top w:val="nil"/>
              <w:left w:val="nil"/>
              <w:bottom w:val="single" w:sz="4" w:space="0" w:color="auto"/>
              <w:right w:val="single" w:sz="4" w:space="0" w:color="auto"/>
            </w:tcBorders>
          </w:tcPr>
          <w:p w14:paraId="3A8BC5F3" w14:textId="7F05632B" w:rsidR="00085A55" w:rsidRPr="007E5A38" w:rsidRDefault="00085A55" w:rsidP="00085A55">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1F35D618" w14:textId="660C5BB5" w:rsidR="00085A55" w:rsidRPr="003069C4" w:rsidRDefault="00085A55" w:rsidP="00085A55">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6F630FE3" w14:textId="4A6FB1ED" w:rsidR="00085A55" w:rsidRDefault="00085A55" w:rsidP="00085A55">
            <w:pPr>
              <w:jc w:val="right"/>
              <w:rPr>
                <w:rFonts w:cs="Arial"/>
              </w:rPr>
            </w:pPr>
            <w:r>
              <w:rPr>
                <w:rFonts w:cs="Arial"/>
              </w:rPr>
              <w:t>10</w:t>
            </w:r>
          </w:p>
        </w:tc>
      </w:tr>
      <w:tr w:rsidR="00085A55" w:rsidRPr="00C5395B" w14:paraId="570E16D0" w14:textId="77777777" w:rsidTr="00D943E0">
        <w:trPr>
          <w:trHeight w:val="255"/>
        </w:trPr>
        <w:tc>
          <w:tcPr>
            <w:tcW w:w="2029" w:type="dxa"/>
            <w:tcBorders>
              <w:top w:val="nil"/>
              <w:left w:val="single" w:sz="4" w:space="0" w:color="auto"/>
              <w:bottom w:val="single" w:sz="4" w:space="0" w:color="auto"/>
              <w:right w:val="single" w:sz="4" w:space="0" w:color="auto"/>
            </w:tcBorders>
            <w:noWrap/>
          </w:tcPr>
          <w:p w14:paraId="3B53E7F9" w14:textId="77777777" w:rsidR="00085A55" w:rsidRPr="00C5395B" w:rsidRDefault="00085A55" w:rsidP="00085A55">
            <w:pPr>
              <w:pStyle w:val="TableText"/>
              <w:rPr>
                <w:lang w:eastAsia="en-AU"/>
              </w:rPr>
            </w:pPr>
            <w:r>
              <w:rPr>
                <w:lang w:eastAsia="en-AU"/>
              </w:rPr>
              <w:t>Doomadgee</w:t>
            </w:r>
          </w:p>
        </w:tc>
        <w:tc>
          <w:tcPr>
            <w:tcW w:w="1134" w:type="dxa"/>
            <w:tcBorders>
              <w:top w:val="nil"/>
              <w:left w:val="nil"/>
              <w:bottom w:val="single" w:sz="4" w:space="0" w:color="auto"/>
              <w:right w:val="single" w:sz="4" w:space="0" w:color="auto"/>
            </w:tcBorders>
            <w:vAlign w:val="bottom"/>
          </w:tcPr>
          <w:p w14:paraId="1CF70DBB" w14:textId="0BB81E70" w:rsidR="00085A55" w:rsidRPr="00AA5933" w:rsidRDefault="00085A55" w:rsidP="00085A55">
            <w:pPr>
              <w:jc w:val="right"/>
              <w:rPr>
                <w:rFonts w:cs="Arial"/>
              </w:rPr>
            </w:pPr>
            <w:r w:rsidRPr="007E5A38">
              <w:rPr>
                <w:rFonts w:cs="Arial"/>
              </w:rPr>
              <w:t>30</w:t>
            </w:r>
          </w:p>
        </w:tc>
        <w:tc>
          <w:tcPr>
            <w:tcW w:w="992" w:type="dxa"/>
            <w:tcBorders>
              <w:top w:val="nil"/>
              <w:left w:val="nil"/>
              <w:bottom w:val="single" w:sz="4" w:space="0" w:color="auto"/>
              <w:right w:val="single" w:sz="4" w:space="0" w:color="auto"/>
            </w:tcBorders>
          </w:tcPr>
          <w:p w14:paraId="4CD68358" w14:textId="5899316A" w:rsidR="00085A55" w:rsidRPr="00DF7212" w:rsidRDefault="00085A55" w:rsidP="00085A55">
            <w:pPr>
              <w:jc w:val="right"/>
              <w:rPr>
                <w:rFonts w:cs="Arial"/>
              </w:rPr>
            </w:pPr>
            <w:r w:rsidRPr="003069C4">
              <w:rPr>
                <w:rFonts w:cs="Arial"/>
              </w:rPr>
              <w:t>44</w:t>
            </w:r>
          </w:p>
        </w:tc>
        <w:tc>
          <w:tcPr>
            <w:tcW w:w="993" w:type="dxa"/>
            <w:tcBorders>
              <w:top w:val="nil"/>
              <w:left w:val="nil"/>
              <w:bottom w:val="single" w:sz="4" w:space="0" w:color="auto"/>
              <w:right w:val="single" w:sz="4" w:space="0" w:color="auto"/>
            </w:tcBorders>
          </w:tcPr>
          <w:p w14:paraId="5C799A96" w14:textId="725E0C16" w:rsidR="00085A55" w:rsidRPr="007E5A38" w:rsidRDefault="00085A55" w:rsidP="00085A55">
            <w:pPr>
              <w:jc w:val="right"/>
              <w:rPr>
                <w:rFonts w:cs="Arial"/>
              </w:rPr>
            </w:pPr>
            <w:r>
              <w:rPr>
                <w:rFonts w:cs="Arial"/>
              </w:rPr>
              <w:t>31</w:t>
            </w:r>
          </w:p>
        </w:tc>
        <w:tc>
          <w:tcPr>
            <w:tcW w:w="993" w:type="dxa"/>
            <w:tcBorders>
              <w:top w:val="nil"/>
              <w:left w:val="nil"/>
              <w:bottom w:val="single" w:sz="4" w:space="0" w:color="auto"/>
              <w:right w:val="single" w:sz="4" w:space="0" w:color="auto"/>
            </w:tcBorders>
          </w:tcPr>
          <w:p w14:paraId="402C619B" w14:textId="09491FEF" w:rsidR="00085A55" w:rsidRPr="003069C4" w:rsidRDefault="00085A55" w:rsidP="00085A55">
            <w:pPr>
              <w:jc w:val="right"/>
              <w:rPr>
                <w:rFonts w:cs="Arial"/>
              </w:rPr>
            </w:pPr>
            <w:r>
              <w:rPr>
                <w:rFonts w:cs="Arial"/>
              </w:rPr>
              <w:t>27</w:t>
            </w:r>
          </w:p>
        </w:tc>
        <w:tc>
          <w:tcPr>
            <w:tcW w:w="993" w:type="dxa"/>
            <w:tcBorders>
              <w:top w:val="nil"/>
              <w:left w:val="nil"/>
              <w:bottom w:val="single" w:sz="4" w:space="0" w:color="auto"/>
              <w:right w:val="single" w:sz="4" w:space="0" w:color="auto"/>
            </w:tcBorders>
          </w:tcPr>
          <w:p w14:paraId="01A94D7B" w14:textId="2237109C" w:rsidR="00085A55" w:rsidRDefault="00085A55" w:rsidP="00085A55">
            <w:pPr>
              <w:jc w:val="right"/>
              <w:rPr>
                <w:rFonts w:cs="Arial"/>
              </w:rPr>
            </w:pPr>
            <w:r>
              <w:rPr>
                <w:rFonts w:cs="Arial"/>
              </w:rPr>
              <w:t>51</w:t>
            </w:r>
          </w:p>
        </w:tc>
      </w:tr>
      <w:tr w:rsidR="00085A55" w:rsidRPr="00C5395B" w14:paraId="418ADDEA" w14:textId="77777777" w:rsidTr="00D943E0">
        <w:trPr>
          <w:trHeight w:val="255"/>
        </w:trPr>
        <w:tc>
          <w:tcPr>
            <w:tcW w:w="2029" w:type="dxa"/>
            <w:tcBorders>
              <w:top w:val="nil"/>
              <w:left w:val="single" w:sz="4" w:space="0" w:color="auto"/>
              <w:bottom w:val="single" w:sz="4" w:space="0" w:color="auto"/>
              <w:right w:val="single" w:sz="4" w:space="0" w:color="auto"/>
            </w:tcBorders>
            <w:noWrap/>
          </w:tcPr>
          <w:p w14:paraId="528E0D11" w14:textId="77777777" w:rsidR="00085A55" w:rsidRPr="00C5395B" w:rsidRDefault="00085A55" w:rsidP="00085A55">
            <w:pPr>
              <w:pStyle w:val="TableText"/>
              <w:rPr>
                <w:lang w:eastAsia="en-AU"/>
              </w:rPr>
            </w:pPr>
            <w:r>
              <w:rPr>
                <w:lang w:eastAsia="en-AU"/>
              </w:rPr>
              <w:t>Hope Vale</w:t>
            </w:r>
          </w:p>
        </w:tc>
        <w:tc>
          <w:tcPr>
            <w:tcW w:w="1134" w:type="dxa"/>
            <w:tcBorders>
              <w:top w:val="nil"/>
              <w:left w:val="nil"/>
              <w:bottom w:val="single" w:sz="4" w:space="0" w:color="auto"/>
              <w:right w:val="single" w:sz="4" w:space="0" w:color="auto"/>
            </w:tcBorders>
            <w:vAlign w:val="bottom"/>
          </w:tcPr>
          <w:p w14:paraId="2E9832DF" w14:textId="15A291E6" w:rsidR="00085A55" w:rsidRPr="00AA5933" w:rsidRDefault="00085A55" w:rsidP="00085A55">
            <w:pPr>
              <w:jc w:val="right"/>
              <w:rPr>
                <w:rFonts w:cs="Arial"/>
              </w:rPr>
            </w:pPr>
            <w:r w:rsidRPr="007E5A38">
              <w:rPr>
                <w:rFonts w:cs="Arial"/>
              </w:rPr>
              <w:t>23</w:t>
            </w:r>
          </w:p>
        </w:tc>
        <w:tc>
          <w:tcPr>
            <w:tcW w:w="992" w:type="dxa"/>
            <w:tcBorders>
              <w:top w:val="nil"/>
              <w:left w:val="nil"/>
              <w:bottom w:val="single" w:sz="4" w:space="0" w:color="auto"/>
              <w:right w:val="single" w:sz="4" w:space="0" w:color="auto"/>
            </w:tcBorders>
          </w:tcPr>
          <w:p w14:paraId="1FE46BDB" w14:textId="2E2F0677" w:rsidR="00085A55" w:rsidRPr="00DF7212" w:rsidRDefault="00085A55" w:rsidP="00085A55">
            <w:pPr>
              <w:jc w:val="right"/>
              <w:rPr>
                <w:rFonts w:cs="Arial"/>
              </w:rPr>
            </w:pPr>
            <w:r w:rsidRPr="003069C4">
              <w:rPr>
                <w:rFonts w:cs="Arial"/>
              </w:rPr>
              <w:t>14</w:t>
            </w:r>
          </w:p>
        </w:tc>
        <w:tc>
          <w:tcPr>
            <w:tcW w:w="993" w:type="dxa"/>
            <w:tcBorders>
              <w:top w:val="nil"/>
              <w:left w:val="nil"/>
              <w:bottom w:val="single" w:sz="4" w:space="0" w:color="auto"/>
              <w:right w:val="single" w:sz="4" w:space="0" w:color="auto"/>
            </w:tcBorders>
          </w:tcPr>
          <w:p w14:paraId="190A780B" w14:textId="7558466D" w:rsidR="00085A55" w:rsidRPr="007E5A38" w:rsidRDefault="00085A55" w:rsidP="00085A55">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41ABFC69" w14:textId="570F8590" w:rsidR="00085A55" w:rsidRPr="003069C4" w:rsidRDefault="00085A55" w:rsidP="00085A55">
            <w:pPr>
              <w:jc w:val="right"/>
              <w:rPr>
                <w:rFonts w:cs="Arial"/>
              </w:rPr>
            </w:pPr>
            <w:r>
              <w:rPr>
                <w:rFonts w:cs="Arial"/>
              </w:rPr>
              <w:t>11</w:t>
            </w:r>
          </w:p>
        </w:tc>
        <w:tc>
          <w:tcPr>
            <w:tcW w:w="993" w:type="dxa"/>
            <w:tcBorders>
              <w:top w:val="nil"/>
              <w:left w:val="nil"/>
              <w:bottom w:val="single" w:sz="4" w:space="0" w:color="auto"/>
              <w:right w:val="single" w:sz="4" w:space="0" w:color="auto"/>
            </w:tcBorders>
          </w:tcPr>
          <w:p w14:paraId="7DFF2DBE" w14:textId="473CAB73" w:rsidR="00085A55" w:rsidRDefault="00085A55" w:rsidP="00085A55">
            <w:pPr>
              <w:jc w:val="right"/>
              <w:rPr>
                <w:rFonts w:cs="Arial"/>
              </w:rPr>
            </w:pPr>
            <w:r>
              <w:rPr>
                <w:rFonts w:cs="Arial"/>
              </w:rPr>
              <w:t>5</w:t>
            </w:r>
          </w:p>
        </w:tc>
      </w:tr>
      <w:tr w:rsidR="00085A55" w:rsidRPr="00C5395B" w14:paraId="35D98EBD" w14:textId="77777777" w:rsidTr="00D943E0">
        <w:trPr>
          <w:trHeight w:val="255"/>
        </w:trPr>
        <w:tc>
          <w:tcPr>
            <w:tcW w:w="2029" w:type="dxa"/>
            <w:tcBorders>
              <w:top w:val="nil"/>
              <w:left w:val="single" w:sz="4" w:space="0" w:color="auto"/>
              <w:bottom w:val="single" w:sz="4" w:space="0" w:color="auto"/>
              <w:right w:val="single" w:sz="4" w:space="0" w:color="auto"/>
            </w:tcBorders>
            <w:noWrap/>
            <w:hideMark/>
          </w:tcPr>
          <w:p w14:paraId="077038A5" w14:textId="77777777" w:rsidR="00085A55" w:rsidRPr="00C5395B" w:rsidRDefault="00085A55" w:rsidP="00085A55">
            <w:pPr>
              <w:pStyle w:val="TableText"/>
              <w:rPr>
                <w:lang w:eastAsia="en-AU"/>
              </w:rPr>
            </w:pPr>
            <w:r w:rsidRPr="00C5395B">
              <w:rPr>
                <w:lang w:eastAsia="en-AU"/>
              </w:rPr>
              <w:t>Mossman Gorge</w:t>
            </w:r>
          </w:p>
        </w:tc>
        <w:tc>
          <w:tcPr>
            <w:tcW w:w="1134" w:type="dxa"/>
            <w:tcBorders>
              <w:top w:val="nil"/>
              <w:left w:val="nil"/>
              <w:bottom w:val="single" w:sz="4" w:space="0" w:color="auto"/>
              <w:right w:val="single" w:sz="4" w:space="0" w:color="auto"/>
            </w:tcBorders>
            <w:vAlign w:val="bottom"/>
          </w:tcPr>
          <w:p w14:paraId="7739D539" w14:textId="1DB0B3B2" w:rsidR="00085A55" w:rsidRPr="00AA5933" w:rsidRDefault="00085A55" w:rsidP="00085A55">
            <w:pPr>
              <w:jc w:val="right"/>
              <w:rPr>
                <w:rFonts w:cs="Arial"/>
              </w:rPr>
            </w:pPr>
            <w:r w:rsidRPr="007E5A38">
              <w:rPr>
                <w:rFonts w:cs="Arial"/>
              </w:rPr>
              <w:t>14</w:t>
            </w:r>
          </w:p>
        </w:tc>
        <w:tc>
          <w:tcPr>
            <w:tcW w:w="992" w:type="dxa"/>
            <w:tcBorders>
              <w:top w:val="nil"/>
              <w:left w:val="nil"/>
              <w:bottom w:val="single" w:sz="4" w:space="0" w:color="auto"/>
              <w:right w:val="single" w:sz="4" w:space="0" w:color="auto"/>
            </w:tcBorders>
          </w:tcPr>
          <w:p w14:paraId="00B5F042" w14:textId="256ED49E" w:rsidR="00085A55" w:rsidRPr="00DF7212" w:rsidRDefault="00085A55" w:rsidP="00085A55">
            <w:pPr>
              <w:jc w:val="right"/>
              <w:rPr>
                <w:rFonts w:cs="Arial"/>
              </w:rPr>
            </w:pPr>
            <w:r w:rsidRPr="003069C4">
              <w:rPr>
                <w:rFonts w:cs="Arial"/>
              </w:rPr>
              <w:t>13</w:t>
            </w:r>
          </w:p>
        </w:tc>
        <w:tc>
          <w:tcPr>
            <w:tcW w:w="993" w:type="dxa"/>
            <w:tcBorders>
              <w:top w:val="nil"/>
              <w:left w:val="nil"/>
              <w:bottom w:val="single" w:sz="4" w:space="0" w:color="auto"/>
              <w:right w:val="single" w:sz="4" w:space="0" w:color="auto"/>
            </w:tcBorders>
          </w:tcPr>
          <w:p w14:paraId="5ECED3E4" w14:textId="430AB612" w:rsidR="00085A55" w:rsidRPr="007E5A38" w:rsidRDefault="00085A55" w:rsidP="00085A55">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3FA3A959" w14:textId="11FD17AF" w:rsidR="00085A55" w:rsidRPr="003069C4" w:rsidRDefault="00085A55" w:rsidP="00085A55">
            <w:pPr>
              <w:jc w:val="right"/>
              <w:rPr>
                <w:rFonts w:cs="Arial"/>
              </w:rPr>
            </w:pPr>
            <w:r>
              <w:rPr>
                <w:rFonts w:cs="Arial"/>
              </w:rPr>
              <w:t>9</w:t>
            </w:r>
          </w:p>
        </w:tc>
        <w:tc>
          <w:tcPr>
            <w:tcW w:w="993" w:type="dxa"/>
            <w:tcBorders>
              <w:top w:val="nil"/>
              <w:left w:val="nil"/>
              <w:bottom w:val="single" w:sz="4" w:space="0" w:color="auto"/>
              <w:right w:val="single" w:sz="4" w:space="0" w:color="auto"/>
            </w:tcBorders>
          </w:tcPr>
          <w:p w14:paraId="04A48045" w14:textId="3A0E8333" w:rsidR="00085A55" w:rsidRDefault="00085A55" w:rsidP="00085A55">
            <w:pPr>
              <w:jc w:val="right"/>
              <w:rPr>
                <w:rFonts w:cs="Arial"/>
              </w:rPr>
            </w:pPr>
            <w:r>
              <w:rPr>
                <w:rFonts w:cs="Arial"/>
              </w:rPr>
              <w:t>2</w:t>
            </w:r>
          </w:p>
        </w:tc>
      </w:tr>
      <w:tr w:rsidR="00085A55" w:rsidRPr="00C5395B" w14:paraId="64646B12" w14:textId="77777777" w:rsidTr="00D943E0">
        <w:trPr>
          <w:trHeight w:val="255"/>
        </w:trPr>
        <w:tc>
          <w:tcPr>
            <w:tcW w:w="2029" w:type="dxa"/>
            <w:tcBorders>
              <w:top w:val="nil"/>
              <w:left w:val="single" w:sz="4" w:space="0" w:color="auto"/>
              <w:bottom w:val="single" w:sz="4" w:space="0" w:color="auto"/>
              <w:right w:val="single" w:sz="4" w:space="0" w:color="auto"/>
            </w:tcBorders>
            <w:noWrap/>
            <w:hideMark/>
          </w:tcPr>
          <w:p w14:paraId="7645C0EC" w14:textId="77777777" w:rsidR="00085A55" w:rsidRPr="00C5395B" w:rsidRDefault="00085A55" w:rsidP="00085A55">
            <w:pPr>
              <w:pStyle w:val="TableText"/>
              <w:rPr>
                <w:b/>
                <w:lang w:eastAsia="en-AU"/>
              </w:rPr>
            </w:pPr>
            <w:r w:rsidRPr="00C5395B">
              <w:rPr>
                <w:b/>
                <w:lang w:eastAsia="en-AU"/>
              </w:rPr>
              <w:t>TOTAL</w:t>
            </w:r>
          </w:p>
        </w:tc>
        <w:tc>
          <w:tcPr>
            <w:tcW w:w="1134" w:type="dxa"/>
            <w:tcBorders>
              <w:top w:val="nil"/>
              <w:left w:val="nil"/>
              <w:bottom w:val="single" w:sz="4" w:space="0" w:color="auto"/>
              <w:right w:val="single" w:sz="4" w:space="0" w:color="auto"/>
            </w:tcBorders>
            <w:vAlign w:val="bottom"/>
          </w:tcPr>
          <w:p w14:paraId="6D071CE3" w14:textId="635D7D85" w:rsidR="00085A55" w:rsidRPr="00AA5933" w:rsidRDefault="00085A55" w:rsidP="00085A55">
            <w:pPr>
              <w:pStyle w:val="TableText"/>
              <w:jc w:val="right"/>
              <w:rPr>
                <w:b/>
                <w:lang w:eastAsia="en-AU"/>
              </w:rPr>
            </w:pPr>
            <w:r w:rsidRPr="007E5A38">
              <w:rPr>
                <w:rFonts w:cs="Arial"/>
                <w:b/>
                <w:bCs/>
              </w:rPr>
              <w:t>136</w:t>
            </w:r>
          </w:p>
        </w:tc>
        <w:tc>
          <w:tcPr>
            <w:tcW w:w="992" w:type="dxa"/>
            <w:tcBorders>
              <w:top w:val="nil"/>
              <w:left w:val="nil"/>
              <w:bottom w:val="single" w:sz="4" w:space="0" w:color="auto"/>
              <w:right w:val="single" w:sz="4" w:space="0" w:color="auto"/>
            </w:tcBorders>
          </w:tcPr>
          <w:p w14:paraId="44EC13BF" w14:textId="2401D32D" w:rsidR="00085A55" w:rsidRPr="00DF7212" w:rsidRDefault="00085A55" w:rsidP="00085A55">
            <w:pPr>
              <w:pStyle w:val="TableText"/>
              <w:jc w:val="right"/>
              <w:rPr>
                <w:rFonts w:cs="Arial"/>
                <w:b/>
                <w:bCs/>
              </w:rPr>
            </w:pPr>
            <w:r w:rsidRPr="003069C4">
              <w:rPr>
                <w:rFonts w:cs="Arial"/>
                <w:b/>
                <w:bCs/>
              </w:rPr>
              <w:t>157</w:t>
            </w:r>
          </w:p>
        </w:tc>
        <w:tc>
          <w:tcPr>
            <w:tcW w:w="993" w:type="dxa"/>
            <w:tcBorders>
              <w:top w:val="nil"/>
              <w:left w:val="nil"/>
              <w:bottom w:val="single" w:sz="4" w:space="0" w:color="auto"/>
              <w:right w:val="single" w:sz="4" w:space="0" w:color="auto"/>
            </w:tcBorders>
          </w:tcPr>
          <w:p w14:paraId="2FBE53CA" w14:textId="5FA84347" w:rsidR="00085A55" w:rsidRPr="003069C4" w:rsidRDefault="00085A55" w:rsidP="00085A55">
            <w:pPr>
              <w:jc w:val="right"/>
              <w:rPr>
                <w:rFonts w:cs="Arial"/>
                <w:b/>
                <w:bCs/>
              </w:rPr>
            </w:pPr>
            <w:r>
              <w:rPr>
                <w:rFonts w:cs="Arial"/>
                <w:b/>
                <w:bCs/>
              </w:rPr>
              <w:t>105</w:t>
            </w:r>
          </w:p>
        </w:tc>
        <w:tc>
          <w:tcPr>
            <w:tcW w:w="993" w:type="dxa"/>
            <w:tcBorders>
              <w:top w:val="nil"/>
              <w:left w:val="nil"/>
              <w:bottom w:val="single" w:sz="4" w:space="0" w:color="auto"/>
              <w:right w:val="single" w:sz="4" w:space="0" w:color="auto"/>
            </w:tcBorders>
          </w:tcPr>
          <w:p w14:paraId="33A13836" w14:textId="4569A780" w:rsidR="00085A55" w:rsidRPr="003069C4" w:rsidRDefault="00085A55" w:rsidP="00085A55">
            <w:pPr>
              <w:jc w:val="right"/>
              <w:rPr>
                <w:rFonts w:cs="Arial"/>
                <w:b/>
                <w:bCs/>
              </w:rPr>
            </w:pPr>
            <w:r>
              <w:rPr>
                <w:rFonts w:cs="Arial"/>
                <w:b/>
                <w:bCs/>
              </w:rPr>
              <w:t>74</w:t>
            </w:r>
          </w:p>
        </w:tc>
        <w:tc>
          <w:tcPr>
            <w:tcW w:w="993" w:type="dxa"/>
            <w:tcBorders>
              <w:top w:val="nil"/>
              <w:left w:val="nil"/>
              <w:bottom w:val="single" w:sz="4" w:space="0" w:color="auto"/>
              <w:right w:val="single" w:sz="4" w:space="0" w:color="auto"/>
            </w:tcBorders>
          </w:tcPr>
          <w:p w14:paraId="4AF64290" w14:textId="05EC425C" w:rsidR="00085A55" w:rsidRDefault="00085A55" w:rsidP="00085A55">
            <w:pPr>
              <w:jc w:val="right"/>
              <w:rPr>
                <w:rFonts w:cs="Arial"/>
                <w:b/>
                <w:bCs/>
              </w:rPr>
            </w:pPr>
            <w:r>
              <w:rPr>
                <w:rFonts w:cs="Arial"/>
                <w:b/>
                <w:bCs/>
              </w:rPr>
              <w:t>128</w:t>
            </w:r>
          </w:p>
        </w:tc>
      </w:tr>
    </w:tbl>
    <w:p w14:paraId="6596DC51" w14:textId="77777777" w:rsidR="008B2178" w:rsidRPr="002E156B" w:rsidRDefault="008B2178" w:rsidP="002E156B">
      <w:pPr>
        <w:ind w:left="-142" w:right="-425"/>
        <w:jc w:val="both"/>
        <w:rPr>
          <w:rFonts w:cs="Arial"/>
        </w:rPr>
      </w:pPr>
    </w:p>
    <w:p w14:paraId="1357C4B9" w14:textId="77777777" w:rsidR="002F3FD3" w:rsidRPr="006524B7" w:rsidRDefault="002F3FD3" w:rsidP="00091CFE">
      <w:pPr>
        <w:pStyle w:val="Heading2"/>
      </w:pPr>
      <w:r>
        <w:t>Referrals</w:t>
      </w:r>
      <w:r w:rsidRPr="006524B7">
        <w:t xml:space="preserve"> for Domestic Violence related matters</w:t>
      </w:r>
    </w:p>
    <w:p w14:paraId="70D27E82" w14:textId="5568ADB3" w:rsidR="00A66AAA" w:rsidRDefault="002F33AF" w:rsidP="00A66AAA">
      <w:pPr>
        <w:ind w:left="-142" w:right="-425"/>
        <w:jc w:val="both"/>
        <w:rPr>
          <w:rFonts w:cs="Arial"/>
        </w:rPr>
      </w:pPr>
      <w:r>
        <w:rPr>
          <w:rFonts w:cs="Arial"/>
        </w:rPr>
        <w:t xml:space="preserve">As a subset of the total number of referrals </w:t>
      </w:r>
      <w:r w:rsidR="005B13F8">
        <w:rPr>
          <w:rFonts w:cs="Arial"/>
        </w:rPr>
        <w:t xml:space="preserve">from FRAs and orders </w:t>
      </w:r>
      <w:r>
        <w:rPr>
          <w:rFonts w:cs="Arial"/>
        </w:rPr>
        <w:t xml:space="preserve">in the quarter, </w:t>
      </w:r>
      <w:r w:rsidR="0062066A">
        <w:rPr>
          <w:rFonts w:cs="Arial"/>
        </w:rPr>
        <w:t xml:space="preserve">34 </w:t>
      </w:r>
      <w:r w:rsidR="002F3FD3">
        <w:rPr>
          <w:rFonts w:cs="Arial"/>
        </w:rPr>
        <w:t>referrals were made in relation to</w:t>
      </w:r>
      <w:r w:rsidR="002F3FD3" w:rsidRPr="006524B7">
        <w:rPr>
          <w:rFonts w:cs="Arial"/>
        </w:rPr>
        <w:t xml:space="preserve"> domestic violence conferences</w:t>
      </w:r>
      <w:r w:rsidR="002F3FD3">
        <w:rPr>
          <w:rFonts w:cs="Arial"/>
        </w:rPr>
        <w:t xml:space="preserve">, </w:t>
      </w:r>
      <w:r w:rsidR="000C098B">
        <w:rPr>
          <w:rFonts w:cs="Arial"/>
        </w:rPr>
        <w:t>a</w:t>
      </w:r>
      <w:r w:rsidR="0062066A">
        <w:rPr>
          <w:rFonts w:cs="Arial"/>
        </w:rPr>
        <w:t xml:space="preserve">n increase </w:t>
      </w:r>
      <w:r w:rsidR="000C098B">
        <w:rPr>
          <w:rFonts w:cs="Arial"/>
        </w:rPr>
        <w:t xml:space="preserve">of </w:t>
      </w:r>
      <w:r w:rsidR="007B38F5">
        <w:rPr>
          <w:rFonts w:cs="Arial"/>
        </w:rPr>
        <w:t>1</w:t>
      </w:r>
      <w:r w:rsidR="0062066A">
        <w:rPr>
          <w:rFonts w:cs="Arial"/>
        </w:rPr>
        <w:t>5</w:t>
      </w:r>
      <w:r w:rsidR="0037671E">
        <w:rPr>
          <w:rFonts w:cs="Arial"/>
        </w:rPr>
        <w:t xml:space="preserve"> </w:t>
      </w:r>
      <w:r w:rsidR="009D0578">
        <w:rPr>
          <w:rFonts w:cs="Arial"/>
        </w:rPr>
        <w:t>from</w:t>
      </w:r>
      <w:r w:rsidR="002F3FD3" w:rsidRPr="006524B7">
        <w:rPr>
          <w:rFonts w:cs="Arial"/>
        </w:rPr>
        <w:t xml:space="preserve"> quarter</w:t>
      </w:r>
      <w:r w:rsidR="000013AA">
        <w:rPr>
          <w:rFonts w:cs="Arial"/>
        </w:rPr>
        <w:t xml:space="preserve"> </w:t>
      </w:r>
      <w:r w:rsidR="00951376">
        <w:rPr>
          <w:rFonts w:cs="Arial"/>
        </w:rPr>
        <w:t>55</w:t>
      </w:r>
      <w:r w:rsidR="002F3FD3" w:rsidRPr="006524B7">
        <w:rPr>
          <w:rFonts w:cs="Arial"/>
        </w:rPr>
        <w:t>.</w:t>
      </w:r>
      <w:r w:rsidR="00A66AAA">
        <w:rPr>
          <w:rFonts w:cs="Arial"/>
        </w:rPr>
        <w:t xml:space="preserve"> </w:t>
      </w:r>
      <w:r w:rsidR="00993A9C" w:rsidRPr="006524B7">
        <w:rPr>
          <w:rFonts w:cs="Arial"/>
        </w:rPr>
        <w:t xml:space="preserve">Domestic violence </w:t>
      </w:r>
      <w:r w:rsidR="00993A9C">
        <w:rPr>
          <w:rFonts w:cs="Arial"/>
        </w:rPr>
        <w:t>referrals</w:t>
      </w:r>
      <w:r w:rsidR="00993A9C" w:rsidRPr="006524B7">
        <w:rPr>
          <w:rFonts w:cs="Arial"/>
        </w:rPr>
        <w:t xml:space="preserve"> in the communities during the quarter were as follows: Aurukun</w:t>
      </w:r>
      <w:r w:rsidR="00AE52D3">
        <w:rPr>
          <w:rFonts w:cs="Arial"/>
        </w:rPr>
        <w:t xml:space="preserve"> </w:t>
      </w:r>
      <w:r w:rsidR="0062066A">
        <w:rPr>
          <w:rFonts w:cs="Arial"/>
        </w:rPr>
        <w:t>increased</w:t>
      </w:r>
      <w:r w:rsidR="0062066A" w:rsidRPr="006524B7">
        <w:rPr>
          <w:rFonts w:cs="Arial"/>
        </w:rPr>
        <w:t xml:space="preserve"> </w:t>
      </w:r>
      <w:r w:rsidR="00993A9C" w:rsidRPr="006524B7">
        <w:rPr>
          <w:rFonts w:cs="Arial"/>
        </w:rPr>
        <w:t xml:space="preserve">by </w:t>
      </w:r>
      <w:r w:rsidR="0062066A">
        <w:rPr>
          <w:rFonts w:cs="Arial"/>
        </w:rPr>
        <w:t>24</w:t>
      </w:r>
      <w:r w:rsidR="00993A9C" w:rsidRPr="006524B7">
        <w:rPr>
          <w:rFonts w:cs="Arial"/>
        </w:rPr>
        <w:t xml:space="preserve">, </w:t>
      </w:r>
      <w:r w:rsidR="0062066A">
        <w:rPr>
          <w:rFonts w:cs="Arial"/>
        </w:rPr>
        <w:t>and Coen remained unchanged with 4 domestic violence referrals</w:t>
      </w:r>
      <w:r w:rsidR="00AE52D3">
        <w:rPr>
          <w:rFonts w:cs="Arial"/>
        </w:rPr>
        <w:t xml:space="preserve">, whilst </w:t>
      </w:r>
      <w:r w:rsidR="0062066A">
        <w:rPr>
          <w:rFonts w:cs="Arial"/>
        </w:rPr>
        <w:t xml:space="preserve">Hope Vale and </w:t>
      </w:r>
      <w:r w:rsidR="007B38F5">
        <w:rPr>
          <w:rFonts w:cs="Arial"/>
        </w:rPr>
        <w:t>Mossman Gorge</w:t>
      </w:r>
      <w:r w:rsidR="007B38F5" w:rsidRPr="006524B7">
        <w:rPr>
          <w:rFonts w:cs="Arial"/>
        </w:rPr>
        <w:t xml:space="preserve"> </w:t>
      </w:r>
      <w:r w:rsidR="0062066A">
        <w:rPr>
          <w:rFonts w:cs="Arial"/>
        </w:rPr>
        <w:t>decreased</w:t>
      </w:r>
      <w:r w:rsidR="0062066A" w:rsidRPr="006524B7">
        <w:rPr>
          <w:rFonts w:cs="Arial"/>
        </w:rPr>
        <w:t xml:space="preserve"> </w:t>
      </w:r>
      <w:r w:rsidR="00993A9C" w:rsidRPr="006524B7">
        <w:rPr>
          <w:rFonts w:cs="Arial"/>
        </w:rPr>
        <w:t xml:space="preserve">by </w:t>
      </w:r>
      <w:r w:rsidR="007B38F5">
        <w:rPr>
          <w:rFonts w:cs="Arial"/>
        </w:rPr>
        <w:t>5</w:t>
      </w:r>
      <w:r w:rsidR="0062066A">
        <w:rPr>
          <w:rFonts w:cs="Arial"/>
        </w:rPr>
        <w:t xml:space="preserve"> and 4 domestic violence referrals respectively</w:t>
      </w:r>
      <w:r w:rsidR="00993A9C" w:rsidRPr="006524B7">
        <w:rPr>
          <w:rFonts w:cs="Arial"/>
        </w:rPr>
        <w:t>.</w:t>
      </w:r>
      <w:r w:rsidR="00993A9C">
        <w:rPr>
          <w:rFonts w:cs="Arial"/>
        </w:rPr>
        <w:t xml:space="preserve"> </w:t>
      </w:r>
      <w:r w:rsidR="00A66AAA">
        <w:rPr>
          <w:rFonts w:cs="Arial"/>
        </w:rPr>
        <w:t xml:space="preserve">The Local Commissioners continue to raise concerns </w:t>
      </w:r>
      <w:r w:rsidR="001A4696">
        <w:rPr>
          <w:rFonts w:cs="Arial"/>
        </w:rPr>
        <w:t>regarding</w:t>
      </w:r>
      <w:r w:rsidR="00A66AAA">
        <w:rPr>
          <w:rFonts w:cs="Arial"/>
        </w:rPr>
        <w:t xml:space="preserve"> the availability of appropriate perpetrator intervention programs suitable for client referrals</w:t>
      </w:r>
      <w:r w:rsidR="00D85A77">
        <w:rPr>
          <w:rFonts w:cs="Arial"/>
        </w:rPr>
        <w:t xml:space="preserve"> so community members can be supported to address these behaviours. </w:t>
      </w:r>
      <w:r w:rsidR="00B307C5" w:rsidRPr="000811C7">
        <w:rPr>
          <w:rFonts w:cs="Arial"/>
        </w:rPr>
        <w:t xml:space="preserve">The broader social impacts of domestic and family violence </w:t>
      </w:r>
      <w:r w:rsidR="00AE52D3">
        <w:rPr>
          <w:rFonts w:cs="Arial"/>
        </w:rPr>
        <w:t>are</w:t>
      </w:r>
      <w:r w:rsidR="00B307C5" w:rsidRPr="000811C7">
        <w:rPr>
          <w:rFonts w:cs="Arial"/>
        </w:rPr>
        <w:t xml:space="preserve"> set out in</w:t>
      </w:r>
      <w:r w:rsidR="00D85A77" w:rsidRPr="000811C7">
        <w:rPr>
          <w:rFonts w:cs="Arial"/>
        </w:rPr>
        <w:t xml:space="preserve"> </w:t>
      </w:r>
      <w:r w:rsidR="00D85A77" w:rsidRPr="000811C7">
        <w:t xml:space="preserve">Table </w:t>
      </w:r>
      <w:r w:rsidR="00085A55">
        <w:t>3</w:t>
      </w:r>
      <w:r w:rsidR="00B307C5" w:rsidRPr="000811C7">
        <w:t xml:space="preserve"> with analysis on page </w:t>
      </w:r>
      <w:r w:rsidR="00731935">
        <w:t>10</w:t>
      </w:r>
      <w:r w:rsidR="000013AA" w:rsidRPr="000811C7">
        <w:t>, i</w:t>
      </w:r>
      <w:r w:rsidR="00B307C5" w:rsidRPr="000811C7">
        <w:t>llustrat</w:t>
      </w:r>
      <w:r w:rsidR="000013AA" w:rsidRPr="000811C7">
        <w:t>ing</w:t>
      </w:r>
      <w:r w:rsidR="00B307C5" w:rsidRPr="000811C7">
        <w:t xml:space="preserve"> the nexus between </w:t>
      </w:r>
      <w:r w:rsidR="00D85A77" w:rsidRPr="000811C7">
        <w:t xml:space="preserve">Court convictions and domestic violence orders/breaches </w:t>
      </w:r>
      <w:r w:rsidR="00B307C5" w:rsidRPr="000811C7">
        <w:t>with</w:t>
      </w:r>
      <w:r w:rsidR="00D85A77" w:rsidRPr="000811C7">
        <w:t xml:space="preserve"> </w:t>
      </w:r>
      <w:r w:rsidR="00F40431">
        <w:t>school attendance issues</w:t>
      </w:r>
      <w:r w:rsidR="00B307C5" w:rsidRPr="000811C7">
        <w:t>.</w:t>
      </w:r>
    </w:p>
    <w:p w14:paraId="11BFC9AE" w14:textId="4D80E524" w:rsidR="00D40971" w:rsidRDefault="00D40971" w:rsidP="002F3FD3">
      <w:pPr>
        <w:ind w:left="-142" w:right="-425"/>
        <w:jc w:val="both"/>
        <w:rPr>
          <w:rFonts w:cs="Arial"/>
        </w:rPr>
      </w:pPr>
    </w:p>
    <w:p w14:paraId="050433A4" w14:textId="3B608B5B" w:rsidR="00085A55" w:rsidRPr="00D925BE" w:rsidRDefault="00085A55" w:rsidP="00085A55">
      <w:pPr>
        <w:pStyle w:val="TableCaption"/>
        <w:spacing w:before="0"/>
        <w:ind w:left="0" w:right="-425"/>
        <w:rPr>
          <w:b/>
          <w:i w:val="0"/>
          <w:sz w:val="16"/>
        </w:rPr>
      </w:pPr>
      <w:r>
        <w:rPr>
          <w:b/>
          <w:i w:val="0"/>
          <w:sz w:val="16"/>
        </w:rPr>
        <w:t>Table 18</w:t>
      </w:r>
      <w:r w:rsidRPr="00F85AA1">
        <w:rPr>
          <w:b/>
          <w:i w:val="0"/>
          <w:sz w:val="16"/>
        </w:rPr>
        <w:t xml:space="preserve">: </w:t>
      </w:r>
      <w:r w:rsidRPr="00DF7212">
        <w:rPr>
          <w:rFonts w:cs="Arial"/>
          <w:i w:val="0"/>
          <w:iCs/>
          <w:sz w:val="16"/>
          <w:szCs w:val="16"/>
        </w:rPr>
        <w:t xml:space="preserve">Domestic violence referrals by community and quarter 1 </w:t>
      </w:r>
      <w:r>
        <w:rPr>
          <w:rFonts w:cs="Arial"/>
          <w:i w:val="0"/>
          <w:iCs/>
          <w:sz w:val="16"/>
          <w:szCs w:val="16"/>
        </w:rPr>
        <w:t>April</w:t>
      </w:r>
      <w:r w:rsidRPr="00DF7212">
        <w:rPr>
          <w:rFonts w:cs="Arial"/>
          <w:i w:val="0"/>
          <w:iCs/>
          <w:sz w:val="16"/>
          <w:szCs w:val="16"/>
        </w:rPr>
        <w:t xml:space="preserve"> 20</w:t>
      </w:r>
      <w:r>
        <w:rPr>
          <w:rFonts w:cs="Arial"/>
          <w:i w:val="0"/>
          <w:iCs/>
          <w:sz w:val="16"/>
          <w:szCs w:val="16"/>
        </w:rPr>
        <w:t>21</w:t>
      </w:r>
      <w:r w:rsidRPr="00DF7212">
        <w:rPr>
          <w:rFonts w:cs="Arial"/>
          <w:i w:val="0"/>
          <w:iCs/>
          <w:sz w:val="16"/>
          <w:szCs w:val="16"/>
        </w:rPr>
        <w:t xml:space="preserve"> to 3</w:t>
      </w:r>
      <w:r>
        <w:rPr>
          <w:rFonts w:cs="Arial"/>
          <w:i w:val="0"/>
          <w:iCs/>
          <w:sz w:val="16"/>
          <w:szCs w:val="16"/>
        </w:rPr>
        <w:t xml:space="preserve">0 June </w:t>
      </w:r>
      <w:r w:rsidRPr="00DF7212">
        <w:rPr>
          <w:rFonts w:cs="Arial"/>
          <w:i w:val="0"/>
          <w:iCs/>
          <w:sz w:val="16"/>
          <w:szCs w:val="16"/>
        </w:rPr>
        <w:t>202</w:t>
      </w:r>
      <w:r>
        <w:rPr>
          <w:rFonts w:cs="Arial"/>
          <w:i w:val="0"/>
          <w:iCs/>
          <w:sz w:val="16"/>
          <w:szCs w:val="16"/>
        </w:rPr>
        <w:t>2</w:t>
      </w:r>
    </w:p>
    <w:tbl>
      <w:tblPr>
        <w:tblW w:w="7134" w:type="dxa"/>
        <w:tblInd w:w="93" w:type="dxa"/>
        <w:tblLook w:val="04A0" w:firstRow="1" w:lastRow="0" w:firstColumn="1" w:lastColumn="0" w:noHBand="0" w:noVBand="1"/>
      </w:tblPr>
      <w:tblGrid>
        <w:gridCol w:w="2029"/>
        <w:gridCol w:w="1134"/>
        <w:gridCol w:w="992"/>
        <w:gridCol w:w="993"/>
        <w:gridCol w:w="993"/>
        <w:gridCol w:w="993"/>
      </w:tblGrid>
      <w:tr w:rsidR="00085A55" w:rsidRPr="00C5395B" w14:paraId="54CBC826" w14:textId="77777777" w:rsidTr="005D3292">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0D3DCE48" w14:textId="77777777" w:rsidR="00085A55" w:rsidRPr="00C5395B" w:rsidRDefault="00085A55" w:rsidP="00085A55">
            <w:pPr>
              <w:pStyle w:val="TableText"/>
              <w:rPr>
                <w:b/>
                <w:lang w:eastAsia="en-AU"/>
              </w:rPr>
            </w:pPr>
            <w:r w:rsidRPr="00C5395B">
              <w:rPr>
                <w:b/>
                <w:lang w:eastAsia="en-AU"/>
              </w:rPr>
              <w:t>Community</w:t>
            </w:r>
          </w:p>
        </w:tc>
        <w:tc>
          <w:tcPr>
            <w:tcW w:w="1134" w:type="dxa"/>
            <w:tcBorders>
              <w:top w:val="single" w:sz="4" w:space="0" w:color="auto"/>
              <w:left w:val="nil"/>
              <w:bottom w:val="single" w:sz="4" w:space="0" w:color="auto"/>
              <w:right w:val="single" w:sz="4" w:space="0" w:color="auto"/>
            </w:tcBorders>
          </w:tcPr>
          <w:p w14:paraId="171F605F" w14:textId="0C89B20C" w:rsidR="00085A55" w:rsidRDefault="00085A55" w:rsidP="00085A55">
            <w:pPr>
              <w:pStyle w:val="TableText"/>
              <w:jc w:val="right"/>
              <w:rPr>
                <w:b/>
                <w:lang w:eastAsia="en-AU"/>
              </w:rPr>
            </w:pPr>
            <w:r>
              <w:rPr>
                <w:b/>
                <w:lang w:eastAsia="en-AU"/>
              </w:rPr>
              <w:t>Qtr 52</w:t>
            </w:r>
          </w:p>
        </w:tc>
        <w:tc>
          <w:tcPr>
            <w:tcW w:w="992" w:type="dxa"/>
            <w:tcBorders>
              <w:top w:val="single" w:sz="4" w:space="0" w:color="auto"/>
              <w:left w:val="nil"/>
              <w:bottom w:val="single" w:sz="4" w:space="0" w:color="auto"/>
              <w:right w:val="single" w:sz="4" w:space="0" w:color="auto"/>
            </w:tcBorders>
          </w:tcPr>
          <w:p w14:paraId="29C0E98A" w14:textId="62EEDE24" w:rsidR="00085A55" w:rsidRDefault="00085A55" w:rsidP="00085A55">
            <w:pPr>
              <w:pStyle w:val="TableText"/>
              <w:jc w:val="right"/>
              <w:rPr>
                <w:b/>
                <w:lang w:eastAsia="en-AU"/>
              </w:rPr>
            </w:pPr>
            <w:r>
              <w:rPr>
                <w:b/>
                <w:lang w:eastAsia="en-AU"/>
              </w:rPr>
              <w:t>Qtr 53</w:t>
            </w:r>
          </w:p>
        </w:tc>
        <w:tc>
          <w:tcPr>
            <w:tcW w:w="993" w:type="dxa"/>
            <w:tcBorders>
              <w:top w:val="single" w:sz="4" w:space="0" w:color="auto"/>
              <w:left w:val="nil"/>
              <w:bottom w:val="single" w:sz="4" w:space="0" w:color="auto"/>
              <w:right w:val="single" w:sz="4" w:space="0" w:color="auto"/>
            </w:tcBorders>
          </w:tcPr>
          <w:p w14:paraId="68CC227B" w14:textId="4FAA9AB7" w:rsidR="00085A55" w:rsidRDefault="00085A55" w:rsidP="00085A55">
            <w:pPr>
              <w:pStyle w:val="TableText"/>
              <w:jc w:val="right"/>
              <w:rPr>
                <w:b/>
                <w:lang w:eastAsia="en-AU"/>
              </w:rPr>
            </w:pPr>
            <w:r>
              <w:rPr>
                <w:b/>
                <w:lang w:eastAsia="en-AU"/>
              </w:rPr>
              <w:t>Qtr 54</w:t>
            </w:r>
          </w:p>
        </w:tc>
        <w:tc>
          <w:tcPr>
            <w:tcW w:w="993" w:type="dxa"/>
            <w:tcBorders>
              <w:top w:val="single" w:sz="4" w:space="0" w:color="auto"/>
              <w:left w:val="nil"/>
              <w:bottom w:val="single" w:sz="4" w:space="0" w:color="auto"/>
              <w:right w:val="single" w:sz="4" w:space="0" w:color="auto"/>
            </w:tcBorders>
          </w:tcPr>
          <w:p w14:paraId="7A53B03B" w14:textId="5A13FB4D" w:rsidR="00085A55" w:rsidRDefault="00085A55" w:rsidP="00085A55">
            <w:pPr>
              <w:pStyle w:val="TableText"/>
              <w:jc w:val="right"/>
              <w:rPr>
                <w:b/>
                <w:lang w:eastAsia="en-AU"/>
              </w:rPr>
            </w:pPr>
            <w:r>
              <w:rPr>
                <w:b/>
                <w:lang w:eastAsia="en-AU"/>
              </w:rPr>
              <w:t>Qtr 55</w:t>
            </w:r>
          </w:p>
        </w:tc>
        <w:tc>
          <w:tcPr>
            <w:tcW w:w="993" w:type="dxa"/>
            <w:tcBorders>
              <w:top w:val="single" w:sz="4" w:space="0" w:color="auto"/>
              <w:left w:val="nil"/>
              <w:bottom w:val="single" w:sz="4" w:space="0" w:color="auto"/>
              <w:right w:val="single" w:sz="4" w:space="0" w:color="auto"/>
            </w:tcBorders>
          </w:tcPr>
          <w:p w14:paraId="779CC8AF" w14:textId="6F30CCC6" w:rsidR="00085A55" w:rsidRDefault="00085A55" w:rsidP="00085A55">
            <w:pPr>
              <w:pStyle w:val="TableText"/>
              <w:jc w:val="right"/>
              <w:rPr>
                <w:b/>
                <w:lang w:eastAsia="en-AU"/>
              </w:rPr>
            </w:pPr>
            <w:r>
              <w:rPr>
                <w:b/>
                <w:lang w:eastAsia="en-AU"/>
              </w:rPr>
              <w:t>Qtr 56</w:t>
            </w:r>
          </w:p>
        </w:tc>
      </w:tr>
      <w:tr w:rsidR="00085A55" w:rsidRPr="00C5395B" w14:paraId="33462863" w14:textId="77777777" w:rsidTr="00045031">
        <w:trPr>
          <w:trHeight w:val="255"/>
        </w:trPr>
        <w:tc>
          <w:tcPr>
            <w:tcW w:w="2029" w:type="dxa"/>
            <w:tcBorders>
              <w:top w:val="nil"/>
              <w:left w:val="single" w:sz="4" w:space="0" w:color="auto"/>
              <w:bottom w:val="single" w:sz="4" w:space="0" w:color="auto"/>
              <w:right w:val="single" w:sz="4" w:space="0" w:color="auto"/>
            </w:tcBorders>
            <w:noWrap/>
            <w:hideMark/>
          </w:tcPr>
          <w:p w14:paraId="28CA4D45" w14:textId="77777777" w:rsidR="00085A55" w:rsidRPr="00C5395B" w:rsidRDefault="00085A55" w:rsidP="00085A55">
            <w:pPr>
              <w:pStyle w:val="TableText"/>
              <w:rPr>
                <w:lang w:eastAsia="en-AU"/>
              </w:rPr>
            </w:pPr>
            <w:r w:rsidRPr="00C5395B">
              <w:rPr>
                <w:lang w:eastAsia="en-AU"/>
              </w:rPr>
              <w:t>Aurukun</w:t>
            </w:r>
          </w:p>
        </w:tc>
        <w:tc>
          <w:tcPr>
            <w:tcW w:w="1134" w:type="dxa"/>
            <w:tcBorders>
              <w:top w:val="nil"/>
              <w:left w:val="nil"/>
              <w:bottom w:val="single" w:sz="4" w:space="0" w:color="auto"/>
              <w:right w:val="single" w:sz="4" w:space="0" w:color="auto"/>
            </w:tcBorders>
            <w:vAlign w:val="bottom"/>
          </w:tcPr>
          <w:p w14:paraId="74032662" w14:textId="55287426" w:rsidR="00085A55" w:rsidRPr="002F43C8" w:rsidRDefault="00085A55" w:rsidP="00085A55">
            <w:pPr>
              <w:jc w:val="right"/>
              <w:rPr>
                <w:rFonts w:cs="Arial"/>
              </w:rPr>
            </w:pPr>
            <w:r w:rsidRPr="007E5A38">
              <w:rPr>
                <w:rFonts w:cs="Arial"/>
              </w:rPr>
              <w:t>14</w:t>
            </w:r>
          </w:p>
        </w:tc>
        <w:tc>
          <w:tcPr>
            <w:tcW w:w="992" w:type="dxa"/>
            <w:tcBorders>
              <w:top w:val="nil"/>
              <w:left w:val="nil"/>
              <w:bottom w:val="single" w:sz="4" w:space="0" w:color="auto"/>
              <w:right w:val="single" w:sz="4" w:space="0" w:color="auto"/>
            </w:tcBorders>
            <w:vAlign w:val="bottom"/>
          </w:tcPr>
          <w:p w14:paraId="37E46108" w14:textId="7B1E59C1" w:rsidR="00085A55" w:rsidRPr="002F43C8" w:rsidRDefault="00085A55" w:rsidP="00085A55">
            <w:pPr>
              <w:jc w:val="right"/>
              <w:rPr>
                <w:rFonts w:cs="Arial"/>
              </w:rPr>
            </w:pPr>
            <w:r>
              <w:rPr>
                <w:rFonts w:cs="Arial"/>
              </w:rPr>
              <w:t>22</w:t>
            </w:r>
          </w:p>
        </w:tc>
        <w:tc>
          <w:tcPr>
            <w:tcW w:w="993" w:type="dxa"/>
            <w:tcBorders>
              <w:top w:val="nil"/>
              <w:left w:val="nil"/>
              <w:bottom w:val="single" w:sz="4" w:space="0" w:color="auto"/>
              <w:right w:val="single" w:sz="4" w:space="0" w:color="auto"/>
            </w:tcBorders>
          </w:tcPr>
          <w:p w14:paraId="4F6B4B3E" w14:textId="2849DBC3" w:rsidR="00085A55" w:rsidRPr="007E5A38" w:rsidRDefault="00085A55" w:rsidP="00085A55">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62327378" w14:textId="44D30CE0" w:rsidR="00085A55" w:rsidRDefault="00085A55" w:rsidP="00085A55">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4484BCA7" w14:textId="39E44A1E" w:rsidR="00085A55" w:rsidRDefault="00085A55" w:rsidP="00085A55">
            <w:pPr>
              <w:jc w:val="right"/>
              <w:rPr>
                <w:rFonts w:cs="Arial"/>
              </w:rPr>
            </w:pPr>
            <w:r>
              <w:rPr>
                <w:rFonts w:cs="Arial"/>
              </w:rPr>
              <w:t>29</w:t>
            </w:r>
          </w:p>
        </w:tc>
      </w:tr>
      <w:tr w:rsidR="00085A55" w:rsidRPr="00C5395B" w14:paraId="2C5C1B81" w14:textId="77777777" w:rsidTr="00045031">
        <w:trPr>
          <w:trHeight w:val="255"/>
        </w:trPr>
        <w:tc>
          <w:tcPr>
            <w:tcW w:w="2029" w:type="dxa"/>
            <w:tcBorders>
              <w:top w:val="nil"/>
              <w:left w:val="single" w:sz="4" w:space="0" w:color="auto"/>
              <w:bottom w:val="single" w:sz="4" w:space="0" w:color="auto"/>
              <w:right w:val="single" w:sz="4" w:space="0" w:color="auto"/>
            </w:tcBorders>
            <w:noWrap/>
            <w:hideMark/>
          </w:tcPr>
          <w:p w14:paraId="25883003" w14:textId="77777777" w:rsidR="00085A55" w:rsidRPr="00C5395B" w:rsidRDefault="00085A55" w:rsidP="00085A55">
            <w:pPr>
              <w:pStyle w:val="TableText"/>
              <w:rPr>
                <w:lang w:eastAsia="en-AU"/>
              </w:rPr>
            </w:pPr>
            <w:r w:rsidRPr="00C5395B">
              <w:rPr>
                <w:lang w:eastAsia="en-AU"/>
              </w:rPr>
              <w:t>Coen</w:t>
            </w:r>
          </w:p>
        </w:tc>
        <w:tc>
          <w:tcPr>
            <w:tcW w:w="1134" w:type="dxa"/>
            <w:tcBorders>
              <w:top w:val="nil"/>
              <w:left w:val="nil"/>
              <w:bottom w:val="single" w:sz="4" w:space="0" w:color="auto"/>
              <w:right w:val="single" w:sz="4" w:space="0" w:color="auto"/>
            </w:tcBorders>
            <w:vAlign w:val="bottom"/>
          </w:tcPr>
          <w:p w14:paraId="74A6B8F4" w14:textId="2D13B2C4" w:rsidR="00085A55" w:rsidRPr="002F43C8" w:rsidRDefault="00085A55" w:rsidP="00085A55">
            <w:pPr>
              <w:jc w:val="right"/>
              <w:rPr>
                <w:rFonts w:cs="Arial"/>
              </w:rPr>
            </w:pPr>
            <w:r w:rsidRPr="007E5A38">
              <w:rPr>
                <w:rFonts w:cs="Arial"/>
              </w:rPr>
              <w:t>11</w:t>
            </w:r>
          </w:p>
        </w:tc>
        <w:tc>
          <w:tcPr>
            <w:tcW w:w="992" w:type="dxa"/>
            <w:tcBorders>
              <w:top w:val="nil"/>
              <w:left w:val="nil"/>
              <w:bottom w:val="single" w:sz="4" w:space="0" w:color="auto"/>
              <w:right w:val="single" w:sz="4" w:space="0" w:color="auto"/>
            </w:tcBorders>
            <w:vAlign w:val="bottom"/>
          </w:tcPr>
          <w:p w14:paraId="3B126EFD" w14:textId="778013E9" w:rsidR="00085A55" w:rsidRPr="002F43C8" w:rsidRDefault="00085A55" w:rsidP="00085A55">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4D38AD9C" w14:textId="267A087F" w:rsidR="00085A55" w:rsidRPr="007E5A38" w:rsidRDefault="00085A55" w:rsidP="00085A55">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12692160" w14:textId="72985F05" w:rsidR="00085A55" w:rsidRDefault="00085A55" w:rsidP="00085A55">
            <w:pPr>
              <w:jc w:val="right"/>
              <w:rPr>
                <w:rFonts w:cs="Arial"/>
              </w:rPr>
            </w:pPr>
            <w:r>
              <w:rPr>
                <w:rFonts w:cs="Arial"/>
              </w:rPr>
              <w:t>4</w:t>
            </w:r>
          </w:p>
        </w:tc>
        <w:tc>
          <w:tcPr>
            <w:tcW w:w="993" w:type="dxa"/>
            <w:tcBorders>
              <w:top w:val="nil"/>
              <w:left w:val="nil"/>
              <w:bottom w:val="single" w:sz="4" w:space="0" w:color="auto"/>
              <w:right w:val="single" w:sz="4" w:space="0" w:color="auto"/>
            </w:tcBorders>
          </w:tcPr>
          <w:p w14:paraId="66322256" w14:textId="36DC680D" w:rsidR="00085A55" w:rsidRDefault="00085A55" w:rsidP="00085A55">
            <w:pPr>
              <w:jc w:val="right"/>
              <w:rPr>
                <w:rFonts w:cs="Arial"/>
              </w:rPr>
            </w:pPr>
            <w:r>
              <w:rPr>
                <w:rFonts w:cs="Arial"/>
              </w:rPr>
              <w:t>4</w:t>
            </w:r>
          </w:p>
        </w:tc>
      </w:tr>
      <w:tr w:rsidR="00085A55" w:rsidRPr="00C5395B" w14:paraId="79473B5F" w14:textId="77777777" w:rsidTr="00045031">
        <w:trPr>
          <w:trHeight w:val="255"/>
        </w:trPr>
        <w:tc>
          <w:tcPr>
            <w:tcW w:w="2029" w:type="dxa"/>
            <w:tcBorders>
              <w:top w:val="nil"/>
              <w:left w:val="single" w:sz="4" w:space="0" w:color="auto"/>
              <w:bottom w:val="single" w:sz="4" w:space="0" w:color="auto"/>
              <w:right w:val="single" w:sz="4" w:space="0" w:color="auto"/>
            </w:tcBorders>
            <w:noWrap/>
          </w:tcPr>
          <w:p w14:paraId="6497EAAB" w14:textId="77777777" w:rsidR="00085A55" w:rsidRPr="00C5395B" w:rsidRDefault="00085A55" w:rsidP="00085A55">
            <w:pPr>
              <w:pStyle w:val="TableText"/>
              <w:rPr>
                <w:lang w:eastAsia="en-AU"/>
              </w:rPr>
            </w:pPr>
            <w:r>
              <w:rPr>
                <w:lang w:eastAsia="en-AU"/>
              </w:rPr>
              <w:t>Hope Vale</w:t>
            </w:r>
          </w:p>
        </w:tc>
        <w:tc>
          <w:tcPr>
            <w:tcW w:w="1134" w:type="dxa"/>
            <w:tcBorders>
              <w:top w:val="nil"/>
              <w:left w:val="nil"/>
              <w:bottom w:val="single" w:sz="4" w:space="0" w:color="auto"/>
              <w:right w:val="single" w:sz="4" w:space="0" w:color="auto"/>
            </w:tcBorders>
            <w:vAlign w:val="bottom"/>
          </w:tcPr>
          <w:p w14:paraId="331294EA" w14:textId="53127FF9" w:rsidR="00085A55" w:rsidRPr="002F43C8" w:rsidRDefault="00085A55" w:rsidP="00085A55">
            <w:pPr>
              <w:jc w:val="right"/>
              <w:rPr>
                <w:rFonts w:cs="Arial"/>
              </w:rPr>
            </w:pPr>
            <w:r w:rsidRPr="007E5A38">
              <w:rPr>
                <w:rFonts w:cs="Arial"/>
              </w:rPr>
              <w:t>0</w:t>
            </w:r>
          </w:p>
        </w:tc>
        <w:tc>
          <w:tcPr>
            <w:tcW w:w="992" w:type="dxa"/>
            <w:tcBorders>
              <w:top w:val="nil"/>
              <w:left w:val="nil"/>
              <w:bottom w:val="single" w:sz="4" w:space="0" w:color="auto"/>
              <w:right w:val="single" w:sz="4" w:space="0" w:color="auto"/>
            </w:tcBorders>
            <w:vAlign w:val="bottom"/>
          </w:tcPr>
          <w:p w14:paraId="6AE792F9" w14:textId="11B94411" w:rsidR="00085A55" w:rsidRPr="002F43C8" w:rsidRDefault="00085A55" w:rsidP="00085A55">
            <w:pPr>
              <w:jc w:val="right"/>
              <w:rPr>
                <w:rFonts w:cs="Arial"/>
              </w:rPr>
            </w:pPr>
            <w:r>
              <w:rPr>
                <w:rFonts w:cs="Arial"/>
              </w:rPr>
              <w:t>7</w:t>
            </w:r>
          </w:p>
        </w:tc>
        <w:tc>
          <w:tcPr>
            <w:tcW w:w="993" w:type="dxa"/>
            <w:tcBorders>
              <w:top w:val="nil"/>
              <w:left w:val="nil"/>
              <w:bottom w:val="single" w:sz="4" w:space="0" w:color="auto"/>
              <w:right w:val="single" w:sz="4" w:space="0" w:color="auto"/>
            </w:tcBorders>
          </w:tcPr>
          <w:p w14:paraId="50FE3C9D" w14:textId="2396DE1B" w:rsidR="00085A55" w:rsidRPr="007E5A38" w:rsidRDefault="00085A55" w:rsidP="00085A55">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44682B13" w14:textId="6411F9F9" w:rsidR="00085A55" w:rsidRDefault="00085A55" w:rsidP="00085A55">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6B496226" w14:textId="03EE1D84" w:rsidR="00085A55" w:rsidRDefault="00085A55" w:rsidP="00085A55">
            <w:pPr>
              <w:jc w:val="right"/>
              <w:rPr>
                <w:rFonts w:cs="Arial"/>
              </w:rPr>
            </w:pPr>
            <w:r>
              <w:rPr>
                <w:rFonts w:cs="Arial"/>
              </w:rPr>
              <w:t>0</w:t>
            </w:r>
          </w:p>
        </w:tc>
      </w:tr>
      <w:tr w:rsidR="00085A55" w:rsidRPr="00C5395B" w14:paraId="4C2115C7" w14:textId="77777777" w:rsidTr="00045031">
        <w:trPr>
          <w:trHeight w:val="255"/>
        </w:trPr>
        <w:tc>
          <w:tcPr>
            <w:tcW w:w="2029" w:type="dxa"/>
            <w:tcBorders>
              <w:top w:val="nil"/>
              <w:left w:val="single" w:sz="4" w:space="0" w:color="auto"/>
              <w:bottom w:val="single" w:sz="4" w:space="0" w:color="auto"/>
              <w:right w:val="single" w:sz="4" w:space="0" w:color="auto"/>
            </w:tcBorders>
            <w:noWrap/>
            <w:hideMark/>
          </w:tcPr>
          <w:p w14:paraId="3CBD972F" w14:textId="77777777" w:rsidR="00085A55" w:rsidRPr="00C5395B" w:rsidRDefault="00085A55" w:rsidP="00085A55">
            <w:pPr>
              <w:pStyle w:val="TableText"/>
              <w:rPr>
                <w:lang w:eastAsia="en-AU"/>
              </w:rPr>
            </w:pPr>
            <w:r w:rsidRPr="00C5395B">
              <w:rPr>
                <w:lang w:eastAsia="en-AU"/>
              </w:rPr>
              <w:t>Mossman Gorge</w:t>
            </w:r>
          </w:p>
        </w:tc>
        <w:tc>
          <w:tcPr>
            <w:tcW w:w="1134" w:type="dxa"/>
            <w:tcBorders>
              <w:top w:val="nil"/>
              <w:left w:val="nil"/>
              <w:bottom w:val="single" w:sz="4" w:space="0" w:color="auto"/>
              <w:right w:val="single" w:sz="4" w:space="0" w:color="auto"/>
            </w:tcBorders>
            <w:vAlign w:val="bottom"/>
          </w:tcPr>
          <w:p w14:paraId="505DC0A9" w14:textId="0CBE3571" w:rsidR="00085A55" w:rsidRPr="002F43C8" w:rsidRDefault="00085A55" w:rsidP="00085A55">
            <w:pPr>
              <w:jc w:val="right"/>
              <w:rPr>
                <w:rFonts w:cs="Arial"/>
              </w:rPr>
            </w:pPr>
            <w:r w:rsidRPr="007E5A38">
              <w:rPr>
                <w:rFonts w:cs="Arial"/>
              </w:rPr>
              <w:t>1</w:t>
            </w:r>
          </w:p>
        </w:tc>
        <w:tc>
          <w:tcPr>
            <w:tcW w:w="992" w:type="dxa"/>
            <w:tcBorders>
              <w:top w:val="nil"/>
              <w:left w:val="nil"/>
              <w:bottom w:val="single" w:sz="4" w:space="0" w:color="auto"/>
              <w:right w:val="single" w:sz="4" w:space="0" w:color="auto"/>
            </w:tcBorders>
            <w:vAlign w:val="bottom"/>
          </w:tcPr>
          <w:p w14:paraId="37B50463" w14:textId="52419C8B" w:rsidR="00085A55" w:rsidRPr="002F43C8" w:rsidRDefault="00085A55" w:rsidP="00085A55">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36762082" w14:textId="6365BE0C" w:rsidR="00085A55" w:rsidRPr="007E5A38" w:rsidRDefault="00085A55" w:rsidP="00085A55">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6CC9ED32" w14:textId="06722F5C" w:rsidR="00085A55" w:rsidRDefault="00085A55" w:rsidP="00085A55">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199D8C6E" w14:textId="4DBD53CB" w:rsidR="00085A55" w:rsidRDefault="00085A55" w:rsidP="00085A55">
            <w:pPr>
              <w:jc w:val="right"/>
              <w:rPr>
                <w:rFonts w:cs="Arial"/>
              </w:rPr>
            </w:pPr>
            <w:r>
              <w:rPr>
                <w:rFonts w:cs="Arial"/>
              </w:rPr>
              <w:t>1</w:t>
            </w:r>
          </w:p>
        </w:tc>
      </w:tr>
      <w:tr w:rsidR="00085A55" w:rsidRPr="00C5395B" w14:paraId="69A0E4FB" w14:textId="77777777" w:rsidTr="00A76F30">
        <w:trPr>
          <w:trHeight w:val="255"/>
        </w:trPr>
        <w:tc>
          <w:tcPr>
            <w:tcW w:w="2029" w:type="dxa"/>
            <w:tcBorders>
              <w:top w:val="nil"/>
              <w:left w:val="single" w:sz="4" w:space="0" w:color="auto"/>
              <w:bottom w:val="single" w:sz="4" w:space="0" w:color="auto"/>
              <w:right w:val="single" w:sz="4" w:space="0" w:color="auto"/>
            </w:tcBorders>
            <w:noWrap/>
            <w:hideMark/>
          </w:tcPr>
          <w:p w14:paraId="2C4D4784" w14:textId="77777777" w:rsidR="00085A55" w:rsidRPr="00C5395B" w:rsidRDefault="00085A55" w:rsidP="00085A55">
            <w:pPr>
              <w:pStyle w:val="TableText"/>
              <w:rPr>
                <w:b/>
                <w:lang w:eastAsia="en-AU"/>
              </w:rPr>
            </w:pPr>
            <w:r w:rsidRPr="00C5395B">
              <w:rPr>
                <w:b/>
                <w:lang w:eastAsia="en-AU"/>
              </w:rPr>
              <w:t>TOTAL</w:t>
            </w:r>
          </w:p>
        </w:tc>
        <w:tc>
          <w:tcPr>
            <w:tcW w:w="1134" w:type="dxa"/>
            <w:tcBorders>
              <w:top w:val="nil"/>
              <w:left w:val="nil"/>
              <w:bottom w:val="single" w:sz="4" w:space="0" w:color="auto"/>
              <w:right w:val="single" w:sz="4" w:space="0" w:color="auto"/>
            </w:tcBorders>
            <w:vAlign w:val="bottom"/>
          </w:tcPr>
          <w:p w14:paraId="2BBD4CB9" w14:textId="4D68550E" w:rsidR="00085A55" w:rsidRPr="002F43C8" w:rsidRDefault="00085A55" w:rsidP="00085A55">
            <w:pPr>
              <w:pStyle w:val="TableText"/>
              <w:jc w:val="right"/>
              <w:rPr>
                <w:b/>
                <w:lang w:eastAsia="en-AU"/>
              </w:rPr>
            </w:pPr>
            <w:r w:rsidRPr="007E5A38">
              <w:rPr>
                <w:rFonts w:cs="Arial"/>
                <w:b/>
                <w:bCs/>
              </w:rPr>
              <w:t>26</w:t>
            </w:r>
          </w:p>
        </w:tc>
        <w:tc>
          <w:tcPr>
            <w:tcW w:w="992" w:type="dxa"/>
            <w:tcBorders>
              <w:top w:val="nil"/>
              <w:left w:val="nil"/>
              <w:bottom w:val="single" w:sz="4" w:space="0" w:color="auto"/>
              <w:right w:val="single" w:sz="4" w:space="0" w:color="auto"/>
            </w:tcBorders>
            <w:vAlign w:val="bottom"/>
          </w:tcPr>
          <w:p w14:paraId="183530C6" w14:textId="63BC9429" w:rsidR="00085A55" w:rsidRPr="002F43C8" w:rsidRDefault="00085A55" w:rsidP="00085A55">
            <w:pPr>
              <w:pStyle w:val="TableText"/>
              <w:jc w:val="right"/>
              <w:rPr>
                <w:rFonts w:cs="Arial"/>
                <w:b/>
                <w:bCs/>
              </w:rPr>
            </w:pPr>
            <w:r>
              <w:rPr>
                <w:rFonts w:cs="Arial"/>
                <w:b/>
                <w:bCs/>
              </w:rPr>
              <w:t>39</w:t>
            </w:r>
          </w:p>
        </w:tc>
        <w:tc>
          <w:tcPr>
            <w:tcW w:w="993" w:type="dxa"/>
            <w:tcBorders>
              <w:top w:val="nil"/>
              <w:left w:val="nil"/>
              <w:bottom w:val="single" w:sz="4" w:space="0" w:color="auto"/>
              <w:right w:val="single" w:sz="4" w:space="0" w:color="auto"/>
            </w:tcBorders>
          </w:tcPr>
          <w:p w14:paraId="4B9CCE0E" w14:textId="3892E6E6" w:rsidR="00085A55" w:rsidRPr="007E5A38" w:rsidRDefault="00085A55" w:rsidP="00085A55">
            <w:pPr>
              <w:pStyle w:val="TableText"/>
              <w:jc w:val="right"/>
              <w:rPr>
                <w:rFonts w:cs="Arial"/>
                <w:b/>
                <w:bCs/>
              </w:rPr>
            </w:pPr>
            <w:r>
              <w:rPr>
                <w:rFonts w:cs="Arial"/>
                <w:b/>
                <w:bCs/>
              </w:rPr>
              <w:t>32</w:t>
            </w:r>
          </w:p>
        </w:tc>
        <w:tc>
          <w:tcPr>
            <w:tcW w:w="993" w:type="dxa"/>
            <w:tcBorders>
              <w:top w:val="nil"/>
              <w:left w:val="nil"/>
              <w:bottom w:val="single" w:sz="4" w:space="0" w:color="auto"/>
              <w:right w:val="single" w:sz="4" w:space="0" w:color="auto"/>
            </w:tcBorders>
          </w:tcPr>
          <w:p w14:paraId="5999DCC8" w14:textId="795D4409" w:rsidR="00085A55" w:rsidRDefault="00085A55" w:rsidP="00085A55">
            <w:pPr>
              <w:pStyle w:val="TableText"/>
              <w:jc w:val="right"/>
              <w:rPr>
                <w:rFonts w:cs="Arial"/>
                <w:b/>
                <w:bCs/>
              </w:rPr>
            </w:pPr>
            <w:r>
              <w:rPr>
                <w:rFonts w:cs="Arial"/>
                <w:b/>
                <w:bCs/>
              </w:rPr>
              <w:t>19</w:t>
            </w:r>
          </w:p>
        </w:tc>
        <w:tc>
          <w:tcPr>
            <w:tcW w:w="993" w:type="dxa"/>
            <w:tcBorders>
              <w:top w:val="nil"/>
              <w:left w:val="nil"/>
              <w:bottom w:val="single" w:sz="4" w:space="0" w:color="auto"/>
              <w:right w:val="single" w:sz="4" w:space="0" w:color="auto"/>
            </w:tcBorders>
            <w:vAlign w:val="bottom"/>
          </w:tcPr>
          <w:p w14:paraId="7EB7BB7F" w14:textId="25DDC772" w:rsidR="00085A55" w:rsidRDefault="00085A55" w:rsidP="00085A55">
            <w:pPr>
              <w:pStyle w:val="TableText"/>
              <w:jc w:val="right"/>
              <w:rPr>
                <w:rFonts w:cs="Arial"/>
                <w:b/>
                <w:bCs/>
              </w:rPr>
            </w:pPr>
            <w:r>
              <w:rPr>
                <w:rFonts w:cs="Arial"/>
                <w:b/>
                <w:bCs/>
              </w:rPr>
              <w:t>34</w:t>
            </w:r>
          </w:p>
        </w:tc>
      </w:tr>
    </w:tbl>
    <w:p w14:paraId="5C7D561C" w14:textId="77777777" w:rsidR="00085A55" w:rsidRPr="00AE5461" w:rsidRDefault="00085A55" w:rsidP="00085A55">
      <w:pPr>
        <w:ind w:left="-142" w:right="-425"/>
        <w:jc w:val="both"/>
        <w:rPr>
          <w:rFonts w:cs="Arial"/>
        </w:rPr>
      </w:pPr>
    </w:p>
    <w:p w14:paraId="3DA4D471" w14:textId="3D83B91D" w:rsidR="005A5B78" w:rsidRPr="00076ED0" w:rsidRDefault="005A5B78" w:rsidP="00091CFE">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776CF22" w14:textId="2E3C7F58" w:rsidR="005A5B78" w:rsidRPr="0059763E"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7D5B12">
        <w:rPr>
          <w:rFonts w:cs="Arial"/>
        </w:rPr>
        <w:t>20</w:t>
      </w:r>
      <w:r w:rsidR="00333954">
        <w:rPr>
          <w:rFonts w:cs="Arial"/>
        </w:rPr>
        <w:t xml:space="preserve">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w:t>
      </w:r>
      <w:r w:rsidR="007D5B12">
        <w:rPr>
          <w:rFonts w:cs="Arial"/>
        </w:rPr>
        <w:t>19</w:t>
      </w:r>
      <w:r w:rsidR="00333954">
        <w:rPr>
          <w:rFonts w:cs="Arial"/>
        </w:rPr>
        <w:t xml:space="preserve"> </w:t>
      </w:r>
      <w:r w:rsidR="00EA0435">
        <w:rPr>
          <w:rFonts w:cs="Arial"/>
        </w:rPr>
        <w:t>CIM orders</w:t>
      </w:r>
      <w:r w:rsidR="007D5B12">
        <w:rPr>
          <w:rFonts w:cs="Arial"/>
        </w:rPr>
        <w:t xml:space="preserve"> and 1 CIM agreement</w:t>
      </w:r>
      <w:r w:rsidR="00EA0435">
        <w:rPr>
          <w:rFonts w:cs="Arial"/>
        </w:rPr>
        <w:t xml:space="preserve">) </w:t>
      </w:r>
      <w:r w:rsidR="001E59F8">
        <w:rPr>
          <w:rFonts w:cs="Arial"/>
        </w:rPr>
        <w:t>relating to</w:t>
      </w:r>
      <w:r w:rsidR="00CD2E78">
        <w:rPr>
          <w:rFonts w:cs="Arial"/>
        </w:rPr>
        <w:t xml:space="preserve"> </w:t>
      </w:r>
      <w:r w:rsidR="007D5B12">
        <w:rPr>
          <w:rFonts w:cs="Arial"/>
        </w:rPr>
        <w:t>20</w:t>
      </w:r>
      <w:r w:rsidR="00333954">
        <w:rPr>
          <w:rFonts w:cs="Arial"/>
        </w:rPr>
        <w:t xml:space="preserve">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951376">
        <w:rPr>
          <w:rFonts w:cs="Arial"/>
        </w:rPr>
        <w:t>56</w:t>
      </w:r>
      <w:r w:rsidR="005A5B78" w:rsidRPr="00306884">
        <w:rPr>
          <w:rFonts w:cs="Arial"/>
        </w:rPr>
        <w:t xml:space="preserve">, </w:t>
      </w:r>
      <w:r w:rsidR="00D1657C" w:rsidRPr="00D1657C">
        <w:rPr>
          <w:rFonts w:cs="Arial"/>
        </w:rPr>
        <w:t>a</w:t>
      </w:r>
      <w:r w:rsidR="007D5B12">
        <w:rPr>
          <w:rFonts w:cs="Arial"/>
        </w:rPr>
        <w:t xml:space="preserve">n increase </w:t>
      </w:r>
      <w:r w:rsidR="005A5B78" w:rsidRPr="00D1657C">
        <w:rPr>
          <w:rFonts w:cs="Arial"/>
        </w:rPr>
        <w:t>of</w:t>
      </w:r>
      <w:r w:rsidR="005A5B78" w:rsidRPr="007C135D">
        <w:rPr>
          <w:rFonts w:cs="Arial"/>
        </w:rPr>
        <w:t xml:space="preserve"> </w:t>
      </w:r>
      <w:r w:rsidR="007D5B12">
        <w:rPr>
          <w:rFonts w:cs="Arial"/>
        </w:rPr>
        <w:t>14</w:t>
      </w:r>
      <w:r w:rsidR="007D5B12" w:rsidRPr="007C135D">
        <w:rPr>
          <w:rFonts w:cs="Arial"/>
        </w:rPr>
        <w:t xml:space="preserve"> </w:t>
      </w:r>
      <w:r w:rsidR="00B516C0">
        <w:rPr>
          <w:rFonts w:cs="Arial"/>
        </w:rPr>
        <w:t xml:space="preserve">CIMs </w:t>
      </w:r>
      <w:r w:rsidR="005A5B78" w:rsidRPr="007C135D">
        <w:rPr>
          <w:rFonts w:cs="Arial"/>
        </w:rPr>
        <w:t xml:space="preserve">from </w:t>
      </w:r>
      <w:r w:rsidR="000257CF">
        <w:rPr>
          <w:rFonts w:cs="Arial"/>
        </w:rPr>
        <w:t xml:space="preserve">quarter </w:t>
      </w:r>
      <w:r w:rsidR="00951376">
        <w:rPr>
          <w:rFonts w:cs="Arial"/>
        </w:rPr>
        <w:t>55</w:t>
      </w:r>
      <w:r w:rsidR="00324B7B">
        <w:rPr>
          <w:rFonts w:cs="Arial"/>
        </w:rPr>
        <w:t xml:space="preserve">. </w:t>
      </w:r>
      <w:r w:rsidR="007D5B12">
        <w:rPr>
          <w:rFonts w:cs="Arial"/>
        </w:rPr>
        <w:t>Ninety</w:t>
      </w:r>
      <w:r w:rsidR="00DE1B45">
        <w:rPr>
          <w:rFonts w:cs="Arial"/>
        </w:rPr>
        <w:t xml:space="preserve"> percent of CIMs</w:t>
      </w:r>
      <w:r w:rsidR="00324B7B">
        <w:rPr>
          <w:rFonts w:cs="Arial"/>
        </w:rPr>
        <w:t xml:space="preserve"> quarantine</w:t>
      </w:r>
      <w:r w:rsidR="00DE1B45">
        <w:rPr>
          <w:rFonts w:cs="Arial"/>
        </w:rPr>
        <w:t>d</w:t>
      </w:r>
      <w:r w:rsidR="00324B7B">
        <w:rPr>
          <w:rFonts w:cs="Arial"/>
        </w:rPr>
        <w:t xml:space="preserve"> </w:t>
      </w:r>
      <w:r w:rsidR="00C41FA3">
        <w:rPr>
          <w:rFonts w:cs="Arial"/>
        </w:rPr>
        <w:t xml:space="preserve">60 percent </w:t>
      </w:r>
      <w:r w:rsidR="00364C47">
        <w:rPr>
          <w:rFonts w:cs="Arial"/>
        </w:rPr>
        <w:lastRenderedPageBreak/>
        <w:t>of welfare payments</w:t>
      </w:r>
      <w:r w:rsidR="00180AEF">
        <w:rPr>
          <w:rFonts w:cs="Arial"/>
        </w:rPr>
        <w:t xml:space="preserve"> </w:t>
      </w:r>
      <w:r w:rsidR="00364C47">
        <w:rPr>
          <w:rFonts w:cs="Arial"/>
        </w:rPr>
        <w:t xml:space="preserve">with </w:t>
      </w:r>
      <w:r w:rsidR="007D5B12">
        <w:rPr>
          <w:rFonts w:cs="Arial"/>
        </w:rPr>
        <w:t>40 percent of</w:t>
      </w:r>
      <w:r w:rsidR="00333954">
        <w:rPr>
          <w:rFonts w:cs="Arial"/>
        </w:rPr>
        <w:t xml:space="preserve"> </w:t>
      </w:r>
      <w:r w:rsidR="00364C47">
        <w:rPr>
          <w:rFonts w:cs="Arial"/>
        </w:rPr>
        <w:t xml:space="preserve">CIMs issued for a </w:t>
      </w:r>
      <w:r w:rsidR="00333954">
        <w:rPr>
          <w:rFonts w:cs="Arial"/>
        </w:rPr>
        <w:t>3</w:t>
      </w:r>
      <w:r w:rsidR="00364C47">
        <w:rPr>
          <w:rFonts w:cs="Arial"/>
        </w:rPr>
        <w:t>-month duration</w:t>
      </w:r>
      <w:r w:rsidR="007D5B12">
        <w:rPr>
          <w:rFonts w:cs="Arial"/>
        </w:rPr>
        <w:t>, 50 percent of</w:t>
      </w:r>
      <w:r w:rsidR="00333954">
        <w:rPr>
          <w:rFonts w:cs="Arial"/>
        </w:rPr>
        <w:t xml:space="preserve"> </w:t>
      </w:r>
      <w:r w:rsidR="00364C47">
        <w:rPr>
          <w:rFonts w:cs="Arial"/>
        </w:rPr>
        <w:t xml:space="preserve">CIMs issued for a </w:t>
      </w:r>
      <w:r w:rsidR="00333954">
        <w:rPr>
          <w:rFonts w:cs="Arial"/>
        </w:rPr>
        <w:t>6</w:t>
      </w:r>
      <w:r w:rsidR="00364C47">
        <w:rPr>
          <w:rFonts w:cs="Arial"/>
        </w:rPr>
        <w:t>-month duration</w:t>
      </w:r>
      <w:r w:rsidR="007D5B12">
        <w:rPr>
          <w:rFonts w:cs="Arial"/>
        </w:rPr>
        <w:t xml:space="preserve"> and only </w:t>
      </w:r>
      <w:r w:rsidR="00AF1343">
        <w:rPr>
          <w:rFonts w:cs="Arial"/>
        </w:rPr>
        <w:t>1</w:t>
      </w:r>
      <w:r w:rsidR="007D5B12">
        <w:rPr>
          <w:rFonts w:cs="Arial"/>
        </w:rPr>
        <w:t xml:space="preserve">0 percent issued for a </w:t>
      </w:r>
      <w:r w:rsidR="00AF1343">
        <w:rPr>
          <w:rFonts w:cs="Arial"/>
        </w:rPr>
        <w:t>9</w:t>
      </w:r>
      <w:r w:rsidR="007D5B12">
        <w:rPr>
          <w:rFonts w:cs="Arial"/>
        </w:rPr>
        <w:t>-month duration</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of original </w:t>
      </w:r>
      <w:r w:rsidR="00FE06FE">
        <w:rPr>
          <w:rFonts w:cs="Arial"/>
        </w:rPr>
        <w:t xml:space="preserve">agreements and </w:t>
      </w:r>
      <w:r w:rsidR="005A5B78" w:rsidRPr="007C135D">
        <w:rPr>
          <w:rFonts w:cs="Arial"/>
        </w:rPr>
        <w:t xml:space="preserve">orders, extensions and amendments have been made </w:t>
      </w:r>
      <w:r w:rsidR="005A5B78" w:rsidRPr="007C7A9E">
        <w:rPr>
          <w:rFonts w:cs="Arial"/>
        </w:rPr>
        <w:t xml:space="preserve">relating to </w:t>
      </w:r>
      <w:r w:rsidR="00333954">
        <w:rPr>
          <w:rFonts w:cs="Arial"/>
        </w:rPr>
        <w:t>99</w:t>
      </w:r>
      <w:r w:rsidR="007E75F6">
        <w:rPr>
          <w:rFonts w:cs="Arial"/>
        </w:rPr>
        <w:t>7</w:t>
      </w:r>
      <w:r w:rsidR="00333954" w:rsidRPr="007C7A9E">
        <w:rPr>
          <w:rFonts w:cs="Arial"/>
        </w:rPr>
        <w:t xml:space="preserve"> </w:t>
      </w:r>
      <w:r w:rsidR="005A5B78" w:rsidRPr="007C7A9E">
        <w:rPr>
          <w:rFonts w:cs="Arial"/>
        </w:rPr>
        <w:t>clients</w:t>
      </w:r>
      <w:r w:rsidR="00932DF5">
        <w:rPr>
          <w:rFonts w:cs="Arial"/>
        </w:rPr>
        <w:t xml:space="preserve"> (</w:t>
      </w:r>
      <w:r w:rsidR="0093151F">
        <w:rPr>
          <w:rFonts w:cs="Arial"/>
        </w:rPr>
        <w:t>5</w:t>
      </w:r>
      <w:r w:rsidR="00884383">
        <w:rPr>
          <w:rFonts w:cs="Arial"/>
        </w:rPr>
        <w:t>7</w:t>
      </w:r>
      <w:r w:rsidR="007E75F6">
        <w:rPr>
          <w:rFonts w:cs="Arial"/>
        </w:rPr>
        <w:t>5</w:t>
      </w:r>
      <w:r w:rsidR="0093151F">
        <w:rPr>
          <w:rFonts w:cs="Arial"/>
        </w:rPr>
        <w:t xml:space="preserve"> </w:t>
      </w:r>
      <w:r w:rsidR="00932DF5">
        <w:rPr>
          <w:rFonts w:cs="Arial"/>
        </w:rPr>
        <w:t xml:space="preserve">female and </w:t>
      </w:r>
      <w:r w:rsidR="00690F98">
        <w:rPr>
          <w:rFonts w:cs="Arial"/>
        </w:rPr>
        <w:t>4</w:t>
      </w:r>
      <w:r w:rsidR="007E75F6">
        <w:rPr>
          <w:rFonts w:cs="Arial"/>
        </w:rPr>
        <w:t>22</w:t>
      </w:r>
      <w:r w:rsidR="00690F98">
        <w:rPr>
          <w:rFonts w:cs="Arial"/>
        </w:rPr>
        <w:t xml:space="preserve"> </w:t>
      </w:r>
      <w:r w:rsidR="00932DF5">
        <w:rPr>
          <w:rFonts w:cs="Arial"/>
        </w:rPr>
        <w:t>male)</w:t>
      </w:r>
      <w:r w:rsidR="00127CEE">
        <w:rPr>
          <w:rFonts w:cs="Arial"/>
        </w:rPr>
        <w:t xml:space="preserve">. </w:t>
      </w:r>
      <w:r w:rsidR="003A0107">
        <w:rPr>
          <w:rFonts w:cs="Arial"/>
        </w:rPr>
        <w:t>I</w:t>
      </w:r>
      <w:r w:rsidR="007E75F6">
        <w:rPr>
          <w:rFonts w:cs="Arial"/>
        </w:rPr>
        <w:t xml:space="preserve">ncreases </w:t>
      </w:r>
      <w:r w:rsidR="00D63035">
        <w:rPr>
          <w:rFonts w:cs="Arial"/>
        </w:rPr>
        <w:t xml:space="preserve">in quarter </w:t>
      </w:r>
      <w:r w:rsidR="00951376">
        <w:rPr>
          <w:rFonts w:cs="Arial"/>
        </w:rPr>
        <w:t>56</w:t>
      </w:r>
      <w:r w:rsidR="00D63035">
        <w:rPr>
          <w:rFonts w:cs="Arial"/>
        </w:rPr>
        <w:t xml:space="preserve"> </w:t>
      </w:r>
      <w:r w:rsidR="00596D78" w:rsidRPr="007C7A9E">
        <w:rPr>
          <w:rFonts w:cs="Arial"/>
        </w:rPr>
        <w:t>were seen in</w:t>
      </w:r>
      <w:r w:rsidR="00D014F4">
        <w:rPr>
          <w:rFonts w:cs="Arial"/>
        </w:rPr>
        <w:t xml:space="preserve"> </w:t>
      </w:r>
      <w:r w:rsidR="00C4793F">
        <w:rPr>
          <w:rFonts w:cs="Arial"/>
        </w:rPr>
        <w:t>Aurukun</w:t>
      </w:r>
      <w:r w:rsidR="00690F98">
        <w:rPr>
          <w:rFonts w:cs="Arial"/>
        </w:rPr>
        <w:t>, Doomadgee</w:t>
      </w:r>
      <w:r w:rsidR="00D014F4" w:rsidRPr="007C7A9E">
        <w:rPr>
          <w:rFonts w:cs="Arial"/>
        </w:rPr>
        <w:t xml:space="preserve"> </w:t>
      </w:r>
      <w:r w:rsidR="00D570F8">
        <w:rPr>
          <w:rFonts w:cs="Arial"/>
        </w:rPr>
        <w:t xml:space="preserve">and Hope Vale </w:t>
      </w:r>
      <w:r w:rsidR="00596D78" w:rsidRPr="007C7A9E">
        <w:rPr>
          <w:rFonts w:cs="Arial"/>
        </w:rPr>
        <w:t xml:space="preserve">of </w:t>
      </w:r>
      <w:r w:rsidR="007E75F6">
        <w:rPr>
          <w:rFonts w:cs="Arial"/>
        </w:rPr>
        <w:t>8</w:t>
      </w:r>
      <w:r w:rsidR="00690F98">
        <w:rPr>
          <w:rFonts w:cs="Arial"/>
        </w:rPr>
        <w:t xml:space="preserve">, </w:t>
      </w:r>
      <w:r w:rsidR="007E75F6">
        <w:rPr>
          <w:rFonts w:cs="Arial"/>
        </w:rPr>
        <w:t>4</w:t>
      </w:r>
      <w:r w:rsidR="00E341E0">
        <w:rPr>
          <w:rFonts w:cs="Arial"/>
        </w:rPr>
        <w:t xml:space="preserve"> </w:t>
      </w:r>
      <w:r w:rsidR="00C4793F">
        <w:rPr>
          <w:rFonts w:cs="Arial"/>
        </w:rPr>
        <w:t>and</w:t>
      </w:r>
      <w:r w:rsidR="00D014F4">
        <w:rPr>
          <w:rFonts w:cs="Arial"/>
        </w:rPr>
        <w:t xml:space="preserve"> </w:t>
      </w:r>
      <w:r w:rsidR="007E75F6">
        <w:rPr>
          <w:rFonts w:cs="Arial"/>
        </w:rPr>
        <w:t>3</w:t>
      </w:r>
      <w:r w:rsidR="00492630">
        <w:rPr>
          <w:rFonts w:cs="Arial"/>
        </w:rPr>
        <w:t xml:space="preserve"> </w:t>
      </w:r>
      <w:r w:rsidR="004A53F2" w:rsidRPr="007C7A9E">
        <w:rPr>
          <w:rFonts w:cs="Arial"/>
        </w:rPr>
        <w:t>CIM</w:t>
      </w:r>
      <w:r w:rsidR="007E75F6">
        <w:rPr>
          <w:rFonts w:cs="Arial"/>
        </w:rPr>
        <w:t>s</w:t>
      </w:r>
      <w:r w:rsidR="004A53F2" w:rsidRPr="007C7A9E">
        <w:rPr>
          <w:rFonts w:cs="Arial"/>
        </w:rPr>
        <w:t xml:space="preserve"> </w:t>
      </w:r>
      <w:r w:rsidR="00596D78" w:rsidRPr="007C7A9E">
        <w:rPr>
          <w:rFonts w:cs="Arial"/>
        </w:rPr>
        <w:t>respectively</w:t>
      </w:r>
      <w:r w:rsidR="00920FDA" w:rsidRPr="007C7A9E">
        <w:rPr>
          <w:rFonts w:cs="Arial"/>
        </w:rPr>
        <w:t xml:space="preserve">, </w:t>
      </w:r>
      <w:r w:rsidR="00690F98">
        <w:rPr>
          <w:rFonts w:cs="Arial"/>
        </w:rPr>
        <w:t xml:space="preserve">Coen </w:t>
      </w:r>
      <w:r w:rsidR="007E75F6">
        <w:rPr>
          <w:rFonts w:cs="Arial"/>
        </w:rPr>
        <w:t xml:space="preserve">decreased </w:t>
      </w:r>
      <w:r w:rsidR="00884383">
        <w:rPr>
          <w:rFonts w:cs="Arial"/>
        </w:rPr>
        <w:t xml:space="preserve">by </w:t>
      </w:r>
      <w:r w:rsidR="00690F98">
        <w:rPr>
          <w:rFonts w:cs="Arial"/>
        </w:rPr>
        <w:t>1</w:t>
      </w:r>
      <w:r w:rsidR="00884383">
        <w:rPr>
          <w:rFonts w:cs="Arial"/>
        </w:rPr>
        <w:t xml:space="preserve"> CIM and </w:t>
      </w:r>
      <w:r w:rsidR="00C4793F">
        <w:rPr>
          <w:rFonts w:cs="Arial"/>
        </w:rPr>
        <w:t xml:space="preserve">Mossman Gorge </w:t>
      </w:r>
      <w:r w:rsidR="00CF5A21">
        <w:rPr>
          <w:rFonts w:cs="Arial"/>
        </w:rPr>
        <w:t>remain</w:t>
      </w:r>
      <w:r w:rsidR="00EF63DD">
        <w:rPr>
          <w:rFonts w:cs="Arial"/>
        </w:rPr>
        <w:t>ed</w:t>
      </w:r>
      <w:r w:rsidR="00CF5A21">
        <w:rPr>
          <w:rFonts w:cs="Arial"/>
        </w:rPr>
        <w:t xml:space="preserve"> unchanged </w:t>
      </w:r>
      <w:r w:rsidR="006D2DFF">
        <w:rPr>
          <w:rFonts w:cs="Arial"/>
        </w:rPr>
        <w:t xml:space="preserve">from the preceding quarter </w:t>
      </w:r>
      <w:r w:rsidR="00CF5A21">
        <w:rPr>
          <w:rFonts w:cs="Arial"/>
        </w:rPr>
        <w:t>recording 1 CIM</w:t>
      </w:r>
      <w:r w:rsidR="00A078B9" w:rsidRPr="004D3A02">
        <w:t>.</w:t>
      </w:r>
    </w:p>
    <w:p w14:paraId="23F5549F" w14:textId="77777777" w:rsidR="005A5B78" w:rsidRPr="00386FF7" w:rsidRDefault="005A5B78" w:rsidP="005A5B78">
      <w:pPr>
        <w:ind w:left="-142" w:right="-425"/>
        <w:jc w:val="both"/>
        <w:rPr>
          <w:rFonts w:cs="Arial"/>
        </w:rPr>
      </w:pPr>
    </w:p>
    <w:p w14:paraId="15BC289D" w14:textId="5C37EAEC" w:rsidR="005A5B78" w:rsidRDefault="005A5B78" w:rsidP="005A5B78">
      <w:pPr>
        <w:ind w:left="-142" w:right="-425"/>
        <w:jc w:val="both"/>
        <w:rPr>
          <w:rFonts w:cs="Arial"/>
        </w:rPr>
      </w:pPr>
      <w:r w:rsidRPr="00C313D5">
        <w:rPr>
          <w:rFonts w:cs="Arial"/>
        </w:rPr>
        <w:t xml:space="preserve">As at </w:t>
      </w:r>
      <w:r w:rsidR="00DA70CA">
        <w:rPr>
          <w:rFonts w:cs="Arial"/>
        </w:rPr>
        <w:t>30 June</w:t>
      </w:r>
      <w:r w:rsidR="001A5C4C">
        <w:rPr>
          <w:rFonts w:cs="Arial"/>
        </w:rPr>
        <w:t xml:space="preserve"> 2022</w:t>
      </w:r>
      <w:r w:rsidRPr="00C313D5">
        <w:rPr>
          <w:rFonts w:cs="Arial"/>
        </w:rPr>
        <w:t xml:space="preserve"> there were </w:t>
      </w:r>
      <w:r w:rsidR="00690F98">
        <w:rPr>
          <w:rFonts w:cs="Arial"/>
        </w:rPr>
        <w:t>3</w:t>
      </w:r>
      <w:r w:rsidR="00C37ACE">
        <w:rPr>
          <w:rFonts w:cs="Arial"/>
        </w:rPr>
        <w:t>3</w:t>
      </w:r>
      <w:r w:rsidR="00690F98"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CIM</w:t>
      </w:r>
      <w:r w:rsidR="004034AE">
        <w:rPr>
          <w:rFonts w:cs="Arial"/>
        </w:rPr>
        <w:t xml:space="preserve"> who were responsible for 48 children in their care (30 of whom were school aged children</w:t>
      </w:r>
      <w:r w:rsidR="004573F7">
        <w:rPr>
          <w:rFonts w:cs="Arial"/>
        </w:rPr>
        <w:t>)</w:t>
      </w:r>
      <w:r w:rsidR="004034AE">
        <w:rPr>
          <w:rFonts w:cs="Arial"/>
        </w:rPr>
        <w:t xml:space="preserve">. Ninety-one percent of the 33 clients were income managed </w:t>
      </w:r>
      <w:bookmarkStart w:id="16" w:name="_Hlk80798728"/>
      <w:r w:rsidR="004573F7">
        <w:rPr>
          <w:rFonts w:cs="Arial"/>
        </w:rPr>
        <w:t xml:space="preserve">at </w:t>
      </w:r>
      <w:r w:rsidR="00984127">
        <w:rPr>
          <w:rFonts w:cs="Arial"/>
        </w:rPr>
        <w:t xml:space="preserve">60 percent </w:t>
      </w:r>
      <w:r w:rsidR="004034AE">
        <w:rPr>
          <w:rFonts w:cs="Arial"/>
        </w:rPr>
        <w:t>whilst duration ranged from</w:t>
      </w:r>
      <w:r w:rsidR="004573F7">
        <w:rPr>
          <w:rFonts w:cs="Arial"/>
        </w:rPr>
        <w:t xml:space="preserve"> </w:t>
      </w:r>
      <w:r w:rsidR="00C37ACE">
        <w:rPr>
          <w:rFonts w:cs="Arial"/>
        </w:rPr>
        <w:t xml:space="preserve">36 </w:t>
      </w:r>
      <w:r w:rsidR="005177D6">
        <w:rPr>
          <w:rFonts w:cs="Arial"/>
        </w:rPr>
        <w:t xml:space="preserve">percent for a 6-month duration and </w:t>
      </w:r>
      <w:r w:rsidR="00C37ACE">
        <w:rPr>
          <w:rFonts w:cs="Arial"/>
        </w:rPr>
        <w:t xml:space="preserve">33 </w:t>
      </w:r>
      <w:r w:rsidR="00984127">
        <w:rPr>
          <w:rFonts w:cs="Arial"/>
        </w:rPr>
        <w:t xml:space="preserve">percent for a </w:t>
      </w:r>
      <w:r w:rsidR="005177D6">
        <w:rPr>
          <w:rFonts w:cs="Arial"/>
        </w:rPr>
        <w:t>12</w:t>
      </w:r>
      <w:r w:rsidR="00984127">
        <w:rPr>
          <w:rFonts w:cs="Arial"/>
        </w:rPr>
        <w:t>-month duration</w:t>
      </w:r>
      <w:r w:rsidR="00CE5828" w:rsidRPr="00C313D5">
        <w:rPr>
          <w:rFonts w:cs="Arial"/>
        </w:rPr>
        <w:t>.</w:t>
      </w:r>
      <w:r w:rsidR="0061573D">
        <w:rPr>
          <w:rFonts w:cs="Arial"/>
        </w:rPr>
        <w:t xml:space="preserve"> </w:t>
      </w:r>
      <w:bookmarkEnd w:id="16"/>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041B5BFB" w14:textId="28A471B8" w:rsidR="00166CE5" w:rsidRDefault="00166CE5" w:rsidP="005A5B78">
      <w:pPr>
        <w:ind w:left="-142" w:right="-425"/>
        <w:jc w:val="both"/>
      </w:pPr>
    </w:p>
    <w:p w14:paraId="45DBCC44" w14:textId="380F88E9" w:rsidR="00E10049" w:rsidRPr="00B01FE8" w:rsidRDefault="00E10049" w:rsidP="00E10049">
      <w:pPr>
        <w:pStyle w:val="TableCaption"/>
        <w:spacing w:before="0"/>
        <w:ind w:left="0" w:right="-425"/>
        <w:rPr>
          <w:b/>
          <w:i w:val="0"/>
          <w:sz w:val="16"/>
        </w:rPr>
      </w:pPr>
      <w:r w:rsidRPr="00B01FE8">
        <w:rPr>
          <w:b/>
          <w:i w:val="0"/>
          <w:sz w:val="16"/>
        </w:rPr>
        <w:t>Table 1</w:t>
      </w:r>
      <w:r>
        <w:rPr>
          <w:b/>
          <w:i w:val="0"/>
          <w:sz w:val="16"/>
        </w:rPr>
        <w:t>9</w:t>
      </w:r>
      <w:r w:rsidRPr="00B01FE8">
        <w:rPr>
          <w:b/>
          <w:i w:val="0"/>
          <w:sz w:val="16"/>
        </w:rPr>
        <w:t xml:space="preserve">: </w:t>
      </w:r>
      <w:r w:rsidRPr="00B01FE8">
        <w:rPr>
          <w:i w:val="0"/>
          <w:sz w:val="16"/>
        </w:rPr>
        <w:t xml:space="preserve">Conditional Income Management orders by community and quarter 1 </w:t>
      </w:r>
      <w:r>
        <w:rPr>
          <w:i w:val="0"/>
          <w:sz w:val="16"/>
        </w:rPr>
        <w:t xml:space="preserve">April 2021 to 30 June </w:t>
      </w:r>
      <w:r w:rsidRPr="00B01FE8">
        <w:rPr>
          <w:i w:val="0"/>
          <w:sz w:val="16"/>
        </w:rPr>
        <w:t>20</w:t>
      </w:r>
      <w:r>
        <w:rPr>
          <w:i w:val="0"/>
          <w:sz w:val="16"/>
        </w:rPr>
        <w:t>22</w:t>
      </w:r>
    </w:p>
    <w:tbl>
      <w:tblPr>
        <w:tblW w:w="6840" w:type="dxa"/>
        <w:tblInd w:w="93" w:type="dxa"/>
        <w:tblLook w:val="04A0" w:firstRow="1" w:lastRow="0" w:firstColumn="1" w:lastColumn="0" w:noHBand="0" w:noVBand="1"/>
      </w:tblPr>
      <w:tblGrid>
        <w:gridCol w:w="2040"/>
        <w:gridCol w:w="960"/>
        <w:gridCol w:w="960"/>
        <w:gridCol w:w="960"/>
        <w:gridCol w:w="960"/>
        <w:gridCol w:w="960"/>
      </w:tblGrid>
      <w:tr w:rsidR="00E10049" w:rsidRPr="00C5395B" w14:paraId="1C74D5C5" w14:textId="77777777" w:rsidTr="005D3292">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1C383322" w14:textId="77777777" w:rsidR="00E10049" w:rsidRPr="00C5395B" w:rsidRDefault="00E10049" w:rsidP="00E10049">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330E5E71" w14:textId="3E2F4B02" w:rsidR="00E10049" w:rsidRDefault="00E10049" w:rsidP="00E10049">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4949ECA4" w14:textId="1584180C" w:rsidR="00E10049" w:rsidRDefault="00E10049" w:rsidP="00E10049">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34083661" w14:textId="6C1557BE" w:rsidR="00E10049" w:rsidRDefault="00E10049" w:rsidP="00E10049">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3A1B092C" w14:textId="27582F69" w:rsidR="00E10049" w:rsidRDefault="00E10049" w:rsidP="00E10049">
            <w:pPr>
              <w:pStyle w:val="TableText"/>
              <w:jc w:val="right"/>
              <w:rPr>
                <w:b/>
                <w:lang w:eastAsia="en-AU"/>
              </w:rPr>
            </w:pPr>
            <w:r>
              <w:rPr>
                <w:b/>
                <w:lang w:eastAsia="en-AU"/>
              </w:rPr>
              <w:t>Qtr 55</w:t>
            </w:r>
          </w:p>
        </w:tc>
        <w:tc>
          <w:tcPr>
            <w:tcW w:w="960" w:type="dxa"/>
            <w:tcBorders>
              <w:top w:val="single" w:sz="4" w:space="0" w:color="auto"/>
              <w:left w:val="nil"/>
              <w:bottom w:val="single" w:sz="4" w:space="0" w:color="auto"/>
              <w:right w:val="single" w:sz="4" w:space="0" w:color="auto"/>
            </w:tcBorders>
          </w:tcPr>
          <w:p w14:paraId="3A3B9FF9" w14:textId="31528094" w:rsidR="00E10049" w:rsidRDefault="00E10049" w:rsidP="00E10049">
            <w:pPr>
              <w:pStyle w:val="TableText"/>
              <w:jc w:val="right"/>
              <w:rPr>
                <w:b/>
                <w:lang w:eastAsia="en-AU"/>
              </w:rPr>
            </w:pPr>
            <w:r>
              <w:rPr>
                <w:b/>
                <w:lang w:eastAsia="en-AU"/>
              </w:rPr>
              <w:t>Qtr 56</w:t>
            </w:r>
          </w:p>
        </w:tc>
      </w:tr>
      <w:tr w:rsidR="00E10049" w:rsidRPr="00C5395B" w14:paraId="0587FECA" w14:textId="77777777" w:rsidTr="00DC63D6">
        <w:trPr>
          <w:trHeight w:val="255"/>
        </w:trPr>
        <w:tc>
          <w:tcPr>
            <w:tcW w:w="2040" w:type="dxa"/>
            <w:tcBorders>
              <w:top w:val="nil"/>
              <w:left w:val="single" w:sz="4" w:space="0" w:color="auto"/>
              <w:bottom w:val="single" w:sz="4" w:space="0" w:color="auto"/>
              <w:right w:val="single" w:sz="4" w:space="0" w:color="auto"/>
            </w:tcBorders>
            <w:noWrap/>
            <w:hideMark/>
          </w:tcPr>
          <w:p w14:paraId="4939B6E4" w14:textId="77777777" w:rsidR="00E10049" w:rsidRPr="00C5395B" w:rsidRDefault="00E10049" w:rsidP="00E10049">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462A17E1" w14:textId="3DF3F326" w:rsidR="00E10049" w:rsidRDefault="00E10049" w:rsidP="00E10049">
            <w:pPr>
              <w:jc w:val="right"/>
              <w:rPr>
                <w:rFonts w:cs="Arial"/>
              </w:rPr>
            </w:pPr>
            <w:r w:rsidRPr="00F1223C">
              <w:rPr>
                <w:rFonts w:cs="Arial"/>
              </w:rPr>
              <w:t>8</w:t>
            </w:r>
          </w:p>
        </w:tc>
        <w:tc>
          <w:tcPr>
            <w:tcW w:w="960" w:type="dxa"/>
            <w:tcBorders>
              <w:top w:val="nil"/>
              <w:left w:val="nil"/>
              <w:bottom w:val="single" w:sz="4" w:space="0" w:color="auto"/>
              <w:right w:val="single" w:sz="4" w:space="0" w:color="auto"/>
            </w:tcBorders>
          </w:tcPr>
          <w:p w14:paraId="57E2DE6A" w14:textId="3C38A3D7" w:rsidR="00E10049" w:rsidRPr="00EE6BD7" w:rsidRDefault="00E10049" w:rsidP="00E10049">
            <w:pPr>
              <w:jc w:val="right"/>
              <w:rPr>
                <w:rFonts w:cs="Arial"/>
              </w:rPr>
            </w:pPr>
            <w:r w:rsidRPr="00A969C0">
              <w:rPr>
                <w:rFonts w:cs="Arial"/>
              </w:rPr>
              <w:t>22</w:t>
            </w:r>
          </w:p>
        </w:tc>
        <w:tc>
          <w:tcPr>
            <w:tcW w:w="960" w:type="dxa"/>
            <w:tcBorders>
              <w:top w:val="nil"/>
              <w:left w:val="nil"/>
              <w:bottom w:val="single" w:sz="4" w:space="0" w:color="auto"/>
              <w:right w:val="single" w:sz="4" w:space="0" w:color="auto"/>
            </w:tcBorders>
          </w:tcPr>
          <w:p w14:paraId="357B73E2" w14:textId="5FC5CA84" w:rsidR="00E10049" w:rsidRPr="00A969C0" w:rsidRDefault="00E10049" w:rsidP="00E10049">
            <w:pPr>
              <w:jc w:val="right"/>
              <w:rPr>
                <w:rFonts w:cs="Arial"/>
              </w:rPr>
            </w:pPr>
            <w:r>
              <w:rPr>
                <w:rFonts w:cs="Arial"/>
              </w:rPr>
              <w:t>16</w:t>
            </w:r>
          </w:p>
        </w:tc>
        <w:tc>
          <w:tcPr>
            <w:tcW w:w="960" w:type="dxa"/>
            <w:tcBorders>
              <w:top w:val="nil"/>
              <w:left w:val="nil"/>
              <w:bottom w:val="single" w:sz="4" w:space="0" w:color="auto"/>
              <w:right w:val="single" w:sz="4" w:space="0" w:color="auto"/>
            </w:tcBorders>
          </w:tcPr>
          <w:p w14:paraId="5C1963BD" w14:textId="408C640D" w:rsidR="00E10049" w:rsidRPr="00A969C0" w:rsidRDefault="00E10049" w:rsidP="00E1004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514442B" w14:textId="63039616" w:rsidR="00E10049" w:rsidRDefault="00E10049" w:rsidP="00E10049">
            <w:pPr>
              <w:jc w:val="right"/>
              <w:rPr>
                <w:rFonts w:cs="Arial"/>
              </w:rPr>
            </w:pPr>
            <w:r>
              <w:rPr>
                <w:rFonts w:cs="Arial"/>
              </w:rPr>
              <w:t>10</w:t>
            </w:r>
          </w:p>
        </w:tc>
      </w:tr>
      <w:tr w:rsidR="00E10049" w:rsidRPr="00C5395B" w14:paraId="436077C7" w14:textId="77777777" w:rsidTr="00DC63D6">
        <w:trPr>
          <w:trHeight w:val="255"/>
        </w:trPr>
        <w:tc>
          <w:tcPr>
            <w:tcW w:w="2040" w:type="dxa"/>
            <w:tcBorders>
              <w:top w:val="nil"/>
              <w:left w:val="single" w:sz="4" w:space="0" w:color="auto"/>
              <w:bottom w:val="single" w:sz="4" w:space="0" w:color="auto"/>
              <w:right w:val="single" w:sz="4" w:space="0" w:color="auto"/>
            </w:tcBorders>
            <w:noWrap/>
            <w:hideMark/>
          </w:tcPr>
          <w:p w14:paraId="4D4644B4" w14:textId="77777777" w:rsidR="00E10049" w:rsidRPr="00C5395B" w:rsidRDefault="00E10049" w:rsidP="00E10049">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1BC68582" w14:textId="10C51267" w:rsidR="00E10049" w:rsidRDefault="00E10049" w:rsidP="00E10049">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29FC9715" w14:textId="3A334AF3" w:rsidR="00E10049" w:rsidRPr="00EE6BD7" w:rsidRDefault="00E10049" w:rsidP="00E10049">
            <w:pPr>
              <w:jc w:val="right"/>
              <w:rPr>
                <w:rFonts w:cs="Arial"/>
              </w:rPr>
            </w:pPr>
            <w:r w:rsidRPr="00A969C0">
              <w:rPr>
                <w:rFonts w:cs="Arial"/>
              </w:rPr>
              <w:t>0</w:t>
            </w:r>
          </w:p>
        </w:tc>
        <w:tc>
          <w:tcPr>
            <w:tcW w:w="960" w:type="dxa"/>
            <w:tcBorders>
              <w:top w:val="nil"/>
              <w:left w:val="nil"/>
              <w:bottom w:val="single" w:sz="4" w:space="0" w:color="auto"/>
              <w:right w:val="single" w:sz="4" w:space="0" w:color="auto"/>
            </w:tcBorders>
          </w:tcPr>
          <w:p w14:paraId="5A3CC5B6" w14:textId="0EC5C34D" w:rsidR="00E10049" w:rsidRPr="00A969C0" w:rsidRDefault="00E10049" w:rsidP="00E1004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879C316" w14:textId="2611709A" w:rsidR="00E10049" w:rsidRPr="00A969C0" w:rsidRDefault="00E10049" w:rsidP="00E1004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23E1962" w14:textId="25A096D3" w:rsidR="00E10049" w:rsidRDefault="00E10049" w:rsidP="00E10049">
            <w:pPr>
              <w:jc w:val="right"/>
              <w:rPr>
                <w:rFonts w:cs="Arial"/>
              </w:rPr>
            </w:pPr>
            <w:r>
              <w:rPr>
                <w:rFonts w:cs="Arial"/>
              </w:rPr>
              <w:t>0</w:t>
            </w:r>
          </w:p>
        </w:tc>
      </w:tr>
      <w:tr w:rsidR="00E10049" w:rsidRPr="00C5395B" w14:paraId="37A97F5B" w14:textId="77777777" w:rsidTr="00DC63D6">
        <w:trPr>
          <w:trHeight w:val="255"/>
        </w:trPr>
        <w:tc>
          <w:tcPr>
            <w:tcW w:w="2040" w:type="dxa"/>
            <w:tcBorders>
              <w:top w:val="nil"/>
              <w:left w:val="single" w:sz="4" w:space="0" w:color="auto"/>
              <w:bottom w:val="single" w:sz="4" w:space="0" w:color="auto"/>
              <w:right w:val="single" w:sz="4" w:space="0" w:color="auto"/>
            </w:tcBorders>
            <w:noWrap/>
          </w:tcPr>
          <w:p w14:paraId="66DFE974" w14:textId="77777777" w:rsidR="00E10049" w:rsidRPr="00C5395B" w:rsidRDefault="00E10049" w:rsidP="00E10049">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370BF104" w14:textId="1E120D5A" w:rsidR="00E10049" w:rsidRDefault="00E10049" w:rsidP="00E10049">
            <w:pPr>
              <w:jc w:val="right"/>
              <w:rPr>
                <w:rFonts w:cs="Arial"/>
              </w:rPr>
            </w:pPr>
            <w:r w:rsidRPr="00F1223C">
              <w:rPr>
                <w:rFonts w:cs="Arial"/>
              </w:rPr>
              <w:t>7</w:t>
            </w:r>
          </w:p>
        </w:tc>
        <w:tc>
          <w:tcPr>
            <w:tcW w:w="960" w:type="dxa"/>
            <w:tcBorders>
              <w:top w:val="nil"/>
              <w:left w:val="nil"/>
              <w:bottom w:val="single" w:sz="4" w:space="0" w:color="auto"/>
              <w:right w:val="single" w:sz="4" w:space="0" w:color="auto"/>
            </w:tcBorders>
          </w:tcPr>
          <w:p w14:paraId="6029F32E" w14:textId="7B4DB9B4" w:rsidR="00E10049" w:rsidRPr="00EE6BD7" w:rsidRDefault="00E10049" w:rsidP="00E10049">
            <w:pPr>
              <w:jc w:val="right"/>
              <w:rPr>
                <w:rFonts w:cs="Arial"/>
              </w:rPr>
            </w:pPr>
            <w:r w:rsidRPr="00A969C0">
              <w:rPr>
                <w:rFonts w:cs="Arial"/>
              </w:rPr>
              <w:t>8</w:t>
            </w:r>
          </w:p>
        </w:tc>
        <w:tc>
          <w:tcPr>
            <w:tcW w:w="960" w:type="dxa"/>
            <w:tcBorders>
              <w:top w:val="nil"/>
              <w:left w:val="nil"/>
              <w:bottom w:val="single" w:sz="4" w:space="0" w:color="auto"/>
              <w:right w:val="single" w:sz="4" w:space="0" w:color="auto"/>
            </w:tcBorders>
          </w:tcPr>
          <w:p w14:paraId="4463058D" w14:textId="1DD8EA63" w:rsidR="00E10049" w:rsidRPr="00A969C0" w:rsidRDefault="00E10049" w:rsidP="00E10049">
            <w:pPr>
              <w:jc w:val="right"/>
              <w:rPr>
                <w:rFonts w:cs="Arial"/>
              </w:rPr>
            </w:pPr>
            <w:r>
              <w:rPr>
                <w:rFonts w:cs="Arial"/>
              </w:rPr>
              <w:t>11</w:t>
            </w:r>
          </w:p>
        </w:tc>
        <w:tc>
          <w:tcPr>
            <w:tcW w:w="960" w:type="dxa"/>
            <w:tcBorders>
              <w:top w:val="nil"/>
              <w:left w:val="nil"/>
              <w:bottom w:val="single" w:sz="4" w:space="0" w:color="auto"/>
              <w:right w:val="single" w:sz="4" w:space="0" w:color="auto"/>
            </w:tcBorders>
          </w:tcPr>
          <w:p w14:paraId="25D8C3E5" w14:textId="3435C358" w:rsidR="00E10049" w:rsidRPr="00A969C0" w:rsidRDefault="00E10049" w:rsidP="00E1004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07E00196" w14:textId="1641A497" w:rsidR="00E10049" w:rsidRDefault="00E10049" w:rsidP="00E10049">
            <w:pPr>
              <w:jc w:val="right"/>
              <w:rPr>
                <w:rFonts w:cs="Arial"/>
              </w:rPr>
            </w:pPr>
            <w:r>
              <w:rPr>
                <w:rFonts w:cs="Arial"/>
              </w:rPr>
              <w:t>6</w:t>
            </w:r>
          </w:p>
        </w:tc>
      </w:tr>
      <w:tr w:rsidR="00E10049" w:rsidRPr="00C5395B" w14:paraId="0ECB679D" w14:textId="77777777" w:rsidTr="00DC63D6">
        <w:trPr>
          <w:trHeight w:val="255"/>
        </w:trPr>
        <w:tc>
          <w:tcPr>
            <w:tcW w:w="2040" w:type="dxa"/>
            <w:tcBorders>
              <w:top w:val="nil"/>
              <w:left w:val="single" w:sz="4" w:space="0" w:color="auto"/>
              <w:bottom w:val="single" w:sz="4" w:space="0" w:color="auto"/>
              <w:right w:val="single" w:sz="4" w:space="0" w:color="auto"/>
            </w:tcBorders>
            <w:noWrap/>
            <w:hideMark/>
          </w:tcPr>
          <w:p w14:paraId="7C8791CF" w14:textId="77777777" w:rsidR="00E10049" w:rsidRPr="00C5395B" w:rsidRDefault="00E10049" w:rsidP="00E10049">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77F1A489" w14:textId="7D1E7720" w:rsidR="00E10049" w:rsidRDefault="00E10049" w:rsidP="00E10049">
            <w:pPr>
              <w:jc w:val="right"/>
              <w:rPr>
                <w:rFonts w:cs="Arial"/>
              </w:rPr>
            </w:pPr>
            <w:r w:rsidRPr="00F1223C">
              <w:rPr>
                <w:rFonts w:cs="Arial"/>
              </w:rPr>
              <w:t>4</w:t>
            </w:r>
          </w:p>
        </w:tc>
        <w:tc>
          <w:tcPr>
            <w:tcW w:w="960" w:type="dxa"/>
            <w:tcBorders>
              <w:top w:val="nil"/>
              <w:left w:val="nil"/>
              <w:bottom w:val="single" w:sz="4" w:space="0" w:color="auto"/>
              <w:right w:val="single" w:sz="4" w:space="0" w:color="auto"/>
            </w:tcBorders>
          </w:tcPr>
          <w:p w14:paraId="0C42232B" w14:textId="19B6B751" w:rsidR="00E10049" w:rsidRPr="00EE6BD7" w:rsidRDefault="00E10049" w:rsidP="00E10049">
            <w:pPr>
              <w:jc w:val="right"/>
              <w:rPr>
                <w:rFonts w:cs="Arial"/>
              </w:rPr>
            </w:pPr>
            <w:r w:rsidRPr="00A969C0">
              <w:rPr>
                <w:rFonts w:cs="Arial"/>
              </w:rPr>
              <w:t>5</w:t>
            </w:r>
          </w:p>
        </w:tc>
        <w:tc>
          <w:tcPr>
            <w:tcW w:w="960" w:type="dxa"/>
            <w:tcBorders>
              <w:top w:val="nil"/>
              <w:left w:val="nil"/>
              <w:bottom w:val="single" w:sz="4" w:space="0" w:color="auto"/>
              <w:right w:val="single" w:sz="4" w:space="0" w:color="auto"/>
            </w:tcBorders>
          </w:tcPr>
          <w:p w14:paraId="604BE4C9" w14:textId="4186FCB8" w:rsidR="00E10049" w:rsidRPr="00A969C0" w:rsidRDefault="00E10049" w:rsidP="00E1004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A94EDC0" w14:textId="1872FCE9" w:rsidR="00E10049" w:rsidRPr="00A969C0" w:rsidRDefault="00E10049" w:rsidP="00E1004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E71CCD2" w14:textId="005E1E0E" w:rsidR="00E10049" w:rsidRDefault="00E10049" w:rsidP="00E10049">
            <w:pPr>
              <w:jc w:val="right"/>
              <w:rPr>
                <w:rFonts w:cs="Arial"/>
              </w:rPr>
            </w:pPr>
            <w:r>
              <w:rPr>
                <w:rFonts w:cs="Arial"/>
              </w:rPr>
              <w:t>3</w:t>
            </w:r>
          </w:p>
        </w:tc>
      </w:tr>
      <w:tr w:rsidR="00E10049" w:rsidRPr="00C5395B" w14:paraId="3214F102" w14:textId="77777777" w:rsidTr="00DC63D6">
        <w:trPr>
          <w:trHeight w:val="255"/>
        </w:trPr>
        <w:tc>
          <w:tcPr>
            <w:tcW w:w="2040" w:type="dxa"/>
            <w:tcBorders>
              <w:top w:val="nil"/>
              <w:left w:val="single" w:sz="4" w:space="0" w:color="auto"/>
              <w:bottom w:val="single" w:sz="4" w:space="0" w:color="auto"/>
              <w:right w:val="single" w:sz="4" w:space="0" w:color="auto"/>
            </w:tcBorders>
            <w:noWrap/>
            <w:hideMark/>
          </w:tcPr>
          <w:p w14:paraId="2C52A4EA" w14:textId="77777777" w:rsidR="00E10049" w:rsidRPr="00C5395B" w:rsidRDefault="00E10049" w:rsidP="00E10049">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98D654B" w14:textId="2B5308D3" w:rsidR="00E10049" w:rsidRDefault="00E10049" w:rsidP="00E10049">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4073E89B" w14:textId="5D58D1A2" w:rsidR="00E10049" w:rsidRPr="00EE6BD7" w:rsidRDefault="00E10049" w:rsidP="00E10049">
            <w:pPr>
              <w:jc w:val="right"/>
              <w:rPr>
                <w:rFonts w:cs="Arial"/>
              </w:rPr>
            </w:pPr>
            <w:r w:rsidRPr="00A969C0">
              <w:rPr>
                <w:rFonts w:cs="Arial"/>
              </w:rPr>
              <w:t>1</w:t>
            </w:r>
          </w:p>
        </w:tc>
        <w:tc>
          <w:tcPr>
            <w:tcW w:w="960" w:type="dxa"/>
            <w:tcBorders>
              <w:top w:val="nil"/>
              <w:left w:val="nil"/>
              <w:bottom w:val="single" w:sz="4" w:space="0" w:color="auto"/>
              <w:right w:val="single" w:sz="4" w:space="0" w:color="auto"/>
            </w:tcBorders>
          </w:tcPr>
          <w:p w14:paraId="39AF4D9D" w14:textId="4935F0E6" w:rsidR="00E10049" w:rsidRPr="00A969C0" w:rsidRDefault="00E10049" w:rsidP="00E1004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5414892" w14:textId="60DB7A57" w:rsidR="00E10049" w:rsidRPr="00A969C0" w:rsidRDefault="00E10049" w:rsidP="00E1004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489B5ED" w14:textId="4B180180" w:rsidR="00E10049" w:rsidRDefault="00E10049" w:rsidP="00E10049">
            <w:pPr>
              <w:jc w:val="right"/>
              <w:rPr>
                <w:rFonts w:cs="Arial"/>
              </w:rPr>
            </w:pPr>
            <w:r>
              <w:rPr>
                <w:rFonts w:cs="Arial"/>
              </w:rPr>
              <w:t>1</w:t>
            </w:r>
          </w:p>
        </w:tc>
      </w:tr>
      <w:tr w:rsidR="00E10049" w:rsidRPr="00C5395B" w14:paraId="2900C52D" w14:textId="77777777" w:rsidTr="00DC63D6">
        <w:trPr>
          <w:trHeight w:val="255"/>
        </w:trPr>
        <w:tc>
          <w:tcPr>
            <w:tcW w:w="2040" w:type="dxa"/>
            <w:tcBorders>
              <w:top w:val="nil"/>
              <w:left w:val="single" w:sz="4" w:space="0" w:color="auto"/>
              <w:bottom w:val="single" w:sz="4" w:space="0" w:color="auto"/>
              <w:right w:val="single" w:sz="4" w:space="0" w:color="auto"/>
            </w:tcBorders>
            <w:noWrap/>
            <w:hideMark/>
          </w:tcPr>
          <w:p w14:paraId="686E9E22" w14:textId="77777777" w:rsidR="00E10049" w:rsidRPr="00C5395B" w:rsidRDefault="00E10049" w:rsidP="00E10049">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76B57855" w14:textId="6B986EAA" w:rsidR="00E10049" w:rsidRDefault="00E10049" w:rsidP="00E10049">
            <w:pPr>
              <w:jc w:val="right"/>
              <w:rPr>
                <w:rFonts w:cs="Arial"/>
                <w:b/>
                <w:bCs/>
              </w:rPr>
            </w:pPr>
            <w:r w:rsidRPr="00F1223C">
              <w:rPr>
                <w:rFonts w:cs="Arial"/>
                <w:b/>
                <w:bCs/>
              </w:rPr>
              <w:t>25</w:t>
            </w:r>
          </w:p>
        </w:tc>
        <w:tc>
          <w:tcPr>
            <w:tcW w:w="960" w:type="dxa"/>
            <w:tcBorders>
              <w:top w:val="nil"/>
              <w:left w:val="nil"/>
              <w:bottom w:val="single" w:sz="4" w:space="0" w:color="auto"/>
              <w:right w:val="single" w:sz="4" w:space="0" w:color="auto"/>
            </w:tcBorders>
          </w:tcPr>
          <w:p w14:paraId="2AD649FE" w14:textId="3FF570EE" w:rsidR="00E10049" w:rsidRPr="00EE6BD7" w:rsidRDefault="00E10049" w:rsidP="00E10049">
            <w:pPr>
              <w:jc w:val="right"/>
              <w:rPr>
                <w:rFonts w:cs="Arial"/>
                <w:b/>
                <w:bCs/>
              </w:rPr>
            </w:pPr>
            <w:r w:rsidRPr="00A969C0">
              <w:rPr>
                <w:rFonts w:cs="Arial"/>
                <w:b/>
                <w:bCs/>
              </w:rPr>
              <w:t>36</w:t>
            </w:r>
          </w:p>
        </w:tc>
        <w:tc>
          <w:tcPr>
            <w:tcW w:w="960" w:type="dxa"/>
            <w:tcBorders>
              <w:top w:val="nil"/>
              <w:left w:val="nil"/>
              <w:bottom w:val="single" w:sz="4" w:space="0" w:color="auto"/>
              <w:right w:val="single" w:sz="4" w:space="0" w:color="auto"/>
            </w:tcBorders>
          </w:tcPr>
          <w:p w14:paraId="79E16B83" w14:textId="2B089BE5" w:rsidR="00E10049" w:rsidRPr="00A969C0" w:rsidRDefault="00E10049" w:rsidP="00E10049">
            <w:pPr>
              <w:jc w:val="right"/>
              <w:rPr>
                <w:rFonts w:cs="Arial"/>
                <w:b/>
                <w:bCs/>
              </w:rPr>
            </w:pPr>
            <w:r>
              <w:rPr>
                <w:rFonts w:cs="Arial"/>
                <w:b/>
                <w:bCs/>
              </w:rPr>
              <w:t>29</w:t>
            </w:r>
          </w:p>
        </w:tc>
        <w:tc>
          <w:tcPr>
            <w:tcW w:w="960" w:type="dxa"/>
            <w:tcBorders>
              <w:top w:val="nil"/>
              <w:left w:val="nil"/>
              <w:bottom w:val="single" w:sz="4" w:space="0" w:color="auto"/>
              <w:right w:val="single" w:sz="4" w:space="0" w:color="auto"/>
            </w:tcBorders>
          </w:tcPr>
          <w:p w14:paraId="57E6836A" w14:textId="44087EFC" w:rsidR="00E10049" w:rsidRPr="00A969C0" w:rsidRDefault="00E10049" w:rsidP="00E10049">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414C590B" w14:textId="266B364B" w:rsidR="00E10049" w:rsidRDefault="00E10049" w:rsidP="00E10049">
            <w:pPr>
              <w:jc w:val="right"/>
              <w:rPr>
                <w:rFonts w:cs="Arial"/>
                <w:b/>
                <w:bCs/>
              </w:rPr>
            </w:pPr>
            <w:r>
              <w:rPr>
                <w:rFonts w:cs="Arial"/>
                <w:b/>
                <w:bCs/>
              </w:rPr>
              <w:t>20</w:t>
            </w:r>
          </w:p>
        </w:tc>
      </w:tr>
    </w:tbl>
    <w:p w14:paraId="5C00370B" w14:textId="77777777" w:rsidR="00433562" w:rsidRPr="002E156B" w:rsidRDefault="00433562" w:rsidP="002E156B">
      <w:pPr>
        <w:ind w:left="-142" w:right="-425"/>
        <w:jc w:val="both"/>
        <w:rPr>
          <w:rFonts w:cs="Arial"/>
        </w:rPr>
      </w:pPr>
    </w:p>
    <w:p w14:paraId="0F4C8C26" w14:textId="77777777" w:rsidR="00D802EF" w:rsidRPr="00076ED0" w:rsidRDefault="00D802EF" w:rsidP="00091CFE">
      <w:pPr>
        <w:pStyle w:val="Heading2"/>
      </w:pPr>
      <w:r w:rsidRPr="0021097A">
        <w:t>Conditional Income Management for Domestic Violence related matters</w:t>
      </w:r>
    </w:p>
    <w:p w14:paraId="06A9378B" w14:textId="797A14A0" w:rsidR="00D802EF" w:rsidRDefault="00A40532" w:rsidP="00D802EF">
      <w:pPr>
        <w:ind w:left="-142" w:right="-425"/>
        <w:jc w:val="both"/>
        <w:rPr>
          <w:rFonts w:cs="Arial"/>
        </w:rPr>
      </w:pPr>
      <w:r w:rsidRPr="00280B6D">
        <w:rPr>
          <w:rFonts w:cs="Arial"/>
        </w:rPr>
        <w:t xml:space="preserve">As a subset of the total number of CIMs in the quarter, </w:t>
      </w:r>
      <w:r w:rsidR="008A1E7C">
        <w:rPr>
          <w:rFonts w:cs="Arial"/>
        </w:rPr>
        <w:t>4</w:t>
      </w:r>
      <w:r w:rsidR="00553F31" w:rsidRPr="00280B6D">
        <w:rPr>
          <w:rFonts w:cs="Arial"/>
        </w:rPr>
        <w:t xml:space="preserve"> </w:t>
      </w:r>
      <w:r w:rsidR="00CF5A21">
        <w:rPr>
          <w:rFonts w:cs="Arial"/>
        </w:rPr>
        <w:t>w</w:t>
      </w:r>
      <w:r w:rsidR="00EF63DD">
        <w:rPr>
          <w:rFonts w:cs="Arial"/>
        </w:rPr>
        <w:t>ere</w:t>
      </w:r>
      <w:r w:rsidR="00CF5A21" w:rsidRPr="00280B6D">
        <w:rPr>
          <w:rFonts w:cs="Arial"/>
        </w:rPr>
        <w:t xml:space="preserve"> </w:t>
      </w:r>
      <w:r w:rsidR="00D802EF" w:rsidRPr="00280B6D">
        <w:rPr>
          <w:rFonts w:cs="Arial"/>
        </w:rPr>
        <w:t xml:space="preserve">made in relation to domestic violence conferences in </w:t>
      </w:r>
      <w:r w:rsidR="00856C85">
        <w:rPr>
          <w:rFonts w:cs="Arial"/>
        </w:rPr>
        <w:t xml:space="preserve">quarter </w:t>
      </w:r>
      <w:r w:rsidR="00951376">
        <w:rPr>
          <w:rFonts w:cs="Arial"/>
        </w:rPr>
        <w:t>56</w:t>
      </w:r>
      <w:r w:rsidR="00D802EF" w:rsidRPr="00280B6D">
        <w:rPr>
          <w:rFonts w:cs="Arial"/>
        </w:rPr>
        <w:t>.</w:t>
      </w:r>
    </w:p>
    <w:p w14:paraId="11AC8A46" w14:textId="77777777" w:rsidR="0014353B" w:rsidRPr="00386FF7" w:rsidRDefault="0014353B" w:rsidP="0014353B">
      <w:pPr>
        <w:ind w:left="-142" w:right="-425"/>
        <w:jc w:val="both"/>
        <w:rPr>
          <w:rFonts w:cs="Arial"/>
        </w:rPr>
      </w:pPr>
    </w:p>
    <w:p w14:paraId="45973D4D" w14:textId="315BD863" w:rsidR="007460C6" w:rsidRPr="00BA361D" w:rsidRDefault="007460C6" w:rsidP="007460C6">
      <w:pPr>
        <w:spacing w:after="120" w:line="240" w:lineRule="auto"/>
        <w:ind w:left="794" w:hanging="794"/>
        <w:rPr>
          <w:sz w:val="16"/>
          <w:szCs w:val="16"/>
        </w:rPr>
      </w:pPr>
      <w:r w:rsidRPr="006C6A65">
        <w:rPr>
          <w:b/>
          <w:sz w:val="16"/>
          <w:szCs w:val="16"/>
        </w:rPr>
        <w:t xml:space="preserve">Table </w:t>
      </w:r>
      <w:r w:rsidR="00E10049">
        <w:rPr>
          <w:b/>
          <w:sz w:val="16"/>
          <w:szCs w:val="16"/>
        </w:rPr>
        <w:t>20</w:t>
      </w:r>
      <w:r w:rsidRPr="006C6A65">
        <w:rPr>
          <w:b/>
          <w:sz w:val="16"/>
          <w:szCs w:val="16"/>
        </w:rPr>
        <w:t>:</w:t>
      </w:r>
      <w:r w:rsidRPr="006C6A65">
        <w:rPr>
          <w:sz w:val="16"/>
          <w:szCs w:val="16"/>
        </w:rPr>
        <w:t xml:space="preserve"> </w:t>
      </w:r>
      <w:r>
        <w:rPr>
          <w:rFonts w:cs="Arial"/>
          <w:sz w:val="16"/>
          <w:szCs w:val="16"/>
        </w:rPr>
        <w:t>Domestic violence conditional income m</w:t>
      </w:r>
      <w:r w:rsidRPr="005A620F">
        <w:rPr>
          <w:rFonts w:cs="Arial"/>
          <w:sz w:val="16"/>
          <w:szCs w:val="16"/>
        </w:rPr>
        <w:t xml:space="preserve">anagement </w:t>
      </w:r>
      <w:r>
        <w:rPr>
          <w:rFonts w:cs="Arial"/>
          <w:sz w:val="16"/>
          <w:szCs w:val="16"/>
        </w:rPr>
        <w:t xml:space="preserve">by community and quarter </w:t>
      </w:r>
      <w:r w:rsidR="00F83C14">
        <w:rPr>
          <w:rFonts w:cs="Arial"/>
          <w:sz w:val="16"/>
          <w:szCs w:val="16"/>
        </w:rPr>
        <w:t xml:space="preserve">1 </w:t>
      </w:r>
      <w:r w:rsidR="00DA70CA">
        <w:rPr>
          <w:rFonts w:cs="Arial"/>
          <w:sz w:val="16"/>
          <w:szCs w:val="16"/>
        </w:rPr>
        <w:t>April</w:t>
      </w:r>
      <w:r w:rsidR="00DF103B">
        <w:rPr>
          <w:rFonts w:cs="Arial"/>
          <w:sz w:val="16"/>
          <w:szCs w:val="16"/>
        </w:rPr>
        <w:t xml:space="preserve"> 2021</w:t>
      </w:r>
      <w:r>
        <w:rPr>
          <w:rFonts w:cs="Arial"/>
          <w:sz w:val="16"/>
          <w:szCs w:val="16"/>
        </w:rPr>
        <w:t xml:space="preserve"> to </w:t>
      </w:r>
      <w:r w:rsidR="00DA70CA">
        <w:rPr>
          <w:rFonts w:cs="Arial"/>
          <w:sz w:val="16"/>
          <w:szCs w:val="16"/>
        </w:rPr>
        <w:t>30 June</w:t>
      </w:r>
      <w:r w:rsidR="001A5C4C">
        <w:rPr>
          <w:rFonts w:cs="Arial"/>
          <w:sz w:val="16"/>
          <w:szCs w:val="16"/>
        </w:rPr>
        <w:t xml:space="preserve"> 2022</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9A6570" w:rsidRPr="0040594D" w14:paraId="4F3E1B9E" w14:textId="77777777" w:rsidTr="00DA793B">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23AE00A8" w14:textId="29B2506B" w:rsidR="009A6570" w:rsidRPr="0040594D" w:rsidRDefault="009A6570" w:rsidP="009A6570">
            <w:pPr>
              <w:spacing w:line="240" w:lineRule="auto"/>
              <w:rPr>
                <w:rFonts w:cs="Arial"/>
                <w:b/>
                <w:bCs/>
                <w:lang w:eastAsia="en-AU"/>
              </w:rPr>
            </w:pPr>
            <w:r>
              <w:rPr>
                <w:rFonts w:cs="Arial"/>
                <w:b/>
                <w:bCs/>
                <w:lang w:eastAsia="en-AU"/>
              </w:rPr>
              <w:t>Number of Domestic Violence CIMs</w:t>
            </w:r>
          </w:p>
        </w:tc>
        <w:tc>
          <w:tcPr>
            <w:tcW w:w="784" w:type="dxa"/>
            <w:tcBorders>
              <w:top w:val="single" w:sz="4" w:space="0" w:color="auto"/>
              <w:left w:val="nil"/>
              <w:bottom w:val="single" w:sz="4" w:space="0" w:color="auto"/>
              <w:right w:val="single" w:sz="4" w:space="0" w:color="auto"/>
            </w:tcBorders>
            <w:shd w:val="clear" w:color="auto" w:fill="auto"/>
            <w:hideMark/>
          </w:tcPr>
          <w:p w14:paraId="655BFD21" w14:textId="2DE506FB" w:rsidR="009A6570" w:rsidRPr="0040594D" w:rsidRDefault="009A6570" w:rsidP="009A6570">
            <w:pPr>
              <w:spacing w:line="240" w:lineRule="auto"/>
              <w:jc w:val="right"/>
              <w:rPr>
                <w:rFonts w:cs="Arial"/>
                <w:b/>
                <w:bCs/>
                <w:lang w:eastAsia="en-AU"/>
              </w:rPr>
            </w:pPr>
            <w:r>
              <w:rPr>
                <w:b/>
                <w:lang w:eastAsia="en-AU"/>
              </w:rPr>
              <w:t>Qtr 5</w:t>
            </w:r>
            <w:r w:rsidR="003E713B">
              <w:rPr>
                <w:b/>
                <w:lang w:eastAsia="en-AU"/>
              </w:rPr>
              <w:t>2</w:t>
            </w:r>
          </w:p>
        </w:tc>
        <w:tc>
          <w:tcPr>
            <w:tcW w:w="784" w:type="dxa"/>
            <w:tcBorders>
              <w:top w:val="single" w:sz="4" w:space="0" w:color="auto"/>
              <w:left w:val="nil"/>
              <w:bottom w:val="single" w:sz="4" w:space="0" w:color="auto"/>
              <w:right w:val="single" w:sz="4" w:space="0" w:color="auto"/>
            </w:tcBorders>
            <w:shd w:val="clear" w:color="auto" w:fill="auto"/>
            <w:hideMark/>
          </w:tcPr>
          <w:p w14:paraId="150ABB80" w14:textId="4649875A" w:rsidR="009A6570" w:rsidRPr="0040594D" w:rsidRDefault="009A6570" w:rsidP="009A6570">
            <w:pPr>
              <w:spacing w:line="240" w:lineRule="auto"/>
              <w:jc w:val="right"/>
              <w:rPr>
                <w:rFonts w:cs="Arial"/>
                <w:b/>
                <w:bCs/>
                <w:lang w:eastAsia="en-AU"/>
              </w:rPr>
            </w:pPr>
            <w:r>
              <w:rPr>
                <w:b/>
                <w:lang w:eastAsia="en-AU"/>
              </w:rPr>
              <w:t>Qtr 5</w:t>
            </w:r>
            <w:r w:rsidR="003E713B">
              <w:rPr>
                <w:b/>
                <w:lang w:eastAsia="en-AU"/>
              </w:rPr>
              <w:t>3</w:t>
            </w:r>
          </w:p>
        </w:tc>
        <w:tc>
          <w:tcPr>
            <w:tcW w:w="784" w:type="dxa"/>
            <w:tcBorders>
              <w:top w:val="single" w:sz="4" w:space="0" w:color="auto"/>
              <w:left w:val="nil"/>
              <w:bottom w:val="single" w:sz="4" w:space="0" w:color="auto"/>
              <w:right w:val="single" w:sz="4" w:space="0" w:color="auto"/>
            </w:tcBorders>
          </w:tcPr>
          <w:p w14:paraId="57C7CF2D" w14:textId="0DDA5C11" w:rsidR="009A6570" w:rsidRPr="0040594D" w:rsidRDefault="009A6570" w:rsidP="009A6570">
            <w:pPr>
              <w:spacing w:line="240" w:lineRule="auto"/>
              <w:jc w:val="right"/>
              <w:rPr>
                <w:rFonts w:cs="Arial"/>
                <w:b/>
                <w:bCs/>
                <w:lang w:eastAsia="en-AU"/>
              </w:rPr>
            </w:pPr>
            <w:r>
              <w:rPr>
                <w:b/>
                <w:lang w:eastAsia="en-AU"/>
              </w:rPr>
              <w:t>Qtr 5</w:t>
            </w:r>
            <w:r w:rsidR="003E713B">
              <w:rPr>
                <w:b/>
                <w:lang w:eastAsia="en-AU"/>
              </w:rPr>
              <w:t>4</w:t>
            </w:r>
          </w:p>
        </w:tc>
        <w:tc>
          <w:tcPr>
            <w:tcW w:w="784" w:type="dxa"/>
            <w:tcBorders>
              <w:top w:val="single" w:sz="4" w:space="0" w:color="auto"/>
              <w:left w:val="nil"/>
              <w:bottom w:val="single" w:sz="4" w:space="0" w:color="auto"/>
              <w:right w:val="single" w:sz="4" w:space="0" w:color="auto"/>
            </w:tcBorders>
          </w:tcPr>
          <w:p w14:paraId="2763DB99" w14:textId="7F19525E" w:rsidR="009A6570" w:rsidRPr="0040594D" w:rsidRDefault="009A6570" w:rsidP="009A6570">
            <w:pPr>
              <w:spacing w:line="240" w:lineRule="auto"/>
              <w:jc w:val="right"/>
              <w:rPr>
                <w:rFonts w:cs="Arial"/>
                <w:b/>
                <w:bCs/>
                <w:lang w:eastAsia="en-AU"/>
              </w:rPr>
            </w:pPr>
            <w:r>
              <w:rPr>
                <w:b/>
                <w:lang w:eastAsia="en-AU"/>
              </w:rPr>
              <w:t xml:space="preserve">Qtr </w:t>
            </w:r>
            <w:r w:rsidR="00951376">
              <w:rPr>
                <w:b/>
                <w:lang w:eastAsia="en-AU"/>
              </w:rPr>
              <w:t>55</w:t>
            </w:r>
          </w:p>
        </w:tc>
        <w:tc>
          <w:tcPr>
            <w:tcW w:w="784" w:type="dxa"/>
            <w:tcBorders>
              <w:top w:val="single" w:sz="4" w:space="0" w:color="auto"/>
              <w:left w:val="nil"/>
              <w:bottom w:val="single" w:sz="4" w:space="0" w:color="auto"/>
              <w:right w:val="single" w:sz="4" w:space="0" w:color="auto"/>
            </w:tcBorders>
          </w:tcPr>
          <w:p w14:paraId="1C0D052D" w14:textId="0979CCA6" w:rsidR="009A6570" w:rsidRDefault="009A6570" w:rsidP="009A6570">
            <w:pPr>
              <w:spacing w:line="240" w:lineRule="auto"/>
              <w:jc w:val="right"/>
              <w:rPr>
                <w:b/>
                <w:lang w:eastAsia="en-AU"/>
              </w:rPr>
            </w:pPr>
            <w:r>
              <w:rPr>
                <w:b/>
                <w:lang w:eastAsia="en-AU"/>
              </w:rPr>
              <w:t xml:space="preserve">Qtr </w:t>
            </w:r>
            <w:r w:rsidR="00951376">
              <w:rPr>
                <w:b/>
                <w:lang w:eastAsia="en-AU"/>
              </w:rPr>
              <w:t>56</w:t>
            </w:r>
          </w:p>
        </w:tc>
      </w:tr>
      <w:tr w:rsidR="0014353B" w:rsidRPr="0094558B" w14:paraId="2694F73B" w14:textId="77777777" w:rsidTr="008A1E7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1CB64FF2" w14:textId="03F0B653" w:rsidR="0014353B" w:rsidRPr="00640E37" w:rsidRDefault="0014353B" w:rsidP="0014353B">
            <w:pPr>
              <w:spacing w:line="240" w:lineRule="auto"/>
              <w:rPr>
                <w:rFonts w:cs="Arial"/>
                <w:bCs/>
                <w:lang w:eastAsia="en-AU"/>
              </w:rPr>
            </w:pPr>
            <w:r>
              <w:t>Aurukun</w:t>
            </w:r>
          </w:p>
        </w:tc>
        <w:tc>
          <w:tcPr>
            <w:tcW w:w="784" w:type="dxa"/>
            <w:tcBorders>
              <w:top w:val="single" w:sz="4" w:space="0" w:color="auto"/>
              <w:left w:val="nil"/>
              <w:bottom w:val="single" w:sz="4" w:space="0" w:color="auto"/>
              <w:right w:val="single" w:sz="4" w:space="0" w:color="auto"/>
            </w:tcBorders>
            <w:shd w:val="clear" w:color="auto" w:fill="auto"/>
            <w:vAlign w:val="center"/>
          </w:tcPr>
          <w:p w14:paraId="1925BEB3" w14:textId="2931F299" w:rsidR="0014353B" w:rsidRPr="004573F7" w:rsidRDefault="0014353B" w:rsidP="0014353B">
            <w:pPr>
              <w:spacing w:line="240" w:lineRule="auto"/>
              <w:jc w:val="right"/>
              <w:rPr>
                <w:rFonts w:cs="Arial"/>
                <w:bCs/>
                <w:lang w:eastAsia="en-AU"/>
              </w:rPr>
            </w:pPr>
            <w:r w:rsidRPr="004573F7">
              <w:rPr>
                <w:rFonts w:cs="Arial"/>
              </w:rPr>
              <w:t>0</w:t>
            </w:r>
          </w:p>
        </w:tc>
        <w:tc>
          <w:tcPr>
            <w:tcW w:w="784" w:type="dxa"/>
            <w:tcBorders>
              <w:top w:val="single" w:sz="4" w:space="0" w:color="auto"/>
              <w:left w:val="nil"/>
              <w:bottom w:val="single" w:sz="4" w:space="0" w:color="auto"/>
              <w:right w:val="single" w:sz="4" w:space="0" w:color="auto"/>
            </w:tcBorders>
            <w:shd w:val="clear" w:color="auto" w:fill="auto"/>
            <w:vAlign w:val="center"/>
          </w:tcPr>
          <w:p w14:paraId="58118CF4" w14:textId="7C3491B9" w:rsidR="0014353B" w:rsidRPr="004573F7" w:rsidRDefault="0014353B" w:rsidP="0014353B">
            <w:pPr>
              <w:spacing w:line="240" w:lineRule="auto"/>
              <w:jc w:val="right"/>
              <w:rPr>
                <w:rFonts w:cs="Arial"/>
                <w:bCs/>
                <w:lang w:eastAsia="en-AU"/>
              </w:rPr>
            </w:pPr>
            <w:r w:rsidRPr="004573F7">
              <w:rPr>
                <w:rFonts w:cs="Arial"/>
              </w:rPr>
              <w:t>7</w:t>
            </w:r>
          </w:p>
        </w:tc>
        <w:tc>
          <w:tcPr>
            <w:tcW w:w="784" w:type="dxa"/>
            <w:tcBorders>
              <w:top w:val="single" w:sz="4" w:space="0" w:color="auto"/>
              <w:left w:val="nil"/>
              <w:bottom w:val="single" w:sz="4" w:space="0" w:color="auto"/>
              <w:right w:val="single" w:sz="4" w:space="0" w:color="auto"/>
            </w:tcBorders>
            <w:vAlign w:val="center"/>
          </w:tcPr>
          <w:p w14:paraId="345941C3" w14:textId="07C7649D" w:rsidR="0014353B" w:rsidRPr="004573F7" w:rsidRDefault="0014353B" w:rsidP="0014353B">
            <w:pPr>
              <w:spacing w:line="240" w:lineRule="auto"/>
              <w:jc w:val="right"/>
              <w:rPr>
                <w:rFonts w:cs="Arial"/>
                <w:bCs/>
                <w:lang w:eastAsia="en-AU"/>
              </w:rPr>
            </w:pPr>
            <w:r w:rsidRPr="004573F7">
              <w:rPr>
                <w:rFonts w:cs="Arial"/>
              </w:rPr>
              <w:t>1</w:t>
            </w:r>
          </w:p>
        </w:tc>
        <w:tc>
          <w:tcPr>
            <w:tcW w:w="784" w:type="dxa"/>
            <w:tcBorders>
              <w:top w:val="single" w:sz="4" w:space="0" w:color="auto"/>
              <w:left w:val="nil"/>
              <w:bottom w:val="single" w:sz="4" w:space="0" w:color="auto"/>
              <w:right w:val="single" w:sz="4" w:space="0" w:color="auto"/>
            </w:tcBorders>
            <w:vAlign w:val="center"/>
          </w:tcPr>
          <w:p w14:paraId="5F3C9680" w14:textId="076B9F00" w:rsidR="0014353B" w:rsidRPr="004573F7" w:rsidRDefault="0014353B" w:rsidP="0014353B">
            <w:pPr>
              <w:spacing w:line="240" w:lineRule="auto"/>
              <w:jc w:val="right"/>
              <w:rPr>
                <w:rFonts w:cs="Arial"/>
                <w:bCs/>
                <w:lang w:eastAsia="en-AU"/>
              </w:rPr>
            </w:pPr>
            <w:r w:rsidRPr="004573F7">
              <w:rPr>
                <w:rFonts w:cs="Arial"/>
              </w:rPr>
              <w:t>1</w:t>
            </w:r>
          </w:p>
        </w:tc>
        <w:tc>
          <w:tcPr>
            <w:tcW w:w="784" w:type="dxa"/>
            <w:tcBorders>
              <w:top w:val="single" w:sz="4" w:space="0" w:color="auto"/>
              <w:left w:val="nil"/>
              <w:bottom w:val="single" w:sz="4" w:space="0" w:color="auto"/>
              <w:right w:val="single" w:sz="4" w:space="0" w:color="auto"/>
            </w:tcBorders>
            <w:vAlign w:val="center"/>
          </w:tcPr>
          <w:p w14:paraId="352B24F3" w14:textId="46BF6CCF" w:rsidR="0014353B" w:rsidRPr="004573F7" w:rsidRDefault="0014353B" w:rsidP="0014353B">
            <w:pPr>
              <w:spacing w:line="240" w:lineRule="auto"/>
              <w:jc w:val="right"/>
              <w:rPr>
                <w:rFonts w:cs="Arial"/>
                <w:lang w:eastAsia="en-AU"/>
              </w:rPr>
            </w:pPr>
            <w:r w:rsidRPr="004573F7">
              <w:rPr>
                <w:rFonts w:cs="Arial"/>
              </w:rPr>
              <w:t>4</w:t>
            </w:r>
          </w:p>
        </w:tc>
      </w:tr>
      <w:tr w:rsidR="0014353B" w:rsidRPr="0094558B" w14:paraId="338D0CE6" w14:textId="77777777" w:rsidTr="008A1E7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BDD55DF" w14:textId="1CC78104" w:rsidR="0014353B" w:rsidRPr="00640E37" w:rsidRDefault="0014353B" w:rsidP="0014353B">
            <w:pPr>
              <w:spacing w:line="240" w:lineRule="auto"/>
              <w:rPr>
                <w:rFonts w:cs="Arial"/>
                <w:lang w:eastAsia="en-AU"/>
              </w:rPr>
            </w:pPr>
            <w:r>
              <w:t>Coen</w:t>
            </w:r>
          </w:p>
        </w:tc>
        <w:tc>
          <w:tcPr>
            <w:tcW w:w="784" w:type="dxa"/>
            <w:tcBorders>
              <w:top w:val="nil"/>
              <w:left w:val="nil"/>
              <w:bottom w:val="single" w:sz="4" w:space="0" w:color="auto"/>
              <w:right w:val="single" w:sz="4" w:space="0" w:color="auto"/>
            </w:tcBorders>
            <w:shd w:val="clear" w:color="auto" w:fill="auto"/>
            <w:vAlign w:val="center"/>
          </w:tcPr>
          <w:p w14:paraId="353411C5" w14:textId="38BE28AD" w:rsidR="0014353B" w:rsidRPr="004573F7" w:rsidRDefault="0014353B" w:rsidP="0014353B">
            <w:pPr>
              <w:spacing w:line="240" w:lineRule="auto"/>
              <w:jc w:val="right"/>
              <w:rPr>
                <w:rFonts w:cs="Arial"/>
                <w:lang w:eastAsia="en-AU"/>
              </w:rPr>
            </w:pPr>
            <w:r w:rsidRPr="004573F7">
              <w:rPr>
                <w:rFonts w:cs="Arial"/>
              </w:rPr>
              <w:t>2</w:t>
            </w:r>
          </w:p>
        </w:tc>
        <w:tc>
          <w:tcPr>
            <w:tcW w:w="784" w:type="dxa"/>
            <w:tcBorders>
              <w:top w:val="nil"/>
              <w:left w:val="nil"/>
              <w:bottom w:val="single" w:sz="4" w:space="0" w:color="auto"/>
              <w:right w:val="single" w:sz="4" w:space="0" w:color="auto"/>
            </w:tcBorders>
            <w:shd w:val="clear" w:color="auto" w:fill="auto"/>
            <w:vAlign w:val="center"/>
          </w:tcPr>
          <w:p w14:paraId="299A9087" w14:textId="722B48C4" w:rsidR="0014353B" w:rsidRPr="004573F7" w:rsidRDefault="0014353B" w:rsidP="0014353B">
            <w:pPr>
              <w:spacing w:line="240" w:lineRule="auto"/>
              <w:jc w:val="right"/>
              <w:rPr>
                <w:rFonts w:cs="Arial"/>
                <w:lang w:eastAsia="en-AU"/>
              </w:rPr>
            </w:pPr>
            <w:r w:rsidRPr="004573F7">
              <w:rPr>
                <w:rFonts w:cs="Arial"/>
              </w:rPr>
              <w:t>0</w:t>
            </w:r>
          </w:p>
        </w:tc>
        <w:tc>
          <w:tcPr>
            <w:tcW w:w="784" w:type="dxa"/>
            <w:tcBorders>
              <w:top w:val="nil"/>
              <w:left w:val="nil"/>
              <w:bottom w:val="single" w:sz="4" w:space="0" w:color="auto"/>
              <w:right w:val="single" w:sz="4" w:space="0" w:color="auto"/>
            </w:tcBorders>
            <w:vAlign w:val="center"/>
          </w:tcPr>
          <w:p w14:paraId="29A75C58" w14:textId="019371D5" w:rsidR="0014353B" w:rsidRPr="004573F7" w:rsidRDefault="0014353B" w:rsidP="0014353B">
            <w:pPr>
              <w:spacing w:line="240" w:lineRule="auto"/>
              <w:jc w:val="right"/>
              <w:rPr>
                <w:rFonts w:cs="Arial"/>
                <w:lang w:eastAsia="en-AU"/>
              </w:rPr>
            </w:pPr>
            <w:r w:rsidRPr="004573F7">
              <w:rPr>
                <w:rFonts w:cs="Arial"/>
              </w:rPr>
              <w:t>0</w:t>
            </w:r>
          </w:p>
        </w:tc>
        <w:tc>
          <w:tcPr>
            <w:tcW w:w="784" w:type="dxa"/>
            <w:tcBorders>
              <w:top w:val="nil"/>
              <w:left w:val="nil"/>
              <w:bottom w:val="single" w:sz="4" w:space="0" w:color="auto"/>
              <w:right w:val="single" w:sz="4" w:space="0" w:color="auto"/>
            </w:tcBorders>
            <w:vAlign w:val="center"/>
          </w:tcPr>
          <w:p w14:paraId="148E5285" w14:textId="108297C7" w:rsidR="0014353B" w:rsidRPr="004573F7" w:rsidRDefault="0014353B" w:rsidP="0014353B">
            <w:pPr>
              <w:spacing w:line="240" w:lineRule="auto"/>
              <w:jc w:val="right"/>
              <w:rPr>
                <w:rFonts w:cs="Arial"/>
                <w:lang w:eastAsia="en-AU"/>
              </w:rPr>
            </w:pPr>
            <w:r w:rsidRPr="004573F7">
              <w:rPr>
                <w:rFonts w:cs="Arial"/>
              </w:rPr>
              <w:t>0</w:t>
            </w:r>
          </w:p>
        </w:tc>
        <w:tc>
          <w:tcPr>
            <w:tcW w:w="784" w:type="dxa"/>
            <w:tcBorders>
              <w:top w:val="single" w:sz="4" w:space="0" w:color="auto"/>
              <w:left w:val="nil"/>
              <w:bottom w:val="single" w:sz="4" w:space="0" w:color="auto"/>
              <w:right w:val="single" w:sz="4" w:space="0" w:color="auto"/>
            </w:tcBorders>
            <w:vAlign w:val="center"/>
          </w:tcPr>
          <w:p w14:paraId="402EEC52" w14:textId="7D0564E3" w:rsidR="0014353B" w:rsidRPr="004573F7" w:rsidRDefault="0014353B" w:rsidP="0014353B">
            <w:pPr>
              <w:spacing w:line="240" w:lineRule="auto"/>
              <w:jc w:val="right"/>
              <w:rPr>
                <w:rFonts w:cs="Arial"/>
                <w:lang w:eastAsia="en-AU"/>
              </w:rPr>
            </w:pPr>
            <w:r w:rsidRPr="004573F7">
              <w:rPr>
                <w:rFonts w:cs="Arial"/>
              </w:rPr>
              <w:t>0</w:t>
            </w:r>
          </w:p>
        </w:tc>
      </w:tr>
      <w:tr w:rsidR="0014353B" w:rsidRPr="0094558B" w14:paraId="32ED62C4" w14:textId="77777777" w:rsidTr="008A1E7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534B124" w14:textId="57F39905" w:rsidR="0014353B" w:rsidRPr="00640E37" w:rsidRDefault="0014353B" w:rsidP="0014353B">
            <w:pPr>
              <w:spacing w:line="240" w:lineRule="auto"/>
              <w:rPr>
                <w:rFonts w:cs="Arial"/>
              </w:rPr>
            </w:pPr>
            <w:r>
              <w:t>Hope Vale</w:t>
            </w:r>
          </w:p>
        </w:tc>
        <w:tc>
          <w:tcPr>
            <w:tcW w:w="784" w:type="dxa"/>
            <w:tcBorders>
              <w:top w:val="nil"/>
              <w:left w:val="nil"/>
              <w:bottom w:val="single" w:sz="4" w:space="0" w:color="auto"/>
              <w:right w:val="single" w:sz="4" w:space="0" w:color="auto"/>
            </w:tcBorders>
            <w:shd w:val="clear" w:color="auto" w:fill="auto"/>
            <w:vAlign w:val="center"/>
          </w:tcPr>
          <w:p w14:paraId="117C86E6" w14:textId="52FC5BA0" w:rsidR="0014353B" w:rsidRPr="004573F7" w:rsidRDefault="0014353B" w:rsidP="0014353B">
            <w:pPr>
              <w:spacing w:line="240" w:lineRule="auto"/>
              <w:jc w:val="right"/>
              <w:rPr>
                <w:rFonts w:cs="Arial"/>
                <w:lang w:eastAsia="en-AU"/>
              </w:rPr>
            </w:pPr>
            <w:r w:rsidRPr="004573F7">
              <w:rPr>
                <w:rFonts w:cs="Arial"/>
              </w:rPr>
              <w:t>0</w:t>
            </w:r>
          </w:p>
        </w:tc>
        <w:tc>
          <w:tcPr>
            <w:tcW w:w="784" w:type="dxa"/>
            <w:tcBorders>
              <w:top w:val="nil"/>
              <w:left w:val="nil"/>
              <w:bottom w:val="single" w:sz="4" w:space="0" w:color="auto"/>
              <w:right w:val="single" w:sz="4" w:space="0" w:color="auto"/>
            </w:tcBorders>
            <w:shd w:val="clear" w:color="auto" w:fill="auto"/>
            <w:vAlign w:val="center"/>
          </w:tcPr>
          <w:p w14:paraId="714FF0B5" w14:textId="3653F4CC" w:rsidR="0014353B" w:rsidRPr="004573F7" w:rsidRDefault="0014353B" w:rsidP="0014353B">
            <w:pPr>
              <w:spacing w:line="240" w:lineRule="auto"/>
              <w:jc w:val="right"/>
              <w:rPr>
                <w:rFonts w:cs="Arial"/>
                <w:lang w:eastAsia="en-AU"/>
              </w:rPr>
            </w:pPr>
            <w:r w:rsidRPr="004573F7">
              <w:rPr>
                <w:rFonts w:cs="Arial"/>
              </w:rPr>
              <w:t>3</w:t>
            </w:r>
          </w:p>
        </w:tc>
        <w:tc>
          <w:tcPr>
            <w:tcW w:w="784" w:type="dxa"/>
            <w:tcBorders>
              <w:top w:val="nil"/>
              <w:left w:val="nil"/>
              <w:bottom w:val="single" w:sz="4" w:space="0" w:color="auto"/>
              <w:right w:val="single" w:sz="4" w:space="0" w:color="auto"/>
            </w:tcBorders>
            <w:vAlign w:val="center"/>
          </w:tcPr>
          <w:p w14:paraId="22D230B7" w14:textId="4DE3109F" w:rsidR="0014353B" w:rsidRPr="004573F7" w:rsidRDefault="0014353B" w:rsidP="0014353B">
            <w:pPr>
              <w:spacing w:line="240" w:lineRule="auto"/>
              <w:jc w:val="right"/>
              <w:rPr>
                <w:rFonts w:cs="Arial"/>
                <w:lang w:eastAsia="en-AU"/>
              </w:rPr>
            </w:pPr>
            <w:r w:rsidRPr="004573F7">
              <w:rPr>
                <w:rFonts w:cs="Arial"/>
              </w:rPr>
              <w:t>0</w:t>
            </w:r>
          </w:p>
        </w:tc>
        <w:tc>
          <w:tcPr>
            <w:tcW w:w="784" w:type="dxa"/>
            <w:tcBorders>
              <w:top w:val="nil"/>
              <w:left w:val="nil"/>
              <w:bottom w:val="single" w:sz="4" w:space="0" w:color="auto"/>
              <w:right w:val="single" w:sz="4" w:space="0" w:color="auto"/>
            </w:tcBorders>
            <w:vAlign w:val="center"/>
          </w:tcPr>
          <w:p w14:paraId="74A391C0" w14:textId="1B018DCA" w:rsidR="0014353B" w:rsidRPr="004573F7" w:rsidRDefault="0014353B" w:rsidP="0014353B">
            <w:pPr>
              <w:spacing w:line="240" w:lineRule="auto"/>
              <w:jc w:val="right"/>
              <w:rPr>
                <w:rFonts w:cs="Arial"/>
                <w:lang w:eastAsia="en-AU"/>
              </w:rPr>
            </w:pPr>
            <w:r w:rsidRPr="004573F7">
              <w:rPr>
                <w:rFonts w:cs="Arial"/>
              </w:rPr>
              <w:t>0</w:t>
            </w:r>
          </w:p>
        </w:tc>
        <w:tc>
          <w:tcPr>
            <w:tcW w:w="784" w:type="dxa"/>
            <w:tcBorders>
              <w:top w:val="single" w:sz="4" w:space="0" w:color="auto"/>
              <w:left w:val="nil"/>
              <w:bottom w:val="single" w:sz="4" w:space="0" w:color="auto"/>
              <w:right w:val="single" w:sz="4" w:space="0" w:color="auto"/>
            </w:tcBorders>
            <w:vAlign w:val="center"/>
          </w:tcPr>
          <w:p w14:paraId="4C244E4E" w14:textId="25A932AF" w:rsidR="0014353B" w:rsidRPr="004573F7" w:rsidRDefault="0014353B" w:rsidP="0014353B">
            <w:pPr>
              <w:spacing w:line="240" w:lineRule="auto"/>
              <w:jc w:val="right"/>
              <w:rPr>
                <w:rFonts w:cs="Arial"/>
                <w:lang w:eastAsia="en-AU"/>
              </w:rPr>
            </w:pPr>
            <w:r w:rsidRPr="004573F7">
              <w:rPr>
                <w:rFonts w:cs="Arial"/>
              </w:rPr>
              <w:t>0</w:t>
            </w:r>
          </w:p>
        </w:tc>
      </w:tr>
      <w:tr w:rsidR="0014353B" w:rsidRPr="0094558B" w14:paraId="25571DA3" w14:textId="77777777" w:rsidTr="008A1E7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87D7ACE" w14:textId="6C8E82C5" w:rsidR="0014353B" w:rsidRDefault="0014353B" w:rsidP="0014353B">
            <w:pPr>
              <w:spacing w:line="240" w:lineRule="auto"/>
            </w:pPr>
            <w:r>
              <w:t>Mossman Gorge</w:t>
            </w:r>
          </w:p>
        </w:tc>
        <w:tc>
          <w:tcPr>
            <w:tcW w:w="784" w:type="dxa"/>
            <w:tcBorders>
              <w:top w:val="nil"/>
              <w:left w:val="nil"/>
              <w:bottom w:val="single" w:sz="4" w:space="0" w:color="auto"/>
              <w:right w:val="single" w:sz="4" w:space="0" w:color="auto"/>
            </w:tcBorders>
            <w:shd w:val="clear" w:color="auto" w:fill="auto"/>
            <w:vAlign w:val="center"/>
          </w:tcPr>
          <w:p w14:paraId="10DCFD57" w14:textId="670A352B" w:rsidR="0014353B" w:rsidRPr="004573F7" w:rsidRDefault="0014353B" w:rsidP="0014353B">
            <w:pPr>
              <w:spacing w:line="240" w:lineRule="auto"/>
              <w:jc w:val="right"/>
              <w:rPr>
                <w:rFonts w:cs="Arial"/>
              </w:rPr>
            </w:pPr>
            <w:r w:rsidRPr="004573F7">
              <w:rPr>
                <w:rFonts w:cs="Arial"/>
              </w:rPr>
              <w:t>1</w:t>
            </w:r>
          </w:p>
        </w:tc>
        <w:tc>
          <w:tcPr>
            <w:tcW w:w="784" w:type="dxa"/>
            <w:tcBorders>
              <w:top w:val="nil"/>
              <w:left w:val="nil"/>
              <w:bottom w:val="single" w:sz="4" w:space="0" w:color="auto"/>
              <w:right w:val="single" w:sz="4" w:space="0" w:color="auto"/>
            </w:tcBorders>
            <w:shd w:val="clear" w:color="auto" w:fill="auto"/>
            <w:vAlign w:val="center"/>
          </w:tcPr>
          <w:p w14:paraId="08EFB78B" w14:textId="0DA6AB69" w:rsidR="0014353B" w:rsidRPr="004573F7" w:rsidRDefault="0014353B" w:rsidP="0014353B">
            <w:pPr>
              <w:spacing w:line="240" w:lineRule="auto"/>
              <w:jc w:val="right"/>
              <w:rPr>
                <w:rFonts w:cs="Arial"/>
              </w:rPr>
            </w:pPr>
            <w:r w:rsidRPr="004573F7">
              <w:rPr>
                <w:rFonts w:cs="Arial"/>
              </w:rPr>
              <w:t>1</w:t>
            </w:r>
          </w:p>
        </w:tc>
        <w:tc>
          <w:tcPr>
            <w:tcW w:w="784" w:type="dxa"/>
            <w:tcBorders>
              <w:top w:val="nil"/>
              <w:left w:val="nil"/>
              <w:bottom w:val="single" w:sz="4" w:space="0" w:color="auto"/>
              <w:right w:val="single" w:sz="4" w:space="0" w:color="auto"/>
            </w:tcBorders>
            <w:vAlign w:val="center"/>
          </w:tcPr>
          <w:p w14:paraId="6F61072A" w14:textId="4E0A8720" w:rsidR="0014353B" w:rsidRPr="004573F7" w:rsidRDefault="0014353B" w:rsidP="0014353B">
            <w:pPr>
              <w:spacing w:line="240" w:lineRule="auto"/>
              <w:jc w:val="right"/>
              <w:rPr>
                <w:rFonts w:cs="Arial"/>
              </w:rPr>
            </w:pPr>
            <w:r w:rsidRPr="004573F7">
              <w:rPr>
                <w:rFonts w:cs="Arial"/>
              </w:rPr>
              <w:t>0</w:t>
            </w:r>
          </w:p>
        </w:tc>
        <w:tc>
          <w:tcPr>
            <w:tcW w:w="784" w:type="dxa"/>
            <w:tcBorders>
              <w:top w:val="nil"/>
              <w:left w:val="nil"/>
              <w:bottom w:val="single" w:sz="4" w:space="0" w:color="auto"/>
              <w:right w:val="single" w:sz="4" w:space="0" w:color="auto"/>
            </w:tcBorders>
            <w:vAlign w:val="center"/>
          </w:tcPr>
          <w:p w14:paraId="785CD4E2" w14:textId="04EEC85F" w:rsidR="0014353B" w:rsidRPr="004573F7" w:rsidRDefault="0014353B" w:rsidP="0014353B">
            <w:pPr>
              <w:spacing w:line="240" w:lineRule="auto"/>
              <w:jc w:val="right"/>
              <w:rPr>
                <w:rFonts w:cs="Arial"/>
              </w:rPr>
            </w:pPr>
            <w:r w:rsidRPr="004573F7">
              <w:rPr>
                <w:rFonts w:cs="Arial"/>
              </w:rPr>
              <w:t>1</w:t>
            </w:r>
          </w:p>
        </w:tc>
        <w:tc>
          <w:tcPr>
            <w:tcW w:w="784" w:type="dxa"/>
            <w:tcBorders>
              <w:top w:val="single" w:sz="4" w:space="0" w:color="auto"/>
              <w:left w:val="nil"/>
              <w:bottom w:val="single" w:sz="4" w:space="0" w:color="auto"/>
              <w:right w:val="single" w:sz="4" w:space="0" w:color="auto"/>
            </w:tcBorders>
            <w:vAlign w:val="center"/>
          </w:tcPr>
          <w:p w14:paraId="6142FC7D" w14:textId="57898DA5" w:rsidR="0014353B" w:rsidRPr="004573F7" w:rsidRDefault="0014353B" w:rsidP="0014353B">
            <w:pPr>
              <w:spacing w:line="240" w:lineRule="auto"/>
              <w:jc w:val="right"/>
              <w:rPr>
                <w:rFonts w:cs="Arial"/>
                <w:lang w:eastAsia="en-AU"/>
              </w:rPr>
            </w:pPr>
            <w:r w:rsidRPr="004573F7">
              <w:rPr>
                <w:rFonts w:cs="Arial"/>
              </w:rPr>
              <w:t>0</w:t>
            </w:r>
          </w:p>
        </w:tc>
      </w:tr>
      <w:tr w:rsidR="0014353B" w:rsidRPr="0094558B" w14:paraId="66769C8F" w14:textId="77777777" w:rsidTr="008A1E7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57F2B7FE" w14:textId="77777777" w:rsidR="0014353B" w:rsidRPr="00557E24" w:rsidRDefault="0014353B" w:rsidP="0014353B">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center"/>
          </w:tcPr>
          <w:p w14:paraId="15896D5C" w14:textId="530BE86E" w:rsidR="0014353B" w:rsidRPr="004573F7" w:rsidRDefault="0014353B" w:rsidP="0014353B">
            <w:pPr>
              <w:spacing w:line="240" w:lineRule="auto"/>
              <w:jc w:val="right"/>
              <w:rPr>
                <w:rFonts w:cs="Arial"/>
                <w:b/>
                <w:lang w:eastAsia="en-AU"/>
              </w:rPr>
            </w:pPr>
            <w:r w:rsidRPr="004573F7">
              <w:rPr>
                <w:rFonts w:cs="Arial"/>
                <w:b/>
                <w:bCs/>
              </w:rPr>
              <w:t>3</w:t>
            </w:r>
          </w:p>
        </w:tc>
        <w:tc>
          <w:tcPr>
            <w:tcW w:w="784" w:type="dxa"/>
            <w:tcBorders>
              <w:top w:val="single" w:sz="4" w:space="0" w:color="auto"/>
              <w:left w:val="nil"/>
              <w:bottom w:val="single" w:sz="4" w:space="0" w:color="auto"/>
              <w:right w:val="single" w:sz="4" w:space="0" w:color="auto"/>
            </w:tcBorders>
            <w:shd w:val="clear" w:color="auto" w:fill="auto"/>
            <w:vAlign w:val="center"/>
          </w:tcPr>
          <w:p w14:paraId="54350CFB" w14:textId="0AE0969C" w:rsidR="0014353B" w:rsidRPr="004573F7" w:rsidRDefault="0014353B" w:rsidP="0014353B">
            <w:pPr>
              <w:spacing w:line="240" w:lineRule="auto"/>
              <w:jc w:val="right"/>
              <w:rPr>
                <w:rFonts w:cs="Arial"/>
                <w:b/>
                <w:lang w:eastAsia="en-AU"/>
              </w:rPr>
            </w:pPr>
            <w:r w:rsidRPr="004573F7">
              <w:rPr>
                <w:rFonts w:cs="Arial"/>
                <w:b/>
                <w:bCs/>
              </w:rPr>
              <w:t>11</w:t>
            </w:r>
          </w:p>
        </w:tc>
        <w:tc>
          <w:tcPr>
            <w:tcW w:w="784" w:type="dxa"/>
            <w:tcBorders>
              <w:top w:val="single" w:sz="4" w:space="0" w:color="auto"/>
              <w:left w:val="nil"/>
              <w:bottom w:val="single" w:sz="4" w:space="0" w:color="auto"/>
              <w:right w:val="single" w:sz="4" w:space="0" w:color="auto"/>
            </w:tcBorders>
            <w:vAlign w:val="center"/>
          </w:tcPr>
          <w:p w14:paraId="123FD99F" w14:textId="64FE9F8F" w:rsidR="0014353B" w:rsidRPr="004573F7" w:rsidRDefault="0014353B" w:rsidP="0014353B">
            <w:pPr>
              <w:spacing w:line="240" w:lineRule="auto"/>
              <w:jc w:val="right"/>
              <w:rPr>
                <w:rFonts w:cs="Arial"/>
                <w:b/>
                <w:lang w:eastAsia="en-AU"/>
              </w:rPr>
            </w:pPr>
            <w:r w:rsidRPr="004573F7">
              <w:rPr>
                <w:rFonts w:cs="Arial"/>
                <w:b/>
                <w:bCs/>
              </w:rPr>
              <w:t>1</w:t>
            </w:r>
          </w:p>
        </w:tc>
        <w:tc>
          <w:tcPr>
            <w:tcW w:w="784" w:type="dxa"/>
            <w:tcBorders>
              <w:top w:val="single" w:sz="4" w:space="0" w:color="auto"/>
              <w:left w:val="nil"/>
              <w:bottom w:val="single" w:sz="4" w:space="0" w:color="auto"/>
              <w:right w:val="single" w:sz="4" w:space="0" w:color="auto"/>
            </w:tcBorders>
            <w:vAlign w:val="center"/>
          </w:tcPr>
          <w:p w14:paraId="368C5379" w14:textId="173C1654" w:rsidR="0014353B" w:rsidRPr="004573F7" w:rsidRDefault="0014353B" w:rsidP="0014353B">
            <w:pPr>
              <w:spacing w:line="240" w:lineRule="auto"/>
              <w:jc w:val="right"/>
              <w:rPr>
                <w:rFonts w:cs="Arial"/>
                <w:b/>
                <w:lang w:eastAsia="en-AU"/>
              </w:rPr>
            </w:pPr>
            <w:r w:rsidRPr="004573F7">
              <w:rPr>
                <w:rFonts w:cs="Arial"/>
                <w:b/>
                <w:bCs/>
              </w:rPr>
              <w:t>2</w:t>
            </w:r>
          </w:p>
        </w:tc>
        <w:tc>
          <w:tcPr>
            <w:tcW w:w="784" w:type="dxa"/>
            <w:tcBorders>
              <w:top w:val="single" w:sz="4" w:space="0" w:color="auto"/>
              <w:left w:val="nil"/>
              <w:bottom w:val="single" w:sz="4" w:space="0" w:color="auto"/>
              <w:right w:val="single" w:sz="4" w:space="0" w:color="auto"/>
            </w:tcBorders>
            <w:vAlign w:val="center"/>
          </w:tcPr>
          <w:p w14:paraId="7FBB1318" w14:textId="77316523" w:rsidR="0014353B" w:rsidRPr="004573F7" w:rsidRDefault="0014353B" w:rsidP="0014353B">
            <w:pPr>
              <w:spacing w:line="240" w:lineRule="auto"/>
              <w:jc w:val="right"/>
              <w:rPr>
                <w:rFonts w:cs="Arial"/>
                <w:b/>
                <w:bCs/>
                <w:lang w:eastAsia="en-AU"/>
              </w:rPr>
            </w:pPr>
            <w:r w:rsidRPr="004573F7">
              <w:rPr>
                <w:rFonts w:cs="Arial"/>
                <w:b/>
                <w:bCs/>
              </w:rPr>
              <w:t>4</w:t>
            </w:r>
          </w:p>
        </w:tc>
      </w:tr>
    </w:tbl>
    <w:p w14:paraId="5EFCCF6A" w14:textId="77777777" w:rsidR="007460C6" w:rsidRPr="002E156B" w:rsidRDefault="007460C6" w:rsidP="002E156B">
      <w:pPr>
        <w:ind w:left="-142" w:right="-425"/>
        <w:jc w:val="both"/>
        <w:rPr>
          <w:rFonts w:cs="Arial"/>
        </w:rPr>
      </w:pPr>
    </w:p>
    <w:p w14:paraId="36B5CDB3" w14:textId="6F3DDB06" w:rsidR="00AC7F6B" w:rsidRPr="002D4651" w:rsidRDefault="00AC7F6B" w:rsidP="00091CFE">
      <w:pPr>
        <w:pStyle w:val="Heading2"/>
      </w:pPr>
      <w:r>
        <w:t>Voluntary self-r</w:t>
      </w:r>
      <w:r w:rsidRPr="002D4651">
        <w:t>eferrals</w:t>
      </w:r>
      <w:r>
        <w:t xml:space="preserve"> from clients to the Commission</w:t>
      </w:r>
    </w:p>
    <w:p w14:paraId="77A10D70" w14:textId="42AB2ADC" w:rsidR="00AC7F6B" w:rsidRDefault="00AC7F6B" w:rsidP="00AC7F6B">
      <w:pPr>
        <w:ind w:left="-142" w:right="-425"/>
        <w:jc w:val="both"/>
        <w:rPr>
          <w:rFonts w:cs="Arial"/>
        </w:rPr>
      </w:pPr>
      <w:r>
        <w:rPr>
          <w:rFonts w:cs="Arial"/>
        </w:rPr>
        <w:t xml:space="preserve">The FRC Act sets out a process under which a community member can voluntarily seek help from the Commission for a referral to a community support service (voluntary case plan) or be subject to voluntary income management. During quarter </w:t>
      </w:r>
      <w:r w:rsidR="00951376">
        <w:rPr>
          <w:rFonts w:cs="Arial"/>
        </w:rPr>
        <w:t>56</w:t>
      </w:r>
      <w:r w:rsidR="00F45BD7">
        <w:rPr>
          <w:rFonts w:cs="Arial"/>
        </w:rPr>
        <w:t>,</w:t>
      </w:r>
      <w:r>
        <w:rPr>
          <w:rFonts w:cs="Arial"/>
        </w:rPr>
        <w:t xml:space="preserve"> </w:t>
      </w:r>
      <w:r w:rsidR="00811386">
        <w:rPr>
          <w:rFonts w:cs="Arial"/>
        </w:rPr>
        <w:t>1</w:t>
      </w:r>
      <w:r w:rsidR="004A65A8">
        <w:rPr>
          <w:rFonts w:cs="Arial"/>
        </w:rPr>
        <w:t>1</w:t>
      </w:r>
      <w:r w:rsidR="00945E64">
        <w:rPr>
          <w:rFonts w:cs="Arial"/>
        </w:rPr>
        <w:t xml:space="preserve"> </w:t>
      </w:r>
      <w:r>
        <w:rPr>
          <w:rFonts w:cs="Arial"/>
        </w:rPr>
        <w:t>voluntary agreement</w:t>
      </w:r>
      <w:r w:rsidR="001838E5">
        <w:rPr>
          <w:rFonts w:cs="Arial"/>
        </w:rPr>
        <w:t>s</w:t>
      </w:r>
      <w:r>
        <w:rPr>
          <w:rFonts w:cs="Arial"/>
        </w:rPr>
        <w:t xml:space="preserve"> </w:t>
      </w:r>
      <w:r w:rsidR="001838E5">
        <w:rPr>
          <w:rFonts w:cs="Arial"/>
        </w:rPr>
        <w:t xml:space="preserve">were </w:t>
      </w:r>
      <w:r>
        <w:rPr>
          <w:rFonts w:cs="Arial"/>
        </w:rPr>
        <w:t>entered into for</w:t>
      </w:r>
      <w:r w:rsidR="00E8768E">
        <w:rPr>
          <w:rFonts w:cs="Arial"/>
        </w:rPr>
        <w:t xml:space="preserve"> the</w:t>
      </w:r>
      <w:r>
        <w:rPr>
          <w:rFonts w:cs="Arial"/>
        </w:rPr>
        <w:t xml:space="preserve"> client to attend </w:t>
      </w:r>
      <w:r w:rsidR="004A65A8">
        <w:rPr>
          <w:rFonts w:cs="Arial"/>
        </w:rPr>
        <w:t xml:space="preserve">13 </w:t>
      </w:r>
      <w:r>
        <w:rPr>
          <w:rFonts w:cs="Arial"/>
        </w:rPr>
        <w:t xml:space="preserve">community support services under a case plan. Although the number of clients who have engaged with the FRC on a voluntary basis remain small, it is nonetheless consistent with a broader trend of clients – specifically those entering into Family Responsibility Agreements – who are exhibiting an increased self-awareness of their personal circumstances and are willing to accept assistance from the Commission at the earliest opportunity in the conferencing process. This is discussed in more detail at </w:t>
      </w:r>
      <w:r w:rsidRPr="00DE0966">
        <w:rPr>
          <w:rFonts w:cs="Arial"/>
          <w:i/>
          <w:iCs/>
        </w:rPr>
        <w:t>Interactions during the quarter</w:t>
      </w:r>
      <w:r>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091CFE">
      <w:pPr>
        <w:pStyle w:val="Heading2"/>
      </w:pPr>
      <w:r w:rsidRPr="00113244">
        <w:t>Voluntary</w:t>
      </w:r>
      <w:r w:rsidR="00EC3C3E" w:rsidRPr="00113244">
        <w:t xml:space="preserve"> </w:t>
      </w:r>
      <w:r w:rsidR="00334F4D">
        <w:t>Income Management</w:t>
      </w:r>
    </w:p>
    <w:p w14:paraId="2F01F04F" w14:textId="7AB29482"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4A65A8">
        <w:rPr>
          <w:rFonts w:cs="Arial"/>
        </w:rPr>
        <w:t xml:space="preserve">28 </w:t>
      </w:r>
      <w:r w:rsidR="00505E6F">
        <w:rPr>
          <w:rFonts w:cs="Arial"/>
        </w:rPr>
        <w:t>Voluntary Income Management (VIM)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BB129A">
        <w:rPr>
          <w:rFonts w:cs="Arial"/>
        </w:rPr>
        <w:t>82 percent</w:t>
      </w:r>
      <w:r w:rsidR="004E765A" w:rsidRPr="009C5078">
        <w:rPr>
          <w:rFonts w:cs="Arial"/>
        </w:rPr>
        <w:t xml:space="preserve"> of clients electing to have</w:t>
      </w:r>
      <w:r w:rsidR="000F0D55" w:rsidRPr="009C5078">
        <w:rPr>
          <w:rFonts w:cs="Arial"/>
        </w:rPr>
        <w:t xml:space="preserve"> 60 percent</w:t>
      </w:r>
      <w:r w:rsidR="004E765A" w:rsidRPr="009C5078">
        <w:rPr>
          <w:rFonts w:cs="Arial"/>
        </w:rPr>
        <w:t xml:space="preserve"> of their welfare payments</w:t>
      </w:r>
      <w:r w:rsidR="000F0D55" w:rsidRPr="009C5078">
        <w:rPr>
          <w:rFonts w:cs="Arial"/>
        </w:rPr>
        <w:t xml:space="preserve"> voluntar</w:t>
      </w:r>
      <w:r w:rsidR="004E765A" w:rsidRPr="009C5078">
        <w:rPr>
          <w:rFonts w:cs="Arial"/>
        </w:rPr>
        <w:t>ily</w:t>
      </w:r>
      <w:r w:rsidR="000F0D55" w:rsidRPr="009C5078">
        <w:rPr>
          <w:rFonts w:cs="Arial"/>
        </w:rPr>
        <w:t xml:space="preserve"> </w:t>
      </w:r>
      <w:r w:rsidR="000F0D55" w:rsidRPr="009C5078">
        <w:rPr>
          <w:rFonts w:cs="Arial"/>
        </w:rPr>
        <w:lastRenderedPageBreak/>
        <w:t>income manag</w:t>
      </w:r>
      <w:r w:rsidR="004E765A" w:rsidRPr="009C5078">
        <w:rPr>
          <w:rFonts w:cs="Arial"/>
        </w:rPr>
        <w:t>ed</w:t>
      </w:r>
      <w:r w:rsidR="00AE4A0C" w:rsidRPr="009C5078">
        <w:rPr>
          <w:rFonts w:cs="Arial"/>
        </w:rPr>
        <w:t xml:space="preserve"> (see </w:t>
      </w:r>
      <w:r w:rsidR="00647DCD">
        <w:rPr>
          <w:rFonts w:cs="Arial"/>
        </w:rPr>
        <w:t>table 24</w:t>
      </w:r>
      <w:r w:rsidR="00AE4A0C" w:rsidRPr="009C5078">
        <w:rPr>
          <w:rFonts w:cs="Arial"/>
        </w:rPr>
        <w:t>)</w:t>
      </w:r>
      <w:r w:rsidR="004E765A" w:rsidRPr="009C5078">
        <w:rPr>
          <w:rFonts w:cs="Arial"/>
        </w:rPr>
        <w:t>.</w:t>
      </w:r>
      <w:r w:rsidR="000F0D55" w:rsidRPr="009C5078">
        <w:rPr>
          <w:rFonts w:cs="Arial"/>
        </w:rPr>
        <w:t xml:space="preserve"> </w:t>
      </w:r>
      <w:r w:rsidR="00AE4A0C" w:rsidRPr="009C5078">
        <w:rPr>
          <w:rFonts w:cs="Arial"/>
        </w:rPr>
        <w:t xml:space="preserve">Clients also showed a preference to be subjected to income management </w:t>
      </w:r>
      <w:r w:rsidR="00BB129A">
        <w:rPr>
          <w:rFonts w:cs="Arial"/>
        </w:rPr>
        <w:t>at 6 months and 12 months</w:t>
      </w:r>
      <w:r w:rsidR="00AE4A0C" w:rsidRPr="009C5078">
        <w:rPr>
          <w:rFonts w:cs="Arial"/>
        </w:rPr>
        <w:t xml:space="preserve"> (see </w:t>
      </w:r>
      <w:r w:rsidR="00647DCD">
        <w:rPr>
          <w:rFonts w:cs="Arial"/>
        </w:rPr>
        <w:t>table 22</w:t>
      </w:r>
      <w:r w:rsidR="00AE4A0C" w:rsidRPr="009C5078">
        <w:rPr>
          <w:rFonts w:cs="Arial"/>
        </w:rPr>
        <w:t xml:space="preserve">). </w:t>
      </w:r>
      <w:r w:rsidR="000F0D55">
        <w:rPr>
          <w:rFonts w:cs="Arial"/>
        </w:rPr>
        <w:t>S</w:t>
      </w:r>
      <w:r w:rsidR="00D802EF">
        <w:rPr>
          <w:rFonts w:cs="Arial"/>
        </w:rPr>
        <w:t xml:space="preserve">ince the commencement of the Commission in 2008, </w:t>
      </w:r>
      <w:r w:rsidR="004A65A8">
        <w:rPr>
          <w:rFonts w:cs="Arial"/>
        </w:rPr>
        <w:t xml:space="preserve">308 </w:t>
      </w:r>
      <w:r w:rsidR="00D802EF">
        <w:rPr>
          <w:rFonts w:cs="Arial"/>
        </w:rPr>
        <w:t>clients</w:t>
      </w:r>
      <w:r w:rsidR="00E26269">
        <w:rPr>
          <w:rFonts w:cs="Arial"/>
        </w:rPr>
        <w:t xml:space="preserve"> </w:t>
      </w:r>
      <w:r w:rsidR="00B32201" w:rsidRPr="007C7A9E">
        <w:rPr>
          <w:rFonts w:cs="Arial"/>
        </w:rPr>
        <w:t>(</w:t>
      </w:r>
      <w:r w:rsidR="007E68A8">
        <w:rPr>
          <w:rFonts w:cs="Arial"/>
        </w:rPr>
        <w:t>1</w:t>
      </w:r>
      <w:r w:rsidR="004A65A8">
        <w:rPr>
          <w:rFonts w:cs="Arial"/>
        </w:rPr>
        <w:t>96</w:t>
      </w:r>
      <w:r w:rsidR="007E68A8">
        <w:rPr>
          <w:rFonts w:cs="Arial"/>
        </w:rPr>
        <w:t xml:space="preserve"> </w:t>
      </w:r>
      <w:r w:rsidR="00794683">
        <w:rPr>
          <w:rFonts w:cs="Arial"/>
        </w:rPr>
        <w:t xml:space="preserve">female and </w:t>
      </w:r>
      <w:r w:rsidR="003C599E">
        <w:rPr>
          <w:rFonts w:cs="Arial"/>
        </w:rPr>
        <w:t>1</w:t>
      </w:r>
      <w:r w:rsidR="00B35BDB">
        <w:rPr>
          <w:rFonts w:cs="Arial"/>
        </w:rPr>
        <w:t>12</w:t>
      </w:r>
      <w:r w:rsidR="003C599E">
        <w:rPr>
          <w:rFonts w:cs="Arial"/>
        </w:rPr>
        <w:t xml:space="preserve"> </w:t>
      </w:r>
      <w:r w:rsidR="00794683">
        <w:rPr>
          <w:rFonts w:cs="Arial"/>
        </w:rPr>
        <w:t xml:space="preserve">male) </w:t>
      </w:r>
      <w:r w:rsidR="00D802EF">
        <w:rPr>
          <w:rFonts w:cs="Arial"/>
        </w:rPr>
        <w:t>have had an active VIM agreement</w:t>
      </w:r>
      <w:r w:rsidR="005A6206">
        <w:rPr>
          <w:rFonts w:cs="Arial"/>
        </w:rPr>
        <w:t xml:space="preserve">. </w:t>
      </w:r>
      <w:r w:rsidR="00D30730" w:rsidRPr="00C313D5">
        <w:rPr>
          <w:rFonts w:cs="Arial"/>
        </w:rPr>
        <w:t xml:space="preserve">As at </w:t>
      </w:r>
      <w:r w:rsidR="00DA70CA">
        <w:rPr>
          <w:rFonts w:cs="Arial"/>
        </w:rPr>
        <w:t>30 June</w:t>
      </w:r>
      <w:r w:rsidR="001A5C4C">
        <w:rPr>
          <w:rFonts w:cs="Arial"/>
        </w:rPr>
        <w:t xml:space="preserve"> 2022</w:t>
      </w:r>
      <w:r w:rsidR="00D30730" w:rsidRPr="00C313D5">
        <w:rPr>
          <w:rFonts w:cs="Arial"/>
        </w:rPr>
        <w:t xml:space="preserve"> there were </w:t>
      </w:r>
      <w:r w:rsidR="00BB129A">
        <w:rPr>
          <w:rFonts w:cs="Arial"/>
        </w:rPr>
        <w:t>75</w:t>
      </w:r>
      <w:r w:rsidR="00BB129A" w:rsidRPr="002925DB">
        <w:rPr>
          <w:rFonts w:cs="Arial"/>
        </w:rPr>
        <w:t xml:space="preserve"> </w:t>
      </w:r>
      <w:r w:rsidR="00D30730" w:rsidRPr="002925DB">
        <w:rPr>
          <w:rFonts w:cs="Arial"/>
        </w:rPr>
        <w:t>clients</w:t>
      </w:r>
      <w:r w:rsidR="00D30730" w:rsidRPr="00C313D5">
        <w:rPr>
          <w:rFonts w:cs="Arial"/>
        </w:rPr>
        <w:t xml:space="preserve"> </w:t>
      </w:r>
      <w:r w:rsidR="00D30730">
        <w:rPr>
          <w:rFonts w:cs="Arial"/>
        </w:rPr>
        <w:t>on</w:t>
      </w:r>
      <w:r w:rsidR="00D30730" w:rsidRPr="00C313D5">
        <w:rPr>
          <w:rFonts w:cs="Arial"/>
        </w:rPr>
        <w:t xml:space="preserve"> a current </w:t>
      </w:r>
      <w:r w:rsidR="00D30730">
        <w:rPr>
          <w:rFonts w:cs="Arial"/>
        </w:rPr>
        <w:t>VIM</w:t>
      </w:r>
      <w:r w:rsidR="00D30730" w:rsidRPr="00C313D5">
        <w:rPr>
          <w:rFonts w:cs="Arial"/>
        </w:rPr>
        <w:t xml:space="preserve"> </w:t>
      </w:r>
      <w:r w:rsidR="00D30730">
        <w:rPr>
          <w:rFonts w:cs="Arial"/>
        </w:rPr>
        <w:t>agreement</w:t>
      </w:r>
      <w:r w:rsidR="00BB129A">
        <w:rPr>
          <w:rFonts w:cs="Arial"/>
        </w:rPr>
        <w:t xml:space="preserve"> </w:t>
      </w:r>
      <w:r w:rsidR="00BB129A">
        <w:t>who</w:t>
      </w:r>
      <w:r w:rsidR="00BB129A" w:rsidRPr="003D6712">
        <w:t xml:space="preserve"> had </w:t>
      </w:r>
      <w:r w:rsidR="00BB129A">
        <w:t>66</w:t>
      </w:r>
      <w:r w:rsidR="00BB129A" w:rsidRPr="003D6712">
        <w:t xml:space="preserve"> children in their care (</w:t>
      </w:r>
      <w:r w:rsidR="00BB129A">
        <w:t>41</w:t>
      </w:r>
      <w:r w:rsidR="00BB129A" w:rsidRPr="003D6712">
        <w:t xml:space="preserve"> of whom were school aged children)</w:t>
      </w:r>
      <w:r w:rsidR="007847CF">
        <w:rPr>
          <w:rFonts w:cs="Arial"/>
        </w:rPr>
        <w:t>.</w:t>
      </w:r>
      <w:r w:rsidR="0090496B">
        <w:rPr>
          <w:rFonts w:cs="Arial"/>
        </w:rPr>
        <w:t xml:space="preserve"> The growth in the number of community members willing to enter into a VIM agreement</w:t>
      </w:r>
      <w:r w:rsidR="009C2950">
        <w:rPr>
          <w:rFonts w:cs="Arial"/>
        </w:rPr>
        <w:t xml:space="preserve"> continues to exceed levels reported in periods prior to the introduction of the Cashless Debit Card (CDC) in March 2021</w:t>
      </w:r>
      <w:r w:rsidR="00C14593">
        <w:rPr>
          <w:rFonts w:cs="Arial"/>
        </w:rPr>
        <w:t xml:space="preserve"> (see </w:t>
      </w:r>
      <w:r w:rsidR="002925DB">
        <w:rPr>
          <w:rFonts w:cs="Arial"/>
        </w:rPr>
        <w:t>section</w:t>
      </w:r>
      <w:r w:rsidR="00C14593">
        <w:rPr>
          <w:rFonts w:cs="Arial"/>
        </w:rPr>
        <w:t xml:space="preserve"> below </w:t>
      </w:r>
      <w:r w:rsidR="00DC3E72">
        <w:rPr>
          <w:rFonts w:cs="Arial"/>
        </w:rPr>
        <w:t xml:space="preserve">on the </w:t>
      </w:r>
      <w:r w:rsidR="00C14593">
        <w:rPr>
          <w:rFonts w:cs="Arial"/>
        </w:rPr>
        <w:t xml:space="preserve">Status of </w:t>
      </w:r>
      <w:r w:rsidR="00DC3E72">
        <w:rPr>
          <w:rFonts w:cs="Arial"/>
        </w:rPr>
        <w:t xml:space="preserve">the </w:t>
      </w:r>
      <w:r w:rsidR="00C14593">
        <w:rPr>
          <w:rFonts w:cs="Arial"/>
        </w:rPr>
        <w:t>CD</w:t>
      </w:r>
      <w:r w:rsidR="00DC3E72">
        <w:rPr>
          <w:rFonts w:cs="Arial"/>
        </w:rPr>
        <w:t>C).</w:t>
      </w:r>
    </w:p>
    <w:p w14:paraId="45432E30" w14:textId="1B99792C" w:rsidR="006B6030" w:rsidRDefault="006B6030" w:rsidP="005A02C1">
      <w:pPr>
        <w:ind w:left="-142" w:right="-425"/>
        <w:jc w:val="both"/>
        <w:rPr>
          <w:rFonts w:cs="Arial"/>
        </w:rPr>
      </w:pPr>
    </w:p>
    <w:p w14:paraId="1087AFFD" w14:textId="1A1003EF" w:rsidR="003833F9" w:rsidRPr="005212BC" w:rsidRDefault="003833F9" w:rsidP="003833F9">
      <w:pPr>
        <w:ind w:left="-142" w:right="-425"/>
        <w:jc w:val="both"/>
        <w:rPr>
          <w:rFonts w:cs="Arial"/>
          <w:b/>
          <w:bCs/>
        </w:rPr>
      </w:pPr>
      <w:r w:rsidRPr="005212BC">
        <w:rPr>
          <w:rFonts w:cs="Arial"/>
          <w:b/>
          <w:bCs/>
        </w:rPr>
        <w:t xml:space="preserve">Status of CDC in FRC Communities for quarter </w:t>
      </w:r>
      <w:r w:rsidR="00951376">
        <w:rPr>
          <w:rFonts w:cs="Arial"/>
          <w:b/>
          <w:bCs/>
        </w:rPr>
        <w:t>56</w:t>
      </w:r>
    </w:p>
    <w:p w14:paraId="40773987" w14:textId="11A86E6D" w:rsidR="003833F9" w:rsidRDefault="00C67400" w:rsidP="003833F9">
      <w:pPr>
        <w:ind w:left="-142" w:right="-425"/>
        <w:jc w:val="both"/>
        <w:rPr>
          <w:rFonts w:cs="Arial"/>
        </w:rPr>
      </w:pPr>
      <w:r>
        <w:rPr>
          <w:rFonts w:cs="Arial"/>
        </w:rPr>
        <w:t>Forty-eight</w:t>
      </w:r>
      <w:r w:rsidR="003833F9">
        <w:rPr>
          <w:rFonts w:cs="Arial"/>
        </w:rPr>
        <w:t xml:space="preserve"> Cashless Debit Cards </w:t>
      </w:r>
      <w:r w:rsidR="00386ABC">
        <w:rPr>
          <w:rFonts w:cs="Arial"/>
        </w:rPr>
        <w:t>(</w:t>
      </w:r>
      <w:r>
        <w:rPr>
          <w:rFonts w:cs="Arial"/>
        </w:rPr>
        <w:t>20</w:t>
      </w:r>
      <w:r w:rsidR="001838E5">
        <w:rPr>
          <w:rFonts w:cs="Arial"/>
        </w:rPr>
        <w:t xml:space="preserve"> </w:t>
      </w:r>
      <w:r w:rsidR="00386ABC">
        <w:rPr>
          <w:rFonts w:cs="Arial"/>
        </w:rPr>
        <w:t xml:space="preserve">for CIM and </w:t>
      </w:r>
      <w:r>
        <w:rPr>
          <w:rFonts w:cs="Arial"/>
        </w:rPr>
        <w:t xml:space="preserve">28 </w:t>
      </w:r>
      <w:r w:rsidR="00386ABC">
        <w:rPr>
          <w:rFonts w:cs="Arial"/>
        </w:rPr>
        <w:t xml:space="preserve">for VIM) </w:t>
      </w:r>
      <w:r w:rsidR="003833F9">
        <w:rPr>
          <w:rFonts w:cs="Arial"/>
        </w:rPr>
        <w:t xml:space="preserve">were processed for the period 1 </w:t>
      </w:r>
      <w:r w:rsidR="00DA70CA">
        <w:rPr>
          <w:rFonts w:cs="Arial"/>
        </w:rPr>
        <w:t>April</w:t>
      </w:r>
      <w:r w:rsidR="00415BC8">
        <w:rPr>
          <w:rFonts w:cs="Arial"/>
        </w:rPr>
        <w:t xml:space="preserve"> 2022</w:t>
      </w:r>
      <w:r w:rsidR="003833F9">
        <w:rPr>
          <w:rFonts w:cs="Arial"/>
        </w:rPr>
        <w:t xml:space="preserve"> to </w:t>
      </w:r>
      <w:r w:rsidR="00DA70CA">
        <w:rPr>
          <w:rFonts w:cs="Arial"/>
        </w:rPr>
        <w:t>30 June</w:t>
      </w:r>
      <w:r w:rsidR="001A5C4C">
        <w:rPr>
          <w:rFonts w:cs="Arial"/>
        </w:rPr>
        <w:t xml:space="preserve"> 2022</w:t>
      </w:r>
      <w:r w:rsidR="003833F9">
        <w:rPr>
          <w:rFonts w:cs="Arial"/>
        </w:rPr>
        <w:t xml:space="preserve">, including orders and agreements that were still awaiting Centrelink action as at </w:t>
      </w:r>
      <w:r w:rsidR="00DA70CA">
        <w:rPr>
          <w:rFonts w:cs="Arial"/>
        </w:rPr>
        <w:t>30 June</w:t>
      </w:r>
      <w:r w:rsidR="003833F9">
        <w:rPr>
          <w:rFonts w:cs="Arial"/>
        </w:rPr>
        <w:t>.</w:t>
      </w:r>
    </w:p>
    <w:p w14:paraId="677DD7A6" w14:textId="20D3AE40" w:rsidR="007B6069" w:rsidRDefault="007B6069" w:rsidP="003833F9">
      <w:pPr>
        <w:ind w:left="-142" w:right="-425"/>
        <w:jc w:val="both"/>
        <w:rPr>
          <w:rFonts w:cs="Arial"/>
        </w:rPr>
      </w:pPr>
    </w:p>
    <w:p w14:paraId="213A8D7E" w14:textId="77777777" w:rsidR="005E7662" w:rsidRDefault="005E7662" w:rsidP="005E7662">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5E7662" w14:paraId="23399DB1" w14:textId="77777777" w:rsidTr="005D3292">
        <w:trPr>
          <w:trHeight w:val="278"/>
        </w:trPr>
        <w:tc>
          <w:tcPr>
            <w:tcW w:w="4106" w:type="dxa"/>
            <w:gridSpan w:val="2"/>
          </w:tcPr>
          <w:p w14:paraId="5E52EFD1" w14:textId="7FAE767F" w:rsidR="005E7662" w:rsidRPr="002C0A49" w:rsidRDefault="005E7662" w:rsidP="005D3292">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21</w:t>
            </w:r>
            <w:r w:rsidRPr="002C0A49">
              <w:rPr>
                <w:rFonts w:cs="Arial"/>
                <w:b/>
                <w:bCs/>
                <w:noProof/>
                <w:sz w:val="16"/>
                <w:szCs w:val="16"/>
              </w:rPr>
              <w:t>:</w:t>
            </w:r>
            <w:r w:rsidRPr="002C0A49">
              <w:rPr>
                <w:rFonts w:cs="Arial"/>
                <w:noProof/>
                <w:sz w:val="16"/>
                <w:szCs w:val="16"/>
              </w:rPr>
              <w:t xml:space="preserve"> Breakdown of CDC CIMs by duration 1 </w:t>
            </w:r>
            <w:r>
              <w:rPr>
                <w:rFonts w:cs="Arial"/>
                <w:noProof/>
                <w:sz w:val="16"/>
                <w:szCs w:val="16"/>
              </w:rPr>
              <w:t>April</w:t>
            </w:r>
            <w:r w:rsidRPr="002C0A49">
              <w:rPr>
                <w:rFonts w:cs="Arial"/>
                <w:noProof/>
                <w:sz w:val="16"/>
                <w:szCs w:val="16"/>
              </w:rPr>
              <w:t xml:space="preserve"> 202</w:t>
            </w:r>
            <w:r>
              <w:rPr>
                <w:rFonts w:cs="Arial"/>
                <w:noProof/>
                <w:sz w:val="16"/>
                <w:szCs w:val="16"/>
              </w:rPr>
              <w:t>2</w:t>
            </w:r>
            <w:r w:rsidRPr="002C0A49">
              <w:rPr>
                <w:rFonts w:cs="Arial"/>
                <w:noProof/>
                <w:sz w:val="16"/>
                <w:szCs w:val="16"/>
              </w:rPr>
              <w:t xml:space="preserve"> – 3</w:t>
            </w:r>
            <w:r>
              <w:rPr>
                <w:rFonts w:cs="Arial"/>
                <w:noProof/>
                <w:sz w:val="16"/>
                <w:szCs w:val="16"/>
              </w:rPr>
              <w:t xml:space="preserve">0 June </w:t>
            </w:r>
            <w:r w:rsidRPr="002C0A49">
              <w:rPr>
                <w:rFonts w:cs="Arial"/>
                <w:noProof/>
                <w:sz w:val="16"/>
                <w:szCs w:val="16"/>
              </w:rPr>
              <w:t>202</w:t>
            </w:r>
            <w:r>
              <w:rPr>
                <w:rFonts w:cs="Arial"/>
                <w:noProof/>
                <w:sz w:val="16"/>
                <w:szCs w:val="16"/>
              </w:rPr>
              <w:t>2</w:t>
            </w:r>
          </w:p>
        </w:tc>
        <w:tc>
          <w:tcPr>
            <w:tcW w:w="709" w:type="dxa"/>
            <w:tcBorders>
              <w:top w:val="nil"/>
              <w:bottom w:val="nil"/>
            </w:tcBorders>
          </w:tcPr>
          <w:p w14:paraId="2EC704FC" w14:textId="77777777" w:rsidR="005E7662" w:rsidRDefault="005E7662" w:rsidP="005D3292">
            <w:pPr>
              <w:rPr>
                <w:rFonts w:cs="Arial"/>
                <w:b/>
                <w:bCs/>
                <w:noProof/>
                <w:sz w:val="16"/>
                <w:szCs w:val="16"/>
              </w:rPr>
            </w:pPr>
          </w:p>
        </w:tc>
        <w:tc>
          <w:tcPr>
            <w:tcW w:w="4098" w:type="dxa"/>
            <w:gridSpan w:val="2"/>
          </w:tcPr>
          <w:p w14:paraId="24170C25" w14:textId="625E847C" w:rsidR="005E7662" w:rsidRPr="00E33A8C" w:rsidRDefault="005E7662" w:rsidP="005D3292">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22</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1 </w:t>
            </w:r>
            <w:r>
              <w:rPr>
                <w:rFonts w:cs="Arial"/>
                <w:noProof/>
                <w:sz w:val="16"/>
                <w:szCs w:val="16"/>
              </w:rPr>
              <w:t>April</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0 June </w:t>
            </w:r>
            <w:r w:rsidRPr="00523A30">
              <w:rPr>
                <w:rFonts w:cs="Arial"/>
                <w:noProof/>
                <w:sz w:val="16"/>
                <w:szCs w:val="16"/>
              </w:rPr>
              <w:t>202</w:t>
            </w:r>
            <w:r>
              <w:rPr>
                <w:rFonts w:cs="Arial"/>
                <w:noProof/>
                <w:sz w:val="16"/>
                <w:szCs w:val="16"/>
              </w:rPr>
              <w:t>2</w:t>
            </w:r>
          </w:p>
        </w:tc>
      </w:tr>
      <w:tr w:rsidR="005E7662" w14:paraId="7B017F50" w14:textId="77777777" w:rsidTr="005D3292">
        <w:trPr>
          <w:trHeight w:val="278"/>
        </w:trPr>
        <w:tc>
          <w:tcPr>
            <w:tcW w:w="2972" w:type="dxa"/>
            <w:vAlign w:val="center"/>
          </w:tcPr>
          <w:p w14:paraId="74635641" w14:textId="77777777" w:rsidR="005E7662" w:rsidRPr="00CB1588" w:rsidRDefault="005E7662" w:rsidP="005D3292">
            <w:pPr>
              <w:rPr>
                <w:rFonts w:cs="Arial"/>
                <w:b/>
                <w:bCs/>
                <w:noProof/>
              </w:rPr>
            </w:pPr>
            <w:r w:rsidRPr="00CB1588">
              <w:rPr>
                <w:rFonts w:cs="Arial"/>
                <w:b/>
                <w:bCs/>
                <w:noProof/>
              </w:rPr>
              <w:t>CIM Duration</w:t>
            </w:r>
          </w:p>
        </w:tc>
        <w:tc>
          <w:tcPr>
            <w:tcW w:w="1134" w:type="dxa"/>
            <w:vAlign w:val="center"/>
          </w:tcPr>
          <w:p w14:paraId="21F0FC58" w14:textId="77777777" w:rsidR="005E7662" w:rsidRPr="00CB1588" w:rsidRDefault="005E7662" w:rsidP="005D3292">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350D71D8" w14:textId="77777777" w:rsidR="005E7662" w:rsidRDefault="005E7662" w:rsidP="005D3292">
            <w:pPr>
              <w:rPr>
                <w:rFonts w:cs="Arial"/>
                <w:noProof/>
              </w:rPr>
            </w:pPr>
          </w:p>
        </w:tc>
        <w:tc>
          <w:tcPr>
            <w:tcW w:w="2977" w:type="dxa"/>
            <w:vAlign w:val="center"/>
          </w:tcPr>
          <w:p w14:paraId="5FD535F2" w14:textId="77777777" w:rsidR="005E7662" w:rsidRPr="00CB1588" w:rsidRDefault="005E7662" w:rsidP="005D3292">
            <w:pPr>
              <w:rPr>
                <w:rFonts w:cs="Arial"/>
                <w:b/>
                <w:bCs/>
                <w:noProof/>
              </w:rPr>
            </w:pPr>
            <w:r w:rsidRPr="00CB1588">
              <w:rPr>
                <w:rFonts w:cs="Arial"/>
                <w:b/>
                <w:bCs/>
                <w:noProof/>
              </w:rPr>
              <w:t>VIM Duration</w:t>
            </w:r>
          </w:p>
        </w:tc>
        <w:tc>
          <w:tcPr>
            <w:tcW w:w="1121" w:type="dxa"/>
            <w:vAlign w:val="center"/>
          </w:tcPr>
          <w:p w14:paraId="118373E3" w14:textId="77777777" w:rsidR="005E7662" w:rsidRPr="001D1C01" w:rsidRDefault="005E7662" w:rsidP="005D3292">
            <w:pPr>
              <w:jc w:val="right"/>
              <w:rPr>
                <w:rFonts w:cs="Arial"/>
                <w:noProof/>
              </w:rPr>
            </w:pPr>
            <w:r>
              <w:rPr>
                <w:rFonts w:cs="Arial"/>
                <w:b/>
                <w:bCs/>
                <w:noProof/>
              </w:rPr>
              <w:t xml:space="preserve">% </w:t>
            </w:r>
            <w:r w:rsidRPr="00CB1588">
              <w:rPr>
                <w:rFonts w:cs="Arial"/>
                <w:b/>
                <w:bCs/>
                <w:noProof/>
              </w:rPr>
              <w:t>Split</w:t>
            </w:r>
          </w:p>
        </w:tc>
      </w:tr>
      <w:tr w:rsidR="005E7662" w14:paraId="5359D5EC" w14:textId="77777777" w:rsidTr="005D3292">
        <w:trPr>
          <w:trHeight w:val="278"/>
        </w:trPr>
        <w:tc>
          <w:tcPr>
            <w:tcW w:w="2972" w:type="dxa"/>
            <w:vAlign w:val="center"/>
          </w:tcPr>
          <w:p w14:paraId="037E1494" w14:textId="77777777" w:rsidR="005E7662" w:rsidRPr="002819D6" w:rsidRDefault="005E7662" w:rsidP="005D3292">
            <w:pPr>
              <w:rPr>
                <w:rFonts w:cs="Arial"/>
                <w:noProof/>
              </w:rPr>
            </w:pPr>
            <w:r w:rsidRPr="002819D6">
              <w:rPr>
                <w:rFonts w:cs="Arial"/>
                <w:noProof/>
              </w:rPr>
              <w:t>3 months</w:t>
            </w:r>
          </w:p>
        </w:tc>
        <w:tc>
          <w:tcPr>
            <w:tcW w:w="1134" w:type="dxa"/>
            <w:vAlign w:val="center"/>
          </w:tcPr>
          <w:p w14:paraId="16E836A1" w14:textId="201E8A10" w:rsidR="005E7662" w:rsidRPr="001D1C01" w:rsidRDefault="005E7662" w:rsidP="005D3292">
            <w:pPr>
              <w:jc w:val="right"/>
              <w:rPr>
                <w:rFonts w:cs="Arial"/>
                <w:noProof/>
              </w:rPr>
            </w:pPr>
            <w:r>
              <w:rPr>
                <w:rFonts w:cs="Arial"/>
                <w:noProof/>
              </w:rPr>
              <w:t>40</w:t>
            </w:r>
            <w:r w:rsidRPr="001D1C01">
              <w:rPr>
                <w:rFonts w:cs="Arial"/>
                <w:noProof/>
              </w:rPr>
              <w:t>%</w:t>
            </w:r>
          </w:p>
        </w:tc>
        <w:tc>
          <w:tcPr>
            <w:tcW w:w="709" w:type="dxa"/>
            <w:tcBorders>
              <w:top w:val="nil"/>
              <w:bottom w:val="nil"/>
            </w:tcBorders>
          </w:tcPr>
          <w:p w14:paraId="65846F31" w14:textId="77777777" w:rsidR="005E7662" w:rsidRDefault="005E7662" w:rsidP="005D3292">
            <w:pPr>
              <w:rPr>
                <w:rFonts w:cs="Arial"/>
                <w:noProof/>
              </w:rPr>
            </w:pPr>
          </w:p>
        </w:tc>
        <w:tc>
          <w:tcPr>
            <w:tcW w:w="2977" w:type="dxa"/>
            <w:vAlign w:val="center"/>
          </w:tcPr>
          <w:p w14:paraId="24AA8730" w14:textId="77777777" w:rsidR="005E7662" w:rsidRPr="001D1C01" w:rsidRDefault="005E7662" w:rsidP="005D3292">
            <w:pPr>
              <w:rPr>
                <w:rFonts w:cs="Arial"/>
                <w:noProof/>
              </w:rPr>
            </w:pPr>
            <w:r w:rsidRPr="001D1C01">
              <w:rPr>
                <w:rFonts w:cs="Arial"/>
                <w:noProof/>
              </w:rPr>
              <w:t>3 months</w:t>
            </w:r>
          </w:p>
        </w:tc>
        <w:tc>
          <w:tcPr>
            <w:tcW w:w="1121" w:type="dxa"/>
            <w:vAlign w:val="center"/>
          </w:tcPr>
          <w:p w14:paraId="3D1114DA" w14:textId="556F7DC2" w:rsidR="005E7662" w:rsidRPr="001D1C01" w:rsidRDefault="005E7662" w:rsidP="005D3292">
            <w:pPr>
              <w:jc w:val="right"/>
              <w:rPr>
                <w:rFonts w:cs="Arial"/>
                <w:noProof/>
              </w:rPr>
            </w:pPr>
            <w:r>
              <w:rPr>
                <w:rFonts w:cs="Arial"/>
                <w:noProof/>
              </w:rPr>
              <w:t>14</w:t>
            </w:r>
            <w:r w:rsidRPr="001D1C01">
              <w:rPr>
                <w:rFonts w:cs="Arial"/>
                <w:noProof/>
              </w:rPr>
              <w:t>%</w:t>
            </w:r>
          </w:p>
        </w:tc>
      </w:tr>
      <w:tr w:rsidR="005E7662" w14:paraId="128FF491" w14:textId="77777777" w:rsidTr="005D3292">
        <w:trPr>
          <w:trHeight w:val="278"/>
        </w:trPr>
        <w:tc>
          <w:tcPr>
            <w:tcW w:w="2972" w:type="dxa"/>
            <w:vAlign w:val="center"/>
          </w:tcPr>
          <w:p w14:paraId="387099B3" w14:textId="77777777" w:rsidR="005E7662" w:rsidRPr="002819D6" w:rsidRDefault="005E7662" w:rsidP="005D3292">
            <w:pPr>
              <w:rPr>
                <w:rFonts w:cs="Arial"/>
                <w:noProof/>
              </w:rPr>
            </w:pPr>
            <w:r w:rsidRPr="002819D6">
              <w:rPr>
                <w:rFonts w:cs="Arial"/>
                <w:noProof/>
              </w:rPr>
              <w:t>6 months</w:t>
            </w:r>
          </w:p>
        </w:tc>
        <w:tc>
          <w:tcPr>
            <w:tcW w:w="1134" w:type="dxa"/>
            <w:vAlign w:val="center"/>
          </w:tcPr>
          <w:p w14:paraId="52C52F22" w14:textId="77777777" w:rsidR="005E7662" w:rsidRPr="001D1C01" w:rsidRDefault="005E7662" w:rsidP="005D3292">
            <w:pPr>
              <w:jc w:val="right"/>
              <w:rPr>
                <w:rFonts w:cs="Arial"/>
                <w:noProof/>
              </w:rPr>
            </w:pPr>
            <w:r>
              <w:rPr>
                <w:rFonts w:cs="Arial"/>
                <w:noProof/>
              </w:rPr>
              <w:t>50</w:t>
            </w:r>
            <w:r w:rsidRPr="001D1C01">
              <w:rPr>
                <w:rFonts w:cs="Arial"/>
                <w:noProof/>
              </w:rPr>
              <w:t>%</w:t>
            </w:r>
          </w:p>
        </w:tc>
        <w:tc>
          <w:tcPr>
            <w:tcW w:w="709" w:type="dxa"/>
            <w:tcBorders>
              <w:top w:val="nil"/>
              <w:bottom w:val="nil"/>
            </w:tcBorders>
          </w:tcPr>
          <w:p w14:paraId="71AE13A6" w14:textId="77777777" w:rsidR="005E7662" w:rsidRDefault="005E7662" w:rsidP="005D3292">
            <w:pPr>
              <w:rPr>
                <w:rFonts w:cs="Arial"/>
                <w:noProof/>
              </w:rPr>
            </w:pPr>
          </w:p>
        </w:tc>
        <w:tc>
          <w:tcPr>
            <w:tcW w:w="2977" w:type="dxa"/>
            <w:vAlign w:val="center"/>
          </w:tcPr>
          <w:p w14:paraId="3E34C183" w14:textId="77777777" w:rsidR="005E7662" w:rsidRPr="001D1C01" w:rsidRDefault="005E7662" w:rsidP="005D3292">
            <w:pPr>
              <w:rPr>
                <w:rFonts w:cs="Arial"/>
                <w:noProof/>
              </w:rPr>
            </w:pPr>
            <w:r w:rsidRPr="001D1C01">
              <w:rPr>
                <w:rFonts w:cs="Arial"/>
                <w:noProof/>
              </w:rPr>
              <w:t>6 months</w:t>
            </w:r>
          </w:p>
        </w:tc>
        <w:tc>
          <w:tcPr>
            <w:tcW w:w="1121" w:type="dxa"/>
            <w:vAlign w:val="center"/>
          </w:tcPr>
          <w:p w14:paraId="08F0A253" w14:textId="14B9EFDD" w:rsidR="005E7662" w:rsidRPr="001D1C01" w:rsidRDefault="005E7662" w:rsidP="005D3292">
            <w:pPr>
              <w:jc w:val="right"/>
              <w:rPr>
                <w:rFonts w:cs="Arial"/>
                <w:noProof/>
              </w:rPr>
            </w:pPr>
            <w:r>
              <w:rPr>
                <w:rFonts w:cs="Arial"/>
                <w:noProof/>
              </w:rPr>
              <w:t>43</w:t>
            </w:r>
            <w:r w:rsidRPr="001D1C01">
              <w:rPr>
                <w:rFonts w:cs="Arial"/>
                <w:noProof/>
              </w:rPr>
              <w:t>%</w:t>
            </w:r>
          </w:p>
        </w:tc>
      </w:tr>
      <w:tr w:rsidR="005E7662" w14:paraId="4C12342B" w14:textId="77777777" w:rsidTr="005D3292">
        <w:trPr>
          <w:trHeight w:val="278"/>
        </w:trPr>
        <w:tc>
          <w:tcPr>
            <w:tcW w:w="2972" w:type="dxa"/>
            <w:vAlign w:val="center"/>
          </w:tcPr>
          <w:p w14:paraId="37A60ACF" w14:textId="77777777" w:rsidR="005E7662" w:rsidRPr="002819D6" w:rsidRDefault="005E7662" w:rsidP="005D3292">
            <w:pPr>
              <w:rPr>
                <w:rFonts w:cs="Arial"/>
                <w:noProof/>
              </w:rPr>
            </w:pPr>
            <w:r w:rsidRPr="002819D6">
              <w:rPr>
                <w:rFonts w:cs="Arial"/>
                <w:noProof/>
              </w:rPr>
              <w:t>9 months</w:t>
            </w:r>
          </w:p>
        </w:tc>
        <w:tc>
          <w:tcPr>
            <w:tcW w:w="1134" w:type="dxa"/>
            <w:vAlign w:val="center"/>
          </w:tcPr>
          <w:p w14:paraId="77F98083" w14:textId="4EA338F7" w:rsidR="005E7662" w:rsidRPr="001D1C01" w:rsidRDefault="005E7662" w:rsidP="005D3292">
            <w:pPr>
              <w:jc w:val="right"/>
              <w:rPr>
                <w:rFonts w:cs="Arial"/>
                <w:noProof/>
              </w:rPr>
            </w:pPr>
            <w:r>
              <w:rPr>
                <w:rFonts w:cs="Arial"/>
                <w:noProof/>
              </w:rPr>
              <w:t>1</w:t>
            </w:r>
            <w:r w:rsidRPr="001D1C01">
              <w:rPr>
                <w:rFonts w:cs="Arial"/>
                <w:noProof/>
              </w:rPr>
              <w:t>0%</w:t>
            </w:r>
          </w:p>
        </w:tc>
        <w:tc>
          <w:tcPr>
            <w:tcW w:w="709" w:type="dxa"/>
            <w:tcBorders>
              <w:top w:val="nil"/>
              <w:bottom w:val="nil"/>
            </w:tcBorders>
          </w:tcPr>
          <w:p w14:paraId="39C40F36" w14:textId="77777777" w:rsidR="005E7662" w:rsidRDefault="005E7662" w:rsidP="005D3292">
            <w:pPr>
              <w:rPr>
                <w:rFonts w:cs="Arial"/>
                <w:noProof/>
              </w:rPr>
            </w:pPr>
          </w:p>
        </w:tc>
        <w:tc>
          <w:tcPr>
            <w:tcW w:w="2977" w:type="dxa"/>
            <w:vAlign w:val="center"/>
          </w:tcPr>
          <w:p w14:paraId="31885A91" w14:textId="77777777" w:rsidR="005E7662" w:rsidRPr="001D1C01" w:rsidRDefault="005E7662" w:rsidP="005D3292">
            <w:pPr>
              <w:rPr>
                <w:rFonts w:cs="Arial"/>
                <w:noProof/>
              </w:rPr>
            </w:pPr>
            <w:r w:rsidRPr="001D1C01">
              <w:rPr>
                <w:rFonts w:cs="Arial"/>
                <w:noProof/>
              </w:rPr>
              <w:t>9 months</w:t>
            </w:r>
          </w:p>
        </w:tc>
        <w:tc>
          <w:tcPr>
            <w:tcW w:w="1121" w:type="dxa"/>
            <w:vAlign w:val="center"/>
          </w:tcPr>
          <w:p w14:paraId="57073F3F" w14:textId="77777777" w:rsidR="005E7662" w:rsidRPr="001D1C01" w:rsidRDefault="005E7662" w:rsidP="005D3292">
            <w:pPr>
              <w:jc w:val="right"/>
              <w:rPr>
                <w:rFonts w:cs="Arial"/>
                <w:noProof/>
              </w:rPr>
            </w:pPr>
            <w:r>
              <w:rPr>
                <w:rFonts w:cs="Arial"/>
                <w:noProof/>
              </w:rPr>
              <w:t>0</w:t>
            </w:r>
            <w:r w:rsidRPr="001D1C01">
              <w:rPr>
                <w:rFonts w:cs="Arial"/>
                <w:noProof/>
              </w:rPr>
              <w:t>%</w:t>
            </w:r>
          </w:p>
        </w:tc>
      </w:tr>
      <w:tr w:rsidR="005E7662" w14:paraId="34A77CE6" w14:textId="77777777" w:rsidTr="005D3292">
        <w:trPr>
          <w:trHeight w:val="278"/>
        </w:trPr>
        <w:tc>
          <w:tcPr>
            <w:tcW w:w="2972" w:type="dxa"/>
            <w:vAlign w:val="center"/>
          </w:tcPr>
          <w:p w14:paraId="71683F1E" w14:textId="77777777" w:rsidR="005E7662" w:rsidRDefault="005E7662" w:rsidP="005D3292">
            <w:pPr>
              <w:rPr>
                <w:rFonts w:cs="Arial"/>
                <w:noProof/>
              </w:rPr>
            </w:pPr>
            <w:r w:rsidRPr="002819D6">
              <w:rPr>
                <w:rFonts w:cs="Arial"/>
                <w:noProof/>
              </w:rPr>
              <w:t>12 months</w:t>
            </w:r>
          </w:p>
        </w:tc>
        <w:tc>
          <w:tcPr>
            <w:tcW w:w="1134" w:type="dxa"/>
            <w:vAlign w:val="center"/>
          </w:tcPr>
          <w:p w14:paraId="474A5883" w14:textId="77777777" w:rsidR="005E7662" w:rsidRPr="001D1C01" w:rsidRDefault="005E7662" w:rsidP="005D3292">
            <w:pPr>
              <w:jc w:val="right"/>
              <w:rPr>
                <w:rFonts w:cs="Arial"/>
                <w:noProof/>
              </w:rPr>
            </w:pPr>
            <w:r>
              <w:rPr>
                <w:rFonts w:cs="Arial"/>
                <w:noProof/>
              </w:rPr>
              <w:t>0</w:t>
            </w:r>
            <w:r w:rsidRPr="001D1C01">
              <w:rPr>
                <w:rFonts w:cs="Arial"/>
                <w:noProof/>
              </w:rPr>
              <w:t>%</w:t>
            </w:r>
          </w:p>
        </w:tc>
        <w:tc>
          <w:tcPr>
            <w:tcW w:w="709" w:type="dxa"/>
            <w:tcBorders>
              <w:top w:val="nil"/>
              <w:bottom w:val="nil"/>
            </w:tcBorders>
          </w:tcPr>
          <w:p w14:paraId="0A3261C0" w14:textId="77777777" w:rsidR="005E7662" w:rsidRDefault="005E7662" w:rsidP="005D3292">
            <w:pPr>
              <w:rPr>
                <w:rFonts w:cs="Arial"/>
                <w:noProof/>
              </w:rPr>
            </w:pPr>
          </w:p>
        </w:tc>
        <w:tc>
          <w:tcPr>
            <w:tcW w:w="2977" w:type="dxa"/>
            <w:vAlign w:val="center"/>
          </w:tcPr>
          <w:p w14:paraId="49DCB327" w14:textId="77777777" w:rsidR="005E7662" w:rsidRDefault="005E7662" w:rsidP="005D3292">
            <w:pPr>
              <w:rPr>
                <w:rFonts w:cs="Arial"/>
                <w:noProof/>
              </w:rPr>
            </w:pPr>
            <w:r w:rsidRPr="001D1C01">
              <w:rPr>
                <w:rFonts w:cs="Arial"/>
                <w:noProof/>
              </w:rPr>
              <w:t>12 months</w:t>
            </w:r>
          </w:p>
        </w:tc>
        <w:tc>
          <w:tcPr>
            <w:tcW w:w="1121" w:type="dxa"/>
            <w:vAlign w:val="center"/>
          </w:tcPr>
          <w:p w14:paraId="32D1C60C" w14:textId="3D63AA36" w:rsidR="005E7662" w:rsidRDefault="005E7662" w:rsidP="005D3292">
            <w:pPr>
              <w:jc w:val="right"/>
              <w:rPr>
                <w:rFonts w:cs="Arial"/>
                <w:noProof/>
              </w:rPr>
            </w:pPr>
            <w:r>
              <w:rPr>
                <w:rFonts w:cs="Arial"/>
                <w:noProof/>
              </w:rPr>
              <w:t>43</w:t>
            </w:r>
            <w:r w:rsidRPr="001D1C01">
              <w:rPr>
                <w:rFonts w:cs="Arial"/>
                <w:noProof/>
              </w:rPr>
              <w:t>%</w:t>
            </w:r>
          </w:p>
        </w:tc>
      </w:tr>
      <w:tr w:rsidR="005E7662" w14:paraId="0329EB16" w14:textId="77777777" w:rsidTr="005D3292">
        <w:trPr>
          <w:trHeight w:val="278"/>
        </w:trPr>
        <w:tc>
          <w:tcPr>
            <w:tcW w:w="2972" w:type="dxa"/>
            <w:vAlign w:val="center"/>
          </w:tcPr>
          <w:p w14:paraId="186F426C" w14:textId="77777777" w:rsidR="005E7662" w:rsidRPr="00065259" w:rsidRDefault="005E7662" w:rsidP="005D3292">
            <w:pPr>
              <w:rPr>
                <w:rFonts w:cs="Arial"/>
                <w:b/>
                <w:bCs/>
                <w:noProof/>
              </w:rPr>
            </w:pPr>
            <w:r w:rsidRPr="00065259">
              <w:rPr>
                <w:rFonts w:cs="Arial"/>
                <w:b/>
                <w:bCs/>
                <w:noProof/>
              </w:rPr>
              <w:t>Total</w:t>
            </w:r>
          </w:p>
        </w:tc>
        <w:tc>
          <w:tcPr>
            <w:tcW w:w="1134" w:type="dxa"/>
            <w:vAlign w:val="center"/>
          </w:tcPr>
          <w:p w14:paraId="7F53EBEB" w14:textId="77777777" w:rsidR="005E7662" w:rsidRPr="00065259" w:rsidRDefault="005E7662" w:rsidP="005D3292">
            <w:pPr>
              <w:jc w:val="right"/>
              <w:rPr>
                <w:rFonts w:cs="Arial"/>
                <w:b/>
                <w:bCs/>
                <w:noProof/>
              </w:rPr>
            </w:pPr>
            <w:r w:rsidRPr="00065259">
              <w:rPr>
                <w:rFonts w:cs="Arial"/>
                <w:b/>
                <w:bCs/>
                <w:noProof/>
              </w:rPr>
              <w:t>100%</w:t>
            </w:r>
          </w:p>
        </w:tc>
        <w:tc>
          <w:tcPr>
            <w:tcW w:w="709" w:type="dxa"/>
            <w:tcBorders>
              <w:top w:val="nil"/>
              <w:bottom w:val="nil"/>
            </w:tcBorders>
          </w:tcPr>
          <w:p w14:paraId="518E8989" w14:textId="77777777" w:rsidR="005E7662" w:rsidRDefault="005E7662" w:rsidP="005D3292">
            <w:pPr>
              <w:rPr>
                <w:rFonts w:cs="Arial"/>
                <w:noProof/>
              </w:rPr>
            </w:pPr>
          </w:p>
        </w:tc>
        <w:tc>
          <w:tcPr>
            <w:tcW w:w="2977" w:type="dxa"/>
            <w:vAlign w:val="center"/>
          </w:tcPr>
          <w:p w14:paraId="643F2DA6" w14:textId="77777777" w:rsidR="005E7662" w:rsidRPr="00065259" w:rsidRDefault="005E7662" w:rsidP="005D3292">
            <w:pPr>
              <w:rPr>
                <w:rFonts w:cs="Arial"/>
                <w:b/>
                <w:bCs/>
                <w:noProof/>
              </w:rPr>
            </w:pPr>
            <w:r w:rsidRPr="00065259">
              <w:rPr>
                <w:rFonts w:cs="Arial"/>
                <w:b/>
                <w:bCs/>
                <w:noProof/>
              </w:rPr>
              <w:t>Total</w:t>
            </w:r>
          </w:p>
        </w:tc>
        <w:tc>
          <w:tcPr>
            <w:tcW w:w="1121" w:type="dxa"/>
            <w:vAlign w:val="center"/>
          </w:tcPr>
          <w:p w14:paraId="66C7342F" w14:textId="77777777" w:rsidR="005E7662" w:rsidRPr="00065259" w:rsidRDefault="005E7662" w:rsidP="005D3292">
            <w:pPr>
              <w:jc w:val="right"/>
              <w:rPr>
                <w:rFonts w:cs="Arial"/>
                <w:b/>
                <w:bCs/>
                <w:noProof/>
              </w:rPr>
            </w:pPr>
            <w:r w:rsidRPr="00065259">
              <w:rPr>
                <w:rFonts w:cs="Arial"/>
                <w:b/>
                <w:bCs/>
                <w:noProof/>
              </w:rPr>
              <w:t>100%</w:t>
            </w:r>
          </w:p>
        </w:tc>
      </w:tr>
    </w:tbl>
    <w:p w14:paraId="08AAF05C" w14:textId="77777777" w:rsidR="005E7662" w:rsidRDefault="005E7662"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7B6069">
        <w:trPr>
          <w:trHeight w:val="877"/>
        </w:trPr>
        <w:tc>
          <w:tcPr>
            <w:tcW w:w="10060" w:type="dxa"/>
            <w:shd w:val="clear" w:color="auto" w:fill="D9D9D9" w:themeFill="background1" w:themeFillShade="D9"/>
          </w:tcPr>
          <w:p w14:paraId="0E3C38FC" w14:textId="40AE3AFB" w:rsidR="007B6069" w:rsidRPr="00F22E2D" w:rsidRDefault="007D6412" w:rsidP="00324B7B">
            <w:pPr>
              <w:jc w:val="both"/>
              <w:rPr>
                <w:rFonts w:cs="Arial"/>
                <w:noProof/>
              </w:rPr>
            </w:pPr>
            <w:r w:rsidRPr="007D6412">
              <w:rPr>
                <w:rFonts w:cs="Arial"/>
                <w:noProof/>
              </w:rPr>
              <w:t xml:space="preserve">Although initially (March 2021) 66% of VIM applications entered into were for a 3-month duration, the VIM </w:t>
            </w:r>
            <w:r w:rsidR="00FE182F">
              <w:rPr>
                <w:rFonts w:cs="Arial"/>
                <w:noProof/>
              </w:rPr>
              <w:t>table</w:t>
            </w:r>
            <w:r w:rsidRPr="007D6412">
              <w:rPr>
                <w:rFonts w:cs="Arial"/>
                <w:noProof/>
              </w:rPr>
              <w:t xml:space="preserve"> above</w:t>
            </w:r>
            <w:r w:rsidR="004570C7">
              <w:rPr>
                <w:rFonts w:cs="Arial"/>
                <w:noProof/>
              </w:rPr>
              <w:t xml:space="preserve"> (</w:t>
            </w:r>
            <w:r w:rsidR="00FE182F">
              <w:rPr>
                <w:rFonts w:cs="Arial"/>
                <w:noProof/>
              </w:rPr>
              <w:t>table</w:t>
            </w:r>
            <w:r w:rsidR="004570C7">
              <w:rPr>
                <w:rFonts w:cs="Arial"/>
                <w:noProof/>
              </w:rPr>
              <w:t xml:space="preserve"> </w:t>
            </w:r>
            <w:r w:rsidR="00FE182F">
              <w:rPr>
                <w:rFonts w:cs="Arial"/>
                <w:noProof/>
              </w:rPr>
              <w:t>22</w:t>
            </w:r>
            <w:r w:rsidR="004570C7">
              <w:rPr>
                <w:rFonts w:cs="Arial"/>
                <w:noProof/>
              </w:rPr>
              <w:t>)</w:t>
            </w:r>
            <w:r w:rsidRPr="007D6412">
              <w:rPr>
                <w:rFonts w:cs="Arial"/>
                <w:noProof/>
              </w:rPr>
              <w:t xml:space="preserve"> shows </w:t>
            </w:r>
            <w:r w:rsidR="00531C0A">
              <w:rPr>
                <w:rFonts w:cs="Arial"/>
                <w:noProof/>
              </w:rPr>
              <w:t xml:space="preserve">clients are voluntarily wanting to be subjected to income management for </w:t>
            </w:r>
            <w:r w:rsidR="00944FE2">
              <w:rPr>
                <w:rFonts w:cs="Arial"/>
                <w:noProof/>
              </w:rPr>
              <w:t>longer periods.</w:t>
            </w:r>
            <w:r w:rsidR="001B270F">
              <w:rPr>
                <w:rFonts w:cs="Arial"/>
                <w:noProof/>
              </w:rPr>
              <w:t xml:space="preserve"> During quarter </w:t>
            </w:r>
            <w:r w:rsidR="00951376">
              <w:rPr>
                <w:rFonts w:cs="Arial"/>
                <w:noProof/>
              </w:rPr>
              <w:t>56</w:t>
            </w:r>
            <w:r w:rsidR="00944FE2">
              <w:rPr>
                <w:rFonts w:cs="Arial"/>
                <w:noProof/>
              </w:rPr>
              <w:t xml:space="preserve"> only</w:t>
            </w:r>
            <w:r w:rsidRPr="007D6412">
              <w:rPr>
                <w:rFonts w:cs="Arial"/>
                <w:noProof/>
              </w:rPr>
              <w:t xml:space="preserve"> </w:t>
            </w:r>
            <w:r w:rsidR="00730225">
              <w:rPr>
                <w:rFonts w:cs="Arial"/>
                <w:noProof/>
              </w:rPr>
              <w:t>14</w:t>
            </w:r>
            <w:r w:rsidRPr="007D6412">
              <w:rPr>
                <w:rFonts w:cs="Arial"/>
                <w:noProof/>
              </w:rPr>
              <w:t>%</w:t>
            </w:r>
            <w:r w:rsidR="001B270F">
              <w:rPr>
                <w:rFonts w:cs="Arial"/>
                <w:noProof/>
              </w:rPr>
              <w:t xml:space="preserve"> of </w:t>
            </w:r>
            <w:r w:rsidR="004C3B2B">
              <w:rPr>
                <w:rFonts w:cs="Arial"/>
                <w:noProof/>
              </w:rPr>
              <w:t>VIM agreement</w:t>
            </w:r>
            <w:r w:rsidR="00117ACE">
              <w:rPr>
                <w:rFonts w:cs="Arial"/>
                <w:noProof/>
              </w:rPr>
              <w:t>s were</w:t>
            </w:r>
            <w:r w:rsidR="001B270F">
              <w:rPr>
                <w:rFonts w:cs="Arial"/>
                <w:noProof/>
              </w:rPr>
              <w:t xml:space="preserve"> </w:t>
            </w:r>
            <w:r w:rsidRPr="007D6412">
              <w:rPr>
                <w:rFonts w:cs="Arial"/>
                <w:noProof/>
              </w:rPr>
              <w:t>for</w:t>
            </w:r>
            <w:r w:rsidR="00117ACE">
              <w:rPr>
                <w:rFonts w:cs="Arial"/>
                <w:noProof/>
              </w:rPr>
              <w:t xml:space="preserve"> a</w:t>
            </w:r>
            <w:r w:rsidRPr="007D6412">
              <w:rPr>
                <w:rFonts w:cs="Arial"/>
                <w:noProof/>
              </w:rPr>
              <w:t xml:space="preserve"> </w:t>
            </w:r>
            <w:r w:rsidR="00944FE2">
              <w:rPr>
                <w:rFonts w:cs="Arial"/>
                <w:noProof/>
              </w:rPr>
              <w:t>3-month duration</w:t>
            </w:r>
            <w:r w:rsidR="004C3B2B">
              <w:rPr>
                <w:rFonts w:cs="Arial"/>
                <w:noProof/>
              </w:rPr>
              <w:t xml:space="preserve"> whereas</w:t>
            </w:r>
            <w:r w:rsidR="00944FE2">
              <w:rPr>
                <w:rFonts w:cs="Arial"/>
                <w:noProof/>
              </w:rPr>
              <w:t xml:space="preserve"> </w:t>
            </w:r>
            <w:r w:rsidR="00730225">
              <w:rPr>
                <w:rFonts w:cs="Arial"/>
                <w:noProof/>
              </w:rPr>
              <w:t>43</w:t>
            </w:r>
            <w:r w:rsidRPr="007D6412">
              <w:rPr>
                <w:rFonts w:cs="Arial"/>
                <w:noProof/>
              </w:rPr>
              <w:t xml:space="preserve">% </w:t>
            </w:r>
            <w:r w:rsidR="004C3B2B">
              <w:rPr>
                <w:rFonts w:cs="Arial"/>
                <w:noProof/>
              </w:rPr>
              <w:t xml:space="preserve">of </w:t>
            </w:r>
            <w:r w:rsidR="00117ACE">
              <w:rPr>
                <w:rFonts w:cs="Arial"/>
                <w:noProof/>
              </w:rPr>
              <w:t>a</w:t>
            </w:r>
            <w:r w:rsidRPr="007D6412">
              <w:rPr>
                <w:rFonts w:cs="Arial"/>
                <w:noProof/>
              </w:rPr>
              <w:t>greements entered into</w:t>
            </w:r>
            <w:r w:rsidR="00117ACE">
              <w:rPr>
                <w:rFonts w:cs="Arial"/>
                <w:noProof/>
              </w:rPr>
              <w:t xml:space="preserve"> were</w:t>
            </w:r>
            <w:r w:rsidRPr="007D6412">
              <w:rPr>
                <w:rFonts w:cs="Arial"/>
                <w:noProof/>
              </w:rPr>
              <w:t xml:space="preserve"> for a 12-month duration.</w:t>
            </w:r>
          </w:p>
        </w:tc>
      </w:tr>
    </w:tbl>
    <w:p w14:paraId="0069F557" w14:textId="7BF5BE27" w:rsidR="005E7662" w:rsidRDefault="005E7662" w:rsidP="003833F9">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5E7662" w14:paraId="63A9148F" w14:textId="77777777" w:rsidTr="00ED098E">
        <w:trPr>
          <w:trHeight w:val="278"/>
        </w:trPr>
        <w:tc>
          <w:tcPr>
            <w:tcW w:w="4106" w:type="dxa"/>
            <w:gridSpan w:val="2"/>
          </w:tcPr>
          <w:p w14:paraId="400DC4B7" w14:textId="5228FDE2" w:rsidR="005E7662" w:rsidRPr="00523A30" w:rsidRDefault="005E7662" w:rsidP="005D3292">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23</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1 </w:t>
            </w:r>
            <w:r>
              <w:rPr>
                <w:rFonts w:cs="Arial"/>
                <w:noProof/>
                <w:sz w:val="16"/>
                <w:szCs w:val="16"/>
              </w:rPr>
              <w:t>April</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0 June</w:t>
            </w:r>
            <w:r w:rsidRPr="00523A30">
              <w:rPr>
                <w:rFonts w:cs="Arial"/>
                <w:noProof/>
                <w:sz w:val="16"/>
                <w:szCs w:val="16"/>
              </w:rPr>
              <w:t>202</w:t>
            </w:r>
            <w:r>
              <w:rPr>
                <w:rFonts w:cs="Arial"/>
                <w:noProof/>
                <w:sz w:val="16"/>
                <w:szCs w:val="16"/>
              </w:rPr>
              <w:t>2</w:t>
            </w:r>
          </w:p>
        </w:tc>
        <w:tc>
          <w:tcPr>
            <w:tcW w:w="709" w:type="dxa"/>
            <w:tcBorders>
              <w:top w:val="nil"/>
              <w:bottom w:val="nil"/>
            </w:tcBorders>
          </w:tcPr>
          <w:p w14:paraId="6B407140" w14:textId="77777777" w:rsidR="005E7662" w:rsidRDefault="005E7662" w:rsidP="005D3292">
            <w:pPr>
              <w:rPr>
                <w:rFonts w:cs="Arial"/>
                <w:b/>
                <w:bCs/>
                <w:noProof/>
                <w:sz w:val="16"/>
                <w:szCs w:val="16"/>
              </w:rPr>
            </w:pPr>
          </w:p>
        </w:tc>
        <w:tc>
          <w:tcPr>
            <w:tcW w:w="4098" w:type="dxa"/>
            <w:gridSpan w:val="2"/>
          </w:tcPr>
          <w:p w14:paraId="22459D1D" w14:textId="4422171B" w:rsidR="005E7662" w:rsidRPr="00E33A8C" w:rsidRDefault="005E7662" w:rsidP="005D3292">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24</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1 </w:t>
            </w:r>
            <w:r>
              <w:rPr>
                <w:rFonts w:cs="Arial"/>
                <w:noProof/>
                <w:sz w:val="16"/>
                <w:szCs w:val="16"/>
              </w:rPr>
              <w:t>April</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0 June </w:t>
            </w:r>
            <w:r w:rsidRPr="00523A30">
              <w:rPr>
                <w:rFonts w:cs="Arial"/>
                <w:noProof/>
                <w:sz w:val="16"/>
                <w:szCs w:val="16"/>
              </w:rPr>
              <w:t>202</w:t>
            </w:r>
            <w:r>
              <w:rPr>
                <w:rFonts w:cs="Arial"/>
                <w:noProof/>
                <w:sz w:val="16"/>
                <w:szCs w:val="16"/>
              </w:rPr>
              <w:t>2</w:t>
            </w:r>
          </w:p>
        </w:tc>
      </w:tr>
      <w:tr w:rsidR="005E7662" w14:paraId="347B049D" w14:textId="77777777" w:rsidTr="00ED098E">
        <w:trPr>
          <w:trHeight w:val="278"/>
        </w:trPr>
        <w:tc>
          <w:tcPr>
            <w:tcW w:w="2972" w:type="dxa"/>
            <w:vAlign w:val="center"/>
          </w:tcPr>
          <w:p w14:paraId="6886A689" w14:textId="77777777" w:rsidR="005E7662" w:rsidRPr="00CB1588" w:rsidRDefault="005E7662" w:rsidP="005D3292">
            <w:pPr>
              <w:rPr>
                <w:rFonts w:cs="Arial"/>
                <w:b/>
                <w:bCs/>
                <w:noProof/>
              </w:rPr>
            </w:pPr>
            <w:r w:rsidRPr="00CB1588">
              <w:rPr>
                <w:rFonts w:cs="Arial"/>
                <w:b/>
                <w:bCs/>
                <w:noProof/>
              </w:rPr>
              <w:t>CIM Percentage</w:t>
            </w:r>
          </w:p>
        </w:tc>
        <w:tc>
          <w:tcPr>
            <w:tcW w:w="1134" w:type="dxa"/>
            <w:vAlign w:val="center"/>
          </w:tcPr>
          <w:p w14:paraId="10AFC7E3" w14:textId="77777777" w:rsidR="005E7662" w:rsidRPr="001D1C01" w:rsidRDefault="005E7662" w:rsidP="005D3292">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42941B71" w14:textId="77777777" w:rsidR="005E7662" w:rsidRDefault="005E7662" w:rsidP="005D3292">
            <w:pPr>
              <w:rPr>
                <w:rFonts w:cs="Arial"/>
                <w:noProof/>
              </w:rPr>
            </w:pPr>
          </w:p>
        </w:tc>
        <w:tc>
          <w:tcPr>
            <w:tcW w:w="2977" w:type="dxa"/>
            <w:vAlign w:val="center"/>
          </w:tcPr>
          <w:p w14:paraId="46ED9EEF" w14:textId="77777777" w:rsidR="005E7662" w:rsidRPr="00CB1588" w:rsidRDefault="005E7662" w:rsidP="005D3292">
            <w:pPr>
              <w:rPr>
                <w:rFonts w:cs="Arial"/>
                <w:b/>
                <w:bCs/>
                <w:noProof/>
              </w:rPr>
            </w:pPr>
            <w:r w:rsidRPr="00CB1588">
              <w:rPr>
                <w:rFonts w:cs="Arial"/>
                <w:b/>
                <w:bCs/>
                <w:noProof/>
              </w:rPr>
              <w:t>VIM Percentage</w:t>
            </w:r>
          </w:p>
        </w:tc>
        <w:tc>
          <w:tcPr>
            <w:tcW w:w="1121" w:type="dxa"/>
            <w:vAlign w:val="center"/>
          </w:tcPr>
          <w:p w14:paraId="24F70B58" w14:textId="77777777" w:rsidR="005E7662" w:rsidRPr="001D1C01" w:rsidRDefault="005E7662" w:rsidP="005D3292">
            <w:pPr>
              <w:jc w:val="right"/>
              <w:rPr>
                <w:rFonts w:cs="Arial"/>
                <w:noProof/>
              </w:rPr>
            </w:pPr>
            <w:r>
              <w:rPr>
                <w:rFonts w:cs="Arial"/>
                <w:b/>
                <w:bCs/>
                <w:noProof/>
              </w:rPr>
              <w:t xml:space="preserve">% </w:t>
            </w:r>
            <w:r w:rsidRPr="00CB1588">
              <w:rPr>
                <w:rFonts w:cs="Arial"/>
                <w:b/>
                <w:bCs/>
                <w:noProof/>
              </w:rPr>
              <w:t>Split</w:t>
            </w:r>
          </w:p>
        </w:tc>
      </w:tr>
      <w:tr w:rsidR="005E7662" w14:paraId="614C5C16" w14:textId="77777777" w:rsidTr="00ED098E">
        <w:trPr>
          <w:trHeight w:val="278"/>
        </w:trPr>
        <w:tc>
          <w:tcPr>
            <w:tcW w:w="2972" w:type="dxa"/>
            <w:vAlign w:val="center"/>
          </w:tcPr>
          <w:p w14:paraId="6E6CC61C" w14:textId="77777777" w:rsidR="005E7662" w:rsidRDefault="005E7662" w:rsidP="005D3292">
            <w:pPr>
              <w:rPr>
                <w:rFonts w:cs="Arial"/>
                <w:noProof/>
              </w:rPr>
            </w:pPr>
            <w:r>
              <w:rPr>
                <w:rFonts w:cs="Arial"/>
                <w:noProof/>
              </w:rPr>
              <w:t>60 percent</w:t>
            </w:r>
          </w:p>
        </w:tc>
        <w:tc>
          <w:tcPr>
            <w:tcW w:w="1134" w:type="dxa"/>
            <w:vAlign w:val="center"/>
          </w:tcPr>
          <w:p w14:paraId="5DF92086" w14:textId="27007374" w:rsidR="005E7662" w:rsidRDefault="005E7662" w:rsidP="005D3292">
            <w:pPr>
              <w:jc w:val="right"/>
              <w:rPr>
                <w:rFonts w:cs="Arial"/>
                <w:noProof/>
              </w:rPr>
            </w:pPr>
            <w:r>
              <w:rPr>
                <w:rFonts w:cs="Arial"/>
                <w:noProof/>
              </w:rPr>
              <w:t>90</w:t>
            </w:r>
            <w:r w:rsidRPr="001D1C01">
              <w:rPr>
                <w:rFonts w:cs="Arial"/>
                <w:noProof/>
              </w:rPr>
              <w:t>%</w:t>
            </w:r>
          </w:p>
        </w:tc>
        <w:tc>
          <w:tcPr>
            <w:tcW w:w="709" w:type="dxa"/>
            <w:tcBorders>
              <w:top w:val="nil"/>
              <w:bottom w:val="nil"/>
            </w:tcBorders>
          </w:tcPr>
          <w:p w14:paraId="3961945D" w14:textId="77777777" w:rsidR="005E7662" w:rsidRDefault="005E7662" w:rsidP="005D3292">
            <w:pPr>
              <w:rPr>
                <w:rFonts w:cs="Arial"/>
                <w:noProof/>
              </w:rPr>
            </w:pPr>
          </w:p>
        </w:tc>
        <w:tc>
          <w:tcPr>
            <w:tcW w:w="2977" w:type="dxa"/>
            <w:vAlign w:val="center"/>
          </w:tcPr>
          <w:p w14:paraId="6F858BE6" w14:textId="77777777" w:rsidR="005E7662" w:rsidRDefault="005E7662" w:rsidP="005D3292">
            <w:pPr>
              <w:rPr>
                <w:rFonts w:cs="Arial"/>
                <w:noProof/>
              </w:rPr>
            </w:pPr>
            <w:r>
              <w:rPr>
                <w:rFonts w:cs="Arial"/>
                <w:noProof/>
              </w:rPr>
              <w:t>60 percent</w:t>
            </w:r>
          </w:p>
        </w:tc>
        <w:tc>
          <w:tcPr>
            <w:tcW w:w="1121" w:type="dxa"/>
            <w:vAlign w:val="center"/>
          </w:tcPr>
          <w:p w14:paraId="7154E7C5" w14:textId="1D2055E9" w:rsidR="005E7662" w:rsidRDefault="005E7662" w:rsidP="005D3292">
            <w:pPr>
              <w:jc w:val="right"/>
              <w:rPr>
                <w:rFonts w:cs="Arial"/>
                <w:noProof/>
              </w:rPr>
            </w:pPr>
            <w:r>
              <w:rPr>
                <w:rFonts w:cs="Arial"/>
                <w:noProof/>
              </w:rPr>
              <w:t>82</w:t>
            </w:r>
            <w:r w:rsidRPr="001D1C01">
              <w:rPr>
                <w:rFonts w:cs="Arial"/>
                <w:noProof/>
              </w:rPr>
              <w:t>%</w:t>
            </w:r>
          </w:p>
        </w:tc>
      </w:tr>
      <w:tr w:rsidR="005E7662" w14:paraId="704A4AC3" w14:textId="77777777" w:rsidTr="00ED098E">
        <w:trPr>
          <w:trHeight w:val="278"/>
        </w:trPr>
        <w:tc>
          <w:tcPr>
            <w:tcW w:w="2972" w:type="dxa"/>
            <w:vAlign w:val="center"/>
          </w:tcPr>
          <w:p w14:paraId="4975AB02" w14:textId="77777777" w:rsidR="005E7662" w:rsidRPr="002819D6" w:rsidRDefault="005E7662" w:rsidP="005D3292">
            <w:pPr>
              <w:rPr>
                <w:rFonts w:cs="Arial"/>
                <w:noProof/>
              </w:rPr>
            </w:pPr>
            <w:r>
              <w:rPr>
                <w:rFonts w:cs="Arial"/>
                <w:noProof/>
              </w:rPr>
              <w:t>75 percent</w:t>
            </w:r>
          </w:p>
        </w:tc>
        <w:tc>
          <w:tcPr>
            <w:tcW w:w="1134" w:type="dxa"/>
            <w:vAlign w:val="center"/>
          </w:tcPr>
          <w:p w14:paraId="422E3E99" w14:textId="684E70FD" w:rsidR="005E7662" w:rsidRPr="001D1C01" w:rsidRDefault="005E7662" w:rsidP="005D3292">
            <w:pPr>
              <w:jc w:val="right"/>
              <w:rPr>
                <w:rFonts w:cs="Arial"/>
                <w:noProof/>
              </w:rPr>
            </w:pPr>
            <w:r>
              <w:rPr>
                <w:rFonts w:cs="Arial"/>
                <w:noProof/>
              </w:rPr>
              <w:t>10</w:t>
            </w:r>
            <w:r w:rsidRPr="001D1C01">
              <w:rPr>
                <w:rFonts w:cs="Arial"/>
                <w:noProof/>
              </w:rPr>
              <w:t>%</w:t>
            </w:r>
          </w:p>
        </w:tc>
        <w:tc>
          <w:tcPr>
            <w:tcW w:w="709" w:type="dxa"/>
            <w:tcBorders>
              <w:top w:val="nil"/>
              <w:bottom w:val="nil"/>
            </w:tcBorders>
          </w:tcPr>
          <w:p w14:paraId="03244961" w14:textId="77777777" w:rsidR="005E7662" w:rsidRDefault="005E7662" w:rsidP="005D3292">
            <w:pPr>
              <w:rPr>
                <w:rFonts w:cs="Arial"/>
                <w:noProof/>
              </w:rPr>
            </w:pPr>
          </w:p>
        </w:tc>
        <w:tc>
          <w:tcPr>
            <w:tcW w:w="2977" w:type="dxa"/>
            <w:vAlign w:val="center"/>
          </w:tcPr>
          <w:p w14:paraId="221FC0E4" w14:textId="77777777" w:rsidR="005E7662" w:rsidRPr="001D1C01" w:rsidRDefault="005E7662" w:rsidP="005D3292">
            <w:pPr>
              <w:rPr>
                <w:rFonts w:cs="Arial"/>
                <w:noProof/>
              </w:rPr>
            </w:pPr>
            <w:r>
              <w:rPr>
                <w:rFonts w:cs="Arial"/>
                <w:noProof/>
              </w:rPr>
              <w:t>75 percent</w:t>
            </w:r>
          </w:p>
        </w:tc>
        <w:tc>
          <w:tcPr>
            <w:tcW w:w="1121" w:type="dxa"/>
            <w:vAlign w:val="center"/>
          </w:tcPr>
          <w:p w14:paraId="3737BC94" w14:textId="37B8BA1F" w:rsidR="005E7662" w:rsidRPr="001D1C01" w:rsidRDefault="005E7662" w:rsidP="005D3292">
            <w:pPr>
              <w:jc w:val="right"/>
              <w:rPr>
                <w:rFonts w:cs="Arial"/>
                <w:noProof/>
              </w:rPr>
            </w:pPr>
            <w:r>
              <w:rPr>
                <w:rFonts w:cs="Arial"/>
                <w:noProof/>
              </w:rPr>
              <w:t>11</w:t>
            </w:r>
            <w:r w:rsidRPr="001D1C01">
              <w:rPr>
                <w:rFonts w:cs="Arial"/>
                <w:noProof/>
              </w:rPr>
              <w:t>%</w:t>
            </w:r>
          </w:p>
        </w:tc>
      </w:tr>
      <w:tr w:rsidR="005E7662" w14:paraId="308C4A67" w14:textId="77777777" w:rsidTr="00ED098E">
        <w:trPr>
          <w:trHeight w:val="278"/>
        </w:trPr>
        <w:tc>
          <w:tcPr>
            <w:tcW w:w="2972" w:type="dxa"/>
            <w:vAlign w:val="center"/>
          </w:tcPr>
          <w:p w14:paraId="6D23023D" w14:textId="77777777" w:rsidR="005E7662" w:rsidRPr="002819D6" w:rsidRDefault="005E7662" w:rsidP="005D3292">
            <w:pPr>
              <w:rPr>
                <w:rFonts w:cs="Arial"/>
                <w:noProof/>
              </w:rPr>
            </w:pPr>
            <w:r>
              <w:rPr>
                <w:rFonts w:cs="Arial"/>
                <w:noProof/>
              </w:rPr>
              <w:t>90 percent</w:t>
            </w:r>
          </w:p>
        </w:tc>
        <w:tc>
          <w:tcPr>
            <w:tcW w:w="1134" w:type="dxa"/>
            <w:vAlign w:val="center"/>
          </w:tcPr>
          <w:p w14:paraId="7319D179" w14:textId="77777777" w:rsidR="005E7662" w:rsidRPr="001D1C01" w:rsidRDefault="005E7662" w:rsidP="005D3292">
            <w:pPr>
              <w:jc w:val="right"/>
              <w:rPr>
                <w:rFonts w:cs="Arial"/>
                <w:noProof/>
              </w:rPr>
            </w:pPr>
            <w:r>
              <w:rPr>
                <w:rFonts w:cs="Arial"/>
                <w:noProof/>
              </w:rPr>
              <w:t>0</w:t>
            </w:r>
            <w:r w:rsidRPr="001D1C01">
              <w:rPr>
                <w:rFonts w:cs="Arial"/>
                <w:noProof/>
              </w:rPr>
              <w:t>%</w:t>
            </w:r>
          </w:p>
        </w:tc>
        <w:tc>
          <w:tcPr>
            <w:tcW w:w="709" w:type="dxa"/>
            <w:tcBorders>
              <w:top w:val="nil"/>
              <w:bottom w:val="nil"/>
            </w:tcBorders>
          </w:tcPr>
          <w:p w14:paraId="4085FDC7" w14:textId="77777777" w:rsidR="005E7662" w:rsidRDefault="005E7662" w:rsidP="005D3292">
            <w:pPr>
              <w:rPr>
                <w:rFonts w:cs="Arial"/>
                <w:noProof/>
              </w:rPr>
            </w:pPr>
          </w:p>
        </w:tc>
        <w:tc>
          <w:tcPr>
            <w:tcW w:w="2977" w:type="dxa"/>
            <w:vAlign w:val="center"/>
          </w:tcPr>
          <w:p w14:paraId="6F6587A4" w14:textId="77777777" w:rsidR="005E7662" w:rsidRPr="001D1C01" w:rsidRDefault="005E7662" w:rsidP="005D3292">
            <w:pPr>
              <w:rPr>
                <w:rFonts w:cs="Arial"/>
                <w:noProof/>
              </w:rPr>
            </w:pPr>
            <w:r>
              <w:rPr>
                <w:rFonts w:cs="Arial"/>
                <w:noProof/>
              </w:rPr>
              <w:t>90 percent</w:t>
            </w:r>
          </w:p>
        </w:tc>
        <w:tc>
          <w:tcPr>
            <w:tcW w:w="1121" w:type="dxa"/>
            <w:vAlign w:val="center"/>
          </w:tcPr>
          <w:p w14:paraId="2511A24E" w14:textId="6E1E0115" w:rsidR="005E7662" w:rsidRPr="001D1C01" w:rsidRDefault="005E7662" w:rsidP="005D3292">
            <w:pPr>
              <w:jc w:val="right"/>
              <w:rPr>
                <w:rFonts w:cs="Arial"/>
                <w:noProof/>
              </w:rPr>
            </w:pPr>
            <w:r>
              <w:rPr>
                <w:rFonts w:cs="Arial"/>
                <w:noProof/>
              </w:rPr>
              <w:t>7</w:t>
            </w:r>
            <w:r w:rsidRPr="001D1C01">
              <w:rPr>
                <w:rFonts w:cs="Arial"/>
                <w:noProof/>
              </w:rPr>
              <w:t>%</w:t>
            </w:r>
          </w:p>
        </w:tc>
      </w:tr>
      <w:tr w:rsidR="005E7662" w14:paraId="7E6C2B81" w14:textId="77777777" w:rsidTr="00ED098E">
        <w:trPr>
          <w:trHeight w:val="278"/>
        </w:trPr>
        <w:tc>
          <w:tcPr>
            <w:tcW w:w="2972" w:type="dxa"/>
            <w:vAlign w:val="center"/>
          </w:tcPr>
          <w:p w14:paraId="110F1083" w14:textId="77777777" w:rsidR="005E7662" w:rsidRPr="00065259" w:rsidRDefault="005E7662" w:rsidP="005D3292">
            <w:pPr>
              <w:rPr>
                <w:rFonts w:cs="Arial"/>
                <w:b/>
                <w:bCs/>
                <w:noProof/>
              </w:rPr>
            </w:pPr>
            <w:r w:rsidRPr="00065259">
              <w:rPr>
                <w:rFonts w:cs="Arial"/>
                <w:b/>
                <w:bCs/>
                <w:noProof/>
              </w:rPr>
              <w:t>Total</w:t>
            </w:r>
          </w:p>
        </w:tc>
        <w:tc>
          <w:tcPr>
            <w:tcW w:w="1134" w:type="dxa"/>
            <w:vAlign w:val="center"/>
          </w:tcPr>
          <w:p w14:paraId="09F922D2" w14:textId="77777777" w:rsidR="005E7662" w:rsidRPr="00065259" w:rsidRDefault="005E7662" w:rsidP="005D3292">
            <w:pPr>
              <w:jc w:val="right"/>
              <w:rPr>
                <w:rFonts w:cs="Arial"/>
                <w:b/>
                <w:bCs/>
                <w:noProof/>
              </w:rPr>
            </w:pPr>
            <w:r w:rsidRPr="00065259">
              <w:rPr>
                <w:rFonts w:cs="Arial"/>
                <w:b/>
                <w:bCs/>
                <w:noProof/>
              </w:rPr>
              <w:t>100%</w:t>
            </w:r>
          </w:p>
        </w:tc>
        <w:tc>
          <w:tcPr>
            <w:tcW w:w="709" w:type="dxa"/>
            <w:tcBorders>
              <w:top w:val="nil"/>
              <w:bottom w:val="nil"/>
            </w:tcBorders>
          </w:tcPr>
          <w:p w14:paraId="35B992BA" w14:textId="77777777" w:rsidR="005E7662" w:rsidRDefault="005E7662" w:rsidP="005D3292">
            <w:pPr>
              <w:rPr>
                <w:rFonts w:cs="Arial"/>
                <w:noProof/>
              </w:rPr>
            </w:pPr>
          </w:p>
        </w:tc>
        <w:tc>
          <w:tcPr>
            <w:tcW w:w="2977" w:type="dxa"/>
            <w:vAlign w:val="center"/>
          </w:tcPr>
          <w:p w14:paraId="2B3ECB81" w14:textId="77777777" w:rsidR="005E7662" w:rsidRPr="00065259" w:rsidRDefault="005E7662" w:rsidP="005D3292">
            <w:pPr>
              <w:rPr>
                <w:rFonts w:cs="Arial"/>
                <w:b/>
                <w:bCs/>
                <w:noProof/>
              </w:rPr>
            </w:pPr>
            <w:r w:rsidRPr="00065259">
              <w:rPr>
                <w:rFonts w:cs="Arial"/>
                <w:b/>
                <w:bCs/>
                <w:noProof/>
              </w:rPr>
              <w:t>Total</w:t>
            </w:r>
          </w:p>
        </w:tc>
        <w:tc>
          <w:tcPr>
            <w:tcW w:w="1121" w:type="dxa"/>
            <w:vAlign w:val="center"/>
          </w:tcPr>
          <w:p w14:paraId="2311D6DA" w14:textId="77777777" w:rsidR="005E7662" w:rsidRPr="00065259" w:rsidRDefault="005E7662" w:rsidP="005D3292">
            <w:pPr>
              <w:jc w:val="right"/>
              <w:rPr>
                <w:rFonts w:cs="Arial"/>
                <w:b/>
                <w:bCs/>
                <w:noProof/>
              </w:rPr>
            </w:pPr>
            <w:r w:rsidRPr="00065259">
              <w:rPr>
                <w:rFonts w:cs="Arial"/>
                <w:b/>
                <w:bCs/>
                <w:noProof/>
              </w:rPr>
              <w:t>100%</w:t>
            </w:r>
          </w:p>
        </w:tc>
      </w:tr>
    </w:tbl>
    <w:p w14:paraId="1EDC1E6D" w14:textId="77777777" w:rsidR="00ED098E" w:rsidRDefault="00ED098E"/>
    <w:tbl>
      <w:tblPr>
        <w:tblStyle w:val="TableGrid"/>
        <w:tblW w:w="10060" w:type="dxa"/>
        <w:tblInd w:w="-142" w:type="dxa"/>
        <w:tblLook w:val="04A0" w:firstRow="1" w:lastRow="0" w:firstColumn="1" w:lastColumn="0" w:noHBand="0" w:noVBand="1"/>
      </w:tblPr>
      <w:tblGrid>
        <w:gridCol w:w="10060"/>
      </w:tblGrid>
      <w:tr w:rsidR="007B6069" w14:paraId="59BE5E10" w14:textId="77777777" w:rsidTr="005E7662">
        <w:trPr>
          <w:trHeight w:val="877"/>
        </w:trPr>
        <w:tc>
          <w:tcPr>
            <w:tcW w:w="10060" w:type="dxa"/>
            <w:shd w:val="clear" w:color="auto" w:fill="D9D9D9" w:themeFill="background1" w:themeFillShade="D9"/>
          </w:tcPr>
          <w:p w14:paraId="2F51372C" w14:textId="1B65E181" w:rsidR="007B6069" w:rsidRPr="00F22E2D" w:rsidRDefault="005128A9" w:rsidP="00F876F3">
            <w:pPr>
              <w:jc w:val="both"/>
              <w:rPr>
                <w:rFonts w:cs="Arial"/>
                <w:noProof/>
              </w:rPr>
            </w:pPr>
            <w:r>
              <w:rPr>
                <w:rFonts w:cs="Arial"/>
                <w:noProof/>
              </w:rPr>
              <w:t>T</w:t>
            </w:r>
            <w:r w:rsidR="007F4DE8">
              <w:rPr>
                <w:rFonts w:cs="Arial"/>
                <w:noProof/>
              </w:rPr>
              <w:t xml:space="preserve">his </w:t>
            </w:r>
            <w:r w:rsidR="004D6BCB">
              <w:rPr>
                <w:rFonts w:cs="Arial"/>
                <w:noProof/>
              </w:rPr>
              <w:t>quarter</w:t>
            </w:r>
            <w:r w:rsidR="007F4DE8">
              <w:rPr>
                <w:rFonts w:cs="Arial"/>
                <w:noProof/>
              </w:rPr>
              <w:t xml:space="preserve"> </w:t>
            </w:r>
            <w:r w:rsidR="009359F8">
              <w:rPr>
                <w:rFonts w:cs="Arial"/>
                <w:noProof/>
              </w:rPr>
              <w:t xml:space="preserve">a clear trend </w:t>
            </w:r>
            <w:r w:rsidR="00F876F3">
              <w:rPr>
                <w:rFonts w:cs="Arial"/>
                <w:noProof/>
              </w:rPr>
              <w:t>was</w:t>
            </w:r>
            <w:r w:rsidR="009359F8">
              <w:rPr>
                <w:rFonts w:cs="Arial"/>
                <w:noProof/>
              </w:rPr>
              <w:t xml:space="preserve"> evident</w:t>
            </w:r>
            <w:r w:rsidR="00C70280">
              <w:rPr>
                <w:rFonts w:cs="Arial"/>
                <w:noProof/>
              </w:rPr>
              <w:t xml:space="preserve"> </w:t>
            </w:r>
            <w:r w:rsidR="004960DA">
              <w:rPr>
                <w:rFonts w:cs="Arial"/>
                <w:noProof/>
              </w:rPr>
              <w:t>with the majority of CIM</w:t>
            </w:r>
            <w:r w:rsidR="0073436F">
              <w:rPr>
                <w:rFonts w:cs="Arial"/>
                <w:noProof/>
              </w:rPr>
              <w:t>s</w:t>
            </w:r>
            <w:r w:rsidR="004960DA">
              <w:rPr>
                <w:rFonts w:cs="Arial"/>
                <w:noProof/>
              </w:rPr>
              <w:t xml:space="preserve"> and VIMs</w:t>
            </w:r>
            <w:r w:rsidR="00C70280">
              <w:rPr>
                <w:rFonts w:cs="Arial"/>
                <w:noProof/>
              </w:rPr>
              <w:t xml:space="preserve"> entered into</w:t>
            </w:r>
            <w:r w:rsidR="00BA6325">
              <w:rPr>
                <w:rFonts w:cs="Arial"/>
                <w:noProof/>
              </w:rPr>
              <w:t>,</w:t>
            </w:r>
            <w:r w:rsidR="00094CDC">
              <w:rPr>
                <w:rFonts w:cs="Arial"/>
                <w:noProof/>
              </w:rPr>
              <w:t xml:space="preserve"> or order</w:t>
            </w:r>
            <w:r>
              <w:rPr>
                <w:rFonts w:cs="Arial"/>
                <w:noProof/>
              </w:rPr>
              <w:t>ed</w:t>
            </w:r>
            <w:r w:rsidR="00094CDC">
              <w:rPr>
                <w:rFonts w:cs="Arial"/>
                <w:noProof/>
              </w:rPr>
              <w:t xml:space="preserve"> by the Commision</w:t>
            </w:r>
            <w:r w:rsidR="00BA6325">
              <w:rPr>
                <w:rFonts w:cs="Arial"/>
                <w:noProof/>
              </w:rPr>
              <w:t>,</w:t>
            </w:r>
            <w:r w:rsidR="0089496C">
              <w:rPr>
                <w:rFonts w:cs="Arial"/>
                <w:noProof/>
              </w:rPr>
              <w:t xml:space="preserve"> </w:t>
            </w:r>
            <w:r w:rsidR="00094CDC">
              <w:rPr>
                <w:rFonts w:cs="Arial"/>
                <w:noProof/>
              </w:rPr>
              <w:t>at the lowest percent</w:t>
            </w:r>
            <w:r w:rsidR="00BA6325">
              <w:rPr>
                <w:rFonts w:cs="Arial"/>
                <w:noProof/>
              </w:rPr>
              <w:t>age level</w:t>
            </w:r>
            <w:r w:rsidR="00094CDC">
              <w:rPr>
                <w:rFonts w:cs="Arial"/>
                <w:noProof/>
              </w:rPr>
              <w:t xml:space="preserve"> </w:t>
            </w:r>
            <w:r w:rsidR="00BA6325">
              <w:rPr>
                <w:rFonts w:cs="Arial"/>
                <w:noProof/>
              </w:rPr>
              <w:t>option for income management</w:t>
            </w:r>
            <w:r w:rsidR="00717B3D">
              <w:rPr>
                <w:rFonts w:cs="Arial"/>
                <w:noProof/>
              </w:rPr>
              <w:t xml:space="preserve"> </w:t>
            </w:r>
            <w:r w:rsidR="00BA6325">
              <w:rPr>
                <w:rFonts w:cs="Arial"/>
                <w:noProof/>
              </w:rPr>
              <w:t>(</w:t>
            </w:r>
            <w:r w:rsidR="00717B3D">
              <w:rPr>
                <w:rFonts w:cs="Arial"/>
                <w:noProof/>
              </w:rPr>
              <w:t xml:space="preserve">i.e. </w:t>
            </w:r>
            <w:r w:rsidR="0089496C">
              <w:rPr>
                <w:rFonts w:cs="Arial"/>
                <w:noProof/>
              </w:rPr>
              <w:t>60% of a clients</w:t>
            </w:r>
            <w:r>
              <w:rPr>
                <w:rFonts w:cs="Arial"/>
                <w:noProof/>
              </w:rPr>
              <w:t>’</w:t>
            </w:r>
            <w:r w:rsidR="0089496C">
              <w:rPr>
                <w:rFonts w:cs="Arial"/>
                <w:noProof/>
              </w:rPr>
              <w:t xml:space="preserve"> </w:t>
            </w:r>
            <w:r w:rsidR="00F876F3">
              <w:rPr>
                <w:rFonts w:cs="Arial"/>
                <w:noProof/>
              </w:rPr>
              <w:t>payments</w:t>
            </w:r>
            <w:r w:rsidR="0089496C">
              <w:rPr>
                <w:rFonts w:cs="Arial"/>
                <w:noProof/>
              </w:rPr>
              <w:t xml:space="preserve"> </w:t>
            </w:r>
            <w:r w:rsidR="00F876F3">
              <w:rPr>
                <w:rFonts w:cs="Arial"/>
                <w:noProof/>
              </w:rPr>
              <w:t>income manage</w:t>
            </w:r>
            <w:r>
              <w:rPr>
                <w:rFonts w:cs="Arial"/>
                <w:noProof/>
              </w:rPr>
              <w:t>d</w:t>
            </w:r>
            <w:r w:rsidR="00BA6325">
              <w:rPr>
                <w:rFonts w:cs="Arial"/>
                <w:noProof/>
              </w:rPr>
              <w:t>)</w:t>
            </w:r>
            <w:r w:rsidR="00F876F3">
              <w:rPr>
                <w:rFonts w:cs="Arial"/>
                <w:noProof/>
              </w:rPr>
              <w:t>.</w:t>
            </w:r>
          </w:p>
        </w:tc>
      </w:tr>
    </w:tbl>
    <w:p w14:paraId="1DAF2BF0" w14:textId="77777777" w:rsidR="003833F9" w:rsidRDefault="003833F9" w:rsidP="007B6069">
      <w:pPr>
        <w:ind w:left="-142" w:right="-425"/>
        <w:jc w:val="both"/>
        <w:rPr>
          <w:rFonts w:cs="Arial"/>
        </w:rPr>
      </w:pPr>
    </w:p>
    <w:p w14:paraId="09FA0CC0" w14:textId="06BFDAB7" w:rsidR="00700320" w:rsidRPr="00C87697" w:rsidRDefault="00586B89" w:rsidP="00700320">
      <w:pPr>
        <w:ind w:left="-142" w:right="-425"/>
        <w:jc w:val="both"/>
        <w:rPr>
          <w:rFonts w:cs="Arial"/>
          <w:highlight w:val="yellow"/>
        </w:rPr>
      </w:pPr>
      <w:r>
        <w:rPr>
          <w:rFonts w:cs="Arial"/>
        </w:rPr>
        <w:t>This quarter saw an even split between male and female community members being conditionality income managed. Again</w:t>
      </w:r>
      <w:r w:rsidR="00A526A0">
        <w:rPr>
          <w:rFonts w:cs="Arial"/>
        </w:rPr>
        <w:t>,</w:t>
      </w:r>
      <w:r>
        <w:rPr>
          <w:rFonts w:cs="Arial"/>
        </w:rPr>
        <w:t xml:space="preserve"> n</w:t>
      </w:r>
      <w:r w:rsidR="005A3730" w:rsidRPr="004B7415">
        <w:rPr>
          <w:rFonts w:cs="Arial"/>
        </w:rPr>
        <w:t>o community member older than 65 years was conditionally income managed by the FRC during the quarter.</w:t>
      </w:r>
    </w:p>
    <w:p w14:paraId="047CED0F" w14:textId="77777777" w:rsidR="00700320" w:rsidRPr="00C87697" w:rsidRDefault="00700320" w:rsidP="00700320">
      <w:pPr>
        <w:ind w:left="-142" w:right="-425"/>
        <w:jc w:val="both"/>
        <w:rPr>
          <w:rFonts w:cs="Arial"/>
          <w:highlight w:val="yellow"/>
        </w:rPr>
      </w:pPr>
    </w:p>
    <w:p w14:paraId="5026F836" w14:textId="04D70A37" w:rsidR="00700320" w:rsidRPr="000B1E56" w:rsidRDefault="00586B89" w:rsidP="00700320">
      <w:pPr>
        <w:ind w:left="-142" w:right="-425"/>
        <w:jc w:val="both"/>
        <w:rPr>
          <w:rFonts w:cs="Arial"/>
        </w:rPr>
      </w:pPr>
      <w:r>
        <w:rPr>
          <w:rFonts w:cs="Arial"/>
        </w:rPr>
        <w:t>This quarter saw t</w:t>
      </w:r>
      <w:r w:rsidR="009D31EC" w:rsidRPr="000B1E56">
        <w:rPr>
          <w:rFonts w:cs="Arial"/>
        </w:rPr>
        <w:t>he majority of community members voluntarily participating in voluntary income management</w:t>
      </w:r>
      <w:r w:rsidR="00DE66D7" w:rsidRPr="000B1E56">
        <w:rPr>
          <w:rFonts w:cs="Arial"/>
        </w:rPr>
        <w:t xml:space="preserve"> </w:t>
      </w:r>
      <w:r w:rsidR="00A526A0">
        <w:rPr>
          <w:rFonts w:cs="Arial"/>
        </w:rPr>
        <w:t>were f</w:t>
      </w:r>
      <w:r w:rsidR="000B1E56" w:rsidRPr="000B1E56">
        <w:rPr>
          <w:rFonts w:cs="Arial"/>
        </w:rPr>
        <w:t xml:space="preserve">rom the </w:t>
      </w:r>
      <w:r>
        <w:rPr>
          <w:rFonts w:cs="Arial"/>
        </w:rPr>
        <w:t>26</w:t>
      </w:r>
      <w:r w:rsidR="009D31EC" w:rsidRPr="000B1E56">
        <w:rPr>
          <w:rFonts w:cs="Arial"/>
        </w:rPr>
        <w:t xml:space="preserve"> to </w:t>
      </w:r>
      <w:r>
        <w:rPr>
          <w:rFonts w:cs="Arial"/>
        </w:rPr>
        <w:t>3</w:t>
      </w:r>
      <w:r w:rsidR="00347B60" w:rsidRPr="000B1E56">
        <w:rPr>
          <w:rFonts w:cs="Arial"/>
        </w:rPr>
        <w:t>5</w:t>
      </w:r>
      <w:r w:rsidR="00A526A0">
        <w:rPr>
          <w:rFonts w:cs="Arial"/>
        </w:rPr>
        <w:t>-</w:t>
      </w:r>
      <w:r w:rsidR="009D31EC" w:rsidRPr="000B1E56">
        <w:rPr>
          <w:rFonts w:cs="Arial"/>
        </w:rPr>
        <w:t>year age group</w:t>
      </w:r>
      <w:r w:rsidR="005A3730" w:rsidRPr="000B1E56">
        <w:rPr>
          <w:rFonts w:cs="Arial"/>
        </w:rPr>
        <w:t>.</w:t>
      </w:r>
      <w:r w:rsidR="00FF351C" w:rsidRPr="000B1E56">
        <w:rPr>
          <w:rFonts w:cs="Arial"/>
        </w:rPr>
        <w:t xml:space="preserve"> </w:t>
      </w:r>
      <w:r w:rsidR="005A3730" w:rsidRPr="000B1E56">
        <w:rPr>
          <w:rFonts w:cs="Arial"/>
        </w:rPr>
        <w:t>F</w:t>
      </w:r>
      <w:r w:rsidR="00FF351C" w:rsidRPr="000B1E56">
        <w:rPr>
          <w:rFonts w:cs="Arial"/>
        </w:rPr>
        <w:t>emales account</w:t>
      </w:r>
      <w:r w:rsidR="00A526A0">
        <w:rPr>
          <w:rFonts w:cs="Arial"/>
        </w:rPr>
        <w:t>ed</w:t>
      </w:r>
      <w:r w:rsidR="00FF351C" w:rsidRPr="000B1E56">
        <w:rPr>
          <w:rFonts w:cs="Arial"/>
        </w:rPr>
        <w:t xml:space="preserve"> for </w:t>
      </w:r>
      <w:r w:rsidR="00C2050F">
        <w:rPr>
          <w:rFonts w:cs="Arial"/>
        </w:rPr>
        <w:t>79</w:t>
      </w:r>
      <w:r w:rsidR="00C2050F" w:rsidRPr="000B1E56">
        <w:rPr>
          <w:rFonts w:cs="Arial"/>
        </w:rPr>
        <w:t xml:space="preserve"> </w:t>
      </w:r>
      <w:r w:rsidR="00FF351C" w:rsidRPr="000B1E56">
        <w:rPr>
          <w:rFonts w:cs="Arial"/>
        </w:rPr>
        <w:t xml:space="preserve">percent of </w:t>
      </w:r>
      <w:r w:rsidR="00166D38" w:rsidRPr="000B1E56">
        <w:rPr>
          <w:rFonts w:cs="Arial"/>
        </w:rPr>
        <w:t xml:space="preserve">the </w:t>
      </w:r>
      <w:r w:rsidR="0042231A" w:rsidRPr="000B1E56">
        <w:rPr>
          <w:rFonts w:cs="Arial"/>
        </w:rPr>
        <w:t>VIMs. Over</w:t>
      </w:r>
      <w:r w:rsidR="00FF351C" w:rsidRPr="000B1E56">
        <w:rPr>
          <w:rFonts w:cs="Arial"/>
        </w:rPr>
        <w:t xml:space="preserve">all </w:t>
      </w:r>
      <w:r w:rsidR="0042231A" w:rsidRPr="000B1E56">
        <w:rPr>
          <w:rFonts w:cs="Arial"/>
        </w:rPr>
        <w:t xml:space="preserve">females accounted for </w:t>
      </w:r>
      <w:r w:rsidR="00097935">
        <w:rPr>
          <w:rFonts w:cs="Arial"/>
        </w:rPr>
        <w:t>6</w:t>
      </w:r>
      <w:r w:rsidR="00C2050F">
        <w:rPr>
          <w:rFonts w:cs="Arial"/>
        </w:rPr>
        <w:t>7</w:t>
      </w:r>
      <w:r w:rsidR="00097935" w:rsidRPr="000B1E56">
        <w:rPr>
          <w:rFonts w:cs="Arial"/>
        </w:rPr>
        <w:t xml:space="preserve"> </w:t>
      </w:r>
      <w:r w:rsidR="0042231A" w:rsidRPr="000B1E56">
        <w:rPr>
          <w:rFonts w:cs="Arial"/>
        </w:rPr>
        <w:t xml:space="preserve">percent of all </w:t>
      </w:r>
      <w:r w:rsidR="00FF351C" w:rsidRPr="000B1E56">
        <w:rPr>
          <w:rFonts w:cs="Arial"/>
        </w:rPr>
        <w:t>CDCs</w:t>
      </w:r>
      <w:r w:rsidR="005A3730" w:rsidRPr="000B1E56">
        <w:rPr>
          <w:rFonts w:cs="Arial"/>
        </w:rPr>
        <w:t xml:space="preserve"> (voluntary and conditional)</w:t>
      </w:r>
      <w:r w:rsidR="0042231A" w:rsidRPr="000B1E56">
        <w:rPr>
          <w:rFonts w:cs="Arial"/>
        </w:rPr>
        <w:t xml:space="preserve"> </w:t>
      </w:r>
      <w:r w:rsidR="009122F0" w:rsidRPr="000B1E56">
        <w:rPr>
          <w:rFonts w:cs="Arial"/>
        </w:rPr>
        <w:t>in</w:t>
      </w:r>
      <w:r w:rsidR="0042231A" w:rsidRPr="000B1E56">
        <w:rPr>
          <w:rFonts w:cs="Arial"/>
        </w:rPr>
        <w:t xml:space="preserve"> quarter </w:t>
      </w:r>
      <w:r w:rsidR="00951376">
        <w:rPr>
          <w:rFonts w:cs="Arial"/>
        </w:rPr>
        <w:t>56</w:t>
      </w:r>
      <w:r w:rsidR="009D31EC" w:rsidRPr="000B1E56">
        <w:rPr>
          <w:rFonts w:cs="Arial"/>
        </w:rPr>
        <w:t>.</w:t>
      </w:r>
    </w:p>
    <w:p w14:paraId="4A3BF326" w14:textId="77777777" w:rsidR="00700320" w:rsidRPr="00C87697" w:rsidRDefault="00700320" w:rsidP="00700320">
      <w:pPr>
        <w:ind w:left="-142" w:right="-425"/>
        <w:jc w:val="both"/>
        <w:rPr>
          <w:rFonts w:cs="Arial"/>
          <w:highlight w:val="yellow"/>
        </w:rPr>
      </w:pPr>
    </w:p>
    <w:p w14:paraId="5C28C434" w14:textId="110ED580" w:rsidR="009D31EC" w:rsidRDefault="009D31EC" w:rsidP="00700320">
      <w:pPr>
        <w:ind w:left="-142" w:right="-425"/>
        <w:jc w:val="both"/>
        <w:rPr>
          <w:rFonts w:cs="Arial"/>
        </w:rPr>
      </w:pPr>
      <w:r w:rsidRPr="00132A72">
        <w:rPr>
          <w:rFonts w:cs="Arial"/>
        </w:rPr>
        <w:t xml:space="preserve">Reasons for applying for the CDC were primarily to </w:t>
      </w:r>
      <w:r w:rsidR="00132A72" w:rsidRPr="00132A72">
        <w:rPr>
          <w:rFonts w:cs="Arial"/>
        </w:rPr>
        <w:t>pay bills (</w:t>
      </w:r>
      <w:r w:rsidR="00066A58">
        <w:rPr>
          <w:rFonts w:cs="Arial"/>
        </w:rPr>
        <w:t>7</w:t>
      </w:r>
      <w:r w:rsidR="00132A72" w:rsidRPr="00132A72">
        <w:rPr>
          <w:rFonts w:cs="Arial"/>
        </w:rPr>
        <w:t xml:space="preserve">1 percent), to </w:t>
      </w:r>
      <w:r w:rsidRPr="00132A72">
        <w:rPr>
          <w:rFonts w:cs="Arial"/>
        </w:rPr>
        <w:t>buy food</w:t>
      </w:r>
      <w:r w:rsidR="00C06F76" w:rsidRPr="00132A72">
        <w:rPr>
          <w:rFonts w:cs="Arial"/>
        </w:rPr>
        <w:t xml:space="preserve"> (</w:t>
      </w:r>
      <w:r w:rsidR="00066A58">
        <w:rPr>
          <w:rFonts w:cs="Arial"/>
        </w:rPr>
        <w:t>50</w:t>
      </w:r>
      <w:r w:rsidR="00066A58" w:rsidRPr="00132A72">
        <w:rPr>
          <w:rFonts w:cs="Arial"/>
        </w:rPr>
        <w:t xml:space="preserve"> </w:t>
      </w:r>
      <w:r w:rsidR="00C06F76" w:rsidRPr="00132A72">
        <w:rPr>
          <w:rFonts w:cs="Arial"/>
        </w:rPr>
        <w:t>percent)</w:t>
      </w:r>
      <w:r w:rsidR="0094130D" w:rsidRPr="00132A72">
        <w:rPr>
          <w:rFonts w:cs="Arial"/>
        </w:rPr>
        <w:t>,</w:t>
      </w:r>
      <w:r w:rsidRPr="00132A72">
        <w:rPr>
          <w:rFonts w:cs="Arial"/>
        </w:rPr>
        <w:t xml:space="preserve"> </w:t>
      </w:r>
      <w:r w:rsidR="00132A72" w:rsidRPr="00132A72">
        <w:rPr>
          <w:rFonts w:cs="Arial"/>
        </w:rPr>
        <w:t>to budget (</w:t>
      </w:r>
      <w:r w:rsidR="00066A58">
        <w:rPr>
          <w:rFonts w:cs="Arial"/>
        </w:rPr>
        <w:t>39</w:t>
      </w:r>
      <w:r w:rsidR="00132A72" w:rsidRPr="00132A72">
        <w:rPr>
          <w:rFonts w:cs="Arial"/>
        </w:rPr>
        <w:t xml:space="preserve"> percent)</w:t>
      </w:r>
      <w:r w:rsidR="00066A58">
        <w:rPr>
          <w:rFonts w:cs="Arial"/>
        </w:rPr>
        <w:t xml:space="preserve"> and </w:t>
      </w:r>
      <w:r w:rsidR="00066A58" w:rsidRPr="00132A72">
        <w:rPr>
          <w:rFonts w:cs="Arial"/>
        </w:rPr>
        <w:t>to save for something they needed (</w:t>
      </w:r>
      <w:r w:rsidR="00066A58">
        <w:rPr>
          <w:rFonts w:cs="Arial"/>
        </w:rPr>
        <w:t>36</w:t>
      </w:r>
      <w:r w:rsidR="00066A58" w:rsidRPr="00132A72">
        <w:rPr>
          <w:rFonts w:cs="Arial"/>
        </w:rPr>
        <w:t xml:space="preserve"> percent)</w:t>
      </w:r>
      <w:r w:rsidRPr="00132A72">
        <w:rPr>
          <w:rFonts w:cs="Arial"/>
        </w:rPr>
        <w:t xml:space="preserve">. </w:t>
      </w:r>
      <w:r w:rsidR="00F966ED" w:rsidRPr="00132A72">
        <w:rPr>
          <w:rFonts w:cs="Arial"/>
        </w:rPr>
        <w:t xml:space="preserve">Circumstances given by voluntary income management participants when applying for the CDC were primarily to support </w:t>
      </w:r>
      <w:r w:rsidR="00F966ED" w:rsidRPr="00132A72">
        <w:rPr>
          <w:rFonts w:cs="Arial"/>
        </w:rPr>
        <w:lastRenderedPageBreak/>
        <w:t>themselves (5</w:t>
      </w:r>
      <w:r w:rsidR="00544E0A">
        <w:rPr>
          <w:rFonts w:cs="Arial"/>
        </w:rPr>
        <w:t>7</w:t>
      </w:r>
      <w:r w:rsidR="00F966ED" w:rsidRPr="00132A72">
        <w:rPr>
          <w:rFonts w:cs="Arial"/>
        </w:rPr>
        <w:t xml:space="preserve"> percent)</w:t>
      </w:r>
      <w:r w:rsidR="00132A72" w:rsidRPr="00132A72">
        <w:rPr>
          <w:rFonts w:cs="Arial"/>
        </w:rPr>
        <w:t xml:space="preserve">, </w:t>
      </w:r>
      <w:r w:rsidR="00EC0BE6">
        <w:rPr>
          <w:rFonts w:cs="Arial"/>
        </w:rPr>
        <w:t>they</w:t>
      </w:r>
      <w:r w:rsidR="00132A72" w:rsidRPr="00132A72">
        <w:rPr>
          <w:rFonts w:cs="Arial"/>
        </w:rPr>
        <w:t xml:space="preserve"> like</w:t>
      </w:r>
      <w:r w:rsidR="00EC0BE6">
        <w:rPr>
          <w:rFonts w:cs="Arial"/>
        </w:rPr>
        <w:t>d</w:t>
      </w:r>
      <w:r w:rsidR="00132A72" w:rsidRPr="00132A72">
        <w:rPr>
          <w:rFonts w:cs="Arial"/>
        </w:rPr>
        <w:t xml:space="preserve"> the Cashless Debit Card (</w:t>
      </w:r>
      <w:r w:rsidR="00544E0A">
        <w:rPr>
          <w:rFonts w:cs="Arial"/>
        </w:rPr>
        <w:t>5</w:t>
      </w:r>
      <w:r w:rsidR="00EC0BE6">
        <w:rPr>
          <w:rFonts w:cs="Arial"/>
        </w:rPr>
        <w:t>4</w:t>
      </w:r>
      <w:r w:rsidR="00132A72" w:rsidRPr="00132A72">
        <w:rPr>
          <w:rFonts w:cs="Arial"/>
        </w:rPr>
        <w:t xml:space="preserve"> percent) and </w:t>
      </w:r>
      <w:r w:rsidR="00EC0BE6">
        <w:rPr>
          <w:rFonts w:cs="Arial"/>
        </w:rPr>
        <w:t>they</w:t>
      </w:r>
      <w:r w:rsidR="00132A72" w:rsidRPr="00132A72">
        <w:rPr>
          <w:rFonts w:cs="Arial"/>
        </w:rPr>
        <w:t xml:space="preserve"> need</w:t>
      </w:r>
      <w:r w:rsidR="00EC0BE6">
        <w:rPr>
          <w:rFonts w:cs="Arial"/>
        </w:rPr>
        <w:t>ed</w:t>
      </w:r>
      <w:r w:rsidR="00132A72" w:rsidRPr="00132A72">
        <w:rPr>
          <w:rFonts w:cs="Arial"/>
        </w:rPr>
        <w:t xml:space="preserve"> to support </w:t>
      </w:r>
      <w:r w:rsidR="00EC0BE6">
        <w:rPr>
          <w:rFonts w:cs="Arial"/>
        </w:rPr>
        <w:t>their</w:t>
      </w:r>
      <w:r w:rsidR="00132A72" w:rsidRPr="00132A72">
        <w:rPr>
          <w:rFonts w:cs="Arial"/>
        </w:rPr>
        <w:t xml:space="preserve"> family (</w:t>
      </w:r>
      <w:r w:rsidR="00544E0A">
        <w:rPr>
          <w:rFonts w:cs="Arial"/>
        </w:rPr>
        <w:t>1</w:t>
      </w:r>
      <w:r w:rsidR="00132A72" w:rsidRPr="00132A72">
        <w:rPr>
          <w:rFonts w:cs="Arial"/>
        </w:rPr>
        <w:t>8 percent)</w:t>
      </w:r>
      <w:r w:rsidR="00F966ED" w:rsidRPr="00132A72">
        <w:rPr>
          <w:rFonts w:cs="Arial"/>
        </w:rPr>
        <w:t xml:space="preserve">. </w:t>
      </w:r>
      <w:r w:rsidR="00AC37B0" w:rsidRPr="00132A72">
        <w:rPr>
          <w:rFonts w:cs="Arial"/>
        </w:rPr>
        <w:t>Please note</w:t>
      </w:r>
      <w:r w:rsidR="00F12673" w:rsidRPr="00132A72">
        <w:rPr>
          <w:rFonts w:cs="Arial"/>
        </w:rPr>
        <w:t>,</w:t>
      </w:r>
      <w:r w:rsidR="00AC37B0" w:rsidRPr="00132A72">
        <w:rPr>
          <w:rFonts w:cs="Arial"/>
        </w:rPr>
        <w:t xml:space="preserve"> a client may choose one or more options to reflect their individual reasons </w:t>
      </w:r>
      <w:r w:rsidR="00CD64F4" w:rsidRPr="00132A72">
        <w:rPr>
          <w:rFonts w:cs="Arial"/>
        </w:rPr>
        <w:t xml:space="preserve">and circumstances </w:t>
      </w:r>
      <w:r w:rsidR="00764182" w:rsidRPr="00132A72">
        <w:rPr>
          <w:rFonts w:cs="Arial"/>
        </w:rPr>
        <w:t>for participating in voluntary income management</w:t>
      </w:r>
      <w:r w:rsidR="00AC37B0" w:rsidRPr="00132A72">
        <w:rPr>
          <w:rFonts w:cs="Arial"/>
        </w:rPr>
        <w:t>.</w:t>
      </w:r>
    </w:p>
    <w:p w14:paraId="51EBBFC5" w14:textId="7D2E44AE" w:rsidR="009D31EC" w:rsidRDefault="009D31EC" w:rsidP="003833F9">
      <w:pPr>
        <w:ind w:left="-142" w:right="-425"/>
        <w:jc w:val="both"/>
        <w:rPr>
          <w:rFonts w:cs="Arial"/>
        </w:rPr>
      </w:pPr>
    </w:p>
    <w:p w14:paraId="5C6ED615" w14:textId="77777777" w:rsidR="00ED098E" w:rsidRDefault="00ED098E" w:rsidP="00ED098E">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ED098E" w14:paraId="640AF712" w14:textId="77777777" w:rsidTr="005D3292">
        <w:trPr>
          <w:trHeight w:val="278"/>
        </w:trPr>
        <w:tc>
          <w:tcPr>
            <w:tcW w:w="4390" w:type="dxa"/>
            <w:gridSpan w:val="4"/>
          </w:tcPr>
          <w:p w14:paraId="2317C663" w14:textId="718CE9ED" w:rsidR="00ED098E" w:rsidRDefault="00ED098E" w:rsidP="005D3292">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25</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age group</w:t>
            </w:r>
            <w:r w:rsidRPr="00523A30">
              <w:rPr>
                <w:rFonts w:cs="Arial"/>
                <w:noProof/>
                <w:sz w:val="16"/>
                <w:szCs w:val="16"/>
              </w:rPr>
              <w:t xml:space="preserve"> </w:t>
            </w:r>
            <w:r>
              <w:rPr>
                <w:rFonts w:cs="Arial"/>
                <w:noProof/>
                <w:sz w:val="16"/>
                <w:szCs w:val="16"/>
              </w:rPr>
              <w:br/>
            </w:r>
            <w:r w:rsidRPr="00523A30">
              <w:rPr>
                <w:rFonts w:cs="Arial"/>
                <w:noProof/>
                <w:sz w:val="16"/>
                <w:szCs w:val="16"/>
              </w:rPr>
              <w:t xml:space="preserve">1 </w:t>
            </w:r>
            <w:r>
              <w:rPr>
                <w:rFonts w:cs="Arial"/>
                <w:noProof/>
                <w:sz w:val="16"/>
                <w:szCs w:val="16"/>
              </w:rPr>
              <w:t>April</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0 June </w:t>
            </w:r>
            <w:r w:rsidRPr="00523A30">
              <w:rPr>
                <w:rFonts w:cs="Arial"/>
                <w:noProof/>
                <w:sz w:val="16"/>
                <w:szCs w:val="16"/>
              </w:rPr>
              <w:t>202</w:t>
            </w:r>
            <w:r>
              <w:rPr>
                <w:rFonts w:cs="Arial"/>
                <w:noProof/>
                <w:sz w:val="16"/>
                <w:szCs w:val="16"/>
              </w:rPr>
              <w:t>2</w:t>
            </w:r>
          </w:p>
        </w:tc>
        <w:tc>
          <w:tcPr>
            <w:tcW w:w="567" w:type="dxa"/>
            <w:tcBorders>
              <w:top w:val="nil"/>
              <w:bottom w:val="nil"/>
            </w:tcBorders>
          </w:tcPr>
          <w:p w14:paraId="622286E0" w14:textId="77777777" w:rsidR="00ED098E" w:rsidRDefault="00ED098E" w:rsidP="005D3292">
            <w:pPr>
              <w:rPr>
                <w:rFonts w:cs="Arial"/>
                <w:b/>
                <w:bCs/>
                <w:noProof/>
                <w:sz w:val="16"/>
                <w:szCs w:val="16"/>
              </w:rPr>
            </w:pPr>
          </w:p>
        </w:tc>
        <w:tc>
          <w:tcPr>
            <w:tcW w:w="4394" w:type="dxa"/>
            <w:gridSpan w:val="4"/>
          </w:tcPr>
          <w:p w14:paraId="619D2114" w14:textId="49059C41" w:rsidR="00ED098E" w:rsidRDefault="00ED098E" w:rsidP="005D3292">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age group</w:t>
            </w:r>
            <w:r>
              <w:rPr>
                <w:rFonts w:cs="Arial"/>
                <w:noProof/>
                <w:sz w:val="16"/>
                <w:szCs w:val="16"/>
              </w:rPr>
              <w:br/>
            </w:r>
            <w:r w:rsidRPr="00523A30">
              <w:rPr>
                <w:rFonts w:cs="Arial"/>
                <w:noProof/>
                <w:sz w:val="16"/>
                <w:szCs w:val="16"/>
              </w:rPr>
              <w:t xml:space="preserve">1 </w:t>
            </w:r>
            <w:r>
              <w:rPr>
                <w:rFonts w:cs="Arial"/>
                <w:noProof/>
                <w:sz w:val="16"/>
                <w:szCs w:val="16"/>
              </w:rPr>
              <w:t>April</w:t>
            </w:r>
            <w:r w:rsidRPr="00523A30">
              <w:rPr>
                <w:rFonts w:cs="Arial"/>
                <w:noProof/>
                <w:sz w:val="16"/>
                <w:szCs w:val="16"/>
              </w:rPr>
              <w:t xml:space="preserve"> 202</w:t>
            </w:r>
            <w:r>
              <w:rPr>
                <w:rFonts w:cs="Arial"/>
                <w:noProof/>
                <w:sz w:val="16"/>
                <w:szCs w:val="16"/>
              </w:rPr>
              <w:t>2</w:t>
            </w:r>
            <w:r w:rsidRPr="00523A30">
              <w:rPr>
                <w:rFonts w:cs="Arial"/>
                <w:noProof/>
                <w:sz w:val="16"/>
                <w:szCs w:val="16"/>
              </w:rPr>
              <w:t xml:space="preserve"> – 3</w:t>
            </w:r>
            <w:r>
              <w:rPr>
                <w:rFonts w:cs="Arial"/>
                <w:noProof/>
                <w:sz w:val="16"/>
                <w:szCs w:val="16"/>
              </w:rPr>
              <w:t xml:space="preserve">0 June </w:t>
            </w:r>
            <w:r w:rsidRPr="00523A30">
              <w:rPr>
                <w:rFonts w:cs="Arial"/>
                <w:noProof/>
                <w:sz w:val="16"/>
                <w:szCs w:val="16"/>
              </w:rPr>
              <w:t>202</w:t>
            </w:r>
            <w:r>
              <w:rPr>
                <w:rFonts w:cs="Arial"/>
                <w:noProof/>
                <w:sz w:val="16"/>
                <w:szCs w:val="16"/>
              </w:rPr>
              <w:t>2</w:t>
            </w:r>
          </w:p>
        </w:tc>
      </w:tr>
      <w:tr w:rsidR="00ED098E" w14:paraId="7B99B79C" w14:textId="77777777" w:rsidTr="005D3292">
        <w:trPr>
          <w:trHeight w:val="278"/>
        </w:trPr>
        <w:tc>
          <w:tcPr>
            <w:tcW w:w="1418" w:type="dxa"/>
            <w:vAlign w:val="center"/>
          </w:tcPr>
          <w:p w14:paraId="13B56295" w14:textId="77777777" w:rsidR="00ED098E" w:rsidRPr="002F3F87" w:rsidRDefault="00ED098E" w:rsidP="005D3292">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309396F7" w14:textId="77777777" w:rsidR="00ED098E" w:rsidRPr="002F3F87" w:rsidRDefault="00ED098E" w:rsidP="005D3292">
            <w:pPr>
              <w:jc w:val="center"/>
              <w:rPr>
                <w:rFonts w:cs="Arial"/>
                <w:b/>
                <w:bCs/>
                <w:noProof/>
              </w:rPr>
            </w:pPr>
            <w:r w:rsidRPr="002F3F87">
              <w:rPr>
                <w:rFonts w:cs="Arial"/>
                <w:b/>
                <w:bCs/>
                <w:noProof/>
              </w:rPr>
              <w:t>Male</w:t>
            </w:r>
          </w:p>
        </w:tc>
        <w:tc>
          <w:tcPr>
            <w:tcW w:w="1134" w:type="dxa"/>
            <w:vAlign w:val="center"/>
          </w:tcPr>
          <w:p w14:paraId="29135B59" w14:textId="77777777" w:rsidR="00ED098E" w:rsidRPr="002F3F87" w:rsidRDefault="00ED098E" w:rsidP="005D3292">
            <w:pPr>
              <w:jc w:val="center"/>
              <w:rPr>
                <w:rFonts w:cs="Arial"/>
                <w:b/>
                <w:bCs/>
                <w:noProof/>
              </w:rPr>
            </w:pPr>
            <w:r w:rsidRPr="002F3F87">
              <w:rPr>
                <w:rFonts w:cs="Arial"/>
                <w:b/>
                <w:bCs/>
                <w:noProof/>
              </w:rPr>
              <w:t>Female</w:t>
            </w:r>
          </w:p>
        </w:tc>
        <w:tc>
          <w:tcPr>
            <w:tcW w:w="851" w:type="dxa"/>
          </w:tcPr>
          <w:p w14:paraId="66A42219" w14:textId="77777777" w:rsidR="00ED098E" w:rsidRPr="002F3F87" w:rsidRDefault="00ED098E" w:rsidP="005D3292">
            <w:pPr>
              <w:jc w:val="center"/>
              <w:rPr>
                <w:rFonts w:cs="Arial"/>
                <w:b/>
                <w:bCs/>
                <w:noProof/>
              </w:rPr>
            </w:pPr>
            <w:r>
              <w:rPr>
                <w:rFonts w:cs="Arial"/>
                <w:b/>
                <w:bCs/>
                <w:noProof/>
              </w:rPr>
              <w:t>Total</w:t>
            </w:r>
          </w:p>
        </w:tc>
        <w:tc>
          <w:tcPr>
            <w:tcW w:w="567" w:type="dxa"/>
            <w:tcBorders>
              <w:top w:val="nil"/>
              <w:bottom w:val="nil"/>
            </w:tcBorders>
          </w:tcPr>
          <w:p w14:paraId="41BCFED6" w14:textId="77777777" w:rsidR="00ED098E" w:rsidRPr="002F3F87" w:rsidRDefault="00ED098E" w:rsidP="005D3292">
            <w:pPr>
              <w:rPr>
                <w:rFonts w:cs="Arial"/>
                <w:b/>
                <w:bCs/>
                <w:noProof/>
              </w:rPr>
            </w:pPr>
          </w:p>
        </w:tc>
        <w:tc>
          <w:tcPr>
            <w:tcW w:w="1417" w:type="dxa"/>
            <w:vAlign w:val="center"/>
          </w:tcPr>
          <w:p w14:paraId="0A8924D9" w14:textId="77777777" w:rsidR="00ED098E" w:rsidRPr="002F3F87" w:rsidRDefault="00ED098E" w:rsidP="005D3292">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4A5748C9" w14:textId="77777777" w:rsidR="00ED098E" w:rsidRPr="002F3F87" w:rsidRDefault="00ED098E" w:rsidP="005D3292">
            <w:pPr>
              <w:jc w:val="center"/>
              <w:rPr>
                <w:rFonts w:cs="Arial"/>
                <w:b/>
                <w:bCs/>
                <w:noProof/>
              </w:rPr>
            </w:pPr>
            <w:r w:rsidRPr="002F3F87">
              <w:rPr>
                <w:rFonts w:cs="Arial"/>
                <w:b/>
                <w:bCs/>
                <w:noProof/>
              </w:rPr>
              <w:t>Male</w:t>
            </w:r>
          </w:p>
        </w:tc>
        <w:tc>
          <w:tcPr>
            <w:tcW w:w="1134" w:type="dxa"/>
            <w:vAlign w:val="center"/>
          </w:tcPr>
          <w:p w14:paraId="11902A74" w14:textId="77777777" w:rsidR="00ED098E" w:rsidRPr="002F3F87" w:rsidRDefault="00ED098E" w:rsidP="005D3292">
            <w:pPr>
              <w:jc w:val="center"/>
              <w:rPr>
                <w:rFonts w:cs="Arial"/>
                <w:b/>
                <w:bCs/>
                <w:noProof/>
              </w:rPr>
            </w:pPr>
            <w:r w:rsidRPr="002F3F87">
              <w:rPr>
                <w:rFonts w:cs="Arial"/>
                <w:b/>
                <w:bCs/>
                <w:noProof/>
              </w:rPr>
              <w:t>Female</w:t>
            </w:r>
          </w:p>
        </w:tc>
        <w:tc>
          <w:tcPr>
            <w:tcW w:w="851" w:type="dxa"/>
          </w:tcPr>
          <w:p w14:paraId="62B9590A" w14:textId="77777777" w:rsidR="00ED098E" w:rsidRPr="002F3F87" w:rsidRDefault="00ED098E" w:rsidP="005D3292">
            <w:pPr>
              <w:jc w:val="center"/>
              <w:rPr>
                <w:rFonts w:cs="Arial"/>
                <w:b/>
                <w:bCs/>
                <w:noProof/>
              </w:rPr>
            </w:pPr>
            <w:r>
              <w:rPr>
                <w:rFonts w:cs="Arial"/>
                <w:b/>
                <w:bCs/>
                <w:noProof/>
              </w:rPr>
              <w:t>Total</w:t>
            </w:r>
          </w:p>
        </w:tc>
      </w:tr>
      <w:tr w:rsidR="00ED098E" w14:paraId="2E0EF0BA" w14:textId="77777777" w:rsidTr="005D3292">
        <w:trPr>
          <w:trHeight w:val="278"/>
        </w:trPr>
        <w:tc>
          <w:tcPr>
            <w:tcW w:w="1418" w:type="dxa"/>
            <w:vAlign w:val="center"/>
          </w:tcPr>
          <w:p w14:paraId="5325D9DA" w14:textId="77777777" w:rsidR="00ED098E" w:rsidRPr="002819D6" w:rsidRDefault="00ED098E" w:rsidP="005D3292">
            <w:pPr>
              <w:rPr>
                <w:rFonts w:cs="Arial"/>
                <w:noProof/>
              </w:rPr>
            </w:pPr>
            <w:r>
              <w:rPr>
                <w:rFonts w:cs="Arial"/>
                <w:noProof/>
              </w:rPr>
              <w:t>18-25</w:t>
            </w:r>
          </w:p>
        </w:tc>
        <w:tc>
          <w:tcPr>
            <w:tcW w:w="987" w:type="dxa"/>
            <w:vAlign w:val="center"/>
          </w:tcPr>
          <w:p w14:paraId="6E235589" w14:textId="77777777" w:rsidR="00ED098E" w:rsidRPr="001D1C01" w:rsidRDefault="00ED098E" w:rsidP="005D3292">
            <w:pPr>
              <w:jc w:val="right"/>
              <w:rPr>
                <w:rFonts w:cs="Arial"/>
                <w:noProof/>
              </w:rPr>
            </w:pPr>
            <w:r>
              <w:rPr>
                <w:rFonts w:cs="Arial"/>
                <w:noProof/>
              </w:rPr>
              <w:t>0</w:t>
            </w:r>
          </w:p>
        </w:tc>
        <w:tc>
          <w:tcPr>
            <w:tcW w:w="1134" w:type="dxa"/>
            <w:vAlign w:val="center"/>
          </w:tcPr>
          <w:p w14:paraId="5C9564B3" w14:textId="2A422B76" w:rsidR="00ED098E" w:rsidRPr="001D1C01" w:rsidRDefault="00ED098E" w:rsidP="005D3292">
            <w:pPr>
              <w:jc w:val="right"/>
              <w:rPr>
                <w:rFonts w:cs="Arial"/>
                <w:noProof/>
              </w:rPr>
            </w:pPr>
            <w:r>
              <w:rPr>
                <w:rFonts w:cs="Arial"/>
                <w:noProof/>
              </w:rPr>
              <w:t>2</w:t>
            </w:r>
          </w:p>
        </w:tc>
        <w:tc>
          <w:tcPr>
            <w:tcW w:w="851" w:type="dxa"/>
          </w:tcPr>
          <w:p w14:paraId="6A4511A6" w14:textId="176A7BBA" w:rsidR="00ED098E" w:rsidRPr="006B597B" w:rsidRDefault="00ED098E" w:rsidP="005D3292">
            <w:pPr>
              <w:jc w:val="right"/>
              <w:rPr>
                <w:rFonts w:cs="Arial"/>
                <w:b/>
                <w:bCs/>
                <w:noProof/>
              </w:rPr>
            </w:pPr>
            <w:r>
              <w:rPr>
                <w:rFonts w:cs="Arial"/>
                <w:b/>
                <w:bCs/>
                <w:noProof/>
              </w:rPr>
              <w:t>2</w:t>
            </w:r>
          </w:p>
        </w:tc>
        <w:tc>
          <w:tcPr>
            <w:tcW w:w="567" w:type="dxa"/>
            <w:tcBorders>
              <w:top w:val="nil"/>
              <w:bottom w:val="nil"/>
            </w:tcBorders>
          </w:tcPr>
          <w:p w14:paraId="76C2F959" w14:textId="77777777" w:rsidR="00ED098E" w:rsidRDefault="00ED098E" w:rsidP="005D3292">
            <w:pPr>
              <w:rPr>
                <w:rFonts w:cs="Arial"/>
                <w:noProof/>
              </w:rPr>
            </w:pPr>
          </w:p>
        </w:tc>
        <w:tc>
          <w:tcPr>
            <w:tcW w:w="1417" w:type="dxa"/>
            <w:vAlign w:val="center"/>
          </w:tcPr>
          <w:p w14:paraId="30E4C8B0" w14:textId="77777777" w:rsidR="00ED098E" w:rsidRPr="001D1C01" w:rsidRDefault="00ED098E" w:rsidP="005D3292">
            <w:pPr>
              <w:rPr>
                <w:rFonts w:cs="Arial"/>
                <w:noProof/>
              </w:rPr>
            </w:pPr>
            <w:r>
              <w:rPr>
                <w:rFonts w:cs="Arial"/>
                <w:noProof/>
              </w:rPr>
              <w:t>18-25</w:t>
            </w:r>
          </w:p>
        </w:tc>
        <w:tc>
          <w:tcPr>
            <w:tcW w:w="992" w:type="dxa"/>
            <w:vAlign w:val="center"/>
          </w:tcPr>
          <w:p w14:paraId="53F3DD6E" w14:textId="77777777" w:rsidR="00ED098E" w:rsidRPr="001D1C01" w:rsidRDefault="00ED098E" w:rsidP="005D3292">
            <w:pPr>
              <w:jc w:val="right"/>
              <w:rPr>
                <w:rFonts w:cs="Arial"/>
                <w:noProof/>
              </w:rPr>
            </w:pPr>
            <w:r>
              <w:rPr>
                <w:rFonts w:cs="Arial"/>
                <w:noProof/>
              </w:rPr>
              <w:t>0</w:t>
            </w:r>
          </w:p>
        </w:tc>
        <w:tc>
          <w:tcPr>
            <w:tcW w:w="1134" w:type="dxa"/>
            <w:vAlign w:val="center"/>
          </w:tcPr>
          <w:p w14:paraId="4D82A877" w14:textId="77777777" w:rsidR="00ED098E" w:rsidRPr="001D1C01" w:rsidRDefault="00ED098E" w:rsidP="005D3292">
            <w:pPr>
              <w:jc w:val="right"/>
              <w:rPr>
                <w:rFonts w:cs="Arial"/>
                <w:noProof/>
              </w:rPr>
            </w:pPr>
            <w:r>
              <w:rPr>
                <w:rFonts w:cs="Arial"/>
                <w:noProof/>
              </w:rPr>
              <w:t>1</w:t>
            </w:r>
          </w:p>
        </w:tc>
        <w:tc>
          <w:tcPr>
            <w:tcW w:w="851" w:type="dxa"/>
          </w:tcPr>
          <w:p w14:paraId="2885BF77" w14:textId="77777777" w:rsidR="00ED098E" w:rsidRPr="006B597B" w:rsidRDefault="00ED098E" w:rsidP="005D3292">
            <w:pPr>
              <w:jc w:val="right"/>
              <w:rPr>
                <w:rFonts w:cs="Arial"/>
                <w:b/>
                <w:bCs/>
                <w:noProof/>
              </w:rPr>
            </w:pPr>
            <w:r>
              <w:rPr>
                <w:rFonts w:cs="Arial"/>
                <w:b/>
                <w:bCs/>
                <w:noProof/>
              </w:rPr>
              <w:t>1</w:t>
            </w:r>
          </w:p>
        </w:tc>
      </w:tr>
      <w:tr w:rsidR="00ED098E" w14:paraId="0367127E" w14:textId="77777777" w:rsidTr="005D3292">
        <w:trPr>
          <w:trHeight w:val="278"/>
        </w:trPr>
        <w:tc>
          <w:tcPr>
            <w:tcW w:w="1418" w:type="dxa"/>
            <w:vAlign w:val="center"/>
          </w:tcPr>
          <w:p w14:paraId="0E35E7C4" w14:textId="77777777" w:rsidR="00ED098E" w:rsidRPr="002819D6" w:rsidRDefault="00ED098E" w:rsidP="005D3292">
            <w:pPr>
              <w:rPr>
                <w:rFonts w:cs="Arial"/>
                <w:noProof/>
              </w:rPr>
            </w:pPr>
            <w:r>
              <w:rPr>
                <w:rFonts w:cs="Arial"/>
                <w:noProof/>
              </w:rPr>
              <w:t>26-35</w:t>
            </w:r>
          </w:p>
        </w:tc>
        <w:tc>
          <w:tcPr>
            <w:tcW w:w="987" w:type="dxa"/>
            <w:vAlign w:val="center"/>
          </w:tcPr>
          <w:p w14:paraId="4508F5A9" w14:textId="42F09911" w:rsidR="00ED098E" w:rsidRPr="001D1C01" w:rsidRDefault="00ED098E" w:rsidP="005D3292">
            <w:pPr>
              <w:jc w:val="right"/>
              <w:rPr>
                <w:rFonts w:cs="Arial"/>
                <w:noProof/>
              </w:rPr>
            </w:pPr>
            <w:r>
              <w:rPr>
                <w:rFonts w:cs="Arial"/>
                <w:noProof/>
              </w:rPr>
              <w:t>3</w:t>
            </w:r>
          </w:p>
        </w:tc>
        <w:tc>
          <w:tcPr>
            <w:tcW w:w="1134" w:type="dxa"/>
            <w:vAlign w:val="center"/>
          </w:tcPr>
          <w:p w14:paraId="03C53BBA" w14:textId="0ECC23F5" w:rsidR="00ED098E" w:rsidRPr="001D1C01" w:rsidRDefault="00ED098E" w:rsidP="005D3292">
            <w:pPr>
              <w:jc w:val="right"/>
              <w:rPr>
                <w:rFonts w:cs="Arial"/>
                <w:noProof/>
              </w:rPr>
            </w:pPr>
            <w:r>
              <w:rPr>
                <w:rFonts w:cs="Arial"/>
                <w:noProof/>
              </w:rPr>
              <w:t>5</w:t>
            </w:r>
          </w:p>
        </w:tc>
        <w:tc>
          <w:tcPr>
            <w:tcW w:w="851" w:type="dxa"/>
          </w:tcPr>
          <w:p w14:paraId="4090EE31" w14:textId="43CD7345" w:rsidR="00ED098E" w:rsidRPr="006B597B" w:rsidRDefault="00ED098E" w:rsidP="005D3292">
            <w:pPr>
              <w:jc w:val="right"/>
              <w:rPr>
                <w:rFonts w:cs="Arial"/>
                <w:b/>
                <w:bCs/>
                <w:noProof/>
              </w:rPr>
            </w:pPr>
            <w:r>
              <w:rPr>
                <w:rFonts w:cs="Arial"/>
                <w:b/>
                <w:bCs/>
                <w:noProof/>
              </w:rPr>
              <w:t>8</w:t>
            </w:r>
          </w:p>
        </w:tc>
        <w:tc>
          <w:tcPr>
            <w:tcW w:w="567" w:type="dxa"/>
            <w:tcBorders>
              <w:top w:val="nil"/>
              <w:bottom w:val="nil"/>
            </w:tcBorders>
          </w:tcPr>
          <w:p w14:paraId="130E9A4E" w14:textId="77777777" w:rsidR="00ED098E" w:rsidRDefault="00ED098E" w:rsidP="005D3292">
            <w:pPr>
              <w:rPr>
                <w:rFonts w:cs="Arial"/>
                <w:noProof/>
              </w:rPr>
            </w:pPr>
          </w:p>
        </w:tc>
        <w:tc>
          <w:tcPr>
            <w:tcW w:w="1417" w:type="dxa"/>
            <w:vAlign w:val="center"/>
          </w:tcPr>
          <w:p w14:paraId="32426745" w14:textId="77777777" w:rsidR="00ED098E" w:rsidRPr="001D1C01" w:rsidRDefault="00ED098E" w:rsidP="005D3292">
            <w:pPr>
              <w:rPr>
                <w:rFonts w:cs="Arial"/>
                <w:noProof/>
              </w:rPr>
            </w:pPr>
            <w:r>
              <w:rPr>
                <w:rFonts w:cs="Arial"/>
                <w:noProof/>
              </w:rPr>
              <w:t>26-35</w:t>
            </w:r>
          </w:p>
        </w:tc>
        <w:tc>
          <w:tcPr>
            <w:tcW w:w="992" w:type="dxa"/>
            <w:vAlign w:val="center"/>
          </w:tcPr>
          <w:p w14:paraId="3880A01A" w14:textId="77777777" w:rsidR="00ED098E" w:rsidRPr="001D1C01" w:rsidRDefault="00ED098E" w:rsidP="005D3292">
            <w:pPr>
              <w:jc w:val="right"/>
              <w:rPr>
                <w:rFonts w:cs="Arial"/>
                <w:noProof/>
              </w:rPr>
            </w:pPr>
            <w:r>
              <w:rPr>
                <w:rFonts w:cs="Arial"/>
                <w:noProof/>
              </w:rPr>
              <w:t>0</w:t>
            </w:r>
          </w:p>
        </w:tc>
        <w:tc>
          <w:tcPr>
            <w:tcW w:w="1134" w:type="dxa"/>
            <w:vAlign w:val="center"/>
          </w:tcPr>
          <w:p w14:paraId="398ADDB6" w14:textId="16BCAA5B" w:rsidR="00ED098E" w:rsidRPr="001D1C01" w:rsidRDefault="00ED098E" w:rsidP="005D3292">
            <w:pPr>
              <w:jc w:val="right"/>
              <w:rPr>
                <w:rFonts w:cs="Arial"/>
                <w:noProof/>
              </w:rPr>
            </w:pPr>
            <w:r>
              <w:rPr>
                <w:rFonts w:cs="Arial"/>
                <w:noProof/>
              </w:rPr>
              <w:t>10</w:t>
            </w:r>
          </w:p>
        </w:tc>
        <w:tc>
          <w:tcPr>
            <w:tcW w:w="851" w:type="dxa"/>
          </w:tcPr>
          <w:p w14:paraId="1F6867E9" w14:textId="5BFAA88C" w:rsidR="00ED098E" w:rsidRPr="006B597B" w:rsidRDefault="00ED098E" w:rsidP="005D3292">
            <w:pPr>
              <w:jc w:val="right"/>
              <w:rPr>
                <w:rFonts w:cs="Arial"/>
                <w:b/>
                <w:bCs/>
                <w:noProof/>
              </w:rPr>
            </w:pPr>
            <w:r>
              <w:rPr>
                <w:rFonts w:cs="Arial"/>
                <w:b/>
                <w:bCs/>
                <w:noProof/>
              </w:rPr>
              <w:t>10</w:t>
            </w:r>
          </w:p>
        </w:tc>
      </w:tr>
      <w:tr w:rsidR="00ED098E" w14:paraId="4708EB52" w14:textId="77777777" w:rsidTr="005D3292">
        <w:trPr>
          <w:trHeight w:val="278"/>
        </w:trPr>
        <w:tc>
          <w:tcPr>
            <w:tcW w:w="1418" w:type="dxa"/>
            <w:vAlign w:val="center"/>
          </w:tcPr>
          <w:p w14:paraId="243D0BC5" w14:textId="77777777" w:rsidR="00ED098E" w:rsidRPr="002819D6" w:rsidRDefault="00ED098E" w:rsidP="005D3292">
            <w:pPr>
              <w:rPr>
                <w:rFonts w:cs="Arial"/>
                <w:noProof/>
              </w:rPr>
            </w:pPr>
            <w:r>
              <w:rPr>
                <w:rFonts w:cs="Arial"/>
                <w:noProof/>
              </w:rPr>
              <w:t>36-45</w:t>
            </w:r>
          </w:p>
        </w:tc>
        <w:tc>
          <w:tcPr>
            <w:tcW w:w="987" w:type="dxa"/>
            <w:vAlign w:val="center"/>
          </w:tcPr>
          <w:p w14:paraId="54F94D8C" w14:textId="18B36AD2" w:rsidR="00ED098E" w:rsidRPr="001D1C01" w:rsidRDefault="00ED098E" w:rsidP="005D3292">
            <w:pPr>
              <w:jc w:val="right"/>
              <w:rPr>
                <w:rFonts w:cs="Arial"/>
                <w:noProof/>
              </w:rPr>
            </w:pPr>
            <w:r>
              <w:rPr>
                <w:rFonts w:cs="Arial"/>
                <w:noProof/>
              </w:rPr>
              <w:t>3</w:t>
            </w:r>
          </w:p>
        </w:tc>
        <w:tc>
          <w:tcPr>
            <w:tcW w:w="1134" w:type="dxa"/>
            <w:vAlign w:val="center"/>
          </w:tcPr>
          <w:p w14:paraId="7B20CA8C" w14:textId="7B6FAA93" w:rsidR="00ED098E" w:rsidRPr="001D1C01" w:rsidRDefault="00ED098E" w:rsidP="005D3292">
            <w:pPr>
              <w:jc w:val="right"/>
              <w:rPr>
                <w:rFonts w:cs="Arial"/>
                <w:noProof/>
              </w:rPr>
            </w:pPr>
            <w:r>
              <w:rPr>
                <w:rFonts w:cs="Arial"/>
                <w:noProof/>
              </w:rPr>
              <w:t>2</w:t>
            </w:r>
          </w:p>
        </w:tc>
        <w:tc>
          <w:tcPr>
            <w:tcW w:w="851" w:type="dxa"/>
          </w:tcPr>
          <w:p w14:paraId="34076322" w14:textId="5B0A9192" w:rsidR="00ED098E" w:rsidRPr="006B597B" w:rsidRDefault="00ED098E" w:rsidP="005D3292">
            <w:pPr>
              <w:jc w:val="right"/>
              <w:rPr>
                <w:rFonts w:cs="Arial"/>
                <w:b/>
                <w:bCs/>
                <w:noProof/>
              </w:rPr>
            </w:pPr>
            <w:r>
              <w:rPr>
                <w:rFonts w:cs="Arial"/>
                <w:b/>
                <w:bCs/>
                <w:noProof/>
              </w:rPr>
              <w:t>5</w:t>
            </w:r>
          </w:p>
        </w:tc>
        <w:tc>
          <w:tcPr>
            <w:tcW w:w="567" w:type="dxa"/>
            <w:tcBorders>
              <w:top w:val="nil"/>
              <w:bottom w:val="nil"/>
            </w:tcBorders>
          </w:tcPr>
          <w:p w14:paraId="1A72D603" w14:textId="77777777" w:rsidR="00ED098E" w:rsidRDefault="00ED098E" w:rsidP="005D3292">
            <w:pPr>
              <w:rPr>
                <w:rFonts w:cs="Arial"/>
                <w:noProof/>
              </w:rPr>
            </w:pPr>
          </w:p>
        </w:tc>
        <w:tc>
          <w:tcPr>
            <w:tcW w:w="1417" w:type="dxa"/>
            <w:vAlign w:val="center"/>
          </w:tcPr>
          <w:p w14:paraId="4288EF95" w14:textId="77777777" w:rsidR="00ED098E" w:rsidRPr="001D1C01" w:rsidRDefault="00ED098E" w:rsidP="005D3292">
            <w:pPr>
              <w:rPr>
                <w:rFonts w:cs="Arial"/>
                <w:noProof/>
              </w:rPr>
            </w:pPr>
            <w:r>
              <w:rPr>
                <w:rFonts w:cs="Arial"/>
                <w:noProof/>
              </w:rPr>
              <w:t>36-45</w:t>
            </w:r>
          </w:p>
        </w:tc>
        <w:tc>
          <w:tcPr>
            <w:tcW w:w="992" w:type="dxa"/>
            <w:vAlign w:val="center"/>
          </w:tcPr>
          <w:p w14:paraId="1A5BED57" w14:textId="1BC2198D" w:rsidR="00ED098E" w:rsidRPr="001D1C01" w:rsidRDefault="00ED098E" w:rsidP="005D3292">
            <w:pPr>
              <w:jc w:val="right"/>
              <w:rPr>
                <w:rFonts w:cs="Arial"/>
                <w:noProof/>
              </w:rPr>
            </w:pPr>
            <w:r>
              <w:rPr>
                <w:rFonts w:cs="Arial"/>
                <w:noProof/>
              </w:rPr>
              <w:t>1</w:t>
            </w:r>
          </w:p>
        </w:tc>
        <w:tc>
          <w:tcPr>
            <w:tcW w:w="1134" w:type="dxa"/>
            <w:vAlign w:val="center"/>
          </w:tcPr>
          <w:p w14:paraId="53ACDDA6" w14:textId="3F227764" w:rsidR="00ED098E" w:rsidRPr="001D1C01" w:rsidRDefault="00ED098E" w:rsidP="005D3292">
            <w:pPr>
              <w:jc w:val="right"/>
              <w:rPr>
                <w:rFonts w:cs="Arial"/>
                <w:noProof/>
              </w:rPr>
            </w:pPr>
            <w:r>
              <w:rPr>
                <w:rFonts w:cs="Arial"/>
                <w:noProof/>
              </w:rPr>
              <w:t>2</w:t>
            </w:r>
          </w:p>
        </w:tc>
        <w:tc>
          <w:tcPr>
            <w:tcW w:w="851" w:type="dxa"/>
          </w:tcPr>
          <w:p w14:paraId="29C0083E" w14:textId="77777777" w:rsidR="00ED098E" w:rsidRPr="006B597B" w:rsidRDefault="00ED098E" w:rsidP="005D3292">
            <w:pPr>
              <w:jc w:val="right"/>
              <w:rPr>
                <w:rFonts w:cs="Arial"/>
                <w:b/>
                <w:bCs/>
                <w:noProof/>
              </w:rPr>
            </w:pPr>
            <w:r>
              <w:rPr>
                <w:rFonts w:cs="Arial"/>
                <w:b/>
                <w:bCs/>
                <w:noProof/>
              </w:rPr>
              <w:t>3</w:t>
            </w:r>
          </w:p>
        </w:tc>
      </w:tr>
      <w:tr w:rsidR="00ED098E" w14:paraId="4F1FBA2A" w14:textId="77777777" w:rsidTr="005D3292">
        <w:trPr>
          <w:trHeight w:val="278"/>
        </w:trPr>
        <w:tc>
          <w:tcPr>
            <w:tcW w:w="1418" w:type="dxa"/>
            <w:vAlign w:val="center"/>
          </w:tcPr>
          <w:p w14:paraId="3C38767E" w14:textId="77777777" w:rsidR="00ED098E" w:rsidRDefault="00ED098E" w:rsidP="005D3292">
            <w:pPr>
              <w:rPr>
                <w:rFonts w:cs="Arial"/>
                <w:noProof/>
              </w:rPr>
            </w:pPr>
            <w:r>
              <w:rPr>
                <w:rFonts w:cs="Arial"/>
                <w:noProof/>
              </w:rPr>
              <w:t>46-55</w:t>
            </w:r>
          </w:p>
        </w:tc>
        <w:tc>
          <w:tcPr>
            <w:tcW w:w="987" w:type="dxa"/>
            <w:vAlign w:val="center"/>
          </w:tcPr>
          <w:p w14:paraId="5D26811C" w14:textId="19336CB6" w:rsidR="00ED098E" w:rsidRPr="001D1C01" w:rsidRDefault="00ED098E" w:rsidP="005D3292">
            <w:pPr>
              <w:jc w:val="right"/>
              <w:rPr>
                <w:rFonts w:cs="Arial"/>
                <w:noProof/>
              </w:rPr>
            </w:pPr>
            <w:r>
              <w:rPr>
                <w:rFonts w:cs="Arial"/>
                <w:noProof/>
              </w:rPr>
              <w:t>4</w:t>
            </w:r>
          </w:p>
        </w:tc>
        <w:tc>
          <w:tcPr>
            <w:tcW w:w="1134" w:type="dxa"/>
            <w:vAlign w:val="center"/>
          </w:tcPr>
          <w:p w14:paraId="2933F800" w14:textId="3BC9393F" w:rsidR="00ED098E" w:rsidRPr="001D1C01" w:rsidRDefault="00ED098E" w:rsidP="005D3292">
            <w:pPr>
              <w:jc w:val="right"/>
              <w:rPr>
                <w:rFonts w:cs="Arial"/>
                <w:noProof/>
              </w:rPr>
            </w:pPr>
            <w:r>
              <w:rPr>
                <w:rFonts w:cs="Arial"/>
                <w:noProof/>
              </w:rPr>
              <w:t>1</w:t>
            </w:r>
          </w:p>
        </w:tc>
        <w:tc>
          <w:tcPr>
            <w:tcW w:w="851" w:type="dxa"/>
          </w:tcPr>
          <w:p w14:paraId="49BDCFE5" w14:textId="45289895" w:rsidR="00ED098E" w:rsidRPr="006B597B" w:rsidRDefault="00ED098E" w:rsidP="005D3292">
            <w:pPr>
              <w:jc w:val="right"/>
              <w:rPr>
                <w:rFonts w:cs="Arial"/>
                <w:b/>
                <w:bCs/>
                <w:noProof/>
              </w:rPr>
            </w:pPr>
            <w:r>
              <w:rPr>
                <w:rFonts w:cs="Arial"/>
                <w:b/>
                <w:bCs/>
                <w:noProof/>
              </w:rPr>
              <w:t>5</w:t>
            </w:r>
          </w:p>
        </w:tc>
        <w:tc>
          <w:tcPr>
            <w:tcW w:w="567" w:type="dxa"/>
            <w:tcBorders>
              <w:top w:val="nil"/>
              <w:bottom w:val="nil"/>
            </w:tcBorders>
          </w:tcPr>
          <w:p w14:paraId="11DD715D" w14:textId="77777777" w:rsidR="00ED098E" w:rsidRDefault="00ED098E" w:rsidP="005D3292">
            <w:pPr>
              <w:rPr>
                <w:rFonts w:cs="Arial"/>
                <w:noProof/>
              </w:rPr>
            </w:pPr>
          </w:p>
        </w:tc>
        <w:tc>
          <w:tcPr>
            <w:tcW w:w="1417" w:type="dxa"/>
            <w:vAlign w:val="center"/>
          </w:tcPr>
          <w:p w14:paraId="7752C935" w14:textId="77777777" w:rsidR="00ED098E" w:rsidRPr="001D1C01" w:rsidRDefault="00ED098E" w:rsidP="005D3292">
            <w:pPr>
              <w:rPr>
                <w:rFonts w:cs="Arial"/>
                <w:noProof/>
              </w:rPr>
            </w:pPr>
            <w:r>
              <w:rPr>
                <w:rFonts w:cs="Arial"/>
                <w:noProof/>
              </w:rPr>
              <w:t>46-55</w:t>
            </w:r>
          </w:p>
        </w:tc>
        <w:tc>
          <w:tcPr>
            <w:tcW w:w="992" w:type="dxa"/>
            <w:vAlign w:val="center"/>
          </w:tcPr>
          <w:p w14:paraId="3DFE00F2" w14:textId="6406915B" w:rsidR="00ED098E" w:rsidRDefault="00ED098E" w:rsidP="005D3292">
            <w:pPr>
              <w:jc w:val="right"/>
              <w:rPr>
                <w:rFonts w:cs="Arial"/>
                <w:noProof/>
              </w:rPr>
            </w:pPr>
            <w:r>
              <w:rPr>
                <w:rFonts w:cs="Arial"/>
                <w:noProof/>
              </w:rPr>
              <w:t>1</w:t>
            </w:r>
          </w:p>
        </w:tc>
        <w:tc>
          <w:tcPr>
            <w:tcW w:w="1134" w:type="dxa"/>
            <w:vAlign w:val="center"/>
          </w:tcPr>
          <w:p w14:paraId="54772625" w14:textId="7802D954" w:rsidR="00ED098E" w:rsidRDefault="00ED098E" w:rsidP="005D3292">
            <w:pPr>
              <w:jc w:val="right"/>
              <w:rPr>
                <w:rFonts w:cs="Arial"/>
                <w:noProof/>
              </w:rPr>
            </w:pPr>
            <w:r>
              <w:rPr>
                <w:rFonts w:cs="Arial"/>
                <w:noProof/>
              </w:rPr>
              <w:t>5</w:t>
            </w:r>
          </w:p>
        </w:tc>
        <w:tc>
          <w:tcPr>
            <w:tcW w:w="851" w:type="dxa"/>
          </w:tcPr>
          <w:p w14:paraId="79FF384C" w14:textId="7B79BFF7" w:rsidR="00ED098E" w:rsidRPr="006B597B" w:rsidRDefault="00ED098E" w:rsidP="005D3292">
            <w:pPr>
              <w:jc w:val="right"/>
              <w:rPr>
                <w:rFonts w:cs="Arial"/>
                <w:b/>
                <w:bCs/>
                <w:noProof/>
              </w:rPr>
            </w:pPr>
            <w:r>
              <w:rPr>
                <w:rFonts w:cs="Arial"/>
                <w:b/>
                <w:bCs/>
                <w:noProof/>
              </w:rPr>
              <w:t>6</w:t>
            </w:r>
          </w:p>
        </w:tc>
      </w:tr>
      <w:tr w:rsidR="00ED098E" w14:paraId="68DFE97D" w14:textId="77777777" w:rsidTr="005D3292">
        <w:trPr>
          <w:trHeight w:val="278"/>
        </w:trPr>
        <w:tc>
          <w:tcPr>
            <w:tcW w:w="1418" w:type="dxa"/>
            <w:vAlign w:val="center"/>
          </w:tcPr>
          <w:p w14:paraId="0F35AF28" w14:textId="77777777" w:rsidR="00ED098E" w:rsidRDefault="00ED098E" w:rsidP="005D3292">
            <w:pPr>
              <w:rPr>
                <w:rFonts w:cs="Arial"/>
                <w:noProof/>
              </w:rPr>
            </w:pPr>
            <w:r>
              <w:rPr>
                <w:rFonts w:cs="Arial"/>
                <w:noProof/>
              </w:rPr>
              <w:t>56-65</w:t>
            </w:r>
          </w:p>
        </w:tc>
        <w:tc>
          <w:tcPr>
            <w:tcW w:w="987" w:type="dxa"/>
            <w:vAlign w:val="center"/>
          </w:tcPr>
          <w:p w14:paraId="198D5977" w14:textId="77777777" w:rsidR="00ED098E" w:rsidRPr="001D1C01" w:rsidRDefault="00ED098E" w:rsidP="005D3292">
            <w:pPr>
              <w:jc w:val="right"/>
              <w:rPr>
                <w:rFonts w:cs="Arial"/>
                <w:noProof/>
              </w:rPr>
            </w:pPr>
            <w:r>
              <w:rPr>
                <w:rFonts w:cs="Arial"/>
                <w:noProof/>
              </w:rPr>
              <w:t>0</w:t>
            </w:r>
          </w:p>
        </w:tc>
        <w:tc>
          <w:tcPr>
            <w:tcW w:w="1134" w:type="dxa"/>
            <w:vAlign w:val="center"/>
          </w:tcPr>
          <w:p w14:paraId="5EADEC17" w14:textId="77777777" w:rsidR="00ED098E" w:rsidRPr="001D1C01" w:rsidRDefault="00ED098E" w:rsidP="005D3292">
            <w:pPr>
              <w:jc w:val="right"/>
              <w:rPr>
                <w:rFonts w:cs="Arial"/>
                <w:noProof/>
              </w:rPr>
            </w:pPr>
            <w:r>
              <w:rPr>
                <w:rFonts w:cs="Arial"/>
                <w:noProof/>
              </w:rPr>
              <w:t>0</w:t>
            </w:r>
          </w:p>
        </w:tc>
        <w:tc>
          <w:tcPr>
            <w:tcW w:w="851" w:type="dxa"/>
          </w:tcPr>
          <w:p w14:paraId="51472198" w14:textId="77777777" w:rsidR="00ED098E" w:rsidRPr="006B597B" w:rsidRDefault="00ED098E" w:rsidP="005D3292">
            <w:pPr>
              <w:jc w:val="right"/>
              <w:rPr>
                <w:rFonts w:cs="Arial"/>
                <w:b/>
                <w:bCs/>
                <w:noProof/>
              </w:rPr>
            </w:pPr>
            <w:r>
              <w:rPr>
                <w:rFonts w:cs="Arial"/>
                <w:b/>
                <w:bCs/>
                <w:noProof/>
              </w:rPr>
              <w:t>0</w:t>
            </w:r>
          </w:p>
        </w:tc>
        <w:tc>
          <w:tcPr>
            <w:tcW w:w="567" w:type="dxa"/>
            <w:tcBorders>
              <w:top w:val="nil"/>
              <w:bottom w:val="nil"/>
            </w:tcBorders>
          </w:tcPr>
          <w:p w14:paraId="30E0ABFF" w14:textId="77777777" w:rsidR="00ED098E" w:rsidRDefault="00ED098E" w:rsidP="005D3292">
            <w:pPr>
              <w:rPr>
                <w:rFonts w:cs="Arial"/>
                <w:noProof/>
              </w:rPr>
            </w:pPr>
          </w:p>
        </w:tc>
        <w:tc>
          <w:tcPr>
            <w:tcW w:w="1417" w:type="dxa"/>
            <w:vAlign w:val="center"/>
          </w:tcPr>
          <w:p w14:paraId="36331F11" w14:textId="77777777" w:rsidR="00ED098E" w:rsidRPr="001D1C01" w:rsidRDefault="00ED098E" w:rsidP="005D3292">
            <w:pPr>
              <w:rPr>
                <w:rFonts w:cs="Arial"/>
                <w:noProof/>
              </w:rPr>
            </w:pPr>
            <w:r>
              <w:rPr>
                <w:rFonts w:cs="Arial"/>
                <w:noProof/>
              </w:rPr>
              <w:t>56-65</w:t>
            </w:r>
          </w:p>
        </w:tc>
        <w:tc>
          <w:tcPr>
            <w:tcW w:w="992" w:type="dxa"/>
            <w:vAlign w:val="center"/>
          </w:tcPr>
          <w:p w14:paraId="623BA950" w14:textId="7483AA19" w:rsidR="00ED098E" w:rsidRDefault="00BF2F2F" w:rsidP="005D3292">
            <w:pPr>
              <w:jc w:val="right"/>
              <w:rPr>
                <w:rFonts w:cs="Arial"/>
                <w:noProof/>
              </w:rPr>
            </w:pPr>
            <w:r>
              <w:rPr>
                <w:rFonts w:cs="Arial"/>
                <w:noProof/>
              </w:rPr>
              <w:t>3</w:t>
            </w:r>
          </w:p>
        </w:tc>
        <w:tc>
          <w:tcPr>
            <w:tcW w:w="1134" w:type="dxa"/>
            <w:vAlign w:val="center"/>
          </w:tcPr>
          <w:p w14:paraId="25DB4F9C" w14:textId="6F5BC271" w:rsidR="00ED098E" w:rsidRDefault="00BF2F2F" w:rsidP="005D3292">
            <w:pPr>
              <w:jc w:val="right"/>
              <w:rPr>
                <w:rFonts w:cs="Arial"/>
                <w:noProof/>
              </w:rPr>
            </w:pPr>
            <w:r>
              <w:rPr>
                <w:rFonts w:cs="Arial"/>
                <w:noProof/>
              </w:rPr>
              <w:t>0</w:t>
            </w:r>
          </w:p>
        </w:tc>
        <w:tc>
          <w:tcPr>
            <w:tcW w:w="851" w:type="dxa"/>
          </w:tcPr>
          <w:p w14:paraId="6989DC93" w14:textId="5C7F042F" w:rsidR="00ED098E" w:rsidRPr="006B597B" w:rsidRDefault="00ED098E" w:rsidP="005D3292">
            <w:pPr>
              <w:jc w:val="right"/>
              <w:rPr>
                <w:rFonts w:cs="Arial"/>
                <w:b/>
                <w:bCs/>
                <w:noProof/>
              </w:rPr>
            </w:pPr>
            <w:r>
              <w:rPr>
                <w:rFonts w:cs="Arial"/>
                <w:b/>
                <w:bCs/>
                <w:noProof/>
              </w:rPr>
              <w:t>3</w:t>
            </w:r>
          </w:p>
        </w:tc>
      </w:tr>
      <w:tr w:rsidR="00ED098E" w14:paraId="4FCDC06D" w14:textId="77777777" w:rsidTr="005D3292">
        <w:trPr>
          <w:trHeight w:val="278"/>
        </w:trPr>
        <w:tc>
          <w:tcPr>
            <w:tcW w:w="1418" w:type="dxa"/>
            <w:vAlign w:val="center"/>
          </w:tcPr>
          <w:p w14:paraId="710D4470" w14:textId="77777777" w:rsidR="00ED098E" w:rsidRDefault="00ED098E" w:rsidP="005D3292">
            <w:pPr>
              <w:rPr>
                <w:rFonts w:cs="Arial"/>
                <w:noProof/>
              </w:rPr>
            </w:pPr>
            <w:r>
              <w:rPr>
                <w:rFonts w:cs="Arial"/>
                <w:noProof/>
              </w:rPr>
              <w:t>66-75</w:t>
            </w:r>
          </w:p>
        </w:tc>
        <w:tc>
          <w:tcPr>
            <w:tcW w:w="987" w:type="dxa"/>
            <w:vAlign w:val="center"/>
          </w:tcPr>
          <w:p w14:paraId="25076956" w14:textId="77777777" w:rsidR="00ED098E" w:rsidRPr="001D1C01" w:rsidRDefault="00ED098E" w:rsidP="005D3292">
            <w:pPr>
              <w:jc w:val="right"/>
              <w:rPr>
                <w:rFonts w:cs="Arial"/>
                <w:noProof/>
              </w:rPr>
            </w:pPr>
            <w:r>
              <w:rPr>
                <w:rFonts w:cs="Arial"/>
                <w:noProof/>
              </w:rPr>
              <w:t>0</w:t>
            </w:r>
          </w:p>
        </w:tc>
        <w:tc>
          <w:tcPr>
            <w:tcW w:w="1134" w:type="dxa"/>
            <w:vAlign w:val="center"/>
          </w:tcPr>
          <w:p w14:paraId="2860CA68" w14:textId="77777777" w:rsidR="00ED098E" w:rsidRPr="001D1C01" w:rsidRDefault="00ED098E" w:rsidP="005D3292">
            <w:pPr>
              <w:jc w:val="right"/>
              <w:rPr>
                <w:rFonts w:cs="Arial"/>
                <w:noProof/>
              </w:rPr>
            </w:pPr>
            <w:r>
              <w:rPr>
                <w:rFonts w:cs="Arial"/>
                <w:noProof/>
              </w:rPr>
              <w:t>0</w:t>
            </w:r>
          </w:p>
        </w:tc>
        <w:tc>
          <w:tcPr>
            <w:tcW w:w="851" w:type="dxa"/>
          </w:tcPr>
          <w:p w14:paraId="2441BA2B" w14:textId="77777777" w:rsidR="00ED098E" w:rsidRPr="006B597B" w:rsidRDefault="00ED098E" w:rsidP="005D3292">
            <w:pPr>
              <w:jc w:val="right"/>
              <w:rPr>
                <w:rFonts w:cs="Arial"/>
                <w:b/>
                <w:bCs/>
                <w:noProof/>
              </w:rPr>
            </w:pPr>
            <w:r w:rsidRPr="006B597B">
              <w:rPr>
                <w:rFonts w:cs="Arial"/>
                <w:b/>
                <w:bCs/>
                <w:noProof/>
              </w:rPr>
              <w:t>0</w:t>
            </w:r>
          </w:p>
        </w:tc>
        <w:tc>
          <w:tcPr>
            <w:tcW w:w="567" w:type="dxa"/>
            <w:tcBorders>
              <w:top w:val="nil"/>
              <w:bottom w:val="nil"/>
            </w:tcBorders>
          </w:tcPr>
          <w:p w14:paraId="088FDAEB" w14:textId="77777777" w:rsidR="00ED098E" w:rsidRDefault="00ED098E" w:rsidP="005D3292">
            <w:pPr>
              <w:rPr>
                <w:rFonts w:cs="Arial"/>
                <w:noProof/>
              </w:rPr>
            </w:pPr>
          </w:p>
        </w:tc>
        <w:tc>
          <w:tcPr>
            <w:tcW w:w="1417" w:type="dxa"/>
            <w:vAlign w:val="center"/>
          </w:tcPr>
          <w:p w14:paraId="11CE0DF0" w14:textId="77777777" w:rsidR="00ED098E" w:rsidRPr="001D1C01" w:rsidRDefault="00ED098E" w:rsidP="005D3292">
            <w:pPr>
              <w:rPr>
                <w:rFonts w:cs="Arial"/>
                <w:noProof/>
              </w:rPr>
            </w:pPr>
            <w:r>
              <w:rPr>
                <w:rFonts w:cs="Arial"/>
                <w:noProof/>
              </w:rPr>
              <w:t>66-75</w:t>
            </w:r>
          </w:p>
        </w:tc>
        <w:tc>
          <w:tcPr>
            <w:tcW w:w="992" w:type="dxa"/>
            <w:vAlign w:val="center"/>
          </w:tcPr>
          <w:p w14:paraId="28F97C3E" w14:textId="77777777" w:rsidR="00ED098E" w:rsidRDefault="00ED098E" w:rsidP="005D3292">
            <w:pPr>
              <w:jc w:val="right"/>
              <w:rPr>
                <w:rFonts w:cs="Arial"/>
                <w:noProof/>
              </w:rPr>
            </w:pPr>
            <w:r>
              <w:rPr>
                <w:rFonts w:cs="Arial"/>
                <w:noProof/>
              </w:rPr>
              <w:t>1</w:t>
            </w:r>
          </w:p>
        </w:tc>
        <w:tc>
          <w:tcPr>
            <w:tcW w:w="1134" w:type="dxa"/>
            <w:vAlign w:val="center"/>
          </w:tcPr>
          <w:p w14:paraId="06201804" w14:textId="3FB2518F" w:rsidR="00ED098E" w:rsidRDefault="00BF2F2F" w:rsidP="005D3292">
            <w:pPr>
              <w:jc w:val="right"/>
              <w:rPr>
                <w:rFonts w:cs="Arial"/>
                <w:noProof/>
              </w:rPr>
            </w:pPr>
            <w:r>
              <w:rPr>
                <w:rFonts w:cs="Arial"/>
                <w:noProof/>
              </w:rPr>
              <w:t>2</w:t>
            </w:r>
          </w:p>
        </w:tc>
        <w:tc>
          <w:tcPr>
            <w:tcW w:w="851" w:type="dxa"/>
          </w:tcPr>
          <w:p w14:paraId="1845FB7E" w14:textId="23F4C6B2" w:rsidR="00ED098E" w:rsidRPr="006B597B" w:rsidRDefault="00BF2F2F" w:rsidP="005D3292">
            <w:pPr>
              <w:jc w:val="right"/>
              <w:rPr>
                <w:rFonts w:cs="Arial"/>
                <w:b/>
                <w:bCs/>
                <w:noProof/>
              </w:rPr>
            </w:pPr>
            <w:r>
              <w:rPr>
                <w:rFonts w:cs="Arial"/>
                <w:b/>
                <w:bCs/>
                <w:noProof/>
              </w:rPr>
              <w:t>3</w:t>
            </w:r>
          </w:p>
        </w:tc>
      </w:tr>
      <w:tr w:rsidR="00ED098E" w14:paraId="6016CDC6" w14:textId="77777777" w:rsidTr="005D3292">
        <w:trPr>
          <w:trHeight w:val="278"/>
        </w:trPr>
        <w:tc>
          <w:tcPr>
            <w:tcW w:w="1418" w:type="dxa"/>
            <w:vAlign w:val="center"/>
          </w:tcPr>
          <w:p w14:paraId="235C0385" w14:textId="77777777" w:rsidR="00ED098E" w:rsidRDefault="00ED098E" w:rsidP="005D3292">
            <w:pPr>
              <w:rPr>
                <w:rFonts w:cs="Arial"/>
                <w:noProof/>
              </w:rPr>
            </w:pPr>
            <w:r>
              <w:rPr>
                <w:rFonts w:cs="Arial"/>
                <w:noProof/>
              </w:rPr>
              <w:t>76-85</w:t>
            </w:r>
          </w:p>
        </w:tc>
        <w:tc>
          <w:tcPr>
            <w:tcW w:w="987" w:type="dxa"/>
            <w:vAlign w:val="center"/>
          </w:tcPr>
          <w:p w14:paraId="1BFFCAB4" w14:textId="77777777" w:rsidR="00ED098E" w:rsidRPr="001D1C01" w:rsidRDefault="00ED098E" w:rsidP="005D3292">
            <w:pPr>
              <w:jc w:val="right"/>
              <w:rPr>
                <w:rFonts w:cs="Arial"/>
                <w:noProof/>
              </w:rPr>
            </w:pPr>
            <w:r>
              <w:rPr>
                <w:rFonts w:cs="Arial"/>
                <w:noProof/>
              </w:rPr>
              <w:t>0</w:t>
            </w:r>
          </w:p>
        </w:tc>
        <w:tc>
          <w:tcPr>
            <w:tcW w:w="1134" w:type="dxa"/>
            <w:vAlign w:val="center"/>
          </w:tcPr>
          <w:p w14:paraId="3F101682" w14:textId="77777777" w:rsidR="00ED098E" w:rsidRPr="001D1C01" w:rsidRDefault="00ED098E" w:rsidP="005D3292">
            <w:pPr>
              <w:jc w:val="right"/>
              <w:rPr>
                <w:rFonts w:cs="Arial"/>
                <w:noProof/>
              </w:rPr>
            </w:pPr>
            <w:r>
              <w:rPr>
                <w:rFonts w:cs="Arial"/>
                <w:noProof/>
              </w:rPr>
              <w:t>0</w:t>
            </w:r>
          </w:p>
        </w:tc>
        <w:tc>
          <w:tcPr>
            <w:tcW w:w="851" w:type="dxa"/>
          </w:tcPr>
          <w:p w14:paraId="673C5F21" w14:textId="77777777" w:rsidR="00ED098E" w:rsidRPr="006B597B" w:rsidRDefault="00ED098E" w:rsidP="005D3292">
            <w:pPr>
              <w:jc w:val="right"/>
              <w:rPr>
                <w:rFonts w:cs="Arial"/>
                <w:b/>
                <w:bCs/>
                <w:noProof/>
              </w:rPr>
            </w:pPr>
            <w:r w:rsidRPr="006B597B">
              <w:rPr>
                <w:rFonts w:cs="Arial"/>
                <w:b/>
                <w:bCs/>
                <w:noProof/>
              </w:rPr>
              <w:t>0</w:t>
            </w:r>
          </w:p>
        </w:tc>
        <w:tc>
          <w:tcPr>
            <w:tcW w:w="567" w:type="dxa"/>
            <w:tcBorders>
              <w:top w:val="nil"/>
              <w:bottom w:val="nil"/>
            </w:tcBorders>
          </w:tcPr>
          <w:p w14:paraId="121A5007" w14:textId="77777777" w:rsidR="00ED098E" w:rsidRDefault="00ED098E" w:rsidP="005D3292">
            <w:pPr>
              <w:rPr>
                <w:rFonts w:cs="Arial"/>
                <w:noProof/>
              </w:rPr>
            </w:pPr>
          </w:p>
        </w:tc>
        <w:tc>
          <w:tcPr>
            <w:tcW w:w="1417" w:type="dxa"/>
            <w:vAlign w:val="center"/>
          </w:tcPr>
          <w:p w14:paraId="167CEA9F" w14:textId="77777777" w:rsidR="00ED098E" w:rsidRPr="001D1C01" w:rsidRDefault="00ED098E" w:rsidP="005D3292">
            <w:pPr>
              <w:rPr>
                <w:rFonts w:cs="Arial"/>
                <w:noProof/>
              </w:rPr>
            </w:pPr>
            <w:r>
              <w:rPr>
                <w:rFonts w:cs="Arial"/>
                <w:noProof/>
              </w:rPr>
              <w:t>76-85</w:t>
            </w:r>
          </w:p>
        </w:tc>
        <w:tc>
          <w:tcPr>
            <w:tcW w:w="992" w:type="dxa"/>
            <w:vAlign w:val="center"/>
          </w:tcPr>
          <w:p w14:paraId="51419394" w14:textId="77777777" w:rsidR="00ED098E" w:rsidRDefault="00ED098E" w:rsidP="005D3292">
            <w:pPr>
              <w:jc w:val="right"/>
              <w:rPr>
                <w:rFonts w:cs="Arial"/>
                <w:noProof/>
              </w:rPr>
            </w:pPr>
            <w:r>
              <w:rPr>
                <w:rFonts w:cs="Arial"/>
                <w:noProof/>
              </w:rPr>
              <w:t>0</w:t>
            </w:r>
          </w:p>
        </w:tc>
        <w:tc>
          <w:tcPr>
            <w:tcW w:w="1134" w:type="dxa"/>
            <w:vAlign w:val="center"/>
          </w:tcPr>
          <w:p w14:paraId="5BC768FC" w14:textId="7FC3614B" w:rsidR="00ED098E" w:rsidRDefault="00BF2F2F" w:rsidP="005D3292">
            <w:pPr>
              <w:jc w:val="right"/>
              <w:rPr>
                <w:rFonts w:cs="Arial"/>
                <w:noProof/>
              </w:rPr>
            </w:pPr>
            <w:r>
              <w:rPr>
                <w:rFonts w:cs="Arial"/>
                <w:noProof/>
              </w:rPr>
              <w:t>2</w:t>
            </w:r>
          </w:p>
        </w:tc>
        <w:tc>
          <w:tcPr>
            <w:tcW w:w="851" w:type="dxa"/>
          </w:tcPr>
          <w:p w14:paraId="0C136BAF" w14:textId="7963320B" w:rsidR="00ED098E" w:rsidRPr="006B597B" w:rsidRDefault="00BF2F2F" w:rsidP="005D3292">
            <w:pPr>
              <w:jc w:val="right"/>
              <w:rPr>
                <w:rFonts w:cs="Arial"/>
                <w:b/>
                <w:bCs/>
                <w:noProof/>
              </w:rPr>
            </w:pPr>
            <w:r>
              <w:rPr>
                <w:rFonts w:cs="Arial"/>
                <w:b/>
                <w:bCs/>
                <w:noProof/>
              </w:rPr>
              <w:t>2</w:t>
            </w:r>
          </w:p>
        </w:tc>
      </w:tr>
      <w:tr w:rsidR="00ED098E" w14:paraId="63BB8E7E" w14:textId="77777777" w:rsidTr="005D3292">
        <w:trPr>
          <w:trHeight w:val="278"/>
        </w:trPr>
        <w:tc>
          <w:tcPr>
            <w:tcW w:w="1418" w:type="dxa"/>
            <w:vAlign w:val="center"/>
          </w:tcPr>
          <w:p w14:paraId="65E0FD6B" w14:textId="77777777" w:rsidR="00ED098E" w:rsidRPr="0093391D" w:rsidRDefault="00ED098E" w:rsidP="005D3292">
            <w:pPr>
              <w:rPr>
                <w:rFonts w:cs="Arial"/>
                <w:b/>
                <w:bCs/>
                <w:noProof/>
              </w:rPr>
            </w:pPr>
            <w:r w:rsidRPr="0093391D">
              <w:rPr>
                <w:rFonts w:cs="Arial"/>
                <w:b/>
                <w:bCs/>
                <w:noProof/>
              </w:rPr>
              <w:t>Total</w:t>
            </w:r>
          </w:p>
        </w:tc>
        <w:tc>
          <w:tcPr>
            <w:tcW w:w="987" w:type="dxa"/>
            <w:vAlign w:val="center"/>
          </w:tcPr>
          <w:p w14:paraId="0366DF92" w14:textId="707184DC" w:rsidR="00ED098E" w:rsidRPr="0093391D" w:rsidRDefault="00ED098E" w:rsidP="005D3292">
            <w:pPr>
              <w:jc w:val="right"/>
              <w:rPr>
                <w:rFonts w:cs="Arial"/>
                <w:b/>
                <w:bCs/>
                <w:noProof/>
              </w:rPr>
            </w:pPr>
            <w:r>
              <w:rPr>
                <w:rFonts w:cs="Arial"/>
                <w:b/>
                <w:bCs/>
                <w:noProof/>
              </w:rPr>
              <w:t>10</w:t>
            </w:r>
          </w:p>
        </w:tc>
        <w:tc>
          <w:tcPr>
            <w:tcW w:w="1134" w:type="dxa"/>
            <w:vAlign w:val="center"/>
          </w:tcPr>
          <w:p w14:paraId="1C9B9485" w14:textId="69469E24" w:rsidR="00ED098E" w:rsidRPr="0093391D" w:rsidRDefault="00ED098E" w:rsidP="005D3292">
            <w:pPr>
              <w:jc w:val="right"/>
              <w:rPr>
                <w:rFonts w:cs="Arial"/>
                <w:b/>
                <w:bCs/>
                <w:noProof/>
              </w:rPr>
            </w:pPr>
            <w:r>
              <w:rPr>
                <w:rFonts w:cs="Arial"/>
                <w:b/>
                <w:bCs/>
                <w:noProof/>
              </w:rPr>
              <w:t>10</w:t>
            </w:r>
          </w:p>
        </w:tc>
        <w:tc>
          <w:tcPr>
            <w:tcW w:w="851" w:type="dxa"/>
          </w:tcPr>
          <w:p w14:paraId="179D79CD" w14:textId="172AE0C6" w:rsidR="00ED098E" w:rsidRPr="006B597B" w:rsidRDefault="00ED098E" w:rsidP="005D3292">
            <w:pPr>
              <w:jc w:val="right"/>
              <w:rPr>
                <w:rFonts w:cs="Arial"/>
                <w:b/>
                <w:bCs/>
                <w:noProof/>
              </w:rPr>
            </w:pPr>
            <w:r>
              <w:rPr>
                <w:rFonts w:cs="Arial"/>
                <w:b/>
                <w:bCs/>
                <w:noProof/>
              </w:rPr>
              <w:t>20</w:t>
            </w:r>
          </w:p>
        </w:tc>
        <w:tc>
          <w:tcPr>
            <w:tcW w:w="567" w:type="dxa"/>
            <w:tcBorders>
              <w:top w:val="nil"/>
              <w:bottom w:val="nil"/>
            </w:tcBorders>
          </w:tcPr>
          <w:p w14:paraId="0F566BE4" w14:textId="77777777" w:rsidR="00ED098E" w:rsidRDefault="00ED098E" w:rsidP="005D3292">
            <w:pPr>
              <w:rPr>
                <w:rFonts w:cs="Arial"/>
                <w:noProof/>
              </w:rPr>
            </w:pPr>
          </w:p>
        </w:tc>
        <w:tc>
          <w:tcPr>
            <w:tcW w:w="1417" w:type="dxa"/>
            <w:vAlign w:val="center"/>
          </w:tcPr>
          <w:p w14:paraId="0175C912" w14:textId="77777777" w:rsidR="00ED098E" w:rsidRPr="0093391D" w:rsidRDefault="00ED098E" w:rsidP="005D3292">
            <w:pPr>
              <w:rPr>
                <w:rFonts w:cs="Arial"/>
                <w:b/>
                <w:bCs/>
                <w:noProof/>
              </w:rPr>
            </w:pPr>
            <w:r w:rsidRPr="0093391D">
              <w:rPr>
                <w:rFonts w:cs="Arial"/>
                <w:b/>
                <w:bCs/>
                <w:noProof/>
              </w:rPr>
              <w:t>Total</w:t>
            </w:r>
          </w:p>
        </w:tc>
        <w:tc>
          <w:tcPr>
            <w:tcW w:w="992" w:type="dxa"/>
            <w:vAlign w:val="center"/>
          </w:tcPr>
          <w:p w14:paraId="1EAF76B5" w14:textId="4E34DCB6" w:rsidR="00ED098E" w:rsidRPr="0093391D" w:rsidRDefault="00BF2F2F" w:rsidP="005D3292">
            <w:pPr>
              <w:jc w:val="right"/>
              <w:rPr>
                <w:rFonts w:cs="Arial"/>
                <w:b/>
                <w:bCs/>
                <w:noProof/>
              </w:rPr>
            </w:pPr>
            <w:r>
              <w:rPr>
                <w:rFonts w:cs="Arial"/>
                <w:b/>
                <w:bCs/>
                <w:noProof/>
              </w:rPr>
              <w:t>6</w:t>
            </w:r>
          </w:p>
        </w:tc>
        <w:tc>
          <w:tcPr>
            <w:tcW w:w="1134" w:type="dxa"/>
            <w:vAlign w:val="center"/>
          </w:tcPr>
          <w:p w14:paraId="4C69B5F3" w14:textId="14896EBE" w:rsidR="00ED098E" w:rsidRPr="0093391D" w:rsidRDefault="00BF2F2F" w:rsidP="005D3292">
            <w:pPr>
              <w:jc w:val="right"/>
              <w:rPr>
                <w:rFonts w:cs="Arial"/>
                <w:b/>
                <w:bCs/>
                <w:noProof/>
              </w:rPr>
            </w:pPr>
            <w:r>
              <w:rPr>
                <w:rFonts w:cs="Arial"/>
                <w:b/>
                <w:bCs/>
                <w:noProof/>
              </w:rPr>
              <w:t>22</w:t>
            </w:r>
          </w:p>
        </w:tc>
        <w:tc>
          <w:tcPr>
            <w:tcW w:w="851" w:type="dxa"/>
          </w:tcPr>
          <w:p w14:paraId="0E761976" w14:textId="152B6A62" w:rsidR="00ED098E" w:rsidRPr="0093391D" w:rsidRDefault="00BF2F2F" w:rsidP="005D3292">
            <w:pPr>
              <w:jc w:val="right"/>
              <w:rPr>
                <w:rFonts w:cs="Arial"/>
                <w:b/>
                <w:bCs/>
                <w:noProof/>
              </w:rPr>
            </w:pPr>
            <w:r>
              <w:rPr>
                <w:rFonts w:cs="Arial"/>
                <w:b/>
                <w:bCs/>
                <w:noProof/>
              </w:rPr>
              <w:t>28</w:t>
            </w:r>
          </w:p>
        </w:tc>
      </w:tr>
    </w:tbl>
    <w:p w14:paraId="730DD19A" w14:textId="742EEDAA" w:rsidR="00ED098E" w:rsidRDefault="00ED098E" w:rsidP="003833F9">
      <w:pPr>
        <w:ind w:left="-142" w:right="-425"/>
        <w:jc w:val="both"/>
        <w:rPr>
          <w:rFonts w:cs="Arial"/>
        </w:rPr>
      </w:pPr>
    </w:p>
    <w:p w14:paraId="1159CB03" w14:textId="2C1BC395" w:rsidR="009466F4" w:rsidRPr="00076ED0" w:rsidRDefault="009466F4" w:rsidP="00091CFE">
      <w:pPr>
        <w:pStyle w:val="Heading2"/>
      </w:pPr>
      <w:r w:rsidRPr="00076ED0">
        <w:t>Case Management</w:t>
      </w:r>
    </w:p>
    <w:p w14:paraId="4B9C16E2" w14:textId="2B740B65" w:rsidR="00D32026" w:rsidRDefault="00D32026" w:rsidP="00D32026">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p>
    <w:p w14:paraId="71660A75" w14:textId="77777777" w:rsidR="00D32026" w:rsidRDefault="00D32026" w:rsidP="009466F4">
      <w:pPr>
        <w:ind w:left="-142" w:right="-425"/>
        <w:jc w:val="both"/>
        <w:rPr>
          <w:rFonts w:cs="Arial"/>
        </w:rPr>
      </w:pPr>
    </w:p>
    <w:p w14:paraId="7A8A0342" w14:textId="1D981900" w:rsidR="00A009FE" w:rsidRDefault="009466F4" w:rsidP="009466F4">
      <w:pPr>
        <w:ind w:left="-142" w:right="-425"/>
        <w:jc w:val="both"/>
        <w:rPr>
          <w:rFonts w:cs="Arial"/>
        </w:rPr>
      </w:pPr>
      <w:r w:rsidRPr="00350FFE">
        <w:rPr>
          <w:rFonts w:cs="Arial"/>
        </w:rPr>
        <w:t xml:space="preserve">As at </w:t>
      </w:r>
      <w:r w:rsidR="00DA70CA">
        <w:rPr>
          <w:rFonts w:cs="Arial"/>
        </w:rPr>
        <w:t>30 June</w:t>
      </w:r>
      <w:r w:rsidR="001A5C4C">
        <w:rPr>
          <w:rFonts w:cs="Arial"/>
        </w:rPr>
        <w:t xml:space="preserve"> 2022</w:t>
      </w:r>
      <w:r w:rsidRPr="00303C40">
        <w:rPr>
          <w:rFonts w:cs="Arial"/>
        </w:rPr>
        <w:t xml:space="preserve">, </w:t>
      </w:r>
      <w:r w:rsidR="00A009FE">
        <w:rPr>
          <w:rFonts w:cs="Arial"/>
        </w:rPr>
        <w:t>200</w:t>
      </w:r>
      <w:r w:rsidR="00A009FE" w:rsidRPr="00303C40">
        <w:rPr>
          <w:rFonts w:cs="Arial"/>
        </w:rPr>
        <w:t xml:space="preserve"> </w:t>
      </w:r>
      <w:r w:rsidRPr="00303C40">
        <w:rPr>
          <w:rFonts w:cs="Arial"/>
        </w:rPr>
        <w:t xml:space="preserve">clients were being </w:t>
      </w:r>
      <w:r w:rsidRPr="00490975">
        <w:rPr>
          <w:rFonts w:cs="Arial"/>
        </w:rPr>
        <w:t>case-managed</w:t>
      </w:r>
      <w:r>
        <w:rPr>
          <w:rFonts w:cs="Arial"/>
        </w:rPr>
        <w:t xml:space="preserve"> through a current </w:t>
      </w:r>
      <w:r w:rsidR="002D09E1">
        <w:rPr>
          <w:rFonts w:cs="Arial"/>
        </w:rPr>
        <w:t xml:space="preserve">non-voluntary </w:t>
      </w:r>
      <w:r>
        <w:rPr>
          <w:rFonts w:cs="Arial"/>
        </w:rPr>
        <w:t>case plan</w:t>
      </w:r>
      <w:r w:rsidRPr="00E75A03">
        <w:rPr>
          <w:rFonts w:cs="Arial"/>
        </w:rPr>
        <w:t xml:space="preserve">, </w:t>
      </w:r>
      <w:r>
        <w:rPr>
          <w:rFonts w:cs="Arial"/>
        </w:rPr>
        <w:t>a</w:t>
      </w:r>
      <w:r w:rsidR="00A009FE">
        <w:rPr>
          <w:rFonts w:cs="Arial"/>
        </w:rPr>
        <w:t xml:space="preserve">n increase </w:t>
      </w:r>
      <w:r w:rsidR="00A836AD" w:rsidRPr="002F4F9D">
        <w:rPr>
          <w:rFonts w:cs="Arial"/>
        </w:rPr>
        <w:t xml:space="preserve">of </w:t>
      </w:r>
      <w:r w:rsidR="00A009FE">
        <w:rPr>
          <w:rFonts w:cs="Arial"/>
        </w:rPr>
        <w:t>3</w:t>
      </w:r>
      <w:r w:rsidR="004558F6">
        <w:rPr>
          <w:rFonts w:cs="Arial"/>
        </w:rPr>
        <w:t xml:space="preserve">6 </w:t>
      </w:r>
      <w:r w:rsidR="00A836AD">
        <w:rPr>
          <w:rFonts w:cs="Arial"/>
        </w:rPr>
        <w:t>from</w:t>
      </w:r>
      <w:r w:rsidRPr="00303C40">
        <w:rPr>
          <w:rFonts w:cs="Arial"/>
        </w:rPr>
        <w:t xml:space="preserve"> </w:t>
      </w:r>
      <w:r>
        <w:rPr>
          <w:rFonts w:cs="Arial"/>
        </w:rPr>
        <w:t xml:space="preserve">quarter </w:t>
      </w:r>
      <w:r w:rsidR="00951376">
        <w:rPr>
          <w:rFonts w:cs="Arial"/>
        </w:rPr>
        <w:t>55</w:t>
      </w:r>
      <w:r>
        <w:rPr>
          <w:rFonts w:cs="Arial"/>
        </w:rPr>
        <w:t>.</w:t>
      </w:r>
      <w:r w:rsidRPr="00303C40">
        <w:rPr>
          <w:rFonts w:cs="Arial"/>
        </w:rPr>
        <w:t xml:space="preserve"> </w:t>
      </w:r>
      <w:r w:rsidR="004D5E96" w:rsidRPr="002F4F9D">
        <w:rPr>
          <w:rFonts w:cs="Arial"/>
        </w:rPr>
        <w:t xml:space="preserve">Decreases </w:t>
      </w:r>
      <w:r w:rsidRPr="002F4F9D">
        <w:rPr>
          <w:rFonts w:cs="Arial"/>
        </w:rPr>
        <w:t xml:space="preserve">were seen in </w:t>
      </w:r>
      <w:r w:rsidR="004558F6">
        <w:rPr>
          <w:rFonts w:cs="Arial"/>
        </w:rPr>
        <w:t xml:space="preserve">Coen, </w:t>
      </w:r>
      <w:r w:rsidR="00C56656" w:rsidRPr="002F4F9D">
        <w:rPr>
          <w:rFonts w:cs="Arial"/>
        </w:rPr>
        <w:t xml:space="preserve">Hope Vale </w:t>
      </w:r>
      <w:r w:rsidR="002F4F9D" w:rsidRPr="002F4F9D">
        <w:rPr>
          <w:rFonts w:cs="Arial"/>
        </w:rPr>
        <w:t xml:space="preserve">and Mossman Gorge </w:t>
      </w:r>
      <w:r w:rsidR="004D5E96" w:rsidRPr="002F4F9D">
        <w:rPr>
          <w:rFonts w:cs="Arial"/>
        </w:rPr>
        <w:t xml:space="preserve">of </w:t>
      </w:r>
      <w:r w:rsidR="00A009FE">
        <w:rPr>
          <w:rFonts w:cs="Arial"/>
        </w:rPr>
        <w:t>1</w:t>
      </w:r>
      <w:r w:rsidR="004D5E96" w:rsidRPr="002F4F9D">
        <w:rPr>
          <w:rFonts w:cs="Arial"/>
        </w:rPr>
        <w:t xml:space="preserve">, </w:t>
      </w:r>
      <w:r w:rsidR="0008702D">
        <w:rPr>
          <w:rFonts w:cs="Arial"/>
        </w:rPr>
        <w:t xml:space="preserve">3, and </w:t>
      </w:r>
      <w:r w:rsidR="00B60CF7">
        <w:rPr>
          <w:rFonts w:cs="Arial"/>
        </w:rPr>
        <w:t>2</w:t>
      </w:r>
      <w:r w:rsidR="00C56656" w:rsidRPr="002F4F9D">
        <w:rPr>
          <w:rFonts w:cs="Arial"/>
        </w:rPr>
        <w:t xml:space="preserve"> </w:t>
      </w:r>
      <w:r w:rsidR="004D5E96" w:rsidRPr="002F4F9D">
        <w:rPr>
          <w:rFonts w:cs="Arial"/>
        </w:rPr>
        <w:t>respectively</w:t>
      </w:r>
      <w:r w:rsidR="00C52B7B">
        <w:rPr>
          <w:rFonts w:cs="Arial"/>
        </w:rPr>
        <w:t xml:space="preserve"> </w:t>
      </w:r>
      <w:r w:rsidR="00A009FE">
        <w:rPr>
          <w:rFonts w:cs="Arial"/>
        </w:rPr>
        <w:t>whilst Aurukun and Doomadgee increased by 35 and 7 respectively.</w:t>
      </w:r>
    </w:p>
    <w:p w14:paraId="0DE12B56" w14:textId="77777777" w:rsidR="008D6080" w:rsidRDefault="008D6080" w:rsidP="00E2657A">
      <w:pPr>
        <w:ind w:left="-142" w:right="-425"/>
        <w:jc w:val="both"/>
        <w:rPr>
          <w:rFonts w:cs="Arial"/>
        </w:rPr>
      </w:pPr>
    </w:p>
    <w:p w14:paraId="6544B717" w14:textId="44C27BD3" w:rsidR="005A5B78" w:rsidRDefault="005A5B78" w:rsidP="00091CFE">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7484BE67" w:rsidR="00FF351C" w:rsidRDefault="00A221CC" w:rsidP="00FF351C">
      <w:pPr>
        <w:ind w:left="-142" w:right="-425"/>
        <w:jc w:val="both"/>
        <w:rPr>
          <w:rFonts w:cs="Arial"/>
        </w:rPr>
      </w:pPr>
      <w:r>
        <w:rPr>
          <w:rFonts w:cs="Arial"/>
        </w:rPr>
        <w:t xml:space="preserve">Seven </w:t>
      </w:r>
      <w:r w:rsidR="00FF351C">
        <w:rPr>
          <w:rFonts w:cs="Arial"/>
        </w:rPr>
        <w:t>a</w:t>
      </w:r>
      <w:r w:rsidR="00FF351C" w:rsidRPr="009E1D38">
        <w:rPr>
          <w:rFonts w:cs="Arial"/>
        </w:rPr>
        <w:t xml:space="preserve">pplications </w:t>
      </w:r>
      <w:r w:rsidR="00FF351C">
        <w:rPr>
          <w:rFonts w:cs="Arial"/>
        </w:rPr>
        <w:t xml:space="preserve">relating to </w:t>
      </w:r>
      <w:r>
        <w:rPr>
          <w:rFonts w:cs="Arial"/>
        </w:rPr>
        <w:t xml:space="preserve">7 </w:t>
      </w:r>
      <w:r w:rsidR="00FF351C">
        <w:rPr>
          <w:rFonts w:cs="Arial"/>
        </w:rPr>
        <w:t>clients (</w:t>
      </w:r>
      <w:r>
        <w:rPr>
          <w:rFonts w:cs="Arial"/>
        </w:rPr>
        <w:t xml:space="preserve">6 </w:t>
      </w:r>
      <w:r w:rsidR="00FF351C">
        <w:rPr>
          <w:rFonts w:cs="Arial"/>
        </w:rPr>
        <w:t xml:space="preserve">female and </w:t>
      </w:r>
      <w:r>
        <w:rPr>
          <w:rFonts w:cs="Arial"/>
        </w:rPr>
        <w:t>1</w:t>
      </w:r>
      <w:r w:rsidR="001679DE">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951376">
        <w:rPr>
          <w:rFonts w:cs="Arial"/>
        </w:rPr>
        <w:t>56</w:t>
      </w:r>
      <w:r w:rsidR="00FF351C">
        <w:rPr>
          <w:rFonts w:cs="Arial"/>
        </w:rPr>
        <w:t>, a</w:t>
      </w:r>
      <w:r w:rsidR="001679DE">
        <w:rPr>
          <w:rFonts w:cs="Arial"/>
        </w:rPr>
        <w:t xml:space="preserve"> decrease </w:t>
      </w:r>
      <w:r w:rsidR="00FF351C" w:rsidRPr="009D1AAB">
        <w:rPr>
          <w:rFonts w:cs="Arial"/>
        </w:rPr>
        <w:t xml:space="preserve">of </w:t>
      </w:r>
      <w:r>
        <w:rPr>
          <w:rFonts w:cs="Arial"/>
        </w:rPr>
        <w:t>9</w:t>
      </w:r>
      <w:r w:rsidRPr="009D1AAB">
        <w:rPr>
          <w:rFonts w:cs="Arial"/>
        </w:rPr>
        <w:t xml:space="preserve"> </w:t>
      </w:r>
      <w:r w:rsidR="00FF351C">
        <w:rPr>
          <w:rFonts w:cs="Arial"/>
        </w:rPr>
        <w:t xml:space="preserve">applications </w:t>
      </w:r>
      <w:r w:rsidR="00FF351C" w:rsidRPr="009D1AAB">
        <w:rPr>
          <w:rFonts w:cs="Arial"/>
        </w:rPr>
        <w:t>from</w:t>
      </w:r>
      <w:r w:rsidR="00FF351C">
        <w:rPr>
          <w:rFonts w:cs="Arial"/>
        </w:rPr>
        <w:t xml:space="preserve"> the previous </w:t>
      </w:r>
      <w:r w:rsidR="00FF351C">
        <w:t>quarter</w:t>
      </w:r>
      <w:r w:rsidR="00FF351C" w:rsidRPr="00AF2C25">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7D850E26" w14:textId="404EB810" w:rsidR="00FF351C" w:rsidRDefault="00FF351C" w:rsidP="00F9293E">
      <w:pPr>
        <w:ind w:left="-142" w:right="-425"/>
        <w:jc w:val="both"/>
        <w:rPr>
          <w:rFonts w:cs="Arial"/>
        </w:rPr>
      </w:pPr>
    </w:p>
    <w:p w14:paraId="26732896" w14:textId="77777777" w:rsidR="0097619B" w:rsidRDefault="0097619B">
      <w:pPr>
        <w:spacing w:line="240" w:lineRule="auto"/>
        <w:rPr>
          <w:b/>
          <w:sz w:val="16"/>
        </w:rPr>
      </w:pPr>
      <w:r>
        <w:rPr>
          <w:b/>
          <w:i/>
          <w:sz w:val="16"/>
        </w:rPr>
        <w:br w:type="page"/>
      </w:r>
    </w:p>
    <w:p w14:paraId="17066F76" w14:textId="4614C916" w:rsidR="0097619B" w:rsidRPr="008E49AE" w:rsidRDefault="0097619B" w:rsidP="0097619B">
      <w:pPr>
        <w:pStyle w:val="TableCaption"/>
        <w:spacing w:before="0"/>
        <w:ind w:left="0" w:right="-425"/>
        <w:rPr>
          <w:b/>
          <w:i w:val="0"/>
          <w:sz w:val="16"/>
        </w:rPr>
      </w:pPr>
      <w:r w:rsidRPr="008E49AE">
        <w:rPr>
          <w:b/>
          <w:i w:val="0"/>
          <w:sz w:val="16"/>
        </w:rPr>
        <w:lastRenderedPageBreak/>
        <w:t xml:space="preserve">Table </w:t>
      </w:r>
      <w:r>
        <w:rPr>
          <w:b/>
          <w:i w:val="0"/>
          <w:sz w:val="16"/>
        </w:rPr>
        <w:t>27</w:t>
      </w:r>
      <w:r w:rsidRPr="008E49AE">
        <w:rPr>
          <w:b/>
          <w:i w:val="0"/>
          <w:sz w:val="16"/>
        </w:rPr>
        <w:t xml:space="preserve">: </w:t>
      </w:r>
      <w:r w:rsidRPr="008E49AE">
        <w:rPr>
          <w:i w:val="0"/>
          <w:sz w:val="16"/>
        </w:rPr>
        <w:t xml:space="preserve">Applications to Amend or End FRA or Order by community and quarter 1 </w:t>
      </w:r>
      <w:r>
        <w:rPr>
          <w:i w:val="0"/>
          <w:sz w:val="16"/>
        </w:rPr>
        <w:t xml:space="preserve">April 2021 to 30 June </w:t>
      </w:r>
      <w:r w:rsidRPr="008E49AE">
        <w:rPr>
          <w:i w:val="0"/>
          <w:sz w:val="16"/>
        </w:rPr>
        <w:t>20</w:t>
      </w:r>
      <w:r>
        <w:rPr>
          <w:i w:val="0"/>
          <w:sz w:val="16"/>
        </w:rPr>
        <w:t>22</w:t>
      </w:r>
    </w:p>
    <w:tbl>
      <w:tblPr>
        <w:tblW w:w="6840" w:type="dxa"/>
        <w:tblInd w:w="93" w:type="dxa"/>
        <w:tblLook w:val="04A0" w:firstRow="1" w:lastRow="0" w:firstColumn="1" w:lastColumn="0" w:noHBand="0" w:noVBand="1"/>
      </w:tblPr>
      <w:tblGrid>
        <w:gridCol w:w="2040"/>
        <w:gridCol w:w="960"/>
        <w:gridCol w:w="960"/>
        <w:gridCol w:w="960"/>
        <w:gridCol w:w="960"/>
        <w:gridCol w:w="960"/>
      </w:tblGrid>
      <w:tr w:rsidR="0097619B" w:rsidRPr="00C5395B" w14:paraId="7AC6FCE7" w14:textId="77777777" w:rsidTr="005D3292">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6CEED2B6" w14:textId="77777777" w:rsidR="0097619B" w:rsidRPr="00C5395B" w:rsidRDefault="0097619B" w:rsidP="0097619B">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21168FF2" w14:textId="6C4F3B59" w:rsidR="0097619B" w:rsidRDefault="0097619B" w:rsidP="0097619B">
            <w:pPr>
              <w:pStyle w:val="TableText"/>
              <w:jc w:val="right"/>
              <w:rPr>
                <w:b/>
                <w:lang w:eastAsia="en-AU"/>
              </w:rPr>
            </w:pPr>
            <w:r>
              <w:rPr>
                <w:b/>
                <w:lang w:eastAsia="en-AU"/>
              </w:rPr>
              <w:t>Qtr 52</w:t>
            </w:r>
          </w:p>
        </w:tc>
        <w:tc>
          <w:tcPr>
            <w:tcW w:w="960" w:type="dxa"/>
            <w:tcBorders>
              <w:top w:val="single" w:sz="4" w:space="0" w:color="auto"/>
              <w:left w:val="nil"/>
              <w:bottom w:val="single" w:sz="4" w:space="0" w:color="auto"/>
              <w:right w:val="single" w:sz="4" w:space="0" w:color="auto"/>
            </w:tcBorders>
          </w:tcPr>
          <w:p w14:paraId="799D0C41" w14:textId="699711F6" w:rsidR="0097619B" w:rsidRDefault="0097619B" w:rsidP="0097619B">
            <w:pPr>
              <w:pStyle w:val="TableText"/>
              <w:jc w:val="right"/>
              <w:rPr>
                <w:b/>
                <w:lang w:eastAsia="en-AU"/>
              </w:rPr>
            </w:pPr>
            <w:r>
              <w:rPr>
                <w:b/>
                <w:lang w:eastAsia="en-AU"/>
              </w:rPr>
              <w:t>Qtr 53</w:t>
            </w:r>
          </w:p>
        </w:tc>
        <w:tc>
          <w:tcPr>
            <w:tcW w:w="960" w:type="dxa"/>
            <w:tcBorders>
              <w:top w:val="single" w:sz="4" w:space="0" w:color="auto"/>
              <w:left w:val="nil"/>
              <w:bottom w:val="single" w:sz="4" w:space="0" w:color="auto"/>
              <w:right w:val="single" w:sz="4" w:space="0" w:color="auto"/>
            </w:tcBorders>
          </w:tcPr>
          <w:p w14:paraId="18EC158C" w14:textId="7E32177F" w:rsidR="0097619B" w:rsidRDefault="0097619B" w:rsidP="0097619B">
            <w:pPr>
              <w:pStyle w:val="TableText"/>
              <w:jc w:val="right"/>
              <w:rPr>
                <w:b/>
                <w:lang w:eastAsia="en-AU"/>
              </w:rPr>
            </w:pPr>
            <w:r>
              <w:rPr>
                <w:b/>
                <w:lang w:eastAsia="en-AU"/>
              </w:rPr>
              <w:t>Qtr 54</w:t>
            </w:r>
          </w:p>
        </w:tc>
        <w:tc>
          <w:tcPr>
            <w:tcW w:w="960" w:type="dxa"/>
            <w:tcBorders>
              <w:top w:val="single" w:sz="4" w:space="0" w:color="auto"/>
              <w:left w:val="nil"/>
              <w:bottom w:val="single" w:sz="4" w:space="0" w:color="auto"/>
              <w:right w:val="single" w:sz="4" w:space="0" w:color="auto"/>
            </w:tcBorders>
          </w:tcPr>
          <w:p w14:paraId="3403601F" w14:textId="6F9239E8" w:rsidR="0097619B" w:rsidRDefault="0097619B" w:rsidP="0097619B">
            <w:pPr>
              <w:pStyle w:val="TableText"/>
              <w:jc w:val="right"/>
              <w:rPr>
                <w:b/>
                <w:lang w:eastAsia="en-AU"/>
              </w:rPr>
            </w:pPr>
            <w:r>
              <w:rPr>
                <w:b/>
                <w:lang w:eastAsia="en-AU"/>
              </w:rPr>
              <w:t>Qtr 55</w:t>
            </w:r>
          </w:p>
        </w:tc>
        <w:tc>
          <w:tcPr>
            <w:tcW w:w="960" w:type="dxa"/>
            <w:tcBorders>
              <w:top w:val="single" w:sz="4" w:space="0" w:color="auto"/>
              <w:left w:val="nil"/>
              <w:bottom w:val="single" w:sz="4" w:space="0" w:color="auto"/>
              <w:right w:val="single" w:sz="4" w:space="0" w:color="auto"/>
            </w:tcBorders>
          </w:tcPr>
          <w:p w14:paraId="008B4AF3" w14:textId="2ADF05F4" w:rsidR="0097619B" w:rsidRDefault="0097619B" w:rsidP="0097619B">
            <w:pPr>
              <w:pStyle w:val="TableText"/>
              <w:jc w:val="right"/>
              <w:rPr>
                <w:b/>
                <w:lang w:eastAsia="en-AU"/>
              </w:rPr>
            </w:pPr>
            <w:r>
              <w:rPr>
                <w:b/>
                <w:lang w:eastAsia="en-AU"/>
              </w:rPr>
              <w:t>Qtr 56</w:t>
            </w:r>
          </w:p>
        </w:tc>
      </w:tr>
      <w:tr w:rsidR="0097619B" w:rsidRPr="00C5395B" w14:paraId="07E04BC1" w14:textId="77777777" w:rsidTr="00A31D54">
        <w:trPr>
          <w:trHeight w:val="255"/>
        </w:trPr>
        <w:tc>
          <w:tcPr>
            <w:tcW w:w="2040" w:type="dxa"/>
            <w:tcBorders>
              <w:top w:val="nil"/>
              <w:left w:val="single" w:sz="4" w:space="0" w:color="auto"/>
              <w:bottom w:val="single" w:sz="4" w:space="0" w:color="auto"/>
              <w:right w:val="single" w:sz="4" w:space="0" w:color="auto"/>
            </w:tcBorders>
            <w:noWrap/>
            <w:hideMark/>
          </w:tcPr>
          <w:p w14:paraId="3EE125B3" w14:textId="77777777" w:rsidR="0097619B" w:rsidRPr="00C5395B" w:rsidRDefault="0097619B" w:rsidP="0097619B">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vAlign w:val="bottom"/>
          </w:tcPr>
          <w:p w14:paraId="5E702C1A" w14:textId="2395A87D" w:rsidR="0097619B" w:rsidRDefault="0097619B" w:rsidP="0097619B">
            <w:pPr>
              <w:jc w:val="right"/>
              <w:rPr>
                <w:rFonts w:cs="Arial"/>
              </w:rPr>
            </w:pPr>
            <w:r w:rsidRPr="00F1223C">
              <w:rPr>
                <w:rFonts w:cs="Arial"/>
              </w:rPr>
              <w:t>3</w:t>
            </w:r>
          </w:p>
        </w:tc>
        <w:tc>
          <w:tcPr>
            <w:tcW w:w="960" w:type="dxa"/>
            <w:tcBorders>
              <w:top w:val="nil"/>
              <w:left w:val="nil"/>
              <w:bottom w:val="single" w:sz="4" w:space="0" w:color="auto"/>
              <w:right w:val="single" w:sz="4" w:space="0" w:color="auto"/>
            </w:tcBorders>
          </w:tcPr>
          <w:p w14:paraId="1058C6C0" w14:textId="67D538D9" w:rsidR="0097619B" w:rsidRPr="00550A24" w:rsidRDefault="0097619B" w:rsidP="0097619B">
            <w:pPr>
              <w:jc w:val="right"/>
              <w:rPr>
                <w:rFonts w:cs="Arial"/>
              </w:rPr>
            </w:pPr>
            <w:r w:rsidRPr="00D919B5">
              <w:rPr>
                <w:rFonts w:cs="Arial"/>
              </w:rPr>
              <w:t>10</w:t>
            </w:r>
          </w:p>
        </w:tc>
        <w:tc>
          <w:tcPr>
            <w:tcW w:w="960" w:type="dxa"/>
            <w:tcBorders>
              <w:top w:val="nil"/>
              <w:left w:val="nil"/>
              <w:bottom w:val="single" w:sz="4" w:space="0" w:color="auto"/>
              <w:right w:val="single" w:sz="4" w:space="0" w:color="auto"/>
            </w:tcBorders>
          </w:tcPr>
          <w:p w14:paraId="38CD7D68" w14:textId="713100D1" w:rsidR="0097619B" w:rsidRPr="00D919B5" w:rsidRDefault="0097619B" w:rsidP="0097619B">
            <w:pPr>
              <w:jc w:val="right"/>
              <w:rPr>
                <w:rFonts w:cs="Arial"/>
              </w:rPr>
            </w:pPr>
            <w:r>
              <w:rPr>
                <w:rFonts w:cs="Arial"/>
              </w:rPr>
              <w:t>29</w:t>
            </w:r>
          </w:p>
        </w:tc>
        <w:tc>
          <w:tcPr>
            <w:tcW w:w="960" w:type="dxa"/>
            <w:tcBorders>
              <w:top w:val="nil"/>
              <w:left w:val="nil"/>
              <w:bottom w:val="single" w:sz="4" w:space="0" w:color="auto"/>
              <w:right w:val="single" w:sz="4" w:space="0" w:color="auto"/>
            </w:tcBorders>
          </w:tcPr>
          <w:p w14:paraId="3E50C776" w14:textId="1697BE5D" w:rsidR="0097619B" w:rsidRPr="00D919B5" w:rsidRDefault="0097619B" w:rsidP="0097619B">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3C00DB0D" w14:textId="2F768795" w:rsidR="0097619B" w:rsidRDefault="0097619B" w:rsidP="0097619B">
            <w:pPr>
              <w:jc w:val="right"/>
              <w:rPr>
                <w:rFonts w:cs="Arial"/>
              </w:rPr>
            </w:pPr>
            <w:r>
              <w:rPr>
                <w:rFonts w:cs="Arial"/>
              </w:rPr>
              <w:t>3</w:t>
            </w:r>
          </w:p>
        </w:tc>
      </w:tr>
      <w:tr w:rsidR="0097619B" w:rsidRPr="00C5395B" w14:paraId="35AD9972" w14:textId="77777777" w:rsidTr="00A31D54">
        <w:trPr>
          <w:trHeight w:val="255"/>
        </w:trPr>
        <w:tc>
          <w:tcPr>
            <w:tcW w:w="2040" w:type="dxa"/>
            <w:tcBorders>
              <w:top w:val="nil"/>
              <w:left w:val="single" w:sz="4" w:space="0" w:color="auto"/>
              <w:bottom w:val="single" w:sz="4" w:space="0" w:color="auto"/>
              <w:right w:val="single" w:sz="4" w:space="0" w:color="auto"/>
            </w:tcBorders>
            <w:noWrap/>
            <w:hideMark/>
          </w:tcPr>
          <w:p w14:paraId="42C6F046" w14:textId="77777777" w:rsidR="0097619B" w:rsidRPr="00C5395B" w:rsidRDefault="0097619B" w:rsidP="0097619B">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vAlign w:val="bottom"/>
          </w:tcPr>
          <w:p w14:paraId="64FC7A01" w14:textId="719C1BC3" w:rsidR="0097619B" w:rsidRDefault="0097619B" w:rsidP="0097619B">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44E16AA1" w14:textId="56A61C61" w:rsidR="0097619B" w:rsidRPr="00550A24" w:rsidRDefault="0097619B" w:rsidP="0097619B">
            <w:pPr>
              <w:jc w:val="right"/>
              <w:rPr>
                <w:rFonts w:cs="Arial"/>
              </w:rPr>
            </w:pPr>
            <w:r w:rsidRPr="00D919B5">
              <w:rPr>
                <w:rFonts w:cs="Arial"/>
              </w:rPr>
              <w:t>1</w:t>
            </w:r>
          </w:p>
        </w:tc>
        <w:tc>
          <w:tcPr>
            <w:tcW w:w="960" w:type="dxa"/>
            <w:tcBorders>
              <w:top w:val="nil"/>
              <w:left w:val="nil"/>
              <w:bottom w:val="single" w:sz="4" w:space="0" w:color="auto"/>
              <w:right w:val="single" w:sz="4" w:space="0" w:color="auto"/>
            </w:tcBorders>
          </w:tcPr>
          <w:p w14:paraId="16C47C68" w14:textId="15F78AFB" w:rsidR="0097619B" w:rsidRPr="00D919B5" w:rsidRDefault="0097619B" w:rsidP="0097619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AE55410" w14:textId="6C031E1F" w:rsidR="0097619B" w:rsidRPr="00D919B5" w:rsidRDefault="0097619B" w:rsidP="0097619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AD698B8" w14:textId="2E6253C4" w:rsidR="0097619B" w:rsidRDefault="0097619B" w:rsidP="0097619B">
            <w:pPr>
              <w:jc w:val="right"/>
              <w:rPr>
                <w:rFonts w:cs="Arial"/>
              </w:rPr>
            </w:pPr>
            <w:r>
              <w:rPr>
                <w:rFonts w:cs="Arial"/>
              </w:rPr>
              <w:t>1</w:t>
            </w:r>
          </w:p>
        </w:tc>
      </w:tr>
      <w:tr w:rsidR="0097619B" w:rsidRPr="00C5395B" w14:paraId="3A515E4C" w14:textId="77777777" w:rsidTr="00A31D54">
        <w:trPr>
          <w:trHeight w:val="255"/>
        </w:trPr>
        <w:tc>
          <w:tcPr>
            <w:tcW w:w="2040" w:type="dxa"/>
            <w:tcBorders>
              <w:top w:val="nil"/>
              <w:left w:val="single" w:sz="4" w:space="0" w:color="auto"/>
              <w:bottom w:val="single" w:sz="4" w:space="0" w:color="auto"/>
              <w:right w:val="single" w:sz="4" w:space="0" w:color="auto"/>
            </w:tcBorders>
            <w:noWrap/>
          </w:tcPr>
          <w:p w14:paraId="5FE472A5" w14:textId="77777777" w:rsidR="0097619B" w:rsidRPr="00C5395B" w:rsidRDefault="0097619B" w:rsidP="0097619B">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vAlign w:val="bottom"/>
          </w:tcPr>
          <w:p w14:paraId="5A0F01AD" w14:textId="0C228B78" w:rsidR="0097619B" w:rsidRDefault="0097619B" w:rsidP="0097619B">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0CC02C9B" w14:textId="3DAB7435" w:rsidR="0097619B" w:rsidRPr="00550A24" w:rsidRDefault="0097619B" w:rsidP="0097619B">
            <w:pPr>
              <w:jc w:val="right"/>
              <w:rPr>
                <w:rFonts w:cs="Arial"/>
              </w:rPr>
            </w:pPr>
            <w:r w:rsidRPr="00D919B5">
              <w:rPr>
                <w:rFonts w:cs="Arial"/>
              </w:rPr>
              <w:t>2</w:t>
            </w:r>
          </w:p>
        </w:tc>
        <w:tc>
          <w:tcPr>
            <w:tcW w:w="960" w:type="dxa"/>
            <w:tcBorders>
              <w:top w:val="nil"/>
              <w:left w:val="nil"/>
              <w:bottom w:val="single" w:sz="4" w:space="0" w:color="auto"/>
              <w:right w:val="single" w:sz="4" w:space="0" w:color="auto"/>
            </w:tcBorders>
          </w:tcPr>
          <w:p w14:paraId="437BF938" w14:textId="11983933" w:rsidR="0097619B" w:rsidRPr="00D919B5" w:rsidRDefault="0097619B" w:rsidP="0097619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614BB0E" w14:textId="30992B59" w:rsidR="0097619B" w:rsidRPr="00D919B5" w:rsidRDefault="0097619B" w:rsidP="0097619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458B62A" w14:textId="2D49D830" w:rsidR="0097619B" w:rsidRDefault="0097619B" w:rsidP="0097619B">
            <w:pPr>
              <w:jc w:val="right"/>
              <w:rPr>
                <w:rFonts w:cs="Arial"/>
              </w:rPr>
            </w:pPr>
            <w:r>
              <w:rPr>
                <w:rFonts w:cs="Arial"/>
              </w:rPr>
              <w:t>2</w:t>
            </w:r>
          </w:p>
        </w:tc>
      </w:tr>
      <w:tr w:rsidR="0097619B" w:rsidRPr="00C5395B" w14:paraId="3309988B" w14:textId="77777777" w:rsidTr="00A31D54">
        <w:trPr>
          <w:trHeight w:val="255"/>
        </w:trPr>
        <w:tc>
          <w:tcPr>
            <w:tcW w:w="2040" w:type="dxa"/>
            <w:tcBorders>
              <w:top w:val="nil"/>
              <w:left w:val="single" w:sz="4" w:space="0" w:color="auto"/>
              <w:bottom w:val="single" w:sz="4" w:space="0" w:color="auto"/>
              <w:right w:val="single" w:sz="4" w:space="0" w:color="auto"/>
            </w:tcBorders>
            <w:noWrap/>
            <w:hideMark/>
          </w:tcPr>
          <w:p w14:paraId="5E9B58CF" w14:textId="77777777" w:rsidR="0097619B" w:rsidRPr="00C5395B" w:rsidRDefault="0097619B" w:rsidP="0097619B">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vAlign w:val="bottom"/>
          </w:tcPr>
          <w:p w14:paraId="08AAD6D1" w14:textId="247A0D8B" w:rsidR="0097619B" w:rsidRDefault="0097619B" w:rsidP="0097619B">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1CFFCCB2" w14:textId="66413AD0" w:rsidR="0097619B" w:rsidRPr="00550A24" w:rsidRDefault="0097619B" w:rsidP="0097619B">
            <w:pPr>
              <w:jc w:val="right"/>
              <w:rPr>
                <w:rFonts w:cs="Arial"/>
              </w:rPr>
            </w:pPr>
            <w:r w:rsidRPr="00D919B5">
              <w:rPr>
                <w:rFonts w:cs="Arial"/>
              </w:rPr>
              <w:t>3</w:t>
            </w:r>
          </w:p>
        </w:tc>
        <w:tc>
          <w:tcPr>
            <w:tcW w:w="960" w:type="dxa"/>
            <w:tcBorders>
              <w:top w:val="nil"/>
              <w:left w:val="nil"/>
              <w:bottom w:val="single" w:sz="4" w:space="0" w:color="auto"/>
              <w:right w:val="single" w:sz="4" w:space="0" w:color="auto"/>
            </w:tcBorders>
          </w:tcPr>
          <w:p w14:paraId="1C5C880E" w14:textId="3BCF05D9" w:rsidR="0097619B" w:rsidRPr="00D919B5" w:rsidRDefault="0097619B" w:rsidP="0097619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4DC4E30" w14:textId="3B08CB3B" w:rsidR="0097619B" w:rsidRPr="00D919B5" w:rsidRDefault="0097619B" w:rsidP="0097619B">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32B05DC2" w14:textId="231B7302" w:rsidR="0097619B" w:rsidRDefault="0097619B" w:rsidP="0097619B">
            <w:pPr>
              <w:jc w:val="right"/>
              <w:rPr>
                <w:rFonts w:cs="Arial"/>
              </w:rPr>
            </w:pPr>
            <w:r>
              <w:rPr>
                <w:rFonts w:cs="Arial"/>
              </w:rPr>
              <w:t>1</w:t>
            </w:r>
          </w:p>
        </w:tc>
      </w:tr>
      <w:tr w:rsidR="0097619B" w:rsidRPr="00C5395B" w14:paraId="12ACA9A8" w14:textId="77777777" w:rsidTr="00A31D54">
        <w:trPr>
          <w:trHeight w:val="255"/>
        </w:trPr>
        <w:tc>
          <w:tcPr>
            <w:tcW w:w="2040" w:type="dxa"/>
            <w:tcBorders>
              <w:top w:val="nil"/>
              <w:left w:val="single" w:sz="4" w:space="0" w:color="auto"/>
              <w:bottom w:val="single" w:sz="4" w:space="0" w:color="auto"/>
              <w:right w:val="single" w:sz="4" w:space="0" w:color="auto"/>
            </w:tcBorders>
            <w:noWrap/>
            <w:hideMark/>
          </w:tcPr>
          <w:p w14:paraId="122DE7C3" w14:textId="77777777" w:rsidR="0097619B" w:rsidRPr="00C5395B" w:rsidRDefault="0097619B" w:rsidP="0097619B">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vAlign w:val="bottom"/>
          </w:tcPr>
          <w:p w14:paraId="0620E076" w14:textId="74E2D7AC" w:rsidR="0097619B" w:rsidRDefault="0097619B" w:rsidP="0097619B">
            <w:pPr>
              <w:jc w:val="right"/>
              <w:rPr>
                <w:rFonts w:cs="Arial"/>
              </w:rPr>
            </w:pPr>
            <w:r w:rsidRPr="00F1223C">
              <w:rPr>
                <w:rFonts w:cs="Arial"/>
              </w:rPr>
              <w:t>0</w:t>
            </w:r>
          </w:p>
        </w:tc>
        <w:tc>
          <w:tcPr>
            <w:tcW w:w="960" w:type="dxa"/>
            <w:tcBorders>
              <w:top w:val="nil"/>
              <w:left w:val="nil"/>
              <w:bottom w:val="single" w:sz="4" w:space="0" w:color="auto"/>
              <w:right w:val="single" w:sz="4" w:space="0" w:color="auto"/>
            </w:tcBorders>
          </w:tcPr>
          <w:p w14:paraId="364FC052" w14:textId="5E019684" w:rsidR="0097619B" w:rsidRPr="00550A24" w:rsidRDefault="0097619B" w:rsidP="0097619B">
            <w:pPr>
              <w:jc w:val="right"/>
              <w:rPr>
                <w:rFonts w:cs="Arial"/>
              </w:rPr>
            </w:pPr>
            <w:r w:rsidRPr="00D919B5">
              <w:rPr>
                <w:rFonts w:cs="Arial"/>
              </w:rPr>
              <w:t>0</w:t>
            </w:r>
          </w:p>
        </w:tc>
        <w:tc>
          <w:tcPr>
            <w:tcW w:w="960" w:type="dxa"/>
            <w:tcBorders>
              <w:top w:val="nil"/>
              <w:left w:val="nil"/>
              <w:bottom w:val="single" w:sz="4" w:space="0" w:color="auto"/>
              <w:right w:val="single" w:sz="4" w:space="0" w:color="auto"/>
            </w:tcBorders>
          </w:tcPr>
          <w:p w14:paraId="2C91DF22" w14:textId="34610F7A" w:rsidR="0097619B" w:rsidRPr="00D919B5" w:rsidRDefault="0097619B" w:rsidP="0097619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329F0EB" w14:textId="0D3D5D00" w:rsidR="0097619B" w:rsidRPr="00D919B5" w:rsidRDefault="0097619B" w:rsidP="0097619B">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B0C51D9" w14:textId="7E41E78F" w:rsidR="0097619B" w:rsidRDefault="0097619B" w:rsidP="0097619B">
            <w:pPr>
              <w:jc w:val="right"/>
              <w:rPr>
                <w:rFonts w:cs="Arial"/>
              </w:rPr>
            </w:pPr>
            <w:r>
              <w:rPr>
                <w:rFonts w:cs="Arial"/>
              </w:rPr>
              <w:t>0</w:t>
            </w:r>
          </w:p>
        </w:tc>
      </w:tr>
      <w:tr w:rsidR="0097619B" w:rsidRPr="00C5395B" w14:paraId="792A4B6C" w14:textId="77777777" w:rsidTr="00A31D54">
        <w:trPr>
          <w:trHeight w:val="255"/>
        </w:trPr>
        <w:tc>
          <w:tcPr>
            <w:tcW w:w="2040" w:type="dxa"/>
            <w:tcBorders>
              <w:top w:val="nil"/>
              <w:left w:val="single" w:sz="4" w:space="0" w:color="auto"/>
              <w:bottom w:val="single" w:sz="4" w:space="0" w:color="auto"/>
              <w:right w:val="single" w:sz="4" w:space="0" w:color="auto"/>
            </w:tcBorders>
            <w:noWrap/>
            <w:hideMark/>
          </w:tcPr>
          <w:p w14:paraId="04F551E0" w14:textId="77777777" w:rsidR="0097619B" w:rsidRPr="00C5395B" w:rsidRDefault="0097619B" w:rsidP="0097619B">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vAlign w:val="bottom"/>
          </w:tcPr>
          <w:p w14:paraId="5252A88F" w14:textId="6A0504E2" w:rsidR="0097619B" w:rsidRDefault="0097619B" w:rsidP="0097619B">
            <w:pPr>
              <w:jc w:val="right"/>
              <w:rPr>
                <w:rFonts w:cs="Arial"/>
                <w:b/>
                <w:bCs/>
              </w:rPr>
            </w:pPr>
            <w:r w:rsidRPr="00F1223C">
              <w:rPr>
                <w:rFonts w:cs="Arial"/>
                <w:b/>
                <w:bCs/>
              </w:rPr>
              <w:t>3</w:t>
            </w:r>
          </w:p>
        </w:tc>
        <w:tc>
          <w:tcPr>
            <w:tcW w:w="960" w:type="dxa"/>
            <w:tcBorders>
              <w:top w:val="nil"/>
              <w:left w:val="nil"/>
              <w:bottom w:val="single" w:sz="4" w:space="0" w:color="auto"/>
              <w:right w:val="single" w:sz="4" w:space="0" w:color="auto"/>
            </w:tcBorders>
          </w:tcPr>
          <w:p w14:paraId="481959E7" w14:textId="5B062DE4" w:rsidR="0097619B" w:rsidRPr="00550A24" w:rsidRDefault="0097619B" w:rsidP="0097619B">
            <w:pPr>
              <w:jc w:val="right"/>
              <w:rPr>
                <w:rFonts w:cs="Arial"/>
                <w:b/>
                <w:bCs/>
              </w:rPr>
            </w:pPr>
            <w:r w:rsidRPr="00D919B5">
              <w:rPr>
                <w:rFonts w:cs="Arial"/>
                <w:b/>
                <w:bCs/>
              </w:rPr>
              <w:t>16</w:t>
            </w:r>
          </w:p>
        </w:tc>
        <w:tc>
          <w:tcPr>
            <w:tcW w:w="960" w:type="dxa"/>
            <w:tcBorders>
              <w:top w:val="nil"/>
              <w:left w:val="nil"/>
              <w:bottom w:val="single" w:sz="4" w:space="0" w:color="auto"/>
              <w:right w:val="single" w:sz="4" w:space="0" w:color="auto"/>
            </w:tcBorders>
          </w:tcPr>
          <w:p w14:paraId="0F9AD899" w14:textId="10A8B201" w:rsidR="0097619B" w:rsidRPr="00D919B5" w:rsidRDefault="0097619B" w:rsidP="0097619B">
            <w:pPr>
              <w:jc w:val="right"/>
              <w:rPr>
                <w:rFonts w:cs="Arial"/>
                <w:b/>
                <w:bCs/>
              </w:rPr>
            </w:pPr>
            <w:r>
              <w:rPr>
                <w:rFonts w:cs="Arial"/>
                <w:b/>
                <w:bCs/>
              </w:rPr>
              <w:t>32</w:t>
            </w:r>
          </w:p>
        </w:tc>
        <w:tc>
          <w:tcPr>
            <w:tcW w:w="960" w:type="dxa"/>
            <w:tcBorders>
              <w:top w:val="nil"/>
              <w:left w:val="nil"/>
              <w:bottom w:val="single" w:sz="4" w:space="0" w:color="auto"/>
              <w:right w:val="single" w:sz="4" w:space="0" w:color="auto"/>
            </w:tcBorders>
          </w:tcPr>
          <w:p w14:paraId="42742BB7" w14:textId="4319F5BA" w:rsidR="0097619B" w:rsidRPr="00D919B5" w:rsidRDefault="0097619B" w:rsidP="0097619B">
            <w:pPr>
              <w:jc w:val="right"/>
              <w:rPr>
                <w:rFonts w:cs="Arial"/>
                <w:b/>
                <w:bCs/>
              </w:rPr>
            </w:pPr>
            <w:r>
              <w:rPr>
                <w:rFonts w:cs="Arial"/>
                <w:b/>
                <w:bCs/>
              </w:rPr>
              <w:t>16</w:t>
            </w:r>
          </w:p>
        </w:tc>
        <w:tc>
          <w:tcPr>
            <w:tcW w:w="960" w:type="dxa"/>
            <w:tcBorders>
              <w:top w:val="nil"/>
              <w:left w:val="nil"/>
              <w:bottom w:val="single" w:sz="4" w:space="0" w:color="auto"/>
              <w:right w:val="single" w:sz="4" w:space="0" w:color="auto"/>
            </w:tcBorders>
          </w:tcPr>
          <w:p w14:paraId="7DBDE5EA" w14:textId="35267F6F" w:rsidR="0097619B" w:rsidRDefault="0097619B" w:rsidP="0097619B">
            <w:pPr>
              <w:jc w:val="right"/>
              <w:rPr>
                <w:rFonts w:cs="Arial"/>
                <w:b/>
                <w:bCs/>
              </w:rPr>
            </w:pPr>
            <w:r>
              <w:rPr>
                <w:rFonts w:cs="Arial"/>
                <w:b/>
                <w:bCs/>
              </w:rPr>
              <w:t>7</w:t>
            </w:r>
          </w:p>
        </w:tc>
      </w:tr>
    </w:tbl>
    <w:p w14:paraId="46EB1DDC" w14:textId="77777777" w:rsidR="003E589C" w:rsidRPr="00CF3AF9" w:rsidRDefault="003E589C" w:rsidP="00CF3AF9">
      <w:pPr>
        <w:ind w:left="-142" w:right="-425"/>
        <w:jc w:val="both"/>
        <w:rPr>
          <w:rFonts w:cs="Arial"/>
        </w:rPr>
      </w:pPr>
    </w:p>
    <w:p w14:paraId="0C44E9B8" w14:textId="207B5029" w:rsidR="004E7166" w:rsidRPr="00076ED0" w:rsidRDefault="004E7166" w:rsidP="00091CFE">
      <w:pPr>
        <w:pStyle w:val="Heading2"/>
      </w:pPr>
      <w:r w:rsidRPr="00076ED0">
        <w:t>Application</w:t>
      </w:r>
      <w:r>
        <w:t xml:space="preserve"> </w:t>
      </w:r>
      <w:r w:rsidR="001D6F7E">
        <w:t>decisions</w:t>
      </w:r>
    </w:p>
    <w:p w14:paraId="0887A42F" w14:textId="0DF9844E" w:rsidR="00280607" w:rsidRPr="00E92E29" w:rsidRDefault="00B60CF7" w:rsidP="00E92E29">
      <w:pPr>
        <w:ind w:left="-142" w:right="-425"/>
        <w:jc w:val="both"/>
        <w:rPr>
          <w:rFonts w:cs="Arial"/>
        </w:rPr>
      </w:pPr>
      <w:r w:rsidRPr="00E92E29">
        <w:rPr>
          <w:rFonts w:cs="Arial"/>
        </w:rPr>
        <w:t xml:space="preserve">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 or section 109 for a voluntary agreement, and may include either agreeing or refusing to amend or end an agreement or order, or if the Commissioners deem the application for a FRA or order frivolous or vexatious, dismissing the application. For an application received under section 97 of the FRC Act if the Commission fails to make a decision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30D941D0" w:rsidR="00C029A0" w:rsidRDefault="00B408D8" w:rsidP="00B408D8">
      <w:pPr>
        <w:ind w:left="-142" w:right="-425"/>
        <w:jc w:val="both"/>
        <w:rPr>
          <w:rFonts w:cs="Arial"/>
        </w:rPr>
      </w:pPr>
      <w:r>
        <w:rPr>
          <w:rFonts w:cs="Arial"/>
        </w:rPr>
        <w:t xml:space="preserve">A total of </w:t>
      </w:r>
      <w:r w:rsidR="00A602F4">
        <w:rPr>
          <w:rFonts w:cs="Arial"/>
        </w:rPr>
        <w:t>three</w:t>
      </w:r>
      <w:r>
        <w:rPr>
          <w:rFonts w:cs="Arial"/>
        </w:rPr>
        <w:t xml:space="preserve"> </w:t>
      </w:r>
      <w:r w:rsidR="00CA1B19">
        <w:rPr>
          <w:rFonts w:cs="Arial"/>
        </w:rPr>
        <w:t xml:space="preserve">amend/end </w:t>
      </w:r>
      <w:r>
        <w:rPr>
          <w:rFonts w:cs="Arial"/>
        </w:rPr>
        <w:t>application</w:t>
      </w:r>
      <w:r w:rsidR="00CA1B19">
        <w:rPr>
          <w:rFonts w:cs="Arial"/>
        </w:rPr>
        <w:t>s</w:t>
      </w:r>
      <w:r w:rsidR="007A7B2F">
        <w:rPr>
          <w:rFonts w:cs="Arial"/>
        </w:rPr>
        <w:t>,</w:t>
      </w:r>
      <w:r w:rsidR="00CA1B19">
        <w:rPr>
          <w:rFonts w:cs="Arial"/>
        </w:rPr>
        <w:t xml:space="preserve"> all</w:t>
      </w:r>
      <w:r>
        <w:rPr>
          <w:rFonts w:cs="Arial"/>
        </w:rPr>
        <w:t xml:space="preserve"> </w:t>
      </w:r>
      <w:r w:rsidR="00CA1B19">
        <w:rPr>
          <w:rFonts w:cs="Arial"/>
        </w:rPr>
        <w:t>for Family Responsibilities Orders</w:t>
      </w:r>
      <w:r w:rsidR="007A7B2F">
        <w:rPr>
          <w:rFonts w:cs="Arial"/>
        </w:rPr>
        <w:t>,</w:t>
      </w:r>
      <w:r w:rsidR="00CA1B19">
        <w:rPr>
          <w:rFonts w:cs="Arial"/>
        </w:rPr>
        <w:t xml:space="preserve"> were decided </w:t>
      </w:r>
      <w:r>
        <w:rPr>
          <w:rFonts w:cs="Arial"/>
        </w:rPr>
        <w:t xml:space="preserve">in quarter </w:t>
      </w:r>
      <w:r w:rsidR="00951376">
        <w:rPr>
          <w:rFonts w:cs="Arial"/>
        </w:rPr>
        <w:t>56</w:t>
      </w:r>
      <w:r w:rsidR="00686C92">
        <w:rPr>
          <w:rFonts w:cs="Arial"/>
        </w:rPr>
        <w:t xml:space="preserve"> with </w:t>
      </w:r>
      <w:r w:rsidR="0013587E">
        <w:rPr>
          <w:rFonts w:cs="Arial"/>
        </w:rPr>
        <w:t>all</w:t>
      </w:r>
      <w:r w:rsidR="00686C92">
        <w:rPr>
          <w:rFonts w:cs="Arial"/>
        </w:rPr>
        <w:t xml:space="preserve"> applications made by clients</w:t>
      </w:r>
      <w:r w:rsidR="00211380">
        <w:rPr>
          <w:rFonts w:cs="Arial"/>
        </w:rPr>
        <w:t xml:space="preserve"> accepted by the FRC. A breakdown of the type of applications is as follows</w:t>
      </w:r>
      <w:r w:rsidR="00C029A0">
        <w:rPr>
          <w:rFonts w:cs="Arial"/>
        </w:rPr>
        <w:t>:</w:t>
      </w:r>
    </w:p>
    <w:p w14:paraId="42BB4ECF" w14:textId="77777777" w:rsidR="00C81DF4" w:rsidRDefault="00C81DF4" w:rsidP="00B408D8">
      <w:pPr>
        <w:ind w:left="-142" w:right="-425"/>
        <w:jc w:val="both"/>
        <w:rPr>
          <w:rFonts w:cs="Arial"/>
        </w:rPr>
      </w:pPr>
    </w:p>
    <w:p w14:paraId="3A6244EA" w14:textId="3DEE032E" w:rsidR="00C029A0" w:rsidRPr="00FB5E8C" w:rsidRDefault="00A602F4" w:rsidP="002776FF">
      <w:pPr>
        <w:pStyle w:val="ListParagraph"/>
        <w:numPr>
          <w:ilvl w:val="0"/>
          <w:numId w:val="11"/>
        </w:numPr>
        <w:tabs>
          <w:tab w:val="decimal" w:pos="567"/>
        </w:tabs>
        <w:spacing w:line="288" w:lineRule="auto"/>
        <w:ind w:left="572" w:right="-425" w:hanging="357"/>
        <w:rPr>
          <w:rFonts w:ascii="Verdana" w:hAnsi="Verdana" w:cs="Arial"/>
          <w:sz w:val="20"/>
          <w:szCs w:val="20"/>
        </w:rPr>
      </w:pPr>
      <w:r>
        <w:rPr>
          <w:rFonts w:ascii="Verdana" w:hAnsi="Verdana" w:cs="Arial"/>
          <w:sz w:val="20"/>
          <w:szCs w:val="20"/>
        </w:rPr>
        <w:t>3</w:t>
      </w:r>
      <w:r w:rsidR="00C029A0" w:rsidRPr="00FB5E8C">
        <w:rPr>
          <w:rFonts w:ascii="Verdana" w:hAnsi="Verdana" w:cs="Arial"/>
          <w:sz w:val="20"/>
          <w:szCs w:val="20"/>
        </w:rPr>
        <w:t xml:space="preserve"> Applications were accepted and </w:t>
      </w:r>
      <w:r w:rsidR="00E56863" w:rsidRPr="00FB5E8C">
        <w:rPr>
          <w:rFonts w:ascii="Verdana" w:hAnsi="Verdana" w:cs="Arial"/>
          <w:sz w:val="20"/>
          <w:szCs w:val="20"/>
        </w:rPr>
        <w:t xml:space="preserve">conditional income management </w:t>
      </w:r>
      <w:r w:rsidR="00C23ACD">
        <w:rPr>
          <w:rFonts w:ascii="Verdana" w:hAnsi="Verdana" w:cs="Arial"/>
          <w:sz w:val="20"/>
          <w:szCs w:val="20"/>
        </w:rPr>
        <w:t>orders</w:t>
      </w:r>
      <w:r w:rsidR="00C029A0" w:rsidRPr="00FB5E8C">
        <w:rPr>
          <w:rFonts w:ascii="Verdana" w:hAnsi="Verdana" w:cs="Arial"/>
          <w:sz w:val="20"/>
          <w:szCs w:val="20"/>
        </w:rPr>
        <w:t xml:space="preserve"> ended</w:t>
      </w:r>
      <w:r w:rsidR="00E56863">
        <w:rPr>
          <w:rFonts w:ascii="Verdana" w:hAnsi="Verdana" w:cs="Arial"/>
          <w:sz w:val="20"/>
          <w:szCs w:val="20"/>
        </w:rPr>
        <w:t>.</w:t>
      </w:r>
    </w:p>
    <w:p w14:paraId="3ED534EB" w14:textId="77777777" w:rsidR="00CA1B19" w:rsidRDefault="00CA1B19" w:rsidP="00B408D8">
      <w:pPr>
        <w:ind w:left="-142" w:right="-425"/>
        <w:jc w:val="both"/>
        <w:rPr>
          <w:rFonts w:cs="Arial"/>
        </w:rPr>
      </w:pPr>
    </w:p>
    <w:p w14:paraId="44D0AC43" w14:textId="58B503A5" w:rsidR="00B9549C" w:rsidRDefault="00C029A0" w:rsidP="00B408D8">
      <w:pPr>
        <w:ind w:left="-142" w:right="-425"/>
        <w:jc w:val="both"/>
        <w:rPr>
          <w:rFonts w:cs="Arial"/>
        </w:rPr>
      </w:pPr>
      <w:r>
        <w:rPr>
          <w:rFonts w:cs="Arial"/>
        </w:rPr>
        <w:t>A total of</w:t>
      </w:r>
      <w:r w:rsidR="00464E31">
        <w:rPr>
          <w:rFonts w:cs="Arial"/>
        </w:rPr>
        <w:t xml:space="preserve"> </w:t>
      </w:r>
      <w:r w:rsidR="00A602F4">
        <w:rPr>
          <w:rFonts w:cs="Arial"/>
        </w:rPr>
        <w:t>five</w:t>
      </w:r>
      <w:r w:rsidR="00A602F4"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a voluntary agreement</w:t>
      </w:r>
      <w:r w:rsidR="00464E31">
        <w:rPr>
          <w:rFonts w:cs="Arial"/>
        </w:rPr>
        <w:t xml:space="preserve"> were decided</w:t>
      </w:r>
      <w:r w:rsidR="00211380">
        <w:rPr>
          <w:rFonts w:cs="Arial"/>
        </w:rPr>
        <w:t xml:space="preserve"> in the reporting period with </w:t>
      </w:r>
      <w:r w:rsidR="00A602F4">
        <w:rPr>
          <w:rFonts w:cs="Arial"/>
        </w:rPr>
        <w:t>all</w:t>
      </w:r>
      <w:r w:rsidR="00CB0763">
        <w:rPr>
          <w:rFonts w:cs="Arial"/>
        </w:rPr>
        <w:t xml:space="preserve"> </w:t>
      </w:r>
      <w:r w:rsidR="00211380">
        <w:rPr>
          <w:rFonts w:cs="Arial"/>
        </w:rPr>
        <w:t>applications made by clients accepted by the FRC</w:t>
      </w:r>
      <w:r w:rsidR="00C37FA9">
        <w:rPr>
          <w:rFonts w:cs="Arial"/>
        </w:rPr>
        <w:t>.</w:t>
      </w:r>
      <w:r w:rsidR="00211380">
        <w:rPr>
          <w:rFonts w:cs="Arial"/>
        </w:rPr>
        <w:t xml:space="preserve"> A breakdown of the type of applications is as follows</w:t>
      </w:r>
      <w:r>
        <w:rPr>
          <w:rFonts w:cs="Arial"/>
        </w:rPr>
        <w:t>:</w:t>
      </w:r>
    </w:p>
    <w:p w14:paraId="5C96541D" w14:textId="77777777" w:rsidR="00C81DF4" w:rsidRDefault="00C81DF4" w:rsidP="00B408D8">
      <w:pPr>
        <w:ind w:left="-142" w:right="-425"/>
        <w:jc w:val="both"/>
        <w:rPr>
          <w:rFonts w:cs="Arial"/>
        </w:rPr>
      </w:pPr>
    </w:p>
    <w:p w14:paraId="1E5C4343" w14:textId="593EFC24" w:rsidR="00C029A0" w:rsidRPr="00FB5E8C" w:rsidRDefault="00A602F4"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4</w:t>
      </w:r>
      <w:r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Pr>
          <w:rFonts w:ascii="Verdana" w:hAnsi="Verdana" w:cs="Arial"/>
          <w:sz w:val="20"/>
          <w:szCs w:val="20"/>
        </w:rPr>
        <w:t xml:space="preserve"> and</w:t>
      </w:r>
    </w:p>
    <w:p w14:paraId="76B49A67" w14:textId="1D7F163C" w:rsidR="00E56863" w:rsidRDefault="00C029A0"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sidRPr="00FB5E8C">
        <w:rPr>
          <w:rFonts w:ascii="Verdana" w:hAnsi="Verdana" w:cs="Arial"/>
          <w:sz w:val="20"/>
          <w:szCs w:val="20"/>
        </w:rPr>
        <w:t>1 Application was accepted and the voluntary income management agreement amended</w:t>
      </w:r>
      <w:r w:rsidR="007A7B2F">
        <w:rPr>
          <w:rFonts w:ascii="Verdana" w:hAnsi="Verdana" w:cs="Arial"/>
          <w:sz w:val="20"/>
          <w:szCs w:val="20"/>
        </w:rPr>
        <w:t>,</w:t>
      </w:r>
      <w:r w:rsidRPr="00FB5E8C">
        <w:rPr>
          <w:rFonts w:ascii="Verdana" w:hAnsi="Verdana" w:cs="Arial"/>
          <w:sz w:val="20"/>
          <w:szCs w:val="20"/>
        </w:rPr>
        <w:t xml:space="preserve"> reducing </w:t>
      </w:r>
      <w:r w:rsidR="0011612A" w:rsidRPr="00FB5E8C">
        <w:rPr>
          <w:rFonts w:ascii="Verdana" w:hAnsi="Verdana" w:cs="Arial"/>
          <w:sz w:val="20"/>
          <w:szCs w:val="20"/>
        </w:rPr>
        <w:t xml:space="preserve">from </w:t>
      </w:r>
      <w:r w:rsidR="00A602F4">
        <w:rPr>
          <w:rFonts w:ascii="Verdana" w:hAnsi="Verdana" w:cs="Arial"/>
          <w:sz w:val="20"/>
          <w:szCs w:val="20"/>
        </w:rPr>
        <w:t>90</w:t>
      </w:r>
      <w:r w:rsidR="0011612A" w:rsidRPr="00FB5E8C">
        <w:rPr>
          <w:rFonts w:ascii="Verdana" w:hAnsi="Verdana" w:cs="Arial"/>
          <w:sz w:val="20"/>
          <w:szCs w:val="20"/>
        </w:rPr>
        <w:t>% to 60% for the remaining period of the voluntary agreement</w:t>
      </w:r>
      <w:r w:rsidR="00A602F4">
        <w:rPr>
          <w:rFonts w:ascii="Verdana" w:hAnsi="Verdana" w:cs="Arial"/>
          <w:sz w:val="20"/>
          <w:szCs w:val="20"/>
        </w:rPr>
        <w:t>.</w:t>
      </w:r>
    </w:p>
    <w:p w14:paraId="50DBFCDE" w14:textId="77777777" w:rsidR="00643E4F" w:rsidRDefault="00643E4F" w:rsidP="00FF351C">
      <w:pPr>
        <w:ind w:left="-142" w:right="-425"/>
        <w:jc w:val="both"/>
      </w:pPr>
    </w:p>
    <w:p w14:paraId="487734F6" w14:textId="063A3F04" w:rsidR="00964C44" w:rsidRDefault="00353EB2" w:rsidP="00FF351C">
      <w:pPr>
        <w:ind w:left="-142" w:right="-425"/>
        <w:jc w:val="both"/>
      </w:pPr>
      <w:r>
        <w:t>Th</w:t>
      </w:r>
      <w:r w:rsidR="005A5B78" w:rsidRPr="00E34093">
        <w:t>e Commission continues to encourage clients to participa</w:t>
      </w:r>
      <w:r w:rsidR="0061573D">
        <w:t xml:space="preserve">te in the </w:t>
      </w:r>
      <w:r w:rsidR="007A7B2F">
        <w:t>a</w:t>
      </w:r>
      <w:r w:rsidR="0061573D">
        <w:t xml:space="preserve">mend or </w:t>
      </w:r>
      <w:r w:rsidR="007A7B2F">
        <w:t>e</w:t>
      </w:r>
      <w:r w:rsidR="0061573D">
        <w:t>nd process.</w:t>
      </w:r>
      <w:r w:rsidR="005A5B78" w:rsidRPr="00E34093">
        <w:t xml:space="preserve"> Commissioners </w:t>
      </w:r>
      <w:r w:rsidR="00FB4B1F">
        <w:t>consider that the participation of clients in the amend/end process is indicative of c</w:t>
      </w:r>
      <w:r w:rsidR="005A5B78" w:rsidRPr="00E34093">
        <w:t>lient confidence to question decisions and the reasons behind decisions, both for decisions delivered by the Commission and decisions delivered by external agencies and bodies.</w:t>
      </w:r>
      <w:bookmarkStart w:id="17" w:name="_Toc222226583"/>
      <w:bookmarkStart w:id="18" w:name="_Toc304386232"/>
      <w:bookmarkStart w:id="19" w:name="_Toc304386309"/>
      <w:bookmarkStart w:id="20" w:name="_Toc306011182"/>
    </w:p>
    <w:p w14:paraId="1024B39C" w14:textId="77777777" w:rsidR="00964C44" w:rsidRDefault="00964C44" w:rsidP="00E77802">
      <w:pPr>
        <w:ind w:left="-142" w:right="-425"/>
        <w:jc w:val="both"/>
      </w:pPr>
    </w:p>
    <w:p w14:paraId="477AE162" w14:textId="77777777" w:rsidR="00477817" w:rsidRDefault="00477817">
      <w:pPr>
        <w:spacing w:line="240" w:lineRule="auto"/>
        <w:rPr>
          <w:rFonts w:cs="Arial"/>
          <w:b/>
          <w:bCs/>
          <w:spacing w:val="-4"/>
          <w:kern w:val="28"/>
        </w:rPr>
      </w:pPr>
      <w:r>
        <w:br w:type="page"/>
      </w:r>
    </w:p>
    <w:p w14:paraId="0CA7602F" w14:textId="7A2062CA" w:rsidR="0013112F" w:rsidRDefault="0013112F" w:rsidP="00091CFE">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27B6AF58" w:rsidR="0013112F" w:rsidRDefault="0013112F" w:rsidP="0013112F">
      <w:pPr>
        <w:ind w:left="-142"/>
        <w:jc w:val="both"/>
      </w:pPr>
      <w:r w:rsidRPr="006C6A65">
        <w:rPr>
          <w:b/>
          <w:sz w:val="16"/>
          <w:szCs w:val="16"/>
        </w:rPr>
        <w:t xml:space="preserve">Table </w:t>
      </w:r>
      <w:r w:rsidR="0097619B">
        <w:rPr>
          <w:b/>
          <w:sz w:val="16"/>
          <w:szCs w:val="16"/>
        </w:rPr>
        <w:t>28</w:t>
      </w:r>
      <w:r w:rsidRPr="006C6A65">
        <w:rPr>
          <w:b/>
          <w:sz w:val="16"/>
          <w:szCs w:val="16"/>
        </w:rPr>
        <w:t>:</w:t>
      </w:r>
      <w:r w:rsidRPr="006C6A65">
        <w:rPr>
          <w:sz w:val="16"/>
          <w:szCs w:val="16"/>
        </w:rPr>
        <w:t xml:space="preserve"> </w:t>
      </w:r>
      <w:r>
        <w:rPr>
          <w:sz w:val="16"/>
          <w:szCs w:val="16"/>
        </w:rPr>
        <w:t xml:space="preserve">FRC client population by gender and age </w:t>
      </w:r>
      <w:r w:rsidR="00F83C14">
        <w:rPr>
          <w:sz w:val="16"/>
          <w:szCs w:val="16"/>
        </w:rPr>
        <w:t xml:space="preserve">1 </w:t>
      </w:r>
      <w:r w:rsidR="00DA70CA">
        <w:rPr>
          <w:sz w:val="16"/>
          <w:szCs w:val="16"/>
        </w:rPr>
        <w:t>April</w:t>
      </w:r>
      <w:r w:rsidR="00415BC8">
        <w:rPr>
          <w:sz w:val="16"/>
          <w:szCs w:val="16"/>
        </w:rPr>
        <w:t xml:space="preserve"> 2022</w:t>
      </w:r>
      <w:r w:rsidR="00FC7F2E">
        <w:rPr>
          <w:sz w:val="16"/>
          <w:szCs w:val="16"/>
        </w:rPr>
        <w:t xml:space="preserve"> to </w:t>
      </w:r>
      <w:r w:rsidR="00DA70CA">
        <w:rPr>
          <w:sz w:val="16"/>
          <w:szCs w:val="16"/>
        </w:rPr>
        <w:t>30 June</w:t>
      </w:r>
      <w:r w:rsidR="001A5C4C">
        <w:rPr>
          <w:sz w:val="16"/>
          <w:szCs w:val="16"/>
        </w:rPr>
        <w:t xml:space="preserve"> 2022</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F467E2" w14:paraId="0C5B3812" w14:textId="77777777" w:rsidTr="00925DD5">
        <w:tc>
          <w:tcPr>
            <w:tcW w:w="5127" w:type="dxa"/>
          </w:tcPr>
          <w:p w14:paraId="465196A7" w14:textId="2741AD5F" w:rsidR="00F467E2" w:rsidRDefault="00F467E2" w:rsidP="00F467E2">
            <w:pPr>
              <w:spacing w:line="240" w:lineRule="auto"/>
            </w:pPr>
            <w:r>
              <w:t>Clients for whom a notice was received</w:t>
            </w:r>
            <w:r>
              <w:rPr>
                <w:rStyle w:val="FootnoteReference"/>
              </w:rPr>
              <w:footnoteReference w:id="11"/>
            </w:r>
          </w:p>
        </w:tc>
        <w:tc>
          <w:tcPr>
            <w:tcW w:w="1026" w:type="dxa"/>
            <w:vAlign w:val="center"/>
          </w:tcPr>
          <w:p w14:paraId="430D610E" w14:textId="5594E636" w:rsidR="00F467E2" w:rsidRPr="00EF2D65" w:rsidRDefault="00F467E2" w:rsidP="00F467E2">
            <w:pPr>
              <w:spacing w:line="240" w:lineRule="auto"/>
              <w:jc w:val="right"/>
            </w:pPr>
            <w:r>
              <w:rPr>
                <w:rFonts w:cs="Arial"/>
              </w:rPr>
              <w:t>398</w:t>
            </w:r>
          </w:p>
        </w:tc>
        <w:tc>
          <w:tcPr>
            <w:tcW w:w="875" w:type="dxa"/>
            <w:vAlign w:val="center"/>
          </w:tcPr>
          <w:p w14:paraId="73512E80" w14:textId="4C50884C" w:rsidR="00F467E2" w:rsidRPr="00EF2D65" w:rsidRDefault="00F467E2" w:rsidP="00F467E2">
            <w:pPr>
              <w:spacing w:line="240" w:lineRule="auto"/>
              <w:jc w:val="right"/>
            </w:pPr>
            <w:r>
              <w:rPr>
                <w:rFonts w:cs="Arial"/>
              </w:rPr>
              <w:t>211</w:t>
            </w:r>
          </w:p>
        </w:tc>
        <w:tc>
          <w:tcPr>
            <w:tcW w:w="463" w:type="dxa"/>
            <w:vAlign w:val="center"/>
          </w:tcPr>
          <w:p w14:paraId="0C71CB3B" w14:textId="2EA4009C" w:rsidR="00F467E2" w:rsidRPr="00EF2D65" w:rsidRDefault="00F467E2" w:rsidP="00F467E2">
            <w:pPr>
              <w:spacing w:line="240" w:lineRule="auto"/>
              <w:jc w:val="right"/>
            </w:pPr>
          </w:p>
        </w:tc>
        <w:tc>
          <w:tcPr>
            <w:tcW w:w="1140" w:type="dxa"/>
            <w:vAlign w:val="center"/>
          </w:tcPr>
          <w:p w14:paraId="048E4B1D" w14:textId="447BA92C" w:rsidR="00F467E2" w:rsidRPr="00EF2D65" w:rsidRDefault="00F467E2" w:rsidP="00F467E2">
            <w:pPr>
              <w:spacing w:line="240" w:lineRule="auto"/>
              <w:jc w:val="right"/>
            </w:pPr>
            <w:r>
              <w:rPr>
                <w:rFonts w:cs="Arial"/>
              </w:rPr>
              <w:t>39</w:t>
            </w:r>
          </w:p>
        </w:tc>
        <w:tc>
          <w:tcPr>
            <w:tcW w:w="1140" w:type="dxa"/>
            <w:vAlign w:val="center"/>
          </w:tcPr>
          <w:p w14:paraId="61E43F3F" w14:textId="5715CF2E" w:rsidR="00F467E2" w:rsidRPr="00EF2D65" w:rsidRDefault="00F467E2" w:rsidP="00F467E2">
            <w:pPr>
              <w:spacing w:line="240" w:lineRule="auto"/>
              <w:jc w:val="right"/>
            </w:pPr>
            <w:r>
              <w:rPr>
                <w:rFonts w:cs="Arial"/>
              </w:rPr>
              <w:t>39</w:t>
            </w:r>
          </w:p>
        </w:tc>
      </w:tr>
      <w:tr w:rsidR="00F467E2" w14:paraId="0C43D4D1" w14:textId="77777777" w:rsidTr="00925DD5">
        <w:tc>
          <w:tcPr>
            <w:tcW w:w="5127" w:type="dxa"/>
          </w:tcPr>
          <w:p w14:paraId="2282B866" w14:textId="3960C31B" w:rsidR="00F467E2" w:rsidRDefault="00F467E2" w:rsidP="00F467E2">
            <w:pPr>
              <w:spacing w:line="240" w:lineRule="auto"/>
            </w:pPr>
            <w:r>
              <w:t>Clients who conferenced</w:t>
            </w:r>
            <w:r>
              <w:rPr>
                <w:rStyle w:val="FootnoteReference"/>
              </w:rPr>
              <w:footnoteReference w:id="12"/>
            </w:r>
          </w:p>
        </w:tc>
        <w:tc>
          <w:tcPr>
            <w:tcW w:w="1026" w:type="dxa"/>
            <w:vAlign w:val="center"/>
          </w:tcPr>
          <w:p w14:paraId="0BE8DAD4" w14:textId="4889ADEA" w:rsidR="00F467E2" w:rsidRPr="00143912" w:rsidRDefault="00F467E2" w:rsidP="00F467E2">
            <w:pPr>
              <w:spacing w:line="240" w:lineRule="auto"/>
              <w:jc w:val="right"/>
            </w:pPr>
            <w:r>
              <w:rPr>
                <w:rFonts w:cs="Arial"/>
              </w:rPr>
              <w:t>126</w:t>
            </w:r>
          </w:p>
        </w:tc>
        <w:tc>
          <w:tcPr>
            <w:tcW w:w="875" w:type="dxa"/>
            <w:vAlign w:val="center"/>
          </w:tcPr>
          <w:p w14:paraId="7F1FAC36" w14:textId="64E1CFD5" w:rsidR="00F467E2" w:rsidRPr="00143912" w:rsidRDefault="00F467E2" w:rsidP="00F467E2">
            <w:pPr>
              <w:spacing w:line="240" w:lineRule="auto"/>
              <w:jc w:val="right"/>
            </w:pPr>
            <w:r>
              <w:rPr>
                <w:rFonts w:cs="Arial"/>
              </w:rPr>
              <w:t>66</w:t>
            </w:r>
          </w:p>
        </w:tc>
        <w:tc>
          <w:tcPr>
            <w:tcW w:w="463" w:type="dxa"/>
            <w:vAlign w:val="center"/>
          </w:tcPr>
          <w:p w14:paraId="7D1E9278" w14:textId="397F7627" w:rsidR="00F467E2" w:rsidRPr="00EF2D65" w:rsidRDefault="00F467E2" w:rsidP="00F467E2">
            <w:pPr>
              <w:spacing w:line="240" w:lineRule="auto"/>
              <w:jc w:val="right"/>
            </w:pPr>
          </w:p>
        </w:tc>
        <w:tc>
          <w:tcPr>
            <w:tcW w:w="1140" w:type="dxa"/>
            <w:vAlign w:val="center"/>
          </w:tcPr>
          <w:p w14:paraId="18E5F35E" w14:textId="7AB9FB83" w:rsidR="00F467E2" w:rsidRPr="00143912" w:rsidRDefault="00F467E2" w:rsidP="00F467E2">
            <w:pPr>
              <w:spacing w:line="240" w:lineRule="auto"/>
              <w:jc w:val="right"/>
            </w:pPr>
            <w:r>
              <w:rPr>
                <w:rFonts w:cs="Arial"/>
              </w:rPr>
              <w:t>37</w:t>
            </w:r>
          </w:p>
        </w:tc>
        <w:tc>
          <w:tcPr>
            <w:tcW w:w="1140" w:type="dxa"/>
            <w:vAlign w:val="center"/>
          </w:tcPr>
          <w:p w14:paraId="48B614AC" w14:textId="4BF2CEB2" w:rsidR="00F467E2" w:rsidRPr="00143912" w:rsidRDefault="00F467E2" w:rsidP="00F467E2">
            <w:pPr>
              <w:spacing w:line="240" w:lineRule="auto"/>
              <w:jc w:val="right"/>
            </w:pPr>
            <w:r>
              <w:rPr>
                <w:rFonts w:cs="Arial"/>
              </w:rPr>
              <w:t>38</w:t>
            </w:r>
          </w:p>
        </w:tc>
      </w:tr>
      <w:tr w:rsidR="00F467E2" w14:paraId="4205C91F" w14:textId="77777777" w:rsidTr="00925DD5">
        <w:tc>
          <w:tcPr>
            <w:tcW w:w="5127" w:type="dxa"/>
          </w:tcPr>
          <w:p w14:paraId="2820947A" w14:textId="0B2D1E31" w:rsidR="00F467E2" w:rsidRDefault="00F467E2" w:rsidP="00F467E2">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45EF18D0" w:rsidR="00F467E2" w:rsidRPr="00143912" w:rsidRDefault="00F467E2" w:rsidP="00F467E2">
            <w:pPr>
              <w:spacing w:line="240" w:lineRule="auto"/>
              <w:jc w:val="right"/>
            </w:pPr>
            <w:r>
              <w:rPr>
                <w:rFonts w:cs="Arial"/>
              </w:rPr>
              <w:t>70</w:t>
            </w:r>
          </w:p>
        </w:tc>
        <w:tc>
          <w:tcPr>
            <w:tcW w:w="875" w:type="dxa"/>
            <w:vAlign w:val="center"/>
          </w:tcPr>
          <w:p w14:paraId="09F9C19D" w14:textId="0097B5C3" w:rsidR="00F467E2" w:rsidRPr="00143912" w:rsidRDefault="00F467E2" w:rsidP="00F467E2">
            <w:pPr>
              <w:spacing w:line="240" w:lineRule="auto"/>
              <w:jc w:val="right"/>
            </w:pPr>
            <w:r>
              <w:rPr>
                <w:rFonts w:cs="Arial"/>
              </w:rPr>
              <w:t>42</w:t>
            </w:r>
          </w:p>
        </w:tc>
        <w:tc>
          <w:tcPr>
            <w:tcW w:w="463" w:type="dxa"/>
            <w:vAlign w:val="center"/>
          </w:tcPr>
          <w:p w14:paraId="4D854BAC" w14:textId="77F78DC8" w:rsidR="00F467E2" w:rsidRPr="00EF2D65" w:rsidRDefault="00F467E2" w:rsidP="00F467E2">
            <w:pPr>
              <w:spacing w:line="240" w:lineRule="auto"/>
              <w:jc w:val="right"/>
            </w:pPr>
          </w:p>
        </w:tc>
        <w:tc>
          <w:tcPr>
            <w:tcW w:w="1140" w:type="dxa"/>
            <w:vAlign w:val="center"/>
          </w:tcPr>
          <w:p w14:paraId="0DB4E2B3" w14:textId="3CF0511D" w:rsidR="00F467E2" w:rsidRPr="00143912" w:rsidRDefault="00F467E2" w:rsidP="00F467E2">
            <w:pPr>
              <w:spacing w:line="240" w:lineRule="auto"/>
              <w:jc w:val="right"/>
            </w:pPr>
            <w:r>
              <w:rPr>
                <w:rFonts w:cs="Arial"/>
              </w:rPr>
              <w:t>36</w:t>
            </w:r>
          </w:p>
        </w:tc>
        <w:tc>
          <w:tcPr>
            <w:tcW w:w="1140" w:type="dxa"/>
            <w:vAlign w:val="center"/>
          </w:tcPr>
          <w:p w14:paraId="6F699F00" w14:textId="6A64A631" w:rsidR="00F467E2" w:rsidRPr="00143912" w:rsidRDefault="00F467E2" w:rsidP="00F467E2">
            <w:pPr>
              <w:spacing w:line="240" w:lineRule="auto"/>
              <w:jc w:val="right"/>
            </w:pPr>
            <w:r>
              <w:rPr>
                <w:rFonts w:cs="Arial"/>
              </w:rPr>
              <w:t>38</w:t>
            </w:r>
          </w:p>
        </w:tc>
      </w:tr>
      <w:tr w:rsidR="00F467E2" w14:paraId="70BB454E" w14:textId="77777777" w:rsidTr="00A242DD">
        <w:tc>
          <w:tcPr>
            <w:tcW w:w="5127" w:type="dxa"/>
          </w:tcPr>
          <w:p w14:paraId="5B5E85C7" w14:textId="7C85BD17" w:rsidR="00F467E2" w:rsidRPr="00C6538C" w:rsidRDefault="00F467E2" w:rsidP="00F467E2">
            <w:pPr>
              <w:spacing w:line="240" w:lineRule="auto"/>
            </w:pPr>
            <w:r w:rsidRPr="00423006">
              <w:t>Clients placed on CIM</w:t>
            </w:r>
            <w:r w:rsidRPr="00C6538C">
              <w:rPr>
                <w:rStyle w:val="FootnoteReference"/>
              </w:rPr>
              <w:footnoteReference w:id="14"/>
            </w:r>
          </w:p>
        </w:tc>
        <w:tc>
          <w:tcPr>
            <w:tcW w:w="1026" w:type="dxa"/>
            <w:vAlign w:val="center"/>
          </w:tcPr>
          <w:p w14:paraId="543F073F" w14:textId="5724B748" w:rsidR="00F467E2" w:rsidRPr="00143912" w:rsidRDefault="00F467E2" w:rsidP="00F467E2">
            <w:pPr>
              <w:spacing w:line="240" w:lineRule="auto"/>
              <w:jc w:val="right"/>
              <w:rPr>
                <w:rFonts w:cs="Arial"/>
              </w:rPr>
            </w:pPr>
            <w:r>
              <w:rPr>
                <w:rFonts w:cs="Arial"/>
              </w:rPr>
              <w:t>10</w:t>
            </w:r>
          </w:p>
        </w:tc>
        <w:tc>
          <w:tcPr>
            <w:tcW w:w="875" w:type="dxa"/>
            <w:vAlign w:val="center"/>
          </w:tcPr>
          <w:p w14:paraId="1105ED08" w14:textId="36981CE6" w:rsidR="00F467E2" w:rsidRPr="00143912" w:rsidRDefault="00F467E2" w:rsidP="00F467E2">
            <w:pPr>
              <w:spacing w:line="240" w:lineRule="auto"/>
              <w:jc w:val="right"/>
              <w:rPr>
                <w:rFonts w:cs="Arial"/>
              </w:rPr>
            </w:pPr>
            <w:r>
              <w:rPr>
                <w:rFonts w:cs="Arial"/>
              </w:rPr>
              <w:t>10</w:t>
            </w:r>
          </w:p>
        </w:tc>
        <w:tc>
          <w:tcPr>
            <w:tcW w:w="463" w:type="dxa"/>
            <w:vAlign w:val="center"/>
          </w:tcPr>
          <w:p w14:paraId="2B630A06" w14:textId="4DFE1F0E" w:rsidR="00F467E2" w:rsidRPr="00EF2D65" w:rsidRDefault="00F467E2" w:rsidP="00F467E2">
            <w:pPr>
              <w:spacing w:line="240" w:lineRule="auto"/>
              <w:jc w:val="right"/>
              <w:rPr>
                <w:rFonts w:cs="Arial"/>
              </w:rPr>
            </w:pPr>
          </w:p>
        </w:tc>
        <w:tc>
          <w:tcPr>
            <w:tcW w:w="1140" w:type="dxa"/>
            <w:vAlign w:val="center"/>
          </w:tcPr>
          <w:p w14:paraId="118451EA" w14:textId="32488BC8" w:rsidR="00F467E2" w:rsidRPr="00143912" w:rsidRDefault="00F467E2" w:rsidP="00F467E2">
            <w:pPr>
              <w:spacing w:line="240" w:lineRule="auto"/>
              <w:jc w:val="right"/>
              <w:rPr>
                <w:rFonts w:cs="Arial"/>
              </w:rPr>
            </w:pPr>
            <w:r>
              <w:rPr>
                <w:rFonts w:cs="Arial"/>
              </w:rPr>
              <w:t>34</w:t>
            </w:r>
          </w:p>
        </w:tc>
        <w:tc>
          <w:tcPr>
            <w:tcW w:w="1140" w:type="dxa"/>
            <w:vAlign w:val="center"/>
          </w:tcPr>
          <w:p w14:paraId="1C47274C" w14:textId="2427334D" w:rsidR="00F467E2" w:rsidRPr="00143912" w:rsidRDefault="00F467E2" w:rsidP="00F467E2">
            <w:pPr>
              <w:spacing w:line="240" w:lineRule="auto"/>
              <w:jc w:val="right"/>
              <w:rPr>
                <w:rFonts w:cs="Arial"/>
              </w:rPr>
            </w:pPr>
            <w:r>
              <w:rPr>
                <w:rFonts w:cs="Arial"/>
              </w:rPr>
              <w:t>40</w:t>
            </w:r>
          </w:p>
        </w:tc>
      </w:tr>
      <w:tr w:rsidR="00F467E2" w14:paraId="5BC6E4C0" w14:textId="77777777" w:rsidTr="00DB33CA">
        <w:tc>
          <w:tcPr>
            <w:tcW w:w="5127" w:type="dxa"/>
          </w:tcPr>
          <w:p w14:paraId="1F3A9B4D" w14:textId="68F637B4" w:rsidR="00F467E2" w:rsidRDefault="00F467E2" w:rsidP="00F467E2">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04997D66" w:rsidR="00F467E2" w:rsidRPr="00143912" w:rsidRDefault="00F467E2" w:rsidP="00F467E2">
            <w:pPr>
              <w:spacing w:line="240" w:lineRule="auto"/>
              <w:jc w:val="right"/>
            </w:pPr>
            <w:r>
              <w:rPr>
                <w:rFonts w:cs="Arial"/>
              </w:rPr>
              <w:t>7</w:t>
            </w:r>
          </w:p>
        </w:tc>
        <w:tc>
          <w:tcPr>
            <w:tcW w:w="875" w:type="dxa"/>
            <w:vAlign w:val="center"/>
          </w:tcPr>
          <w:p w14:paraId="7B755D8C" w14:textId="0F6C5D5E" w:rsidR="00F467E2" w:rsidRPr="00143912" w:rsidRDefault="00F467E2" w:rsidP="00F467E2">
            <w:pPr>
              <w:spacing w:line="240" w:lineRule="auto"/>
              <w:jc w:val="right"/>
            </w:pPr>
            <w:r>
              <w:rPr>
                <w:rFonts w:cs="Arial"/>
              </w:rPr>
              <w:t>3</w:t>
            </w:r>
          </w:p>
        </w:tc>
        <w:tc>
          <w:tcPr>
            <w:tcW w:w="463" w:type="dxa"/>
            <w:vAlign w:val="center"/>
          </w:tcPr>
          <w:p w14:paraId="6092C81B" w14:textId="1737C7E0" w:rsidR="00F467E2" w:rsidRPr="00EF2D65" w:rsidRDefault="00F467E2" w:rsidP="00F467E2">
            <w:pPr>
              <w:spacing w:line="240" w:lineRule="auto"/>
              <w:jc w:val="right"/>
            </w:pPr>
          </w:p>
        </w:tc>
        <w:tc>
          <w:tcPr>
            <w:tcW w:w="1140" w:type="dxa"/>
            <w:vAlign w:val="center"/>
          </w:tcPr>
          <w:p w14:paraId="7A13A493" w14:textId="0EE7DAEE" w:rsidR="00F467E2" w:rsidRPr="00143912" w:rsidRDefault="00F467E2" w:rsidP="00F467E2">
            <w:pPr>
              <w:spacing w:line="240" w:lineRule="auto"/>
              <w:jc w:val="right"/>
            </w:pPr>
            <w:r>
              <w:rPr>
                <w:rFonts w:cs="Arial"/>
              </w:rPr>
              <w:t>34</w:t>
            </w:r>
          </w:p>
        </w:tc>
        <w:tc>
          <w:tcPr>
            <w:tcW w:w="1140" w:type="dxa"/>
            <w:vAlign w:val="center"/>
          </w:tcPr>
          <w:p w14:paraId="5E9D8367" w14:textId="6FC69AA6" w:rsidR="00F467E2" w:rsidRPr="00143912" w:rsidRDefault="00F467E2" w:rsidP="00F467E2">
            <w:pPr>
              <w:spacing w:line="240" w:lineRule="auto"/>
              <w:jc w:val="right"/>
            </w:pPr>
            <w:r>
              <w:rPr>
                <w:rFonts w:cs="Arial"/>
              </w:rPr>
              <w:t>48</w:t>
            </w:r>
          </w:p>
        </w:tc>
      </w:tr>
      <w:tr w:rsidR="00F467E2" w14:paraId="323DBB29" w14:textId="77777777" w:rsidTr="00DB33CA">
        <w:tc>
          <w:tcPr>
            <w:tcW w:w="5127" w:type="dxa"/>
          </w:tcPr>
          <w:p w14:paraId="2B63FDBC" w14:textId="0B2D08D4" w:rsidR="00F467E2" w:rsidRDefault="00F467E2" w:rsidP="00F467E2">
            <w:pPr>
              <w:spacing w:line="240" w:lineRule="auto"/>
            </w:pPr>
            <w:r w:rsidRPr="00EB1F9E">
              <w:t>Clients who chose to participate in VIM</w:t>
            </w:r>
            <w:r>
              <w:rPr>
                <w:rStyle w:val="FootnoteReference"/>
              </w:rPr>
              <w:footnoteReference w:id="16"/>
            </w:r>
          </w:p>
        </w:tc>
        <w:tc>
          <w:tcPr>
            <w:tcW w:w="1026" w:type="dxa"/>
            <w:vAlign w:val="center"/>
          </w:tcPr>
          <w:p w14:paraId="3609E59F" w14:textId="4B46922D" w:rsidR="00F467E2" w:rsidRPr="00143912" w:rsidRDefault="00F467E2" w:rsidP="00F467E2">
            <w:pPr>
              <w:spacing w:line="240" w:lineRule="auto"/>
              <w:jc w:val="right"/>
              <w:rPr>
                <w:rFonts w:cs="Arial"/>
              </w:rPr>
            </w:pPr>
            <w:r>
              <w:rPr>
                <w:rFonts w:cs="Arial"/>
              </w:rPr>
              <w:t>22</w:t>
            </w:r>
          </w:p>
        </w:tc>
        <w:tc>
          <w:tcPr>
            <w:tcW w:w="875" w:type="dxa"/>
            <w:vAlign w:val="center"/>
          </w:tcPr>
          <w:p w14:paraId="34BAD3D0" w14:textId="6D629692" w:rsidR="00F467E2" w:rsidRPr="00143912" w:rsidRDefault="00F467E2" w:rsidP="00F467E2">
            <w:pPr>
              <w:spacing w:line="240" w:lineRule="auto"/>
              <w:jc w:val="right"/>
              <w:rPr>
                <w:rFonts w:cs="Arial"/>
              </w:rPr>
            </w:pPr>
            <w:r>
              <w:rPr>
                <w:rFonts w:cs="Arial"/>
              </w:rPr>
              <w:t>6</w:t>
            </w:r>
          </w:p>
        </w:tc>
        <w:tc>
          <w:tcPr>
            <w:tcW w:w="463" w:type="dxa"/>
            <w:vAlign w:val="center"/>
          </w:tcPr>
          <w:p w14:paraId="7E5C9E3D" w14:textId="7D460166" w:rsidR="00F467E2" w:rsidRPr="00EF2D65" w:rsidRDefault="00F467E2" w:rsidP="00F467E2">
            <w:pPr>
              <w:spacing w:line="240" w:lineRule="auto"/>
              <w:jc w:val="right"/>
            </w:pPr>
          </w:p>
        </w:tc>
        <w:tc>
          <w:tcPr>
            <w:tcW w:w="1140" w:type="dxa"/>
            <w:vAlign w:val="center"/>
          </w:tcPr>
          <w:p w14:paraId="422F7588" w14:textId="3127C95E" w:rsidR="00F467E2" w:rsidRPr="00143912" w:rsidRDefault="00F467E2" w:rsidP="00F467E2">
            <w:pPr>
              <w:spacing w:line="240" w:lineRule="auto"/>
              <w:jc w:val="right"/>
              <w:rPr>
                <w:rFonts w:cs="Arial"/>
              </w:rPr>
            </w:pPr>
            <w:r>
              <w:rPr>
                <w:rFonts w:cs="Arial"/>
              </w:rPr>
              <w:t>44</w:t>
            </w:r>
          </w:p>
        </w:tc>
        <w:tc>
          <w:tcPr>
            <w:tcW w:w="1140" w:type="dxa"/>
            <w:vAlign w:val="center"/>
          </w:tcPr>
          <w:p w14:paraId="31BCC77C" w14:textId="5E64E6C0" w:rsidR="00F467E2" w:rsidRPr="00143912" w:rsidRDefault="00F467E2" w:rsidP="00F467E2">
            <w:pPr>
              <w:spacing w:line="240" w:lineRule="auto"/>
              <w:jc w:val="right"/>
              <w:rPr>
                <w:rFonts w:cs="Arial"/>
              </w:rPr>
            </w:pPr>
            <w:r>
              <w:rPr>
                <w:rFonts w:cs="Arial"/>
              </w:rPr>
              <w:t>59</w:t>
            </w:r>
          </w:p>
        </w:tc>
      </w:tr>
      <w:tr w:rsidR="00F467E2" w14:paraId="444AB815" w14:textId="77777777" w:rsidTr="00DB33CA">
        <w:tc>
          <w:tcPr>
            <w:tcW w:w="5127" w:type="dxa"/>
          </w:tcPr>
          <w:p w14:paraId="018D049C" w14:textId="2D915E58" w:rsidR="00F467E2" w:rsidRPr="00423006" w:rsidRDefault="00F467E2" w:rsidP="00F467E2">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7A375127" w:rsidR="00F467E2" w:rsidRPr="00143912" w:rsidRDefault="00F467E2" w:rsidP="00F467E2">
            <w:pPr>
              <w:spacing w:line="240" w:lineRule="auto"/>
              <w:jc w:val="right"/>
              <w:rPr>
                <w:rFonts w:cs="Arial"/>
              </w:rPr>
            </w:pPr>
            <w:r>
              <w:rPr>
                <w:rFonts w:cs="Arial"/>
              </w:rPr>
              <w:t>6</w:t>
            </w:r>
          </w:p>
        </w:tc>
        <w:tc>
          <w:tcPr>
            <w:tcW w:w="875" w:type="dxa"/>
            <w:vAlign w:val="center"/>
          </w:tcPr>
          <w:p w14:paraId="215C10C8" w14:textId="37313796" w:rsidR="00F467E2" w:rsidRPr="00143912" w:rsidRDefault="00F467E2" w:rsidP="00F467E2">
            <w:pPr>
              <w:spacing w:line="240" w:lineRule="auto"/>
              <w:jc w:val="right"/>
              <w:rPr>
                <w:rFonts w:cs="Arial"/>
              </w:rPr>
            </w:pPr>
            <w:r>
              <w:rPr>
                <w:rFonts w:cs="Arial"/>
              </w:rPr>
              <w:t>1</w:t>
            </w:r>
          </w:p>
        </w:tc>
        <w:tc>
          <w:tcPr>
            <w:tcW w:w="463" w:type="dxa"/>
            <w:vAlign w:val="center"/>
          </w:tcPr>
          <w:p w14:paraId="63FC96B1" w14:textId="02392BC7" w:rsidR="00F467E2" w:rsidRPr="00EF2D65" w:rsidRDefault="00F467E2" w:rsidP="00F467E2">
            <w:pPr>
              <w:spacing w:line="240" w:lineRule="auto"/>
              <w:jc w:val="right"/>
            </w:pPr>
          </w:p>
        </w:tc>
        <w:tc>
          <w:tcPr>
            <w:tcW w:w="1140" w:type="dxa"/>
            <w:vAlign w:val="center"/>
          </w:tcPr>
          <w:p w14:paraId="6C2DF82D" w14:textId="5FF53827" w:rsidR="00F467E2" w:rsidRPr="00143912" w:rsidRDefault="00F467E2" w:rsidP="00F467E2">
            <w:pPr>
              <w:spacing w:line="240" w:lineRule="auto"/>
              <w:jc w:val="right"/>
              <w:rPr>
                <w:rFonts w:cs="Arial"/>
              </w:rPr>
            </w:pPr>
            <w:r>
              <w:rPr>
                <w:rFonts w:cs="Arial"/>
              </w:rPr>
              <w:t>48</w:t>
            </w:r>
          </w:p>
        </w:tc>
        <w:tc>
          <w:tcPr>
            <w:tcW w:w="1140" w:type="dxa"/>
            <w:vAlign w:val="center"/>
          </w:tcPr>
          <w:p w14:paraId="3A96BFD9" w14:textId="5D78194A" w:rsidR="00F467E2" w:rsidRPr="00143912" w:rsidRDefault="00F467E2" w:rsidP="00F467E2">
            <w:pPr>
              <w:spacing w:line="240" w:lineRule="auto"/>
              <w:jc w:val="right"/>
              <w:rPr>
                <w:rFonts w:cs="Arial"/>
              </w:rPr>
            </w:pPr>
            <w:r>
              <w:rPr>
                <w:rFonts w:cs="Arial"/>
              </w:rPr>
              <w:t>38</w:t>
            </w:r>
          </w:p>
        </w:tc>
      </w:tr>
    </w:tbl>
    <w:p w14:paraId="0E8FF706" w14:textId="78D57602" w:rsidR="003C5234" w:rsidRPr="00C029A0" w:rsidRDefault="003C5234" w:rsidP="00C029A0">
      <w:pPr>
        <w:spacing w:line="240" w:lineRule="auto"/>
        <w:ind w:left="-142" w:right="-425"/>
        <w:jc w:val="both"/>
      </w:pPr>
    </w:p>
    <w:p w14:paraId="0EE0119D" w14:textId="06837E45" w:rsidR="00F500CF" w:rsidRPr="00F500CF" w:rsidRDefault="00F500CF" w:rsidP="00091CFE">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2596C64E"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587B7C">
        <w:t>786</w:t>
      </w:r>
      <w:r w:rsidR="00587B7C" w:rsidRPr="008E7494">
        <w:t xml:space="preserve"> </w:t>
      </w:r>
      <w:r w:rsidR="00F500CF" w:rsidRPr="008E7494">
        <w:t xml:space="preserve">people as at 30 June </w:t>
      </w:r>
      <w:bookmarkStart w:id="21" w:name="_Ref362343764"/>
      <w:bookmarkStart w:id="22" w:name="_Ref459716764"/>
      <w:r w:rsidR="00F500CF" w:rsidRPr="008E7494">
        <w:t>20</w:t>
      </w:r>
      <w:r w:rsidR="00C673E7">
        <w:t>2</w:t>
      </w:r>
      <w:r w:rsidR="00587B7C">
        <w:t>1</w:t>
      </w:r>
      <w:bookmarkStart w:id="23" w:name="_Ref64367928"/>
      <w:r w:rsidR="00F500CF" w:rsidRPr="00F500CF">
        <w:rPr>
          <w:vertAlign w:val="superscript"/>
        </w:rPr>
        <w:footnoteReference w:id="18"/>
      </w:r>
      <w:bookmarkEnd w:id="21"/>
      <w:bookmarkEnd w:id="22"/>
      <w:bookmarkEnd w:id="23"/>
      <w:r w:rsidR="00F500CF" w:rsidRPr="00F500CF">
        <w:rPr>
          <w:vertAlign w:val="superscript"/>
        </w:rPr>
        <w:t>,</w:t>
      </w:r>
      <w:bookmarkStart w:id="24" w:name="_Ref459716829"/>
      <w:r w:rsidR="00F500CF" w:rsidRPr="00F500CF">
        <w:rPr>
          <w:vertAlign w:val="superscript"/>
        </w:rPr>
        <w:footnoteReference w:id="19"/>
      </w:r>
      <w:bookmarkEnd w:id="24"/>
      <w:r w:rsidR="00F500CF" w:rsidRPr="008E7494">
        <w:t>.</w:t>
      </w:r>
    </w:p>
    <w:p w14:paraId="1D1F7E14" w14:textId="77777777" w:rsidR="00F500CF" w:rsidRDefault="00F500CF" w:rsidP="00EC14C1">
      <w:pPr>
        <w:spacing w:line="240" w:lineRule="auto"/>
        <w:ind w:left="-142" w:right="-425"/>
        <w:jc w:val="both"/>
      </w:pPr>
    </w:p>
    <w:p w14:paraId="5C34875A" w14:textId="7BDE62FB"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25" w:name="_Ref459717187"/>
      <w:r w:rsidR="00587B7C">
        <w:t>182</w:t>
      </w:r>
      <w:r w:rsidR="00587B7C" w:rsidRPr="008E7494">
        <w:t xml:space="preserve"> </w:t>
      </w:r>
      <w:r w:rsidR="00F500CF" w:rsidRPr="008E7494">
        <w:t>people as at 30 June 20</w:t>
      </w:r>
      <w:r w:rsidR="00C673E7">
        <w:t>2</w:t>
      </w:r>
      <w:r w:rsidR="00587B7C">
        <w:t>1</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5C7600">
        <w:rPr>
          <w:vertAlign w:val="superscript"/>
        </w:rPr>
        <w:t>17</w:t>
      </w:r>
      <w:r w:rsidR="003D357C">
        <w:rPr>
          <w:vertAlign w:val="superscript"/>
        </w:rPr>
        <w:fldChar w:fldCharType="end"/>
      </w:r>
      <w:r w:rsidR="00F500CF" w:rsidRPr="00F500CF">
        <w:rPr>
          <w:vertAlign w:val="superscript"/>
        </w:rPr>
        <w:t>,</w:t>
      </w:r>
      <w:bookmarkStart w:id="26" w:name="_Ref74754871"/>
      <w:r w:rsidR="00F500CF" w:rsidRPr="00F500CF">
        <w:rPr>
          <w:vertAlign w:val="superscript"/>
        </w:rPr>
        <w:footnoteReference w:id="20"/>
      </w:r>
      <w:bookmarkEnd w:id="25"/>
      <w:bookmarkEnd w:id="26"/>
      <w:r w:rsidR="00F500CF" w:rsidRPr="008E7494">
        <w:t>.</w:t>
      </w:r>
    </w:p>
    <w:p w14:paraId="6639697A" w14:textId="77777777" w:rsidR="00F500CF" w:rsidRDefault="00F500CF" w:rsidP="00EC14C1">
      <w:pPr>
        <w:spacing w:line="240" w:lineRule="auto"/>
        <w:ind w:left="-142" w:right="-425"/>
        <w:jc w:val="both"/>
      </w:pPr>
    </w:p>
    <w:p w14:paraId="439048BC" w14:textId="6E96D189"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587B7C">
        <w:t>933</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C7600">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5C7600">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598C9173"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587B7C">
        <w:t>660</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C7600">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5C7600">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33640482"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100</w:t>
      </w:r>
      <w:r w:rsidR="00587B7C" w:rsidRPr="008E7494">
        <w:t xml:space="preserve"> </w:t>
      </w:r>
      <w:r w:rsidR="00F500CF" w:rsidRPr="008E7494">
        <w:t>people as at 30 June 20</w:t>
      </w:r>
      <w:r w:rsidR="00C673E7">
        <w:t>2</w:t>
      </w:r>
      <w:r w:rsidR="00587B7C">
        <w:t>1</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5C7600">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27" w:name="_Toc39657992"/>
      <w:r w:rsidRPr="00E34093">
        <w:lastRenderedPageBreak/>
        <w:t>2.  Future Direction</w:t>
      </w:r>
      <w:bookmarkEnd w:id="17"/>
      <w:bookmarkEnd w:id="18"/>
      <w:bookmarkEnd w:id="19"/>
      <w:bookmarkEnd w:id="20"/>
      <w:r w:rsidRPr="00E34093">
        <w:t xml:space="preserve"> and Challenges</w:t>
      </w:r>
      <w:bookmarkEnd w:id="27"/>
    </w:p>
    <w:p w14:paraId="66A68EAB" w14:textId="1D2F2EAE" w:rsidR="005A5B78" w:rsidRDefault="005A5B78" w:rsidP="005A5B78">
      <w:pPr>
        <w:ind w:left="-142" w:right="-425"/>
        <w:jc w:val="both"/>
        <w:rPr>
          <w:rFonts w:cs="Arial"/>
          <w:b/>
          <w:sz w:val="16"/>
          <w:szCs w:val="16"/>
        </w:rPr>
      </w:pPr>
    </w:p>
    <w:p w14:paraId="731BEAB5" w14:textId="77777777" w:rsidR="00F6548E" w:rsidRPr="00B04840" w:rsidRDefault="00F6548E" w:rsidP="00B04840">
      <w:pPr>
        <w:ind w:left="-142" w:right="-425"/>
        <w:jc w:val="both"/>
        <w:rPr>
          <w:rFonts w:cs="Arial"/>
          <w:b/>
          <w:bCs/>
          <w:sz w:val="22"/>
          <w:szCs w:val="22"/>
        </w:rPr>
      </w:pPr>
      <w:r w:rsidRPr="00B04840">
        <w:rPr>
          <w:rFonts w:cs="Arial"/>
          <w:b/>
          <w:bCs/>
          <w:sz w:val="22"/>
          <w:szCs w:val="22"/>
        </w:rPr>
        <w:t>A review of the FRC</w:t>
      </w:r>
    </w:p>
    <w:p w14:paraId="59D81652" w14:textId="6223F2A9" w:rsidR="00A07D57" w:rsidRDefault="00B04840" w:rsidP="00E02A82">
      <w:pPr>
        <w:ind w:left="-142" w:right="-425"/>
        <w:jc w:val="both"/>
        <w:rPr>
          <w:rFonts w:cs="Arial"/>
        </w:rPr>
      </w:pPr>
      <w:r w:rsidRPr="00E02A82">
        <w:rPr>
          <w:rFonts w:cs="Arial"/>
        </w:rPr>
        <w:t xml:space="preserve">The FRC Future Directions Review commenced in earnest during this reporting period with Abt Associates </w:t>
      </w:r>
      <w:r w:rsidR="00E02A82" w:rsidRPr="00E02A82">
        <w:rPr>
          <w:rFonts w:cs="Arial"/>
        </w:rPr>
        <w:t xml:space="preserve">conducting </w:t>
      </w:r>
      <w:r w:rsidRPr="00E02A82">
        <w:rPr>
          <w:rFonts w:cs="Arial"/>
        </w:rPr>
        <w:t>consultations</w:t>
      </w:r>
      <w:r w:rsidR="00E02A82" w:rsidRPr="00E02A82">
        <w:rPr>
          <w:rFonts w:cs="Arial"/>
        </w:rPr>
        <w:t xml:space="preserve"> with </w:t>
      </w:r>
      <w:r w:rsidR="00E02A82">
        <w:rPr>
          <w:rFonts w:cs="Arial"/>
        </w:rPr>
        <w:t>the FR Board, the Executive of the FRC, Local Commissioners, stakeholders and community members</w:t>
      </w:r>
      <w:r w:rsidR="005178AD">
        <w:rPr>
          <w:rFonts w:cs="Arial"/>
        </w:rPr>
        <w:t xml:space="preserve"> from Aurukun, Coen, Doomadgee, Hope Vale and Mossman Gorge</w:t>
      </w:r>
      <w:r w:rsidR="00E02A82">
        <w:rPr>
          <w:rFonts w:cs="Arial"/>
        </w:rPr>
        <w:t xml:space="preserve">. </w:t>
      </w:r>
    </w:p>
    <w:p w14:paraId="2DEC71CE" w14:textId="77777777" w:rsidR="00A07D57" w:rsidRDefault="00A07D57" w:rsidP="00E02A82">
      <w:pPr>
        <w:ind w:left="-142" w:right="-425"/>
        <w:jc w:val="both"/>
        <w:rPr>
          <w:rFonts w:cs="Arial"/>
        </w:rPr>
      </w:pPr>
    </w:p>
    <w:p w14:paraId="32F63F7B" w14:textId="427FF984" w:rsidR="00687370" w:rsidRDefault="00E02A82" w:rsidP="00E02A82">
      <w:pPr>
        <w:ind w:left="-142" w:right="-425"/>
        <w:jc w:val="both"/>
        <w:rPr>
          <w:rFonts w:cs="Arial"/>
        </w:rPr>
      </w:pPr>
      <w:r>
        <w:rPr>
          <w:rFonts w:cs="Arial"/>
        </w:rPr>
        <w:t xml:space="preserve">On 19 April the FRC Commissioner, Deputy Commissioner and Registrar met with the Abt Associates consultation team via </w:t>
      </w:r>
      <w:r w:rsidR="0008752E">
        <w:rPr>
          <w:rFonts w:cs="Arial"/>
        </w:rPr>
        <w:t>video link</w:t>
      </w:r>
      <w:r>
        <w:rPr>
          <w:rFonts w:cs="Arial"/>
        </w:rPr>
        <w:t xml:space="preserve">. </w:t>
      </w:r>
      <w:r w:rsidR="00D313D7">
        <w:rPr>
          <w:rFonts w:cs="Arial"/>
        </w:rPr>
        <w:t>The original in</w:t>
      </w:r>
      <w:r w:rsidR="00904C64">
        <w:rPr>
          <w:rFonts w:cs="Arial"/>
        </w:rPr>
        <w:t>v</w:t>
      </w:r>
      <w:r w:rsidR="00D313D7">
        <w:rPr>
          <w:rFonts w:cs="Arial"/>
        </w:rPr>
        <w:t>itation from the review team was for an interview of 45 minutes to one hour. Questions posed to the Executive Team were in relation to the continued relevance and appropriateness of the FRC model and its enabling legislation</w:t>
      </w:r>
      <w:r w:rsidR="00E145F1">
        <w:rPr>
          <w:rFonts w:cs="Arial"/>
        </w:rPr>
        <w:t xml:space="preserve">. </w:t>
      </w:r>
      <w:r w:rsidR="00904C64">
        <w:rPr>
          <w:rFonts w:cs="Arial"/>
        </w:rPr>
        <w:t xml:space="preserve">Feedback provided to the review team included how the FRC is complementary </w:t>
      </w:r>
      <w:r w:rsidR="00A211DB">
        <w:rPr>
          <w:rFonts w:cs="Arial"/>
        </w:rPr>
        <w:t>with</w:t>
      </w:r>
      <w:r w:rsidR="00904C64">
        <w:rPr>
          <w:rFonts w:cs="Arial"/>
        </w:rPr>
        <w:t xml:space="preserve"> Queensland and Australian Government Policy in regard to </w:t>
      </w:r>
      <w:r w:rsidR="00A211DB">
        <w:rPr>
          <w:rFonts w:cs="Arial"/>
        </w:rPr>
        <w:t xml:space="preserve">Indigenous </w:t>
      </w:r>
      <w:r w:rsidR="00904C64">
        <w:rPr>
          <w:rFonts w:cs="Arial"/>
        </w:rPr>
        <w:t xml:space="preserve">self-determination, mutual responsibility and recognition of First Nations peoples. Reference was made to the Queensland Productivity Commission </w:t>
      </w:r>
      <w:r w:rsidR="006A581F">
        <w:rPr>
          <w:rFonts w:cs="Arial"/>
        </w:rPr>
        <w:t xml:space="preserve">(QPC) </w:t>
      </w:r>
      <w:r w:rsidR="00904C64">
        <w:rPr>
          <w:rFonts w:cs="Arial"/>
        </w:rPr>
        <w:t>Report</w:t>
      </w:r>
      <w:r w:rsidR="00BE5D9C">
        <w:rPr>
          <w:rFonts w:cs="Arial"/>
        </w:rPr>
        <w:t xml:space="preserve"> into service delivery in remote </w:t>
      </w:r>
      <w:r w:rsidR="002E7B8B">
        <w:rPr>
          <w:rFonts w:cs="Arial"/>
        </w:rPr>
        <w:t>and discrete A</w:t>
      </w:r>
      <w:r w:rsidR="00BE5D9C">
        <w:rPr>
          <w:rFonts w:cs="Arial"/>
        </w:rPr>
        <w:t>boriginal and Torres Strait Islander communities</w:t>
      </w:r>
      <w:r w:rsidR="002E7B8B">
        <w:rPr>
          <w:rFonts w:cs="Arial"/>
        </w:rPr>
        <w:t xml:space="preserve"> released </w:t>
      </w:r>
      <w:r w:rsidR="006A581F">
        <w:rPr>
          <w:rFonts w:cs="Arial"/>
        </w:rPr>
        <w:t>o</w:t>
      </w:r>
      <w:r w:rsidR="002E7B8B">
        <w:rPr>
          <w:rFonts w:cs="Arial"/>
        </w:rPr>
        <w:t xml:space="preserve">n </w:t>
      </w:r>
      <w:r w:rsidR="006A581F">
        <w:rPr>
          <w:rFonts w:cs="Arial"/>
        </w:rPr>
        <w:t xml:space="preserve">22 December </w:t>
      </w:r>
      <w:r w:rsidR="002E7B8B">
        <w:rPr>
          <w:rFonts w:cs="Arial"/>
        </w:rPr>
        <w:t>2017</w:t>
      </w:r>
      <w:r w:rsidR="00BE5D9C">
        <w:rPr>
          <w:rFonts w:cs="Arial"/>
        </w:rPr>
        <w:t>.</w:t>
      </w:r>
      <w:r w:rsidR="006A581F">
        <w:rPr>
          <w:rFonts w:cs="Arial"/>
        </w:rPr>
        <w:t xml:space="preserve"> </w:t>
      </w:r>
      <w:r w:rsidR="006A581F" w:rsidRPr="006A581F">
        <w:rPr>
          <w:rFonts w:cs="Arial"/>
        </w:rPr>
        <w:t>The QPC’s substantial reform agenda for policy and service delivery include</w:t>
      </w:r>
      <w:r w:rsidR="006A581F">
        <w:rPr>
          <w:rFonts w:cs="Arial"/>
        </w:rPr>
        <w:t>d s</w:t>
      </w:r>
      <w:r w:rsidR="006A581F" w:rsidRPr="006A581F">
        <w:rPr>
          <w:rFonts w:cs="Arial"/>
        </w:rPr>
        <w:t xml:space="preserve">tructural </w:t>
      </w:r>
      <w:r w:rsidR="00680EDD">
        <w:rPr>
          <w:rFonts w:cs="Arial"/>
        </w:rPr>
        <w:t>r</w:t>
      </w:r>
      <w:r w:rsidR="006A581F" w:rsidRPr="006A581F">
        <w:rPr>
          <w:rFonts w:cs="Arial"/>
        </w:rPr>
        <w:t>eform to transfer accountability and decision-making closer to communities where service users are</w:t>
      </w:r>
      <w:r w:rsidR="006A581F">
        <w:rPr>
          <w:rFonts w:cs="Arial"/>
        </w:rPr>
        <w:t>, s</w:t>
      </w:r>
      <w:r w:rsidR="006A581F" w:rsidRPr="006A581F">
        <w:rPr>
          <w:rFonts w:cs="Arial"/>
        </w:rPr>
        <w:t xml:space="preserve">ervice </w:t>
      </w:r>
      <w:r w:rsidR="006A581F">
        <w:rPr>
          <w:rFonts w:cs="Arial"/>
        </w:rPr>
        <w:t>d</w:t>
      </w:r>
      <w:r w:rsidR="006A581F" w:rsidRPr="006A581F">
        <w:rPr>
          <w:rFonts w:cs="Arial"/>
        </w:rPr>
        <w:t xml:space="preserve">elivery </w:t>
      </w:r>
      <w:r w:rsidR="006A581F">
        <w:rPr>
          <w:rFonts w:cs="Arial"/>
        </w:rPr>
        <w:t>r</w:t>
      </w:r>
      <w:r w:rsidR="006A581F" w:rsidRPr="006A581F">
        <w:rPr>
          <w:rFonts w:cs="Arial"/>
        </w:rPr>
        <w:t>eform to put communities at the centre of service design</w:t>
      </w:r>
      <w:r w:rsidR="00584B50">
        <w:rPr>
          <w:rFonts w:cs="Arial"/>
        </w:rPr>
        <w:t>, a</w:t>
      </w:r>
      <w:r w:rsidR="006A581F" w:rsidRPr="006A581F">
        <w:rPr>
          <w:rFonts w:cs="Arial"/>
        </w:rPr>
        <w:t xml:space="preserve">nd </w:t>
      </w:r>
      <w:r w:rsidR="00584B50">
        <w:rPr>
          <w:rFonts w:cs="Arial"/>
        </w:rPr>
        <w:t>e</w:t>
      </w:r>
      <w:r w:rsidR="006A581F" w:rsidRPr="006A581F">
        <w:rPr>
          <w:rFonts w:cs="Arial"/>
        </w:rPr>
        <w:t xml:space="preserve">conomic </w:t>
      </w:r>
      <w:r w:rsidR="00584B50">
        <w:rPr>
          <w:rFonts w:cs="Arial"/>
        </w:rPr>
        <w:t>r</w:t>
      </w:r>
      <w:r w:rsidR="006A581F" w:rsidRPr="006A581F">
        <w:rPr>
          <w:rFonts w:cs="Arial"/>
        </w:rPr>
        <w:t>eform to facilitate economic participation and community development</w:t>
      </w:r>
      <w:r w:rsidR="00584B50">
        <w:rPr>
          <w:rFonts w:cs="Arial"/>
        </w:rPr>
        <w:t>.</w:t>
      </w:r>
      <w:r w:rsidR="00633CC2">
        <w:rPr>
          <w:rFonts w:cs="Arial"/>
        </w:rPr>
        <w:t xml:space="preserve"> </w:t>
      </w:r>
      <w:r w:rsidR="00A211DB">
        <w:rPr>
          <w:rFonts w:cs="Arial"/>
        </w:rPr>
        <w:t>The review team were advised t</w:t>
      </w:r>
      <w:r w:rsidR="00633CC2">
        <w:rPr>
          <w:rFonts w:cs="Arial"/>
        </w:rPr>
        <w:t>he FRC is a community</w:t>
      </w:r>
      <w:r w:rsidR="00A211DB">
        <w:rPr>
          <w:rFonts w:cs="Arial"/>
        </w:rPr>
        <w:t>-</w:t>
      </w:r>
      <w:r w:rsidR="00633CC2">
        <w:rPr>
          <w:rFonts w:cs="Arial"/>
        </w:rPr>
        <w:t>based model which promotes and fosters local authority.</w:t>
      </w:r>
      <w:r w:rsidR="00A211DB">
        <w:rPr>
          <w:rFonts w:cs="Arial"/>
        </w:rPr>
        <w:t xml:space="preserve"> The Local Commissioners make legally binding decisions in conference with community members to promote improvement in social norms and responsibility. With the amount of information to </w:t>
      </w:r>
      <w:r w:rsidR="00E145F1">
        <w:rPr>
          <w:rFonts w:cs="Arial"/>
        </w:rPr>
        <w:t>be discussed</w:t>
      </w:r>
      <w:r w:rsidR="00A211DB">
        <w:rPr>
          <w:rFonts w:cs="Arial"/>
        </w:rPr>
        <w:t xml:space="preserve">, the interview proceeded overtime and </w:t>
      </w:r>
      <w:r w:rsidR="00E145F1">
        <w:rPr>
          <w:rFonts w:cs="Arial"/>
        </w:rPr>
        <w:t xml:space="preserve">a further consultation was requested to provide information in regard to effectiveness (what does a good outcome from the FRC look like and the FRC program theory-of-change), efficiency (is the FRC cost effective) and governance (is the FR Board still the most appropriate and effective governance mechanism for the FRC). </w:t>
      </w:r>
      <w:r w:rsidR="007B5361">
        <w:rPr>
          <w:rFonts w:cs="Arial"/>
        </w:rPr>
        <w:t>The FRC Executive participated in a follow-up consultation on 27 May.</w:t>
      </w:r>
    </w:p>
    <w:p w14:paraId="6222C9C5" w14:textId="6BA382E6" w:rsidR="00A07D57" w:rsidRDefault="00A07D57" w:rsidP="00E02A82">
      <w:pPr>
        <w:ind w:left="-142" w:right="-425"/>
        <w:jc w:val="both"/>
        <w:rPr>
          <w:rFonts w:cs="Arial"/>
        </w:rPr>
      </w:pPr>
    </w:p>
    <w:p w14:paraId="0FFFF9F7" w14:textId="77777777" w:rsidR="008F4DD0" w:rsidRDefault="00A07D57" w:rsidP="00E02A82">
      <w:pPr>
        <w:ind w:left="-142" w:right="-425"/>
        <w:jc w:val="both"/>
        <w:rPr>
          <w:rFonts w:cs="Arial"/>
        </w:rPr>
      </w:pPr>
      <w:r>
        <w:rPr>
          <w:rFonts w:cs="Arial"/>
        </w:rPr>
        <w:t xml:space="preserve">Local Commissioners in each community participated in consultations with Abt Associates either in person or via teleconference. </w:t>
      </w:r>
      <w:r w:rsidR="002B2295">
        <w:rPr>
          <w:rFonts w:cs="Arial"/>
        </w:rPr>
        <w:t xml:space="preserve">Local </w:t>
      </w:r>
      <w:r>
        <w:rPr>
          <w:rFonts w:cs="Arial"/>
        </w:rPr>
        <w:t xml:space="preserve">Commissioners provided a written submission in each case to ensure that their views were recorded in writing for those considering the future of the FRC. </w:t>
      </w:r>
      <w:r w:rsidR="00591525">
        <w:rPr>
          <w:rFonts w:cs="Arial"/>
        </w:rPr>
        <w:t>Aside from consulting with relevant stakeholders and community members, Abt Associates also met with the Legislative Review Working Group (LRWG) on 15 June. The LRWG was established in 2019 to identify possible amendments to the FRC Act to support the FRC’s operational efficiencies.</w:t>
      </w:r>
    </w:p>
    <w:p w14:paraId="30AA6D14" w14:textId="77777777" w:rsidR="008F4DD0" w:rsidRDefault="008F4DD0" w:rsidP="00E02A82">
      <w:pPr>
        <w:ind w:left="-142" w:right="-425"/>
        <w:jc w:val="both"/>
        <w:rPr>
          <w:rFonts w:cs="Arial"/>
        </w:rPr>
      </w:pPr>
    </w:p>
    <w:p w14:paraId="7AE1A6D0" w14:textId="7C94143F" w:rsidR="00A07D57" w:rsidRPr="00E02A82" w:rsidRDefault="008F4DD0" w:rsidP="00E02A82">
      <w:pPr>
        <w:ind w:left="-142" w:right="-425"/>
        <w:jc w:val="both"/>
        <w:rPr>
          <w:rFonts w:cs="Arial"/>
        </w:rPr>
      </w:pPr>
      <w:r w:rsidRPr="002B2295">
        <w:rPr>
          <w:rFonts w:cs="Arial"/>
        </w:rPr>
        <w:t xml:space="preserve">The FRC has further collaborated with Abt associates to provide them with requested data </w:t>
      </w:r>
      <w:r>
        <w:rPr>
          <w:rFonts w:cs="Arial"/>
        </w:rPr>
        <w:t xml:space="preserve">from the CRM </w:t>
      </w:r>
      <w:r w:rsidR="005B362E">
        <w:rPr>
          <w:rFonts w:cs="Arial"/>
        </w:rPr>
        <w:t>database and</w:t>
      </w:r>
      <w:r w:rsidRPr="002B2295">
        <w:rPr>
          <w:rFonts w:cs="Arial"/>
        </w:rPr>
        <w:t xml:space="preserve"> considers the review as an opportunity to celebrate successes, recognise and report challenges and seek new opportunities to continue improving the FRC model of social change.</w:t>
      </w:r>
    </w:p>
    <w:p w14:paraId="32A1F813" w14:textId="77777777" w:rsidR="00E02A82" w:rsidRPr="00E02A82" w:rsidRDefault="00E02A82" w:rsidP="00E02A82">
      <w:pPr>
        <w:ind w:left="-142" w:right="-425"/>
        <w:jc w:val="both"/>
        <w:rPr>
          <w:rFonts w:cs="Arial"/>
        </w:rPr>
      </w:pPr>
      <w:bookmarkStart w:id="28" w:name="_Hlk112918907"/>
    </w:p>
    <w:p w14:paraId="66A80EB0" w14:textId="6443642E" w:rsidR="00687370" w:rsidRPr="002B2295" w:rsidRDefault="00687370" w:rsidP="002B2295">
      <w:pPr>
        <w:ind w:left="-142" w:right="-425"/>
        <w:jc w:val="both"/>
        <w:rPr>
          <w:rFonts w:cs="Arial"/>
          <w:b/>
          <w:bCs/>
          <w:sz w:val="22"/>
          <w:szCs w:val="22"/>
        </w:rPr>
      </w:pPr>
      <w:r w:rsidRPr="002B2295">
        <w:rPr>
          <w:rFonts w:cs="Arial"/>
          <w:b/>
          <w:bCs/>
          <w:sz w:val="22"/>
          <w:szCs w:val="22"/>
        </w:rPr>
        <w:t>Submission for the FRC Future Directions Review</w:t>
      </w:r>
      <w:bookmarkEnd w:id="28"/>
    </w:p>
    <w:p w14:paraId="58485492" w14:textId="370B191F" w:rsidR="00687370" w:rsidRPr="002B2295" w:rsidRDefault="00D708E8" w:rsidP="002B2295">
      <w:pPr>
        <w:ind w:left="-142" w:right="-425"/>
        <w:jc w:val="both"/>
        <w:rPr>
          <w:rFonts w:cs="Arial"/>
        </w:rPr>
      </w:pPr>
      <w:r>
        <w:rPr>
          <w:rFonts w:cs="Arial"/>
        </w:rPr>
        <w:t xml:space="preserve">To form part of Abt Associates consultation with the FRC and </w:t>
      </w:r>
      <w:r w:rsidRPr="002B2295">
        <w:rPr>
          <w:rFonts w:cs="Arial"/>
        </w:rPr>
        <w:t xml:space="preserve">to provide information to the reviewers </w:t>
      </w:r>
      <w:r>
        <w:rPr>
          <w:rFonts w:cs="Arial"/>
        </w:rPr>
        <w:t>to</w:t>
      </w:r>
      <w:r w:rsidRPr="002B2295">
        <w:rPr>
          <w:rFonts w:cs="Arial"/>
        </w:rPr>
        <w:t xml:space="preserve"> assist them with their analysis</w:t>
      </w:r>
      <w:r>
        <w:rPr>
          <w:rFonts w:cs="Arial"/>
        </w:rPr>
        <w:t>, i</w:t>
      </w:r>
      <w:r w:rsidR="00687370" w:rsidRPr="002B2295">
        <w:rPr>
          <w:rFonts w:cs="Arial"/>
        </w:rPr>
        <w:t xml:space="preserve">n May 2022 the FRC submitted a report, </w:t>
      </w:r>
      <w:bookmarkStart w:id="29" w:name="_Hlk113280993"/>
      <w:r w:rsidR="00687370" w:rsidRPr="002B2295">
        <w:rPr>
          <w:rFonts w:cs="Arial"/>
        </w:rPr>
        <w:t>“</w:t>
      </w:r>
      <w:r w:rsidR="00687370" w:rsidRPr="005B362E">
        <w:rPr>
          <w:rFonts w:cs="Arial"/>
          <w:i/>
          <w:iCs/>
        </w:rPr>
        <w:t>The FRC: A model of self-determination, an operational analysis of the Family Responsibilities Commission from 2008 to 2022</w:t>
      </w:r>
      <w:bookmarkEnd w:id="29"/>
      <w:r w:rsidR="00687370" w:rsidRPr="002B2295">
        <w:rPr>
          <w:rFonts w:cs="Arial"/>
        </w:rPr>
        <w:t>”.</w:t>
      </w:r>
    </w:p>
    <w:p w14:paraId="2034F1CA" w14:textId="77777777" w:rsidR="00D708E8" w:rsidRDefault="00D708E8" w:rsidP="002B2295">
      <w:pPr>
        <w:ind w:left="-142" w:right="-425"/>
        <w:jc w:val="both"/>
        <w:rPr>
          <w:rFonts w:cs="Arial"/>
        </w:rPr>
      </w:pPr>
    </w:p>
    <w:p w14:paraId="5372859C" w14:textId="77777777" w:rsidR="00427087" w:rsidRDefault="00427087">
      <w:pPr>
        <w:spacing w:line="240" w:lineRule="auto"/>
        <w:rPr>
          <w:rFonts w:cs="Arial"/>
        </w:rPr>
      </w:pPr>
      <w:r>
        <w:rPr>
          <w:rFonts w:cs="Arial"/>
        </w:rPr>
        <w:br w:type="page"/>
      </w:r>
    </w:p>
    <w:p w14:paraId="69E14EB0" w14:textId="04BCA0D4" w:rsidR="00687370" w:rsidRDefault="00687370" w:rsidP="002B2295">
      <w:pPr>
        <w:ind w:left="-142" w:right="-425"/>
        <w:jc w:val="both"/>
        <w:rPr>
          <w:rFonts w:cs="Arial"/>
          <w:bCs/>
        </w:rPr>
      </w:pPr>
      <w:r w:rsidRPr="002B2295">
        <w:rPr>
          <w:rFonts w:cs="Arial"/>
        </w:rPr>
        <w:lastRenderedPageBreak/>
        <w:t xml:space="preserve">Below is an excerpt </w:t>
      </w:r>
      <w:r w:rsidR="004B7244">
        <w:rPr>
          <w:rFonts w:cs="Arial"/>
        </w:rPr>
        <w:t>from the report outlining evidence of the FRC’s successes and recommendations for the future</w:t>
      </w:r>
      <w:r w:rsidRPr="00687370">
        <w:rPr>
          <w:rFonts w:cs="Arial"/>
          <w:bCs/>
          <w:i/>
          <w:iCs/>
        </w:rPr>
        <w:t>.</w:t>
      </w:r>
    </w:p>
    <w:p w14:paraId="685A4D80" w14:textId="77777777" w:rsidR="002B2295" w:rsidRPr="002B2295" w:rsidRDefault="002B2295" w:rsidP="002B2295">
      <w:pPr>
        <w:ind w:left="-142" w:right="-425"/>
        <w:jc w:val="both"/>
        <w:rPr>
          <w:rFonts w:cs="Arial"/>
          <w:bCs/>
        </w:rPr>
      </w:pPr>
    </w:p>
    <w:p w14:paraId="03949420" w14:textId="38ECC307" w:rsidR="00687370" w:rsidRPr="00BC4A2C" w:rsidRDefault="00687370" w:rsidP="0065498A">
      <w:pPr>
        <w:ind w:left="284" w:right="283"/>
        <w:jc w:val="both"/>
        <w:rPr>
          <w:rFonts w:cs="Arial"/>
          <w:b/>
          <w:bCs/>
          <w:i/>
          <w:iCs/>
          <w:sz w:val="22"/>
          <w:szCs w:val="22"/>
        </w:rPr>
      </w:pPr>
      <w:r w:rsidRPr="00BC4A2C">
        <w:rPr>
          <w:rFonts w:cs="Arial"/>
          <w:b/>
          <w:bCs/>
          <w:i/>
          <w:iCs/>
          <w:sz w:val="22"/>
          <w:szCs w:val="22"/>
        </w:rPr>
        <w:t>Evidence of FRC’s success achieving legislative functions and policy objectives</w:t>
      </w:r>
    </w:p>
    <w:p w14:paraId="6E02A328" w14:textId="77777777" w:rsidR="00791B32" w:rsidRPr="0065498A" w:rsidRDefault="00791B32" w:rsidP="001C4518">
      <w:pPr>
        <w:ind w:left="284" w:right="283"/>
        <w:jc w:val="both"/>
        <w:rPr>
          <w:rFonts w:cs="Arial"/>
          <w:bCs/>
          <w:i/>
          <w:iCs/>
        </w:rPr>
      </w:pPr>
    </w:p>
    <w:p w14:paraId="76034F76" w14:textId="77777777" w:rsidR="00687370" w:rsidRPr="00687370" w:rsidRDefault="00687370" w:rsidP="001C4518">
      <w:pPr>
        <w:ind w:left="284" w:right="284"/>
        <w:rPr>
          <w:rFonts w:cs="Arial"/>
          <w:bCs/>
          <w:i/>
          <w:iCs/>
        </w:rPr>
      </w:pPr>
      <w:r w:rsidRPr="00687370">
        <w:rPr>
          <w:rFonts w:cs="Arial"/>
          <w:bCs/>
          <w:i/>
          <w:iCs/>
        </w:rPr>
        <w:t>Analysis of FRC data (and other data, where available) presents a compelling case in accordance with the FRC’s Theory of Change and Cape York Welfare Reform Program Logic, that the FRC is successfully facilitating positive change.</w:t>
      </w:r>
    </w:p>
    <w:p w14:paraId="780C58C6" w14:textId="77777777" w:rsidR="00687370" w:rsidRPr="00687370" w:rsidRDefault="00687370" w:rsidP="001C4518">
      <w:pPr>
        <w:ind w:left="284" w:right="283"/>
        <w:rPr>
          <w:rFonts w:cs="Arial"/>
          <w:bCs/>
          <w:i/>
          <w:iCs/>
        </w:rPr>
      </w:pPr>
    </w:p>
    <w:p w14:paraId="0CB6AE53" w14:textId="77777777" w:rsidR="00687370" w:rsidRPr="00791B32" w:rsidRDefault="00687370" w:rsidP="001C4518">
      <w:pPr>
        <w:ind w:left="284" w:right="283"/>
        <w:rPr>
          <w:rFonts w:cs="Arial"/>
          <w:b/>
          <w:i/>
          <w:iCs/>
        </w:rPr>
      </w:pPr>
      <w:r w:rsidRPr="00791B32">
        <w:rPr>
          <w:rFonts w:cs="Arial"/>
          <w:b/>
          <w:i/>
          <w:iCs/>
        </w:rPr>
        <w:t>1. Self-determination and local Indigenous authority have strengthened</w:t>
      </w:r>
    </w:p>
    <w:p w14:paraId="574A6C82" w14:textId="6DC198CD" w:rsidR="00687370" w:rsidRDefault="00687370" w:rsidP="001C4518">
      <w:pPr>
        <w:ind w:left="567" w:right="283"/>
        <w:rPr>
          <w:rFonts w:cs="Arial"/>
          <w:bCs/>
          <w:i/>
          <w:iCs/>
        </w:rPr>
      </w:pPr>
      <w:r w:rsidRPr="00687370">
        <w:rPr>
          <w:rFonts w:cs="Arial"/>
          <w:bCs/>
          <w:i/>
          <w:iCs/>
        </w:rPr>
        <w:t>The FRC has played a key role in successfully helping individuals and families ‘increase their participation in opportunities and responding to drivers and conditions’ as required by the Cape York Welfare Reform Program Logic.</w:t>
      </w:r>
    </w:p>
    <w:p w14:paraId="370FE01E" w14:textId="77777777" w:rsidR="0065498A" w:rsidRPr="00687370" w:rsidRDefault="0065498A" w:rsidP="001C4518">
      <w:pPr>
        <w:ind w:left="284" w:right="283"/>
        <w:rPr>
          <w:rFonts w:cs="Arial"/>
          <w:bCs/>
          <w:i/>
          <w:iCs/>
        </w:rPr>
      </w:pPr>
    </w:p>
    <w:p w14:paraId="5D31A692" w14:textId="77F9915C" w:rsidR="00687370" w:rsidRDefault="00687370" w:rsidP="001C4518">
      <w:pPr>
        <w:ind w:left="567" w:right="283"/>
        <w:rPr>
          <w:rFonts w:cs="Arial"/>
          <w:bCs/>
          <w:i/>
          <w:iCs/>
        </w:rPr>
      </w:pPr>
      <w:r w:rsidRPr="00687370">
        <w:rPr>
          <w:rFonts w:cs="Arial"/>
          <w:bCs/>
          <w:i/>
          <w:iCs/>
        </w:rPr>
        <w:t>The FRC has successfully ‘strengthened self-determination and local Indigenous authority’. Evidence of the FRC’s success achieving this objective is shown by looking at:</w:t>
      </w:r>
    </w:p>
    <w:p w14:paraId="3C4A5D4D" w14:textId="77777777" w:rsidR="0065498A" w:rsidRPr="00687370" w:rsidRDefault="0065498A" w:rsidP="001C4518">
      <w:pPr>
        <w:ind w:left="284" w:right="283"/>
        <w:rPr>
          <w:rFonts w:cs="Arial"/>
          <w:bCs/>
          <w:i/>
          <w:iCs/>
        </w:rPr>
      </w:pPr>
    </w:p>
    <w:p w14:paraId="54D005BB" w14:textId="77777777" w:rsidR="00687370" w:rsidRPr="00687370" w:rsidRDefault="00687370" w:rsidP="001C4518">
      <w:pPr>
        <w:numPr>
          <w:ilvl w:val="0"/>
          <w:numId w:val="25"/>
        </w:numPr>
        <w:ind w:left="993" w:right="283"/>
        <w:rPr>
          <w:rFonts w:cs="Arial"/>
          <w:bCs/>
          <w:i/>
          <w:iCs/>
          <w:lang w:val="en-GB"/>
        </w:rPr>
      </w:pPr>
      <w:r w:rsidRPr="00687370">
        <w:rPr>
          <w:rFonts w:cs="Arial"/>
          <w:bCs/>
          <w:i/>
          <w:iCs/>
          <w:lang w:val="en-GB"/>
        </w:rPr>
        <w:t>the high retention and development of Local Commissioners</w:t>
      </w:r>
    </w:p>
    <w:p w14:paraId="4B78B6D7" w14:textId="77777777" w:rsidR="00687370" w:rsidRPr="00687370" w:rsidRDefault="00687370" w:rsidP="001C4518">
      <w:pPr>
        <w:numPr>
          <w:ilvl w:val="0"/>
          <w:numId w:val="25"/>
        </w:numPr>
        <w:ind w:left="993" w:right="283"/>
        <w:rPr>
          <w:rFonts w:cs="Arial"/>
          <w:bCs/>
          <w:i/>
          <w:iCs/>
          <w:lang w:val="en-GB"/>
        </w:rPr>
      </w:pPr>
      <w:r w:rsidRPr="00687370">
        <w:rPr>
          <w:rFonts w:cs="Arial"/>
          <w:bCs/>
          <w:i/>
          <w:iCs/>
          <w:lang w:val="en-GB"/>
        </w:rPr>
        <w:t>the evolution of Local Commissioners sitting alone to conduct FRC business and make decisions</w:t>
      </w:r>
    </w:p>
    <w:p w14:paraId="710B4320" w14:textId="77777777" w:rsidR="00687370" w:rsidRPr="00687370" w:rsidRDefault="00687370" w:rsidP="001C4518">
      <w:pPr>
        <w:numPr>
          <w:ilvl w:val="0"/>
          <w:numId w:val="25"/>
        </w:numPr>
        <w:ind w:left="993" w:right="283"/>
        <w:rPr>
          <w:rFonts w:cs="Arial"/>
          <w:bCs/>
          <w:i/>
          <w:iCs/>
          <w:lang w:val="en-GB"/>
        </w:rPr>
      </w:pPr>
      <w:r w:rsidRPr="00687370">
        <w:rPr>
          <w:rFonts w:cs="Arial"/>
          <w:bCs/>
          <w:i/>
          <w:iCs/>
          <w:lang w:val="en-GB"/>
        </w:rPr>
        <w:t>high rates of conference attendance</w:t>
      </w:r>
    </w:p>
    <w:p w14:paraId="581B077A" w14:textId="77777777" w:rsidR="00687370" w:rsidRPr="00687370" w:rsidRDefault="00687370" w:rsidP="001C4518">
      <w:pPr>
        <w:numPr>
          <w:ilvl w:val="0"/>
          <w:numId w:val="25"/>
        </w:numPr>
        <w:ind w:left="993" w:right="283"/>
        <w:rPr>
          <w:rFonts w:cs="Arial"/>
          <w:bCs/>
          <w:i/>
          <w:iCs/>
          <w:lang w:val="en-GB"/>
        </w:rPr>
      </w:pPr>
      <w:r w:rsidRPr="00687370">
        <w:rPr>
          <w:rFonts w:cs="Arial"/>
          <w:bCs/>
          <w:i/>
          <w:iCs/>
          <w:lang w:val="en-GB"/>
        </w:rPr>
        <w:t>the judicious use of Compulsory Income Management (CIM)</w:t>
      </w:r>
    </w:p>
    <w:p w14:paraId="1FFAC00B" w14:textId="77777777" w:rsidR="00687370" w:rsidRPr="00687370" w:rsidRDefault="00687370" w:rsidP="001C4518">
      <w:pPr>
        <w:numPr>
          <w:ilvl w:val="0"/>
          <w:numId w:val="25"/>
        </w:numPr>
        <w:ind w:left="993" w:right="283"/>
        <w:rPr>
          <w:rFonts w:cs="Arial"/>
          <w:bCs/>
          <w:i/>
          <w:iCs/>
          <w:lang w:val="en-GB"/>
        </w:rPr>
      </w:pPr>
      <w:r w:rsidRPr="00687370">
        <w:rPr>
          <w:rFonts w:cs="Arial"/>
          <w:bCs/>
          <w:i/>
          <w:iCs/>
          <w:lang w:val="en-GB"/>
        </w:rPr>
        <w:t>the high levels of legitimacy of the FRC and its decisions.</w:t>
      </w:r>
    </w:p>
    <w:p w14:paraId="71A62EF9" w14:textId="77777777" w:rsidR="00687370" w:rsidRPr="00687370" w:rsidRDefault="00687370" w:rsidP="001C4518">
      <w:pPr>
        <w:ind w:left="284" w:right="283"/>
        <w:rPr>
          <w:rFonts w:cs="Arial"/>
          <w:bCs/>
          <w:i/>
          <w:iCs/>
        </w:rPr>
      </w:pPr>
    </w:p>
    <w:p w14:paraId="0F650384" w14:textId="77777777" w:rsidR="00687370" w:rsidRPr="00791B32" w:rsidRDefault="00687370" w:rsidP="001C4518">
      <w:pPr>
        <w:ind w:left="284" w:right="283"/>
        <w:rPr>
          <w:rFonts w:cs="Arial"/>
          <w:b/>
          <w:i/>
          <w:iCs/>
        </w:rPr>
      </w:pPr>
      <w:r w:rsidRPr="00791B32">
        <w:rPr>
          <w:rFonts w:cs="Arial"/>
          <w:b/>
          <w:i/>
          <w:iCs/>
        </w:rPr>
        <w:t>2. Respite from daily living problems</w:t>
      </w:r>
    </w:p>
    <w:p w14:paraId="31449893" w14:textId="09B31216" w:rsidR="00687370" w:rsidRDefault="00687370" w:rsidP="001C4518">
      <w:pPr>
        <w:ind w:left="567" w:right="283"/>
        <w:rPr>
          <w:rFonts w:cs="Arial"/>
          <w:bCs/>
          <w:i/>
          <w:iCs/>
        </w:rPr>
      </w:pPr>
      <w:r w:rsidRPr="00687370">
        <w:rPr>
          <w:rFonts w:cs="Arial"/>
          <w:bCs/>
          <w:i/>
          <w:iCs/>
        </w:rPr>
        <w:t>The FRC has played a key role in successfully helping individuals and families ‘gain respite from daily living problems’ as required by the Cape York Welfare Reform Program Logic.</w:t>
      </w:r>
    </w:p>
    <w:p w14:paraId="35C97CCE" w14:textId="77777777" w:rsidR="0065498A" w:rsidRPr="00687370" w:rsidRDefault="0065498A" w:rsidP="001C4518">
      <w:pPr>
        <w:ind w:left="284" w:right="283"/>
        <w:rPr>
          <w:rFonts w:cs="Arial"/>
          <w:bCs/>
          <w:i/>
          <w:iCs/>
        </w:rPr>
      </w:pPr>
    </w:p>
    <w:p w14:paraId="2F9E0D08" w14:textId="1709B8AE" w:rsidR="00687370" w:rsidRDefault="00687370" w:rsidP="001C4518">
      <w:pPr>
        <w:ind w:left="567" w:right="283"/>
        <w:rPr>
          <w:rFonts w:cs="Arial"/>
          <w:bCs/>
          <w:i/>
          <w:iCs/>
        </w:rPr>
      </w:pPr>
      <w:r w:rsidRPr="00687370">
        <w:rPr>
          <w:rFonts w:cs="Arial"/>
          <w:bCs/>
          <w:i/>
          <w:iCs/>
        </w:rPr>
        <w:t>The FRC’s strong performance in providing respite from daily living problems is shown by looking at income management protection through conditional income management (CIM) and voluntary income management (VIM) including:</w:t>
      </w:r>
    </w:p>
    <w:p w14:paraId="6AFEA461" w14:textId="77777777" w:rsidR="0065498A" w:rsidRPr="00687370" w:rsidRDefault="0065498A" w:rsidP="001C4518">
      <w:pPr>
        <w:ind w:left="284" w:right="283"/>
        <w:rPr>
          <w:rFonts w:cs="Arial"/>
          <w:bCs/>
          <w:i/>
          <w:iCs/>
        </w:rPr>
      </w:pPr>
    </w:p>
    <w:p w14:paraId="5D66A646" w14:textId="77777777" w:rsidR="00687370" w:rsidRPr="00687370" w:rsidRDefault="00687370" w:rsidP="001C4518">
      <w:pPr>
        <w:numPr>
          <w:ilvl w:val="0"/>
          <w:numId w:val="25"/>
        </w:numPr>
        <w:ind w:left="993" w:right="283"/>
        <w:rPr>
          <w:rFonts w:cs="Arial"/>
          <w:bCs/>
          <w:i/>
          <w:iCs/>
          <w:lang w:val="en-GB"/>
        </w:rPr>
      </w:pPr>
      <w:r w:rsidRPr="00687370">
        <w:rPr>
          <w:rFonts w:cs="Arial"/>
          <w:bCs/>
          <w:i/>
          <w:iCs/>
          <w:lang w:val="en-GB"/>
        </w:rPr>
        <w:t>large amounts of income protected by income management (includes contributions made to paying rent in homes, buying food and clothes)</w:t>
      </w:r>
    </w:p>
    <w:p w14:paraId="4605B860" w14:textId="77777777" w:rsidR="00687370" w:rsidRPr="00687370" w:rsidRDefault="00687370" w:rsidP="001C4518">
      <w:pPr>
        <w:numPr>
          <w:ilvl w:val="0"/>
          <w:numId w:val="25"/>
        </w:numPr>
        <w:ind w:left="993" w:right="283"/>
        <w:rPr>
          <w:rFonts w:cs="Arial"/>
          <w:bCs/>
          <w:i/>
          <w:iCs/>
          <w:lang w:val="en-GB"/>
        </w:rPr>
      </w:pPr>
      <w:r w:rsidRPr="00687370">
        <w:rPr>
          <w:rFonts w:cs="Arial"/>
          <w:bCs/>
          <w:i/>
          <w:iCs/>
          <w:lang w:val="en-GB"/>
        </w:rPr>
        <w:t>numbers of children protected by income management (CIM and VIM).</w:t>
      </w:r>
    </w:p>
    <w:p w14:paraId="647F18C2" w14:textId="77777777" w:rsidR="00687370" w:rsidRPr="00687370" w:rsidRDefault="00687370" w:rsidP="001C4518">
      <w:pPr>
        <w:ind w:left="284" w:right="283"/>
        <w:rPr>
          <w:rFonts w:cs="Arial"/>
          <w:bCs/>
          <w:i/>
          <w:iCs/>
        </w:rPr>
      </w:pPr>
    </w:p>
    <w:p w14:paraId="7AE5BB2A" w14:textId="77777777" w:rsidR="00687370" w:rsidRPr="00791B32" w:rsidRDefault="00687370" w:rsidP="001C4518">
      <w:pPr>
        <w:ind w:left="284" w:right="283"/>
        <w:rPr>
          <w:rFonts w:cs="Arial"/>
          <w:b/>
          <w:i/>
          <w:iCs/>
        </w:rPr>
      </w:pPr>
      <w:r w:rsidRPr="00791B32">
        <w:rPr>
          <w:rFonts w:cs="Arial"/>
          <w:b/>
          <w:i/>
          <w:iCs/>
        </w:rPr>
        <w:t>3. Enhancing personal responsibility</w:t>
      </w:r>
    </w:p>
    <w:p w14:paraId="5A4A41A7" w14:textId="5EDD6430" w:rsidR="00687370" w:rsidRDefault="00687370" w:rsidP="001C4518">
      <w:pPr>
        <w:ind w:left="567" w:right="283"/>
        <w:rPr>
          <w:rFonts w:cs="Arial"/>
          <w:bCs/>
          <w:i/>
          <w:iCs/>
        </w:rPr>
      </w:pPr>
      <w:r w:rsidRPr="00687370">
        <w:rPr>
          <w:rFonts w:cs="Arial"/>
          <w:bCs/>
          <w:i/>
          <w:iCs/>
        </w:rPr>
        <w:t>The FRC has been successful in motivating FRC clients and their families ‘to take greater personal responsibility’ as required by the Cape York Welfare Reform Program Logic.</w:t>
      </w:r>
    </w:p>
    <w:p w14:paraId="6E597035" w14:textId="77777777" w:rsidR="0065498A" w:rsidRPr="00687370" w:rsidRDefault="0065498A" w:rsidP="001C4518">
      <w:pPr>
        <w:ind w:left="284" w:right="283"/>
        <w:rPr>
          <w:rFonts w:cs="Arial"/>
          <w:bCs/>
          <w:i/>
          <w:iCs/>
        </w:rPr>
      </w:pPr>
    </w:p>
    <w:p w14:paraId="6DC58632" w14:textId="153F5DE4" w:rsidR="00687370" w:rsidRDefault="00687370" w:rsidP="001C4518">
      <w:pPr>
        <w:ind w:left="567" w:right="283"/>
        <w:rPr>
          <w:rFonts w:cs="Arial"/>
          <w:bCs/>
          <w:i/>
          <w:iCs/>
        </w:rPr>
      </w:pPr>
      <w:r w:rsidRPr="00687370">
        <w:rPr>
          <w:rFonts w:cs="Arial"/>
          <w:bCs/>
          <w:i/>
          <w:iCs/>
        </w:rPr>
        <w:t>Existing evidence shows that the FRC enhances personal responsibility. This can be seen, for example:</w:t>
      </w:r>
    </w:p>
    <w:p w14:paraId="3B01A9ED" w14:textId="77777777" w:rsidR="0065498A" w:rsidRPr="00687370" w:rsidRDefault="0065498A" w:rsidP="001C4518">
      <w:pPr>
        <w:ind w:left="284" w:right="283"/>
        <w:rPr>
          <w:rFonts w:cs="Arial"/>
          <w:bCs/>
          <w:i/>
          <w:iCs/>
        </w:rPr>
      </w:pPr>
    </w:p>
    <w:p w14:paraId="4DBA26E5" w14:textId="49E0C87B" w:rsidR="00687370" w:rsidRDefault="00687370" w:rsidP="001C4518">
      <w:pPr>
        <w:numPr>
          <w:ilvl w:val="0"/>
          <w:numId w:val="25"/>
        </w:numPr>
        <w:ind w:left="993" w:right="283"/>
        <w:rPr>
          <w:rFonts w:cs="Arial"/>
          <w:bCs/>
          <w:i/>
          <w:iCs/>
          <w:lang w:val="en-GB"/>
        </w:rPr>
      </w:pPr>
      <w:r w:rsidRPr="00687370">
        <w:rPr>
          <w:rFonts w:cs="Arial"/>
          <w:bCs/>
          <w:i/>
          <w:iCs/>
          <w:lang w:val="en-GB"/>
        </w:rPr>
        <w:t>In the evidence showing FRC clients with low levels of personal responsibility, who receive high levels of intervention, progress. As their level of personal responsibility increases, a corresponding decrease in the level of FRC intervention can be seen.</w:t>
      </w:r>
    </w:p>
    <w:p w14:paraId="4F77F94A" w14:textId="77777777" w:rsidR="0065498A" w:rsidRPr="00687370" w:rsidRDefault="0065498A" w:rsidP="001C4518">
      <w:pPr>
        <w:ind w:left="284" w:right="283"/>
        <w:rPr>
          <w:rFonts w:cs="Arial"/>
          <w:bCs/>
          <w:i/>
          <w:iCs/>
          <w:lang w:val="en-GB"/>
        </w:rPr>
      </w:pPr>
    </w:p>
    <w:p w14:paraId="79730D68" w14:textId="77777777" w:rsidR="00687370" w:rsidRPr="00687370" w:rsidRDefault="00687370" w:rsidP="001C4518">
      <w:pPr>
        <w:numPr>
          <w:ilvl w:val="1"/>
          <w:numId w:val="25"/>
        </w:numPr>
        <w:ind w:left="1276" w:right="283"/>
        <w:rPr>
          <w:rFonts w:cs="Arial"/>
          <w:bCs/>
          <w:i/>
          <w:iCs/>
          <w:lang w:val="en-GB"/>
        </w:rPr>
      </w:pPr>
      <w:r w:rsidRPr="00687370">
        <w:rPr>
          <w:rFonts w:cs="Arial"/>
          <w:bCs/>
          <w:i/>
          <w:iCs/>
          <w:lang w:val="en-GB"/>
        </w:rPr>
        <w:t>This is clearly demonstrated where clients who were once on a CIM, progress to VIM.</w:t>
      </w:r>
    </w:p>
    <w:p w14:paraId="4DD65667" w14:textId="6A87E5BD" w:rsidR="00687370" w:rsidRDefault="00687370" w:rsidP="001C4518">
      <w:pPr>
        <w:numPr>
          <w:ilvl w:val="1"/>
          <w:numId w:val="25"/>
        </w:numPr>
        <w:ind w:left="1276" w:right="283"/>
        <w:rPr>
          <w:rFonts w:cs="Arial"/>
          <w:bCs/>
          <w:i/>
          <w:iCs/>
          <w:lang w:val="en-GB"/>
        </w:rPr>
      </w:pPr>
      <w:r w:rsidRPr="00687370">
        <w:rPr>
          <w:rFonts w:cs="Arial"/>
          <w:bCs/>
          <w:i/>
          <w:iCs/>
          <w:lang w:val="en-GB"/>
        </w:rPr>
        <w:t>It is also evidenced by the substantial proportion of clients who have received the FRC’s most serious intervention, a 90% CIM for 12 months, but who go on to receive other FRC interventions of a lower intensity or have no further interaction with the FRC.</w:t>
      </w:r>
    </w:p>
    <w:p w14:paraId="7A856570" w14:textId="77777777" w:rsidR="0065498A" w:rsidRPr="00687370" w:rsidRDefault="0065498A" w:rsidP="001C4518">
      <w:pPr>
        <w:ind w:left="284" w:right="283"/>
        <w:rPr>
          <w:rFonts w:cs="Arial"/>
          <w:bCs/>
          <w:i/>
          <w:iCs/>
          <w:lang w:val="en-GB"/>
        </w:rPr>
      </w:pPr>
    </w:p>
    <w:p w14:paraId="32BD7E91" w14:textId="77777777" w:rsidR="00687370" w:rsidRPr="00687370" w:rsidRDefault="00687370" w:rsidP="001C4518">
      <w:pPr>
        <w:numPr>
          <w:ilvl w:val="0"/>
          <w:numId w:val="25"/>
        </w:numPr>
        <w:ind w:left="993" w:right="283"/>
        <w:rPr>
          <w:rFonts w:cs="Arial"/>
          <w:bCs/>
          <w:i/>
          <w:iCs/>
          <w:lang w:val="en-GB"/>
        </w:rPr>
      </w:pPr>
      <w:r w:rsidRPr="00687370">
        <w:rPr>
          <w:rFonts w:cs="Arial"/>
          <w:bCs/>
          <w:i/>
          <w:iCs/>
          <w:lang w:val="en-GB"/>
        </w:rPr>
        <w:t>In O-Hub data showing the effectiveness of conferencing and referrals, which reinforces previous evaluative evidence that shows success of FRC referrals in the 2014 Evaluation of Cape York Wellbeing Centres.</w:t>
      </w:r>
    </w:p>
    <w:p w14:paraId="2AAD4FA7" w14:textId="77777777" w:rsidR="00687370" w:rsidRPr="00687370" w:rsidRDefault="00687370" w:rsidP="001C4518">
      <w:pPr>
        <w:numPr>
          <w:ilvl w:val="0"/>
          <w:numId w:val="25"/>
        </w:numPr>
        <w:ind w:left="993" w:right="283"/>
        <w:rPr>
          <w:rFonts w:cs="Arial"/>
          <w:bCs/>
          <w:i/>
          <w:iCs/>
          <w:lang w:val="en-GB"/>
        </w:rPr>
      </w:pPr>
      <w:r w:rsidRPr="00687370">
        <w:rPr>
          <w:rFonts w:cs="Arial"/>
          <w:bCs/>
          <w:i/>
          <w:iCs/>
          <w:lang w:val="en-GB"/>
        </w:rPr>
        <w:t>In a great deal of qualitative evidence which also supports what the FRC sees first-hand in terms of its impact on many clients. In these cases, clients themselves, credit FRC intervention as being the significant catalyst for change.</w:t>
      </w:r>
    </w:p>
    <w:p w14:paraId="1FB12074" w14:textId="77777777" w:rsidR="00EB6126" w:rsidRDefault="00EB6126" w:rsidP="001C4518">
      <w:pPr>
        <w:ind w:left="-142" w:right="-425"/>
        <w:jc w:val="both"/>
        <w:rPr>
          <w:rFonts w:cs="Arial"/>
        </w:rPr>
      </w:pPr>
    </w:p>
    <w:p w14:paraId="0A3B4886" w14:textId="2241230E" w:rsidR="004A45E8" w:rsidRDefault="004A45E8" w:rsidP="001C4518">
      <w:pPr>
        <w:ind w:left="-142" w:right="-425"/>
        <w:jc w:val="both"/>
        <w:rPr>
          <w:rFonts w:cs="Arial"/>
        </w:rPr>
      </w:pPr>
      <w:r>
        <w:rPr>
          <w:rFonts w:cs="Arial"/>
        </w:rPr>
        <w:t>To conclude the report, seven recommendations were made. Each recommendation was framed to support the FRC’s continued operations and growth required to provide innovative responses to highly disadvantaged clients and their families in empowering and effective ways. The recommendation are as follows:</w:t>
      </w:r>
    </w:p>
    <w:p w14:paraId="37EA9E63" w14:textId="3ECB0EB0" w:rsidR="004A45E8" w:rsidRDefault="004A45E8" w:rsidP="001C4518">
      <w:pPr>
        <w:ind w:left="-142" w:right="-425"/>
        <w:jc w:val="both"/>
        <w:rPr>
          <w:rFonts w:cs="Arial"/>
        </w:rPr>
      </w:pPr>
    </w:p>
    <w:p w14:paraId="68E8043D" w14:textId="77777777" w:rsidR="004B7244" w:rsidRPr="004B7244" w:rsidRDefault="004B7244" w:rsidP="001C4518">
      <w:pPr>
        <w:ind w:left="-142" w:right="-425"/>
        <w:jc w:val="both"/>
        <w:rPr>
          <w:rFonts w:cs="Arial"/>
          <w:b/>
          <w:bCs/>
          <w:i/>
          <w:iCs/>
        </w:rPr>
      </w:pPr>
      <w:r w:rsidRPr="004B7244">
        <w:rPr>
          <w:rFonts w:cs="Arial"/>
          <w:b/>
          <w:bCs/>
          <w:i/>
          <w:iCs/>
        </w:rPr>
        <w:t>Recommendation 1: A permanent FRC with renewed local authority</w:t>
      </w:r>
    </w:p>
    <w:p w14:paraId="27F786FB" w14:textId="77777777" w:rsidR="004B7244" w:rsidRPr="004B7244" w:rsidRDefault="004B7244" w:rsidP="001C4518">
      <w:pPr>
        <w:ind w:left="-142" w:right="-425"/>
        <w:jc w:val="both"/>
        <w:rPr>
          <w:rFonts w:cs="Arial"/>
          <w:i/>
          <w:iCs/>
        </w:rPr>
      </w:pPr>
      <w:r w:rsidRPr="004B7244">
        <w:rPr>
          <w:rFonts w:cs="Arial"/>
          <w:i/>
          <w:iCs/>
        </w:rPr>
        <w:t>The Queensland Government should guarantee the long-term future of the FRC so that the Crown’s decision-making powers and responsibility continue to be shared with First Nations people under the FRC Act. Immediate steps must also be taken to ensure business continuity, succession planning and renewal of leadership through the appointments of the FRC Commissioner, Deputy Commissioner and Local Commissioners for multi-year terms. This is the kind of partnership and shared decision-making model that puts high level policy commitments recently made by government into action.</w:t>
      </w:r>
    </w:p>
    <w:p w14:paraId="5E021776" w14:textId="77777777" w:rsidR="004B7244" w:rsidRPr="004B7244" w:rsidRDefault="004B7244" w:rsidP="001C4518">
      <w:pPr>
        <w:ind w:left="-142" w:right="-425"/>
        <w:jc w:val="both"/>
        <w:rPr>
          <w:rFonts w:cs="Arial"/>
          <w:i/>
          <w:iCs/>
        </w:rPr>
      </w:pPr>
    </w:p>
    <w:p w14:paraId="114AE043" w14:textId="77777777" w:rsidR="004B7244" w:rsidRPr="004B7244" w:rsidRDefault="004B7244" w:rsidP="001C4518">
      <w:pPr>
        <w:ind w:left="-142" w:right="-425"/>
        <w:jc w:val="both"/>
        <w:rPr>
          <w:rFonts w:cs="Arial"/>
          <w:b/>
          <w:bCs/>
          <w:i/>
          <w:iCs/>
        </w:rPr>
      </w:pPr>
      <w:r w:rsidRPr="004B7244">
        <w:rPr>
          <w:rFonts w:cs="Arial"/>
          <w:b/>
          <w:bCs/>
          <w:i/>
          <w:iCs/>
        </w:rPr>
        <w:t>Recommendation 2: The FRC to be supported to expand and contract across communities</w:t>
      </w:r>
    </w:p>
    <w:p w14:paraId="008A2E61" w14:textId="77777777" w:rsidR="004B7244" w:rsidRPr="004B7244" w:rsidRDefault="004B7244" w:rsidP="001C4518">
      <w:pPr>
        <w:ind w:left="-142" w:right="-425"/>
        <w:jc w:val="both"/>
        <w:rPr>
          <w:rFonts w:cs="Arial"/>
          <w:i/>
          <w:iCs/>
        </w:rPr>
      </w:pPr>
      <w:r w:rsidRPr="004B7244">
        <w:rPr>
          <w:rFonts w:cs="Arial"/>
          <w:i/>
          <w:iCs/>
        </w:rPr>
        <w:t>The FRC should never be imposed from the top-down. This is contrary to empowerment and self-determination which is at the heart of the FRC model. Rather the FRC partners should jointly engage with other interested communities about how an efficient, effective, agile, and responsive FRC model could be expanded to new locations.</w:t>
      </w:r>
    </w:p>
    <w:p w14:paraId="5021F004" w14:textId="77777777" w:rsidR="004B7244" w:rsidRPr="004B7244" w:rsidRDefault="004B7244" w:rsidP="001C4518">
      <w:pPr>
        <w:ind w:left="-142" w:right="-425"/>
        <w:jc w:val="both"/>
        <w:rPr>
          <w:rFonts w:cs="Arial"/>
          <w:i/>
          <w:iCs/>
        </w:rPr>
      </w:pPr>
    </w:p>
    <w:p w14:paraId="4101ACCF" w14:textId="77777777" w:rsidR="004B7244" w:rsidRPr="004B7244" w:rsidRDefault="004B7244" w:rsidP="001C4518">
      <w:pPr>
        <w:ind w:left="-142" w:right="-425"/>
        <w:jc w:val="both"/>
        <w:rPr>
          <w:rFonts w:cs="Arial"/>
          <w:b/>
          <w:bCs/>
          <w:i/>
          <w:iCs/>
        </w:rPr>
      </w:pPr>
      <w:r w:rsidRPr="004B7244">
        <w:rPr>
          <w:rFonts w:cs="Arial"/>
          <w:b/>
          <w:bCs/>
          <w:i/>
          <w:iCs/>
        </w:rPr>
        <w:t>Recommendation 3: Adding ‘Opportunity’ to ‘Responsibility’, and renaming the FRC</w:t>
      </w:r>
    </w:p>
    <w:p w14:paraId="784F60F4" w14:textId="77777777" w:rsidR="004B7244" w:rsidRPr="004B7244" w:rsidRDefault="004B7244" w:rsidP="001C4518">
      <w:pPr>
        <w:ind w:left="-142" w:right="-425"/>
        <w:jc w:val="both"/>
        <w:rPr>
          <w:rFonts w:cs="Arial"/>
          <w:i/>
          <w:iCs/>
        </w:rPr>
      </w:pPr>
      <w:r w:rsidRPr="004B7244">
        <w:rPr>
          <w:rFonts w:cs="Arial"/>
          <w:i/>
          <w:iCs/>
        </w:rPr>
        <w:t>Given elements of the FRC are a special measure, there is a strong argument for the need to evolve and enhance the current model so opportunities increasingly complement the FRC’s welfare responsibilities agenda, as was intended from the outset.</w:t>
      </w:r>
    </w:p>
    <w:p w14:paraId="18477617" w14:textId="77777777" w:rsidR="004B7244" w:rsidRPr="004B7244" w:rsidRDefault="004B7244" w:rsidP="001C4518">
      <w:pPr>
        <w:ind w:left="-142" w:right="-425"/>
        <w:jc w:val="both"/>
        <w:rPr>
          <w:rFonts w:cs="Arial"/>
          <w:i/>
          <w:iCs/>
        </w:rPr>
      </w:pPr>
      <w:r w:rsidRPr="004B7244">
        <w:rPr>
          <w:rFonts w:cs="Arial"/>
          <w:i/>
          <w:iCs/>
        </w:rPr>
        <w:t>The Australian Government’s current commitment to co-design and replace the Community Development Program, including to ensure there are more job opportunities available, especially in remote locations, allows the partners to revisit the opportunities that must accompany responsibility for real empowerment. The FRC is ideally placed to play a central role as job opportunities are increased. This could be through a ‘work obligation’ trigger where the FRC receives notifications when participants are not meeting agreed obligations. The FRC could then utilise the conferencing process to identify barriers to a participant’s employment, for example substance misuse or interpersonal issues, and make appropriate referrals to support service. It could then be appropriate to rename the FRC, the Family Responsibilities and Opportunities Commission (FROC).</w:t>
      </w:r>
    </w:p>
    <w:p w14:paraId="088A172B" w14:textId="77777777" w:rsidR="004B7244" w:rsidRPr="004B7244" w:rsidRDefault="004B7244" w:rsidP="001C4518">
      <w:pPr>
        <w:ind w:left="-142" w:right="-425"/>
        <w:jc w:val="both"/>
        <w:rPr>
          <w:rFonts w:cs="Arial"/>
          <w:i/>
          <w:iCs/>
        </w:rPr>
      </w:pPr>
    </w:p>
    <w:p w14:paraId="34A772B0" w14:textId="77777777" w:rsidR="004B7244" w:rsidRPr="004B7244" w:rsidRDefault="004B7244" w:rsidP="001C4518">
      <w:pPr>
        <w:ind w:left="-142" w:right="-425"/>
        <w:jc w:val="both"/>
        <w:rPr>
          <w:rFonts w:cs="Arial"/>
          <w:b/>
          <w:bCs/>
          <w:i/>
          <w:iCs/>
        </w:rPr>
      </w:pPr>
      <w:r w:rsidRPr="004B7244">
        <w:rPr>
          <w:rFonts w:cs="Arial"/>
          <w:b/>
          <w:bCs/>
          <w:i/>
          <w:iCs/>
        </w:rPr>
        <w:t>Recommendation 4: FRC supported to ensure the service ecosystem is working as required</w:t>
      </w:r>
    </w:p>
    <w:p w14:paraId="16E787E8" w14:textId="77777777" w:rsidR="004B7244" w:rsidRPr="004B7244" w:rsidRDefault="004B7244" w:rsidP="001C4518">
      <w:pPr>
        <w:ind w:left="-142" w:right="-425"/>
        <w:jc w:val="both"/>
        <w:rPr>
          <w:rFonts w:cs="Arial"/>
          <w:i/>
          <w:iCs/>
        </w:rPr>
      </w:pPr>
      <w:r w:rsidRPr="004B7244">
        <w:rPr>
          <w:rFonts w:cs="Arial"/>
          <w:i/>
          <w:iCs/>
        </w:rPr>
        <w:t xml:space="preserve">The FRC’s ability to restore local authority, provide support to community members to deal with everyday challenges, and encourage clients to take up personal responsibility, is crucial but of course </w:t>
      </w:r>
      <w:r w:rsidRPr="004B7244">
        <w:rPr>
          <w:rFonts w:cs="Arial"/>
          <w:i/>
          <w:iCs/>
        </w:rPr>
        <w:lastRenderedPageBreak/>
        <w:t>limited. The FRC cannot be effective where services are unaware of, and/or not meeting their professional obligations to the FRC. Such obligations, include but are not limited to government agencies providing trigger notices as required under the law; and service providers engaging FRC clients and/or meeting their legal obligations to report back to the FRC against case plans.</w:t>
      </w:r>
    </w:p>
    <w:p w14:paraId="4B558B13" w14:textId="77777777" w:rsidR="004B7244" w:rsidRPr="004B7244" w:rsidRDefault="004B7244" w:rsidP="001C4518">
      <w:pPr>
        <w:ind w:left="-142" w:right="-425"/>
        <w:jc w:val="both"/>
        <w:rPr>
          <w:rFonts w:cs="Arial"/>
          <w:i/>
          <w:iCs/>
        </w:rPr>
      </w:pPr>
      <w:r w:rsidRPr="004B7244">
        <w:rPr>
          <w:rFonts w:cs="Arial"/>
          <w:i/>
          <w:iCs/>
        </w:rPr>
        <w:t>Change is needed so there is more support provided across the partnership to promote and leverage the potential benefits of the FRC’s case plan, referral, case management and monitoring, and information sharing functions with service providers and government agencies. This includes putting in place agreed processes for information sharing so FRC input is provided into relevant decision-making of Courts, Queensland Corrective Services and Education Queensland. This will ensure that these disparate agencies are working as a cohesive unit to incentivise and support positive behavioural change within clients. This could take the form of FRC advice or ‘certification’ issued by the FRC Commissioner to the relevant agency as to whether a person is engaging with the FRC and attending referral agencies. This information could provide input into critical decisions being made by these agencies with respect to joint FRC clients.</w:t>
      </w:r>
    </w:p>
    <w:p w14:paraId="2BC52FCB" w14:textId="77777777" w:rsidR="004B7244" w:rsidRPr="004B7244" w:rsidRDefault="004B7244" w:rsidP="001C4518">
      <w:pPr>
        <w:ind w:left="-142" w:right="-425"/>
        <w:jc w:val="both"/>
        <w:rPr>
          <w:rFonts w:cs="Arial"/>
          <w:i/>
          <w:iCs/>
        </w:rPr>
      </w:pPr>
    </w:p>
    <w:p w14:paraId="46C75B0F" w14:textId="77777777" w:rsidR="004B7244" w:rsidRPr="004B7244" w:rsidRDefault="004B7244" w:rsidP="001C4518">
      <w:pPr>
        <w:ind w:left="-142" w:right="-425"/>
        <w:jc w:val="both"/>
        <w:rPr>
          <w:rFonts w:cs="Arial"/>
          <w:b/>
          <w:bCs/>
          <w:i/>
          <w:iCs/>
        </w:rPr>
      </w:pPr>
      <w:r w:rsidRPr="004B7244">
        <w:rPr>
          <w:rFonts w:cs="Arial"/>
          <w:b/>
          <w:bCs/>
          <w:i/>
          <w:iCs/>
        </w:rPr>
        <w:t>Recommendation 5: FRC to administer Voluntary Income Management (VIM state-wide to help those suffering entrenched disadvantage to protect income</w:t>
      </w:r>
    </w:p>
    <w:p w14:paraId="68FD1FE5" w14:textId="77777777" w:rsidR="004B7244" w:rsidRPr="004B7244" w:rsidRDefault="004B7244" w:rsidP="001C4518">
      <w:pPr>
        <w:ind w:left="-142" w:right="-425"/>
        <w:jc w:val="both"/>
        <w:rPr>
          <w:rFonts w:cs="Arial"/>
          <w:i/>
          <w:iCs/>
        </w:rPr>
      </w:pPr>
      <w:r w:rsidRPr="004B7244">
        <w:rPr>
          <w:rFonts w:cs="Arial"/>
          <w:i/>
          <w:iCs/>
        </w:rPr>
        <w:t>Given the success of Voluntary Income Management (VIM) since the introduction of the CDC, consideration should be given to the FRC administering VIM in other geographical areas. In this way VIM could be applied on request in any location where a person believes the tool will assist them manage their income so that bills can be paid, and money is available for food and other essentials despite challenging factors such as addictions and/or relationships with others. Women in FRC communities have found VIM helpful in protecting their income in DV and/or coercive relationships, for example.</w:t>
      </w:r>
    </w:p>
    <w:p w14:paraId="51BD7F0A" w14:textId="77777777" w:rsidR="004B7244" w:rsidRPr="004B7244" w:rsidRDefault="004B7244" w:rsidP="001C4518">
      <w:pPr>
        <w:ind w:left="-142" w:right="-425"/>
        <w:jc w:val="both"/>
        <w:rPr>
          <w:rFonts w:cs="Arial"/>
          <w:i/>
          <w:iCs/>
        </w:rPr>
      </w:pPr>
      <w:r w:rsidRPr="004B7244">
        <w:rPr>
          <w:rFonts w:cs="Arial"/>
          <w:i/>
          <w:iCs/>
        </w:rPr>
        <w:t>The FRC’s administration of VIM across the state, or to other geographical areas as required, would provide an additional tool for those experiencing disadvantage, and allow for the efficient delivery of this innovation utilising the existing systems and back-end support of the FRC.</w:t>
      </w:r>
    </w:p>
    <w:p w14:paraId="6DBF7D38" w14:textId="77777777" w:rsidR="004B7244" w:rsidRPr="004B7244" w:rsidRDefault="004B7244" w:rsidP="001C4518">
      <w:pPr>
        <w:ind w:left="-142" w:right="-425"/>
        <w:jc w:val="both"/>
        <w:rPr>
          <w:rFonts w:cs="Arial"/>
          <w:i/>
          <w:iCs/>
        </w:rPr>
      </w:pPr>
    </w:p>
    <w:p w14:paraId="6633BE55" w14:textId="77777777" w:rsidR="004B7244" w:rsidRPr="004B7244" w:rsidRDefault="004B7244" w:rsidP="001C4518">
      <w:pPr>
        <w:ind w:left="-142" w:right="-425"/>
        <w:jc w:val="both"/>
        <w:rPr>
          <w:rFonts w:cs="Arial"/>
          <w:b/>
          <w:bCs/>
          <w:i/>
          <w:iCs/>
        </w:rPr>
      </w:pPr>
      <w:r w:rsidRPr="004B7244">
        <w:rPr>
          <w:rFonts w:cs="Arial"/>
          <w:b/>
          <w:bCs/>
          <w:i/>
          <w:iCs/>
        </w:rPr>
        <w:t>Recommendation 6: Changes to strengthen the FRC model</w:t>
      </w:r>
    </w:p>
    <w:p w14:paraId="6A19BFC8" w14:textId="45A55B5A" w:rsidR="004B7244" w:rsidRPr="004B7244" w:rsidRDefault="004B7244" w:rsidP="001C4518">
      <w:pPr>
        <w:ind w:left="-142" w:right="-425"/>
        <w:jc w:val="both"/>
        <w:rPr>
          <w:rFonts w:cs="Arial"/>
          <w:i/>
          <w:iCs/>
        </w:rPr>
      </w:pPr>
      <w:r w:rsidRPr="004B7244">
        <w:rPr>
          <w:rFonts w:cs="Arial"/>
          <w:i/>
          <w:iCs/>
        </w:rPr>
        <w:t>There are straightforward changes needed to strengthen the FRC model:</w:t>
      </w:r>
    </w:p>
    <w:p w14:paraId="73AE5BF1" w14:textId="77777777" w:rsidR="004B7244" w:rsidRPr="004B7244" w:rsidRDefault="004B7244" w:rsidP="001C4518">
      <w:pPr>
        <w:ind w:left="-142" w:right="-425"/>
        <w:jc w:val="both"/>
        <w:rPr>
          <w:rFonts w:cs="Arial"/>
          <w:i/>
          <w:iCs/>
        </w:rPr>
      </w:pPr>
    </w:p>
    <w:p w14:paraId="78DF53FD" w14:textId="77777777" w:rsidR="004B7244" w:rsidRPr="004B7244" w:rsidRDefault="004B7244" w:rsidP="001C4518">
      <w:pPr>
        <w:numPr>
          <w:ilvl w:val="0"/>
          <w:numId w:val="25"/>
        </w:numPr>
        <w:ind w:right="-425"/>
        <w:jc w:val="both"/>
        <w:rPr>
          <w:rFonts w:cs="Arial"/>
          <w:i/>
          <w:iCs/>
          <w:lang w:val="en-GB"/>
        </w:rPr>
      </w:pPr>
      <w:r w:rsidRPr="004B7244">
        <w:rPr>
          <w:rFonts w:cs="Arial"/>
          <w:i/>
          <w:iCs/>
          <w:lang w:val="en-GB"/>
        </w:rPr>
        <w:t>Activating all the FRC triggers in Doomadgee would enhance local authority and assist the community to respond to high levels of offending (including DV) and breaches of social housing tenancy obligations.</w:t>
      </w:r>
    </w:p>
    <w:p w14:paraId="2AA6062D" w14:textId="77777777" w:rsidR="004B7244" w:rsidRPr="004B7244" w:rsidRDefault="004B7244" w:rsidP="001C4518">
      <w:pPr>
        <w:numPr>
          <w:ilvl w:val="0"/>
          <w:numId w:val="25"/>
        </w:numPr>
        <w:ind w:right="-425"/>
        <w:jc w:val="both"/>
        <w:rPr>
          <w:rFonts w:cs="Arial"/>
          <w:i/>
          <w:iCs/>
          <w:lang w:val="en-GB"/>
        </w:rPr>
      </w:pPr>
      <w:r w:rsidRPr="004B7244">
        <w:rPr>
          <w:rFonts w:cs="Arial"/>
          <w:i/>
          <w:iCs/>
          <w:lang w:val="en-GB"/>
        </w:rPr>
        <w:t>Reactivate the Childrens Court trigger notice as provided for, and intended to operate, under the FRC Act.</w:t>
      </w:r>
    </w:p>
    <w:p w14:paraId="3E47AA2A" w14:textId="77777777" w:rsidR="004B7244" w:rsidRPr="004B7244" w:rsidRDefault="004B7244" w:rsidP="001C4518">
      <w:pPr>
        <w:numPr>
          <w:ilvl w:val="0"/>
          <w:numId w:val="25"/>
        </w:numPr>
        <w:ind w:right="-425"/>
        <w:jc w:val="both"/>
        <w:rPr>
          <w:rFonts w:cs="Arial"/>
          <w:i/>
          <w:iCs/>
          <w:lang w:val="en-GB"/>
        </w:rPr>
      </w:pPr>
      <w:r w:rsidRPr="004B7244">
        <w:rPr>
          <w:rFonts w:cs="Arial"/>
          <w:i/>
          <w:iCs/>
          <w:lang w:val="en-GB"/>
        </w:rPr>
        <w:t>A new trigger for those cautioned by police would be consistent with the FRC’s intention to provide early community-based intervention.</w:t>
      </w:r>
    </w:p>
    <w:p w14:paraId="5E57E17A" w14:textId="77777777" w:rsidR="004B7244" w:rsidRPr="004B7244" w:rsidRDefault="004B7244" w:rsidP="001C4518">
      <w:pPr>
        <w:numPr>
          <w:ilvl w:val="0"/>
          <w:numId w:val="25"/>
        </w:numPr>
        <w:ind w:right="-425"/>
        <w:jc w:val="both"/>
        <w:rPr>
          <w:rFonts w:cs="Arial"/>
          <w:i/>
          <w:iCs/>
          <w:lang w:val="en-GB"/>
        </w:rPr>
      </w:pPr>
      <w:r w:rsidRPr="004B7244">
        <w:rPr>
          <w:rFonts w:cs="Arial"/>
          <w:i/>
          <w:iCs/>
          <w:lang w:val="en-GB"/>
        </w:rPr>
        <w:t>A stronger formal partnership with Queensland Corrective Services to assist the reintegration of released prisoners into FRC community to tackle recidivism and high rates of incarceration. A trigger notice to advise of a prisoner’s release would provide a more closely coordinated approach to offender and prisoner re-integration, much needed in the community.</w:t>
      </w:r>
    </w:p>
    <w:p w14:paraId="6C71E573" w14:textId="77777777" w:rsidR="004B7244" w:rsidRPr="004B7244" w:rsidRDefault="004B7244" w:rsidP="001C4518">
      <w:pPr>
        <w:ind w:left="-142" w:right="-425"/>
        <w:jc w:val="both"/>
        <w:rPr>
          <w:rFonts w:cs="Arial"/>
          <w:i/>
          <w:iCs/>
        </w:rPr>
      </w:pPr>
    </w:p>
    <w:p w14:paraId="687C6EB3" w14:textId="77777777" w:rsidR="004B7244" w:rsidRPr="004B7244" w:rsidRDefault="004B7244" w:rsidP="001C4518">
      <w:pPr>
        <w:ind w:left="-142" w:right="-425"/>
        <w:jc w:val="both"/>
        <w:rPr>
          <w:rFonts w:cs="Arial"/>
          <w:b/>
          <w:bCs/>
          <w:i/>
          <w:iCs/>
        </w:rPr>
      </w:pPr>
      <w:r w:rsidRPr="004B7244">
        <w:rPr>
          <w:rFonts w:cs="Arial"/>
          <w:b/>
          <w:bCs/>
          <w:i/>
          <w:iCs/>
        </w:rPr>
        <w:t>Recommendation 7: Reinvigorated, aligned, learning focused leadership and governance</w:t>
      </w:r>
    </w:p>
    <w:p w14:paraId="08AFC809" w14:textId="77777777" w:rsidR="004B7244" w:rsidRPr="004B7244" w:rsidRDefault="004B7244" w:rsidP="001C4518">
      <w:pPr>
        <w:ind w:left="-142" w:right="-425"/>
        <w:jc w:val="both"/>
        <w:rPr>
          <w:rFonts w:cs="Arial"/>
          <w:i/>
          <w:iCs/>
        </w:rPr>
      </w:pPr>
      <w:r w:rsidRPr="004B7244">
        <w:rPr>
          <w:rFonts w:cs="Arial"/>
          <w:i/>
          <w:iCs/>
        </w:rPr>
        <w:t>Given its success, the FRC partners should continue to support the FR Board to perform its limited and defined statutory role. The form of the FR Board has been largely successful, although the FR Board has worked best when its membership has been able to reflect a ‘whole-of-government’ perspective and influence. The FR Board’s governance practices may benefit from establishing FR Board protocols setting out details of how the FR Board performs its functions.</w:t>
      </w:r>
    </w:p>
    <w:p w14:paraId="5A99B02C" w14:textId="77777777" w:rsidR="004B7244" w:rsidRPr="004B7244" w:rsidRDefault="004B7244" w:rsidP="001C4518">
      <w:pPr>
        <w:ind w:left="-142" w:right="-425"/>
        <w:jc w:val="both"/>
        <w:rPr>
          <w:rFonts w:cs="Arial"/>
          <w:i/>
          <w:iCs/>
        </w:rPr>
      </w:pPr>
      <w:r w:rsidRPr="004B7244">
        <w:rPr>
          <w:rFonts w:cs="Arial"/>
          <w:i/>
          <w:iCs/>
        </w:rPr>
        <w:t xml:space="preserve">The partners’ reinvigoration of a holistic approach to support the work of the FRC, must also include establishing complementary governance processes, or an additional board, distinct from the FR Board. </w:t>
      </w:r>
      <w:r w:rsidRPr="004B7244">
        <w:rPr>
          <w:rFonts w:cs="Arial"/>
          <w:i/>
          <w:iCs/>
        </w:rPr>
        <w:lastRenderedPageBreak/>
        <w:t>The early successes of the FRC coincided with the effective operations of the Welfare Reform Advisory Board (WRAB) which drove the ‘whole-of-government’ and system changes that were needed. Representation from senior representatives from local, state, and national governments, and community leaders, on such a complementary governance mechanism could form a key plank in the Queensland Government’s ‘Reframing the Relationship’ and ‘Local Thriving Communities’ reform programs.</w:t>
      </w:r>
    </w:p>
    <w:p w14:paraId="0EFF3DCC" w14:textId="77777777" w:rsidR="004A45E8" w:rsidRDefault="004A45E8" w:rsidP="001C4518">
      <w:pPr>
        <w:ind w:left="-142" w:right="-425"/>
        <w:jc w:val="both"/>
        <w:rPr>
          <w:rFonts w:cs="Arial"/>
        </w:rPr>
      </w:pPr>
    </w:p>
    <w:p w14:paraId="0BC07878" w14:textId="1F59EB36" w:rsidR="005F3874" w:rsidRPr="00EB6126" w:rsidRDefault="00EB6126" w:rsidP="00EB6126">
      <w:pPr>
        <w:ind w:left="-142" w:right="-425"/>
        <w:jc w:val="both"/>
        <w:rPr>
          <w:rFonts w:cs="Arial"/>
        </w:rPr>
      </w:pPr>
      <w:r w:rsidRPr="002B2295">
        <w:rPr>
          <w:rFonts w:cs="Arial"/>
        </w:rPr>
        <w:t>It is hoped that the results of the review will provide opportunities to improve and evolve the Commission into an organisation with greater reach and impact and lead to long-term operational stability.</w:t>
      </w:r>
    </w:p>
    <w:p w14:paraId="51291F09" w14:textId="77777777" w:rsidR="00EB6126" w:rsidRPr="001C4518" w:rsidRDefault="00EB6126" w:rsidP="001C4518">
      <w:pPr>
        <w:ind w:left="-142" w:right="-425"/>
        <w:jc w:val="both"/>
        <w:rPr>
          <w:rFonts w:cs="Arial"/>
        </w:rPr>
      </w:pPr>
    </w:p>
    <w:p w14:paraId="5222CE5D" w14:textId="4CCC3564" w:rsidR="005F3874" w:rsidRPr="00525FA6" w:rsidRDefault="005F3874" w:rsidP="00525FA6">
      <w:pPr>
        <w:ind w:left="-142" w:right="-425"/>
        <w:jc w:val="both"/>
        <w:rPr>
          <w:rFonts w:cs="Arial"/>
          <w:b/>
          <w:bCs/>
          <w:sz w:val="22"/>
          <w:szCs w:val="22"/>
        </w:rPr>
      </w:pPr>
      <w:r w:rsidRPr="00525FA6">
        <w:rPr>
          <w:rFonts w:cs="Arial"/>
          <w:b/>
          <w:bCs/>
          <w:sz w:val="22"/>
          <w:szCs w:val="22"/>
        </w:rPr>
        <w:t xml:space="preserve">Expiry of the </w:t>
      </w:r>
      <w:r w:rsidRPr="00655123">
        <w:rPr>
          <w:rFonts w:cs="Arial"/>
          <w:b/>
          <w:bCs/>
          <w:i/>
          <w:iCs/>
          <w:sz w:val="22"/>
          <w:szCs w:val="22"/>
        </w:rPr>
        <w:t>Family Responsibilities Commission (COVID-19 Emergency Response) Regulation 2020</w:t>
      </w:r>
    </w:p>
    <w:p w14:paraId="1C53A7F2" w14:textId="3989B5F3" w:rsidR="005F3874" w:rsidRDefault="00B020EA" w:rsidP="005B2A59">
      <w:pPr>
        <w:ind w:left="-142" w:right="-425"/>
        <w:jc w:val="both"/>
        <w:rPr>
          <w:rFonts w:cs="Arial"/>
        </w:rPr>
      </w:pPr>
      <w:r>
        <w:rPr>
          <w:rFonts w:cs="Arial"/>
        </w:rPr>
        <w:t>With the expiry of t</w:t>
      </w:r>
      <w:r w:rsidR="005F3874" w:rsidRPr="00525FA6">
        <w:rPr>
          <w:rFonts w:cs="Arial"/>
        </w:rPr>
        <w:t xml:space="preserve">he </w:t>
      </w:r>
      <w:r w:rsidR="005F3874" w:rsidRPr="00525FA6">
        <w:rPr>
          <w:rFonts w:cs="Arial"/>
          <w:i/>
          <w:iCs/>
        </w:rPr>
        <w:t>COVID-19 Emergency Response Act 2020</w:t>
      </w:r>
      <w:r>
        <w:rPr>
          <w:rFonts w:cs="Arial"/>
          <w:i/>
          <w:iCs/>
        </w:rPr>
        <w:t xml:space="preserve"> </w:t>
      </w:r>
      <w:r w:rsidRPr="00B020EA">
        <w:rPr>
          <w:rFonts w:cs="Arial"/>
        </w:rPr>
        <w:t>on</w:t>
      </w:r>
      <w:r w:rsidR="005F3874" w:rsidRPr="00B020EA">
        <w:rPr>
          <w:rFonts w:cs="Arial"/>
        </w:rPr>
        <w:t xml:space="preserve"> </w:t>
      </w:r>
      <w:r w:rsidR="005F3874" w:rsidRPr="00525FA6">
        <w:rPr>
          <w:rFonts w:cs="Arial"/>
        </w:rPr>
        <w:t xml:space="preserve">30 April 2022 </w:t>
      </w:r>
      <w:r w:rsidR="00203398">
        <w:rPr>
          <w:rFonts w:cs="Arial"/>
        </w:rPr>
        <w:t>Mossman Gorge conference continued to be supported by either Commissioner Williams or Deputy Commissioner Curtin</w:t>
      </w:r>
      <w:r w:rsidR="00C16D26">
        <w:rPr>
          <w:rFonts w:cs="Arial"/>
        </w:rPr>
        <w:t xml:space="preserve"> act</w:t>
      </w:r>
      <w:r w:rsidR="00DC5FE6">
        <w:rPr>
          <w:rFonts w:cs="Arial"/>
        </w:rPr>
        <w:t>ing</w:t>
      </w:r>
      <w:r w:rsidR="00C16D26">
        <w:rPr>
          <w:rFonts w:cs="Arial"/>
        </w:rPr>
        <w:t xml:space="preserve"> as Chair</w:t>
      </w:r>
      <w:r w:rsidR="00203398">
        <w:rPr>
          <w:rFonts w:cs="Arial"/>
        </w:rPr>
        <w:t xml:space="preserve">. The Mossman Gorge conference set for 7 June was cancelled as only one </w:t>
      </w:r>
      <w:r w:rsidR="00DC5FE6">
        <w:rPr>
          <w:rFonts w:cs="Arial"/>
        </w:rPr>
        <w:t xml:space="preserve">of the two sitting </w:t>
      </w:r>
      <w:r w:rsidR="00203398">
        <w:rPr>
          <w:rFonts w:cs="Arial"/>
        </w:rPr>
        <w:t>Local Commissioner</w:t>
      </w:r>
      <w:r w:rsidR="00DC5FE6">
        <w:rPr>
          <w:rFonts w:cs="Arial"/>
        </w:rPr>
        <w:t>s</w:t>
      </w:r>
      <w:r w:rsidR="00203398">
        <w:rPr>
          <w:rFonts w:cs="Arial"/>
        </w:rPr>
        <w:t xml:space="preserve"> was available. </w:t>
      </w:r>
      <w:r w:rsidR="005178AD">
        <w:rPr>
          <w:rFonts w:cs="Arial"/>
        </w:rPr>
        <w:t xml:space="preserve">Newly appointed Mossman Gorge Local Commissioners continue to receive training </w:t>
      </w:r>
      <w:r w:rsidR="00C16D26">
        <w:rPr>
          <w:rFonts w:cs="Arial"/>
        </w:rPr>
        <w:t xml:space="preserve">and are expected to </w:t>
      </w:r>
      <w:r w:rsidR="00DC5FE6">
        <w:rPr>
          <w:rFonts w:cs="Arial"/>
        </w:rPr>
        <w:t xml:space="preserve">commence </w:t>
      </w:r>
      <w:r w:rsidR="00C16D26">
        <w:rPr>
          <w:rFonts w:cs="Arial"/>
        </w:rPr>
        <w:t>participat</w:t>
      </w:r>
      <w:r w:rsidR="00DC5FE6">
        <w:rPr>
          <w:rFonts w:cs="Arial"/>
        </w:rPr>
        <w:t>ing</w:t>
      </w:r>
      <w:r w:rsidR="00C16D26">
        <w:rPr>
          <w:rFonts w:cs="Arial"/>
        </w:rPr>
        <w:t xml:space="preserve"> in conference by September 2022.</w:t>
      </w:r>
    </w:p>
    <w:p w14:paraId="73160304" w14:textId="2E7EA531" w:rsidR="00E3101C" w:rsidRDefault="00E3101C" w:rsidP="005B2A59">
      <w:pPr>
        <w:ind w:left="-142" w:right="-425"/>
        <w:jc w:val="both"/>
        <w:rPr>
          <w:rFonts w:cs="Arial"/>
        </w:rPr>
      </w:pPr>
    </w:p>
    <w:p w14:paraId="7F319D9F" w14:textId="392F1975" w:rsidR="00E3101C" w:rsidRPr="00E3101C" w:rsidRDefault="00A86F1C" w:rsidP="00E3101C">
      <w:pPr>
        <w:ind w:left="-142" w:right="-425"/>
        <w:jc w:val="both"/>
        <w:rPr>
          <w:rFonts w:cs="Arial"/>
          <w:b/>
          <w:bCs/>
          <w:sz w:val="22"/>
          <w:szCs w:val="22"/>
        </w:rPr>
      </w:pPr>
      <w:r>
        <w:rPr>
          <w:rFonts w:cs="Arial"/>
          <w:b/>
          <w:bCs/>
          <w:sz w:val="22"/>
          <w:szCs w:val="22"/>
        </w:rPr>
        <w:t>Q</w:t>
      </w:r>
      <w:r w:rsidR="00C64276">
        <w:rPr>
          <w:rFonts w:cs="Arial"/>
          <w:b/>
          <w:bCs/>
          <w:sz w:val="22"/>
          <w:szCs w:val="22"/>
        </w:rPr>
        <w:t>ueensland</w:t>
      </w:r>
      <w:r>
        <w:rPr>
          <w:rFonts w:cs="Arial"/>
          <w:b/>
          <w:bCs/>
          <w:sz w:val="22"/>
          <w:szCs w:val="22"/>
        </w:rPr>
        <w:t xml:space="preserve"> </w:t>
      </w:r>
      <w:r w:rsidR="00E3101C" w:rsidRPr="00E3101C">
        <w:rPr>
          <w:rFonts w:cs="Arial"/>
          <w:b/>
          <w:bCs/>
          <w:sz w:val="22"/>
          <w:szCs w:val="22"/>
        </w:rPr>
        <w:t>Government Coordinator</w:t>
      </w:r>
      <w:r w:rsidR="005B6E6E">
        <w:rPr>
          <w:rFonts w:cs="Arial"/>
          <w:b/>
          <w:bCs/>
          <w:sz w:val="22"/>
          <w:szCs w:val="22"/>
        </w:rPr>
        <w:t xml:space="preserve"> - Aurukun</w:t>
      </w:r>
    </w:p>
    <w:p w14:paraId="36FFC159" w14:textId="3D364904" w:rsidR="00E3101C" w:rsidRPr="00E3101C" w:rsidRDefault="00E3101C" w:rsidP="00E3101C">
      <w:pPr>
        <w:ind w:left="-142" w:right="-425"/>
        <w:jc w:val="both"/>
        <w:rPr>
          <w:rFonts w:cs="Arial"/>
        </w:rPr>
      </w:pPr>
      <w:r w:rsidRPr="00E3101C">
        <w:rPr>
          <w:rFonts w:cs="Arial"/>
        </w:rPr>
        <w:t xml:space="preserve">The </w:t>
      </w:r>
      <w:r w:rsidR="00C64276">
        <w:rPr>
          <w:rFonts w:cs="Arial"/>
        </w:rPr>
        <w:t>Queensland</w:t>
      </w:r>
      <w:r w:rsidR="00A86F1C">
        <w:rPr>
          <w:rFonts w:cs="Arial"/>
        </w:rPr>
        <w:t xml:space="preserve"> </w:t>
      </w:r>
      <w:r w:rsidRPr="00E3101C">
        <w:rPr>
          <w:rFonts w:cs="Arial"/>
        </w:rPr>
        <w:t>Government Coordinator for Aurukun ceased his contract at the end of June 2022. The Commission is unaware whether a replacement Coordinator has been appointed, or whether recruitment is in progress. The</w:t>
      </w:r>
      <w:r w:rsidR="00A86F1C">
        <w:rPr>
          <w:rFonts w:cs="Arial"/>
        </w:rPr>
        <w:t xml:space="preserve"> </w:t>
      </w:r>
      <w:r w:rsidR="00C64276">
        <w:rPr>
          <w:rFonts w:cs="Arial"/>
        </w:rPr>
        <w:t>Queensland</w:t>
      </w:r>
      <w:r w:rsidRPr="00E3101C">
        <w:rPr>
          <w:rFonts w:cs="Arial"/>
        </w:rPr>
        <w:t xml:space="preserve"> Government Coordinator role in Aurukun is a role of some significance and is a vital service for the community. The Commission looks forward to this position being filled to assist with consistent and appropriate service delivery in the community. In the meantime, and </w:t>
      </w:r>
      <w:r>
        <w:rPr>
          <w:rFonts w:cs="Arial"/>
        </w:rPr>
        <w:t>i</w:t>
      </w:r>
      <w:r w:rsidRPr="00E3101C">
        <w:rPr>
          <w:rFonts w:cs="Arial"/>
        </w:rPr>
        <w:t xml:space="preserve">n the absence of a </w:t>
      </w:r>
      <w:r w:rsidR="00C64276">
        <w:rPr>
          <w:rFonts w:cs="Arial"/>
        </w:rPr>
        <w:t>Queensland</w:t>
      </w:r>
      <w:r w:rsidR="00A86F1C">
        <w:rPr>
          <w:rFonts w:cs="Arial"/>
        </w:rPr>
        <w:t xml:space="preserve"> </w:t>
      </w:r>
      <w:r w:rsidRPr="00E3101C">
        <w:rPr>
          <w:rFonts w:cs="Arial"/>
        </w:rPr>
        <w:t xml:space="preserve">Government Coordinator, the Queensland Police Officer-in-charge has taken on the coordination of some local support service and agency meetings to ensure that communication </w:t>
      </w:r>
      <w:r>
        <w:rPr>
          <w:rFonts w:cs="Arial"/>
        </w:rPr>
        <w:t xml:space="preserve">and coordination of activities </w:t>
      </w:r>
      <w:r w:rsidRPr="00E3101C">
        <w:rPr>
          <w:rFonts w:cs="Arial"/>
        </w:rPr>
        <w:t>is maintained.</w:t>
      </w:r>
    </w:p>
    <w:p w14:paraId="4B9422A4" w14:textId="77777777" w:rsidR="00E3101C" w:rsidRDefault="00E3101C" w:rsidP="005B2A59">
      <w:pPr>
        <w:ind w:left="-142" w:right="-425"/>
        <w:jc w:val="both"/>
        <w:rPr>
          <w:rFonts w:cs="Arial"/>
        </w:rPr>
      </w:pPr>
    </w:p>
    <w:p w14:paraId="334590AF" w14:textId="3EDEFDEE" w:rsidR="00F04DB4" w:rsidRPr="001C4518" w:rsidRDefault="00F04DB4" w:rsidP="001C4518">
      <w:pPr>
        <w:ind w:left="-142" w:right="-425"/>
        <w:jc w:val="both"/>
        <w:rPr>
          <w:rFonts w:cs="Arial"/>
        </w:rPr>
      </w:pPr>
      <w:r w:rsidRPr="001C4518">
        <w:rPr>
          <w:rFonts w:cs="Arial"/>
        </w:rPr>
        <w:br w:type="page"/>
      </w:r>
    </w:p>
    <w:p w14:paraId="59FA8724" w14:textId="55F36592" w:rsidR="005A5B78" w:rsidRPr="00E34093" w:rsidRDefault="005A5B78" w:rsidP="005A5B78">
      <w:pPr>
        <w:pStyle w:val="Heading1"/>
        <w:ind w:left="-142" w:right="-426"/>
      </w:pPr>
      <w:bookmarkStart w:id="30" w:name="RANGE!A4:I20"/>
      <w:bookmarkStart w:id="31" w:name="_Toc39657993"/>
      <w:bookmarkEnd w:id="30"/>
      <w:r w:rsidRPr="00E34093">
        <w:lastRenderedPageBreak/>
        <w:t xml:space="preserve">3.  </w:t>
      </w:r>
      <w:r w:rsidR="000541CA">
        <w:t>Governance</w:t>
      </w:r>
      <w:bookmarkEnd w:id="31"/>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091CFE">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0AC5DF4" w14:textId="77777777" w:rsidR="00A42E2F" w:rsidRDefault="00404FC4" w:rsidP="00FC008A">
      <w:pPr>
        <w:pStyle w:val="ListBullet"/>
        <w:ind w:left="2863" w:hanging="3005"/>
      </w:pPr>
      <w:r w:rsidRPr="00A42E2F">
        <w:t>Mr Robert (Bob) Gee</w:t>
      </w:r>
      <w:r w:rsidR="004E7795" w:rsidRPr="00A42E2F">
        <w:t xml:space="preserve"> APM</w:t>
      </w:r>
      <w:r w:rsidR="005A5B78" w:rsidRPr="00A42E2F">
        <w:tab/>
        <w:t xml:space="preserve">Director-General, Department of </w:t>
      </w:r>
      <w:r w:rsidRPr="00A42E2F">
        <w:t>Agriculture</w:t>
      </w:r>
      <w:r w:rsidR="000A3D78" w:rsidRPr="00A42E2F">
        <w:t xml:space="preserve"> and </w:t>
      </w:r>
      <w:r w:rsidRPr="00A42E2F">
        <w:t>Fisheries</w:t>
      </w:r>
    </w:p>
    <w:p w14:paraId="191A2368" w14:textId="1CA5D36A" w:rsidR="005A5B78" w:rsidRPr="00A42E2F" w:rsidRDefault="0057512A" w:rsidP="00A42E2F">
      <w:pPr>
        <w:pStyle w:val="ListBullet"/>
        <w:numPr>
          <w:ilvl w:val="0"/>
          <w:numId w:val="0"/>
        </w:numPr>
        <w:ind w:left="3600"/>
      </w:pPr>
      <w:r w:rsidRPr="00A42E2F">
        <w:t>(Chair)</w:t>
      </w:r>
    </w:p>
    <w:p w14:paraId="53F6CEC1" w14:textId="109B5A2C" w:rsidR="00281E73" w:rsidRPr="00A42E2F" w:rsidRDefault="00281E73" w:rsidP="00FC008A">
      <w:pPr>
        <w:pStyle w:val="ListBullet"/>
        <w:ind w:left="2863" w:hanging="3005"/>
      </w:pPr>
      <w:r w:rsidRPr="00A42E2F">
        <w:t xml:space="preserve">Mr </w:t>
      </w:r>
      <w:r w:rsidR="00466B4F" w:rsidRPr="00A42E2F">
        <w:t>Ray Griggs AO, CSC</w:t>
      </w:r>
      <w:r w:rsidR="00A42E2F" w:rsidRPr="00A42E2F">
        <w:tab/>
      </w:r>
      <w:r w:rsidR="00A42E2F" w:rsidRPr="00A42E2F">
        <w:tab/>
      </w:r>
      <w:r w:rsidR="00A42E2F" w:rsidRPr="00A42E2F">
        <w:tab/>
      </w:r>
      <w:r w:rsidR="00404FC4" w:rsidRPr="00A42E2F">
        <w:t>Secretary of the Department of Social Services</w:t>
      </w:r>
    </w:p>
    <w:p w14:paraId="57D8A012" w14:textId="6E5E7BC4" w:rsidR="00A42E2F" w:rsidRDefault="0057512A" w:rsidP="00CF3AF9">
      <w:pPr>
        <w:pStyle w:val="ListBullet"/>
        <w:ind w:left="2835" w:hanging="2977"/>
      </w:pPr>
      <w:r w:rsidRPr="00E34093">
        <w:t>Mr Noel Pearson</w:t>
      </w:r>
      <w:r w:rsidR="00A42E2F" w:rsidRPr="00A42E2F">
        <w:tab/>
      </w:r>
      <w:r w:rsidR="00A42E2F" w:rsidRPr="00A42E2F">
        <w:tab/>
      </w:r>
      <w:r w:rsidR="00A42E2F" w:rsidRPr="00A42E2F">
        <w:tab/>
      </w:r>
      <w:r>
        <w:t xml:space="preserve">Founder, Cape York </w:t>
      </w:r>
      <w:r w:rsidR="00751CB6">
        <w:t>Partnership representing the</w:t>
      </w:r>
    </w:p>
    <w:p w14:paraId="4966C96B" w14:textId="1A2EF1B6" w:rsidR="0057512A" w:rsidRDefault="00A42E2F" w:rsidP="00CF3AF9">
      <w:pPr>
        <w:pStyle w:val="ListBullet"/>
        <w:numPr>
          <w:ilvl w:val="0"/>
          <w:numId w:val="0"/>
        </w:numPr>
        <w:ind w:left="3600"/>
      </w:pPr>
      <w:r>
        <w:t xml:space="preserve">Cape York </w:t>
      </w:r>
      <w:r w:rsidR="00751CB6">
        <w:t>Institute</w:t>
      </w:r>
      <w:r w:rsidR="0057512A">
        <w:t>.</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091CFE">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32" w:name="_Toc39657994"/>
      <w:r>
        <w:lastRenderedPageBreak/>
        <w:t>4</w:t>
      </w:r>
      <w:r w:rsidRPr="00E34093">
        <w:t>.  Financial Operations</w:t>
      </w:r>
      <w:bookmarkEnd w:id="32"/>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CF3AF9">
      <w:pPr>
        <w:pStyle w:val="Heading2"/>
      </w:pPr>
      <w:r w:rsidRPr="00BF1639">
        <w:t>Income:</w:t>
      </w:r>
    </w:p>
    <w:p w14:paraId="6D17618C" w14:textId="114A53D5"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F83C14">
        <w:t xml:space="preserve">1 </w:t>
      </w:r>
      <w:r w:rsidR="00DA70CA">
        <w:t>April</w:t>
      </w:r>
      <w:r w:rsidR="00415BC8">
        <w:t xml:space="preserve"> 2022</w:t>
      </w:r>
      <w:r w:rsidRPr="008E6DBA">
        <w:t xml:space="preserve"> to </w:t>
      </w:r>
      <w:r w:rsidR="00DA70CA">
        <w:t>30 June</w:t>
      </w:r>
      <w:r w:rsidR="001A5C4C">
        <w:t xml:space="preserve"> 2022</w:t>
      </w:r>
      <w:r w:rsidRPr="008E6DBA">
        <w:t xml:space="preserve"> totalled $</w:t>
      </w:r>
      <w:r w:rsidR="00D83D2C" w:rsidRPr="00AA1E7E">
        <w:t>1,</w:t>
      </w:r>
      <w:r w:rsidR="00AA1E7E">
        <w:t>0</w:t>
      </w:r>
      <w:r w:rsidR="00813E5B">
        <w:t>64</w:t>
      </w:r>
      <w:r w:rsidR="00D83D2C" w:rsidRPr="00AA1E7E">
        <w:t>,</w:t>
      </w:r>
      <w:r w:rsidR="00813E5B">
        <w:t>051</w:t>
      </w:r>
      <w:r w:rsidR="00A504A2" w:rsidRPr="009D3335">
        <w:t>.</w:t>
      </w:r>
      <w:r w:rsidR="00CE6E33" w:rsidRPr="008E6DBA">
        <w:t xml:space="preserve"> </w:t>
      </w:r>
      <w:r w:rsidRPr="008E6DBA">
        <w:t>This income consisted of:</w:t>
      </w:r>
    </w:p>
    <w:p w14:paraId="350616B8" w14:textId="77C86DA8" w:rsidR="009F0A67" w:rsidRPr="00D83D2C" w:rsidRDefault="009F0A67" w:rsidP="009F0A67">
      <w:pPr>
        <w:pStyle w:val="ListBullet2"/>
      </w:pPr>
      <w:r w:rsidRPr="00D83D2C">
        <w:t>$</w:t>
      </w:r>
      <w:r w:rsidR="001C1C0C" w:rsidRPr="00AA1E7E">
        <w:t>604,500</w:t>
      </w:r>
      <w:r w:rsidRPr="00D83D2C">
        <w:t xml:space="preserve"> Queensland Government funding</w:t>
      </w:r>
    </w:p>
    <w:p w14:paraId="02AA0FD6" w14:textId="7EAEF0C4" w:rsidR="009F0A67" w:rsidRPr="00850051" w:rsidRDefault="009F0A67" w:rsidP="009F0A67">
      <w:pPr>
        <w:pStyle w:val="ListBullet2"/>
      </w:pPr>
      <w:r w:rsidRPr="00D83D2C">
        <w:t>$</w:t>
      </w:r>
      <w:r w:rsidR="00A253AB" w:rsidRPr="00D83D2C">
        <w:t>450,000</w:t>
      </w:r>
      <w:r w:rsidR="00932339" w:rsidRPr="00850051">
        <w:t xml:space="preserve"> </w:t>
      </w:r>
      <w:r w:rsidRPr="00850051">
        <w:t>Australian Government funding</w:t>
      </w:r>
    </w:p>
    <w:p w14:paraId="512E3D76" w14:textId="4B851FD0" w:rsidR="009F0A67" w:rsidRDefault="009F0A67" w:rsidP="009F0A67">
      <w:pPr>
        <w:pStyle w:val="ListBullet2"/>
      </w:pPr>
      <w:r w:rsidRPr="00850051">
        <w:t>$</w:t>
      </w:r>
      <w:r w:rsidR="00813E5B">
        <w:t>9,511</w:t>
      </w:r>
      <w:r w:rsidRPr="00850051">
        <w:t>interest received</w:t>
      </w:r>
    </w:p>
    <w:p w14:paraId="1FD7CA72" w14:textId="3806C02B" w:rsidR="009F3C63" w:rsidRPr="00850051" w:rsidRDefault="009F3C63" w:rsidP="009F0A67">
      <w:pPr>
        <w:pStyle w:val="ListBullet2"/>
      </w:pPr>
      <w:r>
        <w:t>$</w:t>
      </w:r>
      <w:r w:rsidR="00813E5B">
        <w:t>4</w:t>
      </w:r>
      <w:r w:rsidR="007754BD">
        <w:t>0</w:t>
      </w:r>
      <w:r>
        <w:t xml:space="preserve"> sundry income</w:t>
      </w:r>
    </w:p>
    <w:p w14:paraId="63A91431" w14:textId="25FBDC01" w:rsidR="009F0A67" w:rsidRDefault="009F0A67" w:rsidP="009F0A67">
      <w:pPr>
        <w:ind w:left="-142" w:right="-425"/>
        <w:jc w:val="both"/>
        <w:rPr>
          <w:rFonts w:cs="Arial"/>
        </w:rPr>
      </w:pPr>
      <w:r w:rsidRPr="0073709D">
        <w:rPr>
          <w:rFonts w:cs="Arial"/>
        </w:rPr>
        <w:t xml:space="preserve">The balance of available funds in the bank as at </w:t>
      </w:r>
      <w:r w:rsidR="00DA70CA">
        <w:rPr>
          <w:rFonts w:cs="Arial"/>
        </w:rPr>
        <w:t>30 June</w:t>
      </w:r>
      <w:r w:rsidR="001A5C4C">
        <w:rPr>
          <w:rFonts w:cs="Arial"/>
        </w:rPr>
        <w:t xml:space="preserve"> 2022</w:t>
      </w:r>
      <w:r w:rsidRPr="0073709D">
        <w:rPr>
          <w:rFonts w:cs="Arial"/>
        </w:rPr>
        <w:t xml:space="preserve"> </w:t>
      </w:r>
      <w:r w:rsidRPr="008E6DBA">
        <w:rPr>
          <w:rFonts w:cs="Arial"/>
        </w:rPr>
        <w:t>is $</w:t>
      </w:r>
      <w:r w:rsidR="0023383B">
        <w:rPr>
          <w:rFonts w:cs="Arial"/>
        </w:rPr>
        <w:t>3,806,341</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CF3AF9">
      <w:pPr>
        <w:pStyle w:val="Heading2"/>
      </w:pPr>
      <w:r w:rsidRPr="00BF1639">
        <w:t>Expenditure:</w:t>
      </w:r>
    </w:p>
    <w:p w14:paraId="1DC8DF62" w14:textId="0B87FECD" w:rsidR="00C74BF5" w:rsidRPr="001720D5" w:rsidRDefault="00C74BF5" w:rsidP="00C74BF5">
      <w:pPr>
        <w:pStyle w:val="ListBullet"/>
        <w:ind w:left="2863" w:hanging="3005"/>
      </w:pPr>
      <w:r w:rsidRPr="00BD380A">
        <w:t xml:space="preserve">Expenditure for the period </w:t>
      </w:r>
      <w:r w:rsidR="00F83C14">
        <w:t xml:space="preserve">1 </w:t>
      </w:r>
      <w:r w:rsidR="00DA70CA">
        <w:t>April</w:t>
      </w:r>
      <w:r w:rsidR="00415BC8">
        <w:t xml:space="preserve"> 2022</w:t>
      </w:r>
      <w:r w:rsidRPr="00BD380A">
        <w:t xml:space="preserve"> to </w:t>
      </w:r>
      <w:r w:rsidR="00DA70CA">
        <w:t>30 June</w:t>
      </w:r>
      <w:r w:rsidR="001A5C4C">
        <w:t xml:space="preserve"> 2022</w:t>
      </w:r>
      <w:r w:rsidRPr="00BD380A">
        <w:t xml:space="preserve"> was </w:t>
      </w:r>
      <w:r w:rsidRPr="002B45D3">
        <w:t>$</w:t>
      </w:r>
      <w:r w:rsidR="0023383B">
        <w:t>1,079,332</w:t>
      </w:r>
      <w:r>
        <w:t>.</w:t>
      </w:r>
    </w:p>
    <w:p w14:paraId="4555CA86" w14:textId="07475910" w:rsidR="00D840DE" w:rsidRDefault="00D840DE" w:rsidP="009F0A67">
      <w:pPr>
        <w:ind w:left="-142" w:right="-425"/>
        <w:jc w:val="both"/>
        <w:rPr>
          <w:rFonts w:cs="Arial"/>
        </w:rPr>
      </w:pPr>
    </w:p>
    <w:p w14:paraId="40442581" w14:textId="1EC3495C" w:rsidR="00EB0526" w:rsidRDefault="00EB0526" w:rsidP="009D766A">
      <w:pPr>
        <w:ind w:left="-142" w:right="-425"/>
        <w:jc w:val="both"/>
        <w:rPr>
          <w:rFonts w:cs="Arial"/>
          <w:sz w:val="16"/>
          <w:szCs w:val="16"/>
        </w:rPr>
      </w:pPr>
      <w:r w:rsidRPr="009D766A">
        <w:rPr>
          <w:rFonts w:cs="Arial"/>
          <w:b/>
          <w:sz w:val="16"/>
          <w:szCs w:val="16"/>
        </w:rPr>
        <w:t xml:space="preserve">Table </w:t>
      </w:r>
      <w:r w:rsidR="0097619B">
        <w:rPr>
          <w:rFonts w:cs="Arial"/>
          <w:b/>
          <w:sz w:val="16"/>
          <w:szCs w:val="16"/>
        </w:rPr>
        <w:t>29</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951376">
        <w:rPr>
          <w:rFonts w:cs="Arial"/>
          <w:sz w:val="16"/>
          <w:szCs w:val="16"/>
        </w:rPr>
        <w:t>56</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550CFD61" w:rsidR="009F0A67" w:rsidRPr="00872CBA" w:rsidRDefault="00F83C14" w:rsidP="009F55E0">
            <w:pPr>
              <w:pStyle w:val="StyleTableTextBoldCentered"/>
              <w:rPr>
                <w:lang w:eastAsia="en-AU"/>
              </w:rPr>
            </w:pPr>
            <w:r>
              <w:rPr>
                <w:lang w:eastAsia="en-AU"/>
              </w:rPr>
              <w:t xml:space="preserve">1 </w:t>
            </w:r>
            <w:r w:rsidR="00DA70CA">
              <w:rPr>
                <w:lang w:eastAsia="en-AU"/>
              </w:rPr>
              <w:t>April</w:t>
            </w:r>
            <w:r w:rsidR="00415BC8">
              <w:rPr>
                <w:lang w:eastAsia="en-AU"/>
              </w:rPr>
              <w:t xml:space="preserve"> 2022</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06444B11" w:rsidR="009F0A67" w:rsidRPr="00872CBA" w:rsidRDefault="00F83C14" w:rsidP="009F55E0">
            <w:pPr>
              <w:pStyle w:val="StyleTableTextBoldCentered"/>
              <w:rPr>
                <w:lang w:eastAsia="en-AU"/>
              </w:rPr>
            </w:pPr>
            <w:r>
              <w:rPr>
                <w:lang w:eastAsia="en-AU"/>
              </w:rPr>
              <w:t xml:space="preserve">1 </w:t>
            </w:r>
            <w:r w:rsidR="00DA70CA">
              <w:rPr>
                <w:lang w:eastAsia="en-AU"/>
              </w:rPr>
              <w:t>April</w:t>
            </w:r>
            <w:r w:rsidR="00415BC8">
              <w:rPr>
                <w:lang w:eastAsia="en-AU"/>
              </w:rPr>
              <w:t xml:space="preserve"> 2022</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629D8F0A" w:rsidR="009F0A67" w:rsidRPr="00872CBA" w:rsidRDefault="00DA70CA" w:rsidP="009F55E0">
            <w:pPr>
              <w:pStyle w:val="StyleTableTextBoldCentered"/>
              <w:rPr>
                <w:lang w:eastAsia="en-AU"/>
              </w:rPr>
            </w:pPr>
            <w:r>
              <w:rPr>
                <w:lang w:eastAsia="en-AU"/>
              </w:rPr>
              <w:t>30 June</w:t>
            </w:r>
            <w:r w:rsidR="001A5C4C">
              <w:rPr>
                <w:lang w:eastAsia="en-AU"/>
              </w:rPr>
              <w:t xml:space="preserve"> 2022</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05180A00" w:rsidR="009F0A67" w:rsidRPr="00872CBA" w:rsidRDefault="009F0A67" w:rsidP="004F7197">
            <w:pPr>
              <w:pStyle w:val="StyleTableTextBoldCentered"/>
              <w:rPr>
                <w:lang w:eastAsia="en-AU"/>
              </w:rPr>
            </w:pPr>
            <w:r w:rsidRPr="00872CBA">
              <w:rPr>
                <w:lang w:eastAsia="en-AU"/>
              </w:rPr>
              <w:t xml:space="preserve">Qtr </w:t>
            </w:r>
            <w:r w:rsidR="00951376">
              <w:rPr>
                <w:lang w:eastAsia="en-AU"/>
              </w:rPr>
              <w:t>56</w:t>
            </w:r>
          </w:p>
        </w:tc>
        <w:tc>
          <w:tcPr>
            <w:tcW w:w="2552" w:type="dxa"/>
            <w:tcBorders>
              <w:top w:val="nil"/>
              <w:left w:val="nil"/>
              <w:bottom w:val="nil"/>
              <w:right w:val="single" w:sz="4" w:space="0" w:color="FFFFFF"/>
            </w:tcBorders>
            <w:shd w:val="clear" w:color="auto" w:fill="000000"/>
            <w:noWrap/>
            <w:vAlign w:val="bottom"/>
          </w:tcPr>
          <w:p w14:paraId="7FB7D45D" w14:textId="3968AACD" w:rsidR="009F0A67" w:rsidRPr="00872CBA" w:rsidRDefault="00DA70CA" w:rsidP="009F55E0">
            <w:pPr>
              <w:pStyle w:val="StyleTableTextBoldCentered"/>
              <w:rPr>
                <w:lang w:eastAsia="en-AU"/>
              </w:rPr>
            </w:pPr>
            <w:r>
              <w:rPr>
                <w:lang w:eastAsia="en-AU"/>
              </w:rPr>
              <w:t>30 June</w:t>
            </w:r>
            <w:r w:rsidR="001A5C4C">
              <w:rPr>
                <w:lang w:eastAsia="en-AU"/>
              </w:rPr>
              <w:t xml:space="preserve"> 2022</w:t>
            </w:r>
          </w:p>
        </w:tc>
        <w:tc>
          <w:tcPr>
            <w:tcW w:w="1701" w:type="dxa"/>
            <w:tcBorders>
              <w:top w:val="nil"/>
              <w:left w:val="nil"/>
              <w:bottom w:val="nil"/>
              <w:right w:val="nil"/>
            </w:tcBorders>
            <w:shd w:val="clear" w:color="auto" w:fill="000000"/>
            <w:noWrap/>
            <w:vAlign w:val="bottom"/>
          </w:tcPr>
          <w:p w14:paraId="4A5AEAEC" w14:textId="1CCD3AD4" w:rsidR="009F0A67" w:rsidRPr="00872CBA" w:rsidRDefault="009F0A67" w:rsidP="004F7197">
            <w:pPr>
              <w:pStyle w:val="StyleTableTextBoldCentered"/>
              <w:rPr>
                <w:lang w:eastAsia="en-AU"/>
              </w:rPr>
            </w:pPr>
            <w:r w:rsidRPr="00872CBA">
              <w:rPr>
                <w:lang w:eastAsia="en-AU"/>
              </w:rPr>
              <w:t xml:space="preserve">Qtr </w:t>
            </w:r>
            <w:r w:rsidR="00951376">
              <w:rPr>
                <w:lang w:eastAsia="en-AU"/>
              </w:rPr>
              <w:t>56</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4E6B1A74" w:rsidR="009F0A67" w:rsidRPr="00D027FD" w:rsidRDefault="0023383B" w:rsidP="002E59A0">
            <w:pPr>
              <w:jc w:val="right"/>
            </w:pPr>
            <w:r>
              <w:t>$537,539</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7F7AD6" w:rsidRDefault="00C20DF5" w:rsidP="009F0A67">
            <w:pPr>
              <w:pStyle w:val="TableText"/>
            </w:pPr>
            <w:r>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3BA02987" w:rsidR="009F0A67" w:rsidRPr="00D027FD" w:rsidRDefault="0023383B" w:rsidP="002E59A0">
            <w:pPr>
              <w:jc w:val="right"/>
            </w:pPr>
            <w:r>
              <w:t>$60,539</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3C620E1D" w:rsidR="009F0A67" w:rsidRPr="00D027FD" w:rsidRDefault="0023383B" w:rsidP="002E59A0">
            <w:pPr>
              <w:jc w:val="right"/>
            </w:pPr>
            <w:r>
              <w:t>$110,775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7F7AD6" w:rsidRDefault="00C20DF5" w:rsidP="009F0A67">
            <w:pPr>
              <w:pStyle w:val="TableText"/>
            </w:pPr>
            <w:r>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4477A0ED" w:rsidR="009F0A67" w:rsidRPr="00D027FD" w:rsidRDefault="0023383B" w:rsidP="002E59A0">
            <w:pPr>
              <w:jc w:val="right"/>
            </w:pPr>
            <w:r>
              <w:t>$11,437</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1E6008FB" w:rsidR="009F0A67" w:rsidRPr="00D027FD" w:rsidRDefault="0023383B" w:rsidP="002E59A0">
            <w:pPr>
              <w:jc w:val="right"/>
            </w:pPr>
            <w:r>
              <w:t>$110,065</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7F7AD6" w:rsidRDefault="00C20DF5" w:rsidP="009F0A67">
            <w:pPr>
              <w:pStyle w:val="TableText"/>
            </w:pPr>
            <w:r>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5241DB5D" w:rsidR="009F0A67" w:rsidRPr="00D027FD" w:rsidRDefault="0023383B" w:rsidP="002E59A0">
            <w:pPr>
              <w:jc w:val="right"/>
            </w:pPr>
            <w:r>
              <w:t>$8,947</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357A93E7" w:rsidR="009F0A67" w:rsidRPr="00D027FD" w:rsidRDefault="0023383B" w:rsidP="002E59A0">
            <w:pPr>
              <w:jc w:val="right"/>
            </w:pPr>
            <w:r>
              <w:t>$16,625</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7F7AD6" w:rsidRDefault="00C20DF5" w:rsidP="009F0A67">
            <w:pPr>
              <w:pStyle w:val="TableText"/>
            </w:pPr>
            <w:r>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63BDA037" w:rsidR="009F0A67" w:rsidRPr="00D027FD" w:rsidRDefault="0023383B" w:rsidP="002E59A0">
            <w:pPr>
              <w:jc w:val="right"/>
            </w:pPr>
            <w:r>
              <w:t>$86,262</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13134C38" w:rsidR="009F0A67" w:rsidRPr="00D027FD" w:rsidRDefault="0023383B" w:rsidP="002E59A0">
            <w:pPr>
              <w:jc w:val="right"/>
            </w:pPr>
            <w:r>
              <w:t>$9,713</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7F7AD6" w:rsidRDefault="00C20DF5" w:rsidP="009F0A67">
            <w:pPr>
              <w:pStyle w:val="TableText"/>
            </w:pPr>
            <w:r>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46167F4A" w:rsidR="009F0A67" w:rsidRPr="00D027FD" w:rsidRDefault="0023383B" w:rsidP="002E59A0">
            <w:pPr>
              <w:jc w:val="right"/>
            </w:pPr>
            <w:r>
              <w:t>$72,615</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3142A29F" w:rsidR="007966F3" w:rsidRPr="00D027FD" w:rsidRDefault="0023383B" w:rsidP="002E59A0">
            <w:pPr>
              <w:jc w:val="right"/>
            </w:pPr>
            <w:r>
              <w:t>$3,851</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7F7AD6" w:rsidRDefault="00C20DF5" w:rsidP="009F0A67">
            <w:pPr>
              <w:pStyle w:val="TableText"/>
            </w:pPr>
            <w:r>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4F930A69" w:rsidR="007966F3" w:rsidRPr="00D027FD" w:rsidRDefault="0023383B" w:rsidP="002E59A0">
            <w:pPr>
              <w:jc w:val="right"/>
            </w:pPr>
            <w:r>
              <w:t>$50,964</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216D6D0E" w:rsidR="009F0A67" w:rsidRPr="00D027FD" w:rsidRDefault="0023383B" w:rsidP="002E59A0">
            <w:pPr>
              <w:jc w:val="right"/>
              <w:rPr>
                <w:b/>
                <w:highlight w:val="cyan"/>
              </w:rPr>
            </w:pPr>
            <w:r w:rsidRPr="001435F0">
              <w:rPr>
                <w:b/>
              </w:rPr>
              <w:t>$1,079,332</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331081" w:rsidRDefault="00331081" w:rsidP="00CD4DBB">
      <w:pPr>
        <w:pStyle w:val="ListParagraph"/>
        <w:numPr>
          <w:ilvl w:val="0"/>
          <w:numId w:val="9"/>
        </w:numPr>
        <w:spacing w:after="120"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Community operations </w:t>
      </w:r>
      <w:r w:rsidRPr="00331081">
        <w:rPr>
          <w:rFonts w:ascii="Verdana" w:hAnsi="Verdana" w:cs="Arial"/>
          <w:bCs/>
          <w:sz w:val="20"/>
          <w:szCs w:val="20"/>
        </w:rPr>
        <w:t>– further broken down into:</w:t>
      </w:r>
    </w:p>
    <w:p w14:paraId="400A74B2" w14:textId="77777777"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On-the-ground community operational expenses including the operational expenses </w:t>
      </w:r>
      <w:r w:rsidRPr="00331081">
        <w:rPr>
          <w:rFonts w:ascii="Verdana" w:hAnsi="Verdana" w:cs="Arial"/>
          <w:bCs/>
          <w:sz w:val="20"/>
          <w:szCs w:val="20"/>
        </w:rPr>
        <w:t>in each of the five communities to conduct conferences and hearings, prepare and monitor case plans for clients for attendance at community support services and prepare and monitor income management agreements and orders.</w:t>
      </w:r>
    </w:p>
    <w:p w14:paraId="6C2BB238" w14:textId="77777777"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
          <w:sz w:val="20"/>
          <w:szCs w:val="20"/>
        </w:rPr>
      </w:pPr>
      <w:r w:rsidRPr="00331081">
        <w:rPr>
          <w:rFonts w:ascii="Verdana" w:hAnsi="Verdana" w:cs="Arial"/>
          <w:b/>
          <w:sz w:val="20"/>
          <w:szCs w:val="20"/>
        </w:rPr>
        <w:t xml:space="preserve">Support and facilitation expenses </w:t>
      </w:r>
      <w:r w:rsidRPr="00331081">
        <w:rPr>
          <w:rFonts w:ascii="Verdana" w:hAnsi="Verdana" w:cs="Arial"/>
          <w:bCs/>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where considered necessary.</w:t>
      </w:r>
    </w:p>
    <w:p w14:paraId="6360FB36" w14:textId="77777777" w:rsidR="00331081" w:rsidRPr="00331081" w:rsidRDefault="00331081" w:rsidP="00331081">
      <w:pPr>
        <w:pStyle w:val="ListParagraph"/>
        <w:numPr>
          <w:ilvl w:val="0"/>
          <w:numId w:val="9"/>
        </w:numPr>
        <w:spacing w:line="288" w:lineRule="auto"/>
        <w:ind w:left="215" w:right="-425" w:hanging="357"/>
        <w:jc w:val="both"/>
        <w:rPr>
          <w:rFonts w:ascii="Verdana" w:hAnsi="Verdana" w:cs="Arial"/>
          <w:b/>
          <w:sz w:val="20"/>
          <w:szCs w:val="20"/>
        </w:rPr>
      </w:pPr>
      <w:r w:rsidRPr="00331081">
        <w:rPr>
          <w:rFonts w:ascii="Verdana" w:hAnsi="Verdana" w:cs="Arial"/>
          <w:b/>
          <w:sz w:val="20"/>
          <w:szCs w:val="20"/>
        </w:rPr>
        <w:t xml:space="preserve">Corporate governance </w:t>
      </w:r>
      <w:r w:rsidRPr="00331081">
        <w:rPr>
          <w:rFonts w:ascii="Verdana" w:hAnsi="Verdana" w:cs="Arial"/>
          <w:bCs/>
          <w:sz w:val="20"/>
          <w:szCs w:val="20"/>
        </w:rPr>
        <w:t>includes finance, statistical reporting, corporate governance, training and other administrative functions to ensure the effective and efficient operations of the Commission.</w:t>
      </w:r>
    </w:p>
    <w:p w14:paraId="12F9D400" w14:textId="77777777" w:rsidR="00331081" w:rsidRDefault="00331081" w:rsidP="0020608D">
      <w:pPr>
        <w:ind w:left="-142" w:right="-425"/>
        <w:jc w:val="both"/>
        <w:rPr>
          <w:rFonts w:cs="Arial"/>
        </w:rPr>
      </w:pPr>
    </w:p>
    <w:p w14:paraId="55D8945D" w14:textId="35843ED3"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1988F4D6" w14:textId="279ACA46" w:rsidR="00C14FC9" w:rsidRDefault="00B156C7" w:rsidP="0020608D">
      <w:pPr>
        <w:ind w:left="-142" w:right="-425"/>
        <w:jc w:val="both"/>
        <w:rPr>
          <w:rFonts w:cs="Arial"/>
        </w:rPr>
      </w:pPr>
      <w:r>
        <w:rPr>
          <w:rFonts w:cs="Arial"/>
        </w:rPr>
        <w:lastRenderedPageBreak/>
        <w:t xml:space="preserve">As can be observed in </w:t>
      </w:r>
      <w:r w:rsidR="00877730">
        <w:rPr>
          <w:rFonts w:cs="Arial"/>
        </w:rPr>
        <w:t>Table 30</w:t>
      </w:r>
      <w:r>
        <w:rPr>
          <w:rFonts w:cs="Arial"/>
        </w:rPr>
        <w:t xml:space="preserve"> below which displays the allocation of </w:t>
      </w:r>
      <w:r w:rsidR="00C14FC9" w:rsidRPr="00B156C7">
        <w:rPr>
          <w:rFonts w:cs="Arial"/>
        </w:rPr>
        <w:t>FRC costs</w:t>
      </w:r>
      <w:r w:rsidR="00C14FC9" w:rsidRPr="0020608D">
        <w:rPr>
          <w:rFonts w:cs="Arial"/>
        </w:rPr>
        <w:t xml:space="preserve"> </w:t>
      </w:r>
      <w:r>
        <w:rPr>
          <w:rFonts w:cs="Arial"/>
        </w:rPr>
        <w:t xml:space="preserve">across the core functions </w:t>
      </w:r>
      <w:r w:rsidR="00C74BF5">
        <w:rPr>
          <w:rFonts w:cs="Arial"/>
        </w:rPr>
        <w:t>i</w:t>
      </w:r>
      <w:r w:rsidR="00D770E9">
        <w:rPr>
          <w:rFonts w:cs="Arial"/>
        </w:rPr>
        <w:t xml:space="preserve">n quarter </w:t>
      </w:r>
      <w:r w:rsidR="00951376">
        <w:rPr>
          <w:rFonts w:cs="Arial"/>
        </w:rPr>
        <w:t>56</w:t>
      </w:r>
      <w:r>
        <w:rPr>
          <w:rFonts w:cs="Arial"/>
        </w:rPr>
        <w:t xml:space="preserve">, the largest allocation during the reporting period is in relation to </w:t>
      </w:r>
      <w:r w:rsidR="00B01B37">
        <w:rPr>
          <w:rFonts w:cs="Arial"/>
        </w:rPr>
        <w:t>community operations</w:t>
      </w:r>
      <w:r>
        <w:rPr>
          <w:rFonts w:cs="Arial"/>
        </w:rPr>
        <w:t xml:space="preserve"> (</w:t>
      </w:r>
      <w:r w:rsidR="00CD4DBB">
        <w:rPr>
          <w:rFonts w:cs="Arial"/>
        </w:rPr>
        <w:t>7</w:t>
      </w:r>
      <w:r w:rsidR="00651739">
        <w:rPr>
          <w:rFonts w:cs="Arial"/>
        </w:rPr>
        <w:t>3.3</w:t>
      </w:r>
      <w:r>
        <w:rPr>
          <w:rFonts w:cs="Arial"/>
        </w:rPr>
        <w:t xml:space="preserve"> percent).</w:t>
      </w:r>
    </w:p>
    <w:p w14:paraId="1E527AAE" w14:textId="5D392B91" w:rsidR="0097619B" w:rsidRDefault="0097619B" w:rsidP="0020608D">
      <w:pPr>
        <w:ind w:left="-142" w:right="-425"/>
        <w:jc w:val="both"/>
        <w:rPr>
          <w:rFonts w:cs="Arial"/>
        </w:rPr>
      </w:pPr>
    </w:p>
    <w:p w14:paraId="17831B83" w14:textId="37590C04" w:rsidR="0097619B" w:rsidRPr="00E37B61" w:rsidRDefault="0097619B" w:rsidP="0097619B">
      <w:pPr>
        <w:pStyle w:val="TableCaption"/>
        <w:spacing w:before="0"/>
        <w:ind w:left="0" w:right="-425"/>
        <w:rPr>
          <w:b/>
          <w:i w:val="0"/>
          <w:sz w:val="16"/>
        </w:rPr>
      </w:pPr>
      <w:r w:rsidRPr="00E37B61">
        <w:rPr>
          <w:b/>
          <w:i w:val="0"/>
          <w:sz w:val="16"/>
        </w:rPr>
        <w:t xml:space="preserve">Table </w:t>
      </w:r>
      <w:r>
        <w:rPr>
          <w:b/>
          <w:i w:val="0"/>
          <w:sz w:val="16"/>
        </w:rPr>
        <w:t>30</w:t>
      </w:r>
      <w:r w:rsidRPr="00E37B61">
        <w:rPr>
          <w:b/>
          <w:i w:val="0"/>
          <w:sz w:val="16"/>
        </w:rPr>
        <w:t xml:space="preserve">: </w:t>
      </w:r>
      <w:r>
        <w:rPr>
          <w:i w:val="0"/>
          <w:sz w:val="16"/>
        </w:rPr>
        <w:t>Allocation of expenses</w:t>
      </w:r>
      <w:r w:rsidRPr="00E37B61">
        <w:rPr>
          <w:i w:val="0"/>
          <w:sz w:val="16"/>
        </w:rPr>
        <w:t xml:space="preserve"> 1 </w:t>
      </w:r>
      <w:r>
        <w:rPr>
          <w:i w:val="0"/>
          <w:sz w:val="16"/>
        </w:rPr>
        <w:t xml:space="preserve">April 2022 to 30 June </w:t>
      </w:r>
      <w:r w:rsidRPr="00E37B61">
        <w:rPr>
          <w:i w:val="0"/>
          <w:sz w:val="16"/>
        </w:rPr>
        <w:t>20</w:t>
      </w:r>
      <w:r>
        <w:rPr>
          <w:i w:val="0"/>
          <w:sz w:val="16"/>
        </w:rPr>
        <w:t>22</w:t>
      </w:r>
    </w:p>
    <w:tbl>
      <w:tblPr>
        <w:tblW w:w="5431" w:type="dxa"/>
        <w:tblInd w:w="93" w:type="dxa"/>
        <w:tblLook w:val="04A0" w:firstRow="1" w:lastRow="0" w:firstColumn="1" w:lastColumn="0" w:noHBand="0" w:noVBand="1"/>
      </w:tblPr>
      <w:tblGrid>
        <w:gridCol w:w="3871"/>
        <w:gridCol w:w="1560"/>
      </w:tblGrid>
      <w:tr w:rsidR="0097619B" w:rsidRPr="00920636" w14:paraId="43E95642" w14:textId="77777777" w:rsidTr="005D3292">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1BC32A36" w14:textId="77777777" w:rsidR="0097619B" w:rsidRPr="000F130C" w:rsidRDefault="0097619B" w:rsidP="005D3292">
            <w:pPr>
              <w:pStyle w:val="TableText"/>
              <w:ind w:left="49"/>
              <w:rPr>
                <w:b/>
                <w:lang w:eastAsia="en-AU"/>
              </w:rPr>
            </w:pPr>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2937273F" w14:textId="77777777" w:rsidR="0097619B" w:rsidRDefault="0097619B" w:rsidP="005D3292">
            <w:pPr>
              <w:pStyle w:val="TableText"/>
              <w:jc w:val="right"/>
              <w:rPr>
                <w:b/>
                <w:lang w:eastAsia="en-AU"/>
              </w:rPr>
            </w:pPr>
            <w:r>
              <w:rPr>
                <w:b/>
                <w:lang w:eastAsia="en-AU"/>
              </w:rPr>
              <w:t>Percentage of Allocated Expenses</w:t>
            </w:r>
          </w:p>
        </w:tc>
      </w:tr>
      <w:tr w:rsidR="0097619B" w:rsidRPr="00920636" w14:paraId="64D04312" w14:textId="77777777" w:rsidTr="005D3292">
        <w:trPr>
          <w:trHeight w:val="255"/>
        </w:trPr>
        <w:tc>
          <w:tcPr>
            <w:tcW w:w="3871" w:type="dxa"/>
            <w:tcBorders>
              <w:top w:val="nil"/>
              <w:left w:val="single" w:sz="4" w:space="0" w:color="auto"/>
              <w:bottom w:val="single" w:sz="4" w:space="0" w:color="auto"/>
              <w:right w:val="single" w:sz="4" w:space="0" w:color="auto"/>
            </w:tcBorders>
            <w:noWrap/>
          </w:tcPr>
          <w:p w14:paraId="699EE88F" w14:textId="77777777" w:rsidR="0097619B" w:rsidRPr="00E72DFB" w:rsidRDefault="0097619B" w:rsidP="005D3292">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104C93D6" w14:textId="6213E27A" w:rsidR="0097619B" w:rsidRDefault="0097619B" w:rsidP="005D3292">
            <w:pPr>
              <w:pStyle w:val="TableText"/>
              <w:jc w:val="right"/>
              <w:rPr>
                <w:lang w:eastAsia="en-AU"/>
              </w:rPr>
            </w:pPr>
            <w:r>
              <w:rPr>
                <w:lang w:eastAsia="en-AU"/>
              </w:rPr>
              <w:t>2</w:t>
            </w:r>
            <w:r w:rsidR="00877730">
              <w:rPr>
                <w:lang w:eastAsia="en-AU"/>
              </w:rPr>
              <w:t>6.7</w:t>
            </w:r>
            <w:r>
              <w:rPr>
                <w:lang w:eastAsia="en-AU"/>
              </w:rPr>
              <w:t>%</w:t>
            </w:r>
          </w:p>
        </w:tc>
      </w:tr>
      <w:tr w:rsidR="0097619B" w:rsidRPr="00920636" w14:paraId="64E5C8E6" w14:textId="77777777" w:rsidTr="005D3292">
        <w:trPr>
          <w:trHeight w:val="255"/>
        </w:trPr>
        <w:tc>
          <w:tcPr>
            <w:tcW w:w="3871" w:type="dxa"/>
            <w:tcBorders>
              <w:top w:val="nil"/>
              <w:left w:val="single" w:sz="4" w:space="0" w:color="auto"/>
              <w:bottom w:val="single" w:sz="4" w:space="0" w:color="auto"/>
              <w:right w:val="single" w:sz="4" w:space="0" w:color="auto"/>
            </w:tcBorders>
            <w:noWrap/>
            <w:hideMark/>
          </w:tcPr>
          <w:p w14:paraId="78B387F5" w14:textId="77777777" w:rsidR="0097619B" w:rsidRPr="00E72DFB" w:rsidRDefault="0097619B" w:rsidP="005D3292">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1A73BB51" w14:textId="02FEA504" w:rsidR="0097619B" w:rsidRDefault="00877730" w:rsidP="005D3292">
            <w:pPr>
              <w:pStyle w:val="TableText"/>
              <w:jc w:val="right"/>
              <w:rPr>
                <w:lang w:eastAsia="en-AU"/>
              </w:rPr>
            </w:pPr>
            <w:r>
              <w:rPr>
                <w:lang w:eastAsia="en-AU"/>
              </w:rPr>
              <w:t>73.3</w:t>
            </w:r>
            <w:r w:rsidR="0097619B">
              <w:rPr>
                <w:lang w:eastAsia="en-AU"/>
              </w:rPr>
              <w:t>%</w:t>
            </w:r>
          </w:p>
        </w:tc>
      </w:tr>
      <w:tr w:rsidR="0097619B" w:rsidRPr="00920636" w14:paraId="46981939" w14:textId="77777777" w:rsidTr="005D3292">
        <w:trPr>
          <w:trHeight w:val="255"/>
        </w:trPr>
        <w:tc>
          <w:tcPr>
            <w:tcW w:w="3871" w:type="dxa"/>
            <w:tcBorders>
              <w:top w:val="nil"/>
              <w:left w:val="single" w:sz="4" w:space="0" w:color="auto"/>
              <w:bottom w:val="single" w:sz="4" w:space="0" w:color="auto"/>
              <w:right w:val="single" w:sz="4" w:space="0" w:color="auto"/>
            </w:tcBorders>
            <w:noWrap/>
            <w:hideMark/>
          </w:tcPr>
          <w:p w14:paraId="5E58FB6A" w14:textId="77777777" w:rsidR="0097619B" w:rsidRPr="000F130C" w:rsidRDefault="0097619B" w:rsidP="005D3292">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16B205E0" w14:textId="77777777" w:rsidR="0097619B" w:rsidRDefault="0097619B" w:rsidP="005D3292">
            <w:pPr>
              <w:pStyle w:val="TableText"/>
              <w:jc w:val="right"/>
              <w:rPr>
                <w:b/>
                <w:lang w:eastAsia="en-AU"/>
              </w:rPr>
            </w:pPr>
            <w:r>
              <w:rPr>
                <w:b/>
                <w:lang w:eastAsia="en-AU"/>
              </w:rPr>
              <w:t>100.0%</w:t>
            </w:r>
          </w:p>
        </w:tc>
      </w:tr>
    </w:tbl>
    <w:p w14:paraId="75494904" w14:textId="77777777" w:rsidR="0097619B" w:rsidRDefault="0097619B" w:rsidP="0020608D">
      <w:pPr>
        <w:ind w:left="-142" w:right="-425"/>
        <w:jc w:val="both"/>
        <w:rPr>
          <w:rFonts w:cs="Arial"/>
        </w:rPr>
      </w:pPr>
    </w:p>
    <w:p w14:paraId="43471FC5" w14:textId="5E32D7F1"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5F932AAA" w14:textId="33F102F8" w:rsidR="00877730" w:rsidRDefault="00877730" w:rsidP="00994941">
      <w:pPr>
        <w:ind w:left="-142" w:right="-425"/>
        <w:jc w:val="both"/>
        <w:rPr>
          <w:rFonts w:cs="Arial"/>
        </w:rPr>
      </w:pPr>
    </w:p>
    <w:p w14:paraId="46ACF6B4" w14:textId="7B74999D" w:rsidR="00877730" w:rsidRPr="00E37B61" w:rsidRDefault="00877730" w:rsidP="00877730">
      <w:pPr>
        <w:pStyle w:val="TableCaption"/>
        <w:spacing w:before="0"/>
        <w:ind w:left="0" w:right="-425"/>
        <w:rPr>
          <w:b/>
          <w:i w:val="0"/>
          <w:sz w:val="16"/>
        </w:rPr>
      </w:pPr>
      <w:r w:rsidRPr="00E37B61">
        <w:rPr>
          <w:b/>
          <w:i w:val="0"/>
          <w:sz w:val="16"/>
        </w:rPr>
        <w:t xml:space="preserve">Table </w:t>
      </w:r>
      <w:r>
        <w:rPr>
          <w:b/>
          <w:i w:val="0"/>
          <w:sz w:val="16"/>
        </w:rPr>
        <w:t>31</w:t>
      </w:r>
      <w:r w:rsidRPr="00E37B61">
        <w:rPr>
          <w:b/>
          <w:i w:val="0"/>
          <w:sz w:val="16"/>
        </w:rPr>
        <w:t xml:space="preserve">: </w:t>
      </w:r>
      <w:r w:rsidRPr="00E37B61">
        <w:rPr>
          <w:i w:val="0"/>
          <w:sz w:val="16"/>
        </w:rPr>
        <w:t xml:space="preserve">Operating costs by remote location 1 </w:t>
      </w:r>
      <w:r>
        <w:rPr>
          <w:i w:val="0"/>
          <w:sz w:val="16"/>
        </w:rPr>
        <w:t xml:space="preserve">April 2021 to 30 June </w:t>
      </w:r>
      <w:r w:rsidRPr="00E37B61">
        <w:rPr>
          <w:i w:val="0"/>
          <w:sz w:val="16"/>
        </w:rPr>
        <w:t>20</w:t>
      </w:r>
      <w:r>
        <w:rPr>
          <w:i w:val="0"/>
          <w:sz w:val="16"/>
        </w:rPr>
        <w:t>22</w:t>
      </w: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877730" w:rsidRPr="000F130C" w14:paraId="1F852AD2" w14:textId="77777777" w:rsidTr="005D329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481314D" w14:textId="77777777" w:rsidR="00877730" w:rsidRPr="000F130C" w:rsidRDefault="00877730" w:rsidP="00877730">
            <w:pPr>
              <w:pStyle w:val="TableText"/>
              <w:ind w:left="49"/>
              <w:rPr>
                <w:b/>
                <w:lang w:eastAsia="en-AU"/>
              </w:rPr>
            </w:pPr>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1B4D55FB" w14:textId="487655AF" w:rsidR="00877730" w:rsidRDefault="00877730" w:rsidP="00877730">
            <w:pPr>
              <w:pStyle w:val="TableText"/>
              <w:jc w:val="right"/>
              <w:rPr>
                <w:b/>
                <w:lang w:eastAsia="en-AU"/>
              </w:rPr>
            </w:pPr>
            <w:r>
              <w:rPr>
                <w:b/>
                <w:lang w:eastAsia="en-AU"/>
              </w:rPr>
              <w:t>Qtr 52</w:t>
            </w:r>
          </w:p>
        </w:tc>
        <w:tc>
          <w:tcPr>
            <w:tcW w:w="1242" w:type="dxa"/>
            <w:tcBorders>
              <w:top w:val="single" w:sz="4" w:space="0" w:color="auto"/>
              <w:left w:val="nil"/>
              <w:bottom w:val="single" w:sz="4" w:space="0" w:color="auto"/>
              <w:right w:val="single" w:sz="4" w:space="0" w:color="auto"/>
            </w:tcBorders>
          </w:tcPr>
          <w:p w14:paraId="00E82D2B" w14:textId="732EC824" w:rsidR="00877730" w:rsidRDefault="00877730" w:rsidP="00877730">
            <w:pPr>
              <w:pStyle w:val="TableText"/>
              <w:jc w:val="right"/>
              <w:rPr>
                <w:b/>
                <w:lang w:eastAsia="en-AU"/>
              </w:rPr>
            </w:pPr>
            <w:r>
              <w:rPr>
                <w:b/>
                <w:lang w:eastAsia="en-AU"/>
              </w:rPr>
              <w:t>Qtr 53</w:t>
            </w:r>
          </w:p>
        </w:tc>
        <w:tc>
          <w:tcPr>
            <w:tcW w:w="1242" w:type="dxa"/>
            <w:tcBorders>
              <w:top w:val="single" w:sz="4" w:space="0" w:color="auto"/>
              <w:left w:val="nil"/>
              <w:bottom w:val="single" w:sz="4" w:space="0" w:color="auto"/>
              <w:right w:val="single" w:sz="4" w:space="0" w:color="auto"/>
            </w:tcBorders>
          </w:tcPr>
          <w:p w14:paraId="661979D3" w14:textId="5B446AA1" w:rsidR="00877730" w:rsidRDefault="00877730" w:rsidP="00877730">
            <w:pPr>
              <w:pStyle w:val="TableText"/>
              <w:jc w:val="right"/>
              <w:rPr>
                <w:b/>
                <w:lang w:eastAsia="en-AU"/>
              </w:rPr>
            </w:pPr>
            <w:r>
              <w:rPr>
                <w:b/>
                <w:lang w:eastAsia="en-AU"/>
              </w:rPr>
              <w:t>Qtr 54</w:t>
            </w:r>
          </w:p>
        </w:tc>
        <w:tc>
          <w:tcPr>
            <w:tcW w:w="1242" w:type="dxa"/>
            <w:tcBorders>
              <w:top w:val="single" w:sz="4" w:space="0" w:color="auto"/>
              <w:left w:val="nil"/>
              <w:bottom w:val="single" w:sz="4" w:space="0" w:color="auto"/>
              <w:right w:val="single" w:sz="4" w:space="0" w:color="auto"/>
            </w:tcBorders>
          </w:tcPr>
          <w:p w14:paraId="7A637E20" w14:textId="36DC85D5" w:rsidR="00877730" w:rsidRDefault="00877730" w:rsidP="00877730">
            <w:pPr>
              <w:pStyle w:val="TableText"/>
              <w:jc w:val="right"/>
              <w:rPr>
                <w:b/>
                <w:lang w:eastAsia="en-AU"/>
              </w:rPr>
            </w:pPr>
            <w:r>
              <w:rPr>
                <w:b/>
                <w:lang w:eastAsia="en-AU"/>
              </w:rPr>
              <w:t>Qtr 55</w:t>
            </w:r>
          </w:p>
        </w:tc>
        <w:tc>
          <w:tcPr>
            <w:tcW w:w="1242" w:type="dxa"/>
            <w:tcBorders>
              <w:top w:val="single" w:sz="4" w:space="0" w:color="auto"/>
              <w:left w:val="nil"/>
              <w:bottom w:val="single" w:sz="4" w:space="0" w:color="auto"/>
              <w:right w:val="single" w:sz="4" w:space="0" w:color="auto"/>
            </w:tcBorders>
          </w:tcPr>
          <w:p w14:paraId="55EA7B33" w14:textId="3CFF80A9" w:rsidR="00877730" w:rsidRDefault="00877730" w:rsidP="00877730">
            <w:pPr>
              <w:pStyle w:val="TableText"/>
              <w:jc w:val="right"/>
              <w:rPr>
                <w:b/>
                <w:lang w:eastAsia="en-AU"/>
              </w:rPr>
            </w:pPr>
            <w:r>
              <w:rPr>
                <w:b/>
                <w:lang w:eastAsia="en-AU"/>
              </w:rPr>
              <w:t>Qtr 56</w:t>
            </w:r>
          </w:p>
        </w:tc>
      </w:tr>
      <w:tr w:rsidR="00877730" w:rsidRPr="000F130C" w14:paraId="54609136" w14:textId="77777777" w:rsidTr="00E4361B">
        <w:trPr>
          <w:trHeight w:val="255"/>
        </w:trPr>
        <w:tc>
          <w:tcPr>
            <w:tcW w:w="2596" w:type="dxa"/>
            <w:tcBorders>
              <w:top w:val="nil"/>
              <w:left w:val="single" w:sz="4" w:space="0" w:color="auto"/>
              <w:bottom w:val="single" w:sz="4" w:space="0" w:color="auto"/>
              <w:right w:val="single" w:sz="4" w:space="0" w:color="auto"/>
            </w:tcBorders>
            <w:noWrap/>
            <w:hideMark/>
          </w:tcPr>
          <w:p w14:paraId="52C88537" w14:textId="77777777" w:rsidR="00877730" w:rsidRPr="000F130C" w:rsidRDefault="00877730" w:rsidP="00877730">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vAlign w:val="bottom"/>
          </w:tcPr>
          <w:p w14:paraId="71AB8165" w14:textId="3C4B0FC0" w:rsidR="00877730" w:rsidRDefault="00877730" w:rsidP="00877730">
            <w:pPr>
              <w:pStyle w:val="TableText"/>
              <w:jc w:val="right"/>
              <w:rPr>
                <w:lang w:eastAsia="en-AU"/>
              </w:rPr>
            </w:pPr>
            <w:r>
              <w:rPr>
                <w:rFonts w:cs="Calibri"/>
                <w:color w:val="000000"/>
              </w:rPr>
              <w:t>$124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5B8FE78A" w14:textId="15AAC163" w:rsidR="00877730" w:rsidRPr="00346120" w:rsidRDefault="00877730" w:rsidP="00877730">
            <w:pPr>
              <w:pStyle w:val="TableText"/>
              <w:jc w:val="right"/>
              <w:rPr>
                <w:lang w:eastAsia="en-AU"/>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tcPr>
          <w:p w14:paraId="3AB2900B" w14:textId="207B46C3" w:rsidR="00877730" w:rsidRPr="00705863" w:rsidRDefault="00877730" w:rsidP="00877730">
            <w:pPr>
              <w:pStyle w:val="TableText"/>
              <w:jc w:val="right"/>
              <w:rPr>
                <w:color w:val="000000"/>
              </w:rPr>
            </w:pPr>
            <w:r>
              <w:rPr>
                <w:rFonts w:cs="Calibri"/>
                <w:color w:val="000000"/>
              </w:rPr>
              <w:t>$93K</w:t>
            </w:r>
          </w:p>
        </w:tc>
        <w:tc>
          <w:tcPr>
            <w:tcW w:w="1242" w:type="dxa"/>
            <w:tcBorders>
              <w:top w:val="nil"/>
              <w:left w:val="nil"/>
              <w:bottom w:val="single" w:sz="4" w:space="0" w:color="auto"/>
              <w:right w:val="single" w:sz="4" w:space="0" w:color="auto"/>
            </w:tcBorders>
          </w:tcPr>
          <w:p w14:paraId="6F4CD9F3" w14:textId="74659276" w:rsidR="00877730" w:rsidRDefault="00877730" w:rsidP="00877730">
            <w:pPr>
              <w:pStyle w:val="TableText"/>
              <w:jc w:val="right"/>
              <w:rPr>
                <w:rFonts w:cs="Calibri"/>
                <w:color w:val="000000"/>
              </w:rPr>
            </w:pPr>
            <w:r>
              <w:rPr>
                <w:rFonts w:cs="Calibri"/>
                <w:color w:val="000000"/>
              </w:rPr>
              <w:t>$87K</w:t>
            </w:r>
          </w:p>
        </w:tc>
        <w:tc>
          <w:tcPr>
            <w:tcW w:w="1242" w:type="dxa"/>
            <w:tcBorders>
              <w:top w:val="nil"/>
              <w:left w:val="nil"/>
              <w:bottom w:val="single" w:sz="4" w:space="0" w:color="auto"/>
              <w:right w:val="single" w:sz="4" w:space="0" w:color="auto"/>
            </w:tcBorders>
          </w:tcPr>
          <w:p w14:paraId="725224F4" w14:textId="067942A5" w:rsidR="00877730" w:rsidRDefault="00877730" w:rsidP="00877730">
            <w:pPr>
              <w:pStyle w:val="TableText"/>
              <w:jc w:val="right"/>
              <w:rPr>
                <w:rFonts w:cs="Calibri"/>
                <w:color w:val="000000"/>
              </w:rPr>
            </w:pPr>
            <w:r>
              <w:rPr>
                <w:rFonts w:cs="Calibri"/>
                <w:color w:val="000000"/>
              </w:rPr>
              <w:t>$118K</w:t>
            </w:r>
          </w:p>
        </w:tc>
      </w:tr>
      <w:tr w:rsidR="00877730" w:rsidRPr="000F130C" w14:paraId="45C6216D" w14:textId="77777777" w:rsidTr="00E4361B">
        <w:trPr>
          <w:trHeight w:val="255"/>
        </w:trPr>
        <w:tc>
          <w:tcPr>
            <w:tcW w:w="2596" w:type="dxa"/>
            <w:tcBorders>
              <w:top w:val="nil"/>
              <w:left w:val="single" w:sz="4" w:space="0" w:color="auto"/>
              <w:bottom w:val="single" w:sz="4" w:space="0" w:color="auto"/>
              <w:right w:val="single" w:sz="4" w:space="0" w:color="auto"/>
            </w:tcBorders>
            <w:noWrap/>
            <w:hideMark/>
          </w:tcPr>
          <w:p w14:paraId="17AFA61A" w14:textId="77777777" w:rsidR="00877730" w:rsidRPr="000F130C" w:rsidRDefault="00877730" w:rsidP="00877730">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vAlign w:val="bottom"/>
          </w:tcPr>
          <w:p w14:paraId="4883F2FC" w14:textId="4D82C9B5" w:rsidR="00877730" w:rsidRDefault="00877730" w:rsidP="00877730">
            <w:pPr>
              <w:pStyle w:val="TableText"/>
              <w:jc w:val="right"/>
              <w:rPr>
                <w:lang w:eastAsia="en-AU"/>
              </w:rPr>
            </w:pPr>
            <w:r>
              <w:rPr>
                <w:rFonts w:cs="Calibri"/>
                <w:color w:val="000000"/>
              </w:rPr>
              <w:t>$40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090D8897" w14:textId="4A464CC9" w:rsidR="00877730" w:rsidRPr="00346120" w:rsidRDefault="00877730" w:rsidP="00877730">
            <w:pPr>
              <w:pStyle w:val="TableText"/>
              <w:jc w:val="right"/>
              <w:rPr>
                <w:lang w:eastAsia="en-AU"/>
              </w:rPr>
            </w:pPr>
            <w:r>
              <w:rPr>
                <w:rFonts w:cs="Calibri"/>
                <w:color w:val="000000"/>
              </w:rPr>
              <w:t>$24</w:t>
            </w:r>
            <w:r w:rsidRPr="00705863">
              <w:rPr>
                <w:rFonts w:cs="Calibri"/>
                <w:color w:val="000000"/>
              </w:rPr>
              <w:t>K</w:t>
            </w:r>
          </w:p>
        </w:tc>
        <w:tc>
          <w:tcPr>
            <w:tcW w:w="1242" w:type="dxa"/>
            <w:tcBorders>
              <w:top w:val="nil"/>
              <w:left w:val="nil"/>
              <w:bottom w:val="single" w:sz="4" w:space="0" w:color="auto"/>
              <w:right w:val="single" w:sz="4" w:space="0" w:color="auto"/>
            </w:tcBorders>
          </w:tcPr>
          <w:p w14:paraId="673DB091" w14:textId="459CD0F5" w:rsidR="00877730" w:rsidRPr="00705863" w:rsidRDefault="00877730" w:rsidP="00877730">
            <w:pPr>
              <w:pStyle w:val="TableText"/>
              <w:jc w:val="right"/>
              <w:rPr>
                <w:color w:val="000000"/>
              </w:rPr>
            </w:pPr>
            <w:r>
              <w:rPr>
                <w:rFonts w:cs="Calibri"/>
                <w:color w:val="000000"/>
              </w:rPr>
              <w:t>$32K</w:t>
            </w:r>
          </w:p>
        </w:tc>
        <w:tc>
          <w:tcPr>
            <w:tcW w:w="1242" w:type="dxa"/>
            <w:tcBorders>
              <w:top w:val="nil"/>
              <w:left w:val="nil"/>
              <w:bottom w:val="single" w:sz="4" w:space="0" w:color="auto"/>
              <w:right w:val="single" w:sz="4" w:space="0" w:color="auto"/>
            </w:tcBorders>
          </w:tcPr>
          <w:p w14:paraId="44AB8EDB" w14:textId="73FBDE9F" w:rsidR="00877730" w:rsidRDefault="00877730" w:rsidP="00877730">
            <w:pPr>
              <w:pStyle w:val="TableText"/>
              <w:jc w:val="right"/>
              <w:rPr>
                <w:rFonts w:cs="Calibri"/>
                <w:color w:val="000000"/>
              </w:rPr>
            </w:pPr>
            <w:r>
              <w:rPr>
                <w:rFonts w:cs="Calibri"/>
                <w:color w:val="000000"/>
              </w:rPr>
              <w:t>$21K</w:t>
            </w:r>
          </w:p>
        </w:tc>
        <w:tc>
          <w:tcPr>
            <w:tcW w:w="1242" w:type="dxa"/>
            <w:tcBorders>
              <w:top w:val="nil"/>
              <w:left w:val="nil"/>
              <w:bottom w:val="single" w:sz="4" w:space="0" w:color="auto"/>
              <w:right w:val="single" w:sz="4" w:space="0" w:color="auto"/>
            </w:tcBorders>
          </w:tcPr>
          <w:p w14:paraId="04943BC8" w14:textId="421CFAB8" w:rsidR="00877730" w:rsidRDefault="00877730" w:rsidP="00877730">
            <w:pPr>
              <w:pStyle w:val="TableText"/>
              <w:jc w:val="right"/>
              <w:rPr>
                <w:rFonts w:cs="Calibri"/>
                <w:color w:val="000000"/>
              </w:rPr>
            </w:pPr>
            <w:r>
              <w:rPr>
                <w:rFonts w:cs="Calibri"/>
                <w:color w:val="000000"/>
              </w:rPr>
              <w:t>$47K</w:t>
            </w:r>
          </w:p>
        </w:tc>
      </w:tr>
      <w:tr w:rsidR="00877730" w:rsidRPr="000F130C" w14:paraId="5D271B08" w14:textId="77777777" w:rsidTr="00E4361B">
        <w:trPr>
          <w:trHeight w:val="255"/>
        </w:trPr>
        <w:tc>
          <w:tcPr>
            <w:tcW w:w="2596" w:type="dxa"/>
            <w:tcBorders>
              <w:top w:val="nil"/>
              <w:left w:val="single" w:sz="4" w:space="0" w:color="auto"/>
              <w:bottom w:val="single" w:sz="4" w:space="0" w:color="auto"/>
              <w:right w:val="single" w:sz="4" w:space="0" w:color="auto"/>
            </w:tcBorders>
            <w:noWrap/>
          </w:tcPr>
          <w:p w14:paraId="5CFD2E29" w14:textId="77777777" w:rsidR="00877730" w:rsidRPr="000F130C" w:rsidRDefault="00877730" w:rsidP="00877730">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vAlign w:val="bottom"/>
          </w:tcPr>
          <w:p w14:paraId="77E0B362" w14:textId="14A88930" w:rsidR="00877730" w:rsidRDefault="00877730" w:rsidP="00877730">
            <w:pPr>
              <w:pStyle w:val="TableText"/>
              <w:jc w:val="right"/>
              <w:rPr>
                <w:lang w:eastAsia="en-AU"/>
              </w:rPr>
            </w:pPr>
            <w:r>
              <w:rPr>
                <w:rFonts w:cs="Calibri"/>
                <w:color w:val="000000"/>
              </w:rPr>
              <w:t>$177</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024EA44D" w14:textId="42472158" w:rsidR="00877730" w:rsidRPr="00346120" w:rsidRDefault="00877730" w:rsidP="00877730">
            <w:pPr>
              <w:pStyle w:val="TableText"/>
              <w:jc w:val="right"/>
              <w:rPr>
                <w:lang w:eastAsia="en-AU"/>
              </w:rPr>
            </w:pPr>
            <w:r>
              <w:rPr>
                <w:rFonts w:cs="Calibri"/>
                <w:color w:val="000000"/>
              </w:rPr>
              <w:t>$110</w:t>
            </w:r>
            <w:r w:rsidRPr="00705863">
              <w:rPr>
                <w:rFonts w:cs="Calibri"/>
                <w:color w:val="000000"/>
              </w:rPr>
              <w:t>K</w:t>
            </w:r>
          </w:p>
        </w:tc>
        <w:tc>
          <w:tcPr>
            <w:tcW w:w="1242" w:type="dxa"/>
            <w:tcBorders>
              <w:top w:val="nil"/>
              <w:left w:val="nil"/>
              <w:bottom w:val="single" w:sz="4" w:space="0" w:color="auto"/>
              <w:right w:val="single" w:sz="4" w:space="0" w:color="auto"/>
            </w:tcBorders>
          </w:tcPr>
          <w:p w14:paraId="1E01CE74" w14:textId="7B97B71A" w:rsidR="00877730" w:rsidRPr="00705863" w:rsidRDefault="00877730" w:rsidP="00877730">
            <w:pPr>
              <w:pStyle w:val="TableText"/>
              <w:jc w:val="right"/>
              <w:rPr>
                <w:color w:val="000000"/>
              </w:rPr>
            </w:pPr>
            <w:r>
              <w:rPr>
                <w:rFonts w:cs="Calibri"/>
                <w:color w:val="000000"/>
              </w:rPr>
              <w:t>$110K</w:t>
            </w:r>
          </w:p>
        </w:tc>
        <w:tc>
          <w:tcPr>
            <w:tcW w:w="1242" w:type="dxa"/>
            <w:tcBorders>
              <w:top w:val="nil"/>
              <w:left w:val="nil"/>
              <w:bottom w:val="single" w:sz="4" w:space="0" w:color="auto"/>
              <w:right w:val="single" w:sz="4" w:space="0" w:color="auto"/>
            </w:tcBorders>
          </w:tcPr>
          <w:p w14:paraId="4659FFA0" w14:textId="0846E90F" w:rsidR="00877730" w:rsidRDefault="00877730" w:rsidP="00877730">
            <w:pPr>
              <w:pStyle w:val="TableText"/>
              <w:jc w:val="right"/>
              <w:rPr>
                <w:rFonts w:cs="Calibri"/>
                <w:color w:val="000000"/>
              </w:rPr>
            </w:pPr>
            <w:r>
              <w:rPr>
                <w:rFonts w:cs="Calibri"/>
                <w:color w:val="000000"/>
              </w:rPr>
              <w:t>$87K</w:t>
            </w:r>
          </w:p>
        </w:tc>
        <w:tc>
          <w:tcPr>
            <w:tcW w:w="1242" w:type="dxa"/>
            <w:tcBorders>
              <w:top w:val="nil"/>
              <w:left w:val="nil"/>
              <w:bottom w:val="single" w:sz="4" w:space="0" w:color="auto"/>
              <w:right w:val="single" w:sz="4" w:space="0" w:color="auto"/>
            </w:tcBorders>
          </w:tcPr>
          <w:p w14:paraId="05B0728C" w14:textId="062010B3" w:rsidR="00877730" w:rsidRDefault="00877730" w:rsidP="00877730">
            <w:pPr>
              <w:pStyle w:val="TableText"/>
              <w:jc w:val="right"/>
              <w:rPr>
                <w:rFonts w:cs="Calibri"/>
                <w:color w:val="000000"/>
              </w:rPr>
            </w:pPr>
            <w:r>
              <w:rPr>
                <w:rFonts w:cs="Calibri"/>
                <w:color w:val="000000"/>
              </w:rPr>
              <w:t>$139K</w:t>
            </w:r>
          </w:p>
        </w:tc>
      </w:tr>
      <w:tr w:rsidR="00877730" w:rsidRPr="000F130C" w14:paraId="0DDC07B2" w14:textId="77777777" w:rsidTr="00E4361B">
        <w:trPr>
          <w:trHeight w:val="255"/>
        </w:trPr>
        <w:tc>
          <w:tcPr>
            <w:tcW w:w="2596" w:type="dxa"/>
            <w:tcBorders>
              <w:top w:val="nil"/>
              <w:left w:val="single" w:sz="4" w:space="0" w:color="auto"/>
              <w:bottom w:val="single" w:sz="4" w:space="0" w:color="auto"/>
              <w:right w:val="single" w:sz="4" w:space="0" w:color="auto"/>
            </w:tcBorders>
            <w:noWrap/>
            <w:hideMark/>
          </w:tcPr>
          <w:p w14:paraId="4044E842" w14:textId="77777777" w:rsidR="00877730" w:rsidRPr="000F130C" w:rsidRDefault="00877730" w:rsidP="00877730">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vAlign w:val="bottom"/>
          </w:tcPr>
          <w:p w14:paraId="2E8F0A76" w14:textId="55CC6CD5" w:rsidR="00877730" w:rsidRDefault="00877730" w:rsidP="00877730">
            <w:pPr>
              <w:pStyle w:val="TableText"/>
              <w:jc w:val="right"/>
              <w:rPr>
                <w:lang w:eastAsia="en-AU"/>
              </w:rPr>
            </w:pPr>
            <w:r>
              <w:rPr>
                <w:rFonts w:cs="Calibri"/>
                <w:color w:val="000000"/>
              </w:rPr>
              <w:t>$90</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40912C94" w14:textId="7E8B5F3A" w:rsidR="00877730" w:rsidRPr="00346120" w:rsidRDefault="00877730" w:rsidP="00877730">
            <w:pPr>
              <w:pStyle w:val="TableText"/>
              <w:jc w:val="right"/>
              <w:rPr>
                <w:lang w:eastAsia="en-AU"/>
              </w:rPr>
            </w:pPr>
            <w:r>
              <w:rPr>
                <w:rFonts w:cs="Calibri"/>
                <w:color w:val="000000"/>
              </w:rPr>
              <w:t>$65</w:t>
            </w:r>
            <w:r w:rsidRPr="00705863">
              <w:rPr>
                <w:rFonts w:cs="Calibri"/>
                <w:color w:val="000000"/>
              </w:rPr>
              <w:t>K</w:t>
            </w:r>
          </w:p>
        </w:tc>
        <w:tc>
          <w:tcPr>
            <w:tcW w:w="1242" w:type="dxa"/>
            <w:tcBorders>
              <w:top w:val="nil"/>
              <w:left w:val="nil"/>
              <w:bottom w:val="single" w:sz="4" w:space="0" w:color="auto"/>
              <w:right w:val="single" w:sz="4" w:space="0" w:color="auto"/>
            </w:tcBorders>
          </w:tcPr>
          <w:p w14:paraId="1C681032" w14:textId="493CF0DE" w:rsidR="00877730" w:rsidRPr="00705863" w:rsidRDefault="00877730" w:rsidP="00877730">
            <w:pPr>
              <w:pStyle w:val="TableText"/>
              <w:jc w:val="right"/>
              <w:rPr>
                <w:color w:val="000000"/>
              </w:rPr>
            </w:pPr>
            <w:r>
              <w:rPr>
                <w:rFonts w:cs="Calibri"/>
                <w:color w:val="000000"/>
              </w:rPr>
              <w:t>$67K</w:t>
            </w:r>
          </w:p>
        </w:tc>
        <w:tc>
          <w:tcPr>
            <w:tcW w:w="1242" w:type="dxa"/>
            <w:tcBorders>
              <w:top w:val="nil"/>
              <w:left w:val="nil"/>
              <w:bottom w:val="single" w:sz="4" w:space="0" w:color="auto"/>
              <w:right w:val="single" w:sz="4" w:space="0" w:color="auto"/>
            </w:tcBorders>
          </w:tcPr>
          <w:p w14:paraId="5F420D41" w14:textId="61150650" w:rsidR="00877730" w:rsidRDefault="00877730" w:rsidP="00877730">
            <w:pPr>
              <w:pStyle w:val="TableText"/>
              <w:jc w:val="right"/>
              <w:rPr>
                <w:rFonts w:cs="Calibri"/>
                <w:color w:val="000000"/>
              </w:rPr>
            </w:pPr>
            <w:r>
              <w:rPr>
                <w:rFonts w:cs="Calibri"/>
                <w:color w:val="000000"/>
              </w:rPr>
              <w:t>$60K</w:t>
            </w:r>
          </w:p>
        </w:tc>
        <w:tc>
          <w:tcPr>
            <w:tcW w:w="1242" w:type="dxa"/>
            <w:tcBorders>
              <w:top w:val="nil"/>
              <w:left w:val="nil"/>
              <w:bottom w:val="single" w:sz="4" w:space="0" w:color="auto"/>
              <w:right w:val="single" w:sz="4" w:space="0" w:color="auto"/>
            </w:tcBorders>
          </w:tcPr>
          <w:p w14:paraId="04034E35" w14:textId="6D9CC9FF" w:rsidR="00877730" w:rsidRDefault="00877730" w:rsidP="00877730">
            <w:pPr>
              <w:pStyle w:val="TableText"/>
              <w:jc w:val="right"/>
              <w:rPr>
                <w:rFonts w:cs="Calibri"/>
                <w:color w:val="000000"/>
              </w:rPr>
            </w:pPr>
            <w:r>
              <w:rPr>
                <w:rFonts w:cs="Calibri"/>
                <w:color w:val="000000"/>
              </w:rPr>
              <w:t>$83K</w:t>
            </w:r>
          </w:p>
        </w:tc>
      </w:tr>
      <w:tr w:rsidR="00877730" w:rsidRPr="000F130C" w14:paraId="69734F71" w14:textId="77777777" w:rsidTr="00E4361B">
        <w:trPr>
          <w:trHeight w:val="255"/>
        </w:trPr>
        <w:tc>
          <w:tcPr>
            <w:tcW w:w="2596" w:type="dxa"/>
            <w:tcBorders>
              <w:top w:val="nil"/>
              <w:left w:val="single" w:sz="4" w:space="0" w:color="auto"/>
              <w:bottom w:val="single" w:sz="4" w:space="0" w:color="auto"/>
              <w:right w:val="single" w:sz="4" w:space="0" w:color="auto"/>
            </w:tcBorders>
            <w:noWrap/>
            <w:hideMark/>
          </w:tcPr>
          <w:p w14:paraId="4D1FF33B" w14:textId="77777777" w:rsidR="00877730" w:rsidRPr="000F130C" w:rsidRDefault="00877730" w:rsidP="00877730">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vAlign w:val="bottom"/>
          </w:tcPr>
          <w:p w14:paraId="5DC307C8" w14:textId="5FC896F9" w:rsidR="00877730" w:rsidRDefault="00877730" w:rsidP="00877730">
            <w:pPr>
              <w:pStyle w:val="TableText"/>
              <w:jc w:val="right"/>
              <w:rPr>
                <w:lang w:eastAsia="en-AU"/>
              </w:rPr>
            </w:pPr>
            <w:r>
              <w:rPr>
                <w:rFonts w:cs="Calibri"/>
                <w:color w:val="000000"/>
              </w:rPr>
              <w:t>$46</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1E0E6C55" w14:textId="2361C1F0" w:rsidR="00877730" w:rsidRPr="00346120" w:rsidRDefault="00877730" w:rsidP="00877730">
            <w:pPr>
              <w:pStyle w:val="TableText"/>
              <w:jc w:val="right"/>
              <w:rPr>
                <w:lang w:eastAsia="en-AU"/>
              </w:rPr>
            </w:pPr>
            <w:r>
              <w:rPr>
                <w:rFonts w:cs="Calibri"/>
                <w:color w:val="000000"/>
              </w:rPr>
              <w:t>$27</w:t>
            </w:r>
            <w:r w:rsidRPr="00705863">
              <w:rPr>
                <w:rFonts w:cs="Calibri"/>
                <w:color w:val="000000"/>
              </w:rPr>
              <w:t>K</w:t>
            </w:r>
          </w:p>
        </w:tc>
        <w:tc>
          <w:tcPr>
            <w:tcW w:w="1242" w:type="dxa"/>
            <w:tcBorders>
              <w:top w:val="nil"/>
              <w:left w:val="nil"/>
              <w:bottom w:val="single" w:sz="4" w:space="0" w:color="auto"/>
              <w:right w:val="single" w:sz="4" w:space="0" w:color="auto"/>
            </w:tcBorders>
          </w:tcPr>
          <w:p w14:paraId="2A5EC934" w14:textId="2C389DC9" w:rsidR="00877730" w:rsidRPr="00705863" w:rsidRDefault="00877730" w:rsidP="00877730">
            <w:pPr>
              <w:pStyle w:val="TableText"/>
              <w:jc w:val="right"/>
              <w:rPr>
                <w:color w:val="000000"/>
              </w:rPr>
            </w:pPr>
            <w:r>
              <w:rPr>
                <w:rFonts w:cs="Calibri"/>
                <w:color w:val="000000"/>
              </w:rPr>
              <w:t>$24K</w:t>
            </w:r>
          </w:p>
        </w:tc>
        <w:tc>
          <w:tcPr>
            <w:tcW w:w="1242" w:type="dxa"/>
            <w:tcBorders>
              <w:top w:val="nil"/>
              <w:left w:val="nil"/>
              <w:bottom w:val="single" w:sz="4" w:space="0" w:color="auto"/>
              <w:right w:val="single" w:sz="4" w:space="0" w:color="auto"/>
            </w:tcBorders>
          </w:tcPr>
          <w:p w14:paraId="11599EF1" w14:textId="019A2ABC" w:rsidR="00877730" w:rsidRDefault="00877730" w:rsidP="00877730">
            <w:pPr>
              <w:pStyle w:val="TableText"/>
              <w:jc w:val="right"/>
              <w:rPr>
                <w:rFonts w:cs="Calibri"/>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36334F3B" w14:textId="28A0ABC2" w:rsidR="00877730" w:rsidRDefault="00877730" w:rsidP="00877730">
            <w:pPr>
              <w:pStyle w:val="TableText"/>
              <w:jc w:val="right"/>
              <w:rPr>
                <w:rFonts w:cs="Calibri"/>
                <w:color w:val="000000"/>
              </w:rPr>
            </w:pPr>
            <w:r>
              <w:rPr>
                <w:rFonts w:cs="Calibri"/>
                <w:color w:val="000000"/>
              </w:rPr>
              <w:t>$33K</w:t>
            </w:r>
          </w:p>
        </w:tc>
      </w:tr>
      <w:tr w:rsidR="00877730" w:rsidRPr="000F130C" w14:paraId="72533886" w14:textId="77777777" w:rsidTr="00E4361B">
        <w:trPr>
          <w:trHeight w:val="255"/>
        </w:trPr>
        <w:tc>
          <w:tcPr>
            <w:tcW w:w="2596" w:type="dxa"/>
            <w:tcBorders>
              <w:top w:val="nil"/>
              <w:left w:val="single" w:sz="4" w:space="0" w:color="auto"/>
              <w:bottom w:val="single" w:sz="4" w:space="0" w:color="auto"/>
              <w:right w:val="single" w:sz="4" w:space="0" w:color="auto"/>
            </w:tcBorders>
            <w:noWrap/>
            <w:hideMark/>
          </w:tcPr>
          <w:p w14:paraId="07BB870F" w14:textId="77777777" w:rsidR="00877730" w:rsidRPr="000F130C" w:rsidRDefault="00877730" w:rsidP="00877730">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vAlign w:val="bottom"/>
          </w:tcPr>
          <w:p w14:paraId="4038F83B" w14:textId="759D1E68" w:rsidR="00877730" w:rsidRDefault="00877730" w:rsidP="00877730">
            <w:pPr>
              <w:pStyle w:val="TableText"/>
              <w:jc w:val="right"/>
              <w:rPr>
                <w:b/>
                <w:lang w:eastAsia="en-AU"/>
              </w:rPr>
            </w:pPr>
            <w:r>
              <w:rPr>
                <w:rFonts w:cs="Calibri"/>
                <w:b/>
                <w:bCs/>
                <w:color w:val="000000"/>
              </w:rPr>
              <w:t>$477</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6497C899" w14:textId="6B761CEE" w:rsidR="00877730" w:rsidRPr="00346120" w:rsidRDefault="00877730" w:rsidP="00877730">
            <w:pPr>
              <w:pStyle w:val="TableText"/>
              <w:jc w:val="right"/>
              <w:rPr>
                <w:b/>
                <w:bCs/>
                <w:lang w:eastAsia="en-AU"/>
              </w:rPr>
            </w:pPr>
            <w:r>
              <w:rPr>
                <w:rFonts w:cs="Calibri"/>
                <w:b/>
                <w:bCs/>
                <w:color w:val="000000"/>
              </w:rPr>
              <w:t>$336</w:t>
            </w:r>
            <w:r w:rsidRPr="00705863">
              <w:rPr>
                <w:rFonts w:cs="Calibri"/>
                <w:b/>
                <w:bCs/>
                <w:color w:val="000000"/>
              </w:rPr>
              <w:t>K</w:t>
            </w:r>
          </w:p>
        </w:tc>
        <w:tc>
          <w:tcPr>
            <w:tcW w:w="1242" w:type="dxa"/>
            <w:tcBorders>
              <w:top w:val="nil"/>
              <w:left w:val="nil"/>
              <w:bottom w:val="single" w:sz="4" w:space="0" w:color="auto"/>
              <w:right w:val="single" w:sz="4" w:space="0" w:color="auto"/>
            </w:tcBorders>
          </w:tcPr>
          <w:p w14:paraId="2DF77544" w14:textId="280B5107" w:rsidR="00877730" w:rsidRPr="00705863" w:rsidRDefault="00877730" w:rsidP="00877730">
            <w:pPr>
              <w:pStyle w:val="TableText"/>
              <w:jc w:val="right"/>
              <w:rPr>
                <w:b/>
                <w:bCs/>
                <w:color w:val="000000"/>
              </w:rPr>
            </w:pPr>
            <w:r>
              <w:rPr>
                <w:rFonts w:cs="Calibri"/>
                <w:b/>
                <w:bCs/>
                <w:color w:val="000000"/>
              </w:rPr>
              <w:t>$326K</w:t>
            </w:r>
          </w:p>
        </w:tc>
        <w:tc>
          <w:tcPr>
            <w:tcW w:w="1242" w:type="dxa"/>
            <w:tcBorders>
              <w:top w:val="nil"/>
              <w:left w:val="nil"/>
              <w:bottom w:val="single" w:sz="4" w:space="0" w:color="auto"/>
              <w:right w:val="single" w:sz="4" w:space="0" w:color="auto"/>
            </w:tcBorders>
          </w:tcPr>
          <w:p w14:paraId="095A89D3" w14:textId="34E582DC" w:rsidR="00877730" w:rsidRDefault="00877730" w:rsidP="00877730">
            <w:pPr>
              <w:pStyle w:val="TableText"/>
              <w:jc w:val="right"/>
              <w:rPr>
                <w:rFonts w:cs="Calibri"/>
                <w:b/>
                <w:bCs/>
                <w:color w:val="000000"/>
              </w:rPr>
            </w:pPr>
            <w:r>
              <w:rPr>
                <w:rFonts w:cs="Calibri"/>
                <w:b/>
                <w:bCs/>
                <w:color w:val="000000"/>
              </w:rPr>
              <w:t>$283K</w:t>
            </w:r>
          </w:p>
        </w:tc>
        <w:tc>
          <w:tcPr>
            <w:tcW w:w="1242" w:type="dxa"/>
            <w:tcBorders>
              <w:top w:val="nil"/>
              <w:left w:val="nil"/>
              <w:bottom w:val="single" w:sz="4" w:space="0" w:color="auto"/>
              <w:right w:val="single" w:sz="4" w:space="0" w:color="auto"/>
            </w:tcBorders>
          </w:tcPr>
          <w:p w14:paraId="71660824" w14:textId="08CB7C83" w:rsidR="00877730" w:rsidRDefault="00877730" w:rsidP="00877730">
            <w:pPr>
              <w:pStyle w:val="TableText"/>
              <w:jc w:val="right"/>
              <w:rPr>
                <w:rFonts w:cs="Calibri"/>
                <w:b/>
                <w:bCs/>
                <w:color w:val="000000"/>
              </w:rPr>
            </w:pPr>
            <w:r>
              <w:rPr>
                <w:rFonts w:cs="Calibri"/>
                <w:b/>
                <w:bCs/>
                <w:color w:val="000000"/>
              </w:rPr>
              <w:t>$420K</w:t>
            </w:r>
          </w:p>
        </w:tc>
      </w:tr>
    </w:tbl>
    <w:p w14:paraId="400BA941" w14:textId="77777777" w:rsidR="00877730" w:rsidRDefault="00877730" w:rsidP="00994941">
      <w:pPr>
        <w:ind w:left="-142" w:right="-425"/>
        <w:jc w:val="both"/>
        <w:rPr>
          <w:rFonts w:cs="Arial"/>
        </w:rPr>
      </w:pPr>
    </w:p>
    <w:p w14:paraId="1F933F3B" w14:textId="35C7ABB8" w:rsidR="00994941" w:rsidRDefault="00B20EFA" w:rsidP="00994941">
      <w:pPr>
        <w:ind w:left="-142" w:right="-425"/>
        <w:jc w:val="both"/>
        <w:rPr>
          <w:rFonts w:cs="Arial"/>
        </w:rPr>
      </w:pPr>
      <w:r>
        <w:rPr>
          <w:rFonts w:cs="Arial"/>
        </w:rPr>
        <w:t>Cairns Registry</w:t>
      </w:r>
      <w:r w:rsidR="00994941">
        <w:rPr>
          <w:rFonts w:cs="Arial"/>
        </w:rPr>
        <w:t xml:space="preserve"> expenditure for </w:t>
      </w:r>
      <w:r w:rsidR="00856C85">
        <w:rPr>
          <w:rFonts w:cs="Arial"/>
        </w:rPr>
        <w:t xml:space="preserve">quarter </w:t>
      </w:r>
      <w:r w:rsidR="00951376">
        <w:rPr>
          <w:rFonts w:cs="Arial"/>
        </w:rPr>
        <w:t>56</w:t>
      </w:r>
      <w:r w:rsidR="007914E0">
        <w:rPr>
          <w:rFonts w:cs="Arial"/>
        </w:rPr>
        <w:t xml:space="preserve"> </w:t>
      </w:r>
      <w:r w:rsidR="00994941" w:rsidRPr="006A0DDF">
        <w:rPr>
          <w:rFonts w:cs="Arial"/>
        </w:rPr>
        <w:t xml:space="preserve">compared to </w:t>
      </w:r>
      <w:r w:rsidR="00994941">
        <w:rPr>
          <w:rFonts w:cs="Arial"/>
        </w:rPr>
        <w:t xml:space="preserve">the </w:t>
      </w:r>
      <w:r w:rsidR="00994941" w:rsidRPr="006A0DDF">
        <w:rPr>
          <w:rFonts w:cs="Arial"/>
        </w:rPr>
        <w:t xml:space="preserve">previous </w:t>
      </w:r>
      <w:r w:rsidR="00D144AA">
        <w:rPr>
          <w:rFonts w:cs="Arial"/>
        </w:rPr>
        <w:t>four</w:t>
      </w:r>
      <w:r w:rsidR="00FB4C44" w:rsidRPr="006A0DDF">
        <w:rPr>
          <w:rFonts w:cs="Arial"/>
        </w:rPr>
        <w:t xml:space="preserve"> </w:t>
      </w:r>
      <w:r w:rsidR="00994941" w:rsidRPr="006A0DDF">
        <w:rPr>
          <w:rFonts w:cs="Arial"/>
        </w:rPr>
        <w:t>quarter</w:t>
      </w:r>
      <w:r w:rsidR="00994941">
        <w:rPr>
          <w:rFonts w:cs="Arial"/>
        </w:rPr>
        <w:t>s.</w:t>
      </w:r>
    </w:p>
    <w:p w14:paraId="6EED8103" w14:textId="675DFDA4" w:rsidR="00402726" w:rsidRDefault="00402726" w:rsidP="00994941">
      <w:pPr>
        <w:ind w:left="-142" w:right="-425"/>
        <w:jc w:val="both"/>
        <w:rPr>
          <w:rFonts w:cs="Arial"/>
        </w:rPr>
      </w:pPr>
    </w:p>
    <w:p w14:paraId="2FF6532D" w14:textId="1CC025B6" w:rsidR="00877730" w:rsidRPr="00E37B61" w:rsidRDefault="00877730" w:rsidP="00877730">
      <w:pPr>
        <w:pStyle w:val="TableCaption"/>
        <w:spacing w:before="0"/>
        <w:ind w:left="0" w:right="-425"/>
        <w:rPr>
          <w:b/>
          <w:i w:val="0"/>
          <w:sz w:val="16"/>
        </w:rPr>
      </w:pPr>
      <w:r w:rsidRPr="00E37B61">
        <w:rPr>
          <w:b/>
          <w:i w:val="0"/>
          <w:sz w:val="16"/>
        </w:rPr>
        <w:t xml:space="preserve">Table </w:t>
      </w:r>
      <w:r>
        <w:rPr>
          <w:b/>
          <w:i w:val="0"/>
          <w:sz w:val="16"/>
        </w:rPr>
        <w:t>32</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sidR="003475F3">
        <w:rPr>
          <w:i w:val="0"/>
          <w:sz w:val="16"/>
        </w:rPr>
        <w:t>April</w:t>
      </w:r>
      <w:r>
        <w:rPr>
          <w:i w:val="0"/>
          <w:sz w:val="16"/>
        </w:rPr>
        <w:t xml:space="preserve"> 2021 to 3</w:t>
      </w:r>
      <w:r w:rsidR="003475F3">
        <w:rPr>
          <w:i w:val="0"/>
          <w:sz w:val="16"/>
        </w:rPr>
        <w:t xml:space="preserve">0 June </w:t>
      </w:r>
      <w:r w:rsidRPr="00E37B61">
        <w:rPr>
          <w:i w:val="0"/>
          <w:sz w:val="16"/>
        </w:rPr>
        <w:t>20</w:t>
      </w:r>
      <w:r>
        <w:rPr>
          <w:i w:val="0"/>
          <w:sz w:val="16"/>
        </w:rPr>
        <w:t>22</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877730" w:rsidRPr="00920636" w14:paraId="758E9821" w14:textId="77777777" w:rsidTr="005D329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17E1B1B4" w14:textId="77777777" w:rsidR="00877730" w:rsidRPr="000F130C" w:rsidRDefault="00877730" w:rsidP="00877730">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486AFD63" w14:textId="6FFD3403" w:rsidR="00877730" w:rsidRDefault="00877730" w:rsidP="00877730">
            <w:pPr>
              <w:pStyle w:val="TableText"/>
              <w:jc w:val="right"/>
              <w:rPr>
                <w:b/>
                <w:lang w:eastAsia="en-AU"/>
              </w:rPr>
            </w:pPr>
            <w:r>
              <w:rPr>
                <w:b/>
                <w:lang w:eastAsia="en-AU"/>
              </w:rPr>
              <w:t>Qtr 52</w:t>
            </w:r>
          </w:p>
        </w:tc>
        <w:tc>
          <w:tcPr>
            <w:tcW w:w="1250" w:type="dxa"/>
            <w:tcBorders>
              <w:top w:val="single" w:sz="4" w:space="0" w:color="auto"/>
              <w:left w:val="nil"/>
              <w:bottom w:val="single" w:sz="4" w:space="0" w:color="auto"/>
              <w:right w:val="single" w:sz="4" w:space="0" w:color="auto"/>
            </w:tcBorders>
          </w:tcPr>
          <w:p w14:paraId="4B87A53E" w14:textId="182A5F64" w:rsidR="00877730" w:rsidRDefault="00877730" w:rsidP="00877730">
            <w:pPr>
              <w:pStyle w:val="TableText"/>
              <w:jc w:val="right"/>
              <w:rPr>
                <w:b/>
                <w:lang w:eastAsia="en-AU"/>
              </w:rPr>
            </w:pPr>
            <w:r>
              <w:rPr>
                <w:b/>
                <w:lang w:eastAsia="en-AU"/>
              </w:rPr>
              <w:t>Qtr 53</w:t>
            </w:r>
          </w:p>
        </w:tc>
        <w:tc>
          <w:tcPr>
            <w:tcW w:w="1250" w:type="dxa"/>
            <w:tcBorders>
              <w:top w:val="single" w:sz="4" w:space="0" w:color="auto"/>
              <w:left w:val="nil"/>
              <w:bottom w:val="single" w:sz="4" w:space="0" w:color="auto"/>
              <w:right w:val="single" w:sz="4" w:space="0" w:color="auto"/>
            </w:tcBorders>
          </w:tcPr>
          <w:p w14:paraId="2DDB130B" w14:textId="34AFA295" w:rsidR="00877730" w:rsidRDefault="00877730" w:rsidP="00877730">
            <w:pPr>
              <w:pStyle w:val="TableText"/>
              <w:jc w:val="right"/>
              <w:rPr>
                <w:b/>
                <w:lang w:eastAsia="en-AU"/>
              </w:rPr>
            </w:pPr>
            <w:r>
              <w:rPr>
                <w:b/>
                <w:lang w:eastAsia="en-AU"/>
              </w:rPr>
              <w:t>Qtr 54</w:t>
            </w:r>
          </w:p>
        </w:tc>
        <w:tc>
          <w:tcPr>
            <w:tcW w:w="1250" w:type="dxa"/>
            <w:tcBorders>
              <w:top w:val="single" w:sz="4" w:space="0" w:color="auto"/>
              <w:left w:val="nil"/>
              <w:bottom w:val="single" w:sz="4" w:space="0" w:color="auto"/>
              <w:right w:val="single" w:sz="4" w:space="0" w:color="auto"/>
            </w:tcBorders>
          </w:tcPr>
          <w:p w14:paraId="48764677" w14:textId="16D11F23" w:rsidR="00877730" w:rsidRDefault="00877730" w:rsidP="00877730">
            <w:pPr>
              <w:pStyle w:val="TableText"/>
              <w:jc w:val="right"/>
              <w:rPr>
                <w:b/>
                <w:lang w:eastAsia="en-AU"/>
              </w:rPr>
            </w:pPr>
            <w:r>
              <w:rPr>
                <w:b/>
                <w:lang w:eastAsia="en-AU"/>
              </w:rPr>
              <w:t>Qtr 55</w:t>
            </w:r>
          </w:p>
        </w:tc>
        <w:tc>
          <w:tcPr>
            <w:tcW w:w="1250" w:type="dxa"/>
            <w:tcBorders>
              <w:top w:val="single" w:sz="4" w:space="0" w:color="auto"/>
              <w:left w:val="nil"/>
              <w:bottom w:val="single" w:sz="4" w:space="0" w:color="auto"/>
              <w:right w:val="single" w:sz="4" w:space="0" w:color="auto"/>
            </w:tcBorders>
          </w:tcPr>
          <w:p w14:paraId="7C7A2948" w14:textId="69D6B02E" w:rsidR="00877730" w:rsidRDefault="00877730" w:rsidP="00877730">
            <w:pPr>
              <w:pStyle w:val="TableText"/>
              <w:jc w:val="right"/>
              <w:rPr>
                <w:b/>
                <w:lang w:eastAsia="en-AU"/>
              </w:rPr>
            </w:pPr>
            <w:r>
              <w:rPr>
                <w:b/>
                <w:lang w:eastAsia="en-AU"/>
              </w:rPr>
              <w:t>Qtr 56</w:t>
            </w:r>
          </w:p>
        </w:tc>
      </w:tr>
      <w:tr w:rsidR="00877730" w:rsidRPr="00920636" w14:paraId="55E26838" w14:textId="77777777" w:rsidTr="00CB611D">
        <w:trPr>
          <w:trHeight w:val="255"/>
        </w:trPr>
        <w:tc>
          <w:tcPr>
            <w:tcW w:w="2596" w:type="dxa"/>
            <w:tcBorders>
              <w:top w:val="nil"/>
              <w:left w:val="single" w:sz="4" w:space="0" w:color="auto"/>
              <w:bottom w:val="single" w:sz="4" w:space="0" w:color="auto"/>
              <w:right w:val="single" w:sz="4" w:space="0" w:color="auto"/>
            </w:tcBorders>
            <w:noWrap/>
          </w:tcPr>
          <w:p w14:paraId="7A6F1642" w14:textId="77777777" w:rsidR="00877730" w:rsidRPr="00E72DFB" w:rsidRDefault="00877730" w:rsidP="00877730">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vAlign w:val="center"/>
          </w:tcPr>
          <w:p w14:paraId="12B5CDF4" w14:textId="0D569F69" w:rsidR="00877730" w:rsidRDefault="00877730" w:rsidP="00877730">
            <w:pPr>
              <w:pStyle w:val="TableText"/>
              <w:jc w:val="right"/>
              <w:rPr>
                <w:lang w:eastAsia="en-AU"/>
              </w:rPr>
            </w:pPr>
            <w:r>
              <w:rPr>
                <w:rFonts w:cs="Arial"/>
              </w:rPr>
              <w:t>$</w:t>
            </w:r>
            <w:r w:rsidRPr="0074086C">
              <w:rPr>
                <w:rFonts w:cs="Arial"/>
              </w:rPr>
              <w:t>2</w:t>
            </w:r>
            <w:r>
              <w:rPr>
                <w:rFonts w:cs="Arial"/>
              </w:rPr>
              <w:t>61</w:t>
            </w:r>
            <w:r w:rsidRPr="0074086C">
              <w:rPr>
                <w:rFonts w:cs="Arial"/>
              </w:rPr>
              <w:t>K</w:t>
            </w:r>
          </w:p>
        </w:tc>
        <w:tc>
          <w:tcPr>
            <w:tcW w:w="1250" w:type="dxa"/>
            <w:tcBorders>
              <w:top w:val="nil"/>
              <w:left w:val="nil"/>
              <w:bottom w:val="single" w:sz="4" w:space="0" w:color="auto"/>
              <w:right w:val="single" w:sz="4" w:space="0" w:color="auto"/>
            </w:tcBorders>
            <w:vAlign w:val="center"/>
          </w:tcPr>
          <w:p w14:paraId="63AAB360" w14:textId="3B9AC0F3" w:rsidR="00877730" w:rsidRDefault="00877730" w:rsidP="00877730">
            <w:pPr>
              <w:pStyle w:val="TableText"/>
              <w:jc w:val="right"/>
              <w:rPr>
                <w:lang w:eastAsia="en-AU"/>
              </w:rPr>
            </w:pPr>
            <w:r>
              <w:rPr>
                <w:rFonts w:cs="Arial"/>
              </w:rPr>
              <w:t>$</w:t>
            </w:r>
            <w:r w:rsidRPr="0074086C">
              <w:rPr>
                <w:rFonts w:cs="Arial"/>
              </w:rPr>
              <w:t>2</w:t>
            </w:r>
            <w:r>
              <w:rPr>
                <w:rFonts w:cs="Arial"/>
              </w:rPr>
              <w:t>55</w:t>
            </w:r>
            <w:r w:rsidRPr="0074086C">
              <w:rPr>
                <w:rFonts w:cs="Arial"/>
              </w:rPr>
              <w:t>K</w:t>
            </w:r>
          </w:p>
        </w:tc>
        <w:tc>
          <w:tcPr>
            <w:tcW w:w="1250" w:type="dxa"/>
            <w:tcBorders>
              <w:top w:val="nil"/>
              <w:left w:val="nil"/>
              <w:bottom w:val="single" w:sz="4" w:space="0" w:color="auto"/>
              <w:right w:val="single" w:sz="4" w:space="0" w:color="auto"/>
            </w:tcBorders>
          </w:tcPr>
          <w:p w14:paraId="26B04A62" w14:textId="1810876B" w:rsidR="00877730" w:rsidRPr="0074086C" w:rsidRDefault="00877730" w:rsidP="00877730">
            <w:pPr>
              <w:pStyle w:val="TableText"/>
              <w:jc w:val="right"/>
              <w:rPr>
                <w:lang w:eastAsia="en-AU"/>
              </w:rPr>
            </w:pPr>
            <w:r>
              <w:rPr>
                <w:rFonts w:cs="Arial"/>
              </w:rPr>
              <w:t>$295K</w:t>
            </w:r>
          </w:p>
        </w:tc>
        <w:tc>
          <w:tcPr>
            <w:tcW w:w="1250" w:type="dxa"/>
            <w:tcBorders>
              <w:top w:val="nil"/>
              <w:left w:val="nil"/>
              <w:bottom w:val="single" w:sz="4" w:space="0" w:color="auto"/>
              <w:right w:val="single" w:sz="4" w:space="0" w:color="auto"/>
            </w:tcBorders>
          </w:tcPr>
          <w:p w14:paraId="542269A4" w14:textId="03EE578A" w:rsidR="00877730" w:rsidRDefault="00877730" w:rsidP="00877730">
            <w:pPr>
              <w:pStyle w:val="TableText"/>
              <w:jc w:val="right"/>
              <w:rPr>
                <w:rFonts w:cs="Arial"/>
              </w:rPr>
            </w:pPr>
            <w:r>
              <w:rPr>
                <w:rFonts w:cs="Arial"/>
              </w:rPr>
              <w:t>$27</w:t>
            </w:r>
            <w:r w:rsidR="007D7305">
              <w:rPr>
                <w:rFonts w:cs="Arial"/>
              </w:rPr>
              <w:t>0</w:t>
            </w:r>
            <w:r>
              <w:rPr>
                <w:rFonts w:cs="Arial"/>
              </w:rPr>
              <w:t>K</w:t>
            </w:r>
          </w:p>
        </w:tc>
        <w:tc>
          <w:tcPr>
            <w:tcW w:w="1250" w:type="dxa"/>
            <w:tcBorders>
              <w:top w:val="nil"/>
              <w:left w:val="nil"/>
              <w:bottom w:val="single" w:sz="4" w:space="0" w:color="auto"/>
              <w:right w:val="single" w:sz="4" w:space="0" w:color="auto"/>
            </w:tcBorders>
          </w:tcPr>
          <w:p w14:paraId="473BA2D4" w14:textId="53E01448" w:rsidR="00877730" w:rsidRDefault="00877730" w:rsidP="00877730">
            <w:pPr>
              <w:pStyle w:val="TableText"/>
              <w:jc w:val="right"/>
              <w:rPr>
                <w:rFonts w:cs="Arial"/>
              </w:rPr>
            </w:pPr>
            <w:r>
              <w:rPr>
                <w:rFonts w:cs="Arial"/>
              </w:rPr>
              <w:t>$289K</w:t>
            </w:r>
          </w:p>
        </w:tc>
      </w:tr>
      <w:tr w:rsidR="00877730" w:rsidRPr="00920636" w14:paraId="1FFE2156" w14:textId="77777777" w:rsidTr="00CB611D">
        <w:trPr>
          <w:trHeight w:val="255"/>
        </w:trPr>
        <w:tc>
          <w:tcPr>
            <w:tcW w:w="2596" w:type="dxa"/>
            <w:tcBorders>
              <w:top w:val="nil"/>
              <w:left w:val="single" w:sz="4" w:space="0" w:color="auto"/>
              <w:bottom w:val="single" w:sz="4" w:space="0" w:color="auto"/>
              <w:right w:val="single" w:sz="4" w:space="0" w:color="auto"/>
            </w:tcBorders>
            <w:noWrap/>
            <w:hideMark/>
          </w:tcPr>
          <w:p w14:paraId="69C517F0" w14:textId="77777777" w:rsidR="00877730" w:rsidRPr="00E72DFB" w:rsidRDefault="00877730" w:rsidP="00877730">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vAlign w:val="center"/>
          </w:tcPr>
          <w:p w14:paraId="49344C18" w14:textId="37B50CD6" w:rsidR="00877730" w:rsidRDefault="00877730" w:rsidP="00877730">
            <w:pPr>
              <w:pStyle w:val="TableText"/>
              <w:jc w:val="right"/>
              <w:rPr>
                <w:lang w:eastAsia="en-AU"/>
              </w:rPr>
            </w:pPr>
            <w:r>
              <w:rPr>
                <w:rFonts w:cs="Arial"/>
              </w:rPr>
              <w:t>$272</w:t>
            </w:r>
            <w:r w:rsidRPr="0074086C">
              <w:rPr>
                <w:rFonts w:cs="Arial"/>
              </w:rPr>
              <w:t>K</w:t>
            </w:r>
          </w:p>
        </w:tc>
        <w:tc>
          <w:tcPr>
            <w:tcW w:w="1250" w:type="dxa"/>
            <w:tcBorders>
              <w:top w:val="nil"/>
              <w:left w:val="nil"/>
              <w:bottom w:val="single" w:sz="4" w:space="0" w:color="auto"/>
              <w:right w:val="single" w:sz="4" w:space="0" w:color="auto"/>
            </w:tcBorders>
            <w:vAlign w:val="center"/>
          </w:tcPr>
          <w:p w14:paraId="765822DC" w14:textId="00F9E990" w:rsidR="00877730" w:rsidRDefault="00877730" w:rsidP="00877730">
            <w:pPr>
              <w:pStyle w:val="TableText"/>
              <w:jc w:val="right"/>
              <w:rPr>
                <w:lang w:eastAsia="en-AU"/>
              </w:rPr>
            </w:pPr>
            <w:r>
              <w:rPr>
                <w:rFonts w:cs="Arial"/>
              </w:rPr>
              <w:t>$376</w:t>
            </w:r>
            <w:r w:rsidRPr="0074086C">
              <w:rPr>
                <w:rFonts w:cs="Arial"/>
              </w:rPr>
              <w:t>K</w:t>
            </w:r>
          </w:p>
        </w:tc>
        <w:tc>
          <w:tcPr>
            <w:tcW w:w="1250" w:type="dxa"/>
            <w:tcBorders>
              <w:top w:val="nil"/>
              <w:left w:val="nil"/>
              <w:bottom w:val="single" w:sz="4" w:space="0" w:color="auto"/>
              <w:right w:val="single" w:sz="4" w:space="0" w:color="auto"/>
            </w:tcBorders>
          </w:tcPr>
          <w:p w14:paraId="2E3E5293" w14:textId="293D94DE" w:rsidR="00877730" w:rsidRPr="0074086C" w:rsidRDefault="00877730" w:rsidP="00877730">
            <w:pPr>
              <w:pStyle w:val="TableText"/>
              <w:jc w:val="right"/>
              <w:rPr>
                <w:lang w:eastAsia="en-AU"/>
              </w:rPr>
            </w:pPr>
            <w:r>
              <w:rPr>
                <w:rFonts w:cs="Arial"/>
              </w:rPr>
              <w:t>$371K</w:t>
            </w:r>
          </w:p>
        </w:tc>
        <w:tc>
          <w:tcPr>
            <w:tcW w:w="1250" w:type="dxa"/>
            <w:tcBorders>
              <w:top w:val="nil"/>
              <w:left w:val="nil"/>
              <w:bottom w:val="single" w:sz="4" w:space="0" w:color="auto"/>
              <w:right w:val="single" w:sz="4" w:space="0" w:color="auto"/>
            </w:tcBorders>
          </w:tcPr>
          <w:p w14:paraId="27F2A699" w14:textId="3FC035A8" w:rsidR="00877730" w:rsidRDefault="00877730" w:rsidP="00877730">
            <w:pPr>
              <w:pStyle w:val="TableText"/>
              <w:jc w:val="right"/>
              <w:rPr>
                <w:rFonts w:cs="Arial"/>
              </w:rPr>
            </w:pPr>
            <w:r>
              <w:rPr>
                <w:rFonts w:cs="Arial"/>
              </w:rPr>
              <w:t>$37</w:t>
            </w:r>
            <w:r w:rsidR="005C7600">
              <w:rPr>
                <w:rFonts w:cs="Arial"/>
              </w:rPr>
              <w:t>3</w:t>
            </w:r>
            <w:r>
              <w:rPr>
                <w:rFonts w:cs="Arial"/>
              </w:rPr>
              <w:t>K</w:t>
            </w:r>
          </w:p>
        </w:tc>
        <w:tc>
          <w:tcPr>
            <w:tcW w:w="1250" w:type="dxa"/>
            <w:tcBorders>
              <w:top w:val="nil"/>
              <w:left w:val="nil"/>
              <w:bottom w:val="single" w:sz="4" w:space="0" w:color="auto"/>
              <w:right w:val="single" w:sz="4" w:space="0" w:color="auto"/>
            </w:tcBorders>
          </w:tcPr>
          <w:p w14:paraId="22EE0337" w14:textId="292DC4A4" w:rsidR="00877730" w:rsidRDefault="00877730" w:rsidP="00877730">
            <w:pPr>
              <w:pStyle w:val="TableText"/>
              <w:jc w:val="right"/>
              <w:rPr>
                <w:rFonts w:cs="Arial"/>
              </w:rPr>
            </w:pPr>
            <w:r>
              <w:rPr>
                <w:rFonts w:cs="Arial"/>
              </w:rPr>
              <w:t>$371K</w:t>
            </w:r>
          </w:p>
        </w:tc>
      </w:tr>
      <w:tr w:rsidR="00877730" w:rsidRPr="00920636" w14:paraId="34D813D8" w14:textId="77777777" w:rsidTr="00CB611D">
        <w:trPr>
          <w:trHeight w:val="255"/>
        </w:trPr>
        <w:tc>
          <w:tcPr>
            <w:tcW w:w="2596" w:type="dxa"/>
            <w:tcBorders>
              <w:top w:val="nil"/>
              <w:left w:val="single" w:sz="4" w:space="0" w:color="auto"/>
              <w:bottom w:val="single" w:sz="4" w:space="0" w:color="auto"/>
              <w:right w:val="single" w:sz="4" w:space="0" w:color="auto"/>
            </w:tcBorders>
            <w:noWrap/>
            <w:hideMark/>
          </w:tcPr>
          <w:p w14:paraId="7351973D" w14:textId="77777777" w:rsidR="00877730" w:rsidRPr="000F130C" w:rsidRDefault="00877730" w:rsidP="00877730">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vAlign w:val="center"/>
          </w:tcPr>
          <w:p w14:paraId="1C23E571" w14:textId="357D8283" w:rsidR="00877730" w:rsidRDefault="00877730" w:rsidP="00877730">
            <w:pPr>
              <w:pStyle w:val="TableText"/>
              <w:jc w:val="right"/>
              <w:rPr>
                <w:b/>
                <w:lang w:eastAsia="en-AU"/>
              </w:rPr>
            </w:pPr>
            <w:r>
              <w:rPr>
                <w:rFonts w:cs="Arial"/>
                <w:b/>
                <w:bCs/>
              </w:rPr>
              <w:t>$</w:t>
            </w:r>
            <w:r w:rsidRPr="0074086C">
              <w:rPr>
                <w:rFonts w:cs="Arial"/>
                <w:b/>
                <w:bCs/>
              </w:rPr>
              <w:t>5</w:t>
            </w:r>
            <w:r>
              <w:rPr>
                <w:rFonts w:cs="Arial"/>
                <w:b/>
                <w:bCs/>
              </w:rPr>
              <w:t>33K</w:t>
            </w:r>
          </w:p>
        </w:tc>
        <w:tc>
          <w:tcPr>
            <w:tcW w:w="1250" w:type="dxa"/>
            <w:tcBorders>
              <w:top w:val="nil"/>
              <w:left w:val="nil"/>
              <w:bottom w:val="single" w:sz="4" w:space="0" w:color="auto"/>
              <w:right w:val="single" w:sz="4" w:space="0" w:color="auto"/>
            </w:tcBorders>
            <w:vAlign w:val="center"/>
          </w:tcPr>
          <w:p w14:paraId="2825D148" w14:textId="6E7D50F5" w:rsidR="00877730" w:rsidRPr="00EB7A8F" w:rsidRDefault="00877730" w:rsidP="00877730">
            <w:pPr>
              <w:pStyle w:val="TableText"/>
              <w:jc w:val="right"/>
              <w:rPr>
                <w:b/>
                <w:bCs/>
                <w:lang w:eastAsia="en-AU"/>
              </w:rPr>
            </w:pPr>
            <w:r>
              <w:rPr>
                <w:rFonts w:cs="Arial"/>
                <w:b/>
                <w:bCs/>
              </w:rPr>
              <w:t>$631K</w:t>
            </w:r>
          </w:p>
        </w:tc>
        <w:tc>
          <w:tcPr>
            <w:tcW w:w="1250" w:type="dxa"/>
            <w:tcBorders>
              <w:top w:val="nil"/>
              <w:left w:val="nil"/>
              <w:bottom w:val="single" w:sz="4" w:space="0" w:color="auto"/>
              <w:right w:val="single" w:sz="4" w:space="0" w:color="auto"/>
            </w:tcBorders>
          </w:tcPr>
          <w:p w14:paraId="4DDA7798" w14:textId="514F132C" w:rsidR="00877730" w:rsidRPr="0074086C" w:rsidRDefault="00877730" w:rsidP="00877730">
            <w:pPr>
              <w:pStyle w:val="TableText"/>
              <w:jc w:val="right"/>
              <w:rPr>
                <w:b/>
                <w:bCs/>
                <w:lang w:eastAsia="en-AU"/>
              </w:rPr>
            </w:pPr>
            <w:r>
              <w:rPr>
                <w:rFonts w:cs="Arial"/>
                <w:b/>
                <w:bCs/>
              </w:rPr>
              <w:t>$666K</w:t>
            </w:r>
          </w:p>
        </w:tc>
        <w:tc>
          <w:tcPr>
            <w:tcW w:w="1250" w:type="dxa"/>
            <w:tcBorders>
              <w:top w:val="nil"/>
              <w:left w:val="nil"/>
              <w:bottom w:val="single" w:sz="4" w:space="0" w:color="auto"/>
              <w:right w:val="single" w:sz="4" w:space="0" w:color="auto"/>
            </w:tcBorders>
          </w:tcPr>
          <w:p w14:paraId="512AE426" w14:textId="3BCE696A" w:rsidR="00877730" w:rsidRDefault="00877730" w:rsidP="00877730">
            <w:pPr>
              <w:pStyle w:val="TableText"/>
              <w:jc w:val="right"/>
              <w:rPr>
                <w:rFonts w:cs="Arial"/>
                <w:b/>
                <w:bCs/>
              </w:rPr>
            </w:pPr>
            <w:r>
              <w:rPr>
                <w:rFonts w:cs="Arial"/>
                <w:b/>
                <w:bCs/>
              </w:rPr>
              <w:t>$643K</w:t>
            </w:r>
          </w:p>
        </w:tc>
        <w:tc>
          <w:tcPr>
            <w:tcW w:w="1250" w:type="dxa"/>
            <w:tcBorders>
              <w:top w:val="nil"/>
              <w:left w:val="nil"/>
              <w:bottom w:val="single" w:sz="4" w:space="0" w:color="auto"/>
              <w:right w:val="single" w:sz="4" w:space="0" w:color="auto"/>
            </w:tcBorders>
          </w:tcPr>
          <w:p w14:paraId="757F6F27" w14:textId="449AFA9E" w:rsidR="00877730" w:rsidRDefault="00877730" w:rsidP="00877730">
            <w:pPr>
              <w:pStyle w:val="TableText"/>
              <w:jc w:val="right"/>
              <w:rPr>
                <w:rFonts w:cs="Arial"/>
                <w:b/>
                <w:bCs/>
              </w:rPr>
            </w:pPr>
            <w:r>
              <w:rPr>
                <w:rFonts w:cs="Arial"/>
                <w:b/>
                <w:bCs/>
              </w:rPr>
              <w:t>$660K</w:t>
            </w:r>
          </w:p>
        </w:tc>
      </w:tr>
    </w:tbl>
    <w:p w14:paraId="607E15DD" w14:textId="77777777" w:rsidR="00877730" w:rsidRDefault="00877730" w:rsidP="00877730">
      <w:pPr>
        <w:ind w:left="-142" w:right="-425"/>
        <w:jc w:val="both"/>
        <w:rPr>
          <w:rFonts w:cs="Arial"/>
        </w:rPr>
      </w:pPr>
    </w:p>
    <w:p w14:paraId="1BD873CB" w14:textId="59DEE5D9" w:rsidR="00877730" w:rsidRDefault="00877730" w:rsidP="00994941">
      <w:pPr>
        <w:ind w:left="-142" w:right="-425"/>
        <w:jc w:val="both"/>
        <w:rPr>
          <w:rFonts w:cs="Arial"/>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lastRenderedPageBreak/>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12737E01" w:rsidR="00D017C0" w:rsidRPr="0056129C" w:rsidRDefault="00D017C0" w:rsidP="00E37E96">
            <w:pPr>
              <w:ind w:right="-100"/>
              <w:rPr>
                <w:rFonts w:ascii="Arial Narrow" w:hAnsi="Arial Narrow" w:cs="Arial"/>
                <w:b/>
                <w:bCs/>
              </w:rPr>
            </w:pPr>
            <w:r w:rsidRPr="00B9709A">
              <w:rPr>
                <w:rFonts w:cs="Arial"/>
              </w:rPr>
              <w:br w:type="page"/>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17E10DD3"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C22830">
              <w:rPr>
                <w:rFonts w:ascii="Arial" w:hAnsi="Arial" w:cs="Arial"/>
                <w:b/>
                <w:bCs/>
                <w:noProof/>
                <w:lang w:val="en-US"/>
              </w:rPr>
              <w:t>January</w:t>
            </w:r>
            <w:r w:rsidR="009A305D">
              <w:rPr>
                <w:rFonts w:ascii="Arial" w:hAnsi="Arial" w:cs="Arial"/>
                <w:b/>
                <w:bCs/>
                <w:noProof/>
                <w:lang w:val="en-US"/>
              </w:rPr>
              <w:t xml:space="preserve"> </w:t>
            </w:r>
            <w:r>
              <w:rPr>
                <w:rFonts w:ascii="Arial" w:hAnsi="Arial" w:cs="Arial"/>
                <w:b/>
                <w:bCs/>
                <w:noProof/>
                <w:lang w:val="en-US"/>
              </w:rPr>
              <w:t>202</w:t>
            </w:r>
            <w:r w:rsidR="00C22830">
              <w:rPr>
                <w:rFonts w:ascii="Arial" w:hAnsi="Arial" w:cs="Arial"/>
                <w:b/>
                <w:bCs/>
                <w:noProof/>
                <w:lang w:val="en-US"/>
              </w:rPr>
              <w:t>2</w:t>
            </w:r>
            <w:r>
              <w:rPr>
                <w:rFonts w:ascii="Arial" w:hAnsi="Arial" w:cs="Arial"/>
                <w:b/>
                <w:bCs/>
                <w:noProof/>
                <w:lang w:val="en-US"/>
              </w:rPr>
              <w:t xml:space="preserve"> to 3</w:t>
            </w:r>
            <w:r w:rsidR="00C22830">
              <w:rPr>
                <w:rFonts w:ascii="Arial" w:hAnsi="Arial" w:cs="Arial"/>
                <w:b/>
                <w:bCs/>
                <w:noProof/>
                <w:lang w:val="en-US"/>
              </w:rPr>
              <w:t>0 June</w:t>
            </w:r>
            <w:r w:rsidR="00087193">
              <w:rPr>
                <w:rFonts w:ascii="Arial" w:hAnsi="Arial" w:cs="Arial"/>
                <w:b/>
                <w:bCs/>
                <w:noProof/>
                <w:lang w:val="en-US"/>
              </w:rPr>
              <w:t xml:space="preserve"> </w:t>
            </w:r>
            <w:r>
              <w:rPr>
                <w:rFonts w:ascii="Arial" w:hAnsi="Arial" w:cs="Arial"/>
                <w:b/>
                <w:bCs/>
                <w:noProof/>
                <w:lang w:val="en-US"/>
              </w:rPr>
              <w:t>202</w:t>
            </w:r>
            <w:r w:rsidR="00C22830">
              <w:rPr>
                <w:rFonts w:ascii="Arial" w:hAnsi="Arial" w:cs="Arial"/>
                <w:b/>
                <w:bCs/>
                <w:noProof/>
                <w:lang w:val="en-US"/>
              </w:rPr>
              <w:t>2</w:t>
            </w:r>
          </w:p>
        </w:tc>
        <w:tc>
          <w:tcPr>
            <w:tcW w:w="1817" w:type="dxa"/>
            <w:tcBorders>
              <w:top w:val="nil"/>
              <w:left w:val="nil"/>
              <w:bottom w:val="single" w:sz="18" w:space="0" w:color="auto"/>
              <w:right w:val="nil"/>
            </w:tcBorders>
            <w:shd w:val="clear" w:color="auto" w:fill="auto"/>
            <w:vAlign w:val="center"/>
          </w:tcPr>
          <w:p w14:paraId="79EDD674" w14:textId="73B59964" w:rsidR="00D017C0" w:rsidRPr="0056129C" w:rsidRDefault="00D017C0" w:rsidP="00E37E96">
            <w:pPr>
              <w:jc w:val="right"/>
              <w:rPr>
                <w:rFonts w:ascii="Arial Narrow" w:hAnsi="Arial Narrow" w:cs="Arial"/>
                <w:b/>
                <w:bCs/>
              </w:rPr>
            </w:pP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CA4D07">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299E21D9" w:rsidR="00EB0D94" w:rsidRPr="00A634FA" w:rsidRDefault="00C22830" w:rsidP="00EB0D94">
            <w:pPr>
              <w:jc w:val="center"/>
              <w:rPr>
                <w:rFonts w:ascii="Arial Narrow" w:hAnsi="Arial Narrow" w:cs="Arial"/>
                <w:sz w:val="16"/>
                <w:szCs w:val="16"/>
              </w:rPr>
            </w:pPr>
            <w:r>
              <w:rPr>
                <w:rFonts w:ascii="Arial Narrow" w:hAnsi="Arial Narrow" w:cs="Arial"/>
                <w:sz w:val="16"/>
                <w:szCs w:val="16"/>
              </w:rPr>
              <w:t>3 January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7928A208" w:rsidR="00EB0D94" w:rsidRPr="008805E5" w:rsidRDefault="00EB0D94" w:rsidP="00EB0D94">
            <w:pPr>
              <w:jc w:val="center"/>
              <w:rPr>
                <w:rFonts w:ascii="Arial Narrow" w:hAnsi="Arial Narrow"/>
                <w:color w:val="31849B"/>
                <w:sz w:val="16"/>
                <w:szCs w:val="16"/>
              </w:rPr>
            </w:pPr>
          </w:p>
        </w:tc>
      </w:tr>
      <w:tr w:rsidR="006801DA" w:rsidRPr="00BC2C5D" w14:paraId="7C66C142"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174C42F1" w:rsidR="006801DA" w:rsidRPr="00A634FA" w:rsidRDefault="006801DA" w:rsidP="00EB0D94">
            <w:pPr>
              <w:jc w:val="center"/>
              <w:rPr>
                <w:rFonts w:ascii="Arial Narrow" w:hAnsi="Arial Narrow" w:cs="Arial"/>
                <w:sz w:val="16"/>
                <w:szCs w:val="16"/>
              </w:rPr>
            </w:pPr>
            <w:r>
              <w:rPr>
                <w:rFonts w:ascii="Arial Narrow" w:hAnsi="Arial Narrow" w:cs="Arial"/>
                <w:sz w:val="16"/>
                <w:szCs w:val="16"/>
              </w:rPr>
              <w:t>10 January</w:t>
            </w:r>
          </w:p>
        </w:tc>
        <w:tc>
          <w:tcPr>
            <w:tcW w:w="1051" w:type="dxa"/>
            <w:tcBorders>
              <w:top w:val="single" w:sz="18" w:space="0" w:color="C0C0C0"/>
              <w:left w:val="single" w:sz="18" w:space="0" w:color="C0C0C0"/>
              <w:right w:val="single" w:sz="18" w:space="0" w:color="C0C0C0"/>
            </w:tcBorders>
            <w:shd w:val="clear" w:color="auto" w:fill="D9D9D9"/>
            <w:vAlign w:val="center"/>
          </w:tcPr>
          <w:p w14:paraId="7FB8E453" w14:textId="77777777"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D9D9D9"/>
            <w:vAlign w:val="center"/>
          </w:tcPr>
          <w:p w14:paraId="731C4540" w14:textId="0D356CBE"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1E99A741" w14:textId="77A15B4F"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07B23DF6" w14:textId="77777777" w:rsidR="006801DA" w:rsidRPr="00DC638E" w:rsidRDefault="006801DA"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5BFFB592" w14:textId="5C20D49A" w:rsidR="006801DA" w:rsidRPr="00DC638E" w:rsidRDefault="006801DA"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304C5BB3" w14:textId="5B98CD14" w:rsidR="006801DA" w:rsidRPr="00DC638E" w:rsidRDefault="00DC638E" w:rsidP="00EB0D94">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6801DA" w:rsidRPr="00BC2C5D" w14:paraId="5BA53CBD" w14:textId="77777777" w:rsidTr="00CA4D07">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0D10FC03" w14:textId="13F5D998" w:rsidR="006801DA" w:rsidRPr="00A634FA" w:rsidRDefault="006801DA" w:rsidP="00C344F6">
            <w:pPr>
              <w:jc w:val="center"/>
              <w:rPr>
                <w:rFonts w:ascii="Arial Narrow" w:hAnsi="Arial Narrow" w:cs="Arial"/>
                <w:sz w:val="16"/>
                <w:szCs w:val="16"/>
              </w:rPr>
            </w:pPr>
            <w:r>
              <w:rPr>
                <w:rFonts w:ascii="Arial Narrow" w:hAnsi="Arial Narrow" w:cs="Arial"/>
                <w:sz w:val="16"/>
                <w:szCs w:val="16"/>
              </w:rPr>
              <w:t>17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5FA0BC74" w14:textId="351E2703"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r2bl w:val="nil"/>
            </w:tcBorders>
            <w:shd w:val="clear" w:color="auto" w:fill="D9D9D9"/>
            <w:vAlign w:val="center"/>
          </w:tcPr>
          <w:p w14:paraId="346AA547" w14:textId="5F476F3E"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BFBFBF"/>
              <w:right w:val="single" w:sz="18" w:space="0" w:color="C0C0C0"/>
            </w:tcBorders>
            <w:shd w:val="clear" w:color="auto" w:fill="D9D9D9"/>
            <w:vAlign w:val="center"/>
          </w:tcPr>
          <w:p w14:paraId="7A536749" w14:textId="1531E82B"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C0C0C0"/>
            </w:tcBorders>
            <w:shd w:val="clear" w:color="auto" w:fill="D9D9D9"/>
            <w:vAlign w:val="center"/>
          </w:tcPr>
          <w:p w14:paraId="6CAE5B32" w14:textId="35AB4059"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D9D9D9"/>
            <w:vAlign w:val="center"/>
          </w:tcPr>
          <w:p w14:paraId="77ED7AC8" w14:textId="6F79FB51" w:rsidR="006801DA" w:rsidRPr="00DC638E"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75A7F3FD" w14:textId="77777777" w:rsidR="00DC638E" w:rsidRDefault="00DC638E" w:rsidP="00DC638E">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6C8C40F7" w14:textId="47482CFE" w:rsidR="006801DA" w:rsidRPr="00DC638E" w:rsidRDefault="00DC638E" w:rsidP="00DC638E">
            <w:pPr>
              <w:jc w:val="center"/>
              <w:rPr>
                <w:rFonts w:ascii="Arial Narrow" w:hAnsi="Arial Narrow"/>
                <w:sz w:val="16"/>
                <w:szCs w:val="16"/>
              </w:rPr>
            </w:pPr>
            <w:r w:rsidRPr="008805E5">
              <w:rPr>
                <w:rFonts w:ascii="Arial Narrow" w:hAnsi="Arial Narrow"/>
                <w:color w:val="31849B"/>
                <w:sz w:val="16"/>
                <w:szCs w:val="16"/>
              </w:rPr>
              <w:t>Doomadgee – Gulf Circuit</w:t>
            </w:r>
          </w:p>
        </w:tc>
      </w:tr>
      <w:tr w:rsidR="006801DA" w:rsidRPr="00BC2C5D" w14:paraId="3FC520FE" w14:textId="77777777" w:rsidTr="00CA4D07">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6D1805FC" w14:textId="2C78DF39" w:rsidR="006801DA" w:rsidRPr="00A634FA" w:rsidRDefault="006801DA" w:rsidP="00C344F6">
            <w:pPr>
              <w:jc w:val="center"/>
              <w:rPr>
                <w:rFonts w:ascii="Arial Narrow" w:hAnsi="Arial Narrow" w:cs="Arial"/>
                <w:sz w:val="16"/>
                <w:szCs w:val="16"/>
              </w:rPr>
            </w:pPr>
            <w:r>
              <w:rPr>
                <w:rFonts w:ascii="Arial Narrow" w:hAnsi="Arial Narrow" w:cs="Arial"/>
                <w:sz w:val="16"/>
                <w:szCs w:val="16"/>
              </w:rPr>
              <w:t>24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4DAA80E5" w14:textId="4D14B982"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r2bl w:val="nil"/>
            </w:tcBorders>
            <w:shd w:val="clear" w:color="auto" w:fill="D9D9D9"/>
            <w:vAlign w:val="center"/>
          </w:tcPr>
          <w:p w14:paraId="211F9DD8" w14:textId="18561EA9"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54F73A57" w14:textId="7288FA96" w:rsidR="006801DA" w:rsidRPr="00DC638E" w:rsidRDefault="00DC638E" w:rsidP="00C344F6">
            <w:pPr>
              <w:jc w:val="center"/>
              <w:rPr>
                <w:rFonts w:ascii="Arial Narrow" w:hAnsi="Arial Narrow" w:cs="Arial"/>
                <w:sz w:val="16"/>
                <w:szCs w:val="16"/>
              </w:rPr>
            </w:pPr>
            <w:r w:rsidRPr="00DC638E">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C0C0C0"/>
            </w:tcBorders>
            <w:shd w:val="clear" w:color="auto" w:fill="D9D9D9"/>
            <w:vAlign w:val="center"/>
          </w:tcPr>
          <w:p w14:paraId="2B85F166" w14:textId="3C2550B1"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D9D9D9"/>
            <w:vAlign w:val="center"/>
          </w:tcPr>
          <w:p w14:paraId="4C8AAF12" w14:textId="6BB98184" w:rsidR="006801DA" w:rsidRPr="00DC638E"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4A692BE1" w14:textId="5A0F6889" w:rsidR="006801DA" w:rsidRPr="00DC638E" w:rsidRDefault="00DC638E" w:rsidP="00C344F6">
            <w:pPr>
              <w:jc w:val="center"/>
              <w:rPr>
                <w:rFonts w:ascii="Arial Narrow" w:hAnsi="Arial Narrow" w:cs="Arial"/>
                <w:sz w:val="16"/>
                <w:szCs w:val="16"/>
              </w:rPr>
            </w:pPr>
            <w:r w:rsidRPr="00DC638E">
              <w:rPr>
                <w:rFonts w:ascii="Arial Narrow" w:hAnsi="Arial Narrow" w:cs="Arial"/>
                <w:color w:val="244061"/>
                <w:sz w:val="16"/>
                <w:szCs w:val="16"/>
                <w:highlight w:val="yellow"/>
              </w:rPr>
              <w:t>26 Australia Day Public Holiday</w:t>
            </w:r>
          </w:p>
        </w:tc>
      </w:tr>
      <w:tr w:rsidR="006801DA" w:rsidRPr="00BC2C5D" w14:paraId="2A3C72E2" w14:textId="77777777" w:rsidTr="00CA4D07">
        <w:trPr>
          <w:trHeight w:val="567"/>
        </w:trPr>
        <w:tc>
          <w:tcPr>
            <w:tcW w:w="1526" w:type="dxa"/>
            <w:tcBorders>
              <w:top w:val="single" w:sz="18" w:space="0" w:color="BFBFBF"/>
              <w:left w:val="single" w:sz="18" w:space="0" w:color="auto"/>
              <w:right w:val="single" w:sz="18" w:space="0" w:color="C0C0C0"/>
            </w:tcBorders>
            <w:shd w:val="clear" w:color="auto" w:fill="auto"/>
            <w:vAlign w:val="center"/>
          </w:tcPr>
          <w:p w14:paraId="2C84293E" w14:textId="29B56DE0" w:rsidR="006801DA" w:rsidRDefault="006801DA" w:rsidP="00C344F6">
            <w:pPr>
              <w:jc w:val="center"/>
              <w:rPr>
                <w:rFonts w:ascii="Arial Narrow" w:hAnsi="Arial Narrow" w:cs="Arial"/>
                <w:sz w:val="16"/>
                <w:szCs w:val="16"/>
              </w:rPr>
            </w:pPr>
            <w:r>
              <w:rPr>
                <w:rFonts w:ascii="Arial Narrow" w:hAnsi="Arial Narrow" w:cs="Arial"/>
                <w:sz w:val="16"/>
                <w:szCs w:val="16"/>
              </w:rPr>
              <w:t>31 January</w:t>
            </w:r>
          </w:p>
        </w:tc>
        <w:tc>
          <w:tcPr>
            <w:tcW w:w="1051" w:type="dxa"/>
            <w:tcBorders>
              <w:top w:val="single" w:sz="18" w:space="0" w:color="BFBFBF"/>
              <w:left w:val="single" w:sz="18" w:space="0" w:color="C0C0C0"/>
              <w:right w:val="single" w:sz="18" w:space="0" w:color="C0C0C0"/>
            </w:tcBorders>
            <w:shd w:val="clear" w:color="auto" w:fill="auto"/>
            <w:vAlign w:val="center"/>
          </w:tcPr>
          <w:p w14:paraId="652F01DE" w14:textId="77777777"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r2bl w:val="nil"/>
            </w:tcBorders>
            <w:shd w:val="clear" w:color="auto" w:fill="auto"/>
            <w:vAlign w:val="center"/>
          </w:tcPr>
          <w:p w14:paraId="57679363" w14:textId="77777777"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3B8E32D4" w14:textId="77777777" w:rsidR="006801DA" w:rsidRPr="00DC638E" w:rsidRDefault="006801DA"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5940BE24" w14:textId="77777777" w:rsidR="006801DA" w:rsidRPr="00DC638E" w:rsidRDefault="006801DA"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auto"/>
            </w:tcBorders>
            <w:shd w:val="clear" w:color="auto" w:fill="auto"/>
            <w:vAlign w:val="center"/>
          </w:tcPr>
          <w:p w14:paraId="23CB3DBA" w14:textId="77777777" w:rsidR="006801DA" w:rsidRPr="00DC638E" w:rsidRDefault="006801DA" w:rsidP="00C344F6">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auto"/>
            <w:vAlign w:val="center"/>
          </w:tcPr>
          <w:p w14:paraId="470BC975" w14:textId="7A5B81DD" w:rsidR="006801DA" w:rsidRPr="00CA4D07" w:rsidRDefault="00DC638E" w:rsidP="00C344F6">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C344F6" w:rsidRPr="00BC2C5D" w14:paraId="20327535" w14:textId="77777777" w:rsidTr="00CA4D07">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088F8A57" w14:textId="18026B44" w:rsidR="00C344F6" w:rsidRPr="00A634FA" w:rsidRDefault="00C22830" w:rsidP="00C344F6">
            <w:pPr>
              <w:jc w:val="center"/>
              <w:rPr>
                <w:rFonts w:ascii="Arial Narrow" w:hAnsi="Arial Narrow" w:cs="Arial"/>
                <w:sz w:val="16"/>
                <w:szCs w:val="16"/>
              </w:rPr>
            </w:pPr>
            <w:r>
              <w:rPr>
                <w:rFonts w:ascii="Arial Narrow" w:hAnsi="Arial Narrow" w:cs="Arial"/>
                <w:sz w:val="16"/>
                <w:szCs w:val="16"/>
              </w:rPr>
              <w:t>7 February</w:t>
            </w:r>
          </w:p>
        </w:tc>
        <w:tc>
          <w:tcPr>
            <w:tcW w:w="1051" w:type="dxa"/>
            <w:tcBorders>
              <w:top w:val="single" w:sz="18" w:space="0" w:color="auto"/>
              <w:left w:val="single" w:sz="18" w:space="0" w:color="C0C0C0"/>
              <w:right w:val="single" w:sz="18" w:space="0" w:color="C0C0C0"/>
            </w:tcBorders>
            <w:shd w:val="clear" w:color="auto" w:fill="auto"/>
            <w:vAlign w:val="center"/>
          </w:tcPr>
          <w:p w14:paraId="05BAEBD3" w14:textId="77777777" w:rsidR="00C344F6" w:rsidRPr="00DC638E"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auto"/>
            <w:vAlign w:val="center"/>
          </w:tcPr>
          <w:p w14:paraId="6EF5A450" w14:textId="3386BF16" w:rsidR="00C344F6" w:rsidRPr="00DC638E" w:rsidRDefault="00C344F6" w:rsidP="00C344F6">
            <w:pPr>
              <w:jc w:val="center"/>
              <w:rPr>
                <w:rFonts w:ascii="Arial Narrow" w:hAnsi="Arial Narrow" w:cs="Arial"/>
                <w:sz w:val="16"/>
                <w:szCs w:val="16"/>
              </w:rPr>
            </w:pPr>
          </w:p>
        </w:tc>
        <w:tc>
          <w:tcPr>
            <w:tcW w:w="1162" w:type="dxa"/>
            <w:tcBorders>
              <w:top w:val="single" w:sz="18" w:space="0" w:color="auto"/>
              <w:left w:val="single" w:sz="18" w:space="0" w:color="BFBFBF"/>
              <w:right w:val="single" w:sz="18" w:space="0" w:color="C0C0C0"/>
            </w:tcBorders>
            <w:shd w:val="clear" w:color="auto" w:fill="auto"/>
            <w:vAlign w:val="center"/>
          </w:tcPr>
          <w:p w14:paraId="60AD86C6" w14:textId="25C12B34" w:rsidR="00C344F6" w:rsidRPr="00DC638E" w:rsidRDefault="00C344F6" w:rsidP="00DC638E">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C0C0C0"/>
            </w:tcBorders>
            <w:shd w:val="clear" w:color="auto" w:fill="auto"/>
            <w:vAlign w:val="center"/>
          </w:tcPr>
          <w:p w14:paraId="7C18418D" w14:textId="0ACA201F" w:rsidR="00C344F6" w:rsidRPr="00DC638E" w:rsidRDefault="00C344F6" w:rsidP="00C344F6">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auto"/>
            </w:tcBorders>
            <w:shd w:val="clear" w:color="auto" w:fill="auto"/>
            <w:vAlign w:val="center"/>
          </w:tcPr>
          <w:p w14:paraId="4997C671" w14:textId="77777777" w:rsidR="00C344F6" w:rsidRPr="00DC638E" w:rsidRDefault="00C344F6" w:rsidP="00C344F6">
            <w:pPr>
              <w:jc w:val="center"/>
              <w:rPr>
                <w:rFonts w:ascii="Arial Narrow" w:hAnsi="Arial Narrow" w:cs="Arial"/>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1568B7F" w14:textId="7CB77B0F" w:rsidR="00C344F6" w:rsidRPr="008805E5" w:rsidRDefault="000857D8" w:rsidP="00DC638E">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DC638E" w:rsidRPr="00BC2C5D" w14:paraId="34AF6A84" w14:textId="77777777" w:rsidTr="00CA4D07">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715621E0" w:rsidR="00DC638E" w:rsidRDefault="00DC638E" w:rsidP="00C344F6">
            <w:pPr>
              <w:jc w:val="center"/>
              <w:rPr>
                <w:rFonts w:ascii="Arial Narrow" w:hAnsi="Arial Narrow" w:cs="Arial"/>
                <w:sz w:val="16"/>
                <w:szCs w:val="16"/>
              </w:rPr>
            </w:pPr>
            <w:r>
              <w:rPr>
                <w:rFonts w:ascii="Arial Narrow" w:hAnsi="Arial Narrow" w:cs="Arial"/>
                <w:sz w:val="16"/>
                <w:szCs w:val="16"/>
              </w:rPr>
              <w:t>14 February</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DC638E" w:rsidRPr="00DC638E" w:rsidRDefault="00DC638E"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auto"/>
            <w:vAlign w:val="center"/>
          </w:tcPr>
          <w:p w14:paraId="34B4531E" w14:textId="4AC99C87" w:rsidR="00DC638E" w:rsidRPr="00DC638E" w:rsidRDefault="00DC638E" w:rsidP="00DC638E">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BFBFBF"/>
              <w:right w:val="single" w:sz="18" w:space="0" w:color="C0C0C0"/>
            </w:tcBorders>
            <w:shd w:val="clear" w:color="auto" w:fill="auto"/>
            <w:vAlign w:val="center"/>
          </w:tcPr>
          <w:p w14:paraId="04E57ED8" w14:textId="3411E762" w:rsidR="00DC638E" w:rsidRPr="00DC638E" w:rsidRDefault="00DC638E"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C0C0C0"/>
            </w:tcBorders>
            <w:shd w:val="clear" w:color="auto" w:fill="auto"/>
            <w:vAlign w:val="center"/>
          </w:tcPr>
          <w:p w14:paraId="733FC8E2" w14:textId="7CD1876F" w:rsidR="00DC638E" w:rsidRPr="00DC638E" w:rsidRDefault="00DC638E" w:rsidP="00C344F6">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DC638E" w:rsidRPr="00DC638E" w:rsidRDefault="00DC638E" w:rsidP="00C344F6">
            <w:pPr>
              <w:jc w:val="center"/>
              <w:rPr>
                <w:rFonts w:ascii="Arial Narrow" w:hAnsi="Arial Narrow" w:cs="Arial"/>
                <w:sz w:val="16"/>
                <w:szCs w:val="16"/>
              </w:rPr>
            </w:pPr>
          </w:p>
        </w:tc>
        <w:tc>
          <w:tcPr>
            <w:tcW w:w="3633" w:type="dxa"/>
            <w:gridSpan w:val="2"/>
            <w:tcBorders>
              <w:top w:val="single" w:sz="18" w:space="0" w:color="BFBFBF" w:themeColor="background1" w:themeShade="BF"/>
              <w:left w:val="single" w:sz="18" w:space="0" w:color="auto"/>
              <w:right w:val="single" w:sz="18" w:space="0" w:color="auto"/>
            </w:tcBorders>
            <w:shd w:val="clear" w:color="auto" w:fill="auto"/>
            <w:vAlign w:val="center"/>
          </w:tcPr>
          <w:p w14:paraId="37A79FEF" w14:textId="3C7FF947" w:rsidR="00DC638E" w:rsidRPr="008805E5" w:rsidRDefault="00DC638E" w:rsidP="00C344F6">
            <w:pPr>
              <w:jc w:val="center"/>
              <w:rPr>
                <w:rFonts w:ascii="Arial Narrow" w:hAnsi="Arial Narrow"/>
                <w:color w:val="31849B"/>
                <w:sz w:val="16"/>
                <w:szCs w:val="16"/>
              </w:rPr>
            </w:pPr>
          </w:p>
        </w:tc>
      </w:tr>
      <w:tr w:rsidR="00F512E5" w:rsidRPr="00BC2C5D" w14:paraId="2980BC10"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4AC745A6" w14:textId="22DC1D20" w:rsidR="00F512E5" w:rsidRPr="00A634FA" w:rsidRDefault="00F512E5" w:rsidP="00C344F6">
            <w:pPr>
              <w:jc w:val="center"/>
              <w:rPr>
                <w:rFonts w:ascii="Arial Narrow" w:hAnsi="Arial Narrow" w:cs="Arial"/>
                <w:sz w:val="16"/>
                <w:szCs w:val="16"/>
              </w:rPr>
            </w:pPr>
            <w:r>
              <w:rPr>
                <w:rFonts w:ascii="Arial Narrow" w:hAnsi="Arial Narrow" w:cs="Arial"/>
                <w:sz w:val="16"/>
                <w:szCs w:val="16"/>
              </w:rPr>
              <w:t>21 February</w:t>
            </w:r>
          </w:p>
        </w:tc>
        <w:tc>
          <w:tcPr>
            <w:tcW w:w="1051" w:type="dxa"/>
            <w:tcBorders>
              <w:top w:val="single" w:sz="18" w:space="0" w:color="C0C0C0"/>
              <w:left w:val="single" w:sz="18" w:space="0" w:color="C0C0C0"/>
              <w:right w:val="single" w:sz="18" w:space="0" w:color="C0C0C0"/>
            </w:tcBorders>
            <w:shd w:val="clear" w:color="auto" w:fill="auto"/>
            <w:vAlign w:val="center"/>
          </w:tcPr>
          <w:p w14:paraId="59C7D183" w14:textId="77777777"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uto"/>
            <w:vAlign w:val="center"/>
          </w:tcPr>
          <w:p w14:paraId="61BD711E" w14:textId="071E845B"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uto"/>
            <w:vAlign w:val="center"/>
          </w:tcPr>
          <w:p w14:paraId="3BA986A2" w14:textId="7A95BA66"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719EBC8E" w14:textId="6D3CC240"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71B48D44" w14:textId="77777777" w:rsidR="00F512E5" w:rsidRPr="00DC638E" w:rsidRDefault="00F512E5" w:rsidP="00C344F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69C694F" w14:textId="777B52D3" w:rsidR="00F512E5" w:rsidRPr="000857D8" w:rsidRDefault="00CA4D07"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F512E5" w:rsidRPr="00BC2C5D" w14:paraId="3066009B"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4ABB8CC6" w14:textId="76C5F1DA" w:rsidR="00F512E5" w:rsidRPr="00A634FA" w:rsidRDefault="00F512E5" w:rsidP="00C344F6">
            <w:pPr>
              <w:jc w:val="center"/>
              <w:rPr>
                <w:rFonts w:ascii="Arial Narrow" w:hAnsi="Arial Narrow" w:cs="Arial"/>
                <w:sz w:val="16"/>
                <w:szCs w:val="16"/>
              </w:rPr>
            </w:pPr>
            <w:r>
              <w:rPr>
                <w:rFonts w:ascii="Arial Narrow" w:hAnsi="Arial Narrow" w:cs="Arial"/>
                <w:sz w:val="16"/>
                <w:szCs w:val="16"/>
              </w:rPr>
              <w:t>28 February</w:t>
            </w:r>
          </w:p>
        </w:tc>
        <w:tc>
          <w:tcPr>
            <w:tcW w:w="1051" w:type="dxa"/>
            <w:tcBorders>
              <w:top w:val="single" w:sz="18" w:space="0" w:color="C0C0C0"/>
              <w:left w:val="single" w:sz="18" w:space="0" w:color="C0C0C0"/>
              <w:right w:val="single" w:sz="18" w:space="0" w:color="C0C0C0"/>
            </w:tcBorders>
            <w:shd w:val="clear" w:color="auto" w:fill="auto"/>
            <w:vAlign w:val="center"/>
          </w:tcPr>
          <w:p w14:paraId="18147567" w14:textId="77777777" w:rsidR="00F512E5" w:rsidRPr="00F10DE3" w:rsidRDefault="00F512E5" w:rsidP="00C344F6">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cBorders>
            <w:shd w:val="clear" w:color="auto" w:fill="FFFF00"/>
            <w:vAlign w:val="center"/>
          </w:tcPr>
          <w:p w14:paraId="63E8B25A" w14:textId="029967EF" w:rsidR="00F512E5" w:rsidRPr="0012603B" w:rsidRDefault="0012603B" w:rsidP="00C344F6">
            <w:pPr>
              <w:jc w:val="center"/>
              <w:rPr>
                <w:rFonts w:ascii="Arial Narrow" w:hAnsi="Arial Narrow" w:cs="Arial"/>
                <w:b/>
                <w:bCs/>
                <w:sz w:val="16"/>
                <w:szCs w:val="16"/>
              </w:rPr>
            </w:pPr>
            <w:r w:rsidRPr="0012603B">
              <w:rPr>
                <w:rFonts w:ascii="Arial Narrow" w:hAnsi="Arial Narrow" w:cs="Arial"/>
                <w:b/>
                <w:bCs/>
                <w:sz w:val="16"/>
                <w:szCs w:val="16"/>
              </w:rPr>
              <w:t>1</w:t>
            </w:r>
          </w:p>
        </w:tc>
        <w:tc>
          <w:tcPr>
            <w:tcW w:w="1162" w:type="dxa"/>
            <w:tcBorders>
              <w:top w:val="single" w:sz="18" w:space="0" w:color="BFBFBF"/>
              <w:left w:val="single" w:sz="18" w:space="0" w:color="BFBFBF"/>
              <w:right w:val="single" w:sz="18" w:space="0" w:color="C0C0C0"/>
            </w:tcBorders>
            <w:shd w:val="clear" w:color="auto" w:fill="auto"/>
            <w:vAlign w:val="center"/>
          </w:tcPr>
          <w:p w14:paraId="710F20E7" w14:textId="2070BE7C"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6C6E2192" w14:textId="131B63C8"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580ACE5B" w14:textId="4AD6E88C" w:rsidR="00F512E5" w:rsidRPr="00F10DE3" w:rsidRDefault="00F512E5" w:rsidP="00C344F6">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319B5DB0" w14:textId="75BFC91A" w:rsidR="00F512E5" w:rsidRPr="000857D8" w:rsidRDefault="000857D8" w:rsidP="00C344F6">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12603B" w:rsidRPr="00BC2C5D" w14:paraId="4F42726F" w14:textId="77777777" w:rsidTr="00ED4568">
        <w:trPr>
          <w:trHeight w:val="285"/>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547AAE0E" w14:textId="4BBC6B6C" w:rsidR="0012603B" w:rsidRPr="00A634FA" w:rsidRDefault="0012603B" w:rsidP="00C344F6">
            <w:pPr>
              <w:jc w:val="center"/>
              <w:rPr>
                <w:rFonts w:ascii="Arial Narrow" w:hAnsi="Arial Narrow" w:cs="Arial"/>
                <w:sz w:val="16"/>
                <w:szCs w:val="16"/>
              </w:rPr>
            </w:pPr>
            <w:r>
              <w:rPr>
                <w:rFonts w:ascii="Arial Narrow" w:hAnsi="Arial Narrow" w:cs="Arial"/>
                <w:sz w:val="16"/>
                <w:szCs w:val="16"/>
              </w:rPr>
              <w:t>7 March</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01743E49" w14:textId="77777777" w:rsidR="0012603B" w:rsidRPr="00F10DE3" w:rsidRDefault="0012603B" w:rsidP="00C344F6">
            <w:pPr>
              <w:jc w:val="center"/>
              <w:rPr>
                <w:rFonts w:ascii="Arial Narrow" w:hAnsi="Arial Narrow" w:cs="Arial"/>
                <w:sz w:val="16"/>
                <w:szCs w:val="16"/>
              </w:rPr>
            </w:pPr>
          </w:p>
        </w:tc>
        <w:tc>
          <w:tcPr>
            <w:tcW w:w="1162" w:type="dxa"/>
            <w:vMerge w:val="restart"/>
            <w:tcBorders>
              <w:top w:val="single" w:sz="18" w:space="0" w:color="auto"/>
              <w:left w:val="single" w:sz="18" w:space="0" w:color="C0C0C0"/>
              <w:right w:val="single" w:sz="18" w:space="0" w:color="BFBFBF"/>
            </w:tcBorders>
            <w:shd w:val="clear" w:color="auto" w:fill="A972A9"/>
            <w:vAlign w:val="center"/>
          </w:tcPr>
          <w:p w14:paraId="638618E9" w14:textId="665397D3" w:rsidR="0012603B" w:rsidRPr="00ED4568" w:rsidRDefault="00ED4568" w:rsidP="00C344F6">
            <w:pPr>
              <w:jc w:val="center"/>
              <w:rPr>
                <w:rFonts w:ascii="Arial Narrow" w:hAnsi="Arial Narrow" w:cs="Arial"/>
                <w:b/>
                <w:bCs/>
                <w:sz w:val="16"/>
                <w:szCs w:val="16"/>
              </w:rPr>
            </w:pPr>
            <w:r w:rsidRPr="00ED4568">
              <w:rPr>
                <w:rFonts w:ascii="Arial Narrow" w:hAnsi="Arial Narrow" w:cs="Arial"/>
                <w:b/>
                <w:bCs/>
                <w:sz w:val="16"/>
                <w:szCs w:val="16"/>
              </w:rPr>
              <w:t>8</w:t>
            </w:r>
          </w:p>
        </w:tc>
        <w:tc>
          <w:tcPr>
            <w:tcW w:w="1162" w:type="dxa"/>
            <w:tcBorders>
              <w:top w:val="single" w:sz="18" w:space="0" w:color="auto"/>
              <w:left w:val="single" w:sz="18" w:space="0" w:color="BFBFBF"/>
              <w:bottom w:val="nil"/>
              <w:right w:val="single" w:sz="18" w:space="0" w:color="C0C0C0"/>
            </w:tcBorders>
            <w:shd w:val="clear" w:color="auto" w:fill="A972A9"/>
            <w:vAlign w:val="center"/>
          </w:tcPr>
          <w:p w14:paraId="2A768ACC" w14:textId="1757393B" w:rsidR="0012603B" w:rsidRPr="00ED4568" w:rsidRDefault="00ED4568" w:rsidP="00C344F6">
            <w:pPr>
              <w:jc w:val="center"/>
              <w:rPr>
                <w:rFonts w:ascii="Arial Narrow" w:hAnsi="Arial Narrow" w:cs="Arial"/>
                <w:b/>
                <w:bCs/>
                <w:sz w:val="16"/>
                <w:szCs w:val="16"/>
              </w:rPr>
            </w:pPr>
            <w:r w:rsidRPr="00ED4568">
              <w:rPr>
                <w:rFonts w:ascii="Arial Narrow" w:hAnsi="Arial Narrow" w:cs="Arial"/>
                <w:b/>
                <w:bCs/>
                <w:sz w:val="16"/>
                <w:szCs w:val="16"/>
              </w:rPr>
              <w:t>9</w:t>
            </w:r>
          </w:p>
        </w:tc>
        <w:tc>
          <w:tcPr>
            <w:tcW w:w="1162" w:type="dxa"/>
            <w:vMerge w:val="restart"/>
            <w:tcBorders>
              <w:top w:val="single" w:sz="18" w:space="0" w:color="auto"/>
              <w:left w:val="single" w:sz="18" w:space="0" w:color="C0C0C0"/>
              <w:right w:val="single" w:sz="18" w:space="0" w:color="C0C0C0"/>
            </w:tcBorders>
            <w:shd w:val="clear" w:color="auto" w:fill="auto"/>
            <w:vAlign w:val="center"/>
          </w:tcPr>
          <w:p w14:paraId="20B7857C" w14:textId="6804FABE" w:rsidR="0012603B" w:rsidRPr="00DC638E" w:rsidRDefault="0012603B" w:rsidP="00C344F6">
            <w:pPr>
              <w:jc w:val="center"/>
              <w:rPr>
                <w:rFonts w:ascii="Arial Narrow" w:hAnsi="Arial Narrow" w:cs="Arial"/>
                <w:color w:val="000000"/>
                <w:sz w:val="16"/>
                <w:szCs w:val="16"/>
              </w:rPr>
            </w:pP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3B88A390" w14:textId="77777777" w:rsidR="0012603B" w:rsidRPr="00F10DE3" w:rsidRDefault="0012603B" w:rsidP="00C344F6">
            <w:pPr>
              <w:jc w:val="center"/>
              <w:rPr>
                <w:rFonts w:ascii="Arial Narrow" w:hAnsi="Arial Narrow" w:cs="Arial"/>
                <w:color w:val="000000"/>
                <w:sz w:val="16"/>
                <w:szCs w:val="16"/>
              </w:rPr>
            </w:pPr>
          </w:p>
        </w:tc>
        <w:tc>
          <w:tcPr>
            <w:tcW w:w="3633" w:type="dxa"/>
            <w:gridSpan w:val="2"/>
            <w:vMerge w:val="restart"/>
            <w:tcBorders>
              <w:top w:val="single" w:sz="18" w:space="0" w:color="auto"/>
              <w:left w:val="single" w:sz="18" w:space="0" w:color="auto"/>
              <w:right w:val="single" w:sz="18" w:space="0" w:color="auto"/>
            </w:tcBorders>
            <w:shd w:val="clear" w:color="auto" w:fill="auto"/>
            <w:vAlign w:val="center"/>
          </w:tcPr>
          <w:p w14:paraId="03F7AA07" w14:textId="122200CB" w:rsidR="0012603B" w:rsidRPr="00CA4D07" w:rsidRDefault="00CA4D07" w:rsidP="00CA4D07">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12603B" w:rsidRPr="00BC2C5D" w14:paraId="078DA2AE" w14:textId="77777777" w:rsidTr="00ED4568">
        <w:trPr>
          <w:trHeight w:val="285"/>
        </w:trPr>
        <w:tc>
          <w:tcPr>
            <w:tcW w:w="1526" w:type="dxa"/>
            <w:vMerge/>
            <w:tcBorders>
              <w:left w:val="single" w:sz="18" w:space="0" w:color="auto"/>
              <w:bottom w:val="single" w:sz="18" w:space="0" w:color="C0C0C0"/>
              <w:right w:val="single" w:sz="18" w:space="0" w:color="C0C0C0"/>
            </w:tcBorders>
            <w:shd w:val="clear" w:color="auto" w:fill="auto"/>
            <w:vAlign w:val="center"/>
          </w:tcPr>
          <w:p w14:paraId="3C084ACB" w14:textId="77777777" w:rsidR="0012603B" w:rsidRDefault="0012603B" w:rsidP="00C344F6">
            <w:pPr>
              <w:jc w:val="center"/>
              <w:rPr>
                <w:rFonts w:ascii="Arial Narrow" w:hAnsi="Arial Narrow" w:cs="Arial"/>
                <w:sz w:val="16"/>
                <w:szCs w:val="16"/>
              </w:rPr>
            </w:pPr>
          </w:p>
        </w:tc>
        <w:tc>
          <w:tcPr>
            <w:tcW w:w="1051" w:type="dxa"/>
            <w:vMerge/>
            <w:tcBorders>
              <w:left w:val="single" w:sz="18" w:space="0" w:color="C0C0C0"/>
              <w:bottom w:val="single" w:sz="18" w:space="0" w:color="C0C0C0"/>
              <w:right w:val="single" w:sz="18" w:space="0" w:color="C0C0C0"/>
            </w:tcBorders>
            <w:shd w:val="clear" w:color="auto" w:fill="auto"/>
            <w:vAlign w:val="center"/>
          </w:tcPr>
          <w:p w14:paraId="252A1681" w14:textId="77777777" w:rsidR="0012603B" w:rsidRPr="00F10DE3" w:rsidRDefault="0012603B" w:rsidP="00C344F6">
            <w:pPr>
              <w:jc w:val="center"/>
              <w:rPr>
                <w:rFonts w:ascii="Arial Narrow" w:hAnsi="Arial Narrow" w:cs="Arial"/>
                <w:sz w:val="16"/>
                <w:szCs w:val="16"/>
              </w:rPr>
            </w:pPr>
          </w:p>
        </w:tc>
        <w:tc>
          <w:tcPr>
            <w:tcW w:w="1162" w:type="dxa"/>
            <w:vMerge/>
            <w:tcBorders>
              <w:left w:val="single" w:sz="18" w:space="0" w:color="C0C0C0"/>
              <w:bottom w:val="single" w:sz="18" w:space="0" w:color="C0C0C0"/>
              <w:right w:val="single" w:sz="18" w:space="0" w:color="BFBFBF"/>
            </w:tcBorders>
            <w:shd w:val="clear" w:color="auto" w:fill="A972A9"/>
            <w:vAlign w:val="center"/>
          </w:tcPr>
          <w:p w14:paraId="5AAE14A6" w14:textId="77777777" w:rsidR="0012603B" w:rsidRPr="00ED4568" w:rsidRDefault="0012603B" w:rsidP="00C344F6">
            <w:pPr>
              <w:jc w:val="center"/>
              <w:rPr>
                <w:rFonts w:ascii="Arial Narrow" w:hAnsi="Arial Narrow" w:cs="Arial"/>
                <w:b/>
                <w:bCs/>
                <w:sz w:val="16"/>
                <w:szCs w:val="16"/>
              </w:rPr>
            </w:pPr>
          </w:p>
        </w:tc>
        <w:tc>
          <w:tcPr>
            <w:tcW w:w="1162" w:type="dxa"/>
            <w:tcBorders>
              <w:top w:val="nil"/>
              <w:left w:val="single" w:sz="18" w:space="0" w:color="BFBFBF"/>
              <w:bottom w:val="single" w:sz="18" w:space="0" w:color="C0C0C0"/>
              <w:right w:val="single" w:sz="18" w:space="0" w:color="C0C0C0"/>
            </w:tcBorders>
            <w:shd w:val="clear" w:color="auto" w:fill="769250"/>
            <w:vAlign w:val="center"/>
          </w:tcPr>
          <w:p w14:paraId="635B1093" w14:textId="083B4768" w:rsidR="0012603B" w:rsidRPr="00ED4568" w:rsidRDefault="00ED4568" w:rsidP="00C344F6">
            <w:pPr>
              <w:jc w:val="center"/>
              <w:rPr>
                <w:rFonts w:ascii="Arial Narrow" w:hAnsi="Arial Narrow" w:cs="Arial"/>
                <w:b/>
                <w:bCs/>
                <w:sz w:val="16"/>
                <w:szCs w:val="16"/>
              </w:rPr>
            </w:pPr>
            <w:r w:rsidRPr="00ED4568">
              <w:rPr>
                <w:rFonts w:ascii="Arial Narrow" w:hAnsi="Arial Narrow" w:cs="Arial"/>
                <w:b/>
                <w:bCs/>
                <w:sz w:val="16"/>
                <w:szCs w:val="16"/>
              </w:rPr>
              <w:t>9</w:t>
            </w:r>
          </w:p>
        </w:tc>
        <w:tc>
          <w:tcPr>
            <w:tcW w:w="1162" w:type="dxa"/>
            <w:vMerge/>
            <w:tcBorders>
              <w:left w:val="single" w:sz="18" w:space="0" w:color="C0C0C0"/>
              <w:bottom w:val="single" w:sz="18" w:space="0" w:color="C0C0C0"/>
              <w:right w:val="single" w:sz="18" w:space="0" w:color="C0C0C0"/>
            </w:tcBorders>
            <w:shd w:val="clear" w:color="auto" w:fill="auto"/>
            <w:vAlign w:val="center"/>
          </w:tcPr>
          <w:p w14:paraId="3797C34D" w14:textId="77777777" w:rsidR="0012603B" w:rsidRPr="00DC638E" w:rsidRDefault="0012603B" w:rsidP="00C344F6">
            <w:pPr>
              <w:jc w:val="center"/>
              <w:rPr>
                <w:rFonts w:ascii="Arial Narrow" w:hAnsi="Arial Narrow" w:cs="Arial"/>
                <w:color w:val="000000"/>
                <w:sz w:val="16"/>
                <w:szCs w:val="16"/>
              </w:rPr>
            </w:pPr>
          </w:p>
        </w:tc>
        <w:tc>
          <w:tcPr>
            <w:tcW w:w="1162" w:type="dxa"/>
            <w:vMerge/>
            <w:tcBorders>
              <w:left w:val="single" w:sz="18" w:space="0" w:color="C0C0C0"/>
              <w:bottom w:val="single" w:sz="18" w:space="0" w:color="C0C0C0"/>
              <w:right w:val="single" w:sz="18" w:space="0" w:color="auto"/>
            </w:tcBorders>
            <w:shd w:val="clear" w:color="auto" w:fill="auto"/>
            <w:vAlign w:val="center"/>
          </w:tcPr>
          <w:p w14:paraId="542C2A07" w14:textId="77777777" w:rsidR="0012603B" w:rsidRPr="00F10DE3" w:rsidRDefault="0012603B" w:rsidP="00C344F6">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C0C0C0"/>
              <w:right w:val="single" w:sz="18" w:space="0" w:color="auto"/>
            </w:tcBorders>
            <w:shd w:val="clear" w:color="auto" w:fill="auto"/>
            <w:vAlign w:val="center"/>
          </w:tcPr>
          <w:p w14:paraId="3D552C34" w14:textId="77777777" w:rsidR="0012603B" w:rsidRPr="008805E5" w:rsidRDefault="0012603B" w:rsidP="00C344F6">
            <w:pPr>
              <w:jc w:val="center"/>
              <w:rPr>
                <w:rFonts w:ascii="Arial Narrow" w:hAnsi="Arial Narrow" w:cs="Arial"/>
                <w:sz w:val="16"/>
                <w:szCs w:val="16"/>
              </w:rPr>
            </w:pPr>
          </w:p>
        </w:tc>
      </w:tr>
      <w:tr w:rsidR="00F512E5" w:rsidRPr="00BC2C5D" w14:paraId="1709D6A1"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51BF0A00" w14:textId="2F516386" w:rsidR="00F512E5" w:rsidRPr="00390B39" w:rsidRDefault="00F512E5" w:rsidP="00C344F6">
            <w:pPr>
              <w:jc w:val="center"/>
              <w:rPr>
                <w:rFonts w:ascii="Arial Narrow" w:hAnsi="Arial Narrow" w:cs="Arial"/>
                <w:sz w:val="16"/>
                <w:szCs w:val="16"/>
              </w:rPr>
            </w:pPr>
            <w:r>
              <w:rPr>
                <w:rFonts w:ascii="Arial Narrow" w:hAnsi="Arial Narrow" w:cs="Arial"/>
                <w:sz w:val="16"/>
                <w:szCs w:val="16"/>
              </w:rPr>
              <w:t>14 March</w:t>
            </w:r>
          </w:p>
        </w:tc>
        <w:tc>
          <w:tcPr>
            <w:tcW w:w="1051" w:type="dxa"/>
            <w:tcBorders>
              <w:top w:val="single" w:sz="18" w:space="0" w:color="C0C0C0"/>
              <w:left w:val="single" w:sz="18" w:space="0" w:color="C0C0C0"/>
              <w:right w:val="single" w:sz="18" w:space="0" w:color="C0C0C0"/>
            </w:tcBorders>
            <w:shd w:val="clear" w:color="auto" w:fill="auto"/>
            <w:vAlign w:val="center"/>
          </w:tcPr>
          <w:p w14:paraId="28EF7F10" w14:textId="77777777" w:rsidR="00F512E5" w:rsidRPr="00F10DE3" w:rsidRDefault="00F512E5"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06EA5338" w14:textId="59E11CE1" w:rsidR="00F512E5"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15</w:t>
            </w:r>
          </w:p>
        </w:tc>
        <w:tc>
          <w:tcPr>
            <w:tcW w:w="1162" w:type="dxa"/>
            <w:tcBorders>
              <w:top w:val="single" w:sz="18" w:space="0" w:color="C0C0C0"/>
              <w:left w:val="single" w:sz="18" w:space="0" w:color="BFBFBF"/>
              <w:right w:val="single" w:sz="18" w:space="0" w:color="C0C0C0"/>
            </w:tcBorders>
            <w:shd w:val="clear" w:color="auto" w:fill="FF0000"/>
            <w:vAlign w:val="center"/>
          </w:tcPr>
          <w:p w14:paraId="66874CFB" w14:textId="0FDE5BD3" w:rsidR="00F512E5"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16</w:t>
            </w:r>
          </w:p>
        </w:tc>
        <w:tc>
          <w:tcPr>
            <w:tcW w:w="1162" w:type="dxa"/>
            <w:tcBorders>
              <w:top w:val="single" w:sz="18" w:space="0" w:color="C0C0C0"/>
              <w:left w:val="single" w:sz="18" w:space="0" w:color="C0C0C0"/>
              <w:right w:val="single" w:sz="18" w:space="0" w:color="C0C0C0"/>
            </w:tcBorders>
            <w:shd w:val="clear" w:color="auto" w:fill="FF0000"/>
            <w:vAlign w:val="center"/>
          </w:tcPr>
          <w:p w14:paraId="6FA11784" w14:textId="11B1A573" w:rsidR="00F512E5"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17</w:t>
            </w:r>
          </w:p>
        </w:tc>
        <w:tc>
          <w:tcPr>
            <w:tcW w:w="1162" w:type="dxa"/>
            <w:tcBorders>
              <w:top w:val="single" w:sz="18" w:space="0" w:color="C0C0C0"/>
              <w:left w:val="single" w:sz="18" w:space="0" w:color="C0C0C0"/>
              <w:right w:val="single" w:sz="18" w:space="0" w:color="auto"/>
            </w:tcBorders>
            <w:shd w:val="clear" w:color="auto" w:fill="auto"/>
            <w:vAlign w:val="center"/>
          </w:tcPr>
          <w:p w14:paraId="12101718" w14:textId="77777777" w:rsidR="00F512E5" w:rsidRPr="00F10DE3" w:rsidRDefault="00F512E5" w:rsidP="00C344F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0E52BC2E" w14:textId="6183A371" w:rsidR="00F512E5" w:rsidRPr="008805E5" w:rsidRDefault="00F512E5" w:rsidP="00C344F6">
            <w:pPr>
              <w:jc w:val="center"/>
              <w:rPr>
                <w:rFonts w:ascii="Arial Narrow" w:hAnsi="Arial Narrow"/>
                <w:color w:val="31849B"/>
                <w:sz w:val="16"/>
                <w:szCs w:val="16"/>
              </w:rPr>
            </w:pPr>
          </w:p>
        </w:tc>
      </w:tr>
      <w:tr w:rsidR="00ED4568" w:rsidRPr="00BC2C5D" w14:paraId="73DF2101" w14:textId="77777777" w:rsidTr="00CA4D07">
        <w:trPr>
          <w:trHeight w:val="284"/>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600C85E9" w:rsidR="00ED4568" w:rsidRPr="00390B39" w:rsidRDefault="00ED4568" w:rsidP="00C344F6">
            <w:pPr>
              <w:jc w:val="center"/>
              <w:rPr>
                <w:rFonts w:ascii="Arial Narrow" w:hAnsi="Arial Narrow" w:cs="Arial"/>
                <w:sz w:val="16"/>
                <w:szCs w:val="16"/>
              </w:rPr>
            </w:pPr>
            <w:r>
              <w:rPr>
                <w:rFonts w:ascii="Arial Narrow" w:hAnsi="Arial Narrow" w:cs="Arial"/>
                <w:sz w:val="16"/>
                <w:szCs w:val="16"/>
              </w:rPr>
              <w:t>21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77777777" w:rsidR="00ED4568" w:rsidRPr="00F10DE3" w:rsidRDefault="00ED4568" w:rsidP="00C344F6">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023F7BD7" w14:textId="052E8315"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22</w:t>
            </w:r>
          </w:p>
        </w:tc>
        <w:tc>
          <w:tcPr>
            <w:tcW w:w="1162"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587EA42C" w14:textId="6FEB45FA"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23</w:t>
            </w:r>
          </w:p>
        </w:tc>
        <w:tc>
          <w:tcPr>
            <w:tcW w:w="1162" w:type="dxa"/>
            <w:vMerge w:val="restart"/>
            <w:tcBorders>
              <w:top w:val="single" w:sz="18" w:space="0" w:color="C0C0C0"/>
              <w:left w:val="single" w:sz="18" w:space="0" w:color="C0C0C0"/>
              <w:right w:val="single" w:sz="18" w:space="0" w:color="C0C0C0"/>
            </w:tcBorders>
            <w:shd w:val="clear" w:color="auto" w:fill="769250"/>
            <w:vAlign w:val="center"/>
          </w:tcPr>
          <w:p w14:paraId="0D6D0741" w14:textId="6AB2B987"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24</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ED4568" w:rsidRPr="00F10DE3" w:rsidRDefault="00ED4568"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51256E66" w:rsidR="00ED4568" w:rsidRPr="000857D8" w:rsidRDefault="00CA4D07" w:rsidP="00C344F6">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ED4568" w:rsidRPr="00BC2C5D" w14:paraId="60BE58F8" w14:textId="77777777" w:rsidTr="00CA4D07">
        <w:trPr>
          <w:trHeight w:val="284"/>
        </w:trPr>
        <w:tc>
          <w:tcPr>
            <w:tcW w:w="1526" w:type="dxa"/>
            <w:vMerge/>
            <w:tcBorders>
              <w:left w:val="single" w:sz="18" w:space="0" w:color="auto"/>
              <w:right w:val="single" w:sz="18" w:space="0" w:color="C0C0C0"/>
            </w:tcBorders>
            <w:shd w:val="clear" w:color="auto" w:fill="auto"/>
            <w:vAlign w:val="center"/>
          </w:tcPr>
          <w:p w14:paraId="17F7CD33" w14:textId="77777777" w:rsidR="00ED4568" w:rsidRDefault="00ED4568"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1887DC65" w14:textId="77777777" w:rsidR="00ED4568" w:rsidRPr="00F10DE3" w:rsidRDefault="00ED4568" w:rsidP="00C344F6">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right w:val="single" w:sz="18" w:space="0" w:color="BFBFBF"/>
            </w:tcBorders>
            <w:shd w:val="clear" w:color="auto" w:fill="FFFF00"/>
            <w:vAlign w:val="center"/>
          </w:tcPr>
          <w:p w14:paraId="2D76975E" w14:textId="77777777" w:rsid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22</w:t>
            </w:r>
          </w:p>
          <w:p w14:paraId="2F1ED161" w14:textId="5873C459" w:rsidR="00CC23DC" w:rsidRPr="00ED4568" w:rsidRDefault="00CC23DC" w:rsidP="00C344F6">
            <w:pPr>
              <w:jc w:val="center"/>
              <w:rPr>
                <w:rFonts w:ascii="Arial Narrow" w:hAnsi="Arial Narrow" w:cs="Arial"/>
                <w:b/>
                <w:bCs/>
                <w:color w:val="000000"/>
                <w:sz w:val="16"/>
                <w:szCs w:val="16"/>
              </w:rPr>
            </w:pPr>
            <w:r>
              <w:rPr>
                <w:rFonts w:ascii="Arial Narrow" w:hAnsi="Arial Narrow" w:cs="Arial"/>
                <w:b/>
                <w:bCs/>
                <w:color w:val="000000"/>
                <w:sz w:val="16"/>
                <w:szCs w:val="16"/>
              </w:rPr>
              <w:t>½ day</w:t>
            </w:r>
          </w:p>
        </w:tc>
        <w:tc>
          <w:tcPr>
            <w:tcW w:w="1162" w:type="dxa"/>
            <w:tcBorders>
              <w:top w:val="nil"/>
              <w:left w:val="single" w:sz="18" w:space="0" w:color="BFBFBF"/>
              <w:bottom w:val="single" w:sz="18" w:space="0" w:color="BFBFBF" w:themeColor="background1" w:themeShade="BF"/>
              <w:right w:val="single" w:sz="18" w:space="0" w:color="C0C0C0"/>
            </w:tcBorders>
            <w:shd w:val="clear" w:color="auto" w:fill="769250"/>
            <w:vAlign w:val="center"/>
          </w:tcPr>
          <w:p w14:paraId="53EED1F1" w14:textId="77777777" w:rsidR="00255ECE"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23</w:t>
            </w:r>
          </w:p>
          <w:p w14:paraId="4C53430A" w14:textId="0A04E304" w:rsidR="00ED4568" w:rsidRPr="00ED4568" w:rsidRDefault="00255ECE" w:rsidP="00C344F6">
            <w:pPr>
              <w:jc w:val="center"/>
              <w:rPr>
                <w:rFonts w:ascii="Arial Narrow" w:hAnsi="Arial Narrow" w:cs="Arial"/>
                <w:b/>
                <w:bCs/>
                <w:color w:val="000000"/>
                <w:sz w:val="16"/>
                <w:szCs w:val="16"/>
              </w:rPr>
            </w:pPr>
            <w:r>
              <w:rPr>
                <w:rFonts w:ascii="Arial Narrow" w:hAnsi="Arial Narrow" w:cs="Arial"/>
                <w:b/>
                <w:bCs/>
                <w:color w:val="000000"/>
                <w:sz w:val="16"/>
                <w:szCs w:val="16"/>
              </w:rPr>
              <w:t>½ day</w:t>
            </w:r>
          </w:p>
        </w:tc>
        <w:tc>
          <w:tcPr>
            <w:tcW w:w="1162" w:type="dxa"/>
            <w:vMerge/>
            <w:tcBorders>
              <w:left w:val="single" w:sz="18" w:space="0" w:color="C0C0C0"/>
              <w:right w:val="single" w:sz="18" w:space="0" w:color="C0C0C0"/>
            </w:tcBorders>
            <w:shd w:val="clear" w:color="auto" w:fill="769250"/>
            <w:vAlign w:val="center"/>
          </w:tcPr>
          <w:p w14:paraId="313FB771" w14:textId="77777777" w:rsidR="00ED4568" w:rsidRPr="00DC638E" w:rsidRDefault="00ED4568"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746D3799" w14:textId="77777777" w:rsidR="00ED4568" w:rsidRPr="00F10DE3" w:rsidRDefault="00ED4568"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1CFAE8B6" w14:textId="77777777" w:rsidR="00ED4568" w:rsidRPr="009E4A93" w:rsidRDefault="00ED4568" w:rsidP="00C344F6">
            <w:pPr>
              <w:jc w:val="center"/>
              <w:rPr>
                <w:rFonts w:ascii="Arial Narrow" w:hAnsi="Arial Narrow"/>
                <w:sz w:val="16"/>
                <w:szCs w:val="16"/>
              </w:rPr>
            </w:pPr>
          </w:p>
        </w:tc>
      </w:tr>
      <w:tr w:rsidR="00ED4568" w:rsidRPr="00BC2C5D" w14:paraId="307A9FC1" w14:textId="77777777" w:rsidTr="000857D8">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57FD1798" w:rsidR="00ED4568" w:rsidRPr="00390B39" w:rsidRDefault="00ED4568" w:rsidP="00C344F6">
            <w:pPr>
              <w:jc w:val="center"/>
              <w:rPr>
                <w:rFonts w:ascii="Arial Narrow" w:hAnsi="Arial Narrow" w:cs="Arial"/>
                <w:sz w:val="16"/>
                <w:szCs w:val="16"/>
              </w:rPr>
            </w:pPr>
            <w:r>
              <w:rPr>
                <w:rFonts w:ascii="Arial Narrow" w:hAnsi="Arial Narrow" w:cs="Arial"/>
                <w:sz w:val="16"/>
                <w:szCs w:val="16"/>
              </w:rPr>
              <w:t>28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B552431" w14:textId="77777777" w:rsidR="00ED4568" w:rsidRPr="00A634FA" w:rsidRDefault="00ED4568" w:rsidP="00C344F6">
            <w:pPr>
              <w:jc w:val="center"/>
              <w:rPr>
                <w:rFonts w:ascii="Arial Narrow" w:hAnsi="Arial Narrow" w:cs="Arial"/>
                <w:color w:val="000000"/>
                <w:sz w:val="16"/>
                <w:szCs w:val="16"/>
              </w:rPr>
            </w:pPr>
          </w:p>
        </w:tc>
        <w:tc>
          <w:tcPr>
            <w:tcW w:w="1162" w:type="dxa"/>
            <w:vMerge w:val="restart"/>
            <w:tcBorders>
              <w:top w:val="single" w:sz="18" w:space="0" w:color="BFBFBF"/>
              <w:left w:val="single" w:sz="18" w:space="0" w:color="C0C0C0"/>
              <w:right w:val="single" w:sz="18" w:space="0" w:color="BFBFBF"/>
            </w:tcBorders>
            <w:shd w:val="clear" w:color="auto" w:fill="auto"/>
            <w:vAlign w:val="center"/>
          </w:tcPr>
          <w:p w14:paraId="7C5A4051" w14:textId="381E69BE" w:rsidR="00ED4568" w:rsidRPr="00DC638E" w:rsidRDefault="00ED4568" w:rsidP="00C344F6">
            <w:pPr>
              <w:jc w:val="center"/>
              <w:rPr>
                <w:rFonts w:ascii="Arial Narrow" w:hAnsi="Arial Narrow" w:cs="Arial"/>
                <w:color w:val="000000"/>
                <w:sz w:val="16"/>
                <w:szCs w:val="16"/>
              </w:rPr>
            </w:pP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2D625F6F" w14:textId="10142A75"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30</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31F3F07A" w14:textId="044FE065"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31</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65D5946" w14:textId="77777777" w:rsidR="00ED4568" w:rsidRPr="00A634FA" w:rsidRDefault="00ED4568" w:rsidP="00C344F6">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636D447" w14:textId="5992EBB3" w:rsidR="00ED4568" w:rsidRPr="000857D8" w:rsidRDefault="000857D8" w:rsidP="00C344F6">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ED4568" w:rsidRPr="00BC2C5D" w14:paraId="1DB0A2C6" w14:textId="77777777" w:rsidTr="000857D8">
        <w:trPr>
          <w:trHeight w:val="285"/>
        </w:trPr>
        <w:tc>
          <w:tcPr>
            <w:tcW w:w="1526" w:type="dxa"/>
            <w:vMerge/>
            <w:tcBorders>
              <w:left w:val="single" w:sz="18" w:space="0" w:color="auto"/>
              <w:bottom w:val="single" w:sz="18" w:space="0" w:color="auto"/>
              <w:right w:val="single" w:sz="18" w:space="0" w:color="C0C0C0"/>
            </w:tcBorders>
            <w:shd w:val="clear" w:color="auto" w:fill="auto"/>
            <w:vAlign w:val="center"/>
          </w:tcPr>
          <w:p w14:paraId="4486D2F2" w14:textId="77777777" w:rsidR="00ED4568" w:rsidRDefault="00ED4568" w:rsidP="00C344F6">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03575C71" w14:textId="77777777" w:rsidR="00ED4568" w:rsidRPr="00A634FA" w:rsidRDefault="00ED4568" w:rsidP="00C344F6">
            <w:pPr>
              <w:jc w:val="center"/>
              <w:rPr>
                <w:rFonts w:ascii="Arial Narrow" w:hAnsi="Arial Narrow" w:cs="Arial"/>
                <w:color w:val="000000"/>
                <w:sz w:val="16"/>
                <w:szCs w:val="16"/>
              </w:rPr>
            </w:pPr>
          </w:p>
        </w:tc>
        <w:tc>
          <w:tcPr>
            <w:tcW w:w="1162" w:type="dxa"/>
            <w:vMerge/>
            <w:tcBorders>
              <w:left w:val="single" w:sz="18" w:space="0" w:color="C0C0C0"/>
              <w:bottom w:val="single" w:sz="18" w:space="0" w:color="auto"/>
              <w:right w:val="single" w:sz="18" w:space="0" w:color="BFBFBF"/>
            </w:tcBorders>
            <w:shd w:val="clear" w:color="auto" w:fill="auto"/>
            <w:vAlign w:val="center"/>
          </w:tcPr>
          <w:p w14:paraId="49821C50" w14:textId="77777777" w:rsidR="00ED4568" w:rsidRPr="00DC638E" w:rsidRDefault="00ED4568" w:rsidP="00C344F6">
            <w:pPr>
              <w:jc w:val="center"/>
              <w:rPr>
                <w:rFonts w:ascii="Arial Narrow" w:hAnsi="Arial Narrow" w:cs="Arial"/>
                <w:color w:val="000000"/>
                <w:sz w:val="16"/>
                <w:szCs w:val="16"/>
              </w:rPr>
            </w:pPr>
          </w:p>
        </w:tc>
        <w:tc>
          <w:tcPr>
            <w:tcW w:w="1162" w:type="dxa"/>
            <w:vMerge/>
            <w:tcBorders>
              <w:left w:val="single" w:sz="18" w:space="0" w:color="BFBFBF"/>
              <w:bottom w:val="single" w:sz="18" w:space="0" w:color="auto"/>
              <w:right w:val="single" w:sz="18" w:space="0" w:color="C0C0C0"/>
            </w:tcBorders>
            <w:shd w:val="clear" w:color="auto" w:fill="FF0000"/>
            <w:vAlign w:val="center"/>
          </w:tcPr>
          <w:p w14:paraId="1F850AEC" w14:textId="77777777" w:rsidR="00ED4568" w:rsidRPr="00ED4568" w:rsidRDefault="00ED4568" w:rsidP="00C344F6">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auto"/>
              <w:right w:val="single" w:sz="18" w:space="0" w:color="C0C0C0"/>
            </w:tcBorders>
            <w:shd w:val="clear" w:color="auto" w:fill="31849B"/>
            <w:vAlign w:val="center"/>
          </w:tcPr>
          <w:p w14:paraId="4E00BBC0" w14:textId="0EA3BCF9" w:rsidR="00ED4568"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31</w:t>
            </w:r>
          </w:p>
        </w:tc>
        <w:tc>
          <w:tcPr>
            <w:tcW w:w="1162" w:type="dxa"/>
            <w:vMerge/>
            <w:tcBorders>
              <w:left w:val="single" w:sz="18" w:space="0" w:color="C0C0C0"/>
              <w:bottom w:val="single" w:sz="18" w:space="0" w:color="auto"/>
              <w:right w:val="single" w:sz="18" w:space="0" w:color="auto"/>
            </w:tcBorders>
            <w:shd w:val="clear" w:color="auto" w:fill="auto"/>
            <w:vAlign w:val="center"/>
          </w:tcPr>
          <w:p w14:paraId="0D2FA18D" w14:textId="77777777" w:rsidR="00ED4568" w:rsidRPr="00A634FA" w:rsidRDefault="00ED4568" w:rsidP="00C344F6">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775547CE" w14:textId="77777777" w:rsidR="00ED4568" w:rsidRPr="009E4A93" w:rsidRDefault="00ED4568" w:rsidP="00C344F6">
            <w:pPr>
              <w:jc w:val="center"/>
              <w:rPr>
                <w:rFonts w:ascii="Arial Narrow" w:hAnsi="Arial Narrow"/>
                <w:sz w:val="16"/>
                <w:szCs w:val="16"/>
              </w:rPr>
            </w:pPr>
          </w:p>
        </w:tc>
      </w:tr>
      <w:tr w:rsidR="00C344F6" w:rsidRPr="00BC2C5D" w14:paraId="04B98309" w14:textId="77777777" w:rsidTr="00CA4D07">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auto"/>
            <w:vAlign w:val="center"/>
          </w:tcPr>
          <w:p w14:paraId="6B4F819B" w14:textId="06B5257B" w:rsidR="00C344F6" w:rsidRPr="00390B39" w:rsidRDefault="009159C4" w:rsidP="00C344F6">
            <w:pPr>
              <w:jc w:val="center"/>
              <w:rPr>
                <w:rFonts w:ascii="Arial Narrow" w:hAnsi="Arial Narrow" w:cs="Arial"/>
                <w:sz w:val="16"/>
                <w:szCs w:val="16"/>
              </w:rPr>
            </w:pPr>
            <w:r>
              <w:rPr>
                <w:rFonts w:ascii="Arial Narrow" w:hAnsi="Arial Narrow" w:cs="Arial"/>
                <w:sz w:val="16"/>
                <w:szCs w:val="16"/>
              </w:rPr>
              <w:t>4 April</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642C16FC" w14:textId="77777777" w:rsidR="00C344F6" w:rsidRPr="00A634FA"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BFBFBF"/>
            </w:tcBorders>
            <w:shd w:val="clear" w:color="auto" w:fill="FF0000"/>
            <w:vAlign w:val="center"/>
          </w:tcPr>
          <w:p w14:paraId="0A7AAF2C" w14:textId="0ECCEC0C" w:rsidR="00C344F6"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 xml:space="preserve">5 </w:t>
            </w:r>
            <w:r w:rsidRPr="00ED4568">
              <w:rPr>
                <w:rFonts w:ascii="Arial Narrow" w:hAnsi="Arial Narrow" w:cs="Arial"/>
                <w:b/>
                <w:bCs/>
                <w:color w:val="000000"/>
                <w:sz w:val="16"/>
                <w:szCs w:val="16"/>
              </w:rPr>
              <w:br/>
              <w:t>½ 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F9ED47F" w14:textId="01CB8248" w:rsidR="00C344F6" w:rsidRPr="00DC638E"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2B4AD7BE" w14:textId="77777777" w:rsidR="00C344F6" w:rsidRPr="00DC638E" w:rsidRDefault="00C344F6" w:rsidP="00C344F6">
            <w:pPr>
              <w:jc w:val="center"/>
              <w:rPr>
                <w:rFonts w:ascii="Arial Narrow" w:hAnsi="Arial Narrow" w:cs="Arial"/>
                <w:color w:val="000000"/>
                <w:sz w:val="16"/>
                <w:szCs w:val="16"/>
              </w:rPr>
            </w:pP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71435210" w14:textId="40AD0C44" w:rsidR="00C344F6" w:rsidRPr="00C344F6" w:rsidRDefault="00C344F6"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C0C0C0"/>
              <w:right w:val="single" w:sz="18" w:space="0" w:color="auto"/>
            </w:tcBorders>
            <w:shd w:val="clear" w:color="auto" w:fill="D9D9D9"/>
            <w:vAlign w:val="center"/>
          </w:tcPr>
          <w:p w14:paraId="3EB018F0" w14:textId="25F8F433" w:rsidR="00C344F6" w:rsidRPr="000857D8" w:rsidRDefault="000857D8" w:rsidP="00C344F6">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C344F6" w:rsidRPr="00BC2C5D" w14:paraId="1920F1D5"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9CA0660" w14:textId="5BB9595A" w:rsidR="00C344F6" w:rsidRPr="00A634FA" w:rsidRDefault="009159C4" w:rsidP="00C344F6">
            <w:pPr>
              <w:jc w:val="center"/>
              <w:rPr>
                <w:rFonts w:ascii="Arial Narrow" w:hAnsi="Arial Narrow" w:cs="Arial"/>
                <w:sz w:val="16"/>
                <w:szCs w:val="16"/>
              </w:rPr>
            </w:pPr>
            <w:r>
              <w:rPr>
                <w:rFonts w:ascii="Arial Narrow" w:hAnsi="Arial Narrow" w:cs="Arial"/>
                <w:sz w:val="16"/>
                <w:szCs w:val="16"/>
              </w:rPr>
              <w:t>11 April</w:t>
            </w:r>
          </w:p>
        </w:tc>
        <w:tc>
          <w:tcPr>
            <w:tcW w:w="1051" w:type="dxa"/>
            <w:tcBorders>
              <w:top w:val="single" w:sz="18" w:space="0" w:color="C0C0C0"/>
              <w:left w:val="single" w:sz="18" w:space="0" w:color="C0C0C0"/>
              <w:right w:val="single" w:sz="18" w:space="0" w:color="C0C0C0"/>
            </w:tcBorders>
            <w:shd w:val="clear" w:color="auto" w:fill="D9D9D9"/>
            <w:vAlign w:val="center"/>
          </w:tcPr>
          <w:p w14:paraId="56638F21" w14:textId="6B9136FB" w:rsidR="00C344F6" w:rsidRPr="00A634FA"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BFBFBF"/>
            </w:tcBorders>
            <w:shd w:val="clear" w:color="auto" w:fill="FF0000"/>
            <w:vAlign w:val="center"/>
          </w:tcPr>
          <w:p w14:paraId="4476C160" w14:textId="76C66E76" w:rsidR="00C344F6" w:rsidRPr="00ED4568" w:rsidRDefault="00ED4568" w:rsidP="00C344F6">
            <w:pPr>
              <w:jc w:val="center"/>
              <w:rPr>
                <w:rFonts w:ascii="Arial Narrow" w:hAnsi="Arial Narrow" w:cs="Arial"/>
                <w:b/>
                <w:bCs/>
                <w:color w:val="000000"/>
                <w:sz w:val="16"/>
                <w:szCs w:val="16"/>
              </w:rPr>
            </w:pPr>
            <w:r w:rsidRPr="00ED4568">
              <w:rPr>
                <w:rFonts w:ascii="Arial Narrow" w:hAnsi="Arial Narrow" w:cs="Arial"/>
                <w:b/>
                <w:bCs/>
                <w:color w:val="000000"/>
                <w:sz w:val="16"/>
                <w:szCs w:val="16"/>
              </w:rPr>
              <w:t>12</w:t>
            </w:r>
            <w:r w:rsidRPr="00ED4568">
              <w:rPr>
                <w:rFonts w:ascii="Arial Narrow" w:hAnsi="Arial Narrow" w:cs="Arial"/>
                <w:b/>
                <w:bCs/>
                <w:color w:val="000000"/>
                <w:sz w:val="16"/>
                <w:szCs w:val="16"/>
              </w:rPr>
              <w:br/>
              <w:t>½ day</w:t>
            </w:r>
          </w:p>
        </w:tc>
        <w:tc>
          <w:tcPr>
            <w:tcW w:w="1162" w:type="dxa"/>
            <w:tcBorders>
              <w:top w:val="single" w:sz="18" w:space="0" w:color="C0C0C0"/>
              <w:left w:val="single" w:sz="18" w:space="0" w:color="BFBFBF"/>
              <w:right w:val="single" w:sz="18" w:space="0" w:color="C0C0C0"/>
            </w:tcBorders>
            <w:shd w:val="clear" w:color="auto" w:fill="D9D9D9"/>
            <w:vAlign w:val="center"/>
          </w:tcPr>
          <w:p w14:paraId="1AE5584B" w14:textId="7664C091" w:rsidR="00C344F6" w:rsidRPr="00DC638E"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6B78F59B" w14:textId="123C7DE1" w:rsidR="00C344F6" w:rsidRPr="00DC638E" w:rsidRDefault="00C344F6"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1A733CA3" w14:textId="6E80F267" w:rsidR="00C344F6" w:rsidRPr="00A634FA" w:rsidRDefault="00ED4568"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51EA0079" w14:textId="4BD2B56C" w:rsidR="00C344F6" w:rsidRPr="00ED4568" w:rsidRDefault="00ED4568" w:rsidP="00ED4568">
            <w:pPr>
              <w:jc w:val="center"/>
              <w:rPr>
                <w:rFonts w:ascii="Arial Narrow" w:hAnsi="Arial Narrow" w:cs="Arial"/>
                <w:color w:val="244061"/>
                <w:sz w:val="16"/>
                <w:szCs w:val="16"/>
              </w:rPr>
            </w:pPr>
            <w:r>
              <w:rPr>
                <w:rFonts w:ascii="Arial Narrow" w:hAnsi="Arial Narrow" w:cs="Arial"/>
                <w:color w:val="244061"/>
                <w:sz w:val="16"/>
                <w:szCs w:val="16"/>
                <w:highlight w:val="yellow"/>
              </w:rPr>
              <w:t>1</w:t>
            </w:r>
            <w:r w:rsidR="003F18E3">
              <w:rPr>
                <w:rFonts w:ascii="Arial Narrow" w:hAnsi="Arial Narrow" w:cs="Arial"/>
                <w:color w:val="244061"/>
                <w:sz w:val="16"/>
                <w:szCs w:val="16"/>
                <w:highlight w:val="yellow"/>
              </w:rPr>
              <w:t>5</w:t>
            </w:r>
            <w:r>
              <w:rPr>
                <w:rFonts w:ascii="Arial Narrow" w:hAnsi="Arial Narrow" w:cs="Arial"/>
                <w:color w:val="244061"/>
                <w:sz w:val="16"/>
                <w:szCs w:val="16"/>
                <w:highlight w:val="yellow"/>
              </w:rPr>
              <w:t xml:space="preserve"> Good Friday</w:t>
            </w:r>
          </w:p>
        </w:tc>
      </w:tr>
      <w:tr w:rsidR="00F512E5" w:rsidRPr="00BC2C5D" w14:paraId="3D55130B"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50A09688" w14:textId="5B1B28E1" w:rsidR="00F512E5" w:rsidRPr="00A634FA" w:rsidRDefault="00F512E5" w:rsidP="00C344F6">
            <w:pPr>
              <w:jc w:val="center"/>
              <w:rPr>
                <w:rFonts w:ascii="Arial Narrow" w:hAnsi="Arial Narrow" w:cs="Arial"/>
                <w:sz w:val="16"/>
                <w:szCs w:val="16"/>
              </w:rPr>
            </w:pPr>
            <w:r>
              <w:rPr>
                <w:rFonts w:ascii="Arial Narrow" w:hAnsi="Arial Narrow" w:cs="Arial"/>
                <w:sz w:val="16"/>
                <w:szCs w:val="16"/>
              </w:rPr>
              <w:t>18 April</w:t>
            </w:r>
          </w:p>
        </w:tc>
        <w:tc>
          <w:tcPr>
            <w:tcW w:w="1051" w:type="dxa"/>
            <w:tcBorders>
              <w:top w:val="single" w:sz="18" w:space="0" w:color="C0C0C0"/>
              <w:left w:val="single" w:sz="18" w:space="0" w:color="C0C0C0"/>
              <w:right w:val="single" w:sz="18" w:space="0" w:color="C0C0C0"/>
            </w:tcBorders>
            <w:shd w:val="clear" w:color="auto" w:fill="D9D9D9"/>
            <w:vAlign w:val="center"/>
          </w:tcPr>
          <w:p w14:paraId="3BBBD21F" w14:textId="1CB3DE12" w:rsidR="00F512E5" w:rsidRPr="00A634FA" w:rsidRDefault="00C241DF"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BFBFBF"/>
            </w:tcBorders>
            <w:shd w:val="clear" w:color="auto" w:fill="auto"/>
            <w:vAlign w:val="center"/>
          </w:tcPr>
          <w:p w14:paraId="2F78CCA0" w14:textId="4A331E5A" w:rsidR="00F512E5" w:rsidRPr="00DC638E" w:rsidRDefault="00F512E5" w:rsidP="00C344F6">
            <w:pPr>
              <w:jc w:val="center"/>
              <w:rPr>
                <w:rFonts w:ascii="Arial Narrow" w:hAnsi="Arial Narrow" w:cs="Arial"/>
                <w:sz w:val="16"/>
                <w:szCs w:val="16"/>
              </w:rPr>
            </w:pPr>
          </w:p>
        </w:tc>
        <w:tc>
          <w:tcPr>
            <w:tcW w:w="1162" w:type="dxa"/>
            <w:tcBorders>
              <w:top w:val="single" w:sz="18" w:space="0" w:color="C0C0C0"/>
              <w:left w:val="single" w:sz="18" w:space="0" w:color="BFBFBF"/>
              <w:right w:val="single" w:sz="18" w:space="0" w:color="C0C0C0"/>
            </w:tcBorders>
            <w:shd w:val="clear" w:color="auto" w:fill="A972A9"/>
            <w:vAlign w:val="center"/>
          </w:tcPr>
          <w:p w14:paraId="484ED60A" w14:textId="553CE4CF" w:rsidR="00F512E5" w:rsidRPr="00C241DF" w:rsidRDefault="00C241DF" w:rsidP="00C344F6">
            <w:pPr>
              <w:jc w:val="center"/>
              <w:rPr>
                <w:rFonts w:ascii="Arial Narrow" w:hAnsi="Arial Narrow" w:cs="Arial"/>
                <w:b/>
                <w:bCs/>
                <w:color w:val="000000"/>
                <w:sz w:val="16"/>
                <w:szCs w:val="16"/>
              </w:rPr>
            </w:pPr>
            <w:r w:rsidRPr="00C241DF">
              <w:rPr>
                <w:rFonts w:ascii="Arial Narrow" w:hAnsi="Arial Narrow" w:cs="Arial"/>
                <w:b/>
                <w:bCs/>
                <w:color w:val="000000"/>
                <w:sz w:val="16"/>
                <w:szCs w:val="16"/>
              </w:rPr>
              <w:t>20</w:t>
            </w:r>
          </w:p>
        </w:tc>
        <w:tc>
          <w:tcPr>
            <w:tcW w:w="1162" w:type="dxa"/>
            <w:tcBorders>
              <w:top w:val="single" w:sz="18" w:space="0" w:color="C0C0C0"/>
              <w:left w:val="single" w:sz="18" w:space="0" w:color="C0C0C0"/>
              <w:right w:val="single" w:sz="18" w:space="0" w:color="C0C0C0"/>
            </w:tcBorders>
            <w:shd w:val="clear" w:color="auto" w:fill="auto"/>
            <w:vAlign w:val="center"/>
          </w:tcPr>
          <w:p w14:paraId="13761527" w14:textId="70D63837" w:rsidR="00F512E5" w:rsidRPr="00DC638E" w:rsidRDefault="00F512E5" w:rsidP="00C344F6">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auto"/>
            </w:tcBorders>
            <w:shd w:val="clear" w:color="auto" w:fill="auto"/>
            <w:vAlign w:val="center"/>
          </w:tcPr>
          <w:p w14:paraId="341632A4" w14:textId="77777777" w:rsidR="00F512E5" w:rsidRPr="00A634FA" w:rsidRDefault="00F512E5" w:rsidP="00C344F6">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auto"/>
            <w:vAlign w:val="center"/>
          </w:tcPr>
          <w:p w14:paraId="184F82AE" w14:textId="4B97EE3A" w:rsidR="00F512E5" w:rsidRPr="008805E5" w:rsidRDefault="00C241DF" w:rsidP="00C344F6">
            <w:pPr>
              <w:jc w:val="center"/>
              <w:rPr>
                <w:rFonts w:ascii="Arial Narrow" w:hAnsi="Arial Narrow"/>
                <w:sz w:val="16"/>
                <w:szCs w:val="16"/>
              </w:rPr>
            </w:pPr>
            <w:r>
              <w:rPr>
                <w:rFonts w:ascii="Arial Narrow" w:hAnsi="Arial Narrow" w:cs="Arial"/>
                <w:color w:val="244061"/>
                <w:sz w:val="16"/>
                <w:szCs w:val="16"/>
                <w:highlight w:val="yellow"/>
              </w:rPr>
              <w:t>18 Easter Monday</w:t>
            </w:r>
          </w:p>
        </w:tc>
      </w:tr>
      <w:tr w:rsidR="00C241DF" w:rsidRPr="00BC2C5D" w14:paraId="172CB696" w14:textId="77777777" w:rsidTr="00CA4D07">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785823F5" w:rsidR="00C241DF" w:rsidRPr="00A634FA" w:rsidRDefault="00C241DF" w:rsidP="00C344F6">
            <w:pPr>
              <w:jc w:val="center"/>
              <w:rPr>
                <w:rFonts w:ascii="Arial Narrow" w:hAnsi="Arial Narrow" w:cs="Arial"/>
                <w:sz w:val="16"/>
                <w:szCs w:val="16"/>
              </w:rPr>
            </w:pPr>
            <w:r>
              <w:rPr>
                <w:rFonts w:ascii="Arial Narrow" w:hAnsi="Arial Narrow" w:cs="Arial"/>
                <w:sz w:val="16"/>
                <w:szCs w:val="16"/>
              </w:rPr>
              <w:t>25 April</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3B5B1DEC" w:rsidR="00C241DF" w:rsidRPr="00A634FA" w:rsidRDefault="00C241DF"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vMerge w:val="restart"/>
            <w:tcBorders>
              <w:top w:val="single" w:sz="18" w:space="0" w:color="C0C0C0"/>
              <w:left w:val="single" w:sz="18" w:space="0" w:color="C0C0C0"/>
              <w:right w:val="single" w:sz="18" w:space="0" w:color="BFBFBF"/>
            </w:tcBorders>
            <w:shd w:val="clear" w:color="auto" w:fill="FFFF00"/>
            <w:vAlign w:val="center"/>
          </w:tcPr>
          <w:p w14:paraId="32C17410" w14:textId="77777777" w:rsidR="00C241DF" w:rsidRDefault="00C241DF" w:rsidP="00C344F6">
            <w:pPr>
              <w:jc w:val="center"/>
              <w:rPr>
                <w:rFonts w:ascii="Arial Narrow" w:hAnsi="Arial Narrow" w:cs="Arial"/>
                <w:b/>
                <w:bCs/>
                <w:color w:val="000000"/>
                <w:sz w:val="16"/>
                <w:szCs w:val="16"/>
              </w:rPr>
            </w:pPr>
            <w:r w:rsidRPr="00C241DF">
              <w:rPr>
                <w:rFonts w:ascii="Arial Narrow" w:hAnsi="Arial Narrow" w:cs="Arial"/>
                <w:b/>
                <w:bCs/>
                <w:color w:val="000000"/>
                <w:sz w:val="16"/>
                <w:szCs w:val="16"/>
              </w:rPr>
              <w:t>26</w:t>
            </w:r>
          </w:p>
          <w:p w14:paraId="6A7880B7" w14:textId="0D7F141A" w:rsidR="00CC23DC" w:rsidRPr="00C241DF" w:rsidRDefault="00CC23DC" w:rsidP="00C344F6">
            <w:pPr>
              <w:jc w:val="center"/>
              <w:rPr>
                <w:rFonts w:ascii="Arial Narrow" w:hAnsi="Arial Narrow" w:cs="Arial"/>
                <w:b/>
                <w:bCs/>
                <w:color w:val="000000"/>
                <w:sz w:val="16"/>
                <w:szCs w:val="16"/>
              </w:rPr>
            </w:pPr>
            <w:r>
              <w:rPr>
                <w:rFonts w:ascii="Arial Narrow" w:hAnsi="Arial Narrow" w:cs="Arial"/>
                <w:b/>
                <w:bCs/>
                <w:color w:val="000000"/>
                <w:sz w:val="16"/>
                <w:szCs w:val="16"/>
              </w:rPr>
              <w:t>½ day</w:t>
            </w:r>
          </w:p>
        </w:tc>
        <w:tc>
          <w:tcPr>
            <w:tcW w:w="1162" w:type="dxa"/>
            <w:tcBorders>
              <w:top w:val="single" w:sz="18" w:space="0" w:color="C0C0C0"/>
              <w:left w:val="single" w:sz="18" w:space="0" w:color="BFBFBF"/>
              <w:bottom w:val="nil"/>
              <w:right w:val="single" w:sz="18" w:space="0" w:color="C0C0C0"/>
            </w:tcBorders>
            <w:shd w:val="clear" w:color="auto" w:fill="FF0000"/>
            <w:vAlign w:val="center"/>
          </w:tcPr>
          <w:p w14:paraId="2BEECBCA" w14:textId="65F9F1D6" w:rsidR="00C241DF" w:rsidRPr="00C241DF" w:rsidRDefault="00C241DF" w:rsidP="00C344F6">
            <w:pPr>
              <w:jc w:val="center"/>
              <w:rPr>
                <w:rFonts w:ascii="Arial Narrow" w:hAnsi="Arial Narrow" w:cs="Arial"/>
                <w:b/>
                <w:bCs/>
                <w:sz w:val="16"/>
                <w:szCs w:val="16"/>
              </w:rPr>
            </w:pPr>
            <w:r w:rsidRPr="00C241DF">
              <w:rPr>
                <w:rFonts w:ascii="Arial Narrow" w:hAnsi="Arial Narrow" w:cs="Arial"/>
                <w:b/>
                <w:bCs/>
                <w:sz w:val="16"/>
                <w:szCs w:val="16"/>
              </w:rPr>
              <w:t>27</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30CE006" w14:textId="43B301C1" w:rsidR="00C241DF" w:rsidRPr="00C241DF" w:rsidRDefault="00C241DF" w:rsidP="00C344F6">
            <w:pPr>
              <w:jc w:val="center"/>
              <w:rPr>
                <w:rFonts w:ascii="Arial Narrow" w:hAnsi="Arial Narrow" w:cs="Arial"/>
                <w:b/>
                <w:bCs/>
                <w:color w:val="000000"/>
                <w:sz w:val="16"/>
                <w:szCs w:val="16"/>
              </w:rPr>
            </w:pPr>
            <w:r w:rsidRPr="00C241DF">
              <w:rPr>
                <w:rFonts w:ascii="Arial Narrow" w:hAnsi="Arial Narrow" w:cs="Arial"/>
                <w:b/>
                <w:bCs/>
                <w:color w:val="000000"/>
                <w:sz w:val="16"/>
                <w:szCs w:val="16"/>
              </w:rPr>
              <w:t>28</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C241DF" w:rsidRPr="00A634FA" w:rsidRDefault="00C241DF" w:rsidP="00C344F6">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103894A3" w14:textId="77777777" w:rsidR="00C241DF" w:rsidRDefault="00C241DF" w:rsidP="00C344F6">
            <w:pPr>
              <w:jc w:val="center"/>
              <w:rPr>
                <w:rFonts w:ascii="Arial Narrow" w:hAnsi="Arial Narrow" w:cs="Arial"/>
                <w:color w:val="244061"/>
                <w:sz w:val="16"/>
                <w:szCs w:val="16"/>
              </w:rPr>
            </w:pPr>
            <w:r>
              <w:rPr>
                <w:rFonts w:ascii="Arial Narrow" w:hAnsi="Arial Narrow" w:cs="Arial"/>
                <w:color w:val="244061"/>
                <w:sz w:val="16"/>
                <w:szCs w:val="16"/>
                <w:highlight w:val="yellow"/>
              </w:rPr>
              <w:t>25 Anzac Day Public Holida</w:t>
            </w:r>
            <w:r w:rsidRPr="00C241DF">
              <w:rPr>
                <w:rFonts w:ascii="Arial Narrow" w:hAnsi="Arial Narrow" w:cs="Arial"/>
                <w:color w:val="244061"/>
                <w:sz w:val="16"/>
                <w:szCs w:val="16"/>
                <w:highlight w:val="yellow"/>
              </w:rPr>
              <w:t>y</w:t>
            </w:r>
          </w:p>
          <w:p w14:paraId="7B200A01" w14:textId="65AADA59" w:rsidR="000857D8" w:rsidRPr="009E4A93" w:rsidRDefault="000857D8" w:rsidP="00C344F6">
            <w:pPr>
              <w:jc w:val="center"/>
              <w:rPr>
                <w:rFonts w:ascii="Arial Narrow" w:hAnsi="Arial Narrow" w:cs="Arial"/>
                <w:sz w:val="16"/>
                <w:szCs w:val="16"/>
              </w:rPr>
            </w:pPr>
            <w:r w:rsidRPr="008805E5">
              <w:rPr>
                <w:rFonts w:ascii="Arial Narrow" w:hAnsi="Arial Narrow"/>
                <w:color w:val="31849B"/>
                <w:sz w:val="16"/>
                <w:szCs w:val="16"/>
              </w:rPr>
              <w:t>Doomadgee – Gulf Circuit</w:t>
            </w:r>
          </w:p>
        </w:tc>
      </w:tr>
      <w:tr w:rsidR="00C241DF" w:rsidRPr="00BC2C5D" w14:paraId="58D90D04" w14:textId="77777777" w:rsidTr="00CA4D07">
        <w:trPr>
          <w:trHeight w:val="284"/>
        </w:trPr>
        <w:tc>
          <w:tcPr>
            <w:tcW w:w="1526" w:type="dxa"/>
            <w:vMerge/>
            <w:tcBorders>
              <w:left w:val="single" w:sz="18" w:space="0" w:color="auto"/>
              <w:right w:val="single" w:sz="18" w:space="0" w:color="C0C0C0"/>
            </w:tcBorders>
            <w:shd w:val="clear" w:color="auto" w:fill="auto"/>
            <w:vAlign w:val="center"/>
          </w:tcPr>
          <w:p w14:paraId="14377E5E" w14:textId="77777777" w:rsidR="00C241DF" w:rsidRDefault="00C241DF" w:rsidP="00C344F6">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FF78EBA" w14:textId="77777777" w:rsidR="00C241DF" w:rsidRPr="004E471D" w:rsidRDefault="00C241DF" w:rsidP="00C344F6">
            <w:pPr>
              <w:jc w:val="center"/>
              <w:rPr>
                <w:rFonts w:ascii="Arial Narrow" w:hAnsi="Arial Narrow" w:cs="Arial"/>
                <w:color w:val="FF0000"/>
                <w:sz w:val="16"/>
                <w:szCs w:val="16"/>
                <w:highlight w:val="yellow"/>
              </w:rPr>
            </w:pPr>
          </w:p>
        </w:tc>
        <w:tc>
          <w:tcPr>
            <w:tcW w:w="1162" w:type="dxa"/>
            <w:vMerge/>
            <w:tcBorders>
              <w:left w:val="single" w:sz="18" w:space="0" w:color="C0C0C0"/>
              <w:right w:val="single" w:sz="18" w:space="0" w:color="BFBFBF"/>
            </w:tcBorders>
            <w:shd w:val="clear" w:color="auto" w:fill="FFFF00"/>
            <w:vAlign w:val="center"/>
          </w:tcPr>
          <w:p w14:paraId="472B4059" w14:textId="77777777" w:rsidR="00C241DF" w:rsidRDefault="00C241DF" w:rsidP="00C344F6">
            <w:pPr>
              <w:jc w:val="center"/>
              <w:rPr>
                <w:rFonts w:ascii="Arial Narrow" w:hAnsi="Arial Narrow" w:cs="Arial"/>
                <w:color w:val="000000"/>
                <w:sz w:val="16"/>
                <w:szCs w:val="16"/>
              </w:rPr>
            </w:pPr>
          </w:p>
        </w:tc>
        <w:tc>
          <w:tcPr>
            <w:tcW w:w="1162" w:type="dxa"/>
            <w:tcBorders>
              <w:top w:val="nil"/>
              <w:left w:val="single" w:sz="18" w:space="0" w:color="BFBFBF"/>
              <w:bottom w:val="single" w:sz="18" w:space="0" w:color="auto"/>
              <w:right w:val="single" w:sz="18" w:space="0" w:color="C0C0C0"/>
            </w:tcBorders>
            <w:shd w:val="clear" w:color="auto" w:fill="769250"/>
            <w:vAlign w:val="center"/>
          </w:tcPr>
          <w:p w14:paraId="61507ACF" w14:textId="0CAFBBBC" w:rsidR="00C241DF" w:rsidRPr="00C241DF" w:rsidRDefault="00C241DF" w:rsidP="00C344F6">
            <w:pPr>
              <w:jc w:val="center"/>
              <w:rPr>
                <w:rFonts w:ascii="Arial Narrow" w:hAnsi="Arial Narrow" w:cs="Arial"/>
                <w:b/>
                <w:bCs/>
                <w:sz w:val="16"/>
                <w:szCs w:val="16"/>
              </w:rPr>
            </w:pPr>
            <w:r w:rsidRPr="00C241DF">
              <w:rPr>
                <w:rFonts w:ascii="Arial Narrow" w:hAnsi="Arial Narrow" w:cs="Arial"/>
                <w:b/>
                <w:bCs/>
                <w:sz w:val="16"/>
                <w:szCs w:val="16"/>
              </w:rPr>
              <w:t>27</w:t>
            </w:r>
          </w:p>
        </w:tc>
        <w:tc>
          <w:tcPr>
            <w:tcW w:w="1162" w:type="dxa"/>
            <w:vMerge/>
            <w:tcBorders>
              <w:left w:val="single" w:sz="18" w:space="0" w:color="C0C0C0"/>
              <w:right w:val="single" w:sz="18" w:space="0" w:color="C0C0C0"/>
            </w:tcBorders>
            <w:shd w:val="clear" w:color="auto" w:fill="FF0000"/>
            <w:vAlign w:val="center"/>
          </w:tcPr>
          <w:p w14:paraId="6784474A" w14:textId="77777777" w:rsidR="00C241DF" w:rsidRPr="00DC638E" w:rsidRDefault="00C241DF" w:rsidP="00C344F6">
            <w:pPr>
              <w:jc w:val="center"/>
              <w:rPr>
                <w:rFonts w:ascii="Arial Narrow" w:hAnsi="Arial Narrow" w:cs="Arial"/>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58AFD7E5" w14:textId="77777777" w:rsidR="00C241DF" w:rsidRPr="00A634FA" w:rsidRDefault="00C241DF" w:rsidP="00C344F6">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6CFA4940" w14:textId="77777777" w:rsidR="00C241DF" w:rsidRDefault="00C241DF" w:rsidP="00C344F6">
            <w:pPr>
              <w:jc w:val="center"/>
              <w:rPr>
                <w:rFonts w:ascii="Arial Narrow" w:hAnsi="Arial Narrow" w:cs="Arial"/>
                <w:color w:val="244061"/>
                <w:sz w:val="16"/>
                <w:szCs w:val="16"/>
                <w:highlight w:val="yellow"/>
              </w:rPr>
            </w:pPr>
          </w:p>
        </w:tc>
      </w:tr>
      <w:tr w:rsidR="00432E06" w:rsidRPr="00BC2C5D" w14:paraId="512E60FF" w14:textId="77777777" w:rsidTr="00C241DF">
        <w:trPr>
          <w:trHeight w:val="567"/>
        </w:trPr>
        <w:tc>
          <w:tcPr>
            <w:tcW w:w="1526" w:type="dxa"/>
            <w:tcBorders>
              <w:top w:val="single" w:sz="18" w:space="0" w:color="auto"/>
              <w:left w:val="single" w:sz="18" w:space="0" w:color="auto"/>
              <w:bottom w:val="single" w:sz="18" w:space="0" w:color="auto"/>
              <w:right w:val="single" w:sz="18" w:space="0" w:color="C0C0C0"/>
            </w:tcBorders>
            <w:shd w:val="clear" w:color="auto" w:fill="auto"/>
            <w:vAlign w:val="center"/>
          </w:tcPr>
          <w:p w14:paraId="40EA42D4" w14:textId="747E1FD1" w:rsidR="00432E06" w:rsidRPr="00A634FA" w:rsidRDefault="009159C4" w:rsidP="00C344F6">
            <w:pPr>
              <w:jc w:val="center"/>
              <w:rPr>
                <w:rFonts w:ascii="Arial Narrow" w:hAnsi="Arial Narrow" w:cs="Arial"/>
                <w:sz w:val="16"/>
                <w:szCs w:val="16"/>
              </w:rPr>
            </w:pPr>
            <w:r>
              <w:rPr>
                <w:rFonts w:ascii="Arial Narrow" w:hAnsi="Arial Narrow" w:cs="Arial"/>
                <w:sz w:val="16"/>
                <w:szCs w:val="16"/>
              </w:rPr>
              <w:t>2 May</w:t>
            </w:r>
          </w:p>
        </w:tc>
        <w:tc>
          <w:tcPr>
            <w:tcW w:w="1051" w:type="dxa"/>
            <w:tcBorders>
              <w:top w:val="single" w:sz="18" w:space="0" w:color="auto"/>
              <w:left w:val="single" w:sz="18" w:space="0" w:color="C0C0C0"/>
              <w:bottom w:val="single" w:sz="18" w:space="0" w:color="auto"/>
              <w:right w:val="single" w:sz="18" w:space="0" w:color="C0C0C0"/>
            </w:tcBorders>
            <w:shd w:val="clear" w:color="auto" w:fill="auto"/>
            <w:vAlign w:val="center"/>
          </w:tcPr>
          <w:p w14:paraId="7612969B" w14:textId="09E7A2AB" w:rsidR="00432E06" w:rsidRPr="00C344F6" w:rsidRDefault="000857D8" w:rsidP="00C344F6">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bottom w:val="single" w:sz="18" w:space="0" w:color="auto"/>
              <w:right w:val="single" w:sz="18" w:space="0" w:color="BFBFBF"/>
            </w:tcBorders>
            <w:shd w:val="clear" w:color="auto" w:fill="auto"/>
            <w:vAlign w:val="center"/>
          </w:tcPr>
          <w:p w14:paraId="42289F1C" w14:textId="72FF7312" w:rsidR="00432E06" w:rsidRPr="00DC638E" w:rsidRDefault="00432E06" w:rsidP="00C344F6">
            <w:pPr>
              <w:ind w:left="1440" w:hanging="1440"/>
              <w:jc w:val="center"/>
              <w:rPr>
                <w:rFonts w:ascii="Arial Narrow" w:hAnsi="Arial Narrow" w:cs="Arial"/>
                <w:sz w:val="16"/>
                <w:szCs w:val="16"/>
              </w:rPr>
            </w:pPr>
          </w:p>
        </w:tc>
        <w:tc>
          <w:tcPr>
            <w:tcW w:w="1162" w:type="dxa"/>
            <w:tcBorders>
              <w:top w:val="single" w:sz="18" w:space="0" w:color="auto"/>
              <w:left w:val="single" w:sz="18" w:space="0" w:color="BFBFBF"/>
              <w:bottom w:val="single" w:sz="18" w:space="0" w:color="auto"/>
              <w:right w:val="single" w:sz="18" w:space="0" w:color="C0C0C0"/>
            </w:tcBorders>
            <w:shd w:val="clear" w:color="auto" w:fill="A972A9"/>
            <w:vAlign w:val="center"/>
          </w:tcPr>
          <w:p w14:paraId="2B6CD71B" w14:textId="4557293F" w:rsidR="00432E06" w:rsidRPr="00C241DF" w:rsidRDefault="00C241DF" w:rsidP="00C344F6">
            <w:pPr>
              <w:ind w:left="1440" w:hanging="1440"/>
              <w:jc w:val="center"/>
              <w:rPr>
                <w:rFonts w:ascii="Arial Narrow" w:hAnsi="Arial Narrow" w:cs="Arial"/>
                <w:b/>
                <w:bCs/>
                <w:sz w:val="16"/>
                <w:szCs w:val="16"/>
              </w:rPr>
            </w:pPr>
            <w:r w:rsidRPr="00C241DF">
              <w:rPr>
                <w:rFonts w:ascii="Arial Narrow" w:hAnsi="Arial Narrow" w:cs="Arial"/>
                <w:b/>
                <w:bCs/>
                <w:sz w:val="16"/>
                <w:szCs w:val="16"/>
              </w:rPr>
              <w:t>4</w:t>
            </w:r>
          </w:p>
        </w:tc>
        <w:tc>
          <w:tcPr>
            <w:tcW w:w="1162" w:type="dxa"/>
            <w:tcBorders>
              <w:top w:val="single" w:sz="18" w:space="0" w:color="auto"/>
              <w:left w:val="single" w:sz="18" w:space="0" w:color="C0C0C0"/>
              <w:bottom w:val="single" w:sz="18" w:space="0" w:color="auto"/>
              <w:right w:val="single" w:sz="18" w:space="0" w:color="C0C0C0"/>
            </w:tcBorders>
            <w:shd w:val="clear" w:color="auto" w:fill="A972A9"/>
            <w:vAlign w:val="center"/>
          </w:tcPr>
          <w:p w14:paraId="0984E9CC" w14:textId="3BD63173" w:rsidR="00432E06" w:rsidRPr="00C241DF" w:rsidRDefault="00C241DF" w:rsidP="00C344F6">
            <w:pPr>
              <w:jc w:val="center"/>
              <w:rPr>
                <w:rFonts w:ascii="Arial Narrow" w:hAnsi="Arial Narrow" w:cs="Arial"/>
                <w:b/>
                <w:bCs/>
                <w:color w:val="000000"/>
                <w:sz w:val="16"/>
                <w:szCs w:val="16"/>
              </w:rPr>
            </w:pPr>
            <w:r w:rsidRPr="00C241DF">
              <w:rPr>
                <w:rFonts w:ascii="Arial Narrow" w:hAnsi="Arial Narrow" w:cs="Arial"/>
                <w:b/>
                <w:bCs/>
                <w:color w:val="000000"/>
                <w:sz w:val="16"/>
                <w:szCs w:val="16"/>
              </w:rPr>
              <w:t>5</w:t>
            </w:r>
          </w:p>
        </w:tc>
        <w:tc>
          <w:tcPr>
            <w:tcW w:w="1162" w:type="dxa"/>
            <w:tcBorders>
              <w:top w:val="single" w:sz="18" w:space="0" w:color="auto"/>
              <w:left w:val="single" w:sz="18" w:space="0" w:color="C0C0C0"/>
              <w:bottom w:val="single" w:sz="18" w:space="0" w:color="auto"/>
              <w:right w:val="single" w:sz="18" w:space="0" w:color="auto"/>
            </w:tcBorders>
            <w:shd w:val="clear" w:color="auto" w:fill="auto"/>
            <w:vAlign w:val="center"/>
          </w:tcPr>
          <w:p w14:paraId="4B09F96C" w14:textId="77777777" w:rsidR="00432E06" w:rsidRPr="00A634FA" w:rsidRDefault="00432E06" w:rsidP="00C344F6">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58B2748E" w14:textId="7225B19C" w:rsidR="00432E06" w:rsidRPr="009E4A93" w:rsidRDefault="00C241DF" w:rsidP="00C344F6">
            <w:pPr>
              <w:jc w:val="center"/>
              <w:rPr>
                <w:rFonts w:ascii="Arial Narrow" w:hAnsi="Arial Narrow" w:cs="Arial"/>
                <w:sz w:val="16"/>
                <w:szCs w:val="16"/>
              </w:rPr>
            </w:pPr>
            <w:r>
              <w:rPr>
                <w:rFonts w:ascii="Arial Narrow" w:hAnsi="Arial Narrow" w:cs="Arial"/>
                <w:color w:val="244061"/>
                <w:sz w:val="16"/>
                <w:szCs w:val="16"/>
                <w:highlight w:val="yellow"/>
              </w:rPr>
              <w:t>2</w:t>
            </w:r>
            <w:r w:rsidRPr="00C241DF">
              <w:rPr>
                <w:rFonts w:ascii="Arial Narrow" w:hAnsi="Arial Narrow" w:cs="Arial"/>
                <w:color w:val="244061"/>
                <w:sz w:val="16"/>
                <w:szCs w:val="16"/>
                <w:highlight w:val="yellow"/>
              </w:rPr>
              <w:t xml:space="preserve"> Labour Day</w:t>
            </w: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3633"/>
      </w:tblGrid>
      <w:tr w:rsidR="00C5507C" w:rsidRPr="00BC2C5D" w14:paraId="57F3478D" w14:textId="77777777" w:rsidTr="00C5507C">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CC23DC" w:rsidRPr="00BC2C5D" w14:paraId="0CE321A3" w14:textId="77777777" w:rsidTr="00CC23DC">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696DAD36" w14:textId="2D0C72F6" w:rsidR="00CC23DC" w:rsidRPr="00390B39" w:rsidRDefault="00CC23DC" w:rsidP="00C5507C">
            <w:pPr>
              <w:jc w:val="center"/>
              <w:rPr>
                <w:rFonts w:ascii="Arial Narrow" w:hAnsi="Arial Narrow" w:cs="Arial"/>
                <w:sz w:val="16"/>
                <w:szCs w:val="16"/>
              </w:rPr>
            </w:pPr>
            <w:r>
              <w:rPr>
                <w:rFonts w:ascii="Arial Narrow" w:hAnsi="Arial Narrow" w:cs="Arial"/>
                <w:sz w:val="16"/>
                <w:szCs w:val="16"/>
              </w:rPr>
              <w:t>9 May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F9AEB6D" w14:textId="78F033E8" w:rsidR="00CC23DC" w:rsidRPr="00C344F6" w:rsidRDefault="00CC23DC" w:rsidP="00C5507C">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BFBFBF"/>
            </w:tcBorders>
            <w:shd w:val="clear" w:color="auto" w:fill="auto"/>
            <w:vAlign w:val="center"/>
          </w:tcPr>
          <w:p w14:paraId="65468345" w14:textId="7E492D19" w:rsidR="00CC23DC" w:rsidRPr="00C241DF" w:rsidRDefault="00CC23DC" w:rsidP="00193311">
            <w:pPr>
              <w:jc w:val="center"/>
              <w:rPr>
                <w:rFonts w:ascii="Arial Narrow" w:hAnsi="Arial Narrow" w:cs="Arial"/>
                <w:b/>
                <w:bCs/>
                <w:sz w:val="16"/>
                <w:szCs w:val="16"/>
              </w:rPr>
            </w:pP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3D075EC5" w14:textId="77777777" w:rsidR="00CC23DC" w:rsidRDefault="00CC23DC" w:rsidP="00C5507C">
            <w:pPr>
              <w:jc w:val="center"/>
              <w:rPr>
                <w:rFonts w:ascii="Arial Narrow" w:hAnsi="Arial Narrow" w:cs="Arial"/>
                <w:b/>
                <w:bCs/>
                <w:sz w:val="16"/>
                <w:szCs w:val="16"/>
              </w:rPr>
            </w:pPr>
            <w:r w:rsidRPr="00C241DF">
              <w:rPr>
                <w:rFonts w:ascii="Arial Narrow" w:hAnsi="Arial Narrow" w:cs="Arial"/>
                <w:b/>
                <w:bCs/>
                <w:sz w:val="16"/>
                <w:szCs w:val="16"/>
              </w:rPr>
              <w:t>11</w:t>
            </w:r>
          </w:p>
          <w:p w14:paraId="5D26E3A1" w14:textId="151FC159" w:rsidR="00CC23DC" w:rsidRPr="00C241DF" w:rsidRDefault="00CC23DC" w:rsidP="00C5507C">
            <w:pPr>
              <w:jc w:val="center"/>
              <w:rPr>
                <w:rFonts w:ascii="Arial Narrow" w:hAnsi="Arial Narrow" w:cs="Arial"/>
                <w:b/>
                <w:bCs/>
                <w:sz w:val="16"/>
                <w:szCs w:val="16"/>
              </w:rPr>
            </w:pPr>
            <w:r>
              <w:rPr>
                <w:rFonts w:ascii="Arial Narrow" w:hAnsi="Arial Narrow" w:cs="Arial"/>
                <w:b/>
                <w:bCs/>
                <w:sz w:val="16"/>
                <w:szCs w:val="16"/>
              </w:rPr>
              <w:t>½ day</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37F7711A" w14:textId="118A5BAF" w:rsidR="00CC23DC" w:rsidRPr="00C241DF" w:rsidRDefault="00CC23DC" w:rsidP="00C5507C">
            <w:pPr>
              <w:jc w:val="center"/>
              <w:rPr>
                <w:rFonts w:ascii="Arial Narrow" w:hAnsi="Arial Narrow" w:cs="Arial"/>
                <w:b/>
                <w:bCs/>
                <w:sz w:val="16"/>
                <w:szCs w:val="16"/>
              </w:rPr>
            </w:pPr>
            <w:r w:rsidRPr="00C241DF">
              <w:rPr>
                <w:rFonts w:ascii="Arial Narrow" w:hAnsi="Arial Narrow" w:cs="Arial"/>
                <w:b/>
                <w:bCs/>
                <w:sz w:val="16"/>
                <w:szCs w:val="16"/>
              </w:rPr>
              <w:t>12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2ABAD594" w14:textId="77777777" w:rsidR="00CC23DC" w:rsidRPr="00A634FA" w:rsidRDefault="00CC23DC"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5CA04E27" w14:textId="79F37BA9" w:rsidR="00CC23DC" w:rsidRPr="008805E5" w:rsidRDefault="00CC23DC"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C241DF" w:rsidRPr="00BC2C5D" w14:paraId="2B1037DA" w14:textId="77777777" w:rsidTr="00CC23DC">
        <w:trPr>
          <w:trHeight w:val="284"/>
        </w:trPr>
        <w:tc>
          <w:tcPr>
            <w:tcW w:w="1526" w:type="dxa"/>
            <w:vMerge/>
            <w:tcBorders>
              <w:left w:val="single" w:sz="18" w:space="0" w:color="auto"/>
              <w:right w:val="single" w:sz="18" w:space="0" w:color="C0C0C0"/>
            </w:tcBorders>
            <w:shd w:val="clear" w:color="auto" w:fill="auto"/>
            <w:vAlign w:val="center"/>
          </w:tcPr>
          <w:p w14:paraId="127B6A50" w14:textId="77777777" w:rsidR="00C241DF" w:rsidRDefault="00C241DF"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3AA4220" w14:textId="77777777" w:rsidR="00C241DF" w:rsidRPr="00C344F6" w:rsidRDefault="00C241DF" w:rsidP="00C5507C">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auto"/>
            <w:vAlign w:val="center"/>
          </w:tcPr>
          <w:p w14:paraId="55B78EE7" w14:textId="77777777" w:rsidR="00C241DF" w:rsidRDefault="00C241DF" w:rsidP="00193311">
            <w:pPr>
              <w:jc w:val="center"/>
              <w:rPr>
                <w:rFonts w:ascii="Arial Narrow" w:hAnsi="Arial Narrow" w:cs="Arial"/>
                <w:sz w:val="16"/>
                <w:szCs w:val="16"/>
              </w:rPr>
            </w:pPr>
          </w:p>
        </w:tc>
        <w:tc>
          <w:tcPr>
            <w:tcW w:w="1162" w:type="dxa"/>
            <w:vMerge/>
            <w:tcBorders>
              <w:left w:val="single" w:sz="18" w:space="0" w:color="BFBFBF"/>
              <w:right w:val="single" w:sz="18" w:space="0" w:color="C0C0C0"/>
            </w:tcBorders>
            <w:shd w:val="clear" w:color="auto" w:fill="FF0000"/>
            <w:vAlign w:val="center"/>
          </w:tcPr>
          <w:p w14:paraId="7DF2267B" w14:textId="77777777" w:rsidR="00C241DF" w:rsidRDefault="00C241DF" w:rsidP="00C5507C">
            <w:pPr>
              <w:jc w:val="center"/>
              <w:rPr>
                <w:rFonts w:ascii="Arial Narrow" w:hAnsi="Arial Narrow" w:cs="Arial"/>
                <w:sz w:val="16"/>
                <w:szCs w:val="16"/>
              </w:rPr>
            </w:pPr>
          </w:p>
        </w:tc>
        <w:tc>
          <w:tcPr>
            <w:tcW w:w="1162" w:type="dxa"/>
            <w:tcBorders>
              <w:top w:val="nil"/>
              <w:left w:val="single" w:sz="18" w:space="0" w:color="C0C0C0"/>
              <w:bottom w:val="single" w:sz="18" w:space="0" w:color="C0C0C0"/>
              <w:right w:val="single" w:sz="18" w:space="0" w:color="C0C0C0"/>
            </w:tcBorders>
            <w:shd w:val="clear" w:color="auto" w:fill="31849B"/>
            <w:vAlign w:val="center"/>
          </w:tcPr>
          <w:p w14:paraId="4DBB3278" w14:textId="28A3282B" w:rsidR="00C241DF" w:rsidRPr="00C241DF" w:rsidRDefault="00C241DF" w:rsidP="00C5507C">
            <w:pPr>
              <w:jc w:val="center"/>
              <w:rPr>
                <w:rFonts w:ascii="Arial Narrow" w:hAnsi="Arial Narrow" w:cs="Arial"/>
                <w:b/>
                <w:bCs/>
                <w:sz w:val="16"/>
                <w:szCs w:val="16"/>
              </w:rPr>
            </w:pPr>
            <w:r w:rsidRPr="00C241DF">
              <w:rPr>
                <w:rFonts w:ascii="Arial Narrow" w:hAnsi="Arial Narrow" w:cs="Arial"/>
                <w:b/>
                <w:bCs/>
                <w:sz w:val="16"/>
                <w:szCs w:val="16"/>
              </w:rPr>
              <w:t>12</w:t>
            </w:r>
          </w:p>
        </w:tc>
        <w:tc>
          <w:tcPr>
            <w:tcW w:w="1162" w:type="dxa"/>
            <w:vMerge/>
            <w:tcBorders>
              <w:left w:val="single" w:sz="18" w:space="0" w:color="C0C0C0"/>
              <w:right w:val="single" w:sz="18" w:space="0" w:color="auto"/>
            </w:tcBorders>
            <w:shd w:val="clear" w:color="auto" w:fill="auto"/>
            <w:vAlign w:val="center"/>
          </w:tcPr>
          <w:p w14:paraId="218C141D" w14:textId="77777777" w:rsidR="00C241DF" w:rsidRPr="00A634FA" w:rsidRDefault="00C241DF"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15EC734E" w14:textId="77777777" w:rsidR="00C241DF" w:rsidRPr="008805E5" w:rsidRDefault="00C241DF" w:rsidP="008805E5">
            <w:pPr>
              <w:jc w:val="center"/>
              <w:rPr>
                <w:rFonts w:ascii="Arial Narrow" w:hAnsi="Arial Narrow"/>
                <w:color w:val="31849B"/>
                <w:sz w:val="16"/>
                <w:szCs w:val="16"/>
              </w:rPr>
            </w:pPr>
          </w:p>
        </w:tc>
      </w:tr>
      <w:tr w:rsidR="00CC23DC" w:rsidRPr="00BC2C5D" w14:paraId="3EA964B8" w14:textId="77777777" w:rsidTr="00CC23DC">
        <w:trPr>
          <w:trHeight w:val="613"/>
        </w:trPr>
        <w:tc>
          <w:tcPr>
            <w:tcW w:w="1526" w:type="dxa"/>
            <w:tcBorders>
              <w:top w:val="single" w:sz="18" w:space="0" w:color="C0C0C0"/>
              <w:left w:val="single" w:sz="18" w:space="0" w:color="auto"/>
              <w:right w:val="single" w:sz="18" w:space="0" w:color="C0C0C0"/>
            </w:tcBorders>
            <w:shd w:val="clear" w:color="auto" w:fill="auto"/>
            <w:vAlign w:val="center"/>
          </w:tcPr>
          <w:p w14:paraId="0A6385D6" w14:textId="1BCB56B5" w:rsidR="00CC23DC" w:rsidRPr="00390B39" w:rsidRDefault="00CC23DC" w:rsidP="00C5507C">
            <w:pPr>
              <w:jc w:val="center"/>
              <w:rPr>
                <w:rFonts w:ascii="Arial Narrow" w:hAnsi="Arial Narrow" w:cs="Arial"/>
                <w:sz w:val="16"/>
                <w:szCs w:val="16"/>
              </w:rPr>
            </w:pPr>
            <w:r>
              <w:rPr>
                <w:rFonts w:ascii="Arial Narrow" w:hAnsi="Arial Narrow" w:cs="Arial"/>
                <w:sz w:val="16"/>
                <w:szCs w:val="16"/>
              </w:rPr>
              <w:t>16 May</w:t>
            </w:r>
          </w:p>
        </w:tc>
        <w:tc>
          <w:tcPr>
            <w:tcW w:w="1051" w:type="dxa"/>
            <w:tcBorders>
              <w:top w:val="single" w:sz="18" w:space="0" w:color="C0C0C0"/>
              <w:left w:val="single" w:sz="18" w:space="0" w:color="C0C0C0"/>
              <w:right w:val="single" w:sz="18" w:space="0" w:color="C0C0C0"/>
            </w:tcBorders>
            <w:shd w:val="clear" w:color="auto" w:fill="auto"/>
            <w:vAlign w:val="center"/>
          </w:tcPr>
          <w:p w14:paraId="27120716" w14:textId="2460197C" w:rsidR="00CC23DC" w:rsidRPr="006C79D3" w:rsidRDefault="00CC23DC"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right w:val="single" w:sz="18" w:space="0" w:color="BFBFBF"/>
            </w:tcBorders>
            <w:shd w:val="clear" w:color="auto" w:fill="FFFF00"/>
            <w:vAlign w:val="center"/>
          </w:tcPr>
          <w:p w14:paraId="79A68E23" w14:textId="1EA569CE" w:rsidR="00CC23DC" w:rsidRPr="00C241DF" w:rsidRDefault="00CC23DC" w:rsidP="00967CEB">
            <w:pPr>
              <w:jc w:val="center"/>
              <w:rPr>
                <w:rFonts w:ascii="Arial Narrow" w:hAnsi="Arial Narrow" w:cs="Arial"/>
                <w:b/>
                <w:bCs/>
                <w:sz w:val="16"/>
                <w:szCs w:val="16"/>
              </w:rPr>
            </w:pPr>
            <w:r w:rsidRPr="00C241DF">
              <w:rPr>
                <w:rFonts w:ascii="Arial Narrow" w:hAnsi="Arial Narrow" w:cs="Arial"/>
                <w:b/>
                <w:bCs/>
                <w:sz w:val="16"/>
                <w:szCs w:val="16"/>
              </w:rPr>
              <w:t>17</w:t>
            </w:r>
          </w:p>
        </w:tc>
        <w:tc>
          <w:tcPr>
            <w:tcW w:w="1162" w:type="dxa"/>
            <w:tcBorders>
              <w:top w:val="single" w:sz="18" w:space="0" w:color="C0C0C0"/>
              <w:left w:val="single" w:sz="18" w:space="0" w:color="BFBFBF"/>
              <w:right w:val="single" w:sz="18" w:space="0" w:color="C0C0C0"/>
            </w:tcBorders>
            <w:shd w:val="clear" w:color="auto" w:fill="A972A9"/>
            <w:vAlign w:val="center"/>
          </w:tcPr>
          <w:p w14:paraId="05A7C8EF" w14:textId="73522C99" w:rsidR="00CC23DC" w:rsidRPr="00C241DF" w:rsidRDefault="00CC23DC" w:rsidP="00C5507C">
            <w:pPr>
              <w:jc w:val="center"/>
              <w:rPr>
                <w:rFonts w:ascii="Arial Narrow" w:hAnsi="Arial Narrow" w:cs="Arial"/>
                <w:b/>
                <w:bCs/>
                <w:sz w:val="16"/>
                <w:szCs w:val="16"/>
              </w:rPr>
            </w:pPr>
            <w:r w:rsidRPr="00C241DF">
              <w:rPr>
                <w:rFonts w:ascii="Arial Narrow" w:hAnsi="Arial Narrow" w:cs="Arial"/>
                <w:b/>
                <w:bCs/>
                <w:sz w:val="16"/>
                <w:szCs w:val="16"/>
              </w:rPr>
              <w:t>18</w:t>
            </w:r>
          </w:p>
        </w:tc>
        <w:tc>
          <w:tcPr>
            <w:tcW w:w="1162" w:type="dxa"/>
            <w:tcBorders>
              <w:top w:val="single" w:sz="18" w:space="0" w:color="C0C0C0"/>
              <w:left w:val="single" w:sz="18" w:space="0" w:color="C0C0C0"/>
              <w:right w:val="single" w:sz="18" w:space="0" w:color="C0C0C0"/>
            </w:tcBorders>
            <w:shd w:val="clear" w:color="auto" w:fill="A972A9"/>
            <w:vAlign w:val="center"/>
          </w:tcPr>
          <w:p w14:paraId="10D421D0" w14:textId="1712D390" w:rsidR="00CC23DC" w:rsidRPr="00CC23DC" w:rsidRDefault="00CC23DC" w:rsidP="00987E69">
            <w:pPr>
              <w:jc w:val="center"/>
              <w:rPr>
                <w:rFonts w:ascii="Arial Narrow" w:hAnsi="Arial Narrow" w:cs="Arial"/>
                <w:b/>
                <w:bCs/>
                <w:sz w:val="16"/>
                <w:szCs w:val="16"/>
              </w:rPr>
            </w:pPr>
            <w:r w:rsidRPr="00CC23DC">
              <w:rPr>
                <w:rFonts w:ascii="Arial Narrow" w:hAnsi="Arial Narrow" w:cs="Arial"/>
                <w:b/>
                <w:bCs/>
                <w:sz w:val="16"/>
                <w:szCs w:val="16"/>
              </w:rPr>
              <w:t>19</w:t>
            </w:r>
          </w:p>
        </w:tc>
        <w:tc>
          <w:tcPr>
            <w:tcW w:w="1162" w:type="dxa"/>
            <w:tcBorders>
              <w:top w:val="single" w:sz="18" w:space="0" w:color="C0C0C0"/>
              <w:left w:val="single" w:sz="18" w:space="0" w:color="C0C0C0"/>
              <w:right w:val="single" w:sz="18" w:space="0" w:color="auto"/>
            </w:tcBorders>
            <w:shd w:val="clear" w:color="auto" w:fill="auto"/>
            <w:vAlign w:val="center"/>
          </w:tcPr>
          <w:p w14:paraId="3521E9C0" w14:textId="77777777" w:rsidR="00CC23DC" w:rsidRPr="00A634FA" w:rsidRDefault="00CC23DC"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1706F7F9" w14:textId="77777777" w:rsidR="00CC23DC" w:rsidRDefault="00CC23DC" w:rsidP="00C5507C">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p w14:paraId="711145A3" w14:textId="2D5865D6" w:rsidR="00CC23DC" w:rsidRPr="008805E5" w:rsidRDefault="00CC23DC" w:rsidP="00C5507C">
            <w:pPr>
              <w:jc w:val="center"/>
              <w:rPr>
                <w:rFonts w:ascii="Arial Narrow" w:hAnsi="Arial Narrow" w:cs="Arial"/>
                <w:sz w:val="16"/>
                <w:szCs w:val="16"/>
                <w:highlight w:val="yellow"/>
              </w:rPr>
            </w:pPr>
            <w:r w:rsidRPr="008805E5">
              <w:rPr>
                <w:rFonts w:ascii="Arial Narrow" w:hAnsi="Arial Narrow"/>
                <w:color w:val="31849B"/>
                <w:sz w:val="16"/>
                <w:szCs w:val="16"/>
              </w:rPr>
              <w:t>Doomadgee – Gulf Circuit</w:t>
            </w:r>
          </w:p>
        </w:tc>
      </w:tr>
      <w:tr w:rsidR="00F512E5" w:rsidRPr="00BC2C5D" w14:paraId="3766C4CB" w14:textId="77777777" w:rsidTr="00CA4D07">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0F542D29" w14:textId="218ED512" w:rsidR="00F512E5" w:rsidRDefault="00F512E5" w:rsidP="00390B39">
            <w:pPr>
              <w:jc w:val="center"/>
              <w:rPr>
                <w:rFonts w:ascii="Arial Narrow" w:hAnsi="Arial Narrow" w:cs="Arial"/>
                <w:sz w:val="16"/>
                <w:szCs w:val="16"/>
              </w:rPr>
            </w:pPr>
            <w:r>
              <w:rPr>
                <w:rFonts w:ascii="Arial Narrow" w:hAnsi="Arial Narrow" w:cs="Arial"/>
                <w:sz w:val="16"/>
                <w:szCs w:val="16"/>
              </w:rPr>
              <w:t>23 May</w:t>
            </w:r>
          </w:p>
        </w:tc>
        <w:tc>
          <w:tcPr>
            <w:tcW w:w="1051" w:type="dxa"/>
            <w:tcBorders>
              <w:top w:val="single" w:sz="18" w:space="0" w:color="C0C0C0"/>
              <w:left w:val="single" w:sz="18" w:space="0" w:color="C0C0C0"/>
              <w:right w:val="single" w:sz="18" w:space="0" w:color="C0C0C0"/>
            </w:tcBorders>
            <w:shd w:val="clear" w:color="auto" w:fill="53D2FF"/>
            <w:vAlign w:val="center"/>
          </w:tcPr>
          <w:p w14:paraId="2B5526BB" w14:textId="2A88C627" w:rsidR="00F512E5" w:rsidRPr="006C79D3" w:rsidRDefault="00F512E5" w:rsidP="00390B39">
            <w:pPr>
              <w:jc w:val="center"/>
              <w:rPr>
                <w:rFonts w:ascii="Arial Narrow" w:hAnsi="Arial Narrow" w:cs="Arial"/>
                <w:sz w:val="16"/>
                <w:szCs w:val="16"/>
                <w:highlight w:val="yellow"/>
              </w:rPr>
            </w:pPr>
          </w:p>
        </w:tc>
        <w:tc>
          <w:tcPr>
            <w:tcW w:w="1162" w:type="dxa"/>
            <w:tcBorders>
              <w:top w:val="single" w:sz="18" w:space="0" w:color="C0C0C0"/>
              <w:left w:val="single" w:sz="18" w:space="0" w:color="C0C0C0"/>
              <w:right w:val="single" w:sz="18" w:space="0" w:color="BFBFBF"/>
            </w:tcBorders>
            <w:shd w:val="clear" w:color="auto" w:fill="53D2FF"/>
            <w:vAlign w:val="center"/>
          </w:tcPr>
          <w:p w14:paraId="7CBBAD8B" w14:textId="577BA60C" w:rsidR="00F512E5" w:rsidRPr="00C82951" w:rsidRDefault="00C82951" w:rsidP="00987E69">
            <w:pPr>
              <w:jc w:val="center"/>
              <w:rPr>
                <w:rFonts w:ascii="Arial Narrow" w:hAnsi="Arial Narrow" w:cs="Arial"/>
                <w:b/>
                <w:bCs/>
                <w:sz w:val="16"/>
                <w:szCs w:val="16"/>
              </w:rPr>
            </w:pPr>
            <w:r w:rsidRPr="00C82951">
              <w:rPr>
                <w:rFonts w:ascii="Arial Narrow" w:hAnsi="Arial Narrow" w:cs="Arial"/>
                <w:b/>
                <w:bCs/>
                <w:sz w:val="16"/>
                <w:szCs w:val="16"/>
              </w:rPr>
              <w:t>24</w:t>
            </w:r>
          </w:p>
        </w:tc>
        <w:tc>
          <w:tcPr>
            <w:tcW w:w="1162" w:type="dxa"/>
            <w:tcBorders>
              <w:top w:val="single" w:sz="18" w:space="0" w:color="C0C0C0"/>
              <w:left w:val="single" w:sz="18" w:space="0" w:color="BFBFBF"/>
              <w:right w:val="single" w:sz="18" w:space="0" w:color="C0C0C0"/>
            </w:tcBorders>
            <w:shd w:val="clear" w:color="auto" w:fill="53D2FF"/>
            <w:vAlign w:val="center"/>
          </w:tcPr>
          <w:p w14:paraId="46FDB6FD" w14:textId="6FE4B7BD" w:rsidR="00F512E5" w:rsidRPr="00C82951" w:rsidRDefault="00C82951" w:rsidP="00390B39">
            <w:pPr>
              <w:jc w:val="center"/>
              <w:rPr>
                <w:rFonts w:ascii="Arial Narrow" w:hAnsi="Arial Narrow" w:cs="Arial"/>
                <w:b/>
                <w:bCs/>
                <w:sz w:val="16"/>
                <w:szCs w:val="16"/>
              </w:rPr>
            </w:pPr>
            <w:r w:rsidRPr="00C82951">
              <w:rPr>
                <w:rFonts w:ascii="Arial Narrow" w:hAnsi="Arial Narrow" w:cs="Arial"/>
                <w:b/>
                <w:bCs/>
                <w:sz w:val="16"/>
                <w:szCs w:val="16"/>
              </w:rPr>
              <w:t>25</w:t>
            </w:r>
          </w:p>
        </w:tc>
        <w:tc>
          <w:tcPr>
            <w:tcW w:w="1162" w:type="dxa"/>
            <w:tcBorders>
              <w:top w:val="single" w:sz="18" w:space="0" w:color="C0C0C0"/>
              <w:left w:val="single" w:sz="18" w:space="0" w:color="C0C0C0"/>
              <w:right w:val="single" w:sz="18" w:space="0" w:color="C0C0C0"/>
            </w:tcBorders>
            <w:shd w:val="clear" w:color="auto" w:fill="53D2FF"/>
            <w:vAlign w:val="center"/>
          </w:tcPr>
          <w:p w14:paraId="0E61EDBE" w14:textId="59BDCC73" w:rsidR="00F512E5" w:rsidRPr="00C82951" w:rsidRDefault="00C82951" w:rsidP="00390B39">
            <w:pPr>
              <w:jc w:val="center"/>
              <w:rPr>
                <w:rFonts w:ascii="Arial Narrow" w:hAnsi="Arial Narrow" w:cs="Arial"/>
                <w:b/>
                <w:bCs/>
                <w:sz w:val="16"/>
                <w:szCs w:val="16"/>
              </w:rPr>
            </w:pPr>
            <w:r w:rsidRPr="00C82951">
              <w:rPr>
                <w:rFonts w:ascii="Arial Narrow" w:hAnsi="Arial Narrow" w:cs="Arial"/>
                <w:b/>
                <w:bCs/>
                <w:sz w:val="16"/>
                <w:szCs w:val="16"/>
              </w:rPr>
              <w:t>26</w:t>
            </w:r>
          </w:p>
        </w:tc>
        <w:tc>
          <w:tcPr>
            <w:tcW w:w="1162" w:type="dxa"/>
            <w:tcBorders>
              <w:top w:val="single" w:sz="18" w:space="0" w:color="C0C0C0"/>
              <w:left w:val="single" w:sz="18" w:space="0" w:color="C0C0C0"/>
              <w:right w:val="single" w:sz="18" w:space="0" w:color="auto"/>
            </w:tcBorders>
            <w:shd w:val="clear" w:color="auto" w:fill="53D2FF"/>
            <w:vAlign w:val="center"/>
          </w:tcPr>
          <w:p w14:paraId="5DEA3FBA" w14:textId="77777777" w:rsidR="00F512E5" w:rsidRPr="00A634FA" w:rsidRDefault="00F512E5" w:rsidP="00390B39">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7E9BBB20" w14:textId="178878F0" w:rsidR="00F512E5" w:rsidRPr="008805E5" w:rsidRDefault="000857D8" w:rsidP="009E4A93">
            <w:pPr>
              <w:jc w:val="center"/>
              <w:rPr>
                <w:rFonts w:ascii="Arial Narrow" w:hAnsi="Arial Narrow" w:cs="Arial"/>
                <w:sz w:val="16"/>
                <w:szCs w:val="16"/>
                <w:highlight w:val="yellow"/>
              </w:rPr>
            </w:pPr>
            <w:r w:rsidRPr="000857D8">
              <w:rPr>
                <w:rFonts w:ascii="Arial Narrow" w:hAnsi="Arial Narrow" w:cs="Arial"/>
                <w:sz w:val="16"/>
                <w:szCs w:val="16"/>
              </w:rPr>
              <w:t>Local Commissioner Development Week</w:t>
            </w:r>
          </w:p>
        </w:tc>
      </w:tr>
      <w:tr w:rsidR="00CC23DC" w:rsidRPr="00BC2C5D" w14:paraId="2952A691" w14:textId="77777777" w:rsidTr="00CC23DC">
        <w:trPr>
          <w:trHeight w:val="615"/>
        </w:trPr>
        <w:tc>
          <w:tcPr>
            <w:tcW w:w="1526" w:type="dxa"/>
            <w:tcBorders>
              <w:top w:val="single" w:sz="18" w:space="0" w:color="BFBFBF"/>
              <w:left w:val="single" w:sz="18" w:space="0" w:color="auto"/>
              <w:right w:val="single" w:sz="18" w:space="0" w:color="C0C0C0"/>
            </w:tcBorders>
            <w:shd w:val="clear" w:color="auto" w:fill="auto"/>
            <w:vAlign w:val="center"/>
          </w:tcPr>
          <w:p w14:paraId="219AC89F" w14:textId="2465DCE2" w:rsidR="00CC23DC" w:rsidRPr="00A634FA" w:rsidRDefault="00CC23DC" w:rsidP="00390B39">
            <w:pPr>
              <w:jc w:val="center"/>
              <w:rPr>
                <w:rFonts w:ascii="Arial Narrow" w:hAnsi="Arial Narrow" w:cs="Arial"/>
                <w:sz w:val="16"/>
                <w:szCs w:val="16"/>
              </w:rPr>
            </w:pPr>
            <w:r>
              <w:rPr>
                <w:rFonts w:ascii="Arial Narrow" w:hAnsi="Arial Narrow" w:cs="Arial"/>
                <w:sz w:val="16"/>
                <w:szCs w:val="16"/>
              </w:rPr>
              <w:t>30 May</w:t>
            </w:r>
          </w:p>
        </w:tc>
        <w:tc>
          <w:tcPr>
            <w:tcW w:w="1051" w:type="dxa"/>
            <w:tcBorders>
              <w:top w:val="single" w:sz="18" w:space="0" w:color="BFBFBF"/>
              <w:left w:val="single" w:sz="18" w:space="0" w:color="C0C0C0"/>
              <w:right w:val="single" w:sz="18" w:space="0" w:color="C0C0C0"/>
            </w:tcBorders>
            <w:shd w:val="clear" w:color="auto" w:fill="auto"/>
            <w:vAlign w:val="center"/>
          </w:tcPr>
          <w:p w14:paraId="4A0F32FC" w14:textId="68686A64" w:rsidR="00CC23DC" w:rsidRPr="00A634FA" w:rsidRDefault="00CC23DC" w:rsidP="00390B39">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auto"/>
            <w:vAlign w:val="center"/>
          </w:tcPr>
          <w:p w14:paraId="4423C25E" w14:textId="5F6B45FF" w:rsidR="00CC23DC" w:rsidRPr="00C82951" w:rsidRDefault="00CC23DC" w:rsidP="00390B39">
            <w:pPr>
              <w:jc w:val="center"/>
              <w:rPr>
                <w:rFonts w:ascii="Arial Narrow" w:hAnsi="Arial Narrow" w:cs="Arial"/>
                <w:b/>
                <w:bCs/>
                <w:sz w:val="16"/>
                <w:szCs w:val="16"/>
              </w:rPr>
            </w:pPr>
          </w:p>
        </w:tc>
        <w:tc>
          <w:tcPr>
            <w:tcW w:w="1162" w:type="dxa"/>
            <w:tcBorders>
              <w:top w:val="single" w:sz="18" w:space="0" w:color="C0C0C0"/>
              <w:left w:val="single" w:sz="18" w:space="0" w:color="BFBFBF"/>
              <w:right w:val="single" w:sz="18" w:space="0" w:color="C0C0C0"/>
            </w:tcBorders>
            <w:shd w:val="clear" w:color="auto" w:fill="FF0000"/>
            <w:vAlign w:val="center"/>
          </w:tcPr>
          <w:p w14:paraId="2AE45B4E" w14:textId="057B563F" w:rsidR="00CC23DC" w:rsidRPr="00C82951" w:rsidRDefault="00CC23DC" w:rsidP="00390B39">
            <w:pPr>
              <w:jc w:val="center"/>
              <w:rPr>
                <w:rFonts w:ascii="Arial Narrow" w:hAnsi="Arial Narrow" w:cs="Arial"/>
                <w:b/>
                <w:bCs/>
                <w:sz w:val="16"/>
                <w:szCs w:val="16"/>
              </w:rPr>
            </w:pPr>
            <w:r w:rsidRPr="00C82951">
              <w:rPr>
                <w:rFonts w:ascii="Arial Narrow" w:hAnsi="Arial Narrow" w:cs="Arial"/>
                <w:b/>
                <w:bCs/>
                <w:sz w:val="16"/>
                <w:szCs w:val="16"/>
              </w:rPr>
              <w:t>1</w:t>
            </w:r>
          </w:p>
        </w:tc>
        <w:tc>
          <w:tcPr>
            <w:tcW w:w="1162" w:type="dxa"/>
            <w:tcBorders>
              <w:top w:val="single" w:sz="18" w:space="0" w:color="C0C0C0"/>
              <w:left w:val="single" w:sz="18" w:space="0" w:color="C0C0C0"/>
              <w:right w:val="single" w:sz="18" w:space="0" w:color="C0C0C0"/>
            </w:tcBorders>
            <w:shd w:val="clear" w:color="auto" w:fill="FF0000"/>
            <w:vAlign w:val="center"/>
          </w:tcPr>
          <w:p w14:paraId="158F79EF" w14:textId="2FA4D9F7" w:rsidR="00CC23DC" w:rsidRPr="00C82951" w:rsidRDefault="00CC23DC" w:rsidP="00987E69">
            <w:pPr>
              <w:jc w:val="center"/>
              <w:rPr>
                <w:rFonts w:ascii="Arial Narrow" w:hAnsi="Arial Narrow" w:cs="Arial"/>
                <w:b/>
                <w:bCs/>
                <w:sz w:val="16"/>
                <w:szCs w:val="16"/>
              </w:rPr>
            </w:pPr>
            <w:r w:rsidRPr="00C82951">
              <w:rPr>
                <w:rFonts w:ascii="Arial Narrow" w:hAnsi="Arial Narrow" w:cs="Arial"/>
                <w:b/>
                <w:bCs/>
                <w:sz w:val="16"/>
                <w:szCs w:val="16"/>
              </w:rPr>
              <w:t>2</w:t>
            </w:r>
          </w:p>
        </w:tc>
        <w:tc>
          <w:tcPr>
            <w:tcW w:w="1162" w:type="dxa"/>
            <w:tcBorders>
              <w:top w:val="single" w:sz="18" w:space="0" w:color="BFBFBF"/>
              <w:left w:val="single" w:sz="18" w:space="0" w:color="C0C0C0"/>
              <w:right w:val="single" w:sz="18" w:space="0" w:color="auto"/>
            </w:tcBorders>
            <w:shd w:val="clear" w:color="auto" w:fill="auto"/>
            <w:vAlign w:val="center"/>
          </w:tcPr>
          <w:p w14:paraId="3C457AF3" w14:textId="37BC24F6" w:rsidR="00CC23DC" w:rsidRPr="00A634FA" w:rsidRDefault="00CC23DC" w:rsidP="00390B39">
            <w:pPr>
              <w:jc w:val="center"/>
              <w:rPr>
                <w:rFonts w:ascii="Arial Narrow" w:hAnsi="Arial Narrow" w:cs="Arial"/>
                <w:sz w:val="16"/>
                <w:szCs w:val="16"/>
              </w:rPr>
            </w:pPr>
            <w:r w:rsidRPr="000857D8">
              <w:rPr>
                <w:rFonts w:ascii="Arial Narrow" w:hAnsi="Arial Narrow" w:cs="Arial"/>
                <w:sz w:val="16"/>
                <w:szCs w:val="16"/>
                <w:highlight w:val="yellow"/>
              </w:rPr>
              <w:t>Special Holiday - DM</w:t>
            </w:r>
          </w:p>
        </w:tc>
        <w:tc>
          <w:tcPr>
            <w:tcW w:w="3633" w:type="dxa"/>
            <w:tcBorders>
              <w:top w:val="single" w:sz="18" w:space="0" w:color="BFBFBF"/>
              <w:left w:val="single" w:sz="18" w:space="0" w:color="auto"/>
              <w:right w:val="single" w:sz="18" w:space="0" w:color="auto"/>
            </w:tcBorders>
            <w:shd w:val="clear" w:color="auto" w:fill="auto"/>
            <w:vAlign w:val="center"/>
          </w:tcPr>
          <w:p w14:paraId="6E6EBCEC" w14:textId="79CA0C06" w:rsidR="00CC23DC" w:rsidRPr="008805E5" w:rsidRDefault="00CC23DC" w:rsidP="00390B39">
            <w:pPr>
              <w:jc w:val="center"/>
              <w:rPr>
                <w:rFonts w:ascii="Arial Narrow" w:hAnsi="Arial Narrow" w:cs="Arial"/>
                <w:sz w:val="16"/>
                <w:szCs w:val="16"/>
              </w:rPr>
            </w:pPr>
            <w:r w:rsidRPr="000857D8">
              <w:rPr>
                <w:rFonts w:ascii="Arial Narrow" w:hAnsi="Arial Narrow" w:cs="Arial"/>
                <w:color w:val="244061"/>
                <w:sz w:val="16"/>
                <w:szCs w:val="16"/>
                <w:highlight w:val="yellow"/>
              </w:rPr>
              <w:t>3 Mabo Day – DM</w:t>
            </w:r>
          </w:p>
        </w:tc>
      </w:tr>
      <w:tr w:rsidR="00CC23DC" w:rsidRPr="00BC2C5D" w14:paraId="1CA5194F" w14:textId="77777777" w:rsidTr="00E66305">
        <w:trPr>
          <w:trHeight w:val="613"/>
        </w:trPr>
        <w:tc>
          <w:tcPr>
            <w:tcW w:w="1526" w:type="dxa"/>
            <w:tcBorders>
              <w:top w:val="single" w:sz="18" w:space="0" w:color="auto"/>
              <w:left w:val="single" w:sz="18" w:space="0" w:color="auto"/>
              <w:right w:val="single" w:sz="18" w:space="0" w:color="C0C0C0"/>
            </w:tcBorders>
            <w:shd w:val="clear" w:color="auto" w:fill="auto"/>
            <w:vAlign w:val="center"/>
          </w:tcPr>
          <w:p w14:paraId="62CCD3D4" w14:textId="2444926B" w:rsidR="00CC23DC" w:rsidRPr="00A634FA" w:rsidRDefault="00CC23DC" w:rsidP="00390B39">
            <w:pPr>
              <w:jc w:val="center"/>
              <w:rPr>
                <w:rFonts w:ascii="Arial Narrow" w:hAnsi="Arial Narrow" w:cs="Arial"/>
                <w:sz w:val="16"/>
                <w:szCs w:val="16"/>
              </w:rPr>
            </w:pPr>
            <w:r>
              <w:rPr>
                <w:rFonts w:ascii="Arial Narrow" w:hAnsi="Arial Narrow" w:cs="Arial"/>
                <w:sz w:val="16"/>
                <w:szCs w:val="16"/>
              </w:rPr>
              <w:t>6 June</w:t>
            </w:r>
          </w:p>
        </w:tc>
        <w:tc>
          <w:tcPr>
            <w:tcW w:w="1051" w:type="dxa"/>
            <w:tcBorders>
              <w:top w:val="single" w:sz="18" w:space="0" w:color="auto"/>
              <w:left w:val="single" w:sz="18" w:space="0" w:color="C0C0C0"/>
              <w:right w:val="single" w:sz="18" w:space="0" w:color="C0C0C0"/>
            </w:tcBorders>
            <w:shd w:val="clear" w:color="auto" w:fill="auto"/>
            <w:vAlign w:val="center"/>
          </w:tcPr>
          <w:p w14:paraId="66E74CF9" w14:textId="77777777" w:rsidR="00CC23DC" w:rsidRPr="00A634FA" w:rsidRDefault="00CC23DC" w:rsidP="00390B39">
            <w:pPr>
              <w:jc w:val="center"/>
              <w:rPr>
                <w:rFonts w:ascii="Arial Narrow" w:hAnsi="Arial Narrow" w:cs="Arial"/>
                <w:sz w:val="16"/>
                <w:szCs w:val="16"/>
                <w:highlight w:val="yellow"/>
              </w:rPr>
            </w:pPr>
          </w:p>
        </w:tc>
        <w:tc>
          <w:tcPr>
            <w:tcW w:w="1162" w:type="dxa"/>
            <w:tcBorders>
              <w:top w:val="single" w:sz="18" w:space="0" w:color="auto"/>
              <w:left w:val="single" w:sz="18" w:space="0" w:color="C0C0C0"/>
              <w:right w:val="single" w:sz="18" w:space="0" w:color="BFBFBF"/>
            </w:tcBorders>
            <w:shd w:val="clear" w:color="auto" w:fill="A972A9"/>
            <w:vAlign w:val="center"/>
          </w:tcPr>
          <w:p w14:paraId="5280C7F2" w14:textId="23ACFD09" w:rsidR="00CC23DC" w:rsidRPr="00C82951" w:rsidRDefault="00CC23DC" w:rsidP="00294AA0">
            <w:pPr>
              <w:jc w:val="center"/>
              <w:rPr>
                <w:rFonts w:ascii="Arial Narrow" w:hAnsi="Arial Narrow" w:cs="Arial"/>
                <w:b/>
                <w:bCs/>
                <w:color w:val="000000"/>
                <w:sz w:val="16"/>
                <w:szCs w:val="16"/>
              </w:rPr>
            </w:pPr>
            <w:r w:rsidRPr="00C82951">
              <w:rPr>
                <w:rFonts w:ascii="Arial Narrow" w:hAnsi="Arial Narrow" w:cs="Arial"/>
                <w:b/>
                <w:bCs/>
                <w:color w:val="000000"/>
                <w:sz w:val="16"/>
                <w:szCs w:val="16"/>
              </w:rPr>
              <w:t>7</w:t>
            </w:r>
          </w:p>
        </w:tc>
        <w:tc>
          <w:tcPr>
            <w:tcW w:w="1162" w:type="dxa"/>
            <w:tcBorders>
              <w:top w:val="single" w:sz="18" w:space="0" w:color="auto"/>
              <w:left w:val="single" w:sz="18" w:space="0" w:color="BFBFBF"/>
              <w:right w:val="single" w:sz="18" w:space="0" w:color="C0C0C0"/>
            </w:tcBorders>
            <w:shd w:val="clear" w:color="auto" w:fill="A972A9"/>
            <w:vAlign w:val="center"/>
          </w:tcPr>
          <w:p w14:paraId="31836070" w14:textId="044AF3AC" w:rsidR="00CC23DC" w:rsidRPr="00C82951" w:rsidRDefault="00CC23DC" w:rsidP="00390B39">
            <w:pPr>
              <w:jc w:val="center"/>
              <w:rPr>
                <w:rFonts w:ascii="Arial Narrow" w:hAnsi="Arial Narrow" w:cs="Arial"/>
                <w:b/>
                <w:bCs/>
                <w:color w:val="000000"/>
                <w:sz w:val="16"/>
                <w:szCs w:val="16"/>
              </w:rPr>
            </w:pPr>
            <w:r w:rsidRPr="00C82951">
              <w:rPr>
                <w:rFonts w:ascii="Arial Narrow" w:hAnsi="Arial Narrow" w:cs="Arial"/>
                <w:b/>
                <w:bCs/>
                <w:color w:val="000000"/>
                <w:sz w:val="16"/>
                <w:szCs w:val="16"/>
              </w:rPr>
              <w:t>8</w:t>
            </w:r>
          </w:p>
        </w:tc>
        <w:tc>
          <w:tcPr>
            <w:tcW w:w="1162" w:type="dxa"/>
            <w:tcBorders>
              <w:top w:val="single" w:sz="18" w:space="0" w:color="auto"/>
              <w:left w:val="single" w:sz="18" w:space="0" w:color="C0C0C0"/>
              <w:right w:val="single" w:sz="18" w:space="0" w:color="C0C0C0"/>
            </w:tcBorders>
            <w:shd w:val="clear" w:color="auto" w:fill="auto"/>
            <w:vAlign w:val="center"/>
          </w:tcPr>
          <w:p w14:paraId="18177425" w14:textId="22180C66" w:rsidR="00CC23DC" w:rsidRPr="0012603B" w:rsidRDefault="00CC23DC" w:rsidP="00534C70">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auto"/>
            </w:tcBorders>
            <w:shd w:val="clear" w:color="auto" w:fill="auto"/>
            <w:vAlign w:val="center"/>
          </w:tcPr>
          <w:p w14:paraId="56CF5F8B" w14:textId="77777777" w:rsidR="00CC23DC" w:rsidRPr="00A634FA" w:rsidRDefault="00CC23DC" w:rsidP="00390B39">
            <w:pPr>
              <w:jc w:val="center"/>
              <w:rPr>
                <w:rFonts w:ascii="Arial Narrow" w:hAnsi="Arial Narrow" w:cs="Arial"/>
                <w:sz w:val="16"/>
                <w:szCs w:val="16"/>
                <w:highlight w:val="yellow"/>
              </w:rPr>
            </w:pPr>
          </w:p>
        </w:tc>
        <w:tc>
          <w:tcPr>
            <w:tcW w:w="3633" w:type="dxa"/>
            <w:tcBorders>
              <w:top w:val="single" w:sz="18" w:space="0" w:color="auto"/>
              <w:left w:val="single" w:sz="18" w:space="0" w:color="auto"/>
              <w:right w:val="single" w:sz="18" w:space="0" w:color="auto"/>
            </w:tcBorders>
            <w:shd w:val="clear" w:color="auto" w:fill="auto"/>
            <w:vAlign w:val="center"/>
          </w:tcPr>
          <w:p w14:paraId="5EC10655" w14:textId="77777777" w:rsidR="00CC23DC" w:rsidRPr="005E78F9" w:rsidRDefault="00CC23DC" w:rsidP="008805E5">
            <w:pPr>
              <w:jc w:val="center"/>
              <w:rPr>
                <w:rFonts w:ascii="Arial Narrow" w:hAnsi="Arial Narrow"/>
                <w:sz w:val="16"/>
                <w:szCs w:val="16"/>
              </w:rPr>
            </w:pPr>
            <w:r w:rsidRPr="005E78F9">
              <w:rPr>
                <w:rFonts w:ascii="Arial Narrow" w:hAnsi="Arial Narrow"/>
                <w:sz w:val="16"/>
                <w:szCs w:val="16"/>
              </w:rPr>
              <w:t>9-12 Normanton Rodeo</w:t>
            </w:r>
          </w:p>
          <w:p w14:paraId="6C9148DC" w14:textId="0682B0B0" w:rsidR="00CC23DC" w:rsidRPr="008805E5" w:rsidRDefault="00CC23DC"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CC23DC" w:rsidRPr="00BC2C5D" w14:paraId="6A282D96" w14:textId="77777777" w:rsidTr="00CC23DC">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6D86D990" w14:textId="11CFF9C9" w:rsidR="00CC23DC" w:rsidRPr="00A634FA" w:rsidRDefault="00CC23DC" w:rsidP="00313AD9">
            <w:pPr>
              <w:jc w:val="center"/>
              <w:rPr>
                <w:rFonts w:ascii="Arial Narrow" w:hAnsi="Arial Narrow" w:cs="Arial"/>
                <w:sz w:val="16"/>
                <w:szCs w:val="16"/>
              </w:rPr>
            </w:pPr>
            <w:r>
              <w:rPr>
                <w:rFonts w:ascii="Arial Narrow" w:hAnsi="Arial Narrow" w:cs="Arial"/>
                <w:sz w:val="16"/>
                <w:szCs w:val="16"/>
              </w:rPr>
              <w:t>13 June</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695555CE" w14:textId="61BB7C07" w:rsidR="00CC23DC" w:rsidRPr="00A634FA" w:rsidRDefault="00CC23DC" w:rsidP="00313AD9">
            <w:pPr>
              <w:jc w:val="center"/>
              <w:rPr>
                <w:rFonts w:ascii="Arial Narrow" w:hAnsi="Arial Narrow" w:cs="Arial"/>
                <w:sz w:val="16"/>
                <w:szCs w:val="16"/>
                <w:highlight w:val="yellow"/>
              </w:rPr>
            </w:pPr>
          </w:p>
        </w:tc>
        <w:tc>
          <w:tcPr>
            <w:tcW w:w="1162" w:type="dxa"/>
            <w:vMerge w:val="restart"/>
            <w:tcBorders>
              <w:top w:val="single" w:sz="18" w:space="0" w:color="C0C0C0"/>
              <w:left w:val="single" w:sz="18" w:space="0" w:color="C0C0C0"/>
              <w:right w:val="single" w:sz="18" w:space="0" w:color="BFBFBF"/>
            </w:tcBorders>
            <w:shd w:val="clear" w:color="auto" w:fill="auto"/>
            <w:vAlign w:val="center"/>
          </w:tcPr>
          <w:p w14:paraId="09C9C0A4" w14:textId="43A3A419" w:rsidR="00CC23DC" w:rsidRPr="00C82951" w:rsidRDefault="00CC23DC" w:rsidP="001F0A2E">
            <w:pPr>
              <w:jc w:val="center"/>
              <w:rPr>
                <w:rFonts w:ascii="Arial Narrow" w:hAnsi="Arial Narrow" w:cs="Arial"/>
                <w:b/>
                <w:bCs/>
                <w:color w:val="000000"/>
                <w:sz w:val="16"/>
                <w:szCs w:val="16"/>
              </w:rPr>
            </w:pP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BF01046" w14:textId="048B469D" w:rsidR="00CC23DC" w:rsidRPr="00C82951" w:rsidRDefault="00CC23DC" w:rsidP="00534C70">
            <w:pPr>
              <w:jc w:val="center"/>
              <w:rPr>
                <w:rFonts w:ascii="Arial Narrow" w:hAnsi="Arial Narrow" w:cs="Arial"/>
                <w:b/>
                <w:bCs/>
                <w:color w:val="000000"/>
                <w:sz w:val="16"/>
                <w:szCs w:val="16"/>
              </w:rPr>
            </w:pPr>
            <w:r w:rsidRPr="00C82951">
              <w:rPr>
                <w:rFonts w:ascii="Arial Narrow" w:hAnsi="Arial Narrow" w:cs="Arial"/>
                <w:b/>
                <w:bCs/>
                <w:color w:val="000000"/>
                <w:sz w:val="16"/>
                <w:szCs w:val="16"/>
              </w:rPr>
              <w:t>15</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63AD05D9" w14:textId="77352C84" w:rsidR="00CC23DC" w:rsidRPr="00C82951" w:rsidRDefault="00CC23DC" w:rsidP="00313AD9">
            <w:pPr>
              <w:jc w:val="center"/>
              <w:rPr>
                <w:rFonts w:ascii="Arial Narrow" w:hAnsi="Arial Narrow" w:cs="Arial"/>
                <w:b/>
                <w:bCs/>
                <w:sz w:val="16"/>
                <w:szCs w:val="16"/>
              </w:rPr>
            </w:pPr>
            <w:r w:rsidRPr="00C82951">
              <w:rPr>
                <w:rFonts w:ascii="Arial Narrow" w:hAnsi="Arial Narrow" w:cs="Arial"/>
                <w:b/>
                <w:bCs/>
                <w:sz w:val="16"/>
                <w:szCs w:val="16"/>
              </w:rPr>
              <w:t>16</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FC64D6A" w14:textId="77777777" w:rsidR="00CC23DC" w:rsidRPr="00A634FA" w:rsidRDefault="00CC23DC" w:rsidP="00313AD9">
            <w:pPr>
              <w:jc w:val="center"/>
              <w:rPr>
                <w:rFonts w:ascii="Arial Narrow" w:hAnsi="Arial Narrow" w:cs="Arial"/>
                <w:sz w:val="16"/>
                <w:szCs w:val="16"/>
                <w:highlight w:val="yellow"/>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17721B08" w14:textId="739990CF" w:rsidR="00CC23DC" w:rsidRPr="000857D8" w:rsidRDefault="00CC23DC" w:rsidP="008805E5">
            <w:pPr>
              <w:jc w:val="center"/>
              <w:rPr>
                <w:rFonts w:ascii="Arial Narrow" w:hAnsi="Arial Narrow"/>
                <w:sz w:val="16"/>
                <w:szCs w:val="16"/>
              </w:rPr>
            </w:pPr>
            <w:r w:rsidRPr="000857D8">
              <w:rPr>
                <w:rFonts w:ascii="Arial Narrow" w:hAnsi="Arial Narrow"/>
                <w:sz w:val="16"/>
                <w:szCs w:val="16"/>
              </w:rPr>
              <w:t>17-18 Mount Isa Show</w:t>
            </w:r>
          </w:p>
          <w:p w14:paraId="0EA0BA43" w14:textId="40765A47" w:rsidR="00CC23DC" w:rsidRDefault="00CC23DC" w:rsidP="008805E5">
            <w:pPr>
              <w:jc w:val="center"/>
              <w:rPr>
                <w:rFonts w:ascii="Arial Narrow" w:hAnsi="Arial Narrow"/>
                <w:color w:val="31849B"/>
                <w:sz w:val="16"/>
                <w:szCs w:val="16"/>
              </w:rPr>
            </w:pPr>
            <w:r w:rsidRPr="008805E5">
              <w:rPr>
                <w:rFonts w:ascii="Arial Narrow" w:hAnsi="Arial Narrow"/>
                <w:color w:val="31849B"/>
                <w:sz w:val="16"/>
                <w:szCs w:val="16"/>
              </w:rPr>
              <w:t>Aurukun Cape B Circuit</w:t>
            </w:r>
          </w:p>
          <w:p w14:paraId="7594D7D0" w14:textId="4209D798" w:rsidR="00CC23DC" w:rsidRPr="008805E5" w:rsidRDefault="00CC23DC" w:rsidP="008805E5">
            <w:pPr>
              <w:jc w:val="center"/>
              <w:rPr>
                <w:rFonts w:ascii="Arial Narrow" w:hAnsi="Arial Narrow"/>
                <w:sz w:val="16"/>
                <w:szCs w:val="16"/>
              </w:rPr>
            </w:pPr>
            <w:r w:rsidRPr="008805E5">
              <w:rPr>
                <w:rFonts w:ascii="Arial Narrow" w:hAnsi="Arial Narrow"/>
                <w:color w:val="31849B"/>
                <w:sz w:val="16"/>
                <w:szCs w:val="16"/>
              </w:rPr>
              <w:t>Doomadgee – Gulf Circuit</w:t>
            </w:r>
          </w:p>
        </w:tc>
      </w:tr>
      <w:tr w:rsidR="00C82951" w:rsidRPr="00BC2C5D" w14:paraId="20D6C259" w14:textId="77777777" w:rsidTr="00CC23DC">
        <w:trPr>
          <w:trHeight w:val="284"/>
        </w:trPr>
        <w:tc>
          <w:tcPr>
            <w:tcW w:w="1526" w:type="dxa"/>
            <w:vMerge/>
            <w:tcBorders>
              <w:left w:val="single" w:sz="18" w:space="0" w:color="auto"/>
              <w:right w:val="single" w:sz="18" w:space="0" w:color="C0C0C0"/>
            </w:tcBorders>
            <w:shd w:val="clear" w:color="auto" w:fill="auto"/>
            <w:vAlign w:val="center"/>
          </w:tcPr>
          <w:p w14:paraId="2C8E8F3F" w14:textId="77777777" w:rsidR="00C82951" w:rsidRDefault="00C82951" w:rsidP="00313AD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741A303C" w14:textId="77777777" w:rsidR="00C82951" w:rsidRPr="00A634FA" w:rsidRDefault="00C82951" w:rsidP="00313AD9">
            <w:pPr>
              <w:jc w:val="center"/>
              <w:rPr>
                <w:rFonts w:ascii="Arial Narrow" w:hAnsi="Arial Narrow" w:cs="Arial"/>
                <w:sz w:val="16"/>
                <w:szCs w:val="16"/>
                <w:highlight w:val="yellow"/>
              </w:rPr>
            </w:pPr>
          </w:p>
        </w:tc>
        <w:tc>
          <w:tcPr>
            <w:tcW w:w="1162" w:type="dxa"/>
            <w:vMerge/>
            <w:tcBorders>
              <w:left w:val="single" w:sz="18" w:space="0" w:color="C0C0C0"/>
              <w:right w:val="single" w:sz="18" w:space="0" w:color="BFBFBF"/>
            </w:tcBorders>
            <w:shd w:val="clear" w:color="auto" w:fill="auto"/>
            <w:vAlign w:val="center"/>
          </w:tcPr>
          <w:p w14:paraId="2BB97186" w14:textId="77777777" w:rsidR="00C82951" w:rsidRPr="0012603B" w:rsidRDefault="00C82951" w:rsidP="001F0A2E">
            <w:pPr>
              <w:jc w:val="center"/>
              <w:rPr>
                <w:rFonts w:ascii="Arial Narrow" w:hAnsi="Arial Narrow" w:cs="Arial"/>
                <w:color w:val="000000"/>
                <w:sz w:val="16"/>
                <w:szCs w:val="16"/>
              </w:rPr>
            </w:pPr>
          </w:p>
        </w:tc>
        <w:tc>
          <w:tcPr>
            <w:tcW w:w="1162" w:type="dxa"/>
            <w:vMerge/>
            <w:tcBorders>
              <w:left w:val="single" w:sz="18" w:space="0" w:color="BFBFBF"/>
              <w:right w:val="single" w:sz="18" w:space="0" w:color="C0C0C0"/>
            </w:tcBorders>
            <w:shd w:val="clear" w:color="auto" w:fill="FF0000"/>
            <w:vAlign w:val="center"/>
          </w:tcPr>
          <w:p w14:paraId="0444E1BF" w14:textId="77777777" w:rsidR="00C82951" w:rsidRPr="0012603B" w:rsidRDefault="00C82951" w:rsidP="00534C70">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31849B"/>
            <w:vAlign w:val="center"/>
          </w:tcPr>
          <w:p w14:paraId="61951B7A" w14:textId="45325F82" w:rsidR="00C82951" w:rsidRPr="00C82951" w:rsidRDefault="00C82951" w:rsidP="00313AD9">
            <w:pPr>
              <w:jc w:val="center"/>
              <w:rPr>
                <w:rFonts w:ascii="Arial Narrow" w:hAnsi="Arial Narrow" w:cs="Arial"/>
                <w:b/>
                <w:bCs/>
                <w:sz w:val="16"/>
                <w:szCs w:val="16"/>
              </w:rPr>
            </w:pPr>
            <w:r w:rsidRPr="00C82951">
              <w:rPr>
                <w:rFonts w:ascii="Arial Narrow" w:hAnsi="Arial Narrow" w:cs="Arial"/>
                <w:b/>
                <w:bCs/>
                <w:sz w:val="16"/>
                <w:szCs w:val="16"/>
              </w:rPr>
              <w:t>16</w:t>
            </w:r>
          </w:p>
        </w:tc>
        <w:tc>
          <w:tcPr>
            <w:tcW w:w="1162" w:type="dxa"/>
            <w:vMerge/>
            <w:tcBorders>
              <w:left w:val="single" w:sz="18" w:space="0" w:color="C0C0C0"/>
              <w:right w:val="single" w:sz="18" w:space="0" w:color="auto"/>
            </w:tcBorders>
            <w:shd w:val="clear" w:color="auto" w:fill="auto"/>
            <w:vAlign w:val="center"/>
          </w:tcPr>
          <w:p w14:paraId="304BEEEA" w14:textId="77777777" w:rsidR="00C82951" w:rsidRPr="00A634FA" w:rsidRDefault="00C82951" w:rsidP="00313AD9">
            <w:pPr>
              <w:jc w:val="center"/>
              <w:rPr>
                <w:rFonts w:ascii="Arial Narrow" w:hAnsi="Arial Narrow" w:cs="Arial"/>
                <w:sz w:val="16"/>
                <w:szCs w:val="16"/>
                <w:highlight w:val="yellow"/>
              </w:rPr>
            </w:pPr>
          </w:p>
        </w:tc>
        <w:tc>
          <w:tcPr>
            <w:tcW w:w="3633" w:type="dxa"/>
            <w:vMerge/>
            <w:tcBorders>
              <w:left w:val="single" w:sz="18" w:space="0" w:color="auto"/>
              <w:right w:val="single" w:sz="18" w:space="0" w:color="auto"/>
            </w:tcBorders>
            <w:shd w:val="clear" w:color="auto" w:fill="auto"/>
            <w:vAlign w:val="center"/>
          </w:tcPr>
          <w:p w14:paraId="6C194772" w14:textId="77777777" w:rsidR="00C82951" w:rsidRDefault="00C82951" w:rsidP="008805E5">
            <w:pPr>
              <w:jc w:val="center"/>
              <w:rPr>
                <w:rFonts w:ascii="Arial Narrow" w:hAnsi="Arial Narrow"/>
                <w:sz w:val="16"/>
                <w:szCs w:val="16"/>
              </w:rPr>
            </w:pPr>
          </w:p>
        </w:tc>
      </w:tr>
      <w:tr w:rsidR="00534C70" w:rsidRPr="00BC2C5D" w14:paraId="5AD4A603" w14:textId="77777777" w:rsidTr="00CC23DC">
        <w:trPr>
          <w:trHeight w:val="567"/>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06D2A91B" w:rsidR="00534C70" w:rsidRDefault="009159C4" w:rsidP="00313AD9">
            <w:pPr>
              <w:jc w:val="center"/>
              <w:rPr>
                <w:rFonts w:ascii="Arial Narrow" w:hAnsi="Arial Narrow" w:cs="Arial"/>
                <w:sz w:val="16"/>
                <w:szCs w:val="16"/>
              </w:rPr>
            </w:pPr>
            <w:r>
              <w:rPr>
                <w:rFonts w:ascii="Arial Narrow" w:hAnsi="Arial Narrow" w:cs="Arial"/>
                <w:sz w:val="16"/>
                <w:szCs w:val="16"/>
              </w:rPr>
              <w:t>20 June</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77777777" w:rsidR="00534C70" w:rsidRPr="00A634FA" w:rsidRDefault="00534C70"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right w:val="single" w:sz="18" w:space="0" w:color="BFBFBF"/>
            </w:tcBorders>
            <w:shd w:val="clear" w:color="auto" w:fill="auto"/>
            <w:vAlign w:val="center"/>
          </w:tcPr>
          <w:p w14:paraId="6101D748" w14:textId="2A82A2FB" w:rsidR="00534C70" w:rsidRPr="00C82951" w:rsidRDefault="00C82951" w:rsidP="00534C70">
            <w:pPr>
              <w:jc w:val="center"/>
              <w:rPr>
                <w:rFonts w:ascii="Arial Narrow" w:hAnsi="Arial Narrow" w:cs="Arial"/>
                <w:b/>
                <w:bCs/>
                <w:color w:val="000000"/>
                <w:sz w:val="16"/>
                <w:szCs w:val="16"/>
              </w:rPr>
            </w:pPr>
            <w:r w:rsidRPr="00C82951">
              <w:rPr>
                <w:rFonts w:ascii="Arial Narrow" w:hAnsi="Arial Narrow" w:cs="Arial"/>
                <w:b/>
                <w:bCs/>
                <w:color w:val="000000"/>
                <w:sz w:val="16"/>
                <w:szCs w:val="16"/>
              </w:rPr>
              <w:t>21</w:t>
            </w:r>
          </w:p>
        </w:tc>
        <w:tc>
          <w:tcPr>
            <w:tcW w:w="1162" w:type="dxa"/>
            <w:tcBorders>
              <w:top w:val="single" w:sz="18" w:space="0" w:color="C0C0C0"/>
              <w:left w:val="single" w:sz="18" w:space="0" w:color="BFBFBF"/>
              <w:right w:val="single" w:sz="18" w:space="0" w:color="C0C0C0"/>
            </w:tcBorders>
            <w:shd w:val="clear" w:color="auto" w:fill="A972A9"/>
            <w:vAlign w:val="center"/>
          </w:tcPr>
          <w:p w14:paraId="1EACD015" w14:textId="29E1E8BC" w:rsidR="00534C70" w:rsidRPr="00C82951" w:rsidRDefault="00C82951" w:rsidP="00313AD9">
            <w:pPr>
              <w:jc w:val="center"/>
              <w:rPr>
                <w:rFonts w:ascii="Arial Narrow" w:hAnsi="Arial Narrow" w:cs="Arial"/>
                <w:b/>
                <w:bCs/>
                <w:color w:val="000000"/>
                <w:sz w:val="16"/>
                <w:szCs w:val="16"/>
              </w:rPr>
            </w:pPr>
            <w:r w:rsidRPr="00C82951">
              <w:rPr>
                <w:rFonts w:ascii="Arial Narrow" w:hAnsi="Arial Narrow" w:cs="Arial"/>
                <w:b/>
                <w:bCs/>
                <w:color w:val="000000"/>
                <w:sz w:val="16"/>
                <w:szCs w:val="16"/>
              </w:rPr>
              <w:t>22</w:t>
            </w:r>
          </w:p>
        </w:tc>
        <w:tc>
          <w:tcPr>
            <w:tcW w:w="1162" w:type="dxa"/>
            <w:tcBorders>
              <w:top w:val="single" w:sz="18" w:space="0" w:color="C0C0C0"/>
              <w:left w:val="single" w:sz="18" w:space="0" w:color="C0C0C0"/>
              <w:right w:val="single" w:sz="18" w:space="0" w:color="C0C0C0"/>
            </w:tcBorders>
            <w:shd w:val="clear" w:color="auto" w:fill="A972A9"/>
            <w:vAlign w:val="center"/>
          </w:tcPr>
          <w:p w14:paraId="66B770D2" w14:textId="2D1539E4" w:rsidR="00534C70" w:rsidRPr="00CC23DC" w:rsidRDefault="00CC23DC" w:rsidP="004B316F">
            <w:pPr>
              <w:jc w:val="center"/>
              <w:rPr>
                <w:rFonts w:ascii="Arial Narrow" w:hAnsi="Arial Narrow" w:cs="Arial"/>
                <w:b/>
                <w:bCs/>
                <w:sz w:val="16"/>
                <w:szCs w:val="16"/>
              </w:rPr>
            </w:pPr>
            <w:r w:rsidRPr="00CC23DC">
              <w:rPr>
                <w:rFonts w:ascii="Arial Narrow" w:hAnsi="Arial Narrow" w:cs="Arial"/>
                <w:b/>
                <w:bCs/>
                <w:sz w:val="16"/>
                <w:szCs w:val="16"/>
              </w:rPr>
              <w:t>23</w:t>
            </w:r>
          </w:p>
        </w:tc>
        <w:tc>
          <w:tcPr>
            <w:tcW w:w="1162" w:type="dxa"/>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534C70" w:rsidRPr="00A634FA" w:rsidRDefault="00534C70" w:rsidP="00313AD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auto"/>
            <w:vAlign w:val="center"/>
          </w:tcPr>
          <w:p w14:paraId="34E89CD0" w14:textId="6BDAA42B" w:rsidR="00534C70" w:rsidRPr="008805E5" w:rsidRDefault="00534C70" w:rsidP="009E4A93">
            <w:pPr>
              <w:jc w:val="center"/>
              <w:rPr>
                <w:rFonts w:ascii="Arial Narrow" w:hAnsi="Arial Narrow"/>
                <w:sz w:val="16"/>
                <w:szCs w:val="16"/>
              </w:rPr>
            </w:pPr>
          </w:p>
        </w:tc>
      </w:tr>
      <w:tr w:rsidR="002B2062" w:rsidRPr="00BC2C5D" w14:paraId="358400C0" w14:textId="77777777" w:rsidTr="009159C4">
        <w:trPr>
          <w:trHeight w:val="567"/>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24CF4DA7" w:rsidR="002B2062" w:rsidRDefault="009159C4" w:rsidP="002B2062">
            <w:pPr>
              <w:jc w:val="center"/>
              <w:rPr>
                <w:rFonts w:ascii="Arial Narrow" w:hAnsi="Arial Narrow" w:cs="Arial"/>
                <w:sz w:val="16"/>
                <w:szCs w:val="16"/>
              </w:rPr>
            </w:pPr>
            <w:r>
              <w:rPr>
                <w:rFonts w:ascii="Arial Narrow" w:hAnsi="Arial Narrow" w:cs="Arial"/>
                <w:sz w:val="16"/>
                <w:szCs w:val="16"/>
              </w:rPr>
              <w:t>27 June</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77777777"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A84D8F4" w14:textId="4F6318A6" w:rsidR="002B2062" w:rsidRPr="008805E5" w:rsidRDefault="002B2062" w:rsidP="002B2062">
            <w:pPr>
              <w:jc w:val="center"/>
              <w:rPr>
                <w:rFonts w:ascii="Arial Narrow" w:hAnsi="Arial Narrow"/>
                <w:sz w:val="16"/>
                <w:szCs w:val="16"/>
              </w:rPr>
            </w:pP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D20D53" w:rsidRDefault="00FA3323" w:rsidP="00A15FC1">
            <w:pPr>
              <w:rPr>
                <w:rFonts w:ascii="Arial Narrow" w:hAnsi="Arial Narrow"/>
                <w:sz w:val="18"/>
                <w:szCs w:val="18"/>
              </w:rPr>
            </w:pPr>
            <w:r w:rsidRPr="00D20D53">
              <w:rPr>
                <w:rFonts w:ascii="Arial" w:hAnsi="Arial" w:cs="Arial"/>
                <w:sz w:val="18"/>
                <w:szCs w:val="18"/>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D20D53" w:rsidRDefault="00FA3323" w:rsidP="00A15FC1">
            <w:pPr>
              <w:rPr>
                <w:rFonts w:ascii="Arial Narrow" w:hAnsi="Arial Narrow"/>
                <w:sz w:val="18"/>
                <w:szCs w:val="18"/>
              </w:rPr>
            </w:pPr>
            <w:r w:rsidRPr="00D20D53">
              <w:rPr>
                <w:rFonts w:ascii="Arial" w:hAnsi="Arial" w:cs="Arial"/>
                <w:sz w:val="18"/>
                <w:szCs w:val="18"/>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253CBB72" w:rsidR="00583BA9" w:rsidRPr="00583BA9" w:rsidRDefault="00583BA9" w:rsidP="00583BA9">
            <w:pPr>
              <w:rPr>
                <w:rFonts w:ascii="Arial" w:hAnsi="Arial" w:cs="Arial"/>
                <w:sz w:val="18"/>
                <w:szCs w:val="18"/>
              </w:rPr>
            </w:pPr>
            <w:r w:rsidRPr="00583BA9">
              <w:rPr>
                <w:rFonts w:ascii="Arial" w:hAnsi="Arial" w:cs="Arial"/>
                <w:sz w:val="18"/>
                <w:szCs w:val="18"/>
              </w:rPr>
              <w:t>Cairns – Registrar</w:t>
            </w:r>
          </w:p>
        </w:tc>
        <w:tc>
          <w:tcPr>
            <w:tcW w:w="2308" w:type="dxa"/>
            <w:shd w:val="clear" w:color="auto" w:fill="auto"/>
            <w:vAlign w:val="center"/>
          </w:tcPr>
          <w:p w14:paraId="73035401" w14:textId="7B7F3431" w:rsidR="00583BA9" w:rsidRPr="00583BA9" w:rsidRDefault="00583BA9" w:rsidP="00583BA9">
            <w:pPr>
              <w:rPr>
                <w:rFonts w:ascii="Arial" w:hAnsi="Arial" w:cs="Arial"/>
                <w:sz w:val="18"/>
                <w:szCs w:val="18"/>
              </w:rPr>
            </w:pPr>
            <w:r w:rsidRPr="00583BA9">
              <w:rPr>
                <w:rFonts w:ascii="Arial" w:hAnsi="Arial" w:cs="Arial"/>
                <w:sz w:val="18"/>
                <w:szCs w:val="18"/>
              </w:rPr>
              <w:t>Maxine McLeod</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4447C732" w:rsidR="00583BA9" w:rsidRPr="00583BA9" w:rsidRDefault="00583BA9" w:rsidP="00583BA9">
            <w:pPr>
              <w:rPr>
                <w:rFonts w:ascii="Arial" w:hAnsi="Arial" w:cs="Arial"/>
                <w:sz w:val="18"/>
                <w:szCs w:val="18"/>
              </w:rPr>
            </w:pPr>
            <w:r w:rsidRPr="00583BA9">
              <w:rPr>
                <w:rFonts w:ascii="Arial" w:hAnsi="Arial" w:cs="Arial"/>
                <w:sz w:val="18"/>
                <w:szCs w:val="18"/>
              </w:rPr>
              <w:t>Cairns – Executive Officer (Finance)</w:t>
            </w:r>
          </w:p>
        </w:tc>
        <w:tc>
          <w:tcPr>
            <w:tcW w:w="2308" w:type="dxa"/>
            <w:shd w:val="clear" w:color="auto" w:fill="auto"/>
            <w:vAlign w:val="center"/>
          </w:tcPr>
          <w:p w14:paraId="7AF4D22C" w14:textId="06D8F0CB" w:rsidR="00583BA9" w:rsidRPr="00583BA9" w:rsidRDefault="00583BA9" w:rsidP="00583BA9">
            <w:pPr>
              <w:rPr>
                <w:rFonts w:ascii="Arial" w:hAnsi="Arial" w:cs="Arial"/>
                <w:sz w:val="18"/>
                <w:szCs w:val="18"/>
              </w:rPr>
            </w:pPr>
            <w:r w:rsidRPr="00583BA9">
              <w:rPr>
                <w:rFonts w:ascii="Arial" w:hAnsi="Arial" w:cs="Arial"/>
                <w:sz w:val="18"/>
                <w:szCs w:val="18"/>
              </w:rPr>
              <w:t>Tracey Paterson</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shd w:val="clear" w:color="auto" w:fill="auto"/>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222858">
        <w:trPr>
          <w:trHeight w:val="284"/>
        </w:trPr>
        <w:tc>
          <w:tcPr>
            <w:tcW w:w="3686" w:type="dxa"/>
            <w:shd w:val="clear" w:color="auto" w:fill="auto"/>
            <w:vAlign w:val="center"/>
          </w:tcPr>
          <w:p w14:paraId="5BC56E81" w14:textId="77777777" w:rsidR="00C97DD8" w:rsidRPr="00583BA9" w:rsidRDefault="00C97DD8" w:rsidP="00222858">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97DD8" w:rsidRPr="00583BA9" w:rsidRDefault="00C97DD8" w:rsidP="00222858">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97DD8" w:rsidRPr="00583BA9" w:rsidRDefault="00C97DD8" w:rsidP="00222858">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033FBA0A" w14:textId="77777777" w:rsidR="00C97DD8" w:rsidRPr="00583BA9" w:rsidRDefault="00C97DD8" w:rsidP="00222858">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3ED0B5F9" w14:textId="77777777" w:rsidR="00C97DD8" w:rsidRPr="00583BA9" w:rsidRDefault="00C97DD8" w:rsidP="00222858">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222858">
        <w:trPr>
          <w:trHeight w:val="284"/>
        </w:trPr>
        <w:tc>
          <w:tcPr>
            <w:tcW w:w="3686" w:type="dxa"/>
            <w:shd w:val="clear" w:color="auto" w:fill="auto"/>
            <w:vAlign w:val="center"/>
          </w:tcPr>
          <w:p w14:paraId="04E23097" w14:textId="77777777" w:rsidR="00C97DD8" w:rsidRPr="00583BA9" w:rsidRDefault="00C97DD8" w:rsidP="00222858">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97DD8" w:rsidRPr="00583BA9" w:rsidRDefault="00C97DD8" w:rsidP="00222858">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97DD8" w:rsidRPr="00583BA9" w:rsidRDefault="00C97DD8" w:rsidP="00222858">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1A138756" w14:textId="77777777" w:rsidR="00C97DD8" w:rsidRPr="00583BA9" w:rsidRDefault="00C97DD8" w:rsidP="00222858">
            <w:pPr>
              <w:jc w:val="center"/>
              <w:rPr>
                <w:rFonts w:ascii="Arial" w:hAnsi="Arial" w:cs="Arial"/>
                <w:sz w:val="18"/>
                <w:szCs w:val="18"/>
              </w:rPr>
            </w:pPr>
          </w:p>
        </w:tc>
        <w:tc>
          <w:tcPr>
            <w:tcW w:w="1275" w:type="dxa"/>
            <w:shd w:val="clear" w:color="auto" w:fill="auto"/>
            <w:vAlign w:val="center"/>
          </w:tcPr>
          <w:p w14:paraId="7A3BA0BE" w14:textId="77777777" w:rsidR="00C97DD8" w:rsidRPr="00583BA9" w:rsidRDefault="00C97DD8" w:rsidP="00222858">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222858">
        <w:trPr>
          <w:trHeight w:val="284"/>
        </w:trPr>
        <w:tc>
          <w:tcPr>
            <w:tcW w:w="3686" w:type="dxa"/>
            <w:shd w:val="clear" w:color="auto" w:fill="auto"/>
            <w:vAlign w:val="center"/>
          </w:tcPr>
          <w:p w14:paraId="7BBFFDD6" w14:textId="77777777" w:rsidR="00C97DD8" w:rsidRPr="00583BA9" w:rsidRDefault="00C97DD8" w:rsidP="00222858">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77777777" w:rsidR="00C97DD8" w:rsidRPr="00583BA9" w:rsidRDefault="00C97DD8" w:rsidP="00222858">
            <w:pPr>
              <w:rPr>
                <w:rFonts w:ascii="Arial" w:hAnsi="Arial" w:cs="Arial"/>
                <w:sz w:val="18"/>
                <w:szCs w:val="18"/>
              </w:rPr>
            </w:pPr>
            <w:r w:rsidRPr="00583BA9">
              <w:rPr>
                <w:rFonts w:ascii="Arial" w:hAnsi="Arial" w:cs="Arial"/>
                <w:sz w:val="18"/>
                <w:szCs w:val="18"/>
              </w:rPr>
              <w:t>Jeffrey Dela Cruz</w:t>
            </w:r>
          </w:p>
        </w:tc>
        <w:tc>
          <w:tcPr>
            <w:tcW w:w="1261" w:type="dxa"/>
            <w:shd w:val="clear" w:color="auto" w:fill="auto"/>
            <w:vAlign w:val="center"/>
          </w:tcPr>
          <w:p w14:paraId="542FD802" w14:textId="77777777" w:rsidR="00C97DD8" w:rsidRPr="00583BA9" w:rsidRDefault="00C97DD8" w:rsidP="00222858">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4A7EB6C4" w14:textId="77777777" w:rsidR="00C97DD8" w:rsidRPr="00583BA9" w:rsidRDefault="00C97DD8" w:rsidP="00222858">
            <w:pPr>
              <w:jc w:val="center"/>
              <w:rPr>
                <w:rFonts w:ascii="Arial" w:hAnsi="Arial" w:cs="Arial"/>
                <w:sz w:val="18"/>
                <w:szCs w:val="18"/>
              </w:rPr>
            </w:pPr>
            <w:r w:rsidRPr="00583BA9">
              <w:rPr>
                <w:rFonts w:ascii="Arial" w:hAnsi="Arial" w:cs="Arial"/>
                <w:sz w:val="18"/>
                <w:szCs w:val="18"/>
              </w:rPr>
              <w:t>0419 890 770</w:t>
            </w:r>
          </w:p>
        </w:tc>
        <w:tc>
          <w:tcPr>
            <w:tcW w:w="1275" w:type="dxa"/>
            <w:shd w:val="clear" w:color="auto" w:fill="auto"/>
            <w:vAlign w:val="center"/>
          </w:tcPr>
          <w:p w14:paraId="7A366892" w14:textId="77777777" w:rsidR="00C97DD8" w:rsidRPr="00583BA9" w:rsidRDefault="00C97DD8" w:rsidP="00222858">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215AA6F3" w:rsidR="00583BA9" w:rsidRPr="00583BA9" w:rsidRDefault="00583BA9" w:rsidP="00583BA9">
            <w:pPr>
              <w:rPr>
                <w:rFonts w:ascii="Arial" w:hAnsi="Arial" w:cs="Arial"/>
                <w:sz w:val="18"/>
                <w:szCs w:val="18"/>
              </w:rPr>
            </w:pPr>
            <w:r w:rsidRPr="00583BA9">
              <w:rPr>
                <w:rFonts w:ascii="Arial" w:hAnsi="Arial" w:cs="Arial"/>
                <w:sz w:val="18"/>
                <w:szCs w:val="18"/>
              </w:rPr>
              <w:t>Aurukun Local Registry Coordinator</w:t>
            </w:r>
          </w:p>
        </w:tc>
        <w:tc>
          <w:tcPr>
            <w:tcW w:w="2308" w:type="dxa"/>
            <w:shd w:val="clear" w:color="auto" w:fill="auto"/>
            <w:vAlign w:val="center"/>
          </w:tcPr>
          <w:p w14:paraId="5802C696" w14:textId="3FCF9CD8" w:rsidR="00583BA9" w:rsidRPr="00583BA9" w:rsidRDefault="00583BA9" w:rsidP="00583BA9">
            <w:pPr>
              <w:rPr>
                <w:rFonts w:ascii="Arial" w:hAnsi="Arial" w:cs="Arial"/>
                <w:sz w:val="18"/>
                <w:szCs w:val="18"/>
              </w:rPr>
            </w:pPr>
            <w:r w:rsidRPr="00583BA9">
              <w:rPr>
                <w:rFonts w:ascii="Arial" w:hAnsi="Arial" w:cs="Arial"/>
                <w:sz w:val="18"/>
                <w:szCs w:val="18"/>
              </w:rPr>
              <w:t>Bryce Coxall</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56E7A55C"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Coen Local Registry Coordinator</w:t>
            </w:r>
          </w:p>
        </w:tc>
        <w:tc>
          <w:tcPr>
            <w:tcW w:w="2308" w:type="dxa"/>
            <w:shd w:val="clear" w:color="auto" w:fill="auto"/>
            <w:vAlign w:val="center"/>
          </w:tcPr>
          <w:p w14:paraId="4D4CC50C" w14:textId="723BADF3" w:rsidR="00583BA9" w:rsidRPr="00583BA9" w:rsidRDefault="00C97DD8" w:rsidP="00583BA9">
            <w:pPr>
              <w:rPr>
                <w:rFonts w:ascii="Arial" w:hAnsi="Arial" w:cs="Arial"/>
                <w:sz w:val="18"/>
                <w:szCs w:val="18"/>
              </w:rPr>
            </w:pPr>
            <w:r>
              <w:rPr>
                <w:rFonts w:ascii="Arial" w:hAnsi="Arial" w:cs="Arial"/>
                <w:sz w:val="18"/>
                <w:szCs w:val="18"/>
              </w:rPr>
              <w:t>Cara Marks</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583BA9" w:rsidRPr="00583BA9" w:rsidRDefault="00583BA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399E2330" w:rsidR="00583BA9" w:rsidRPr="00583BA9" w:rsidRDefault="00C97DD8" w:rsidP="00583BA9">
            <w:pPr>
              <w:rPr>
                <w:rFonts w:ascii="Arial" w:hAnsi="Arial" w:cs="Arial"/>
                <w:sz w:val="18"/>
                <w:szCs w:val="18"/>
              </w:rPr>
            </w:pPr>
            <w:r>
              <w:rPr>
                <w:rFonts w:ascii="Arial" w:hAnsi="Arial" w:cs="Arial"/>
                <w:sz w:val="18"/>
                <w:szCs w:val="18"/>
              </w:rPr>
              <w:t xml:space="preserve">Acting </w:t>
            </w:r>
            <w:r w:rsidR="00583BA9" w:rsidRPr="00583BA9">
              <w:rPr>
                <w:rFonts w:ascii="Arial" w:hAnsi="Arial" w:cs="Arial"/>
                <w:sz w:val="18"/>
                <w:szCs w:val="18"/>
              </w:rPr>
              <w:t>Mossman Gorge Local Registry Coordinator</w:t>
            </w:r>
          </w:p>
        </w:tc>
        <w:tc>
          <w:tcPr>
            <w:tcW w:w="2308" w:type="dxa"/>
            <w:shd w:val="clear" w:color="auto" w:fill="auto"/>
            <w:vAlign w:val="center"/>
          </w:tcPr>
          <w:p w14:paraId="46DA8975" w14:textId="2112136A" w:rsidR="00583BA9" w:rsidRPr="00583BA9" w:rsidRDefault="00C97DD8" w:rsidP="00583BA9">
            <w:pPr>
              <w:rPr>
                <w:rFonts w:ascii="Arial" w:hAnsi="Arial" w:cs="Arial"/>
                <w:sz w:val="18"/>
                <w:szCs w:val="18"/>
              </w:rPr>
            </w:pPr>
            <w:r>
              <w:rPr>
                <w:rFonts w:ascii="Arial" w:hAnsi="Arial" w:cs="Arial"/>
                <w:sz w:val="18"/>
                <w:szCs w:val="18"/>
              </w:rPr>
              <w:t>Cara Marks</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777777" w:rsidR="00967E77" w:rsidRDefault="00967E77" w:rsidP="00D20D53">
      <w:pPr>
        <w:rPr>
          <w:rFonts w:ascii="Arial Narrow" w:hAnsi="Arial Narrow"/>
        </w:rPr>
      </w:pPr>
    </w:p>
    <w:sectPr w:rsidR="00967E77" w:rsidSect="000B6F40">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5B26"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CD313B" w:rsidRPr="00504360" w:rsidRDefault="00CD313B" w:rsidP="00452E54">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CD313B" w:rsidRPr="00504360" w:rsidRDefault="00CD313B" w:rsidP="00452E54">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1829C88B"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on page </w:t>
      </w:r>
      <w:r w:rsidR="00DF299E" w:rsidRPr="007F1AF6">
        <w:rPr>
          <w:sz w:val="16"/>
          <w:szCs w:val="16"/>
        </w:rPr>
        <w:t>6</w:t>
      </w:r>
      <w:r w:rsidRPr="007F1AF6">
        <w:rPr>
          <w:sz w:val="16"/>
          <w:szCs w:val="16"/>
        </w:rPr>
        <w:t>.</w:t>
      </w:r>
    </w:p>
  </w:footnote>
  <w:footnote w:id="6">
    <w:p w14:paraId="255B35DE" w14:textId="15FF2C9A" w:rsidR="00324B7B" w:rsidRDefault="00324B7B">
      <w:pPr>
        <w:pStyle w:val="FootnoteText"/>
      </w:pPr>
      <w:r>
        <w:rPr>
          <w:rStyle w:val="FootnoteReference"/>
        </w:rPr>
        <w:footnoteRef/>
      </w:r>
      <w:r>
        <w:t xml:space="preserve"> </w:t>
      </w:r>
      <w:bookmarkStart w:id="9" w:name="_Hlk97300676"/>
      <w:r w:rsidRPr="00F106B3">
        <w:rPr>
          <w:sz w:val="16"/>
          <w:szCs w:val="16"/>
        </w:rPr>
        <w:t xml:space="preserve">Refer to the descriptions of </w:t>
      </w:r>
      <w:r w:rsidRPr="007F1AF6">
        <w:rPr>
          <w:sz w:val="16"/>
          <w:szCs w:val="16"/>
        </w:rPr>
        <w:t xml:space="preserve">abbreviations on page </w:t>
      </w:r>
      <w:r w:rsidR="00DF299E" w:rsidRPr="007F1AF6">
        <w:rPr>
          <w:sz w:val="16"/>
          <w:szCs w:val="16"/>
        </w:rPr>
        <w:t>6</w:t>
      </w:r>
      <w:r w:rsidRPr="007F1AF6">
        <w:rPr>
          <w:sz w:val="16"/>
          <w:szCs w:val="16"/>
        </w:rPr>
        <w:t>.</w:t>
      </w:r>
      <w:bookmarkEnd w:id="9"/>
    </w:p>
  </w:footnote>
  <w:footnote w:id="7">
    <w:p w14:paraId="3413357A" w14:textId="795EDAF2"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page </w:t>
      </w:r>
      <w:r w:rsidR="00DF299E" w:rsidRPr="007F1AF6">
        <w:rPr>
          <w:sz w:val="16"/>
          <w:szCs w:val="16"/>
        </w:rPr>
        <w:t>6</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0">
    <w:p w14:paraId="70C1A401" w14:textId="77777777" w:rsidR="00324B7B" w:rsidRPr="004B50DF" w:rsidRDefault="00324B7B"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F467E2" w:rsidRDefault="00F467E2"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F467E2" w:rsidRDefault="00F467E2"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F467E2" w:rsidRDefault="00F467E2"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7DC240A2" w:rsidR="00F467E2" w:rsidRPr="004C7880" w:rsidRDefault="00F467E2"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CIM’d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F467E2" w:rsidRDefault="00F467E2">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769D9026" w:rsidR="00F467E2" w:rsidRDefault="00F467E2">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VIM’d client for the quarter is calculated at the start date of the agreement where the client was placed on a VIM during the quarter.</w:t>
      </w:r>
    </w:p>
  </w:footnote>
  <w:footnote w:id="17">
    <w:p w14:paraId="7CE1A087" w14:textId="49542CF8" w:rsidR="00F467E2" w:rsidRDefault="00F467E2">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7333E43B" w:rsidR="00324B7B" w:rsidRDefault="00324B7B" w:rsidP="00F500CF">
      <w:pPr>
        <w:pStyle w:val="FootnoteText"/>
        <w:jc w:val="both"/>
      </w:pPr>
      <w:r w:rsidRPr="00C5462F">
        <w:rPr>
          <w:rStyle w:val="FootnoteReference"/>
          <w:sz w:val="16"/>
          <w:szCs w:val="16"/>
        </w:rPr>
        <w:footnoteRef/>
      </w:r>
      <w:r w:rsidRPr="004971EA">
        <w:rPr>
          <w:sz w:val="16"/>
          <w:szCs w:val="16"/>
        </w:rPr>
        <w:t xml:space="preserve"> </w:t>
      </w:r>
      <w:r w:rsidR="00587B7C" w:rsidRPr="004971EA">
        <w:rPr>
          <w:sz w:val="16"/>
          <w:szCs w:val="16"/>
        </w:rPr>
        <w:t xml:space="preserve">Note: </w:t>
      </w:r>
      <w:r w:rsidR="00587B7C" w:rsidRPr="0044594D">
        <w:rPr>
          <w:sz w:val="16"/>
          <w:szCs w:val="16"/>
        </w:rPr>
        <w:t>Australian Statistical Geography Standard 20</w:t>
      </w:r>
      <w:r w:rsidR="00587B7C">
        <w:rPr>
          <w:sz w:val="16"/>
          <w:szCs w:val="16"/>
        </w:rPr>
        <w:t>21</w:t>
      </w:r>
      <w:r w:rsidR="00587B7C" w:rsidRPr="0044594D">
        <w:rPr>
          <w:sz w:val="16"/>
          <w:szCs w:val="16"/>
        </w:rPr>
        <w:t xml:space="preserve"> boundaries used are local government areas for Aurukun, Doomadgee and Hope Vale, and statistical areas level 1 (SA1s) of </w:t>
      </w:r>
      <w:r w:rsidR="00587B7C">
        <w:rPr>
          <w:sz w:val="16"/>
          <w:szCs w:val="16"/>
        </w:rPr>
        <w:t>31501139616</w:t>
      </w:r>
      <w:r w:rsidR="00587B7C" w:rsidRPr="0044594D">
        <w:rPr>
          <w:sz w:val="16"/>
          <w:szCs w:val="16"/>
        </w:rPr>
        <w:t xml:space="preserve"> for Coen and </w:t>
      </w:r>
      <w:r w:rsidR="00587B7C">
        <w:rPr>
          <w:sz w:val="16"/>
          <w:szCs w:val="16"/>
        </w:rPr>
        <w:t>30604116408</w:t>
      </w:r>
      <w:r w:rsidR="00587B7C" w:rsidRPr="0044594D">
        <w:rPr>
          <w:sz w:val="16"/>
          <w:szCs w:val="16"/>
        </w:rPr>
        <w:t xml:space="preserve"> for Mossman Gorge.</w:t>
      </w:r>
    </w:p>
  </w:footnote>
  <w:footnote w:id="19">
    <w:p w14:paraId="3BBC0E7E" w14:textId="3BFF06EC" w:rsidR="00324B7B" w:rsidRDefault="00324B7B" w:rsidP="00F500CF">
      <w:pPr>
        <w:pStyle w:val="FootnoteText"/>
      </w:pPr>
      <w:r w:rsidRPr="004971EA">
        <w:rPr>
          <w:rStyle w:val="FootnoteReference"/>
          <w:sz w:val="16"/>
          <w:szCs w:val="16"/>
        </w:rPr>
        <w:footnoteRef/>
      </w:r>
      <w:r w:rsidRPr="004971EA">
        <w:rPr>
          <w:sz w:val="16"/>
          <w:szCs w:val="16"/>
        </w:rPr>
        <w:t xml:space="preserve"> </w:t>
      </w:r>
      <w:r w:rsidR="00587B7C" w:rsidRPr="004971EA">
        <w:rPr>
          <w:sz w:val="16"/>
          <w:szCs w:val="16"/>
        </w:rPr>
        <w:t xml:space="preserve">Note: Adults </w:t>
      </w:r>
      <w:r w:rsidR="00587B7C">
        <w:rPr>
          <w:sz w:val="16"/>
          <w:szCs w:val="16"/>
        </w:rPr>
        <w:t>18</w:t>
      </w:r>
      <w:r w:rsidR="00587B7C" w:rsidRPr="004971EA">
        <w:rPr>
          <w:sz w:val="16"/>
          <w:szCs w:val="16"/>
        </w:rPr>
        <w:t xml:space="preserve"> years and over provided by the </w:t>
      </w:r>
      <w:r w:rsidR="00587B7C" w:rsidRPr="001816AB">
        <w:rPr>
          <w:sz w:val="16"/>
          <w:szCs w:val="16"/>
        </w:rPr>
        <w:t>Queensland Government Statistician’s Office (QGSO), Queensland Treasury, based on the Australian Bureau of Statistics (ABS) unpublished preliminary rebased (to 2021 Census) Estimated Resident Population (ERP) data by age and sex at the Local Government Area level for 30 June 2021.</w:t>
      </w:r>
    </w:p>
  </w:footnote>
  <w:footnote w:id="20">
    <w:p w14:paraId="3884DA28" w14:textId="3A53F2FE" w:rsidR="00324B7B" w:rsidRDefault="00324B7B" w:rsidP="00F500CF">
      <w:pPr>
        <w:pStyle w:val="FootnoteText"/>
      </w:pPr>
      <w:r w:rsidRPr="00C5462F">
        <w:rPr>
          <w:rStyle w:val="FootnoteReference"/>
          <w:sz w:val="18"/>
          <w:szCs w:val="18"/>
        </w:rPr>
        <w:footnoteRef/>
      </w:r>
      <w:r w:rsidRPr="004971EA">
        <w:rPr>
          <w:sz w:val="16"/>
          <w:szCs w:val="16"/>
        </w:rPr>
        <w:t xml:space="preserve"> </w:t>
      </w:r>
      <w:r w:rsidR="00587B7C" w:rsidRPr="0006058E">
        <w:rPr>
          <w:sz w:val="16"/>
          <w:szCs w:val="16"/>
        </w:rPr>
        <w:t xml:space="preserve">Note: Adults </w:t>
      </w:r>
      <w:r w:rsidR="00587B7C">
        <w:rPr>
          <w:sz w:val="16"/>
          <w:szCs w:val="16"/>
        </w:rPr>
        <w:t xml:space="preserve">18 years and over provided by </w:t>
      </w:r>
      <w:r w:rsidR="00587B7C">
        <w:rPr>
          <w:rFonts w:cs="Arial"/>
          <w:sz w:val="16"/>
          <w:szCs w:val="16"/>
        </w:rPr>
        <w:t>QGSO</w:t>
      </w:r>
      <w:r w:rsidR="00587B7C" w:rsidRPr="0006058E">
        <w:rPr>
          <w:rFonts w:cs="Arial"/>
          <w:sz w:val="16"/>
          <w:szCs w:val="16"/>
        </w:rPr>
        <w:t xml:space="preserve">, Queensland Treasury, based on the </w:t>
      </w:r>
      <w:r w:rsidR="00587B7C">
        <w:rPr>
          <w:rFonts w:cs="Arial"/>
          <w:sz w:val="16"/>
          <w:szCs w:val="16"/>
        </w:rPr>
        <w:t>ABS</w:t>
      </w:r>
      <w:r w:rsidR="00587B7C" w:rsidRPr="0006058E">
        <w:rPr>
          <w:rFonts w:cs="Arial"/>
          <w:sz w:val="16"/>
          <w:szCs w:val="16"/>
        </w:rPr>
        <w:t xml:space="preserve"> </w:t>
      </w:r>
      <w:r w:rsidR="00587B7C">
        <w:rPr>
          <w:rFonts w:cs="Arial"/>
          <w:sz w:val="16"/>
          <w:szCs w:val="16"/>
        </w:rPr>
        <w:t>unpublished preliminary rebased (to 2021 Census) ERP</w:t>
      </w:r>
      <w:r w:rsidR="00587B7C" w:rsidRPr="0006058E">
        <w:rPr>
          <w:rFonts w:cs="Arial"/>
          <w:sz w:val="16"/>
          <w:szCs w:val="16"/>
        </w:rPr>
        <w:t xml:space="preserve"> data by age and sex at the </w:t>
      </w:r>
      <w:r w:rsidR="00587B7C" w:rsidRPr="002376E4">
        <w:rPr>
          <w:rFonts w:cs="Arial"/>
          <w:sz w:val="16"/>
          <w:szCs w:val="16"/>
        </w:rPr>
        <w:t xml:space="preserve">Statistical </w:t>
      </w:r>
      <w:r w:rsidR="00587B7C" w:rsidRPr="0006058E">
        <w:rPr>
          <w:rFonts w:cs="Arial"/>
          <w:sz w:val="16"/>
          <w:szCs w:val="16"/>
        </w:rPr>
        <w:t>Area level</w:t>
      </w:r>
      <w:r w:rsidR="00587B7C">
        <w:rPr>
          <w:rFonts w:cs="Arial"/>
          <w:sz w:val="16"/>
          <w:szCs w:val="16"/>
        </w:rPr>
        <w:t xml:space="preserve"> 1</w:t>
      </w:r>
      <w:r w:rsidR="00587B7C" w:rsidRPr="0006058E">
        <w:rPr>
          <w:rFonts w:cs="Arial"/>
          <w:sz w:val="16"/>
          <w:szCs w:val="16"/>
        </w:rPr>
        <w:t xml:space="preserve"> for 30 June </w:t>
      </w:r>
      <w:r w:rsidR="00587B7C">
        <w:rPr>
          <w:rFonts w:cs="Arial"/>
          <w:sz w:val="16"/>
          <w:szCs w:val="16"/>
        </w:rPr>
        <w:t>2021.</w:t>
      </w:r>
    </w:p>
  </w:footnote>
  <w:footnote w:id="21">
    <w:p w14:paraId="5BB1F6F6" w14:textId="650B342D"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587B7C">
        <w:rPr>
          <w:sz w:val="16"/>
          <w:szCs w:val="16"/>
        </w:rPr>
        <w:t>Total population provided by</w:t>
      </w:r>
      <w:r w:rsidR="00587B7C" w:rsidRPr="008B5D72">
        <w:rPr>
          <w:sz w:val="16"/>
          <w:szCs w:val="16"/>
        </w:rPr>
        <w:t xml:space="preserve"> </w:t>
      </w:r>
      <w:r w:rsidR="00587B7C">
        <w:rPr>
          <w:sz w:val="16"/>
          <w:szCs w:val="16"/>
        </w:rPr>
        <w:t>QGSO</w:t>
      </w:r>
      <w:r w:rsidR="00587B7C" w:rsidRPr="008B5D72">
        <w:rPr>
          <w:sz w:val="16"/>
          <w:szCs w:val="16"/>
        </w:rPr>
        <w:t>, Queensland T</w:t>
      </w:r>
      <w:r w:rsidR="00587B7C">
        <w:rPr>
          <w:sz w:val="16"/>
          <w:szCs w:val="16"/>
        </w:rPr>
        <w:t xml:space="preserve">reasury, not 18 years and older, due to the small size of the total population </w:t>
      </w:r>
      <w:r w:rsidR="00587B7C" w:rsidRPr="002376E4">
        <w:rPr>
          <w:rFonts w:cs="Arial"/>
          <w:sz w:val="16"/>
          <w:szCs w:val="16"/>
        </w:rPr>
        <w:t xml:space="preserve">from the ABS </w:t>
      </w:r>
      <w:r w:rsidR="00587B7C">
        <w:rPr>
          <w:rFonts w:cs="Arial"/>
          <w:sz w:val="16"/>
          <w:szCs w:val="16"/>
        </w:rPr>
        <w:t xml:space="preserve">unpublished preliminary rebased (to 2021 Census) </w:t>
      </w:r>
      <w:r w:rsidR="00587B7C" w:rsidRPr="002376E4">
        <w:rPr>
          <w:rFonts w:cs="Arial"/>
          <w:sz w:val="16"/>
          <w:szCs w:val="16"/>
        </w:rPr>
        <w:t xml:space="preserve">ERP data at the Statistical Area level 1 for 30 June </w:t>
      </w:r>
      <w:r w:rsidR="00587B7C">
        <w:rPr>
          <w:rFonts w:cs="Arial"/>
          <w:sz w:val="16"/>
          <w:szCs w:val="16"/>
        </w:rPr>
        <w:t>2021</w:t>
      </w:r>
      <w:r w:rsidR="00587B7C"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rPr>
        <w:rFonts w:cs="Times New Roman"/>
      </w:rPr>
    </w:lvl>
  </w:abstractNum>
  <w:abstractNum w:abstractNumId="2" w15:restartNumberingAfterBreak="0">
    <w:nsid w:val="01147C71"/>
    <w:multiLevelType w:val="hybridMultilevel"/>
    <w:tmpl w:val="B44655A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7A38E5"/>
    <w:multiLevelType w:val="hybridMultilevel"/>
    <w:tmpl w:val="CC4E782C"/>
    <w:lvl w:ilvl="0" w:tplc="30C2CF6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3E07C07"/>
    <w:multiLevelType w:val="hybridMultilevel"/>
    <w:tmpl w:val="042A1D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DF27CE"/>
    <w:multiLevelType w:val="hybridMultilevel"/>
    <w:tmpl w:val="83E43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8039DB"/>
    <w:multiLevelType w:val="hybridMultilevel"/>
    <w:tmpl w:val="8AB2332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48A47F98"/>
    <w:multiLevelType w:val="hybridMultilevel"/>
    <w:tmpl w:val="63B47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4BCB791D"/>
    <w:multiLevelType w:val="hybridMultilevel"/>
    <w:tmpl w:val="4756FBAC"/>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C1C1862"/>
    <w:multiLevelType w:val="hybridMultilevel"/>
    <w:tmpl w:val="1EA0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5A71674C"/>
    <w:multiLevelType w:val="hybridMultilevel"/>
    <w:tmpl w:val="B73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38228C"/>
    <w:multiLevelType w:val="hybridMultilevel"/>
    <w:tmpl w:val="1528E52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67806ACB"/>
    <w:multiLevelType w:val="hybridMultilevel"/>
    <w:tmpl w:val="7764A90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0"/>
  </w:num>
  <w:num w:numId="3">
    <w:abstractNumId w:val="4"/>
  </w:num>
  <w:num w:numId="4">
    <w:abstractNumId w:val="23"/>
  </w:num>
  <w:num w:numId="5">
    <w:abstractNumId w:val="24"/>
  </w:num>
  <w:num w:numId="6">
    <w:abstractNumId w:val="0"/>
  </w:num>
  <w:num w:numId="7">
    <w:abstractNumId w:val="7"/>
  </w:num>
  <w:num w:numId="8">
    <w:abstractNumId w:val="3"/>
  </w:num>
  <w:num w:numId="9">
    <w:abstractNumId w:val="15"/>
  </w:num>
  <w:num w:numId="10">
    <w:abstractNumId w:val="10"/>
  </w:num>
  <w:num w:numId="11">
    <w:abstractNumId w:val="19"/>
  </w:num>
  <w:num w:numId="12">
    <w:abstractNumId w:val="11"/>
  </w:num>
  <w:num w:numId="13">
    <w:abstractNumId w:val="13"/>
  </w:num>
  <w:num w:numId="14">
    <w:abstractNumId w:val="5"/>
  </w:num>
  <w:num w:numId="15">
    <w:abstractNumId w:val="18"/>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16"/>
  </w:num>
  <w:num w:numId="21">
    <w:abstractNumId w:val="9"/>
  </w:num>
  <w:num w:numId="22">
    <w:abstractNumId w:val="14"/>
  </w:num>
  <w:num w:numId="23">
    <w:abstractNumId w:val="0"/>
  </w:num>
  <w:num w:numId="24">
    <w:abstractNumId w:val="12"/>
  </w:num>
  <w:num w:numId="25">
    <w:abstractNumId w:val="21"/>
  </w:num>
  <w:num w:numId="26">
    <w:abstractNumId w:val="17"/>
  </w:num>
  <w:num w:numId="2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E8D"/>
    <w:rsid w:val="00001FB1"/>
    <w:rsid w:val="00002082"/>
    <w:rsid w:val="000022AB"/>
    <w:rsid w:val="000022D9"/>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930"/>
    <w:rsid w:val="00007A59"/>
    <w:rsid w:val="00007B00"/>
    <w:rsid w:val="00007BA5"/>
    <w:rsid w:val="00007BA9"/>
    <w:rsid w:val="000101BA"/>
    <w:rsid w:val="000102C9"/>
    <w:rsid w:val="00010328"/>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FD3"/>
    <w:rsid w:val="00021FED"/>
    <w:rsid w:val="00022690"/>
    <w:rsid w:val="000228CE"/>
    <w:rsid w:val="00022A61"/>
    <w:rsid w:val="0002304D"/>
    <w:rsid w:val="00023090"/>
    <w:rsid w:val="00023110"/>
    <w:rsid w:val="00023277"/>
    <w:rsid w:val="000232D9"/>
    <w:rsid w:val="0002375F"/>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E05"/>
    <w:rsid w:val="00054E20"/>
    <w:rsid w:val="00054F6B"/>
    <w:rsid w:val="0005529E"/>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69B"/>
    <w:rsid w:val="00060733"/>
    <w:rsid w:val="00060863"/>
    <w:rsid w:val="00060C99"/>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D55"/>
    <w:rsid w:val="00064FBC"/>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38F"/>
    <w:rsid w:val="000706F7"/>
    <w:rsid w:val="00070796"/>
    <w:rsid w:val="000709B9"/>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2F0"/>
    <w:rsid w:val="00074381"/>
    <w:rsid w:val="000743F4"/>
    <w:rsid w:val="00074403"/>
    <w:rsid w:val="0007447B"/>
    <w:rsid w:val="000745D1"/>
    <w:rsid w:val="0007465F"/>
    <w:rsid w:val="0007479D"/>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3AD"/>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687"/>
    <w:rsid w:val="000857D8"/>
    <w:rsid w:val="00085A55"/>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B6F"/>
    <w:rsid w:val="00087B99"/>
    <w:rsid w:val="00087F9B"/>
    <w:rsid w:val="00087FB0"/>
    <w:rsid w:val="0009012F"/>
    <w:rsid w:val="000901A9"/>
    <w:rsid w:val="00090404"/>
    <w:rsid w:val="00090561"/>
    <w:rsid w:val="000906AE"/>
    <w:rsid w:val="00090889"/>
    <w:rsid w:val="0009094D"/>
    <w:rsid w:val="00090D16"/>
    <w:rsid w:val="00090E8B"/>
    <w:rsid w:val="0009108F"/>
    <w:rsid w:val="0009110A"/>
    <w:rsid w:val="0009129E"/>
    <w:rsid w:val="000912B2"/>
    <w:rsid w:val="000914CC"/>
    <w:rsid w:val="000915D5"/>
    <w:rsid w:val="000915DB"/>
    <w:rsid w:val="0009165D"/>
    <w:rsid w:val="00091828"/>
    <w:rsid w:val="00091AD9"/>
    <w:rsid w:val="00091AF9"/>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AC7"/>
    <w:rsid w:val="00094CDC"/>
    <w:rsid w:val="000950F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A5"/>
    <w:rsid w:val="00097189"/>
    <w:rsid w:val="00097593"/>
    <w:rsid w:val="0009773A"/>
    <w:rsid w:val="00097935"/>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40"/>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4AF"/>
    <w:rsid w:val="000C75D2"/>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603B"/>
    <w:rsid w:val="000D60FD"/>
    <w:rsid w:val="000D619E"/>
    <w:rsid w:val="000D622E"/>
    <w:rsid w:val="000D6590"/>
    <w:rsid w:val="000D65AE"/>
    <w:rsid w:val="000D6BA5"/>
    <w:rsid w:val="000D6E9A"/>
    <w:rsid w:val="000D7292"/>
    <w:rsid w:val="000D72EE"/>
    <w:rsid w:val="000D7306"/>
    <w:rsid w:val="000D79E4"/>
    <w:rsid w:val="000D7A37"/>
    <w:rsid w:val="000E028F"/>
    <w:rsid w:val="000E0AD8"/>
    <w:rsid w:val="000E0C2F"/>
    <w:rsid w:val="000E0C5F"/>
    <w:rsid w:val="000E0C69"/>
    <w:rsid w:val="000E0FEA"/>
    <w:rsid w:val="000E1050"/>
    <w:rsid w:val="000E11E3"/>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C67"/>
    <w:rsid w:val="000F1CC5"/>
    <w:rsid w:val="000F1E2D"/>
    <w:rsid w:val="000F1E82"/>
    <w:rsid w:val="000F1EFA"/>
    <w:rsid w:val="000F1F81"/>
    <w:rsid w:val="000F21EB"/>
    <w:rsid w:val="000F2402"/>
    <w:rsid w:val="000F2605"/>
    <w:rsid w:val="000F2766"/>
    <w:rsid w:val="000F28A9"/>
    <w:rsid w:val="000F2915"/>
    <w:rsid w:val="000F29F5"/>
    <w:rsid w:val="000F2ACC"/>
    <w:rsid w:val="000F2DD2"/>
    <w:rsid w:val="000F2F9F"/>
    <w:rsid w:val="000F310B"/>
    <w:rsid w:val="000F32A8"/>
    <w:rsid w:val="000F32B6"/>
    <w:rsid w:val="000F364D"/>
    <w:rsid w:val="000F37F8"/>
    <w:rsid w:val="000F3A02"/>
    <w:rsid w:val="000F3AEA"/>
    <w:rsid w:val="000F3D4B"/>
    <w:rsid w:val="000F3FA4"/>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9D2"/>
    <w:rsid w:val="00102C6A"/>
    <w:rsid w:val="00103132"/>
    <w:rsid w:val="001031EE"/>
    <w:rsid w:val="0010326A"/>
    <w:rsid w:val="00103285"/>
    <w:rsid w:val="0010344E"/>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37E"/>
    <w:rsid w:val="00106394"/>
    <w:rsid w:val="00106839"/>
    <w:rsid w:val="00106853"/>
    <w:rsid w:val="00106872"/>
    <w:rsid w:val="00106AAE"/>
    <w:rsid w:val="00106B59"/>
    <w:rsid w:val="00106E69"/>
    <w:rsid w:val="00106E80"/>
    <w:rsid w:val="00106EA8"/>
    <w:rsid w:val="00106EF2"/>
    <w:rsid w:val="00106F7E"/>
    <w:rsid w:val="00107020"/>
    <w:rsid w:val="00107174"/>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A66"/>
    <w:rsid w:val="00111B27"/>
    <w:rsid w:val="00111D8A"/>
    <w:rsid w:val="00111E4B"/>
    <w:rsid w:val="00111F45"/>
    <w:rsid w:val="0011233B"/>
    <w:rsid w:val="0011234B"/>
    <w:rsid w:val="001123DA"/>
    <w:rsid w:val="00112614"/>
    <w:rsid w:val="00112797"/>
    <w:rsid w:val="0011298A"/>
    <w:rsid w:val="001129EF"/>
    <w:rsid w:val="00112D01"/>
    <w:rsid w:val="00112D16"/>
    <w:rsid w:val="00112D3E"/>
    <w:rsid w:val="00112EDE"/>
    <w:rsid w:val="00112EEC"/>
    <w:rsid w:val="00112EF3"/>
    <w:rsid w:val="00113244"/>
    <w:rsid w:val="001132B5"/>
    <w:rsid w:val="001133BC"/>
    <w:rsid w:val="001137B0"/>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F95"/>
    <w:rsid w:val="0011612A"/>
    <w:rsid w:val="001166B2"/>
    <w:rsid w:val="001166ED"/>
    <w:rsid w:val="00116758"/>
    <w:rsid w:val="00116D5F"/>
    <w:rsid w:val="00116DA0"/>
    <w:rsid w:val="00116E10"/>
    <w:rsid w:val="001173C9"/>
    <w:rsid w:val="00117573"/>
    <w:rsid w:val="001176F5"/>
    <w:rsid w:val="001179BE"/>
    <w:rsid w:val="00117ACE"/>
    <w:rsid w:val="00117C54"/>
    <w:rsid w:val="00117DD2"/>
    <w:rsid w:val="00117F5F"/>
    <w:rsid w:val="0012005D"/>
    <w:rsid w:val="00120068"/>
    <w:rsid w:val="001200DF"/>
    <w:rsid w:val="00120380"/>
    <w:rsid w:val="001204F2"/>
    <w:rsid w:val="0012076E"/>
    <w:rsid w:val="001209F3"/>
    <w:rsid w:val="00120A7B"/>
    <w:rsid w:val="00120A8B"/>
    <w:rsid w:val="00120B2F"/>
    <w:rsid w:val="00120C33"/>
    <w:rsid w:val="00120E0A"/>
    <w:rsid w:val="00120E2C"/>
    <w:rsid w:val="00121159"/>
    <w:rsid w:val="0012124D"/>
    <w:rsid w:val="00121523"/>
    <w:rsid w:val="00121622"/>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576"/>
    <w:rsid w:val="00130578"/>
    <w:rsid w:val="001305E3"/>
    <w:rsid w:val="001306E6"/>
    <w:rsid w:val="001306F8"/>
    <w:rsid w:val="001307E4"/>
    <w:rsid w:val="00130B12"/>
    <w:rsid w:val="00130BE6"/>
    <w:rsid w:val="00130D3D"/>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C4D"/>
    <w:rsid w:val="00143FBB"/>
    <w:rsid w:val="00144134"/>
    <w:rsid w:val="0014415F"/>
    <w:rsid w:val="00144171"/>
    <w:rsid w:val="001446E3"/>
    <w:rsid w:val="001447CA"/>
    <w:rsid w:val="001449A4"/>
    <w:rsid w:val="00144ACD"/>
    <w:rsid w:val="00144B23"/>
    <w:rsid w:val="00144BF6"/>
    <w:rsid w:val="00144C55"/>
    <w:rsid w:val="00144CF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4CF"/>
    <w:rsid w:val="001515F8"/>
    <w:rsid w:val="0015170A"/>
    <w:rsid w:val="00151C2B"/>
    <w:rsid w:val="00151DBD"/>
    <w:rsid w:val="00152128"/>
    <w:rsid w:val="00152476"/>
    <w:rsid w:val="001529B7"/>
    <w:rsid w:val="00152C1E"/>
    <w:rsid w:val="00152C24"/>
    <w:rsid w:val="00152CFB"/>
    <w:rsid w:val="00152D32"/>
    <w:rsid w:val="00153088"/>
    <w:rsid w:val="0015330B"/>
    <w:rsid w:val="00153584"/>
    <w:rsid w:val="00153630"/>
    <w:rsid w:val="001536CE"/>
    <w:rsid w:val="001539E7"/>
    <w:rsid w:val="00153D47"/>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5A"/>
    <w:rsid w:val="00164FD7"/>
    <w:rsid w:val="00165083"/>
    <w:rsid w:val="00165263"/>
    <w:rsid w:val="001652F8"/>
    <w:rsid w:val="001654A8"/>
    <w:rsid w:val="001654E8"/>
    <w:rsid w:val="00165792"/>
    <w:rsid w:val="001659B3"/>
    <w:rsid w:val="00165A39"/>
    <w:rsid w:val="00165FAB"/>
    <w:rsid w:val="0016605D"/>
    <w:rsid w:val="00166102"/>
    <w:rsid w:val="00166CE5"/>
    <w:rsid w:val="00166D38"/>
    <w:rsid w:val="00166EDA"/>
    <w:rsid w:val="0016719F"/>
    <w:rsid w:val="00167496"/>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E5"/>
    <w:rsid w:val="00183AC3"/>
    <w:rsid w:val="00183BAB"/>
    <w:rsid w:val="00183CA0"/>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90076"/>
    <w:rsid w:val="00190113"/>
    <w:rsid w:val="00190233"/>
    <w:rsid w:val="001902E6"/>
    <w:rsid w:val="001905E8"/>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311"/>
    <w:rsid w:val="001933E1"/>
    <w:rsid w:val="001935FC"/>
    <w:rsid w:val="0019391E"/>
    <w:rsid w:val="00193997"/>
    <w:rsid w:val="00193DC9"/>
    <w:rsid w:val="00193FBE"/>
    <w:rsid w:val="00194083"/>
    <w:rsid w:val="0019429D"/>
    <w:rsid w:val="001942EC"/>
    <w:rsid w:val="00194491"/>
    <w:rsid w:val="0019497F"/>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C02"/>
    <w:rsid w:val="001A5C4C"/>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466"/>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F0"/>
    <w:rsid w:val="001D3B69"/>
    <w:rsid w:val="001D409E"/>
    <w:rsid w:val="001D4D49"/>
    <w:rsid w:val="001D4FEA"/>
    <w:rsid w:val="001D51D4"/>
    <w:rsid w:val="001D52F5"/>
    <w:rsid w:val="001D539F"/>
    <w:rsid w:val="001D5550"/>
    <w:rsid w:val="001D567B"/>
    <w:rsid w:val="001D5A8B"/>
    <w:rsid w:val="001D5AD1"/>
    <w:rsid w:val="001D5D13"/>
    <w:rsid w:val="001D5FF7"/>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D3"/>
    <w:rsid w:val="001E0595"/>
    <w:rsid w:val="001E0973"/>
    <w:rsid w:val="001E09F4"/>
    <w:rsid w:val="001E0A8F"/>
    <w:rsid w:val="001E0C01"/>
    <w:rsid w:val="001E1A70"/>
    <w:rsid w:val="001E1B8E"/>
    <w:rsid w:val="001E1BF3"/>
    <w:rsid w:val="001E1C06"/>
    <w:rsid w:val="001E1C7E"/>
    <w:rsid w:val="001E1FF4"/>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84E"/>
    <w:rsid w:val="001E3B24"/>
    <w:rsid w:val="001E3C39"/>
    <w:rsid w:val="001E4163"/>
    <w:rsid w:val="001E448A"/>
    <w:rsid w:val="001E450A"/>
    <w:rsid w:val="001E4738"/>
    <w:rsid w:val="001E47CA"/>
    <w:rsid w:val="001E4D0F"/>
    <w:rsid w:val="001E4D2A"/>
    <w:rsid w:val="001E4E57"/>
    <w:rsid w:val="001E4F62"/>
    <w:rsid w:val="001E5437"/>
    <w:rsid w:val="001E5527"/>
    <w:rsid w:val="001E5639"/>
    <w:rsid w:val="001E5817"/>
    <w:rsid w:val="001E59F2"/>
    <w:rsid w:val="001E59F8"/>
    <w:rsid w:val="001E5AFF"/>
    <w:rsid w:val="001E5E0B"/>
    <w:rsid w:val="001E5F1A"/>
    <w:rsid w:val="001E5F23"/>
    <w:rsid w:val="001E63FB"/>
    <w:rsid w:val="001E64A6"/>
    <w:rsid w:val="001E64D4"/>
    <w:rsid w:val="001E6569"/>
    <w:rsid w:val="001E656B"/>
    <w:rsid w:val="001E666B"/>
    <w:rsid w:val="001E66D1"/>
    <w:rsid w:val="001E6991"/>
    <w:rsid w:val="001E6D62"/>
    <w:rsid w:val="001E70DB"/>
    <w:rsid w:val="001E714E"/>
    <w:rsid w:val="001E71B6"/>
    <w:rsid w:val="001E75B7"/>
    <w:rsid w:val="001E771E"/>
    <w:rsid w:val="001E7732"/>
    <w:rsid w:val="001E7764"/>
    <w:rsid w:val="001E788A"/>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D80"/>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D2C"/>
    <w:rsid w:val="00227E3A"/>
    <w:rsid w:val="00227E88"/>
    <w:rsid w:val="00230125"/>
    <w:rsid w:val="002307F0"/>
    <w:rsid w:val="00230AE7"/>
    <w:rsid w:val="00230B87"/>
    <w:rsid w:val="00230D71"/>
    <w:rsid w:val="00230D8F"/>
    <w:rsid w:val="0023187E"/>
    <w:rsid w:val="00231E8C"/>
    <w:rsid w:val="00232030"/>
    <w:rsid w:val="002323FE"/>
    <w:rsid w:val="0023286B"/>
    <w:rsid w:val="002328A1"/>
    <w:rsid w:val="002328D0"/>
    <w:rsid w:val="00232CA2"/>
    <w:rsid w:val="00233092"/>
    <w:rsid w:val="0023323A"/>
    <w:rsid w:val="00233415"/>
    <w:rsid w:val="00233477"/>
    <w:rsid w:val="002334C4"/>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6ED"/>
    <w:rsid w:val="002349F3"/>
    <w:rsid w:val="00234A37"/>
    <w:rsid w:val="00234ADD"/>
    <w:rsid w:val="00234D37"/>
    <w:rsid w:val="00235176"/>
    <w:rsid w:val="0023542D"/>
    <w:rsid w:val="0023544C"/>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DEA"/>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82"/>
    <w:rsid w:val="00241D97"/>
    <w:rsid w:val="00242025"/>
    <w:rsid w:val="00242297"/>
    <w:rsid w:val="0024233C"/>
    <w:rsid w:val="00242391"/>
    <w:rsid w:val="002423BB"/>
    <w:rsid w:val="002425F8"/>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E9"/>
    <w:rsid w:val="002446F1"/>
    <w:rsid w:val="0024488F"/>
    <w:rsid w:val="00244893"/>
    <w:rsid w:val="002448BE"/>
    <w:rsid w:val="00244AEE"/>
    <w:rsid w:val="002450D9"/>
    <w:rsid w:val="00245104"/>
    <w:rsid w:val="00245373"/>
    <w:rsid w:val="00245417"/>
    <w:rsid w:val="002455F7"/>
    <w:rsid w:val="002459C6"/>
    <w:rsid w:val="00245A2B"/>
    <w:rsid w:val="00245C15"/>
    <w:rsid w:val="00245CC2"/>
    <w:rsid w:val="00245D28"/>
    <w:rsid w:val="00245DEC"/>
    <w:rsid w:val="00245F85"/>
    <w:rsid w:val="00246234"/>
    <w:rsid w:val="002463A9"/>
    <w:rsid w:val="0024655E"/>
    <w:rsid w:val="002465DB"/>
    <w:rsid w:val="002466E3"/>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93"/>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C1A"/>
    <w:rsid w:val="00261CF4"/>
    <w:rsid w:val="00261EEC"/>
    <w:rsid w:val="00261F6F"/>
    <w:rsid w:val="0026210B"/>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BB4"/>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5C5"/>
    <w:rsid w:val="00271729"/>
    <w:rsid w:val="00271824"/>
    <w:rsid w:val="00271A87"/>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725A"/>
    <w:rsid w:val="0027735F"/>
    <w:rsid w:val="00277384"/>
    <w:rsid w:val="00277626"/>
    <w:rsid w:val="002776FF"/>
    <w:rsid w:val="00277745"/>
    <w:rsid w:val="00277797"/>
    <w:rsid w:val="002777C5"/>
    <w:rsid w:val="002779FC"/>
    <w:rsid w:val="00277A66"/>
    <w:rsid w:val="00277D03"/>
    <w:rsid w:val="00277D11"/>
    <w:rsid w:val="00277E4B"/>
    <w:rsid w:val="00277EDF"/>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79C"/>
    <w:rsid w:val="002868C4"/>
    <w:rsid w:val="00286A6C"/>
    <w:rsid w:val="00286DE2"/>
    <w:rsid w:val="00286EAE"/>
    <w:rsid w:val="00286F52"/>
    <w:rsid w:val="00287055"/>
    <w:rsid w:val="002870D1"/>
    <w:rsid w:val="002872AF"/>
    <w:rsid w:val="002872C7"/>
    <w:rsid w:val="002873CD"/>
    <w:rsid w:val="00287728"/>
    <w:rsid w:val="002878AC"/>
    <w:rsid w:val="00287BD6"/>
    <w:rsid w:val="00287C18"/>
    <w:rsid w:val="00287C56"/>
    <w:rsid w:val="00287CB5"/>
    <w:rsid w:val="00287EF7"/>
    <w:rsid w:val="00287FD5"/>
    <w:rsid w:val="00290202"/>
    <w:rsid w:val="002903D6"/>
    <w:rsid w:val="00290677"/>
    <w:rsid w:val="00290943"/>
    <w:rsid w:val="00290F7D"/>
    <w:rsid w:val="00290F99"/>
    <w:rsid w:val="0029104A"/>
    <w:rsid w:val="002911E2"/>
    <w:rsid w:val="002914BA"/>
    <w:rsid w:val="00291A00"/>
    <w:rsid w:val="00291B72"/>
    <w:rsid w:val="00291BB3"/>
    <w:rsid w:val="00291CC0"/>
    <w:rsid w:val="00291DF7"/>
    <w:rsid w:val="00292050"/>
    <w:rsid w:val="002921D1"/>
    <w:rsid w:val="00292355"/>
    <w:rsid w:val="002925C6"/>
    <w:rsid w:val="002925DB"/>
    <w:rsid w:val="002929AA"/>
    <w:rsid w:val="002929F7"/>
    <w:rsid w:val="002929FD"/>
    <w:rsid w:val="00292B24"/>
    <w:rsid w:val="00292C31"/>
    <w:rsid w:val="00292C35"/>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FA3"/>
    <w:rsid w:val="002A0053"/>
    <w:rsid w:val="002A0093"/>
    <w:rsid w:val="002A01E9"/>
    <w:rsid w:val="002A0223"/>
    <w:rsid w:val="002A0383"/>
    <w:rsid w:val="002A047E"/>
    <w:rsid w:val="002A054B"/>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C48"/>
    <w:rsid w:val="002A6D93"/>
    <w:rsid w:val="002A6F53"/>
    <w:rsid w:val="002A70E5"/>
    <w:rsid w:val="002A7210"/>
    <w:rsid w:val="002A7243"/>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7C9"/>
    <w:rsid w:val="002B28A6"/>
    <w:rsid w:val="002B2B4F"/>
    <w:rsid w:val="002B2DD6"/>
    <w:rsid w:val="002B369D"/>
    <w:rsid w:val="002B3712"/>
    <w:rsid w:val="002B374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7205"/>
    <w:rsid w:val="002B731D"/>
    <w:rsid w:val="002B741A"/>
    <w:rsid w:val="002B7518"/>
    <w:rsid w:val="002B78AE"/>
    <w:rsid w:val="002B78BB"/>
    <w:rsid w:val="002B7936"/>
    <w:rsid w:val="002B7A39"/>
    <w:rsid w:val="002B7BD5"/>
    <w:rsid w:val="002B7C9C"/>
    <w:rsid w:val="002B7FEE"/>
    <w:rsid w:val="002C010D"/>
    <w:rsid w:val="002C0454"/>
    <w:rsid w:val="002C083A"/>
    <w:rsid w:val="002C0A60"/>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72"/>
    <w:rsid w:val="002C2EAF"/>
    <w:rsid w:val="002C2FB5"/>
    <w:rsid w:val="002C314C"/>
    <w:rsid w:val="002C3554"/>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4C4"/>
    <w:rsid w:val="002D4651"/>
    <w:rsid w:val="002D4865"/>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F0"/>
    <w:rsid w:val="002F6971"/>
    <w:rsid w:val="002F6AAA"/>
    <w:rsid w:val="002F6CF6"/>
    <w:rsid w:val="002F6EC9"/>
    <w:rsid w:val="002F6F70"/>
    <w:rsid w:val="002F6F79"/>
    <w:rsid w:val="002F707B"/>
    <w:rsid w:val="002F70C9"/>
    <w:rsid w:val="002F73EA"/>
    <w:rsid w:val="002F745E"/>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CF3"/>
    <w:rsid w:val="00300E01"/>
    <w:rsid w:val="00301067"/>
    <w:rsid w:val="00301642"/>
    <w:rsid w:val="003017E9"/>
    <w:rsid w:val="003018E4"/>
    <w:rsid w:val="003018E5"/>
    <w:rsid w:val="00301C03"/>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20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766"/>
    <w:rsid w:val="00330776"/>
    <w:rsid w:val="0033079D"/>
    <w:rsid w:val="00330817"/>
    <w:rsid w:val="0033086C"/>
    <w:rsid w:val="00330989"/>
    <w:rsid w:val="003309E2"/>
    <w:rsid w:val="00330A43"/>
    <w:rsid w:val="00331081"/>
    <w:rsid w:val="00331327"/>
    <w:rsid w:val="00331348"/>
    <w:rsid w:val="00331426"/>
    <w:rsid w:val="003317A0"/>
    <w:rsid w:val="003317A8"/>
    <w:rsid w:val="00331973"/>
    <w:rsid w:val="00331AF7"/>
    <w:rsid w:val="00331B33"/>
    <w:rsid w:val="00331C51"/>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3B"/>
    <w:rsid w:val="003407E0"/>
    <w:rsid w:val="003408A2"/>
    <w:rsid w:val="00340ED9"/>
    <w:rsid w:val="00341078"/>
    <w:rsid w:val="00341152"/>
    <w:rsid w:val="00341192"/>
    <w:rsid w:val="00341390"/>
    <w:rsid w:val="0034150B"/>
    <w:rsid w:val="00341544"/>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5F3"/>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331"/>
    <w:rsid w:val="00353472"/>
    <w:rsid w:val="003538F9"/>
    <w:rsid w:val="00353BC8"/>
    <w:rsid w:val="00353EB2"/>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F87"/>
    <w:rsid w:val="00362FA9"/>
    <w:rsid w:val="003633A3"/>
    <w:rsid w:val="003633F5"/>
    <w:rsid w:val="0036369C"/>
    <w:rsid w:val="0036398B"/>
    <w:rsid w:val="00363CB9"/>
    <w:rsid w:val="00363CBC"/>
    <w:rsid w:val="00363DB6"/>
    <w:rsid w:val="00364341"/>
    <w:rsid w:val="00364955"/>
    <w:rsid w:val="003649C0"/>
    <w:rsid w:val="00364A48"/>
    <w:rsid w:val="00364C47"/>
    <w:rsid w:val="00364E9D"/>
    <w:rsid w:val="00365521"/>
    <w:rsid w:val="0036562D"/>
    <w:rsid w:val="00365697"/>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5C5"/>
    <w:rsid w:val="00390824"/>
    <w:rsid w:val="00390A02"/>
    <w:rsid w:val="00390A62"/>
    <w:rsid w:val="00390B39"/>
    <w:rsid w:val="00390E2E"/>
    <w:rsid w:val="00391001"/>
    <w:rsid w:val="003911F1"/>
    <w:rsid w:val="003917A1"/>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342"/>
    <w:rsid w:val="003A1488"/>
    <w:rsid w:val="003A1503"/>
    <w:rsid w:val="003A1640"/>
    <w:rsid w:val="003A1745"/>
    <w:rsid w:val="003A1BD6"/>
    <w:rsid w:val="003A1EDF"/>
    <w:rsid w:val="003A204B"/>
    <w:rsid w:val="003A22CB"/>
    <w:rsid w:val="003A24C7"/>
    <w:rsid w:val="003A24F4"/>
    <w:rsid w:val="003A26AA"/>
    <w:rsid w:val="003A2A3E"/>
    <w:rsid w:val="003A2B0D"/>
    <w:rsid w:val="003A2CA4"/>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C41"/>
    <w:rsid w:val="003B114F"/>
    <w:rsid w:val="003B178C"/>
    <w:rsid w:val="003B19B6"/>
    <w:rsid w:val="003B1A97"/>
    <w:rsid w:val="003B2043"/>
    <w:rsid w:val="003B24BC"/>
    <w:rsid w:val="003B2558"/>
    <w:rsid w:val="003B268E"/>
    <w:rsid w:val="003B278A"/>
    <w:rsid w:val="003B27E9"/>
    <w:rsid w:val="003B2927"/>
    <w:rsid w:val="003B2981"/>
    <w:rsid w:val="003B2C76"/>
    <w:rsid w:val="003B2EDB"/>
    <w:rsid w:val="003B3152"/>
    <w:rsid w:val="003B3227"/>
    <w:rsid w:val="003B32B2"/>
    <w:rsid w:val="003B33BE"/>
    <w:rsid w:val="003B3861"/>
    <w:rsid w:val="003B3B3B"/>
    <w:rsid w:val="003B3E22"/>
    <w:rsid w:val="003B40B7"/>
    <w:rsid w:val="003B40EF"/>
    <w:rsid w:val="003B41C2"/>
    <w:rsid w:val="003B4720"/>
    <w:rsid w:val="003B4754"/>
    <w:rsid w:val="003B4769"/>
    <w:rsid w:val="003B4817"/>
    <w:rsid w:val="003B48BD"/>
    <w:rsid w:val="003B4B45"/>
    <w:rsid w:val="003B4F6C"/>
    <w:rsid w:val="003B5074"/>
    <w:rsid w:val="003B50E4"/>
    <w:rsid w:val="003B5420"/>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AC"/>
    <w:rsid w:val="003C0B24"/>
    <w:rsid w:val="003C0C72"/>
    <w:rsid w:val="003C0D95"/>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118"/>
    <w:rsid w:val="003C71F1"/>
    <w:rsid w:val="003C73C3"/>
    <w:rsid w:val="003C7545"/>
    <w:rsid w:val="003C76D8"/>
    <w:rsid w:val="003C7722"/>
    <w:rsid w:val="003C7736"/>
    <w:rsid w:val="003C7872"/>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23"/>
    <w:rsid w:val="003D2E61"/>
    <w:rsid w:val="003D3453"/>
    <w:rsid w:val="003D357C"/>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8AF"/>
    <w:rsid w:val="003D7977"/>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5AC"/>
    <w:rsid w:val="003E4937"/>
    <w:rsid w:val="003E4D5B"/>
    <w:rsid w:val="003E4DE0"/>
    <w:rsid w:val="003E5002"/>
    <w:rsid w:val="003E532B"/>
    <w:rsid w:val="003E5362"/>
    <w:rsid w:val="003E536C"/>
    <w:rsid w:val="003E54FB"/>
    <w:rsid w:val="003E5702"/>
    <w:rsid w:val="003E57DB"/>
    <w:rsid w:val="003E589C"/>
    <w:rsid w:val="003E5E7A"/>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1504"/>
    <w:rsid w:val="003F1527"/>
    <w:rsid w:val="003F1592"/>
    <w:rsid w:val="003F175F"/>
    <w:rsid w:val="003F18E3"/>
    <w:rsid w:val="003F1B1D"/>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588"/>
    <w:rsid w:val="003F4794"/>
    <w:rsid w:val="003F4913"/>
    <w:rsid w:val="003F4AD0"/>
    <w:rsid w:val="003F4B37"/>
    <w:rsid w:val="003F4B3B"/>
    <w:rsid w:val="003F4EE1"/>
    <w:rsid w:val="003F5062"/>
    <w:rsid w:val="003F52F1"/>
    <w:rsid w:val="003F5391"/>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BA"/>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9B9"/>
    <w:rsid w:val="00444D8D"/>
    <w:rsid w:val="00444F08"/>
    <w:rsid w:val="00445276"/>
    <w:rsid w:val="004452E4"/>
    <w:rsid w:val="00445392"/>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D94"/>
    <w:rsid w:val="00452DBE"/>
    <w:rsid w:val="00452E54"/>
    <w:rsid w:val="004531B0"/>
    <w:rsid w:val="004532DF"/>
    <w:rsid w:val="0045335E"/>
    <w:rsid w:val="00453616"/>
    <w:rsid w:val="00453700"/>
    <w:rsid w:val="00453A02"/>
    <w:rsid w:val="00453C57"/>
    <w:rsid w:val="00453F18"/>
    <w:rsid w:val="00453FCB"/>
    <w:rsid w:val="0045431E"/>
    <w:rsid w:val="00454343"/>
    <w:rsid w:val="00454602"/>
    <w:rsid w:val="00454779"/>
    <w:rsid w:val="0045485E"/>
    <w:rsid w:val="00454A2C"/>
    <w:rsid w:val="00454A8C"/>
    <w:rsid w:val="00454DCF"/>
    <w:rsid w:val="00454FE1"/>
    <w:rsid w:val="00455209"/>
    <w:rsid w:val="0045533F"/>
    <w:rsid w:val="00455780"/>
    <w:rsid w:val="004558F6"/>
    <w:rsid w:val="0045598B"/>
    <w:rsid w:val="00455AE7"/>
    <w:rsid w:val="00455DFA"/>
    <w:rsid w:val="004560D1"/>
    <w:rsid w:val="004561BD"/>
    <w:rsid w:val="004561FB"/>
    <w:rsid w:val="00456247"/>
    <w:rsid w:val="0045676B"/>
    <w:rsid w:val="004569FA"/>
    <w:rsid w:val="00456B4E"/>
    <w:rsid w:val="00456DAA"/>
    <w:rsid w:val="00456F96"/>
    <w:rsid w:val="004570C7"/>
    <w:rsid w:val="00457194"/>
    <w:rsid w:val="004571D6"/>
    <w:rsid w:val="004573F7"/>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D1"/>
    <w:rsid w:val="0046158F"/>
    <w:rsid w:val="0046163C"/>
    <w:rsid w:val="0046185F"/>
    <w:rsid w:val="004618CD"/>
    <w:rsid w:val="004619FC"/>
    <w:rsid w:val="00461BC4"/>
    <w:rsid w:val="00461C9B"/>
    <w:rsid w:val="00461DCA"/>
    <w:rsid w:val="00461E64"/>
    <w:rsid w:val="00462040"/>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A1"/>
    <w:rsid w:val="00463C5D"/>
    <w:rsid w:val="00463DF6"/>
    <w:rsid w:val="00463E4B"/>
    <w:rsid w:val="0046401E"/>
    <w:rsid w:val="0046444F"/>
    <w:rsid w:val="00464609"/>
    <w:rsid w:val="004647A0"/>
    <w:rsid w:val="00464890"/>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E07"/>
    <w:rsid w:val="00471F74"/>
    <w:rsid w:val="004721E9"/>
    <w:rsid w:val="00472214"/>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B22"/>
    <w:rsid w:val="00474E51"/>
    <w:rsid w:val="00474FA4"/>
    <w:rsid w:val="00475020"/>
    <w:rsid w:val="004753C9"/>
    <w:rsid w:val="004756A9"/>
    <w:rsid w:val="00475871"/>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04A"/>
    <w:rsid w:val="0048431C"/>
    <w:rsid w:val="00484577"/>
    <w:rsid w:val="0048467D"/>
    <w:rsid w:val="004848C2"/>
    <w:rsid w:val="00484937"/>
    <w:rsid w:val="00484A73"/>
    <w:rsid w:val="00484AD0"/>
    <w:rsid w:val="00485368"/>
    <w:rsid w:val="004853D2"/>
    <w:rsid w:val="0048544E"/>
    <w:rsid w:val="00485495"/>
    <w:rsid w:val="00485641"/>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EB9"/>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EA"/>
    <w:rsid w:val="004974BD"/>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4D8"/>
    <w:rsid w:val="004A3990"/>
    <w:rsid w:val="004A3FA3"/>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F"/>
    <w:rsid w:val="004A72B4"/>
    <w:rsid w:val="004A7789"/>
    <w:rsid w:val="004A7B3E"/>
    <w:rsid w:val="004A7F3E"/>
    <w:rsid w:val="004B009C"/>
    <w:rsid w:val="004B03DB"/>
    <w:rsid w:val="004B058A"/>
    <w:rsid w:val="004B05A3"/>
    <w:rsid w:val="004B068E"/>
    <w:rsid w:val="004B077A"/>
    <w:rsid w:val="004B08E0"/>
    <w:rsid w:val="004B09A5"/>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30D"/>
    <w:rsid w:val="004B2427"/>
    <w:rsid w:val="004B2461"/>
    <w:rsid w:val="004B272F"/>
    <w:rsid w:val="004B27A0"/>
    <w:rsid w:val="004B28B8"/>
    <w:rsid w:val="004B2A32"/>
    <w:rsid w:val="004B2CC0"/>
    <w:rsid w:val="004B2EBA"/>
    <w:rsid w:val="004B3063"/>
    <w:rsid w:val="004B3140"/>
    <w:rsid w:val="004B316F"/>
    <w:rsid w:val="004B37B3"/>
    <w:rsid w:val="004B3CEC"/>
    <w:rsid w:val="004B3ED7"/>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415"/>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EA5"/>
    <w:rsid w:val="004C3F72"/>
    <w:rsid w:val="004C40A9"/>
    <w:rsid w:val="004C41EA"/>
    <w:rsid w:val="004C43E0"/>
    <w:rsid w:val="004C45F5"/>
    <w:rsid w:val="004C46CF"/>
    <w:rsid w:val="004C47B2"/>
    <w:rsid w:val="004C489F"/>
    <w:rsid w:val="004C48FC"/>
    <w:rsid w:val="004C499C"/>
    <w:rsid w:val="004C4DC3"/>
    <w:rsid w:val="004C4EE8"/>
    <w:rsid w:val="004C5265"/>
    <w:rsid w:val="004C534D"/>
    <w:rsid w:val="004C5367"/>
    <w:rsid w:val="004C5409"/>
    <w:rsid w:val="004C553B"/>
    <w:rsid w:val="004C57C1"/>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E5"/>
    <w:rsid w:val="004D0E00"/>
    <w:rsid w:val="004D10CE"/>
    <w:rsid w:val="004D113E"/>
    <w:rsid w:val="004D1326"/>
    <w:rsid w:val="004D1406"/>
    <w:rsid w:val="004D1736"/>
    <w:rsid w:val="004D1A34"/>
    <w:rsid w:val="004D1C6D"/>
    <w:rsid w:val="004D1D12"/>
    <w:rsid w:val="004D1D19"/>
    <w:rsid w:val="004D1D23"/>
    <w:rsid w:val="004D1F4B"/>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D8"/>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5E5"/>
    <w:rsid w:val="004F0661"/>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A11"/>
    <w:rsid w:val="004F4A83"/>
    <w:rsid w:val="004F4C75"/>
    <w:rsid w:val="004F4EDE"/>
    <w:rsid w:val="004F530A"/>
    <w:rsid w:val="004F58F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7197"/>
    <w:rsid w:val="004F7211"/>
    <w:rsid w:val="004F73AE"/>
    <w:rsid w:val="004F7528"/>
    <w:rsid w:val="004F770E"/>
    <w:rsid w:val="004F77FA"/>
    <w:rsid w:val="004F7850"/>
    <w:rsid w:val="004F795D"/>
    <w:rsid w:val="004F7C40"/>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647"/>
    <w:rsid w:val="005029CF"/>
    <w:rsid w:val="00502BE6"/>
    <w:rsid w:val="00502D4D"/>
    <w:rsid w:val="00502DD6"/>
    <w:rsid w:val="00503047"/>
    <w:rsid w:val="005035E6"/>
    <w:rsid w:val="005036F7"/>
    <w:rsid w:val="0050399A"/>
    <w:rsid w:val="005039B6"/>
    <w:rsid w:val="00503A6B"/>
    <w:rsid w:val="00503BB0"/>
    <w:rsid w:val="00503D7D"/>
    <w:rsid w:val="00503EB1"/>
    <w:rsid w:val="00503EC0"/>
    <w:rsid w:val="00503EFF"/>
    <w:rsid w:val="00504081"/>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B2B"/>
    <w:rsid w:val="00505BDC"/>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5FF"/>
    <w:rsid w:val="00526713"/>
    <w:rsid w:val="00526875"/>
    <w:rsid w:val="0052691D"/>
    <w:rsid w:val="00526AA6"/>
    <w:rsid w:val="00526B0D"/>
    <w:rsid w:val="00526B5B"/>
    <w:rsid w:val="00526C70"/>
    <w:rsid w:val="0052714C"/>
    <w:rsid w:val="00527499"/>
    <w:rsid w:val="00527716"/>
    <w:rsid w:val="00527719"/>
    <w:rsid w:val="00527852"/>
    <w:rsid w:val="00527DE4"/>
    <w:rsid w:val="00527DFB"/>
    <w:rsid w:val="00527E4A"/>
    <w:rsid w:val="00527ECA"/>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86E"/>
    <w:rsid w:val="00532AE3"/>
    <w:rsid w:val="00532DE9"/>
    <w:rsid w:val="00533066"/>
    <w:rsid w:val="00533123"/>
    <w:rsid w:val="00533405"/>
    <w:rsid w:val="005335A4"/>
    <w:rsid w:val="00533727"/>
    <w:rsid w:val="005337B9"/>
    <w:rsid w:val="0053389F"/>
    <w:rsid w:val="005339FF"/>
    <w:rsid w:val="00533C3C"/>
    <w:rsid w:val="00534041"/>
    <w:rsid w:val="0053415A"/>
    <w:rsid w:val="005342A7"/>
    <w:rsid w:val="00534676"/>
    <w:rsid w:val="005347A5"/>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87A"/>
    <w:rsid w:val="00540AB5"/>
    <w:rsid w:val="00540B29"/>
    <w:rsid w:val="00540B98"/>
    <w:rsid w:val="00541160"/>
    <w:rsid w:val="00541651"/>
    <w:rsid w:val="005416CE"/>
    <w:rsid w:val="00541781"/>
    <w:rsid w:val="00541BBB"/>
    <w:rsid w:val="005423CF"/>
    <w:rsid w:val="00542602"/>
    <w:rsid w:val="00542708"/>
    <w:rsid w:val="00542714"/>
    <w:rsid w:val="00542D6B"/>
    <w:rsid w:val="00542E61"/>
    <w:rsid w:val="00543058"/>
    <w:rsid w:val="00543143"/>
    <w:rsid w:val="005434DC"/>
    <w:rsid w:val="005434F9"/>
    <w:rsid w:val="0054384C"/>
    <w:rsid w:val="00543A6B"/>
    <w:rsid w:val="0054414B"/>
    <w:rsid w:val="005441B3"/>
    <w:rsid w:val="0054437D"/>
    <w:rsid w:val="005443F6"/>
    <w:rsid w:val="00544428"/>
    <w:rsid w:val="00544554"/>
    <w:rsid w:val="005447D1"/>
    <w:rsid w:val="005448D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D61"/>
    <w:rsid w:val="00561D93"/>
    <w:rsid w:val="00561EBA"/>
    <w:rsid w:val="00561EFF"/>
    <w:rsid w:val="0056204E"/>
    <w:rsid w:val="0056205F"/>
    <w:rsid w:val="00562176"/>
    <w:rsid w:val="0056228A"/>
    <w:rsid w:val="005622B8"/>
    <w:rsid w:val="005622FA"/>
    <w:rsid w:val="0056247B"/>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65F"/>
    <w:rsid w:val="005728FA"/>
    <w:rsid w:val="00572AE8"/>
    <w:rsid w:val="00572AEC"/>
    <w:rsid w:val="00572B3F"/>
    <w:rsid w:val="00572D3B"/>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FC3"/>
    <w:rsid w:val="00581284"/>
    <w:rsid w:val="0058140D"/>
    <w:rsid w:val="005814EB"/>
    <w:rsid w:val="00581B24"/>
    <w:rsid w:val="00581C7C"/>
    <w:rsid w:val="00581D84"/>
    <w:rsid w:val="00582100"/>
    <w:rsid w:val="00582369"/>
    <w:rsid w:val="00582CF3"/>
    <w:rsid w:val="00582E32"/>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78C"/>
    <w:rsid w:val="00585AE9"/>
    <w:rsid w:val="00585C22"/>
    <w:rsid w:val="00585CA0"/>
    <w:rsid w:val="00585CCD"/>
    <w:rsid w:val="00585CE5"/>
    <w:rsid w:val="00585D6C"/>
    <w:rsid w:val="00585D78"/>
    <w:rsid w:val="005861D2"/>
    <w:rsid w:val="0058625B"/>
    <w:rsid w:val="005862A9"/>
    <w:rsid w:val="005865A4"/>
    <w:rsid w:val="005868E7"/>
    <w:rsid w:val="00586A64"/>
    <w:rsid w:val="00586B89"/>
    <w:rsid w:val="00586D8D"/>
    <w:rsid w:val="00586EE4"/>
    <w:rsid w:val="00586F8B"/>
    <w:rsid w:val="00587232"/>
    <w:rsid w:val="0058725B"/>
    <w:rsid w:val="00587367"/>
    <w:rsid w:val="00587778"/>
    <w:rsid w:val="00587B6E"/>
    <w:rsid w:val="00587B7C"/>
    <w:rsid w:val="00587E21"/>
    <w:rsid w:val="00587F3B"/>
    <w:rsid w:val="005902E7"/>
    <w:rsid w:val="005905CA"/>
    <w:rsid w:val="0059072F"/>
    <w:rsid w:val="00590DC6"/>
    <w:rsid w:val="00590EC7"/>
    <w:rsid w:val="0059107E"/>
    <w:rsid w:val="005911A8"/>
    <w:rsid w:val="005911FB"/>
    <w:rsid w:val="0059137F"/>
    <w:rsid w:val="005913AD"/>
    <w:rsid w:val="00591525"/>
    <w:rsid w:val="005915E7"/>
    <w:rsid w:val="0059166C"/>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3AB"/>
    <w:rsid w:val="005A2540"/>
    <w:rsid w:val="005A2967"/>
    <w:rsid w:val="005A29E0"/>
    <w:rsid w:val="005A2DD8"/>
    <w:rsid w:val="005A2DE3"/>
    <w:rsid w:val="005A317D"/>
    <w:rsid w:val="005A3214"/>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D23"/>
    <w:rsid w:val="005A7DE1"/>
    <w:rsid w:val="005A7F29"/>
    <w:rsid w:val="005B000A"/>
    <w:rsid w:val="005B0076"/>
    <w:rsid w:val="005B00FC"/>
    <w:rsid w:val="005B0100"/>
    <w:rsid w:val="005B0290"/>
    <w:rsid w:val="005B0614"/>
    <w:rsid w:val="005B0760"/>
    <w:rsid w:val="005B0761"/>
    <w:rsid w:val="005B07CD"/>
    <w:rsid w:val="005B095E"/>
    <w:rsid w:val="005B0A38"/>
    <w:rsid w:val="005B0B09"/>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F7D"/>
    <w:rsid w:val="005C2089"/>
    <w:rsid w:val="005C209F"/>
    <w:rsid w:val="005C20B5"/>
    <w:rsid w:val="005C22CE"/>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600"/>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11C"/>
    <w:rsid w:val="005D2262"/>
    <w:rsid w:val="005D22D4"/>
    <w:rsid w:val="005D258E"/>
    <w:rsid w:val="005D2649"/>
    <w:rsid w:val="005D2773"/>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F63"/>
    <w:rsid w:val="005D3FB2"/>
    <w:rsid w:val="005D41F0"/>
    <w:rsid w:val="005D4772"/>
    <w:rsid w:val="005D4916"/>
    <w:rsid w:val="005D49E8"/>
    <w:rsid w:val="005D4A57"/>
    <w:rsid w:val="005D4AAB"/>
    <w:rsid w:val="005D4F0A"/>
    <w:rsid w:val="005D5013"/>
    <w:rsid w:val="005D509B"/>
    <w:rsid w:val="005D5597"/>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2E9"/>
    <w:rsid w:val="005E263F"/>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FC"/>
    <w:rsid w:val="005E4720"/>
    <w:rsid w:val="005E489E"/>
    <w:rsid w:val="005E48F1"/>
    <w:rsid w:val="005E4C2E"/>
    <w:rsid w:val="005E4DB0"/>
    <w:rsid w:val="005E50F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6B34"/>
    <w:rsid w:val="005E70B6"/>
    <w:rsid w:val="005E715F"/>
    <w:rsid w:val="005E726B"/>
    <w:rsid w:val="005E7285"/>
    <w:rsid w:val="005E729B"/>
    <w:rsid w:val="005E7477"/>
    <w:rsid w:val="005E7662"/>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51"/>
    <w:rsid w:val="00601BD3"/>
    <w:rsid w:val="00601EE0"/>
    <w:rsid w:val="00601F60"/>
    <w:rsid w:val="0060225F"/>
    <w:rsid w:val="0060253F"/>
    <w:rsid w:val="006025C1"/>
    <w:rsid w:val="00602D3D"/>
    <w:rsid w:val="00602DFB"/>
    <w:rsid w:val="00602E65"/>
    <w:rsid w:val="00602F6F"/>
    <w:rsid w:val="006030A4"/>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07E"/>
    <w:rsid w:val="006071B2"/>
    <w:rsid w:val="0060723C"/>
    <w:rsid w:val="00607414"/>
    <w:rsid w:val="006074A3"/>
    <w:rsid w:val="006076E8"/>
    <w:rsid w:val="00607820"/>
    <w:rsid w:val="00607CA6"/>
    <w:rsid w:val="00607CBD"/>
    <w:rsid w:val="00607F1E"/>
    <w:rsid w:val="00607FE8"/>
    <w:rsid w:val="006101BA"/>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C3"/>
    <w:rsid w:val="0061221E"/>
    <w:rsid w:val="00612291"/>
    <w:rsid w:val="006126CD"/>
    <w:rsid w:val="006126D3"/>
    <w:rsid w:val="006128D5"/>
    <w:rsid w:val="00612A65"/>
    <w:rsid w:val="00612CFC"/>
    <w:rsid w:val="00612D46"/>
    <w:rsid w:val="00612E0F"/>
    <w:rsid w:val="00612E6C"/>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4B74"/>
    <w:rsid w:val="00614DE2"/>
    <w:rsid w:val="00614F68"/>
    <w:rsid w:val="006151BA"/>
    <w:rsid w:val="0061573D"/>
    <w:rsid w:val="00615760"/>
    <w:rsid w:val="006159E7"/>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562"/>
    <w:rsid w:val="0062066A"/>
    <w:rsid w:val="00620CF8"/>
    <w:rsid w:val="00620D42"/>
    <w:rsid w:val="00620D64"/>
    <w:rsid w:val="00620F4B"/>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6A16"/>
    <w:rsid w:val="00637176"/>
    <w:rsid w:val="006371AF"/>
    <w:rsid w:val="0063722B"/>
    <w:rsid w:val="00637364"/>
    <w:rsid w:val="00637769"/>
    <w:rsid w:val="00637877"/>
    <w:rsid w:val="0063787B"/>
    <w:rsid w:val="00637C67"/>
    <w:rsid w:val="00637E9A"/>
    <w:rsid w:val="00640469"/>
    <w:rsid w:val="0064060A"/>
    <w:rsid w:val="00640AFB"/>
    <w:rsid w:val="00640E37"/>
    <w:rsid w:val="00640F70"/>
    <w:rsid w:val="006410EA"/>
    <w:rsid w:val="006411F3"/>
    <w:rsid w:val="00641954"/>
    <w:rsid w:val="00641ABE"/>
    <w:rsid w:val="00641B56"/>
    <w:rsid w:val="00641D0E"/>
    <w:rsid w:val="00641D37"/>
    <w:rsid w:val="00641D72"/>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300"/>
    <w:rsid w:val="00647469"/>
    <w:rsid w:val="006474FD"/>
    <w:rsid w:val="0064769C"/>
    <w:rsid w:val="00647861"/>
    <w:rsid w:val="00647AB8"/>
    <w:rsid w:val="00647DCD"/>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93B"/>
    <w:rsid w:val="00662B22"/>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594"/>
    <w:rsid w:val="00683630"/>
    <w:rsid w:val="006837F3"/>
    <w:rsid w:val="00683893"/>
    <w:rsid w:val="00683A17"/>
    <w:rsid w:val="00683AA5"/>
    <w:rsid w:val="00683B48"/>
    <w:rsid w:val="00683C58"/>
    <w:rsid w:val="00683CCC"/>
    <w:rsid w:val="00683CE4"/>
    <w:rsid w:val="00683DCF"/>
    <w:rsid w:val="00684056"/>
    <w:rsid w:val="006848CB"/>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C5"/>
    <w:rsid w:val="00694627"/>
    <w:rsid w:val="00694A20"/>
    <w:rsid w:val="00694AA6"/>
    <w:rsid w:val="00694B64"/>
    <w:rsid w:val="00694D70"/>
    <w:rsid w:val="00694E44"/>
    <w:rsid w:val="00694E47"/>
    <w:rsid w:val="00694EC5"/>
    <w:rsid w:val="00695067"/>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2B4"/>
    <w:rsid w:val="006A1735"/>
    <w:rsid w:val="006A17CE"/>
    <w:rsid w:val="006A1948"/>
    <w:rsid w:val="006A1F70"/>
    <w:rsid w:val="006A22FF"/>
    <w:rsid w:val="006A23C5"/>
    <w:rsid w:val="006A24B0"/>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4FDF"/>
    <w:rsid w:val="006A51C2"/>
    <w:rsid w:val="006A52D2"/>
    <w:rsid w:val="006A53FD"/>
    <w:rsid w:val="006A55C6"/>
    <w:rsid w:val="006A581F"/>
    <w:rsid w:val="006A58E3"/>
    <w:rsid w:val="006A59E1"/>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48F"/>
    <w:rsid w:val="006C355C"/>
    <w:rsid w:val="006C35FA"/>
    <w:rsid w:val="006C3ABD"/>
    <w:rsid w:val="006C3D0B"/>
    <w:rsid w:val="006C3F10"/>
    <w:rsid w:val="006C46B5"/>
    <w:rsid w:val="006C495B"/>
    <w:rsid w:val="006C4F2C"/>
    <w:rsid w:val="006C4FB4"/>
    <w:rsid w:val="006C5060"/>
    <w:rsid w:val="006C5071"/>
    <w:rsid w:val="006C5114"/>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1B9"/>
    <w:rsid w:val="006D227C"/>
    <w:rsid w:val="006D24F9"/>
    <w:rsid w:val="006D2546"/>
    <w:rsid w:val="006D25F8"/>
    <w:rsid w:val="006D27D5"/>
    <w:rsid w:val="006D27F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CF"/>
    <w:rsid w:val="006E186C"/>
    <w:rsid w:val="006E1ADD"/>
    <w:rsid w:val="006E1C3F"/>
    <w:rsid w:val="006E1FEB"/>
    <w:rsid w:val="006E2177"/>
    <w:rsid w:val="006E21BE"/>
    <w:rsid w:val="006E2290"/>
    <w:rsid w:val="006E2315"/>
    <w:rsid w:val="006E2B49"/>
    <w:rsid w:val="006E2F0B"/>
    <w:rsid w:val="006E3009"/>
    <w:rsid w:val="006E3081"/>
    <w:rsid w:val="006E310F"/>
    <w:rsid w:val="006E312F"/>
    <w:rsid w:val="006E33BA"/>
    <w:rsid w:val="006E370E"/>
    <w:rsid w:val="006E3787"/>
    <w:rsid w:val="006E390C"/>
    <w:rsid w:val="006E39D5"/>
    <w:rsid w:val="006E39F0"/>
    <w:rsid w:val="006E3BC1"/>
    <w:rsid w:val="006E3C46"/>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B0E"/>
    <w:rsid w:val="006F1CDA"/>
    <w:rsid w:val="006F1DE0"/>
    <w:rsid w:val="006F1F79"/>
    <w:rsid w:val="006F1FBB"/>
    <w:rsid w:val="006F226E"/>
    <w:rsid w:val="006F22F2"/>
    <w:rsid w:val="006F23CC"/>
    <w:rsid w:val="006F23EB"/>
    <w:rsid w:val="006F2701"/>
    <w:rsid w:val="006F2784"/>
    <w:rsid w:val="006F27AF"/>
    <w:rsid w:val="006F2AC0"/>
    <w:rsid w:val="006F2B54"/>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91"/>
    <w:rsid w:val="00700B5D"/>
    <w:rsid w:val="00700F3A"/>
    <w:rsid w:val="00700F85"/>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95C"/>
    <w:rsid w:val="007129F5"/>
    <w:rsid w:val="00712C1B"/>
    <w:rsid w:val="00712DB1"/>
    <w:rsid w:val="00712E5A"/>
    <w:rsid w:val="00712E70"/>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3D"/>
    <w:rsid w:val="00717B55"/>
    <w:rsid w:val="00717C4E"/>
    <w:rsid w:val="00717E97"/>
    <w:rsid w:val="00717F04"/>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20DC"/>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418F"/>
    <w:rsid w:val="007443CB"/>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7068"/>
    <w:rsid w:val="0074718A"/>
    <w:rsid w:val="0074741C"/>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1CD"/>
    <w:rsid w:val="00755215"/>
    <w:rsid w:val="00755291"/>
    <w:rsid w:val="00755429"/>
    <w:rsid w:val="007557B6"/>
    <w:rsid w:val="00755AF9"/>
    <w:rsid w:val="00755CB2"/>
    <w:rsid w:val="00755D2C"/>
    <w:rsid w:val="00755D5E"/>
    <w:rsid w:val="00755DDA"/>
    <w:rsid w:val="00755E2E"/>
    <w:rsid w:val="00755E3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42B"/>
    <w:rsid w:val="00771466"/>
    <w:rsid w:val="0077157F"/>
    <w:rsid w:val="0077171B"/>
    <w:rsid w:val="0077183E"/>
    <w:rsid w:val="007719F5"/>
    <w:rsid w:val="00771A14"/>
    <w:rsid w:val="00771B23"/>
    <w:rsid w:val="0077201F"/>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18F"/>
    <w:rsid w:val="007771BE"/>
    <w:rsid w:val="007772DB"/>
    <w:rsid w:val="00777796"/>
    <w:rsid w:val="0077794C"/>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932"/>
    <w:rsid w:val="00781F47"/>
    <w:rsid w:val="00782013"/>
    <w:rsid w:val="007821B4"/>
    <w:rsid w:val="007824C0"/>
    <w:rsid w:val="007826E3"/>
    <w:rsid w:val="007826FF"/>
    <w:rsid w:val="00782942"/>
    <w:rsid w:val="00782A0B"/>
    <w:rsid w:val="00782B14"/>
    <w:rsid w:val="00782C46"/>
    <w:rsid w:val="00782D19"/>
    <w:rsid w:val="00782DC6"/>
    <w:rsid w:val="00782DCA"/>
    <w:rsid w:val="007835FA"/>
    <w:rsid w:val="0078376B"/>
    <w:rsid w:val="007838FB"/>
    <w:rsid w:val="00783D15"/>
    <w:rsid w:val="00783ED8"/>
    <w:rsid w:val="00783F13"/>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BB"/>
    <w:rsid w:val="007A5735"/>
    <w:rsid w:val="007A5A44"/>
    <w:rsid w:val="007A5ADC"/>
    <w:rsid w:val="007A5B2A"/>
    <w:rsid w:val="007A5B83"/>
    <w:rsid w:val="007A613D"/>
    <w:rsid w:val="007A6399"/>
    <w:rsid w:val="007A63E9"/>
    <w:rsid w:val="007A66AC"/>
    <w:rsid w:val="007A6883"/>
    <w:rsid w:val="007A693D"/>
    <w:rsid w:val="007A6944"/>
    <w:rsid w:val="007A69A8"/>
    <w:rsid w:val="007A69B5"/>
    <w:rsid w:val="007A6FB3"/>
    <w:rsid w:val="007A723B"/>
    <w:rsid w:val="007A7480"/>
    <w:rsid w:val="007A7493"/>
    <w:rsid w:val="007A7630"/>
    <w:rsid w:val="007A76DD"/>
    <w:rsid w:val="007A7708"/>
    <w:rsid w:val="007A772F"/>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7B"/>
    <w:rsid w:val="007B14DC"/>
    <w:rsid w:val="007B14EB"/>
    <w:rsid w:val="007B1A9C"/>
    <w:rsid w:val="007B1B1F"/>
    <w:rsid w:val="007B1D50"/>
    <w:rsid w:val="007B1D81"/>
    <w:rsid w:val="007B1F5A"/>
    <w:rsid w:val="007B1FCA"/>
    <w:rsid w:val="007B2054"/>
    <w:rsid w:val="007B2C74"/>
    <w:rsid w:val="007B2D95"/>
    <w:rsid w:val="007B2EB0"/>
    <w:rsid w:val="007B3062"/>
    <w:rsid w:val="007B3063"/>
    <w:rsid w:val="007B3114"/>
    <w:rsid w:val="007B353C"/>
    <w:rsid w:val="007B38F5"/>
    <w:rsid w:val="007B4165"/>
    <w:rsid w:val="007B43AD"/>
    <w:rsid w:val="007B43BC"/>
    <w:rsid w:val="007B43E3"/>
    <w:rsid w:val="007B461D"/>
    <w:rsid w:val="007B46DF"/>
    <w:rsid w:val="007B48AF"/>
    <w:rsid w:val="007B48ED"/>
    <w:rsid w:val="007B496F"/>
    <w:rsid w:val="007B4DBF"/>
    <w:rsid w:val="007B4E92"/>
    <w:rsid w:val="007B4F86"/>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7E4"/>
    <w:rsid w:val="007C186E"/>
    <w:rsid w:val="007C1916"/>
    <w:rsid w:val="007C1AA9"/>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D4"/>
    <w:rsid w:val="007C3D85"/>
    <w:rsid w:val="007C3DBE"/>
    <w:rsid w:val="007C3E5B"/>
    <w:rsid w:val="007C3E63"/>
    <w:rsid w:val="007C4066"/>
    <w:rsid w:val="007C40BB"/>
    <w:rsid w:val="007C4228"/>
    <w:rsid w:val="007C441E"/>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BC"/>
    <w:rsid w:val="007D6412"/>
    <w:rsid w:val="007D663A"/>
    <w:rsid w:val="007D6675"/>
    <w:rsid w:val="007D66C1"/>
    <w:rsid w:val="007D6D9C"/>
    <w:rsid w:val="007D6DBF"/>
    <w:rsid w:val="007D6EF8"/>
    <w:rsid w:val="007D70C3"/>
    <w:rsid w:val="007D7134"/>
    <w:rsid w:val="007D7305"/>
    <w:rsid w:val="007D7B7B"/>
    <w:rsid w:val="007D7EC6"/>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C96"/>
    <w:rsid w:val="007F0D6F"/>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3D5"/>
    <w:rsid w:val="007F36BF"/>
    <w:rsid w:val="007F3714"/>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BA"/>
    <w:rsid w:val="007F77D1"/>
    <w:rsid w:val="007F7865"/>
    <w:rsid w:val="007F7AD6"/>
    <w:rsid w:val="007F7FD6"/>
    <w:rsid w:val="00800175"/>
    <w:rsid w:val="008004FC"/>
    <w:rsid w:val="0080056F"/>
    <w:rsid w:val="008005BC"/>
    <w:rsid w:val="00800631"/>
    <w:rsid w:val="008007AA"/>
    <w:rsid w:val="008007DF"/>
    <w:rsid w:val="00800AD4"/>
    <w:rsid w:val="00800C2A"/>
    <w:rsid w:val="00800D98"/>
    <w:rsid w:val="00800E22"/>
    <w:rsid w:val="00800F5C"/>
    <w:rsid w:val="008011F0"/>
    <w:rsid w:val="0080120E"/>
    <w:rsid w:val="00801300"/>
    <w:rsid w:val="0080161F"/>
    <w:rsid w:val="0080164F"/>
    <w:rsid w:val="008016D1"/>
    <w:rsid w:val="008018EC"/>
    <w:rsid w:val="00801D83"/>
    <w:rsid w:val="00801E6B"/>
    <w:rsid w:val="00802088"/>
    <w:rsid w:val="0080234F"/>
    <w:rsid w:val="00802C77"/>
    <w:rsid w:val="00802CCF"/>
    <w:rsid w:val="00802F7D"/>
    <w:rsid w:val="008030D0"/>
    <w:rsid w:val="0080313B"/>
    <w:rsid w:val="00803510"/>
    <w:rsid w:val="00803641"/>
    <w:rsid w:val="008037B3"/>
    <w:rsid w:val="00803A91"/>
    <w:rsid w:val="00803D0A"/>
    <w:rsid w:val="00803D9D"/>
    <w:rsid w:val="00803DF8"/>
    <w:rsid w:val="00803F63"/>
    <w:rsid w:val="00803F76"/>
    <w:rsid w:val="00803FB7"/>
    <w:rsid w:val="00804261"/>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988"/>
    <w:rsid w:val="00805A43"/>
    <w:rsid w:val="00805AE5"/>
    <w:rsid w:val="00805B0F"/>
    <w:rsid w:val="00805FD7"/>
    <w:rsid w:val="00805FF3"/>
    <w:rsid w:val="00806168"/>
    <w:rsid w:val="00806320"/>
    <w:rsid w:val="008066C8"/>
    <w:rsid w:val="00806FF5"/>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185"/>
    <w:rsid w:val="008161D3"/>
    <w:rsid w:val="008162A3"/>
    <w:rsid w:val="008162BD"/>
    <w:rsid w:val="00816362"/>
    <w:rsid w:val="0081647B"/>
    <w:rsid w:val="00816609"/>
    <w:rsid w:val="00816654"/>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B84"/>
    <w:rsid w:val="008232AD"/>
    <w:rsid w:val="008236E5"/>
    <w:rsid w:val="0082379E"/>
    <w:rsid w:val="008237BE"/>
    <w:rsid w:val="00823860"/>
    <w:rsid w:val="00823AC6"/>
    <w:rsid w:val="00823C83"/>
    <w:rsid w:val="00823CF0"/>
    <w:rsid w:val="00823E3B"/>
    <w:rsid w:val="00823F43"/>
    <w:rsid w:val="0082412D"/>
    <w:rsid w:val="0082456E"/>
    <w:rsid w:val="008245D2"/>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81"/>
    <w:rsid w:val="00850D5B"/>
    <w:rsid w:val="00850FF3"/>
    <w:rsid w:val="008512B3"/>
    <w:rsid w:val="008514CA"/>
    <w:rsid w:val="00851842"/>
    <w:rsid w:val="0085191A"/>
    <w:rsid w:val="00851E77"/>
    <w:rsid w:val="0085204D"/>
    <w:rsid w:val="0085222F"/>
    <w:rsid w:val="00852381"/>
    <w:rsid w:val="008524B7"/>
    <w:rsid w:val="00852726"/>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110"/>
    <w:rsid w:val="00862114"/>
    <w:rsid w:val="00862189"/>
    <w:rsid w:val="008622DD"/>
    <w:rsid w:val="0086276A"/>
    <w:rsid w:val="00862784"/>
    <w:rsid w:val="0086279E"/>
    <w:rsid w:val="00862B1D"/>
    <w:rsid w:val="00862B3C"/>
    <w:rsid w:val="00862C3D"/>
    <w:rsid w:val="00862C45"/>
    <w:rsid w:val="00862D7C"/>
    <w:rsid w:val="00862DD5"/>
    <w:rsid w:val="00862EEE"/>
    <w:rsid w:val="008630FC"/>
    <w:rsid w:val="00863764"/>
    <w:rsid w:val="008637CB"/>
    <w:rsid w:val="0086399C"/>
    <w:rsid w:val="00863B07"/>
    <w:rsid w:val="00863B98"/>
    <w:rsid w:val="00863CD8"/>
    <w:rsid w:val="0086400E"/>
    <w:rsid w:val="008640E5"/>
    <w:rsid w:val="008641A6"/>
    <w:rsid w:val="00864456"/>
    <w:rsid w:val="008646AD"/>
    <w:rsid w:val="008646C0"/>
    <w:rsid w:val="008646F5"/>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6D"/>
    <w:rsid w:val="008740C8"/>
    <w:rsid w:val="008740C9"/>
    <w:rsid w:val="008742B2"/>
    <w:rsid w:val="00874486"/>
    <w:rsid w:val="0087455E"/>
    <w:rsid w:val="008746E1"/>
    <w:rsid w:val="008748B8"/>
    <w:rsid w:val="00874AF3"/>
    <w:rsid w:val="00874CC3"/>
    <w:rsid w:val="00874CF8"/>
    <w:rsid w:val="0087508F"/>
    <w:rsid w:val="0087527C"/>
    <w:rsid w:val="00875369"/>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73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8B5"/>
    <w:rsid w:val="00885A1F"/>
    <w:rsid w:val="00885E43"/>
    <w:rsid w:val="00885E7C"/>
    <w:rsid w:val="00885F6C"/>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C2E"/>
    <w:rsid w:val="008A2CC4"/>
    <w:rsid w:val="008A2D16"/>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7B"/>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5AE"/>
    <w:rsid w:val="008D2A05"/>
    <w:rsid w:val="008D2ABD"/>
    <w:rsid w:val="008D2B74"/>
    <w:rsid w:val="008D2B99"/>
    <w:rsid w:val="008D3423"/>
    <w:rsid w:val="008D35CF"/>
    <w:rsid w:val="008D366A"/>
    <w:rsid w:val="008D370F"/>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1A1"/>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412"/>
    <w:rsid w:val="008E38F0"/>
    <w:rsid w:val="008E3D61"/>
    <w:rsid w:val="008E3ECA"/>
    <w:rsid w:val="008E3F17"/>
    <w:rsid w:val="008E405F"/>
    <w:rsid w:val="008E406F"/>
    <w:rsid w:val="008E41A5"/>
    <w:rsid w:val="008E41ED"/>
    <w:rsid w:val="008E4242"/>
    <w:rsid w:val="008E4288"/>
    <w:rsid w:val="008E42BE"/>
    <w:rsid w:val="008E476C"/>
    <w:rsid w:val="008E491E"/>
    <w:rsid w:val="008E503B"/>
    <w:rsid w:val="008E536A"/>
    <w:rsid w:val="008E56C7"/>
    <w:rsid w:val="008E58DD"/>
    <w:rsid w:val="008E590F"/>
    <w:rsid w:val="008E5B7C"/>
    <w:rsid w:val="008E5BD7"/>
    <w:rsid w:val="008E5F62"/>
    <w:rsid w:val="008E5FAB"/>
    <w:rsid w:val="008E6030"/>
    <w:rsid w:val="008E6150"/>
    <w:rsid w:val="008E6202"/>
    <w:rsid w:val="008E643E"/>
    <w:rsid w:val="008E6744"/>
    <w:rsid w:val="008E6A73"/>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A87"/>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D09"/>
    <w:rsid w:val="00901D28"/>
    <w:rsid w:val="009020FB"/>
    <w:rsid w:val="009023BD"/>
    <w:rsid w:val="0090260A"/>
    <w:rsid w:val="009026A5"/>
    <w:rsid w:val="00902773"/>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11E"/>
    <w:rsid w:val="009042BF"/>
    <w:rsid w:val="009043BB"/>
    <w:rsid w:val="00904589"/>
    <w:rsid w:val="0090475A"/>
    <w:rsid w:val="0090496B"/>
    <w:rsid w:val="009049C2"/>
    <w:rsid w:val="00904C64"/>
    <w:rsid w:val="00904E38"/>
    <w:rsid w:val="009052ED"/>
    <w:rsid w:val="00905542"/>
    <w:rsid w:val="00905545"/>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A15"/>
    <w:rsid w:val="00906B0A"/>
    <w:rsid w:val="00906DF5"/>
    <w:rsid w:val="00906F39"/>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58E"/>
    <w:rsid w:val="0091466C"/>
    <w:rsid w:val="00914714"/>
    <w:rsid w:val="00914960"/>
    <w:rsid w:val="00914A09"/>
    <w:rsid w:val="00914A78"/>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EF"/>
    <w:rsid w:val="00920C63"/>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F6C"/>
    <w:rsid w:val="00932016"/>
    <w:rsid w:val="00932339"/>
    <w:rsid w:val="00932363"/>
    <w:rsid w:val="009323C1"/>
    <w:rsid w:val="009323C9"/>
    <w:rsid w:val="009324E0"/>
    <w:rsid w:val="009324F5"/>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98"/>
    <w:rsid w:val="00940680"/>
    <w:rsid w:val="0094093A"/>
    <w:rsid w:val="0094094B"/>
    <w:rsid w:val="00940CE1"/>
    <w:rsid w:val="00940DA0"/>
    <w:rsid w:val="0094130B"/>
    <w:rsid w:val="0094130D"/>
    <w:rsid w:val="0094167C"/>
    <w:rsid w:val="009418B3"/>
    <w:rsid w:val="00941D17"/>
    <w:rsid w:val="00941F17"/>
    <w:rsid w:val="0094200C"/>
    <w:rsid w:val="00942094"/>
    <w:rsid w:val="009421CA"/>
    <w:rsid w:val="0094220E"/>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B95"/>
    <w:rsid w:val="00962E88"/>
    <w:rsid w:val="00962EB2"/>
    <w:rsid w:val="00962EED"/>
    <w:rsid w:val="00962F88"/>
    <w:rsid w:val="00963053"/>
    <w:rsid w:val="0096314B"/>
    <w:rsid w:val="009635FB"/>
    <w:rsid w:val="009637A0"/>
    <w:rsid w:val="0096404D"/>
    <w:rsid w:val="009640AF"/>
    <w:rsid w:val="00964194"/>
    <w:rsid w:val="009641D3"/>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468"/>
    <w:rsid w:val="009736EE"/>
    <w:rsid w:val="00973782"/>
    <w:rsid w:val="00973AE4"/>
    <w:rsid w:val="00973EB3"/>
    <w:rsid w:val="00974043"/>
    <w:rsid w:val="009740DE"/>
    <w:rsid w:val="00974227"/>
    <w:rsid w:val="00974428"/>
    <w:rsid w:val="0097446A"/>
    <w:rsid w:val="00974750"/>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19B"/>
    <w:rsid w:val="0097635B"/>
    <w:rsid w:val="009763DB"/>
    <w:rsid w:val="009764C0"/>
    <w:rsid w:val="009764C4"/>
    <w:rsid w:val="00976594"/>
    <w:rsid w:val="009766EE"/>
    <w:rsid w:val="0097675F"/>
    <w:rsid w:val="00976E85"/>
    <w:rsid w:val="0097702A"/>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429"/>
    <w:rsid w:val="0098453B"/>
    <w:rsid w:val="009847ED"/>
    <w:rsid w:val="0098488B"/>
    <w:rsid w:val="0098495A"/>
    <w:rsid w:val="00984B69"/>
    <w:rsid w:val="00984C38"/>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825"/>
    <w:rsid w:val="009E191C"/>
    <w:rsid w:val="009E1BB9"/>
    <w:rsid w:val="009E1C35"/>
    <w:rsid w:val="009E1C39"/>
    <w:rsid w:val="009E1D38"/>
    <w:rsid w:val="009E1EDC"/>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1A7"/>
    <w:rsid w:val="009E45D1"/>
    <w:rsid w:val="009E4644"/>
    <w:rsid w:val="009E46F3"/>
    <w:rsid w:val="009E496F"/>
    <w:rsid w:val="009E4A93"/>
    <w:rsid w:val="009E4B16"/>
    <w:rsid w:val="009E4B62"/>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8F6"/>
    <w:rsid w:val="009F0A67"/>
    <w:rsid w:val="009F0D78"/>
    <w:rsid w:val="009F0F95"/>
    <w:rsid w:val="009F139B"/>
    <w:rsid w:val="009F146B"/>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47"/>
    <w:rsid w:val="009F7067"/>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407"/>
    <w:rsid w:val="00A01498"/>
    <w:rsid w:val="00A01626"/>
    <w:rsid w:val="00A0172D"/>
    <w:rsid w:val="00A018ED"/>
    <w:rsid w:val="00A01905"/>
    <w:rsid w:val="00A0193D"/>
    <w:rsid w:val="00A01A8E"/>
    <w:rsid w:val="00A01C15"/>
    <w:rsid w:val="00A01F1F"/>
    <w:rsid w:val="00A0237E"/>
    <w:rsid w:val="00A023D8"/>
    <w:rsid w:val="00A02429"/>
    <w:rsid w:val="00A02A6A"/>
    <w:rsid w:val="00A02AB0"/>
    <w:rsid w:val="00A02BF4"/>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B6C"/>
    <w:rsid w:val="00A04F3F"/>
    <w:rsid w:val="00A05100"/>
    <w:rsid w:val="00A05140"/>
    <w:rsid w:val="00A05380"/>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E05"/>
    <w:rsid w:val="00A071FE"/>
    <w:rsid w:val="00A0722E"/>
    <w:rsid w:val="00A073AF"/>
    <w:rsid w:val="00A07518"/>
    <w:rsid w:val="00A07682"/>
    <w:rsid w:val="00A078B9"/>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CCC"/>
    <w:rsid w:val="00A11EDC"/>
    <w:rsid w:val="00A11F8A"/>
    <w:rsid w:val="00A12174"/>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532"/>
    <w:rsid w:val="00A4074D"/>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F7B"/>
    <w:rsid w:val="00A47336"/>
    <w:rsid w:val="00A47367"/>
    <w:rsid w:val="00A47572"/>
    <w:rsid w:val="00A47738"/>
    <w:rsid w:val="00A47CEF"/>
    <w:rsid w:val="00A47D0C"/>
    <w:rsid w:val="00A47D29"/>
    <w:rsid w:val="00A47F58"/>
    <w:rsid w:val="00A47FEE"/>
    <w:rsid w:val="00A5047D"/>
    <w:rsid w:val="00A504A2"/>
    <w:rsid w:val="00A504F5"/>
    <w:rsid w:val="00A50536"/>
    <w:rsid w:val="00A505FB"/>
    <w:rsid w:val="00A50651"/>
    <w:rsid w:val="00A50746"/>
    <w:rsid w:val="00A507F8"/>
    <w:rsid w:val="00A50D89"/>
    <w:rsid w:val="00A50DB7"/>
    <w:rsid w:val="00A50E3C"/>
    <w:rsid w:val="00A50F2B"/>
    <w:rsid w:val="00A50FE7"/>
    <w:rsid w:val="00A51047"/>
    <w:rsid w:val="00A516E2"/>
    <w:rsid w:val="00A51AB7"/>
    <w:rsid w:val="00A51B82"/>
    <w:rsid w:val="00A51B84"/>
    <w:rsid w:val="00A51FDE"/>
    <w:rsid w:val="00A524D0"/>
    <w:rsid w:val="00A524DA"/>
    <w:rsid w:val="00A52518"/>
    <w:rsid w:val="00A526A0"/>
    <w:rsid w:val="00A52940"/>
    <w:rsid w:val="00A529BF"/>
    <w:rsid w:val="00A52AA6"/>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789"/>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40C"/>
    <w:rsid w:val="00A648EB"/>
    <w:rsid w:val="00A64B02"/>
    <w:rsid w:val="00A64CD6"/>
    <w:rsid w:val="00A64DD4"/>
    <w:rsid w:val="00A64DE5"/>
    <w:rsid w:val="00A64ECE"/>
    <w:rsid w:val="00A650FD"/>
    <w:rsid w:val="00A65279"/>
    <w:rsid w:val="00A652B3"/>
    <w:rsid w:val="00A65324"/>
    <w:rsid w:val="00A6553F"/>
    <w:rsid w:val="00A655AC"/>
    <w:rsid w:val="00A65691"/>
    <w:rsid w:val="00A656B3"/>
    <w:rsid w:val="00A6580E"/>
    <w:rsid w:val="00A65919"/>
    <w:rsid w:val="00A65B45"/>
    <w:rsid w:val="00A65B9C"/>
    <w:rsid w:val="00A66056"/>
    <w:rsid w:val="00A66472"/>
    <w:rsid w:val="00A665F6"/>
    <w:rsid w:val="00A667A1"/>
    <w:rsid w:val="00A66AAA"/>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37"/>
    <w:rsid w:val="00A70AC3"/>
    <w:rsid w:val="00A70B04"/>
    <w:rsid w:val="00A70CA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34B"/>
    <w:rsid w:val="00A77893"/>
    <w:rsid w:val="00A77AF0"/>
    <w:rsid w:val="00A77B1C"/>
    <w:rsid w:val="00A77E09"/>
    <w:rsid w:val="00A80111"/>
    <w:rsid w:val="00A80315"/>
    <w:rsid w:val="00A80323"/>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C4A"/>
    <w:rsid w:val="00A82C73"/>
    <w:rsid w:val="00A82DCC"/>
    <w:rsid w:val="00A82EB7"/>
    <w:rsid w:val="00A82ECC"/>
    <w:rsid w:val="00A82FB9"/>
    <w:rsid w:val="00A83239"/>
    <w:rsid w:val="00A83254"/>
    <w:rsid w:val="00A83661"/>
    <w:rsid w:val="00A836AD"/>
    <w:rsid w:val="00A838E2"/>
    <w:rsid w:val="00A8393F"/>
    <w:rsid w:val="00A83C16"/>
    <w:rsid w:val="00A83C7F"/>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8C4"/>
    <w:rsid w:val="00A9191E"/>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BA5"/>
    <w:rsid w:val="00A97E1F"/>
    <w:rsid w:val="00AA0150"/>
    <w:rsid w:val="00AA01F9"/>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CA2"/>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130"/>
    <w:rsid w:val="00AA4186"/>
    <w:rsid w:val="00AA41E5"/>
    <w:rsid w:val="00AA43DD"/>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DE0"/>
    <w:rsid w:val="00AB3E97"/>
    <w:rsid w:val="00AB4188"/>
    <w:rsid w:val="00AB418B"/>
    <w:rsid w:val="00AB4445"/>
    <w:rsid w:val="00AB4634"/>
    <w:rsid w:val="00AB4910"/>
    <w:rsid w:val="00AB4BCF"/>
    <w:rsid w:val="00AB4BEA"/>
    <w:rsid w:val="00AB4C3A"/>
    <w:rsid w:val="00AB4CEF"/>
    <w:rsid w:val="00AB4D90"/>
    <w:rsid w:val="00AB511D"/>
    <w:rsid w:val="00AB55E8"/>
    <w:rsid w:val="00AB56E1"/>
    <w:rsid w:val="00AB5881"/>
    <w:rsid w:val="00AB5A88"/>
    <w:rsid w:val="00AB5AB7"/>
    <w:rsid w:val="00AB5C4A"/>
    <w:rsid w:val="00AB5DC2"/>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489"/>
    <w:rsid w:val="00AC0603"/>
    <w:rsid w:val="00AC0702"/>
    <w:rsid w:val="00AC070F"/>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1D6"/>
    <w:rsid w:val="00AC3213"/>
    <w:rsid w:val="00AC3317"/>
    <w:rsid w:val="00AC3480"/>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A5D"/>
    <w:rsid w:val="00AC5D81"/>
    <w:rsid w:val="00AC614B"/>
    <w:rsid w:val="00AC621A"/>
    <w:rsid w:val="00AC6349"/>
    <w:rsid w:val="00AC65E8"/>
    <w:rsid w:val="00AC6643"/>
    <w:rsid w:val="00AC669E"/>
    <w:rsid w:val="00AC66D5"/>
    <w:rsid w:val="00AC67D2"/>
    <w:rsid w:val="00AC6BFD"/>
    <w:rsid w:val="00AC6C31"/>
    <w:rsid w:val="00AC6DB5"/>
    <w:rsid w:val="00AC73F5"/>
    <w:rsid w:val="00AC7717"/>
    <w:rsid w:val="00AC7773"/>
    <w:rsid w:val="00AC791D"/>
    <w:rsid w:val="00AC7AB8"/>
    <w:rsid w:val="00AC7B51"/>
    <w:rsid w:val="00AC7BC2"/>
    <w:rsid w:val="00AC7C08"/>
    <w:rsid w:val="00AC7E6E"/>
    <w:rsid w:val="00AC7F6B"/>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7"/>
    <w:rsid w:val="00AD1588"/>
    <w:rsid w:val="00AD15C0"/>
    <w:rsid w:val="00AD17F1"/>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AD4"/>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E4"/>
    <w:rsid w:val="00AE36E3"/>
    <w:rsid w:val="00AE381A"/>
    <w:rsid w:val="00AE397A"/>
    <w:rsid w:val="00AE3A44"/>
    <w:rsid w:val="00AE3B23"/>
    <w:rsid w:val="00AE3C37"/>
    <w:rsid w:val="00AE3D32"/>
    <w:rsid w:val="00AE3E59"/>
    <w:rsid w:val="00AE3EB2"/>
    <w:rsid w:val="00AE3F15"/>
    <w:rsid w:val="00AE3F21"/>
    <w:rsid w:val="00AE43B7"/>
    <w:rsid w:val="00AE4870"/>
    <w:rsid w:val="00AE4A0C"/>
    <w:rsid w:val="00AE4D7D"/>
    <w:rsid w:val="00AE4E7A"/>
    <w:rsid w:val="00AE4E92"/>
    <w:rsid w:val="00AE4F7B"/>
    <w:rsid w:val="00AE4FF2"/>
    <w:rsid w:val="00AE52D3"/>
    <w:rsid w:val="00AE541A"/>
    <w:rsid w:val="00AE549C"/>
    <w:rsid w:val="00AE54FC"/>
    <w:rsid w:val="00AE5C52"/>
    <w:rsid w:val="00AE5E63"/>
    <w:rsid w:val="00AE60BF"/>
    <w:rsid w:val="00AE618A"/>
    <w:rsid w:val="00AE6592"/>
    <w:rsid w:val="00AE65CC"/>
    <w:rsid w:val="00AE661A"/>
    <w:rsid w:val="00AE6690"/>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40D"/>
    <w:rsid w:val="00AF0511"/>
    <w:rsid w:val="00AF0525"/>
    <w:rsid w:val="00AF05A8"/>
    <w:rsid w:val="00AF0656"/>
    <w:rsid w:val="00AF076D"/>
    <w:rsid w:val="00AF0796"/>
    <w:rsid w:val="00AF0F7E"/>
    <w:rsid w:val="00AF0FD4"/>
    <w:rsid w:val="00AF1343"/>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744"/>
    <w:rsid w:val="00B03770"/>
    <w:rsid w:val="00B039E0"/>
    <w:rsid w:val="00B03BD3"/>
    <w:rsid w:val="00B03BFC"/>
    <w:rsid w:val="00B03EA2"/>
    <w:rsid w:val="00B040BC"/>
    <w:rsid w:val="00B0422A"/>
    <w:rsid w:val="00B043EB"/>
    <w:rsid w:val="00B04449"/>
    <w:rsid w:val="00B04486"/>
    <w:rsid w:val="00B044E6"/>
    <w:rsid w:val="00B04840"/>
    <w:rsid w:val="00B04BF0"/>
    <w:rsid w:val="00B04D15"/>
    <w:rsid w:val="00B04E7D"/>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FC"/>
    <w:rsid w:val="00B2134A"/>
    <w:rsid w:val="00B21742"/>
    <w:rsid w:val="00B21A8F"/>
    <w:rsid w:val="00B21C57"/>
    <w:rsid w:val="00B21C8F"/>
    <w:rsid w:val="00B21D89"/>
    <w:rsid w:val="00B21DE7"/>
    <w:rsid w:val="00B21ECB"/>
    <w:rsid w:val="00B21F04"/>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74E"/>
    <w:rsid w:val="00B2475E"/>
    <w:rsid w:val="00B24A0F"/>
    <w:rsid w:val="00B24EBA"/>
    <w:rsid w:val="00B25008"/>
    <w:rsid w:val="00B2506E"/>
    <w:rsid w:val="00B255D0"/>
    <w:rsid w:val="00B2577A"/>
    <w:rsid w:val="00B25842"/>
    <w:rsid w:val="00B25C0E"/>
    <w:rsid w:val="00B25D2C"/>
    <w:rsid w:val="00B25E5C"/>
    <w:rsid w:val="00B260CE"/>
    <w:rsid w:val="00B261EF"/>
    <w:rsid w:val="00B26263"/>
    <w:rsid w:val="00B2638A"/>
    <w:rsid w:val="00B2674A"/>
    <w:rsid w:val="00B2683C"/>
    <w:rsid w:val="00B2690B"/>
    <w:rsid w:val="00B26CAD"/>
    <w:rsid w:val="00B26D72"/>
    <w:rsid w:val="00B26D79"/>
    <w:rsid w:val="00B27181"/>
    <w:rsid w:val="00B273AF"/>
    <w:rsid w:val="00B27675"/>
    <w:rsid w:val="00B27925"/>
    <w:rsid w:val="00B27AB6"/>
    <w:rsid w:val="00B27BB7"/>
    <w:rsid w:val="00B27D6D"/>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C2"/>
    <w:rsid w:val="00B357DC"/>
    <w:rsid w:val="00B35926"/>
    <w:rsid w:val="00B35A44"/>
    <w:rsid w:val="00B35A62"/>
    <w:rsid w:val="00B35BDB"/>
    <w:rsid w:val="00B35D1D"/>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D91"/>
    <w:rsid w:val="00B52F71"/>
    <w:rsid w:val="00B53396"/>
    <w:rsid w:val="00B53881"/>
    <w:rsid w:val="00B5399B"/>
    <w:rsid w:val="00B53F62"/>
    <w:rsid w:val="00B53FB2"/>
    <w:rsid w:val="00B54042"/>
    <w:rsid w:val="00B540F0"/>
    <w:rsid w:val="00B542A2"/>
    <w:rsid w:val="00B54358"/>
    <w:rsid w:val="00B5474C"/>
    <w:rsid w:val="00B54807"/>
    <w:rsid w:val="00B54A9E"/>
    <w:rsid w:val="00B54ACA"/>
    <w:rsid w:val="00B54B1E"/>
    <w:rsid w:val="00B54CD4"/>
    <w:rsid w:val="00B54D84"/>
    <w:rsid w:val="00B54E27"/>
    <w:rsid w:val="00B55054"/>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A62"/>
    <w:rsid w:val="00B60BD4"/>
    <w:rsid w:val="00B60CF7"/>
    <w:rsid w:val="00B60E22"/>
    <w:rsid w:val="00B60FB1"/>
    <w:rsid w:val="00B6102D"/>
    <w:rsid w:val="00B61326"/>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F5"/>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8ED"/>
    <w:rsid w:val="00B739E1"/>
    <w:rsid w:val="00B73A79"/>
    <w:rsid w:val="00B73A95"/>
    <w:rsid w:val="00B73AAF"/>
    <w:rsid w:val="00B73BB5"/>
    <w:rsid w:val="00B73E47"/>
    <w:rsid w:val="00B73FDF"/>
    <w:rsid w:val="00B740D4"/>
    <w:rsid w:val="00B740E7"/>
    <w:rsid w:val="00B7438B"/>
    <w:rsid w:val="00B74951"/>
    <w:rsid w:val="00B7504C"/>
    <w:rsid w:val="00B752B5"/>
    <w:rsid w:val="00B75395"/>
    <w:rsid w:val="00B753E8"/>
    <w:rsid w:val="00B75482"/>
    <w:rsid w:val="00B75781"/>
    <w:rsid w:val="00B757DF"/>
    <w:rsid w:val="00B75826"/>
    <w:rsid w:val="00B75908"/>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4E0"/>
    <w:rsid w:val="00B926E0"/>
    <w:rsid w:val="00B928F1"/>
    <w:rsid w:val="00B92A0A"/>
    <w:rsid w:val="00B92B90"/>
    <w:rsid w:val="00B92D00"/>
    <w:rsid w:val="00B92F78"/>
    <w:rsid w:val="00B93017"/>
    <w:rsid w:val="00B930DC"/>
    <w:rsid w:val="00B93141"/>
    <w:rsid w:val="00B9327A"/>
    <w:rsid w:val="00B9380B"/>
    <w:rsid w:val="00B93AD9"/>
    <w:rsid w:val="00B93B7A"/>
    <w:rsid w:val="00B93F0C"/>
    <w:rsid w:val="00B93F76"/>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E9"/>
    <w:rsid w:val="00BA361D"/>
    <w:rsid w:val="00BA36DB"/>
    <w:rsid w:val="00BA36E7"/>
    <w:rsid w:val="00BA38B5"/>
    <w:rsid w:val="00BA3A75"/>
    <w:rsid w:val="00BA3BFA"/>
    <w:rsid w:val="00BA3C35"/>
    <w:rsid w:val="00BA4354"/>
    <w:rsid w:val="00BA4B9F"/>
    <w:rsid w:val="00BA5036"/>
    <w:rsid w:val="00BA50A0"/>
    <w:rsid w:val="00BA5672"/>
    <w:rsid w:val="00BA5869"/>
    <w:rsid w:val="00BA58C6"/>
    <w:rsid w:val="00BA598B"/>
    <w:rsid w:val="00BA5E57"/>
    <w:rsid w:val="00BA6182"/>
    <w:rsid w:val="00BA6190"/>
    <w:rsid w:val="00BA6325"/>
    <w:rsid w:val="00BA634B"/>
    <w:rsid w:val="00BA658E"/>
    <w:rsid w:val="00BA6611"/>
    <w:rsid w:val="00BA6A4E"/>
    <w:rsid w:val="00BA6C5F"/>
    <w:rsid w:val="00BA6DD8"/>
    <w:rsid w:val="00BA7015"/>
    <w:rsid w:val="00BA71BB"/>
    <w:rsid w:val="00BA736F"/>
    <w:rsid w:val="00BA76B2"/>
    <w:rsid w:val="00BA78FD"/>
    <w:rsid w:val="00BA7903"/>
    <w:rsid w:val="00BA7A51"/>
    <w:rsid w:val="00BA7B72"/>
    <w:rsid w:val="00BA7CA8"/>
    <w:rsid w:val="00BA7F37"/>
    <w:rsid w:val="00BA7FA7"/>
    <w:rsid w:val="00BB0013"/>
    <w:rsid w:val="00BB03B7"/>
    <w:rsid w:val="00BB0582"/>
    <w:rsid w:val="00BB061A"/>
    <w:rsid w:val="00BB06AE"/>
    <w:rsid w:val="00BB0B7D"/>
    <w:rsid w:val="00BB0EA9"/>
    <w:rsid w:val="00BB0F00"/>
    <w:rsid w:val="00BB0F94"/>
    <w:rsid w:val="00BB0FE3"/>
    <w:rsid w:val="00BB1082"/>
    <w:rsid w:val="00BB129A"/>
    <w:rsid w:val="00BB12BC"/>
    <w:rsid w:val="00BB1614"/>
    <w:rsid w:val="00BB179E"/>
    <w:rsid w:val="00BB1840"/>
    <w:rsid w:val="00BB1D36"/>
    <w:rsid w:val="00BB1F3A"/>
    <w:rsid w:val="00BB20D8"/>
    <w:rsid w:val="00BB22FA"/>
    <w:rsid w:val="00BB249C"/>
    <w:rsid w:val="00BB2673"/>
    <w:rsid w:val="00BB290A"/>
    <w:rsid w:val="00BB2ADF"/>
    <w:rsid w:val="00BB2C48"/>
    <w:rsid w:val="00BB3250"/>
    <w:rsid w:val="00BB34B7"/>
    <w:rsid w:val="00BB353E"/>
    <w:rsid w:val="00BB36B3"/>
    <w:rsid w:val="00BB36D8"/>
    <w:rsid w:val="00BB3BA3"/>
    <w:rsid w:val="00BB3CED"/>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779"/>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81"/>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7D3"/>
    <w:rsid w:val="00BD0AB2"/>
    <w:rsid w:val="00BD0B0E"/>
    <w:rsid w:val="00BD0B66"/>
    <w:rsid w:val="00BD0FBA"/>
    <w:rsid w:val="00BD1423"/>
    <w:rsid w:val="00BD15FD"/>
    <w:rsid w:val="00BD1607"/>
    <w:rsid w:val="00BD1640"/>
    <w:rsid w:val="00BD16F4"/>
    <w:rsid w:val="00BD1712"/>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960"/>
    <w:rsid w:val="00BD4C19"/>
    <w:rsid w:val="00BD4D1F"/>
    <w:rsid w:val="00BD4E8C"/>
    <w:rsid w:val="00BD5002"/>
    <w:rsid w:val="00BD5152"/>
    <w:rsid w:val="00BD568A"/>
    <w:rsid w:val="00BD5718"/>
    <w:rsid w:val="00BD58E2"/>
    <w:rsid w:val="00BD5A95"/>
    <w:rsid w:val="00BD5B5D"/>
    <w:rsid w:val="00BD5C09"/>
    <w:rsid w:val="00BD5C10"/>
    <w:rsid w:val="00BD5FB7"/>
    <w:rsid w:val="00BD6288"/>
    <w:rsid w:val="00BD66A7"/>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505"/>
    <w:rsid w:val="00BE4558"/>
    <w:rsid w:val="00BE45B6"/>
    <w:rsid w:val="00BE473F"/>
    <w:rsid w:val="00BE4A78"/>
    <w:rsid w:val="00BE4B79"/>
    <w:rsid w:val="00BE4B82"/>
    <w:rsid w:val="00BE4DF2"/>
    <w:rsid w:val="00BE5037"/>
    <w:rsid w:val="00BE50D2"/>
    <w:rsid w:val="00BE531E"/>
    <w:rsid w:val="00BE549F"/>
    <w:rsid w:val="00BE54A3"/>
    <w:rsid w:val="00BE552D"/>
    <w:rsid w:val="00BE5591"/>
    <w:rsid w:val="00BE5719"/>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2F2F"/>
    <w:rsid w:val="00BF304F"/>
    <w:rsid w:val="00BF3226"/>
    <w:rsid w:val="00BF3250"/>
    <w:rsid w:val="00BF36AA"/>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DAE"/>
    <w:rsid w:val="00BF7FFA"/>
    <w:rsid w:val="00C0031A"/>
    <w:rsid w:val="00C008B0"/>
    <w:rsid w:val="00C00AB7"/>
    <w:rsid w:val="00C00C3C"/>
    <w:rsid w:val="00C00E70"/>
    <w:rsid w:val="00C00F9F"/>
    <w:rsid w:val="00C00FCF"/>
    <w:rsid w:val="00C012EB"/>
    <w:rsid w:val="00C01380"/>
    <w:rsid w:val="00C013A0"/>
    <w:rsid w:val="00C0141A"/>
    <w:rsid w:val="00C0148A"/>
    <w:rsid w:val="00C015BF"/>
    <w:rsid w:val="00C01687"/>
    <w:rsid w:val="00C017A9"/>
    <w:rsid w:val="00C01A73"/>
    <w:rsid w:val="00C01B78"/>
    <w:rsid w:val="00C01E5D"/>
    <w:rsid w:val="00C01EC0"/>
    <w:rsid w:val="00C02177"/>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93D"/>
    <w:rsid w:val="00C112B8"/>
    <w:rsid w:val="00C112ED"/>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933"/>
    <w:rsid w:val="00C16D1C"/>
    <w:rsid w:val="00C16D26"/>
    <w:rsid w:val="00C16E56"/>
    <w:rsid w:val="00C16EDC"/>
    <w:rsid w:val="00C16F20"/>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623"/>
    <w:rsid w:val="00C2072D"/>
    <w:rsid w:val="00C20743"/>
    <w:rsid w:val="00C207D6"/>
    <w:rsid w:val="00C20A81"/>
    <w:rsid w:val="00C20A85"/>
    <w:rsid w:val="00C20D57"/>
    <w:rsid w:val="00C20DF5"/>
    <w:rsid w:val="00C20E95"/>
    <w:rsid w:val="00C20FCA"/>
    <w:rsid w:val="00C212CB"/>
    <w:rsid w:val="00C2165D"/>
    <w:rsid w:val="00C218E8"/>
    <w:rsid w:val="00C219DD"/>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781"/>
    <w:rsid w:val="00C258C6"/>
    <w:rsid w:val="00C25C22"/>
    <w:rsid w:val="00C25C49"/>
    <w:rsid w:val="00C2618D"/>
    <w:rsid w:val="00C2644D"/>
    <w:rsid w:val="00C264C5"/>
    <w:rsid w:val="00C265BD"/>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31D"/>
    <w:rsid w:val="00C3253A"/>
    <w:rsid w:val="00C327C3"/>
    <w:rsid w:val="00C32801"/>
    <w:rsid w:val="00C32B80"/>
    <w:rsid w:val="00C32C08"/>
    <w:rsid w:val="00C32FB8"/>
    <w:rsid w:val="00C33067"/>
    <w:rsid w:val="00C3312C"/>
    <w:rsid w:val="00C33211"/>
    <w:rsid w:val="00C33230"/>
    <w:rsid w:val="00C33251"/>
    <w:rsid w:val="00C33428"/>
    <w:rsid w:val="00C335F0"/>
    <w:rsid w:val="00C3377A"/>
    <w:rsid w:val="00C33C9D"/>
    <w:rsid w:val="00C33CAB"/>
    <w:rsid w:val="00C33DD8"/>
    <w:rsid w:val="00C33F40"/>
    <w:rsid w:val="00C340FC"/>
    <w:rsid w:val="00C343B0"/>
    <w:rsid w:val="00C344F6"/>
    <w:rsid w:val="00C344FB"/>
    <w:rsid w:val="00C345C0"/>
    <w:rsid w:val="00C346DE"/>
    <w:rsid w:val="00C34899"/>
    <w:rsid w:val="00C349D6"/>
    <w:rsid w:val="00C34DE4"/>
    <w:rsid w:val="00C34E6C"/>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BC2"/>
    <w:rsid w:val="00C4147B"/>
    <w:rsid w:val="00C4156C"/>
    <w:rsid w:val="00C4166C"/>
    <w:rsid w:val="00C41B17"/>
    <w:rsid w:val="00C41DCA"/>
    <w:rsid w:val="00C41FA3"/>
    <w:rsid w:val="00C41FBF"/>
    <w:rsid w:val="00C4203E"/>
    <w:rsid w:val="00C4211F"/>
    <w:rsid w:val="00C42467"/>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7AD"/>
    <w:rsid w:val="00C52B7B"/>
    <w:rsid w:val="00C52B88"/>
    <w:rsid w:val="00C52BD0"/>
    <w:rsid w:val="00C52E21"/>
    <w:rsid w:val="00C52E6C"/>
    <w:rsid w:val="00C52F60"/>
    <w:rsid w:val="00C52F77"/>
    <w:rsid w:val="00C530FA"/>
    <w:rsid w:val="00C53429"/>
    <w:rsid w:val="00C53592"/>
    <w:rsid w:val="00C536A4"/>
    <w:rsid w:val="00C5376B"/>
    <w:rsid w:val="00C53F74"/>
    <w:rsid w:val="00C54067"/>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285"/>
    <w:rsid w:val="00C61456"/>
    <w:rsid w:val="00C6145D"/>
    <w:rsid w:val="00C61778"/>
    <w:rsid w:val="00C6196E"/>
    <w:rsid w:val="00C6203B"/>
    <w:rsid w:val="00C62091"/>
    <w:rsid w:val="00C62298"/>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400"/>
    <w:rsid w:val="00C676E5"/>
    <w:rsid w:val="00C67816"/>
    <w:rsid w:val="00C678D4"/>
    <w:rsid w:val="00C6790C"/>
    <w:rsid w:val="00C67914"/>
    <w:rsid w:val="00C67E53"/>
    <w:rsid w:val="00C67EBE"/>
    <w:rsid w:val="00C700EC"/>
    <w:rsid w:val="00C70280"/>
    <w:rsid w:val="00C703CE"/>
    <w:rsid w:val="00C704EA"/>
    <w:rsid w:val="00C706AD"/>
    <w:rsid w:val="00C70710"/>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B2D"/>
    <w:rsid w:val="00C75F25"/>
    <w:rsid w:val="00C765EA"/>
    <w:rsid w:val="00C766DB"/>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040"/>
    <w:rsid w:val="00C9422A"/>
    <w:rsid w:val="00C942E7"/>
    <w:rsid w:val="00C943BD"/>
    <w:rsid w:val="00C943E8"/>
    <w:rsid w:val="00C94816"/>
    <w:rsid w:val="00C94859"/>
    <w:rsid w:val="00C94876"/>
    <w:rsid w:val="00C94BCA"/>
    <w:rsid w:val="00C94C12"/>
    <w:rsid w:val="00C94D11"/>
    <w:rsid w:val="00C94D22"/>
    <w:rsid w:val="00C94E8B"/>
    <w:rsid w:val="00C94EA9"/>
    <w:rsid w:val="00C95030"/>
    <w:rsid w:val="00C950F5"/>
    <w:rsid w:val="00C952E8"/>
    <w:rsid w:val="00C9588A"/>
    <w:rsid w:val="00C95944"/>
    <w:rsid w:val="00C95C6C"/>
    <w:rsid w:val="00C95CA4"/>
    <w:rsid w:val="00C95D0C"/>
    <w:rsid w:val="00C95DC8"/>
    <w:rsid w:val="00C95E55"/>
    <w:rsid w:val="00C95E83"/>
    <w:rsid w:val="00C95E8A"/>
    <w:rsid w:val="00C96327"/>
    <w:rsid w:val="00C96344"/>
    <w:rsid w:val="00C965C9"/>
    <w:rsid w:val="00C9696D"/>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807"/>
    <w:rsid w:val="00CA18A7"/>
    <w:rsid w:val="00CA1B19"/>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D8F"/>
    <w:rsid w:val="00CA7E1A"/>
    <w:rsid w:val="00CA7F72"/>
    <w:rsid w:val="00CB0483"/>
    <w:rsid w:val="00CB0625"/>
    <w:rsid w:val="00CB0632"/>
    <w:rsid w:val="00CB0655"/>
    <w:rsid w:val="00CB0681"/>
    <w:rsid w:val="00CB0763"/>
    <w:rsid w:val="00CB0A53"/>
    <w:rsid w:val="00CB0AE2"/>
    <w:rsid w:val="00CB0BD0"/>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A7"/>
    <w:rsid w:val="00CB344A"/>
    <w:rsid w:val="00CB3510"/>
    <w:rsid w:val="00CB3543"/>
    <w:rsid w:val="00CB3557"/>
    <w:rsid w:val="00CB3760"/>
    <w:rsid w:val="00CB376B"/>
    <w:rsid w:val="00CB3FB1"/>
    <w:rsid w:val="00CB40B2"/>
    <w:rsid w:val="00CB4251"/>
    <w:rsid w:val="00CB43AA"/>
    <w:rsid w:val="00CB481A"/>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B7FB6"/>
    <w:rsid w:val="00CC00B1"/>
    <w:rsid w:val="00CC0178"/>
    <w:rsid w:val="00CC0350"/>
    <w:rsid w:val="00CC086C"/>
    <w:rsid w:val="00CC0B83"/>
    <w:rsid w:val="00CC0DB5"/>
    <w:rsid w:val="00CC0E54"/>
    <w:rsid w:val="00CC100C"/>
    <w:rsid w:val="00CC10E8"/>
    <w:rsid w:val="00CC123D"/>
    <w:rsid w:val="00CC12B5"/>
    <w:rsid w:val="00CC1364"/>
    <w:rsid w:val="00CC1430"/>
    <w:rsid w:val="00CC1493"/>
    <w:rsid w:val="00CC14B5"/>
    <w:rsid w:val="00CC15A5"/>
    <w:rsid w:val="00CC15B3"/>
    <w:rsid w:val="00CC15D1"/>
    <w:rsid w:val="00CC1BE1"/>
    <w:rsid w:val="00CC1F56"/>
    <w:rsid w:val="00CC1F93"/>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63C"/>
    <w:rsid w:val="00CC3845"/>
    <w:rsid w:val="00CC387E"/>
    <w:rsid w:val="00CC3C15"/>
    <w:rsid w:val="00CC3EFE"/>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B3E"/>
    <w:rsid w:val="00CC6B7A"/>
    <w:rsid w:val="00CC6DBE"/>
    <w:rsid w:val="00CC6E50"/>
    <w:rsid w:val="00CC6F69"/>
    <w:rsid w:val="00CC70BB"/>
    <w:rsid w:val="00CC70D7"/>
    <w:rsid w:val="00CC713B"/>
    <w:rsid w:val="00CC72DD"/>
    <w:rsid w:val="00CC7341"/>
    <w:rsid w:val="00CC76B2"/>
    <w:rsid w:val="00CC776B"/>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8A0"/>
    <w:rsid w:val="00CD1BCF"/>
    <w:rsid w:val="00CD1BD9"/>
    <w:rsid w:val="00CD1E00"/>
    <w:rsid w:val="00CD1FA9"/>
    <w:rsid w:val="00CD22AA"/>
    <w:rsid w:val="00CD2393"/>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861"/>
    <w:rsid w:val="00CE496F"/>
    <w:rsid w:val="00CE49AD"/>
    <w:rsid w:val="00CE49E6"/>
    <w:rsid w:val="00CE4FF8"/>
    <w:rsid w:val="00CE51D1"/>
    <w:rsid w:val="00CE5245"/>
    <w:rsid w:val="00CE525A"/>
    <w:rsid w:val="00CE5343"/>
    <w:rsid w:val="00CE57DE"/>
    <w:rsid w:val="00CE5828"/>
    <w:rsid w:val="00CE5A2E"/>
    <w:rsid w:val="00CE5B11"/>
    <w:rsid w:val="00CE5C01"/>
    <w:rsid w:val="00CE5C84"/>
    <w:rsid w:val="00CE5CB8"/>
    <w:rsid w:val="00CE6003"/>
    <w:rsid w:val="00CE6519"/>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E06"/>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AC2"/>
    <w:rsid w:val="00D14FD9"/>
    <w:rsid w:val="00D15486"/>
    <w:rsid w:val="00D155E8"/>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1DC"/>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B24"/>
    <w:rsid w:val="00D42B30"/>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637"/>
    <w:rsid w:val="00D53BEF"/>
    <w:rsid w:val="00D53CB5"/>
    <w:rsid w:val="00D5401B"/>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2BE"/>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745"/>
    <w:rsid w:val="00D577C9"/>
    <w:rsid w:val="00D5788D"/>
    <w:rsid w:val="00D5795F"/>
    <w:rsid w:val="00D57A1D"/>
    <w:rsid w:val="00D57E13"/>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DEA"/>
    <w:rsid w:val="00D64E5A"/>
    <w:rsid w:val="00D64F13"/>
    <w:rsid w:val="00D65215"/>
    <w:rsid w:val="00D65322"/>
    <w:rsid w:val="00D655BB"/>
    <w:rsid w:val="00D6580C"/>
    <w:rsid w:val="00D660D4"/>
    <w:rsid w:val="00D66185"/>
    <w:rsid w:val="00D6647F"/>
    <w:rsid w:val="00D665E8"/>
    <w:rsid w:val="00D66675"/>
    <w:rsid w:val="00D66B4D"/>
    <w:rsid w:val="00D66D2D"/>
    <w:rsid w:val="00D670A4"/>
    <w:rsid w:val="00D671A3"/>
    <w:rsid w:val="00D67264"/>
    <w:rsid w:val="00D6742F"/>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AB"/>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59"/>
    <w:rsid w:val="00D8377F"/>
    <w:rsid w:val="00D8389E"/>
    <w:rsid w:val="00D83901"/>
    <w:rsid w:val="00D83AC3"/>
    <w:rsid w:val="00D83BBF"/>
    <w:rsid w:val="00D83D2C"/>
    <w:rsid w:val="00D83DB8"/>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243"/>
    <w:rsid w:val="00D8553F"/>
    <w:rsid w:val="00D85A77"/>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3B"/>
    <w:rsid w:val="00DA56D7"/>
    <w:rsid w:val="00DA57D4"/>
    <w:rsid w:val="00DA57D8"/>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D15"/>
    <w:rsid w:val="00DB31F1"/>
    <w:rsid w:val="00DB338B"/>
    <w:rsid w:val="00DB33CA"/>
    <w:rsid w:val="00DB3707"/>
    <w:rsid w:val="00DB3724"/>
    <w:rsid w:val="00DB3770"/>
    <w:rsid w:val="00DB381F"/>
    <w:rsid w:val="00DB39D3"/>
    <w:rsid w:val="00DB3AD9"/>
    <w:rsid w:val="00DB409E"/>
    <w:rsid w:val="00DB41A3"/>
    <w:rsid w:val="00DB43B1"/>
    <w:rsid w:val="00DB43E4"/>
    <w:rsid w:val="00DB43EB"/>
    <w:rsid w:val="00DB4BA2"/>
    <w:rsid w:val="00DB4CC4"/>
    <w:rsid w:val="00DB4E8E"/>
    <w:rsid w:val="00DB513A"/>
    <w:rsid w:val="00DB51E2"/>
    <w:rsid w:val="00DB51EA"/>
    <w:rsid w:val="00DB5469"/>
    <w:rsid w:val="00DB5574"/>
    <w:rsid w:val="00DB56CA"/>
    <w:rsid w:val="00DB58FC"/>
    <w:rsid w:val="00DB591A"/>
    <w:rsid w:val="00DB5B35"/>
    <w:rsid w:val="00DB5C23"/>
    <w:rsid w:val="00DB607C"/>
    <w:rsid w:val="00DB60B5"/>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D59"/>
    <w:rsid w:val="00DC3E72"/>
    <w:rsid w:val="00DC3EE4"/>
    <w:rsid w:val="00DC4184"/>
    <w:rsid w:val="00DC4224"/>
    <w:rsid w:val="00DC440D"/>
    <w:rsid w:val="00DC4739"/>
    <w:rsid w:val="00DC4854"/>
    <w:rsid w:val="00DC4904"/>
    <w:rsid w:val="00DC4A35"/>
    <w:rsid w:val="00DC4AFD"/>
    <w:rsid w:val="00DC4D6D"/>
    <w:rsid w:val="00DC5145"/>
    <w:rsid w:val="00DC53C9"/>
    <w:rsid w:val="00DC5438"/>
    <w:rsid w:val="00DC54F2"/>
    <w:rsid w:val="00DC55EB"/>
    <w:rsid w:val="00DC5792"/>
    <w:rsid w:val="00DC5861"/>
    <w:rsid w:val="00DC586D"/>
    <w:rsid w:val="00DC597D"/>
    <w:rsid w:val="00DC5D96"/>
    <w:rsid w:val="00DC5E74"/>
    <w:rsid w:val="00DC5FE6"/>
    <w:rsid w:val="00DC633D"/>
    <w:rsid w:val="00DC6356"/>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84D"/>
    <w:rsid w:val="00DD38BD"/>
    <w:rsid w:val="00DD3DFF"/>
    <w:rsid w:val="00DD3E4B"/>
    <w:rsid w:val="00DD3F6C"/>
    <w:rsid w:val="00DD41EB"/>
    <w:rsid w:val="00DD4276"/>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91E"/>
    <w:rsid w:val="00DD6B54"/>
    <w:rsid w:val="00DD6C3E"/>
    <w:rsid w:val="00DD7035"/>
    <w:rsid w:val="00DD70C2"/>
    <w:rsid w:val="00DD7467"/>
    <w:rsid w:val="00DD74D9"/>
    <w:rsid w:val="00DD7548"/>
    <w:rsid w:val="00DD76E1"/>
    <w:rsid w:val="00DD7980"/>
    <w:rsid w:val="00DD79AB"/>
    <w:rsid w:val="00DD7C6D"/>
    <w:rsid w:val="00DD7E2B"/>
    <w:rsid w:val="00DD7E91"/>
    <w:rsid w:val="00DE007B"/>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B"/>
    <w:rsid w:val="00DF5C27"/>
    <w:rsid w:val="00DF6023"/>
    <w:rsid w:val="00DF69BE"/>
    <w:rsid w:val="00DF6CCC"/>
    <w:rsid w:val="00DF6CDE"/>
    <w:rsid w:val="00DF6DA7"/>
    <w:rsid w:val="00DF6DE0"/>
    <w:rsid w:val="00DF6F0B"/>
    <w:rsid w:val="00DF6F36"/>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49"/>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5B"/>
    <w:rsid w:val="00E13485"/>
    <w:rsid w:val="00E134D6"/>
    <w:rsid w:val="00E13581"/>
    <w:rsid w:val="00E13C3D"/>
    <w:rsid w:val="00E1424F"/>
    <w:rsid w:val="00E144A2"/>
    <w:rsid w:val="00E145F1"/>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CDC"/>
    <w:rsid w:val="00E170A3"/>
    <w:rsid w:val="00E1715C"/>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20E0"/>
    <w:rsid w:val="00E2247D"/>
    <w:rsid w:val="00E22579"/>
    <w:rsid w:val="00E22629"/>
    <w:rsid w:val="00E22783"/>
    <w:rsid w:val="00E227A6"/>
    <w:rsid w:val="00E227BA"/>
    <w:rsid w:val="00E2282E"/>
    <w:rsid w:val="00E2283A"/>
    <w:rsid w:val="00E2283D"/>
    <w:rsid w:val="00E2284B"/>
    <w:rsid w:val="00E2291A"/>
    <w:rsid w:val="00E22C5B"/>
    <w:rsid w:val="00E22F0B"/>
    <w:rsid w:val="00E22F4E"/>
    <w:rsid w:val="00E232D5"/>
    <w:rsid w:val="00E235D1"/>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911"/>
    <w:rsid w:val="00E27CFE"/>
    <w:rsid w:val="00E300D1"/>
    <w:rsid w:val="00E301E8"/>
    <w:rsid w:val="00E30237"/>
    <w:rsid w:val="00E303F6"/>
    <w:rsid w:val="00E305AB"/>
    <w:rsid w:val="00E307F7"/>
    <w:rsid w:val="00E30A19"/>
    <w:rsid w:val="00E30A5F"/>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85C"/>
    <w:rsid w:val="00E328F0"/>
    <w:rsid w:val="00E32A4C"/>
    <w:rsid w:val="00E32DC2"/>
    <w:rsid w:val="00E330DF"/>
    <w:rsid w:val="00E33449"/>
    <w:rsid w:val="00E339AD"/>
    <w:rsid w:val="00E33A8C"/>
    <w:rsid w:val="00E33E63"/>
    <w:rsid w:val="00E34093"/>
    <w:rsid w:val="00E3413F"/>
    <w:rsid w:val="00E341AF"/>
    <w:rsid w:val="00E341E0"/>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C2"/>
    <w:rsid w:val="00E3638A"/>
    <w:rsid w:val="00E3648B"/>
    <w:rsid w:val="00E364B4"/>
    <w:rsid w:val="00E3652A"/>
    <w:rsid w:val="00E36927"/>
    <w:rsid w:val="00E36AA7"/>
    <w:rsid w:val="00E36D8A"/>
    <w:rsid w:val="00E36E44"/>
    <w:rsid w:val="00E36FA2"/>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293"/>
    <w:rsid w:val="00E52316"/>
    <w:rsid w:val="00E52408"/>
    <w:rsid w:val="00E527A5"/>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945"/>
    <w:rsid w:val="00E5597C"/>
    <w:rsid w:val="00E55D69"/>
    <w:rsid w:val="00E55DA4"/>
    <w:rsid w:val="00E565D4"/>
    <w:rsid w:val="00E565E3"/>
    <w:rsid w:val="00E566C4"/>
    <w:rsid w:val="00E56863"/>
    <w:rsid w:val="00E56A45"/>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2E"/>
    <w:rsid w:val="00E66056"/>
    <w:rsid w:val="00E66082"/>
    <w:rsid w:val="00E66333"/>
    <w:rsid w:val="00E663F5"/>
    <w:rsid w:val="00E666B4"/>
    <w:rsid w:val="00E666F9"/>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DB5"/>
    <w:rsid w:val="00E720CE"/>
    <w:rsid w:val="00E72373"/>
    <w:rsid w:val="00E724BF"/>
    <w:rsid w:val="00E72859"/>
    <w:rsid w:val="00E7286C"/>
    <w:rsid w:val="00E72A93"/>
    <w:rsid w:val="00E72FD5"/>
    <w:rsid w:val="00E731AE"/>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6B7"/>
    <w:rsid w:val="00E77802"/>
    <w:rsid w:val="00E778DB"/>
    <w:rsid w:val="00E7790B"/>
    <w:rsid w:val="00E77B26"/>
    <w:rsid w:val="00E77CA4"/>
    <w:rsid w:val="00E80359"/>
    <w:rsid w:val="00E80389"/>
    <w:rsid w:val="00E8059F"/>
    <w:rsid w:val="00E80819"/>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25C"/>
    <w:rsid w:val="00E852A6"/>
    <w:rsid w:val="00E8533B"/>
    <w:rsid w:val="00E85442"/>
    <w:rsid w:val="00E854FC"/>
    <w:rsid w:val="00E85747"/>
    <w:rsid w:val="00E857ED"/>
    <w:rsid w:val="00E86173"/>
    <w:rsid w:val="00E863FF"/>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25A"/>
    <w:rsid w:val="00E974C2"/>
    <w:rsid w:val="00E97542"/>
    <w:rsid w:val="00E97741"/>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5CD"/>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2CB"/>
    <w:rsid w:val="00EC23B3"/>
    <w:rsid w:val="00EC23B9"/>
    <w:rsid w:val="00EC2A32"/>
    <w:rsid w:val="00EC2B27"/>
    <w:rsid w:val="00EC2B31"/>
    <w:rsid w:val="00EC2D95"/>
    <w:rsid w:val="00EC2EA4"/>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D56"/>
    <w:rsid w:val="00EC4DCE"/>
    <w:rsid w:val="00EC4ED7"/>
    <w:rsid w:val="00EC51C8"/>
    <w:rsid w:val="00EC52D5"/>
    <w:rsid w:val="00EC5416"/>
    <w:rsid w:val="00EC5502"/>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98E"/>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568"/>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7187"/>
    <w:rsid w:val="00EE739F"/>
    <w:rsid w:val="00EE743A"/>
    <w:rsid w:val="00EE7484"/>
    <w:rsid w:val="00EE7493"/>
    <w:rsid w:val="00EE7A6A"/>
    <w:rsid w:val="00EE7BC3"/>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971"/>
    <w:rsid w:val="00EF2A4C"/>
    <w:rsid w:val="00EF2A59"/>
    <w:rsid w:val="00EF2B37"/>
    <w:rsid w:val="00EF2B41"/>
    <w:rsid w:val="00EF2D65"/>
    <w:rsid w:val="00EF3071"/>
    <w:rsid w:val="00EF30E9"/>
    <w:rsid w:val="00EF31B8"/>
    <w:rsid w:val="00EF324C"/>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53E"/>
    <w:rsid w:val="00F0354E"/>
    <w:rsid w:val="00F035FD"/>
    <w:rsid w:val="00F037F1"/>
    <w:rsid w:val="00F03B07"/>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8B7"/>
    <w:rsid w:val="00F24AF9"/>
    <w:rsid w:val="00F24B08"/>
    <w:rsid w:val="00F24BE7"/>
    <w:rsid w:val="00F24DEE"/>
    <w:rsid w:val="00F24DF6"/>
    <w:rsid w:val="00F24E20"/>
    <w:rsid w:val="00F24F79"/>
    <w:rsid w:val="00F2503B"/>
    <w:rsid w:val="00F25525"/>
    <w:rsid w:val="00F255E3"/>
    <w:rsid w:val="00F257B3"/>
    <w:rsid w:val="00F25CAD"/>
    <w:rsid w:val="00F26034"/>
    <w:rsid w:val="00F260B0"/>
    <w:rsid w:val="00F2619D"/>
    <w:rsid w:val="00F26314"/>
    <w:rsid w:val="00F26475"/>
    <w:rsid w:val="00F26BC0"/>
    <w:rsid w:val="00F26E67"/>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89E"/>
    <w:rsid w:val="00F358EE"/>
    <w:rsid w:val="00F365C2"/>
    <w:rsid w:val="00F36671"/>
    <w:rsid w:val="00F36BD9"/>
    <w:rsid w:val="00F36D9D"/>
    <w:rsid w:val="00F36E46"/>
    <w:rsid w:val="00F372E7"/>
    <w:rsid w:val="00F374F0"/>
    <w:rsid w:val="00F375D2"/>
    <w:rsid w:val="00F37604"/>
    <w:rsid w:val="00F377C3"/>
    <w:rsid w:val="00F37A46"/>
    <w:rsid w:val="00F37B73"/>
    <w:rsid w:val="00F37B76"/>
    <w:rsid w:val="00F37BA1"/>
    <w:rsid w:val="00F40075"/>
    <w:rsid w:val="00F40431"/>
    <w:rsid w:val="00F404CD"/>
    <w:rsid w:val="00F40552"/>
    <w:rsid w:val="00F4059C"/>
    <w:rsid w:val="00F406CA"/>
    <w:rsid w:val="00F408D8"/>
    <w:rsid w:val="00F409FE"/>
    <w:rsid w:val="00F40A77"/>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53A"/>
    <w:rsid w:val="00F619EF"/>
    <w:rsid w:val="00F61B60"/>
    <w:rsid w:val="00F61FDF"/>
    <w:rsid w:val="00F620C1"/>
    <w:rsid w:val="00F621EF"/>
    <w:rsid w:val="00F622FF"/>
    <w:rsid w:val="00F62345"/>
    <w:rsid w:val="00F6248F"/>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384"/>
    <w:rsid w:val="00F7546E"/>
    <w:rsid w:val="00F75B0C"/>
    <w:rsid w:val="00F75BA9"/>
    <w:rsid w:val="00F75CB7"/>
    <w:rsid w:val="00F75DB2"/>
    <w:rsid w:val="00F75DCA"/>
    <w:rsid w:val="00F7638F"/>
    <w:rsid w:val="00F766C5"/>
    <w:rsid w:val="00F76774"/>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CD"/>
    <w:rsid w:val="00F80967"/>
    <w:rsid w:val="00F80FC4"/>
    <w:rsid w:val="00F81024"/>
    <w:rsid w:val="00F810F1"/>
    <w:rsid w:val="00F812A5"/>
    <w:rsid w:val="00F813CE"/>
    <w:rsid w:val="00F81462"/>
    <w:rsid w:val="00F814DE"/>
    <w:rsid w:val="00F816E5"/>
    <w:rsid w:val="00F81983"/>
    <w:rsid w:val="00F81994"/>
    <w:rsid w:val="00F819BA"/>
    <w:rsid w:val="00F81AA7"/>
    <w:rsid w:val="00F81BE8"/>
    <w:rsid w:val="00F81CDC"/>
    <w:rsid w:val="00F81D2D"/>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DF"/>
    <w:rsid w:val="00FA0783"/>
    <w:rsid w:val="00FA0888"/>
    <w:rsid w:val="00FA0926"/>
    <w:rsid w:val="00FA0990"/>
    <w:rsid w:val="00FA0A68"/>
    <w:rsid w:val="00FA0AF5"/>
    <w:rsid w:val="00FA0C10"/>
    <w:rsid w:val="00FA0D86"/>
    <w:rsid w:val="00FA0F09"/>
    <w:rsid w:val="00FA185B"/>
    <w:rsid w:val="00FA1ADF"/>
    <w:rsid w:val="00FA1C08"/>
    <w:rsid w:val="00FA24A6"/>
    <w:rsid w:val="00FA256A"/>
    <w:rsid w:val="00FA260E"/>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3DF"/>
    <w:rsid w:val="00FB15E2"/>
    <w:rsid w:val="00FB1640"/>
    <w:rsid w:val="00FB17AC"/>
    <w:rsid w:val="00FB17E3"/>
    <w:rsid w:val="00FB1AF7"/>
    <w:rsid w:val="00FB1D1E"/>
    <w:rsid w:val="00FB21B8"/>
    <w:rsid w:val="00FB26D8"/>
    <w:rsid w:val="00FB271E"/>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8C"/>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AF8"/>
    <w:rsid w:val="00FD4D58"/>
    <w:rsid w:val="00FD4DF9"/>
    <w:rsid w:val="00FD4FC4"/>
    <w:rsid w:val="00FD515E"/>
    <w:rsid w:val="00FD52E3"/>
    <w:rsid w:val="00FD58E1"/>
    <w:rsid w:val="00FD5A1A"/>
    <w:rsid w:val="00FD5A43"/>
    <w:rsid w:val="00FD5AA1"/>
    <w:rsid w:val="00FD5AB3"/>
    <w:rsid w:val="00FD5B97"/>
    <w:rsid w:val="00FD5CBF"/>
    <w:rsid w:val="00FD5EB3"/>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82F"/>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6E8"/>
    <w:rsid w:val="00FE49C5"/>
    <w:rsid w:val="00FE4A0D"/>
    <w:rsid w:val="00FE4E41"/>
    <w:rsid w:val="00FE4F7E"/>
    <w:rsid w:val="00FE5267"/>
    <w:rsid w:val="00FE53B5"/>
    <w:rsid w:val="00FE5409"/>
    <w:rsid w:val="00FE5446"/>
    <w:rsid w:val="00FE54D9"/>
    <w:rsid w:val="00FE55E7"/>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EB1"/>
    <w:rsid w:val="00FF018E"/>
    <w:rsid w:val="00FF074F"/>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091CFE"/>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091CFE"/>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120</TotalTime>
  <Pages>29</Pages>
  <Words>10994</Words>
  <Characters>58545</Characters>
  <Application>Microsoft Office Word</Application>
  <DocSecurity>0</DocSecurity>
  <Lines>487</Lines>
  <Paragraphs>138</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69401</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17</cp:revision>
  <cp:lastPrinted>2022-12-22T05:15:00Z</cp:lastPrinted>
  <dcterms:created xsi:type="dcterms:W3CDTF">2022-12-22T00:52:00Z</dcterms:created>
  <dcterms:modified xsi:type="dcterms:W3CDTF">2022-12-22T05:53:00Z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